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62616115"/>
        <w:docPartObj>
          <w:docPartGallery w:val="Cover Pages"/>
          <w:docPartUnique/>
        </w:docPartObj>
      </w:sdtPr>
      <w:sdtEndPr>
        <w:rPr>
          <w:rFonts w:ascii="Times New Roman" w:hAnsi="Times New Roman" w:cs="Times New Roman"/>
          <w:b/>
          <w:bCs/>
          <w:smallCaps/>
        </w:rPr>
      </w:sdtEndPr>
      <w:sdtContent>
        <w:p w14:paraId="70A0BDE9" w14:textId="3EA3066C" w:rsidR="0043197A" w:rsidRDefault="0043197A"/>
        <w:p w14:paraId="4A4B452F" w14:textId="3C2F3A26" w:rsidR="0043197A" w:rsidRDefault="00A118B2">
          <w:pPr>
            <w:rPr>
              <w:rFonts w:ascii="Times New Roman" w:hAnsi="Times New Roman" w:cs="Times New Roman"/>
            </w:rPr>
          </w:pPr>
          <w:r w:rsidRPr="00AC1747">
            <w:rPr>
              <w:rFonts w:ascii="Times New Roman" w:hAnsi="Times New Roman" w:cs="Times New Roman"/>
              <w:b/>
              <w:bCs/>
              <w:smallCaps/>
              <w:noProof/>
              <w:lang w:eastAsia="lv-LV"/>
            </w:rPr>
            <w:drawing>
              <wp:anchor distT="0" distB="0" distL="114300" distR="114300" simplePos="0" relativeHeight="251672576" behindDoc="0" locked="0" layoutInCell="1" allowOverlap="1" wp14:anchorId="3E387EA8" wp14:editId="6A76457F">
                <wp:simplePos x="0" y="0"/>
                <wp:positionH relativeFrom="column">
                  <wp:posOffset>4351020</wp:posOffset>
                </wp:positionH>
                <wp:positionV relativeFrom="paragraph">
                  <wp:posOffset>7890510</wp:posOffset>
                </wp:positionV>
                <wp:extent cx="1751330" cy="548640"/>
                <wp:effectExtent l="0" t="0" r="1270" b="381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3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E06">
            <w:rPr>
              <w:noProof/>
              <w:lang w:eastAsia="lv-LV"/>
            </w:rPr>
            <mc:AlternateContent>
              <mc:Choice Requires="wps">
                <w:drawing>
                  <wp:anchor distT="0" distB="0" distL="114300" distR="114300" simplePos="0" relativeHeight="251667456" behindDoc="0" locked="0" layoutInCell="1" allowOverlap="1" wp14:anchorId="2264A85C" wp14:editId="2EE14F6D">
                    <wp:simplePos x="0" y="0"/>
                    <wp:positionH relativeFrom="page">
                      <wp:posOffset>456565</wp:posOffset>
                    </wp:positionH>
                    <wp:positionV relativeFrom="page">
                      <wp:posOffset>9075420</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EndPr/>
                                <w:sdtContent>
                                  <w:p w14:paraId="62FF7E86" w14:textId="0E0AA1A9" w:rsidR="00EB3270" w:rsidRDefault="00EB3270">
                                    <w:pPr>
                                      <w:pStyle w:val="NoSpacing"/>
                                      <w:spacing w:before="40" w:after="40"/>
                                      <w:rPr>
                                        <w:caps/>
                                        <w:color w:val="5B9BD5" w:themeColor="accent1"/>
                                        <w:sz w:val="28"/>
                                        <w:szCs w:val="28"/>
                                      </w:rPr>
                                    </w:pPr>
                                    <w:r>
                                      <w:rPr>
                                        <w:caps/>
                                        <w:color w:val="5B9BD5" w:themeColor="accent1"/>
                                        <w:sz w:val="28"/>
                                        <w:szCs w:val="28"/>
                                      </w:rPr>
                                      <w:t xml:space="preserve">     </w:t>
                                    </w:r>
                                  </w:p>
                                </w:sdtContent>
                              </w:sdt>
                              <w:p w14:paraId="7EA5C4B3" w14:textId="7BAB2D35" w:rsidR="00EB3270" w:rsidRPr="0043197A" w:rsidRDefault="00EB3270">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2017</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2264A85C" id="_x0000_t202" coordsize="21600,21600" o:spt="202" path="m,l,21600r21600,l21600,xe">
                    <v:stroke joinstyle="miter"/>
                    <v:path gradientshapeok="t" o:connecttype="rect"/>
                  </v:shapetype>
                  <v:shape id="Text Box 129" o:spid="_x0000_s1026" type="#_x0000_t202" style="position:absolute;margin-left:35.95pt;margin-top:714.6pt;width:453pt;height:38.15pt;z-index:251667456;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4pgQIAAGE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" filled="f" stroked="f" strokeweight=".5pt">
                    <v:textbox style="mso-fit-shape-to-text:t" inset="1in,0,86.4pt,0">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Content>
                            <w:p w14:paraId="62FF7E86" w14:textId="0E0AA1A9" w:rsidR="00EB3270" w:rsidRDefault="00EB3270">
                              <w:pPr>
                                <w:pStyle w:val="NoSpacing"/>
                                <w:spacing w:before="40" w:after="40"/>
                                <w:rPr>
                                  <w:caps/>
                                  <w:color w:val="5B9BD5" w:themeColor="accent1"/>
                                  <w:sz w:val="28"/>
                                  <w:szCs w:val="28"/>
                                </w:rPr>
                              </w:pPr>
                              <w:r>
                                <w:rPr>
                                  <w:caps/>
                                  <w:color w:val="5B9BD5" w:themeColor="accent1"/>
                                  <w:sz w:val="28"/>
                                  <w:szCs w:val="28"/>
                                </w:rPr>
                                <w:t xml:space="preserve">     </w:t>
                              </w:r>
                            </w:p>
                          </w:sdtContent>
                        </w:sdt>
                        <w:p w14:paraId="7EA5C4B3" w14:textId="7BAB2D35" w:rsidR="00EB3270" w:rsidRPr="0043197A" w:rsidRDefault="00EB3270">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2017</w:t>
                          </w:r>
                        </w:p>
                      </w:txbxContent>
                    </v:textbox>
                    <w10:wrap type="square" anchorx="page" anchory="page"/>
                  </v:shape>
                </w:pict>
              </mc:Fallback>
            </mc:AlternateContent>
          </w:r>
          <w:r w:rsidR="0043197A">
            <w:rPr>
              <w:noProof/>
              <w:lang w:eastAsia="lv-LV"/>
            </w:rPr>
            <mc:AlternateContent>
              <mc:Choice Requires="wpg">
                <w:drawing>
                  <wp:anchor distT="0" distB="0" distL="114300" distR="114300" simplePos="0" relativeHeight="251665408" behindDoc="1" locked="0" layoutInCell="1" allowOverlap="1" wp14:anchorId="35175D44" wp14:editId="5FDF5264">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4AA037A" w14:textId="4B8E404D" w:rsidR="00EB3270" w:rsidRPr="00CF68DE" w:rsidRDefault="00C4725E" w:rsidP="0043197A">
                                  <w:pPr>
                                    <w:rPr>
                                      <w:rFonts w:ascii="Times New Roman" w:hAnsi="Times New Roman" w:cs="Times New Roman"/>
                                      <w:color w:val="FFFFFF" w:themeColor="background1"/>
                                      <w:sz w:val="56"/>
                                      <w:szCs w:val="72"/>
                                    </w:rPr>
                                  </w:pPr>
                                  <w:sdt>
                                    <w:sdtPr>
                                      <w:rPr>
                                        <w:rFonts w:ascii="Times New Roman" w:hAnsi="Times New Roman" w:cs="Times New Roman"/>
                                        <w:color w:val="FFFFFF" w:themeColor="background1"/>
                                        <w:sz w:val="56"/>
                                        <w:szCs w:val="72"/>
                                      </w:rPr>
                                      <w:alias w:val="Title"/>
                                      <w:tag w:val=""/>
                                      <w:id w:val="363876279"/>
                                      <w:dataBinding w:prefixMappings="xmlns:ns0='http://purl.org/dc/elements/1.1/' xmlns:ns1='http://schemas.openxmlformats.org/package/2006/metadata/core-properties' " w:xpath="/ns1:coreProperties[1]/ns0:title[1]" w:storeItemID="{6C3C8BC8-F283-45AE-878A-BAB7291924A1}"/>
                                      <w:text/>
                                    </w:sdtPr>
                                    <w:sdtEndPr/>
                                    <w:sdtContent>
                                      <w:r w:rsidR="00EB3270" w:rsidRPr="00CF68DE">
                                        <w:rPr>
                                          <w:rFonts w:ascii="Times New Roman" w:hAnsi="Times New Roman" w:cs="Times New Roman"/>
                                          <w:color w:val="FFFFFF" w:themeColor="background1"/>
                                          <w:sz w:val="56"/>
                                          <w:szCs w:val="72"/>
                                        </w:rPr>
                                        <w:t>Latvijas Stabilitātes programma 2017.-2020.gadam</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5175D44" id="Group 125" o:spid="_x0000_s1027" style="position:absolute;margin-left:0;margin-top:0;width:540pt;height:556.55pt;z-index:-25165107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Bb5Q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F5XsFvlBQAAvRQAAA4AAAAAAAAAAAAAAAAALgIAAGRycy9lMm9Eb2MueG1sUEsBAi0AFAAG&#10;AAgAAAAhAEjB3GvaAAAABwEAAA8AAAAAAAAAAAAAAAAAPwgAAGRycy9kb3ducmV2LnhtbFBLBQYA&#10;AAAABAAEAPMAAABGCQ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44AA037A" w14:textId="4B8E404D" w:rsidR="00EB3270" w:rsidRPr="00CF68DE" w:rsidRDefault="00EB3270" w:rsidP="0043197A">
                            <w:pPr>
                              <w:rPr>
                                <w:rFonts w:ascii="Times New Roman" w:hAnsi="Times New Roman" w:cs="Times New Roman"/>
                                <w:color w:val="FFFFFF" w:themeColor="background1"/>
                                <w:sz w:val="56"/>
                                <w:szCs w:val="72"/>
                              </w:rPr>
                            </w:pPr>
                            <w:sdt>
                              <w:sdtPr>
                                <w:rPr>
                                  <w:rFonts w:ascii="Times New Roman" w:hAnsi="Times New Roman" w:cs="Times New Roman"/>
                                  <w:color w:val="FFFFFF" w:themeColor="background1"/>
                                  <w:sz w:val="56"/>
                                  <w:szCs w:val="72"/>
                                </w:rPr>
                                <w:alias w:val="Title"/>
                                <w:tag w:val=""/>
                                <w:id w:val="363876279"/>
                                <w:dataBinding w:prefixMappings="xmlns:ns0='http://purl.org/dc/elements/1.1/' xmlns:ns1='http://schemas.openxmlformats.org/package/2006/metadata/core-properties' " w:xpath="/ns1:coreProperties[1]/ns0:title[1]" w:storeItemID="{6C3C8BC8-F283-45AE-878A-BAB7291924A1}"/>
                                <w:text/>
                              </w:sdtPr>
                              <w:sdtContent>
                                <w:r w:rsidRPr="00CF68DE">
                                  <w:rPr>
                                    <w:rFonts w:ascii="Times New Roman" w:hAnsi="Times New Roman" w:cs="Times New Roman"/>
                                    <w:color w:val="FFFFFF" w:themeColor="background1"/>
                                    <w:sz w:val="56"/>
                                    <w:szCs w:val="72"/>
                                  </w:rPr>
                                  <w:t>Latvijas Stabilitātes programma 2017.-2020.gadam</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3197A">
            <w:rPr>
              <w:noProof/>
              <w:lang w:eastAsia="lv-LV"/>
            </w:rPr>
            <mc:AlternateContent>
              <mc:Choice Requires="wps">
                <w:drawing>
                  <wp:anchor distT="0" distB="0" distL="114300" distR="114300" simplePos="0" relativeHeight="251666432" behindDoc="0" locked="0" layoutInCell="1" allowOverlap="1" wp14:anchorId="0CBECC4A" wp14:editId="1568B75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17-01-01T00:00:00Z">
                                    <w:dateFormat w:val="yyyy"/>
                                    <w:lid w:val="en-US"/>
                                    <w:storeMappedDataAs w:val="dateTime"/>
                                    <w:calendar w:val="gregorian"/>
                                  </w:date>
                                </w:sdtPr>
                                <w:sdtEndPr/>
                                <w:sdtContent>
                                  <w:p w14:paraId="6FD9D2D5" w14:textId="2679054C" w:rsidR="00EB3270" w:rsidRDefault="00EB3270">
                                    <w:pPr>
                                      <w:pStyle w:val="NoSpacing"/>
                                      <w:jc w:val="right"/>
                                      <w:rPr>
                                        <w:color w:val="FFFFFF" w:themeColor="background1"/>
                                        <w:sz w:val="24"/>
                                        <w:szCs w:val="24"/>
                                      </w:rPr>
                                    </w:pPr>
                                    <w:r w:rsidRPr="002E7E06">
                                      <w:rPr>
                                        <w:rFonts w:ascii="Times New Roman" w:hAnsi="Times New Roman" w:cs="Times New Roman"/>
                                        <w:color w:val="FFFFFF" w:themeColor="background1"/>
                                        <w:sz w:val="24"/>
                                        <w:szCs w:val="24"/>
                                        <w:lang w:val="en-US"/>
                                      </w:rPr>
                                      <w:t>201</w:t>
                                    </w:r>
                                    <w:r>
                                      <w:rPr>
                                        <w:rFonts w:ascii="Times New Roman" w:hAnsi="Times New Roman" w:cs="Times New Roman"/>
                                        <w:color w:val="FFFFFF" w:themeColor="background1"/>
                                        <w:sz w:val="24"/>
                                        <w:szCs w:val="24"/>
                                        <w:lang w:val="en-US"/>
                                      </w:rPr>
                                      <w:t>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CBECC4A" id="Rectangle 130" o:spid="_x0000_s1030" style="position:absolute;margin-left:-4.4pt;margin-top:0;width:46.8pt;height:77.75pt;z-index:2516664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9vmgIAAJA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" fillcolor="#5b9bd5 [3204]" stroked="f" strokeweight="1pt">
                    <v:path arrowok="t"/>
                    <o:lock v:ext="edit" aspectratio="t"/>
                    <v:textbox inset="3.6pt,,3.6pt">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17-01-01T00:00:00Z">
                              <w:dateFormat w:val="yyyy"/>
                              <w:lid w:val="en-US"/>
                              <w:storeMappedDataAs w:val="dateTime"/>
                              <w:calendar w:val="gregorian"/>
                            </w:date>
                          </w:sdtPr>
                          <w:sdtContent>
                            <w:p w14:paraId="6FD9D2D5" w14:textId="2679054C" w:rsidR="00EB3270" w:rsidRDefault="00EB3270">
                              <w:pPr>
                                <w:pStyle w:val="NoSpacing"/>
                                <w:jc w:val="right"/>
                                <w:rPr>
                                  <w:color w:val="FFFFFF" w:themeColor="background1"/>
                                  <w:sz w:val="24"/>
                                  <w:szCs w:val="24"/>
                                </w:rPr>
                              </w:pPr>
                              <w:r w:rsidRPr="002E7E06">
                                <w:rPr>
                                  <w:rFonts w:ascii="Times New Roman" w:hAnsi="Times New Roman" w:cs="Times New Roman"/>
                                  <w:color w:val="FFFFFF" w:themeColor="background1"/>
                                  <w:sz w:val="24"/>
                                  <w:szCs w:val="24"/>
                                  <w:lang w:val="en-US"/>
                                </w:rPr>
                                <w:t>201</w:t>
                              </w:r>
                              <w:r>
                                <w:rPr>
                                  <w:rFonts w:ascii="Times New Roman" w:hAnsi="Times New Roman" w:cs="Times New Roman"/>
                                  <w:color w:val="FFFFFF" w:themeColor="background1"/>
                                  <w:sz w:val="24"/>
                                  <w:szCs w:val="24"/>
                                  <w:lang w:val="en-US"/>
                                </w:rPr>
                                <w:t>7</w:t>
                              </w:r>
                            </w:p>
                          </w:sdtContent>
                        </w:sdt>
                      </w:txbxContent>
                    </v:textbox>
                    <w10:wrap anchorx="margin" anchory="page"/>
                  </v:rect>
                </w:pict>
              </mc:Fallback>
            </mc:AlternateContent>
          </w:r>
          <w:r w:rsidR="0043197A">
            <w:rPr>
              <w:rFonts w:ascii="Times New Roman" w:hAnsi="Times New Roman" w:cs="Times New Roman"/>
              <w:b/>
              <w:bCs/>
              <w:smallCaps/>
            </w:rPr>
            <w:br w:type="page"/>
          </w:r>
        </w:p>
      </w:sdtContent>
    </w:sdt>
    <w:sdt>
      <w:sdtPr>
        <w:rPr>
          <w:rFonts w:asciiTheme="minorHAnsi" w:eastAsiaTheme="minorEastAsia" w:hAnsiTheme="minorHAnsi" w:cstheme="minorBidi"/>
          <w:b w:val="0"/>
          <w:bCs w:val="0"/>
          <w:smallCaps w:val="0"/>
          <w:color w:val="auto"/>
          <w:sz w:val="22"/>
          <w:szCs w:val="22"/>
        </w:rPr>
        <w:id w:val="423391642"/>
        <w:docPartObj>
          <w:docPartGallery w:val="Table of Contents"/>
          <w:docPartUnique/>
        </w:docPartObj>
      </w:sdtPr>
      <w:sdtEndPr>
        <w:rPr>
          <w:noProof/>
        </w:rPr>
      </w:sdtEndPr>
      <w:sdtContent>
        <w:p w14:paraId="0CE20A28" w14:textId="4F42A1F0" w:rsidR="00551458" w:rsidRDefault="00551458" w:rsidP="00551458">
          <w:pPr>
            <w:pStyle w:val="TOCHeading"/>
            <w:numPr>
              <w:ilvl w:val="0"/>
              <w:numId w:val="0"/>
            </w:numPr>
            <w:ind w:left="432"/>
            <w:jc w:val="center"/>
            <w:rPr>
              <w:rFonts w:ascii="Times New Roman" w:hAnsi="Times New Roman" w:cs="Times New Roman"/>
            </w:rPr>
          </w:pPr>
          <w:r w:rsidRPr="00551458">
            <w:rPr>
              <w:rFonts w:ascii="Times New Roman" w:hAnsi="Times New Roman" w:cs="Times New Roman"/>
            </w:rPr>
            <w:t>SATURS</w:t>
          </w:r>
        </w:p>
        <w:p w14:paraId="56AC6431" w14:textId="77777777" w:rsidR="00551458" w:rsidRPr="00551458" w:rsidRDefault="00551458" w:rsidP="00551458"/>
        <w:p w14:paraId="5D264CF3" w14:textId="40DE7024" w:rsidR="0037345C" w:rsidRDefault="00551458">
          <w:pPr>
            <w:pStyle w:val="TOC1"/>
            <w:rPr>
              <w:rFonts w:asciiTheme="minorHAnsi" w:eastAsiaTheme="minorEastAsia" w:hAnsiTheme="minorHAnsi" w:cstheme="minorBidi"/>
              <w:noProof/>
              <w:sz w:val="22"/>
              <w:szCs w:val="22"/>
              <w:lang w:eastAsia="lv-LV"/>
            </w:rPr>
          </w:pPr>
          <w:r>
            <w:fldChar w:fldCharType="begin"/>
          </w:r>
          <w:r>
            <w:instrText xml:space="preserve"> TOC \o "1-3" \h \z \u </w:instrText>
          </w:r>
          <w:r>
            <w:fldChar w:fldCharType="separate"/>
          </w:r>
          <w:hyperlink w:anchor="_Toc479331080" w:history="1">
            <w:r w:rsidR="0037345C" w:rsidRPr="00914621">
              <w:rPr>
                <w:rStyle w:val="Hyperlink"/>
                <w:rFonts w:eastAsiaTheme="majorEastAsia"/>
                <w:noProof/>
              </w:rPr>
              <w:t>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Vispārējās ekonomiskās politikas vadlīnijas un mērķi</w:t>
            </w:r>
            <w:r w:rsidR="0037345C">
              <w:rPr>
                <w:noProof/>
                <w:webHidden/>
              </w:rPr>
              <w:tab/>
            </w:r>
            <w:r w:rsidR="0037345C">
              <w:rPr>
                <w:noProof/>
                <w:webHidden/>
              </w:rPr>
              <w:fldChar w:fldCharType="begin"/>
            </w:r>
            <w:r w:rsidR="0037345C">
              <w:rPr>
                <w:noProof/>
                <w:webHidden/>
              </w:rPr>
              <w:instrText xml:space="preserve"> PAGEREF _Toc479331080 \h </w:instrText>
            </w:r>
            <w:r w:rsidR="0037345C">
              <w:rPr>
                <w:noProof/>
                <w:webHidden/>
              </w:rPr>
            </w:r>
            <w:r w:rsidR="0037345C">
              <w:rPr>
                <w:noProof/>
                <w:webHidden/>
              </w:rPr>
              <w:fldChar w:fldCharType="separate"/>
            </w:r>
            <w:r w:rsidR="0006534D">
              <w:rPr>
                <w:noProof/>
                <w:webHidden/>
              </w:rPr>
              <w:t>4</w:t>
            </w:r>
            <w:r w:rsidR="0037345C">
              <w:rPr>
                <w:noProof/>
                <w:webHidden/>
              </w:rPr>
              <w:fldChar w:fldCharType="end"/>
            </w:r>
          </w:hyperlink>
        </w:p>
        <w:p w14:paraId="2162F998" w14:textId="5CE1C479" w:rsidR="0037345C" w:rsidRDefault="00C4725E">
          <w:pPr>
            <w:pStyle w:val="TOC1"/>
            <w:rPr>
              <w:rFonts w:asciiTheme="minorHAnsi" w:eastAsiaTheme="minorEastAsia" w:hAnsiTheme="minorHAnsi" w:cstheme="minorBidi"/>
              <w:noProof/>
              <w:sz w:val="22"/>
              <w:szCs w:val="22"/>
              <w:lang w:eastAsia="lv-LV"/>
            </w:rPr>
          </w:pPr>
          <w:hyperlink w:anchor="_Toc479331081" w:history="1">
            <w:r w:rsidR="0037345C" w:rsidRPr="00914621">
              <w:rPr>
                <w:rStyle w:val="Hyperlink"/>
                <w:rFonts w:eastAsiaTheme="majorEastAsia"/>
                <w:noProof/>
              </w:rPr>
              <w:t>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Ekonomiskā situācija</w:t>
            </w:r>
            <w:r w:rsidR="0037345C">
              <w:rPr>
                <w:noProof/>
                <w:webHidden/>
              </w:rPr>
              <w:tab/>
            </w:r>
            <w:r w:rsidR="0037345C">
              <w:rPr>
                <w:noProof/>
                <w:webHidden/>
              </w:rPr>
              <w:fldChar w:fldCharType="begin"/>
            </w:r>
            <w:r w:rsidR="0037345C">
              <w:rPr>
                <w:noProof/>
                <w:webHidden/>
              </w:rPr>
              <w:instrText xml:space="preserve"> PAGEREF _Toc479331081 \h </w:instrText>
            </w:r>
            <w:r w:rsidR="0037345C">
              <w:rPr>
                <w:noProof/>
                <w:webHidden/>
              </w:rPr>
            </w:r>
            <w:r w:rsidR="0037345C">
              <w:rPr>
                <w:noProof/>
                <w:webHidden/>
              </w:rPr>
              <w:fldChar w:fldCharType="separate"/>
            </w:r>
            <w:r w:rsidR="0006534D">
              <w:rPr>
                <w:noProof/>
                <w:webHidden/>
              </w:rPr>
              <w:t>6</w:t>
            </w:r>
            <w:r w:rsidR="0037345C">
              <w:rPr>
                <w:noProof/>
                <w:webHidden/>
              </w:rPr>
              <w:fldChar w:fldCharType="end"/>
            </w:r>
          </w:hyperlink>
        </w:p>
        <w:p w14:paraId="6D0E0499" w14:textId="688555AC"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82" w:history="1">
            <w:r w:rsidR="0037345C" w:rsidRPr="00914621">
              <w:rPr>
                <w:rStyle w:val="Hyperlink"/>
                <w:rFonts w:eastAsiaTheme="majorEastAsia"/>
                <w:noProof/>
              </w:rPr>
              <w:t>2.1.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Ārējā ekonomiskā vide</w:t>
            </w:r>
            <w:r w:rsidR="0037345C">
              <w:rPr>
                <w:noProof/>
                <w:webHidden/>
              </w:rPr>
              <w:tab/>
            </w:r>
            <w:r w:rsidR="0037345C">
              <w:rPr>
                <w:noProof/>
                <w:webHidden/>
              </w:rPr>
              <w:fldChar w:fldCharType="begin"/>
            </w:r>
            <w:r w:rsidR="0037345C">
              <w:rPr>
                <w:noProof/>
                <w:webHidden/>
              </w:rPr>
              <w:instrText xml:space="preserve"> PAGEREF _Toc479331082 \h </w:instrText>
            </w:r>
            <w:r w:rsidR="0037345C">
              <w:rPr>
                <w:noProof/>
                <w:webHidden/>
              </w:rPr>
            </w:r>
            <w:r w:rsidR="0037345C">
              <w:rPr>
                <w:noProof/>
                <w:webHidden/>
              </w:rPr>
              <w:fldChar w:fldCharType="separate"/>
            </w:r>
            <w:r w:rsidR="0006534D">
              <w:rPr>
                <w:noProof/>
                <w:webHidden/>
              </w:rPr>
              <w:t>6</w:t>
            </w:r>
            <w:r w:rsidR="0037345C">
              <w:rPr>
                <w:noProof/>
                <w:webHidden/>
              </w:rPr>
              <w:fldChar w:fldCharType="end"/>
            </w:r>
          </w:hyperlink>
        </w:p>
        <w:p w14:paraId="4DD34D41" w14:textId="2220BE7F"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83" w:history="1">
            <w:r w:rsidR="0037345C" w:rsidRPr="00914621">
              <w:rPr>
                <w:rStyle w:val="Hyperlink"/>
                <w:rFonts w:eastAsiaTheme="majorEastAsia"/>
                <w:noProof/>
              </w:rPr>
              <w:t>2.2.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Pašreizējā ekonomiskā situācija</w:t>
            </w:r>
            <w:r w:rsidR="0037345C">
              <w:rPr>
                <w:noProof/>
                <w:webHidden/>
              </w:rPr>
              <w:tab/>
            </w:r>
            <w:r w:rsidR="0037345C">
              <w:rPr>
                <w:noProof/>
                <w:webHidden/>
              </w:rPr>
              <w:fldChar w:fldCharType="begin"/>
            </w:r>
            <w:r w:rsidR="0037345C">
              <w:rPr>
                <w:noProof/>
                <w:webHidden/>
              </w:rPr>
              <w:instrText xml:space="preserve"> PAGEREF _Toc479331083 \h </w:instrText>
            </w:r>
            <w:r w:rsidR="0037345C">
              <w:rPr>
                <w:noProof/>
                <w:webHidden/>
              </w:rPr>
            </w:r>
            <w:r w:rsidR="0037345C">
              <w:rPr>
                <w:noProof/>
                <w:webHidden/>
              </w:rPr>
              <w:fldChar w:fldCharType="separate"/>
            </w:r>
            <w:r w:rsidR="0006534D">
              <w:rPr>
                <w:noProof/>
                <w:webHidden/>
              </w:rPr>
              <w:t>9</w:t>
            </w:r>
            <w:r w:rsidR="0037345C">
              <w:rPr>
                <w:noProof/>
                <w:webHidden/>
              </w:rPr>
              <w:fldChar w:fldCharType="end"/>
            </w:r>
          </w:hyperlink>
        </w:p>
        <w:p w14:paraId="3E479134" w14:textId="662BECE9"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84" w:history="1">
            <w:r w:rsidR="0037345C" w:rsidRPr="00914621">
              <w:rPr>
                <w:rStyle w:val="Hyperlink"/>
                <w:rFonts w:eastAsiaTheme="majorEastAsia"/>
                <w:noProof/>
              </w:rPr>
              <w:t>2.3.</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Makroekonomiskās attīstības scenārijs</w:t>
            </w:r>
            <w:r w:rsidR="0037345C">
              <w:rPr>
                <w:noProof/>
                <w:webHidden/>
              </w:rPr>
              <w:tab/>
            </w:r>
            <w:r w:rsidR="0037345C">
              <w:rPr>
                <w:noProof/>
                <w:webHidden/>
              </w:rPr>
              <w:fldChar w:fldCharType="begin"/>
            </w:r>
            <w:r w:rsidR="0037345C">
              <w:rPr>
                <w:noProof/>
                <w:webHidden/>
              </w:rPr>
              <w:instrText xml:space="preserve"> PAGEREF _Toc479331084 \h </w:instrText>
            </w:r>
            <w:r w:rsidR="0037345C">
              <w:rPr>
                <w:noProof/>
                <w:webHidden/>
              </w:rPr>
            </w:r>
            <w:r w:rsidR="0037345C">
              <w:rPr>
                <w:noProof/>
                <w:webHidden/>
              </w:rPr>
              <w:fldChar w:fldCharType="separate"/>
            </w:r>
            <w:r w:rsidR="0006534D">
              <w:rPr>
                <w:noProof/>
                <w:webHidden/>
              </w:rPr>
              <w:t>15</w:t>
            </w:r>
            <w:r w:rsidR="0037345C">
              <w:rPr>
                <w:noProof/>
                <w:webHidden/>
              </w:rPr>
              <w:fldChar w:fldCharType="end"/>
            </w:r>
          </w:hyperlink>
        </w:p>
        <w:p w14:paraId="5A9A4285" w14:textId="5037F974" w:rsidR="0037345C" w:rsidRDefault="00C4725E">
          <w:pPr>
            <w:pStyle w:val="TOC1"/>
            <w:rPr>
              <w:rFonts w:asciiTheme="minorHAnsi" w:eastAsiaTheme="minorEastAsia" w:hAnsiTheme="minorHAnsi" w:cstheme="minorBidi"/>
              <w:noProof/>
              <w:sz w:val="22"/>
              <w:szCs w:val="22"/>
              <w:lang w:eastAsia="lv-LV"/>
            </w:rPr>
          </w:pPr>
          <w:hyperlink w:anchor="_Toc479331085" w:history="1">
            <w:r w:rsidR="0037345C" w:rsidRPr="00914621">
              <w:rPr>
                <w:rStyle w:val="Hyperlink"/>
                <w:rFonts w:eastAsiaTheme="majorEastAsia"/>
                <w:noProof/>
              </w:rPr>
              <w:t>3.</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Vispārējās valdības budžeta bilance un parāds</w:t>
            </w:r>
            <w:r w:rsidR="0037345C">
              <w:rPr>
                <w:noProof/>
                <w:webHidden/>
              </w:rPr>
              <w:tab/>
            </w:r>
            <w:r w:rsidR="0037345C">
              <w:rPr>
                <w:noProof/>
                <w:webHidden/>
              </w:rPr>
              <w:fldChar w:fldCharType="begin"/>
            </w:r>
            <w:r w:rsidR="0037345C">
              <w:rPr>
                <w:noProof/>
                <w:webHidden/>
              </w:rPr>
              <w:instrText xml:space="preserve"> PAGEREF _Toc479331085 \h </w:instrText>
            </w:r>
            <w:r w:rsidR="0037345C">
              <w:rPr>
                <w:noProof/>
                <w:webHidden/>
              </w:rPr>
            </w:r>
            <w:r w:rsidR="0037345C">
              <w:rPr>
                <w:noProof/>
                <w:webHidden/>
              </w:rPr>
              <w:fldChar w:fldCharType="separate"/>
            </w:r>
            <w:r w:rsidR="0006534D">
              <w:rPr>
                <w:noProof/>
                <w:webHidden/>
              </w:rPr>
              <w:t>21</w:t>
            </w:r>
            <w:r w:rsidR="0037345C">
              <w:rPr>
                <w:noProof/>
                <w:webHidden/>
              </w:rPr>
              <w:fldChar w:fldCharType="end"/>
            </w:r>
          </w:hyperlink>
        </w:p>
        <w:p w14:paraId="6AF6BEDB" w14:textId="09F644FE"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86" w:history="1">
            <w:r w:rsidR="0037345C" w:rsidRPr="00914621">
              <w:rPr>
                <w:rStyle w:val="Hyperlink"/>
                <w:rFonts w:eastAsiaTheme="majorEastAsia"/>
                <w:noProof/>
              </w:rPr>
              <w:t>3.1.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Pašreizējā fiskālā situācija</w:t>
            </w:r>
            <w:r w:rsidR="0037345C">
              <w:rPr>
                <w:noProof/>
                <w:webHidden/>
              </w:rPr>
              <w:tab/>
            </w:r>
            <w:r w:rsidR="0037345C">
              <w:rPr>
                <w:noProof/>
                <w:webHidden/>
              </w:rPr>
              <w:fldChar w:fldCharType="begin"/>
            </w:r>
            <w:r w:rsidR="0037345C">
              <w:rPr>
                <w:noProof/>
                <w:webHidden/>
              </w:rPr>
              <w:instrText xml:space="preserve"> PAGEREF _Toc479331086 \h </w:instrText>
            </w:r>
            <w:r w:rsidR="0037345C">
              <w:rPr>
                <w:noProof/>
                <w:webHidden/>
              </w:rPr>
            </w:r>
            <w:r w:rsidR="0037345C">
              <w:rPr>
                <w:noProof/>
                <w:webHidden/>
              </w:rPr>
              <w:fldChar w:fldCharType="separate"/>
            </w:r>
            <w:r w:rsidR="0006534D">
              <w:rPr>
                <w:noProof/>
                <w:webHidden/>
              </w:rPr>
              <w:t>21</w:t>
            </w:r>
            <w:r w:rsidR="0037345C">
              <w:rPr>
                <w:noProof/>
                <w:webHidden/>
              </w:rPr>
              <w:fldChar w:fldCharType="end"/>
            </w:r>
          </w:hyperlink>
        </w:p>
        <w:p w14:paraId="1704CFE5" w14:textId="6701710E"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87" w:history="1">
            <w:r w:rsidR="0037345C" w:rsidRPr="00914621">
              <w:rPr>
                <w:rStyle w:val="Hyperlink"/>
                <w:rFonts w:eastAsiaTheme="majorEastAsia"/>
                <w:noProof/>
              </w:rPr>
              <w:t>3.2.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Fiskālās politikas stratēģija un vidēja termiņa mērķis</w:t>
            </w:r>
            <w:r w:rsidR="0037345C">
              <w:rPr>
                <w:noProof/>
                <w:webHidden/>
              </w:rPr>
              <w:tab/>
            </w:r>
            <w:r w:rsidR="0037345C">
              <w:rPr>
                <w:noProof/>
                <w:webHidden/>
              </w:rPr>
              <w:fldChar w:fldCharType="begin"/>
            </w:r>
            <w:r w:rsidR="0037345C">
              <w:rPr>
                <w:noProof/>
                <w:webHidden/>
              </w:rPr>
              <w:instrText xml:space="preserve"> PAGEREF _Toc479331087 \h </w:instrText>
            </w:r>
            <w:r w:rsidR="0037345C">
              <w:rPr>
                <w:noProof/>
                <w:webHidden/>
              </w:rPr>
            </w:r>
            <w:r w:rsidR="0037345C">
              <w:rPr>
                <w:noProof/>
                <w:webHidden/>
              </w:rPr>
              <w:fldChar w:fldCharType="separate"/>
            </w:r>
            <w:r w:rsidR="0006534D">
              <w:rPr>
                <w:noProof/>
                <w:webHidden/>
              </w:rPr>
              <w:t>22</w:t>
            </w:r>
            <w:r w:rsidR="0037345C">
              <w:rPr>
                <w:noProof/>
                <w:webHidden/>
              </w:rPr>
              <w:fldChar w:fldCharType="end"/>
            </w:r>
          </w:hyperlink>
        </w:p>
        <w:p w14:paraId="2EA8533E" w14:textId="68AB66A9" w:rsidR="0037345C" w:rsidRDefault="00C4725E">
          <w:pPr>
            <w:pStyle w:val="TOC2"/>
            <w:tabs>
              <w:tab w:val="left" w:pos="1100"/>
            </w:tabs>
            <w:rPr>
              <w:rFonts w:asciiTheme="minorHAnsi" w:eastAsiaTheme="minorEastAsia" w:hAnsiTheme="minorHAnsi" w:cstheme="minorBidi"/>
              <w:noProof/>
              <w:sz w:val="22"/>
              <w:szCs w:val="22"/>
              <w:lang w:eastAsia="lv-LV"/>
            </w:rPr>
          </w:pPr>
          <w:hyperlink w:anchor="_Toc479331088" w:history="1">
            <w:r w:rsidR="0037345C" w:rsidRPr="00914621">
              <w:rPr>
                <w:rStyle w:val="Hyperlink"/>
                <w:rFonts w:eastAsia="Calibri"/>
                <w:noProof/>
              </w:rPr>
              <w:t>3.2.1.</w:t>
            </w:r>
            <w:r w:rsidR="0037345C">
              <w:rPr>
                <w:rFonts w:asciiTheme="minorHAnsi" w:eastAsiaTheme="minorEastAsia" w:hAnsiTheme="minorHAnsi" w:cstheme="minorBidi"/>
                <w:noProof/>
                <w:sz w:val="22"/>
                <w:szCs w:val="22"/>
                <w:lang w:eastAsia="lv-LV"/>
              </w:rPr>
              <w:tab/>
            </w:r>
            <w:r w:rsidR="0037345C" w:rsidRPr="00914621">
              <w:rPr>
                <w:rStyle w:val="Hyperlink"/>
                <w:rFonts w:eastAsia="Calibri"/>
                <w:noProof/>
              </w:rPr>
              <w:t>Strukturālās bilances mērķa noteikšana</w:t>
            </w:r>
            <w:r w:rsidR="0037345C">
              <w:rPr>
                <w:noProof/>
                <w:webHidden/>
              </w:rPr>
              <w:tab/>
            </w:r>
            <w:r w:rsidR="0037345C">
              <w:rPr>
                <w:noProof/>
                <w:webHidden/>
              </w:rPr>
              <w:fldChar w:fldCharType="begin"/>
            </w:r>
            <w:r w:rsidR="0037345C">
              <w:rPr>
                <w:noProof/>
                <w:webHidden/>
              </w:rPr>
              <w:instrText xml:space="preserve"> PAGEREF _Toc479331088 \h </w:instrText>
            </w:r>
            <w:r w:rsidR="0037345C">
              <w:rPr>
                <w:noProof/>
                <w:webHidden/>
              </w:rPr>
            </w:r>
            <w:r w:rsidR="0037345C">
              <w:rPr>
                <w:noProof/>
                <w:webHidden/>
              </w:rPr>
              <w:fldChar w:fldCharType="separate"/>
            </w:r>
            <w:r w:rsidR="0006534D">
              <w:rPr>
                <w:noProof/>
                <w:webHidden/>
              </w:rPr>
              <w:t>23</w:t>
            </w:r>
            <w:r w:rsidR="0037345C">
              <w:rPr>
                <w:noProof/>
                <w:webHidden/>
              </w:rPr>
              <w:fldChar w:fldCharType="end"/>
            </w:r>
          </w:hyperlink>
        </w:p>
        <w:p w14:paraId="0A8E3D34" w14:textId="7AF83F9D" w:rsidR="0037345C" w:rsidRDefault="00C4725E">
          <w:pPr>
            <w:pStyle w:val="TOC2"/>
            <w:tabs>
              <w:tab w:val="left" w:pos="1100"/>
            </w:tabs>
            <w:rPr>
              <w:rFonts w:asciiTheme="minorHAnsi" w:eastAsiaTheme="minorEastAsia" w:hAnsiTheme="minorHAnsi" w:cstheme="minorBidi"/>
              <w:noProof/>
              <w:sz w:val="22"/>
              <w:szCs w:val="22"/>
              <w:lang w:eastAsia="lv-LV"/>
            </w:rPr>
          </w:pPr>
          <w:hyperlink w:anchor="_Toc479331089" w:history="1">
            <w:r w:rsidR="0037345C" w:rsidRPr="00914621">
              <w:rPr>
                <w:rStyle w:val="Hyperlink"/>
                <w:rFonts w:eastAsia="Calibri"/>
                <w:noProof/>
              </w:rPr>
              <w:t>3.2.2.</w:t>
            </w:r>
            <w:r w:rsidR="0037345C">
              <w:rPr>
                <w:rFonts w:asciiTheme="minorHAnsi" w:eastAsiaTheme="minorEastAsia" w:hAnsiTheme="minorHAnsi" w:cstheme="minorBidi"/>
                <w:noProof/>
                <w:sz w:val="22"/>
                <w:szCs w:val="22"/>
                <w:lang w:eastAsia="lv-LV"/>
              </w:rPr>
              <w:tab/>
            </w:r>
            <w:r w:rsidR="0037345C" w:rsidRPr="00914621">
              <w:rPr>
                <w:rStyle w:val="Hyperlink"/>
                <w:rFonts w:eastAsia="Calibri"/>
                <w:noProof/>
              </w:rPr>
              <w:t>Ticamības tests un argumentēto lēmumu procedūra</w:t>
            </w:r>
            <w:r w:rsidR="0037345C">
              <w:rPr>
                <w:noProof/>
                <w:webHidden/>
              </w:rPr>
              <w:tab/>
            </w:r>
            <w:r w:rsidR="0037345C">
              <w:rPr>
                <w:noProof/>
                <w:webHidden/>
              </w:rPr>
              <w:fldChar w:fldCharType="begin"/>
            </w:r>
            <w:r w:rsidR="0037345C">
              <w:rPr>
                <w:noProof/>
                <w:webHidden/>
              </w:rPr>
              <w:instrText xml:space="preserve"> PAGEREF _Toc479331089 \h </w:instrText>
            </w:r>
            <w:r w:rsidR="0037345C">
              <w:rPr>
                <w:noProof/>
                <w:webHidden/>
              </w:rPr>
            </w:r>
            <w:r w:rsidR="0037345C">
              <w:rPr>
                <w:noProof/>
                <w:webHidden/>
              </w:rPr>
              <w:fldChar w:fldCharType="separate"/>
            </w:r>
            <w:r w:rsidR="0006534D">
              <w:rPr>
                <w:noProof/>
                <w:webHidden/>
              </w:rPr>
              <w:t>28</w:t>
            </w:r>
            <w:r w:rsidR="0037345C">
              <w:rPr>
                <w:noProof/>
                <w:webHidden/>
              </w:rPr>
              <w:fldChar w:fldCharType="end"/>
            </w:r>
          </w:hyperlink>
        </w:p>
        <w:p w14:paraId="0DCEB8E7" w14:textId="368F8664" w:rsidR="0037345C" w:rsidRDefault="00C4725E" w:rsidP="0037345C">
          <w:pPr>
            <w:pStyle w:val="TOC2"/>
            <w:tabs>
              <w:tab w:val="left" w:pos="1100"/>
            </w:tabs>
            <w:ind w:left="1094" w:hanging="810"/>
            <w:rPr>
              <w:rFonts w:asciiTheme="minorHAnsi" w:eastAsiaTheme="minorEastAsia" w:hAnsiTheme="minorHAnsi" w:cstheme="minorBidi"/>
              <w:noProof/>
              <w:sz w:val="22"/>
              <w:szCs w:val="22"/>
              <w:lang w:eastAsia="lv-LV"/>
            </w:rPr>
          </w:pPr>
          <w:hyperlink w:anchor="_Toc479331090" w:history="1">
            <w:r w:rsidR="0037345C" w:rsidRPr="00914621">
              <w:rPr>
                <w:rStyle w:val="Hyperlink"/>
                <w:rFonts w:eastAsia="Calibri"/>
                <w:noProof/>
              </w:rPr>
              <w:t>3.2.3.</w:t>
            </w:r>
            <w:r w:rsidR="0037345C">
              <w:rPr>
                <w:rFonts w:asciiTheme="minorHAnsi" w:eastAsiaTheme="minorEastAsia" w:hAnsiTheme="minorHAnsi" w:cstheme="minorBidi"/>
                <w:noProof/>
                <w:sz w:val="22"/>
                <w:szCs w:val="22"/>
                <w:lang w:eastAsia="lv-LV"/>
              </w:rPr>
              <w:tab/>
            </w:r>
            <w:r w:rsidR="0037345C" w:rsidRPr="00914621">
              <w:rPr>
                <w:rStyle w:val="Hyperlink"/>
                <w:rFonts w:eastAsia="Calibri"/>
                <w:noProof/>
              </w:rPr>
              <w:t>Vispārējie fiskālās politikas mērķi un prioritārie attīstība</w:t>
            </w:r>
            <w:r w:rsidR="0037345C">
              <w:rPr>
                <w:rStyle w:val="Hyperlink"/>
                <w:rFonts w:eastAsia="Calibri"/>
                <w:noProof/>
              </w:rPr>
              <w:t xml:space="preserve">s virzieni 2017.-2019. periodam </w:t>
            </w:r>
            <w:r w:rsidR="0037345C" w:rsidRPr="00914621">
              <w:rPr>
                <w:rStyle w:val="Hyperlink"/>
                <w:rFonts w:eastAsia="Calibri"/>
                <w:noProof/>
              </w:rPr>
              <w:t>- paveiktais pēc iepriekšējas Stabilitātes programmas</w:t>
            </w:r>
            <w:r w:rsidR="0037345C">
              <w:rPr>
                <w:noProof/>
                <w:webHidden/>
              </w:rPr>
              <w:tab/>
            </w:r>
            <w:r w:rsidR="0037345C">
              <w:rPr>
                <w:noProof/>
                <w:webHidden/>
              </w:rPr>
              <w:fldChar w:fldCharType="begin"/>
            </w:r>
            <w:r w:rsidR="0037345C">
              <w:rPr>
                <w:noProof/>
                <w:webHidden/>
              </w:rPr>
              <w:instrText xml:space="preserve"> PAGEREF _Toc479331090 \h </w:instrText>
            </w:r>
            <w:r w:rsidR="0037345C">
              <w:rPr>
                <w:noProof/>
                <w:webHidden/>
              </w:rPr>
            </w:r>
            <w:r w:rsidR="0037345C">
              <w:rPr>
                <w:noProof/>
                <w:webHidden/>
              </w:rPr>
              <w:fldChar w:fldCharType="separate"/>
            </w:r>
            <w:r w:rsidR="0006534D">
              <w:rPr>
                <w:noProof/>
                <w:webHidden/>
              </w:rPr>
              <w:t>29</w:t>
            </w:r>
            <w:r w:rsidR="0037345C">
              <w:rPr>
                <w:noProof/>
                <w:webHidden/>
              </w:rPr>
              <w:fldChar w:fldCharType="end"/>
            </w:r>
          </w:hyperlink>
        </w:p>
        <w:p w14:paraId="4E98348F" w14:textId="5DBA49F9" w:rsidR="0037345C" w:rsidRDefault="00C4725E">
          <w:pPr>
            <w:pStyle w:val="TOC2"/>
            <w:tabs>
              <w:tab w:val="left" w:pos="1100"/>
            </w:tabs>
            <w:rPr>
              <w:rFonts w:asciiTheme="minorHAnsi" w:eastAsiaTheme="minorEastAsia" w:hAnsiTheme="minorHAnsi" w:cstheme="minorBidi"/>
              <w:noProof/>
              <w:sz w:val="22"/>
              <w:szCs w:val="22"/>
              <w:lang w:eastAsia="lv-LV"/>
            </w:rPr>
          </w:pPr>
          <w:hyperlink w:anchor="_Toc479331091" w:history="1">
            <w:r w:rsidR="0037345C" w:rsidRPr="00914621">
              <w:rPr>
                <w:rStyle w:val="Hyperlink"/>
                <w:rFonts w:eastAsia="Calibri"/>
                <w:noProof/>
              </w:rPr>
              <w:t>3.2.4.</w:t>
            </w:r>
            <w:r w:rsidR="0037345C">
              <w:rPr>
                <w:rFonts w:asciiTheme="minorHAnsi" w:eastAsiaTheme="minorEastAsia" w:hAnsiTheme="minorHAnsi" w:cstheme="minorBidi"/>
                <w:noProof/>
                <w:sz w:val="22"/>
                <w:szCs w:val="22"/>
                <w:lang w:eastAsia="lv-LV"/>
              </w:rPr>
              <w:tab/>
            </w:r>
            <w:r w:rsidR="0037345C" w:rsidRPr="00914621">
              <w:rPr>
                <w:rStyle w:val="Hyperlink"/>
                <w:rFonts w:eastAsia="Calibri"/>
                <w:noProof/>
              </w:rPr>
              <w:t>Nodokļu pamatnostādnes 2017. – 2021.gadam</w:t>
            </w:r>
            <w:r w:rsidR="0037345C">
              <w:rPr>
                <w:noProof/>
                <w:webHidden/>
              </w:rPr>
              <w:tab/>
            </w:r>
            <w:r w:rsidR="0037345C">
              <w:rPr>
                <w:noProof/>
                <w:webHidden/>
              </w:rPr>
              <w:fldChar w:fldCharType="begin"/>
            </w:r>
            <w:r w:rsidR="0037345C">
              <w:rPr>
                <w:noProof/>
                <w:webHidden/>
              </w:rPr>
              <w:instrText xml:space="preserve"> PAGEREF _Toc479331091 \h </w:instrText>
            </w:r>
            <w:r w:rsidR="0037345C">
              <w:rPr>
                <w:noProof/>
                <w:webHidden/>
              </w:rPr>
            </w:r>
            <w:r w:rsidR="0037345C">
              <w:rPr>
                <w:noProof/>
                <w:webHidden/>
              </w:rPr>
              <w:fldChar w:fldCharType="separate"/>
            </w:r>
            <w:r w:rsidR="0006534D">
              <w:rPr>
                <w:noProof/>
                <w:webHidden/>
              </w:rPr>
              <w:t>36</w:t>
            </w:r>
            <w:r w:rsidR="0037345C">
              <w:rPr>
                <w:noProof/>
                <w:webHidden/>
              </w:rPr>
              <w:fldChar w:fldCharType="end"/>
            </w:r>
          </w:hyperlink>
        </w:p>
        <w:p w14:paraId="40252618" w14:textId="0445AD54" w:rsidR="0037345C" w:rsidRDefault="00C4725E">
          <w:pPr>
            <w:pStyle w:val="TOC2"/>
            <w:tabs>
              <w:tab w:val="left" w:pos="1100"/>
            </w:tabs>
            <w:rPr>
              <w:rFonts w:asciiTheme="minorHAnsi" w:eastAsiaTheme="minorEastAsia" w:hAnsiTheme="minorHAnsi" w:cstheme="minorBidi"/>
              <w:noProof/>
              <w:sz w:val="22"/>
              <w:szCs w:val="22"/>
              <w:lang w:eastAsia="lv-LV"/>
            </w:rPr>
          </w:pPr>
          <w:hyperlink w:anchor="_Toc479331092" w:history="1">
            <w:r w:rsidR="0037345C" w:rsidRPr="00914621">
              <w:rPr>
                <w:rStyle w:val="Hyperlink"/>
                <w:rFonts w:eastAsia="Calibri"/>
                <w:noProof/>
              </w:rPr>
              <w:t>3.2.5.</w:t>
            </w:r>
            <w:r w:rsidR="0037345C">
              <w:rPr>
                <w:rFonts w:asciiTheme="minorHAnsi" w:eastAsiaTheme="minorEastAsia" w:hAnsiTheme="minorHAnsi" w:cstheme="minorBidi"/>
                <w:noProof/>
                <w:sz w:val="22"/>
                <w:szCs w:val="22"/>
                <w:lang w:eastAsia="lv-LV"/>
              </w:rPr>
              <w:tab/>
            </w:r>
            <w:r w:rsidR="0037345C" w:rsidRPr="00914621">
              <w:rPr>
                <w:rStyle w:val="Hyperlink"/>
                <w:rFonts w:eastAsia="Calibri"/>
                <w:noProof/>
              </w:rPr>
              <w:t>Fiskāli nozīmīgākās strukturālās reformas Regulas Nr. 1175/2011 izpratnē</w:t>
            </w:r>
            <w:r w:rsidR="0037345C">
              <w:rPr>
                <w:noProof/>
                <w:webHidden/>
              </w:rPr>
              <w:tab/>
            </w:r>
            <w:r w:rsidR="0037345C">
              <w:rPr>
                <w:noProof/>
                <w:webHidden/>
              </w:rPr>
              <w:fldChar w:fldCharType="begin"/>
            </w:r>
            <w:r w:rsidR="0037345C">
              <w:rPr>
                <w:noProof/>
                <w:webHidden/>
              </w:rPr>
              <w:instrText xml:space="preserve"> PAGEREF _Toc479331092 \h </w:instrText>
            </w:r>
            <w:r w:rsidR="0037345C">
              <w:rPr>
                <w:noProof/>
                <w:webHidden/>
              </w:rPr>
            </w:r>
            <w:r w:rsidR="0037345C">
              <w:rPr>
                <w:noProof/>
                <w:webHidden/>
              </w:rPr>
              <w:fldChar w:fldCharType="separate"/>
            </w:r>
            <w:r w:rsidR="0006534D">
              <w:rPr>
                <w:noProof/>
                <w:webHidden/>
              </w:rPr>
              <w:t>48</w:t>
            </w:r>
            <w:r w:rsidR="0037345C">
              <w:rPr>
                <w:noProof/>
                <w:webHidden/>
              </w:rPr>
              <w:fldChar w:fldCharType="end"/>
            </w:r>
          </w:hyperlink>
        </w:p>
        <w:p w14:paraId="6C333FE2" w14:textId="13ABD02E" w:rsidR="0037345C" w:rsidRDefault="00C4725E">
          <w:pPr>
            <w:pStyle w:val="TOC2"/>
            <w:tabs>
              <w:tab w:val="left" w:pos="1320"/>
            </w:tabs>
            <w:rPr>
              <w:rFonts w:asciiTheme="minorHAnsi" w:eastAsiaTheme="minorEastAsia" w:hAnsiTheme="minorHAnsi" w:cstheme="minorBidi"/>
              <w:noProof/>
              <w:sz w:val="22"/>
              <w:szCs w:val="22"/>
              <w:lang w:eastAsia="lv-LV"/>
            </w:rPr>
          </w:pPr>
          <w:hyperlink w:anchor="_Toc479331093" w:history="1">
            <w:r w:rsidR="0037345C" w:rsidRPr="00914621">
              <w:rPr>
                <w:rStyle w:val="Hyperlink"/>
                <w:rFonts w:eastAsia="Calibri"/>
                <w:noProof/>
              </w:rPr>
              <w:t>3.2.5.1.</w:t>
            </w:r>
            <w:r w:rsidR="0037345C">
              <w:rPr>
                <w:rFonts w:asciiTheme="minorHAnsi" w:eastAsiaTheme="minorEastAsia" w:hAnsiTheme="minorHAnsi" w:cstheme="minorBidi"/>
                <w:noProof/>
                <w:sz w:val="22"/>
                <w:szCs w:val="22"/>
                <w:lang w:eastAsia="lv-LV"/>
              </w:rPr>
              <w:tab/>
            </w:r>
            <w:r w:rsidR="0037345C" w:rsidRPr="00914621">
              <w:rPr>
                <w:rStyle w:val="Hyperlink"/>
                <w:rFonts w:eastAsia="Calibri"/>
                <w:noProof/>
              </w:rPr>
              <w:t>Pensiju sistēmas reforma</w:t>
            </w:r>
            <w:r w:rsidR="0037345C">
              <w:rPr>
                <w:noProof/>
                <w:webHidden/>
              </w:rPr>
              <w:tab/>
            </w:r>
            <w:r w:rsidR="0037345C">
              <w:rPr>
                <w:noProof/>
                <w:webHidden/>
              </w:rPr>
              <w:fldChar w:fldCharType="begin"/>
            </w:r>
            <w:r w:rsidR="0037345C">
              <w:rPr>
                <w:noProof/>
                <w:webHidden/>
              </w:rPr>
              <w:instrText xml:space="preserve"> PAGEREF _Toc479331093 \h </w:instrText>
            </w:r>
            <w:r w:rsidR="0037345C">
              <w:rPr>
                <w:noProof/>
                <w:webHidden/>
              </w:rPr>
            </w:r>
            <w:r w:rsidR="0037345C">
              <w:rPr>
                <w:noProof/>
                <w:webHidden/>
              </w:rPr>
              <w:fldChar w:fldCharType="separate"/>
            </w:r>
            <w:r w:rsidR="0006534D">
              <w:rPr>
                <w:noProof/>
                <w:webHidden/>
              </w:rPr>
              <w:t>48</w:t>
            </w:r>
            <w:r w:rsidR="0037345C">
              <w:rPr>
                <w:noProof/>
                <w:webHidden/>
              </w:rPr>
              <w:fldChar w:fldCharType="end"/>
            </w:r>
          </w:hyperlink>
        </w:p>
        <w:p w14:paraId="0526A0CA" w14:textId="5571EAAB" w:rsidR="0037345C" w:rsidRDefault="00C4725E">
          <w:pPr>
            <w:pStyle w:val="TOC2"/>
            <w:tabs>
              <w:tab w:val="left" w:pos="1320"/>
            </w:tabs>
            <w:rPr>
              <w:rFonts w:asciiTheme="minorHAnsi" w:eastAsiaTheme="minorEastAsia" w:hAnsiTheme="minorHAnsi" w:cstheme="minorBidi"/>
              <w:noProof/>
              <w:sz w:val="22"/>
              <w:szCs w:val="22"/>
              <w:lang w:eastAsia="lv-LV"/>
            </w:rPr>
          </w:pPr>
          <w:hyperlink w:anchor="_Toc479331094" w:history="1">
            <w:r w:rsidR="0037345C" w:rsidRPr="00914621">
              <w:rPr>
                <w:rStyle w:val="Hyperlink"/>
                <w:rFonts w:eastAsia="Calibri"/>
                <w:noProof/>
              </w:rPr>
              <w:t>3.2.5.2.</w:t>
            </w:r>
            <w:r w:rsidR="0037345C">
              <w:rPr>
                <w:rFonts w:asciiTheme="minorHAnsi" w:eastAsiaTheme="minorEastAsia" w:hAnsiTheme="minorHAnsi" w:cstheme="minorBidi"/>
                <w:noProof/>
                <w:sz w:val="22"/>
                <w:szCs w:val="22"/>
                <w:lang w:eastAsia="lv-LV"/>
              </w:rPr>
              <w:tab/>
            </w:r>
            <w:r w:rsidR="0037345C" w:rsidRPr="00914621">
              <w:rPr>
                <w:rStyle w:val="Hyperlink"/>
                <w:rFonts w:eastAsia="Calibri"/>
                <w:noProof/>
              </w:rPr>
              <w:t>Veselības sistēmas reforma</w:t>
            </w:r>
            <w:r w:rsidR="0037345C">
              <w:rPr>
                <w:noProof/>
                <w:webHidden/>
              </w:rPr>
              <w:tab/>
            </w:r>
            <w:r w:rsidR="0037345C">
              <w:rPr>
                <w:noProof/>
                <w:webHidden/>
              </w:rPr>
              <w:fldChar w:fldCharType="begin"/>
            </w:r>
            <w:r w:rsidR="0037345C">
              <w:rPr>
                <w:noProof/>
                <w:webHidden/>
              </w:rPr>
              <w:instrText xml:space="preserve"> PAGEREF _Toc479331094 \h </w:instrText>
            </w:r>
            <w:r w:rsidR="0037345C">
              <w:rPr>
                <w:noProof/>
                <w:webHidden/>
              </w:rPr>
            </w:r>
            <w:r w:rsidR="0037345C">
              <w:rPr>
                <w:noProof/>
                <w:webHidden/>
              </w:rPr>
              <w:fldChar w:fldCharType="separate"/>
            </w:r>
            <w:r w:rsidR="0006534D">
              <w:rPr>
                <w:noProof/>
                <w:webHidden/>
              </w:rPr>
              <w:t>49</w:t>
            </w:r>
            <w:r w:rsidR="0037345C">
              <w:rPr>
                <w:noProof/>
                <w:webHidden/>
              </w:rPr>
              <w:fldChar w:fldCharType="end"/>
            </w:r>
          </w:hyperlink>
        </w:p>
        <w:p w14:paraId="35F31736" w14:textId="7517D53E"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95" w:history="1">
            <w:r w:rsidR="0037345C" w:rsidRPr="00914621">
              <w:rPr>
                <w:rStyle w:val="Hyperlink"/>
                <w:rFonts w:eastAsiaTheme="majorEastAsia"/>
                <w:noProof/>
              </w:rPr>
              <w:t>3.3.</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Fiskālās attīstības scenārijs</w:t>
            </w:r>
            <w:r w:rsidR="0037345C">
              <w:rPr>
                <w:noProof/>
                <w:webHidden/>
              </w:rPr>
              <w:tab/>
            </w:r>
            <w:r w:rsidR="0037345C">
              <w:rPr>
                <w:noProof/>
                <w:webHidden/>
              </w:rPr>
              <w:fldChar w:fldCharType="begin"/>
            </w:r>
            <w:r w:rsidR="0037345C">
              <w:rPr>
                <w:noProof/>
                <w:webHidden/>
              </w:rPr>
              <w:instrText xml:space="preserve"> PAGEREF _Toc479331095 \h </w:instrText>
            </w:r>
            <w:r w:rsidR="0037345C">
              <w:rPr>
                <w:noProof/>
                <w:webHidden/>
              </w:rPr>
            </w:r>
            <w:r w:rsidR="0037345C">
              <w:rPr>
                <w:noProof/>
                <w:webHidden/>
              </w:rPr>
              <w:fldChar w:fldCharType="separate"/>
            </w:r>
            <w:r w:rsidR="0006534D">
              <w:rPr>
                <w:noProof/>
                <w:webHidden/>
              </w:rPr>
              <w:t>62</w:t>
            </w:r>
            <w:r w:rsidR="0037345C">
              <w:rPr>
                <w:noProof/>
                <w:webHidden/>
              </w:rPr>
              <w:fldChar w:fldCharType="end"/>
            </w:r>
          </w:hyperlink>
        </w:p>
        <w:p w14:paraId="49CE4470" w14:textId="32632545"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96" w:history="1">
            <w:r w:rsidR="0037345C" w:rsidRPr="00914621">
              <w:rPr>
                <w:rStyle w:val="Hyperlink"/>
                <w:rFonts w:eastAsiaTheme="majorEastAsia"/>
                <w:noProof/>
              </w:rPr>
              <w:t>3.4.</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Valdības parāda vidēja termiņa attīstības tendences</w:t>
            </w:r>
            <w:r w:rsidR="0037345C">
              <w:rPr>
                <w:noProof/>
                <w:webHidden/>
              </w:rPr>
              <w:tab/>
            </w:r>
            <w:r w:rsidR="0037345C">
              <w:rPr>
                <w:noProof/>
                <w:webHidden/>
              </w:rPr>
              <w:fldChar w:fldCharType="begin"/>
            </w:r>
            <w:r w:rsidR="0037345C">
              <w:rPr>
                <w:noProof/>
                <w:webHidden/>
              </w:rPr>
              <w:instrText xml:space="preserve"> PAGEREF _Toc479331096 \h </w:instrText>
            </w:r>
            <w:r w:rsidR="0037345C">
              <w:rPr>
                <w:noProof/>
                <w:webHidden/>
              </w:rPr>
            </w:r>
            <w:r w:rsidR="0037345C">
              <w:rPr>
                <w:noProof/>
                <w:webHidden/>
              </w:rPr>
              <w:fldChar w:fldCharType="separate"/>
            </w:r>
            <w:r w:rsidR="0006534D">
              <w:rPr>
                <w:noProof/>
                <w:webHidden/>
              </w:rPr>
              <w:t>67</w:t>
            </w:r>
            <w:r w:rsidR="0037345C">
              <w:rPr>
                <w:noProof/>
                <w:webHidden/>
              </w:rPr>
              <w:fldChar w:fldCharType="end"/>
            </w:r>
          </w:hyperlink>
        </w:p>
        <w:p w14:paraId="09246404" w14:textId="3E6F8F47" w:rsidR="0037345C" w:rsidRDefault="00C4725E">
          <w:pPr>
            <w:pStyle w:val="TOC1"/>
            <w:rPr>
              <w:rFonts w:asciiTheme="minorHAnsi" w:eastAsiaTheme="minorEastAsia" w:hAnsiTheme="minorHAnsi" w:cstheme="minorBidi"/>
              <w:noProof/>
              <w:sz w:val="22"/>
              <w:szCs w:val="22"/>
              <w:lang w:eastAsia="lv-LV"/>
            </w:rPr>
          </w:pPr>
          <w:hyperlink w:anchor="_Toc479331097" w:history="1">
            <w:r w:rsidR="0037345C" w:rsidRPr="00914621">
              <w:rPr>
                <w:rStyle w:val="Hyperlink"/>
                <w:rFonts w:eastAsiaTheme="majorEastAsia"/>
                <w:noProof/>
              </w:rPr>
              <w:t>4.</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Jutīguma analīze un salīdzinājums</w:t>
            </w:r>
            <w:r w:rsidR="0037345C">
              <w:rPr>
                <w:noProof/>
                <w:webHidden/>
              </w:rPr>
              <w:tab/>
            </w:r>
            <w:r w:rsidR="0037345C">
              <w:rPr>
                <w:noProof/>
                <w:webHidden/>
              </w:rPr>
              <w:fldChar w:fldCharType="begin"/>
            </w:r>
            <w:r w:rsidR="0037345C">
              <w:rPr>
                <w:noProof/>
                <w:webHidden/>
              </w:rPr>
              <w:instrText xml:space="preserve"> PAGEREF _Toc479331097 \h </w:instrText>
            </w:r>
            <w:r w:rsidR="0037345C">
              <w:rPr>
                <w:noProof/>
                <w:webHidden/>
              </w:rPr>
            </w:r>
            <w:r w:rsidR="0037345C">
              <w:rPr>
                <w:noProof/>
                <w:webHidden/>
              </w:rPr>
              <w:fldChar w:fldCharType="separate"/>
            </w:r>
            <w:r w:rsidR="0006534D">
              <w:rPr>
                <w:noProof/>
                <w:webHidden/>
              </w:rPr>
              <w:t>71</w:t>
            </w:r>
            <w:r w:rsidR="0037345C">
              <w:rPr>
                <w:noProof/>
                <w:webHidden/>
              </w:rPr>
              <w:fldChar w:fldCharType="end"/>
            </w:r>
          </w:hyperlink>
        </w:p>
        <w:p w14:paraId="541DB36F" w14:textId="7F9A08B9"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98" w:history="1">
            <w:r w:rsidR="0037345C" w:rsidRPr="00914621">
              <w:rPr>
                <w:rStyle w:val="Hyperlink"/>
                <w:rFonts w:eastAsiaTheme="majorEastAsia"/>
                <w:noProof/>
              </w:rPr>
              <w:t>4.1.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Makroekonomiskā scenārija riski</w:t>
            </w:r>
            <w:r w:rsidR="0037345C">
              <w:rPr>
                <w:noProof/>
                <w:webHidden/>
              </w:rPr>
              <w:tab/>
            </w:r>
            <w:r w:rsidR="0037345C">
              <w:rPr>
                <w:noProof/>
                <w:webHidden/>
              </w:rPr>
              <w:fldChar w:fldCharType="begin"/>
            </w:r>
            <w:r w:rsidR="0037345C">
              <w:rPr>
                <w:noProof/>
                <w:webHidden/>
              </w:rPr>
              <w:instrText xml:space="preserve"> PAGEREF _Toc479331098 \h </w:instrText>
            </w:r>
            <w:r w:rsidR="0037345C">
              <w:rPr>
                <w:noProof/>
                <w:webHidden/>
              </w:rPr>
            </w:r>
            <w:r w:rsidR="0037345C">
              <w:rPr>
                <w:noProof/>
                <w:webHidden/>
              </w:rPr>
              <w:fldChar w:fldCharType="separate"/>
            </w:r>
            <w:r w:rsidR="0006534D">
              <w:rPr>
                <w:noProof/>
                <w:webHidden/>
              </w:rPr>
              <w:t>71</w:t>
            </w:r>
            <w:r w:rsidR="0037345C">
              <w:rPr>
                <w:noProof/>
                <w:webHidden/>
              </w:rPr>
              <w:fldChar w:fldCharType="end"/>
            </w:r>
          </w:hyperlink>
        </w:p>
        <w:p w14:paraId="12799C31" w14:textId="62B1FC46"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099" w:history="1">
            <w:r w:rsidR="0037345C" w:rsidRPr="00914621">
              <w:rPr>
                <w:rStyle w:val="Hyperlink"/>
                <w:rFonts w:eastAsiaTheme="majorEastAsia"/>
                <w:noProof/>
              </w:rPr>
              <w:t>4.2.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Jutīguma analīze</w:t>
            </w:r>
            <w:r w:rsidR="0037345C">
              <w:rPr>
                <w:noProof/>
                <w:webHidden/>
              </w:rPr>
              <w:tab/>
            </w:r>
            <w:r w:rsidR="0037345C">
              <w:rPr>
                <w:noProof/>
                <w:webHidden/>
              </w:rPr>
              <w:fldChar w:fldCharType="begin"/>
            </w:r>
            <w:r w:rsidR="0037345C">
              <w:rPr>
                <w:noProof/>
                <w:webHidden/>
              </w:rPr>
              <w:instrText xml:space="preserve"> PAGEREF _Toc479331099 \h </w:instrText>
            </w:r>
            <w:r w:rsidR="0037345C">
              <w:rPr>
                <w:noProof/>
                <w:webHidden/>
              </w:rPr>
            </w:r>
            <w:r w:rsidR="0037345C">
              <w:rPr>
                <w:noProof/>
                <w:webHidden/>
              </w:rPr>
              <w:fldChar w:fldCharType="separate"/>
            </w:r>
            <w:r w:rsidR="0006534D">
              <w:rPr>
                <w:noProof/>
                <w:webHidden/>
              </w:rPr>
              <w:t>72</w:t>
            </w:r>
            <w:r w:rsidR="0037345C">
              <w:rPr>
                <w:noProof/>
                <w:webHidden/>
              </w:rPr>
              <w:fldChar w:fldCharType="end"/>
            </w:r>
          </w:hyperlink>
        </w:p>
        <w:p w14:paraId="5E69C8BC" w14:textId="55181F47" w:rsidR="0037345C" w:rsidRDefault="00C4725E">
          <w:pPr>
            <w:pStyle w:val="TOC2"/>
            <w:tabs>
              <w:tab w:val="left" w:pos="1100"/>
            </w:tabs>
            <w:rPr>
              <w:rFonts w:asciiTheme="minorHAnsi" w:eastAsiaTheme="minorEastAsia" w:hAnsiTheme="minorHAnsi" w:cstheme="minorBidi"/>
              <w:noProof/>
              <w:sz w:val="22"/>
              <w:szCs w:val="22"/>
              <w:lang w:eastAsia="lv-LV"/>
            </w:rPr>
          </w:pPr>
          <w:hyperlink w:anchor="_Toc479331100" w:history="1">
            <w:r w:rsidR="0037345C" w:rsidRPr="00914621">
              <w:rPr>
                <w:rStyle w:val="Hyperlink"/>
                <w:rFonts w:eastAsiaTheme="majorEastAsia"/>
                <w:noProof/>
              </w:rPr>
              <w:t>4.1.1.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Optimistiskais scenārijs</w:t>
            </w:r>
            <w:r w:rsidR="0037345C">
              <w:rPr>
                <w:noProof/>
                <w:webHidden/>
              </w:rPr>
              <w:tab/>
            </w:r>
            <w:r w:rsidR="0037345C">
              <w:rPr>
                <w:noProof/>
                <w:webHidden/>
              </w:rPr>
              <w:fldChar w:fldCharType="begin"/>
            </w:r>
            <w:r w:rsidR="0037345C">
              <w:rPr>
                <w:noProof/>
                <w:webHidden/>
              </w:rPr>
              <w:instrText xml:space="preserve"> PAGEREF _Toc479331100 \h </w:instrText>
            </w:r>
            <w:r w:rsidR="0037345C">
              <w:rPr>
                <w:noProof/>
                <w:webHidden/>
              </w:rPr>
            </w:r>
            <w:r w:rsidR="0037345C">
              <w:rPr>
                <w:noProof/>
                <w:webHidden/>
              </w:rPr>
              <w:fldChar w:fldCharType="separate"/>
            </w:r>
            <w:r w:rsidR="0006534D">
              <w:rPr>
                <w:noProof/>
                <w:webHidden/>
              </w:rPr>
              <w:t>72</w:t>
            </w:r>
            <w:r w:rsidR="0037345C">
              <w:rPr>
                <w:noProof/>
                <w:webHidden/>
              </w:rPr>
              <w:fldChar w:fldCharType="end"/>
            </w:r>
          </w:hyperlink>
        </w:p>
        <w:p w14:paraId="1B46B256" w14:textId="2F3436D8" w:rsidR="0037345C" w:rsidRDefault="00C4725E">
          <w:pPr>
            <w:pStyle w:val="TOC2"/>
            <w:tabs>
              <w:tab w:val="left" w:pos="1100"/>
            </w:tabs>
            <w:rPr>
              <w:rFonts w:asciiTheme="minorHAnsi" w:eastAsiaTheme="minorEastAsia" w:hAnsiTheme="minorHAnsi" w:cstheme="minorBidi"/>
              <w:noProof/>
              <w:sz w:val="22"/>
              <w:szCs w:val="22"/>
              <w:lang w:eastAsia="lv-LV"/>
            </w:rPr>
          </w:pPr>
          <w:hyperlink w:anchor="_Toc479331101" w:history="1">
            <w:r w:rsidR="0037345C" w:rsidRPr="00914621">
              <w:rPr>
                <w:rStyle w:val="Hyperlink"/>
                <w:rFonts w:eastAsiaTheme="majorEastAsia"/>
                <w:noProof/>
              </w:rPr>
              <w:t>4.1.2.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Pesimistiskais scenārijs</w:t>
            </w:r>
            <w:r w:rsidR="0037345C">
              <w:rPr>
                <w:noProof/>
                <w:webHidden/>
              </w:rPr>
              <w:tab/>
            </w:r>
            <w:r w:rsidR="0037345C">
              <w:rPr>
                <w:noProof/>
                <w:webHidden/>
              </w:rPr>
              <w:fldChar w:fldCharType="begin"/>
            </w:r>
            <w:r w:rsidR="0037345C">
              <w:rPr>
                <w:noProof/>
                <w:webHidden/>
              </w:rPr>
              <w:instrText xml:space="preserve"> PAGEREF _Toc479331101 \h </w:instrText>
            </w:r>
            <w:r w:rsidR="0037345C">
              <w:rPr>
                <w:noProof/>
                <w:webHidden/>
              </w:rPr>
            </w:r>
            <w:r w:rsidR="0037345C">
              <w:rPr>
                <w:noProof/>
                <w:webHidden/>
              </w:rPr>
              <w:fldChar w:fldCharType="separate"/>
            </w:r>
            <w:r w:rsidR="0006534D">
              <w:rPr>
                <w:noProof/>
                <w:webHidden/>
              </w:rPr>
              <w:t>73</w:t>
            </w:r>
            <w:r w:rsidR="0037345C">
              <w:rPr>
                <w:noProof/>
                <w:webHidden/>
              </w:rPr>
              <w:fldChar w:fldCharType="end"/>
            </w:r>
          </w:hyperlink>
        </w:p>
        <w:p w14:paraId="02343F26" w14:textId="1459A167" w:rsidR="0037345C" w:rsidRDefault="00C4725E">
          <w:pPr>
            <w:pStyle w:val="TOC1"/>
            <w:rPr>
              <w:rFonts w:asciiTheme="minorHAnsi" w:eastAsiaTheme="minorEastAsia" w:hAnsiTheme="minorHAnsi" w:cstheme="minorBidi"/>
              <w:noProof/>
              <w:sz w:val="22"/>
              <w:szCs w:val="22"/>
              <w:lang w:eastAsia="lv-LV"/>
            </w:rPr>
          </w:pPr>
          <w:hyperlink w:anchor="_Toc479331102" w:history="1">
            <w:r w:rsidR="0037345C" w:rsidRPr="00914621">
              <w:rPr>
                <w:rStyle w:val="Hyperlink"/>
                <w:rFonts w:eastAsiaTheme="majorEastAsia"/>
                <w:noProof/>
              </w:rPr>
              <w:t>5.</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Vispārējās valdības budžeta bilances un parāda prognožu salīdzinājums ar Latvijas Stabilitātes programmu 2016.-2019.gadam</w:t>
            </w:r>
            <w:r w:rsidR="0037345C">
              <w:rPr>
                <w:noProof/>
                <w:webHidden/>
              </w:rPr>
              <w:tab/>
            </w:r>
            <w:r w:rsidR="0037345C">
              <w:rPr>
                <w:noProof/>
                <w:webHidden/>
              </w:rPr>
              <w:fldChar w:fldCharType="begin"/>
            </w:r>
            <w:r w:rsidR="0037345C">
              <w:rPr>
                <w:noProof/>
                <w:webHidden/>
              </w:rPr>
              <w:instrText xml:space="preserve"> PAGEREF _Toc479331102 \h </w:instrText>
            </w:r>
            <w:r w:rsidR="0037345C">
              <w:rPr>
                <w:noProof/>
                <w:webHidden/>
              </w:rPr>
            </w:r>
            <w:r w:rsidR="0037345C">
              <w:rPr>
                <w:noProof/>
                <w:webHidden/>
              </w:rPr>
              <w:fldChar w:fldCharType="separate"/>
            </w:r>
            <w:r w:rsidR="0006534D">
              <w:rPr>
                <w:noProof/>
                <w:webHidden/>
              </w:rPr>
              <w:t>76</w:t>
            </w:r>
            <w:r w:rsidR="0037345C">
              <w:rPr>
                <w:noProof/>
                <w:webHidden/>
              </w:rPr>
              <w:fldChar w:fldCharType="end"/>
            </w:r>
          </w:hyperlink>
        </w:p>
        <w:p w14:paraId="2967473C" w14:textId="6936B444" w:rsidR="0037345C" w:rsidRDefault="00C4725E">
          <w:pPr>
            <w:pStyle w:val="TOC1"/>
            <w:rPr>
              <w:rFonts w:asciiTheme="minorHAnsi" w:eastAsiaTheme="minorEastAsia" w:hAnsiTheme="minorHAnsi" w:cstheme="minorBidi"/>
              <w:noProof/>
              <w:sz w:val="22"/>
              <w:szCs w:val="22"/>
              <w:lang w:eastAsia="lv-LV"/>
            </w:rPr>
          </w:pPr>
          <w:hyperlink w:anchor="_Toc479331103" w:history="1">
            <w:r w:rsidR="0037345C" w:rsidRPr="00914621">
              <w:rPr>
                <w:rStyle w:val="Hyperlink"/>
                <w:rFonts w:eastAsiaTheme="majorEastAsia"/>
                <w:noProof/>
              </w:rPr>
              <w:t>6.</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Valsts finanšu kvalitāte</w:t>
            </w:r>
            <w:r w:rsidR="0037345C">
              <w:rPr>
                <w:noProof/>
                <w:webHidden/>
              </w:rPr>
              <w:tab/>
            </w:r>
            <w:r w:rsidR="0037345C">
              <w:rPr>
                <w:noProof/>
                <w:webHidden/>
              </w:rPr>
              <w:fldChar w:fldCharType="begin"/>
            </w:r>
            <w:r w:rsidR="0037345C">
              <w:rPr>
                <w:noProof/>
                <w:webHidden/>
              </w:rPr>
              <w:instrText xml:space="preserve"> PAGEREF _Toc479331103 \h </w:instrText>
            </w:r>
            <w:r w:rsidR="0037345C">
              <w:rPr>
                <w:noProof/>
                <w:webHidden/>
              </w:rPr>
            </w:r>
            <w:r w:rsidR="0037345C">
              <w:rPr>
                <w:noProof/>
                <w:webHidden/>
              </w:rPr>
              <w:fldChar w:fldCharType="separate"/>
            </w:r>
            <w:r w:rsidR="0006534D">
              <w:rPr>
                <w:noProof/>
                <w:webHidden/>
              </w:rPr>
              <w:t>77</w:t>
            </w:r>
            <w:r w:rsidR="0037345C">
              <w:rPr>
                <w:noProof/>
                <w:webHidden/>
              </w:rPr>
              <w:fldChar w:fldCharType="end"/>
            </w:r>
          </w:hyperlink>
        </w:p>
        <w:p w14:paraId="7A2485A3" w14:textId="29FBAED9"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104" w:history="1">
            <w:r w:rsidR="0037345C" w:rsidRPr="00914621">
              <w:rPr>
                <w:rStyle w:val="Hyperlink"/>
                <w:rFonts w:eastAsiaTheme="majorEastAsia"/>
                <w:noProof/>
              </w:rPr>
              <w:t>6.1.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Valsts budžeta līdzekļu efektivitāte un izlietojuma kontrole</w:t>
            </w:r>
            <w:r w:rsidR="0037345C">
              <w:rPr>
                <w:noProof/>
                <w:webHidden/>
              </w:rPr>
              <w:tab/>
            </w:r>
            <w:r w:rsidR="0037345C">
              <w:rPr>
                <w:noProof/>
                <w:webHidden/>
              </w:rPr>
              <w:fldChar w:fldCharType="begin"/>
            </w:r>
            <w:r w:rsidR="0037345C">
              <w:rPr>
                <w:noProof/>
                <w:webHidden/>
              </w:rPr>
              <w:instrText xml:space="preserve"> PAGEREF _Toc479331104 \h </w:instrText>
            </w:r>
            <w:r w:rsidR="0037345C">
              <w:rPr>
                <w:noProof/>
                <w:webHidden/>
              </w:rPr>
            </w:r>
            <w:r w:rsidR="0037345C">
              <w:rPr>
                <w:noProof/>
                <w:webHidden/>
              </w:rPr>
              <w:fldChar w:fldCharType="separate"/>
            </w:r>
            <w:r w:rsidR="0006534D">
              <w:rPr>
                <w:noProof/>
                <w:webHidden/>
              </w:rPr>
              <w:t>77</w:t>
            </w:r>
            <w:r w:rsidR="0037345C">
              <w:rPr>
                <w:noProof/>
                <w:webHidden/>
              </w:rPr>
              <w:fldChar w:fldCharType="end"/>
            </w:r>
          </w:hyperlink>
        </w:p>
        <w:p w14:paraId="6627C1F0" w14:textId="4E3A2112"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105" w:history="1">
            <w:r w:rsidR="0037345C" w:rsidRPr="00914621">
              <w:rPr>
                <w:rStyle w:val="Hyperlink"/>
                <w:rFonts w:eastAsiaTheme="majorEastAsia"/>
                <w:noProof/>
              </w:rPr>
              <w:t>6.2.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Ieņēmumu struktūras un sistēmas efektivitāte</w:t>
            </w:r>
            <w:r w:rsidR="0037345C">
              <w:rPr>
                <w:noProof/>
                <w:webHidden/>
              </w:rPr>
              <w:tab/>
            </w:r>
            <w:r w:rsidR="0037345C">
              <w:rPr>
                <w:noProof/>
                <w:webHidden/>
              </w:rPr>
              <w:fldChar w:fldCharType="begin"/>
            </w:r>
            <w:r w:rsidR="0037345C">
              <w:rPr>
                <w:noProof/>
                <w:webHidden/>
              </w:rPr>
              <w:instrText xml:space="preserve"> PAGEREF _Toc479331105 \h </w:instrText>
            </w:r>
            <w:r w:rsidR="0037345C">
              <w:rPr>
                <w:noProof/>
                <w:webHidden/>
              </w:rPr>
            </w:r>
            <w:r w:rsidR="0037345C">
              <w:rPr>
                <w:noProof/>
                <w:webHidden/>
              </w:rPr>
              <w:fldChar w:fldCharType="separate"/>
            </w:r>
            <w:r w:rsidR="0006534D">
              <w:rPr>
                <w:noProof/>
                <w:webHidden/>
              </w:rPr>
              <w:t>79</w:t>
            </w:r>
            <w:r w:rsidR="0037345C">
              <w:rPr>
                <w:noProof/>
                <w:webHidden/>
              </w:rPr>
              <w:fldChar w:fldCharType="end"/>
            </w:r>
          </w:hyperlink>
        </w:p>
        <w:p w14:paraId="1E47FA9E" w14:textId="33F19B41" w:rsidR="0037345C" w:rsidRDefault="00C4725E">
          <w:pPr>
            <w:pStyle w:val="TOC1"/>
            <w:rPr>
              <w:rFonts w:asciiTheme="minorHAnsi" w:eastAsiaTheme="minorEastAsia" w:hAnsiTheme="minorHAnsi" w:cstheme="minorBidi"/>
              <w:noProof/>
              <w:sz w:val="22"/>
              <w:szCs w:val="22"/>
              <w:lang w:eastAsia="lv-LV"/>
            </w:rPr>
          </w:pPr>
          <w:hyperlink w:anchor="_Toc479331106" w:history="1">
            <w:r w:rsidR="0037345C" w:rsidRPr="00914621">
              <w:rPr>
                <w:rStyle w:val="Hyperlink"/>
                <w:rFonts w:eastAsiaTheme="majorEastAsia"/>
                <w:noProof/>
              </w:rPr>
              <w:t>7.</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Publisko finanšu ilgtspēja</w:t>
            </w:r>
            <w:r w:rsidR="0037345C">
              <w:rPr>
                <w:noProof/>
                <w:webHidden/>
              </w:rPr>
              <w:tab/>
            </w:r>
            <w:r w:rsidR="0037345C">
              <w:rPr>
                <w:noProof/>
                <w:webHidden/>
              </w:rPr>
              <w:fldChar w:fldCharType="begin"/>
            </w:r>
            <w:r w:rsidR="0037345C">
              <w:rPr>
                <w:noProof/>
                <w:webHidden/>
              </w:rPr>
              <w:instrText xml:space="preserve"> PAGEREF _Toc479331106 \h </w:instrText>
            </w:r>
            <w:r w:rsidR="0037345C">
              <w:rPr>
                <w:noProof/>
                <w:webHidden/>
              </w:rPr>
            </w:r>
            <w:r w:rsidR="0037345C">
              <w:rPr>
                <w:noProof/>
                <w:webHidden/>
              </w:rPr>
              <w:fldChar w:fldCharType="separate"/>
            </w:r>
            <w:r w:rsidR="0006534D">
              <w:rPr>
                <w:noProof/>
                <w:webHidden/>
              </w:rPr>
              <w:t>96</w:t>
            </w:r>
            <w:r w:rsidR="0037345C">
              <w:rPr>
                <w:noProof/>
                <w:webHidden/>
              </w:rPr>
              <w:fldChar w:fldCharType="end"/>
            </w:r>
          </w:hyperlink>
        </w:p>
        <w:p w14:paraId="4A663E7D" w14:textId="1A90F9CC"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107" w:history="1">
            <w:r w:rsidR="0037345C" w:rsidRPr="00914621">
              <w:rPr>
                <w:rStyle w:val="Hyperlink"/>
                <w:rFonts w:eastAsiaTheme="majorEastAsia"/>
                <w:noProof/>
              </w:rPr>
              <w:t>7.1.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Publisko finanšu ilgtermiņa attīstības scenārijs</w:t>
            </w:r>
            <w:r w:rsidR="0037345C">
              <w:rPr>
                <w:noProof/>
                <w:webHidden/>
              </w:rPr>
              <w:tab/>
            </w:r>
            <w:r w:rsidR="0037345C">
              <w:rPr>
                <w:noProof/>
                <w:webHidden/>
              </w:rPr>
              <w:fldChar w:fldCharType="begin"/>
            </w:r>
            <w:r w:rsidR="0037345C">
              <w:rPr>
                <w:noProof/>
                <w:webHidden/>
              </w:rPr>
              <w:instrText xml:space="preserve"> PAGEREF _Toc479331107 \h </w:instrText>
            </w:r>
            <w:r w:rsidR="0037345C">
              <w:rPr>
                <w:noProof/>
                <w:webHidden/>
              </w:rPr>
            </w:r>
            <w:r w:rsidR="0037345C">
              <w:rPr>
                <w:noProof/>
                <w:webHidden/>
              </w:rPr>
              <w:fldChar w:fldCharType="separate"/>
            </w:r>
            <w:r w:rsidR="0006534D">
              <w:rPr>
                <w:noProof/>
                <w:webHidden/>
              </w:rPr>
              <w:t>96</w:t>
            </w:r>
            <w:r w:rsidR="0037345C">
              <w:rPr>
                <w:noProof/>
                <w:webHidden/>
              </w:rPr>
              <w:fldChar w:fldCharType="end"/>
            </w:r>
          </w:hyperlink>
        </w:p>
        <w:p w14:paraId="4F781900" w14:textId="12A4C871"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108" w:history="1">
            <w:r w:rsidR="0037345C" w:rsidRPr="00914621">
              <w:rPr>
                <w:rStyle w:val="Hyperlink"/>
                <w:rFonts w:eastAsiaTheme="majorEastAsia"/>
                <w:noProof/>
              </w:rPr>
              <w:t>7.2.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Valsts sniegtie galvojumi</w:t>
            </w:r>
            <w:r w:rsidR="0037345C">
              <w:rPr>
                <w:noProof/>
                <w:webHidden/>
              </w:rPr>
              <w:tab/>
            </w:r>
            <w:r w:rsidR="0037345C">
              <w:rPr>
                <w:noProof/>
                <w:webHidden/>
              </w:rPr>
              <w:fldChar w:fldCharType="begin"/>
            </w:r>
            <w:r w:rsidR="0037345C">
              <w:rPr>
                <w:noProof/>
                <w:webHidden/>
              </w:rPr>
              <w:instrText xml:space="preserve"> PAGEREF _Toc479331108 \h </w:instrText>
            </w:r>
            <w:r w:rsidR="0037345C">
              <w:rPr>
                <w:noProof/>
                <w:webHidden/>
              </w:rPr>
            </w:r>
            <w:r w:rsidR="0037345C">
              <w:rPr>
                <w:noProof/>
                <w:webHidden/>
              </w:rPr>
              <w:fldChar w:fldCharType="separate"/>
            </w:r>
            <w:r w:rsidR="0006534D">
              <w:rPr>
                <w:noProof/>
                <w:webHidden/>
              </w:rPr>
              <w:t>101</w:t>
            </w:r>
            <w:r w:rsidR="0037345C">
              <w:rPr>
                <w:noProof/>
                <w:webHidden/>
              </w:rPr>
              <w:fldChar w:fldCharType="end"/>
            </w:r>
          </w:hyperlink>
        </w:p>
        <w:p w14:paraId="4D63FBCD" w14:textId="5DA3B298" w:rsidR="0037345C" w:rsidRDefault="00C4725E">
          <w:pPr>
            <w:pStyle w:val="TOC1"/>
            <w:rPr>
              <w:rFonts w:asciiTheme="minorHAnsi" w:eastAsiaTheme="minorEastAsia" w:hAnsiTheme="minorHAnsi" w:cstheme="minorBidi"/>
              <w:noProof/>
              <w:sz w:val="22"/>
              <w:szCs w:val="22"/>
              <w:lang w:eastAsia="lv-LV"/>
            </w:rPr>
          </w:pPr>
          <w:hyperlink w:anchor="_Toc479331109" w:history="1">
            <w:r w:rsidR="0037345C" w:rsidRPr="00914621">
              <w:rPr>
                <w:rStyle w:val="Hyperlink"/>
                <w:rFonts w:eastAsiaTheme="majorEastAsia"/>
                <w:noProof/>
              </w:rPr>
              <w:t>8.</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Valsts finanšu institucionālās iezīmes</w:t>
            </w:r>
            <w:r w:rsidR="0037345C">
              <w:rPr>
                <w:noProof/>
                <w:webHidden/>
              </w:rPr>
              <w:tab/>
            </w:r>
            <w:r w:rsidR="0037345C">
              <w:rPr>
                <w:noProof/>
                <w:webHidden/>
              </w:rPr>
              <w:fldChar w:fldCharType="begin"/>
            </w:r>
            <w:r w:rsidR="0037345C">
              <w:rPr>
                <w:noProof/>
                <w:webHidden/>
              </w:rPr>
              <w:instrText xml:space="preserve"> PAGEREF _Toc479331109 \h </w:instrText>
            </w:r>
            <w:r w:rsidR="0037345C">
              <w:rPr>
                <w:noProof/>
                <w:webHidden/>
              </w:rPr>
            </w:r>
            <w:r w:rsidR="0037345C">
              <w:rPr>
                <w:noProof/>
                <w:webHidden/>
              </w:rPr>
              <w:fldChar w:fldCharType="separate"/>
            </w:r>
            <w:r w:rsidR="0006534D">
              <w:rPr>
                <w:noProof/>
                <w:webHidden/>
              </w:rPr>
              <w:t>102</w:t>
            </w:r>
            <w:r w:rsidR="0037345C">
              <w:rPr>
                <w:noProof/>
                <w:webHidden/>
              </w:rPr>
              <w:fldChar w:fldCharType="end"/>
            </w:r>
          </w:hyperlink>
        </w:p>
        <w:p w14:paraId="0FBFC968" w14:textId="700DC227"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110" w:history="1">
            <w:r w:rsidR="0037345C" w:rsidRPr="00914621">
              <w:rPr>
                <w:rStyle w:val="Hyperlink"/>
                <w:rFonts w:eastAsiaTheme="majorEastAsia"/>
                <w:noProof/>
              </w:rPr>
              <w:t>8.1.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Valsts budžeta noteikumu ieviešana un citas institucionālās attīstības attiecībā uz valsts finansēm</w:t>
            </w:r>
            <w:r w:rsidR="0037345C">
              <w:rPr>
                <w:noProof/>
                <w:webHidden/>
              </w:rPr>
              <w:tab/>
            </w:r>
            <w:r w:rsidR="0037345C">
              <w:rPr>
                <w:noProof/>
                <w:webHidden/>
              </w:rPr>
              <w:fldChar w:fldCharType="begin"/>
            </w:r>
            <w:r w:rsidR="0037345C">
              <w:rPr>
                <w:noProof/>
                <w:webHidden/>
              </w:rPr>
              <w:instrText xml:space="preserve"> PAGEREF _Toc479331110 \h </w:instrText>
            </w:r>
            <w:r w:rsidR="0037345C">
              <w:rPr>
                <w:noProof/>
                <w:webHidden/>
              </w:rPr>
            </w:r>
            <w:r w:rsidR="0037345C">
              <w:rPr>
                <w:noProof/>
                <w:webHidden/>
              </w:rPr>
              <w:fldChar w:fldCharType="separate"/>
            </w:r>
            <w:r w:rsidR="0006534D">
              <w:rPr>
                <w:noProof/>
                <w:webHidden/>
              </w:rPr>
              <w:t>102</w:t>
            </w:r>
            <w:r w:rsidR="0037345C">
              <w:rPr>
                <w:noProof/>
                <w:webHidden/>
              </w:rPr>
              <w:fldChar w:fldCharType="end"/>
            </w:r>
          </w:hyperlink>
        </w:p>
        <w:p w14:paraId="4B9E5DC4" w14:textId="1A8A009C"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111" w:history="1">
            <w:r w:rsidR="0037345C" w:rsidRPr="00914621">
              <w:rPr>
                <w:rStyle w:val="Hyperlink"/>
                <w:rFonts w:eastAsiaTheme="majorEastAsia"/>
                <w:noProof/>
              </w:rPr>
              <w:t>8.2.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Vidēja termiņa budžeta plānošana</w:t>
            </w:r>
            <w:r w:rsidR="0037345C">
              <w:rPr>
                <w:noProof/>
                <w:webHidden/>
              </w:rPr>
              <w:tab/>
            </w:r>
            <w:r w:rsidR="0037345C">
              <w:rPr>
                <w:noProof/>
                <w:webHidden/>
              </w:rPr>
              <w:fldChar w:fldCharType="begin"/>
            </w:r>
            <w:r w:rsidR="0037345C">
              <w:rPr>
                <w:noProof/>
                <w:webHidden/>
              </w:rPr>
              <w:instrText xml:space="preserve"> PAGEREF _Toc479331111 \h </w:instrText>
            </w:r>
            <w:r w:rsidR="0037345C">
              <w:rPr>
                <w:noProof/>
                <w:webHidden/>
              </w:rPr>
            </w:r>
            <w:r w:rsidR="0037345C">
              <w:rPr>
                <w:noProof/>
                <w:webHidden/>
              </w:rPr>
              <w:fldChar w:fldCharType="separate"/>
            </w:r>
            <w:r w:rsidR="0006534D">
              <w:rPr>
                <w:noProof/>
                <w:webHidden/>
              </w:rPr>
              <w:t>102</w:t>
            </w:r>
            <w:r w:rsidR="0037345C">
              <w:rPr>
                <w:noProof/>
                <w:webHidden/>
              </w:rPr>
              <w:fldChar w:fldCharType="end"/>
            </w:r>
          </w:hyperlink>
        </w:p>
        <w:p w14:paraId="158010E2" w14:textId="0E70BA16" w:rsidR="0037345C" w:rsidRDefault="00C4725E">
          <w:pPr>
            <w:pStyle w:val="TOC2"/>
            <w:tabs>
              <w:tab w:val="left" w:pos="880"/>
            </w:tabs>
            <w:rPr>
              <w:rFonts w:asciiTheme="minorHAnsi" w:eastAsiaTheme="minorEastAsia" w:hAnsiTheme="minorHAnsi" w:cstheme="minorBidi"/>
              <w:noProof/>
              <w:sz w:val="22"/>
              <w:szCs w:val="22"/>
              <w:lang w:eastAsia="lv-LV"/>
            </w:rPr>
          </w:pPr>
          <w:hyperlink w:anchor="_Toc479331112" w:history="1">
            <w:r w:rsidR="0037345C" w:rsidRPr="00914621">
              <w:rPr>
                <w:rStyle w:val="Hyperlink"/>
                <w:rFonts w:eastAsiaTheme="majorEastAsia"/>
                <w:noProof/>
              </w:rPr>
              <w:t>8.3.</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Budžeta procedūras, t.sk. valsts finanšu statistikas pārvalde</w:t>
            </w:r>
            <w:r w:rsidR="0037345C">
              <w:rPr>
                <w:noProof/>
                <w:webHidden/>
              </w:rPr>
              <w:tab/>
            </w:r>
            <w:r w:rsidR="0037345C">
              <w:rPr>
                <w:noProof/>
                <w:webHidden/>
              </w:rPr>
              <w:fldChar w:fldCharType="begin"/>
            </w:r>
            <w:r w:rsidR="0037345C">
              <w:rPr>
                <w:noProof/>
                <w:webHidden/>
              </w:rPr>
              <w:instrText xml:space="preserve"> PAGEREF _Toc479331112 \h </w:instrText>
            </w:r>
            <w:r w:rsidR="0037345C">
              <w:rPr>
                <w:noProof/>
                <w:webHidden/>
              </w:rPr>
            </w:r>
            <w:r w:rsidR="0037345C">
              <w:rPr>
                <w:noProof/>
                <w:webHidden/>
              </w:rPr>
              <w:fldChar w:fldCharType="separate"/>
            </w:r>
            <w:r w:rsidR="0006534D">
              <w:rPr>
                <w:noProof/>
                <w:webHidden/>
              </w:rPr>
              <w:t>103</w:t>
            </w:r>
            <w:r w:rsidR="0037345C">
              <w:rPr>
                <w:noProof/>
                <w:webHidden/>
              </w:rPr>
              <w:fldChar w:fldCharType="end"/>
            </w:r>
          </w:hyperlink>
        </w:p>
        <w:p w14:paraId="6D14580F" w14:textId="273D4784" w:rsidR="0037345C" w:rsidRDefault="00C4725E">
          <w:pPr>
            <w:pStyle w:val="TOC3"/>
            <w:tabs>
              <w:tab w:val="left" w:pos="1809"/>
            </w:tabs>
            <w:rPr>
              <w:rFonts w:asciiTheme="minorHAnsi" w:eastAsiaTheme="minorEastAsia" w:hAnsiTheme="minorHAnsi" w:cstheme="minorBidi"/>
              <w:noProof/>
              <w:sz w:val="22"/>
              <w:szCs w:val="22"/>
              <w:lang w:eastAsia="lv-LV"/>
            </w:rPr>
          </w:pPr>
          <w:hyperlink w:anchor="_Toc479331113" w:history="1">
            <w:r w:rsidR="0037345C" w:rsidRPr="00914621">
              <w:rPr>
                <w:rStyle w:val="Hyperlink"/>
                <w:rFonts w:eastAsiaTheme="majorEastAsia"/>
                <w:noProof/>
              </w:rPr>
              <w:t>8.3.1.</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Budžeta procedūras</w:t>
            </w:r>
            <w:r w:rsidR="0037345C">
              <w:rPr>
                <w:noProof/>
                <w:webHidden/>
              </w:rPr>
              <w:tab/>
            </w:r>
            <w:r w:rsidR="0037345C">
              <w:rPr>
                <w:noProof/>
                <w:webHidden/>
              </w:rPr>
              <w:fldChar w:fldCharType="begin"/>
            </w:r>
            <w:r w:rsidR="0037345C">
              <w:rPr>
                <w:noProof/>
                <w:webHidden/>
              </w:rPr>
              <w:instrText xml:space="preserve"> PAGEREF _Toc479331113 \h </w:instrText>
            </w:r>
            <w:r w:rsidR="0037345C">
              <w:rPr>
                <w:noProof/>
                <w:webHidden/>
              </w:rPr>
            </w:r>
            <w:r w:rsidR="0037345C">
              <w:rPr>
                <w:noProof/>
                <w:webHidden/>
              </w:rPr>
              <w:fldChar w:fldCharType="separate"/>
            </w:r>
            <w:r w:rsidR="0006534D">
              <w:rPr>
                <w:noProof/>
                <w:webHidden/>
              </w:rPr>
              <w:t>103</w:t>
            </w:r>
            <w:r w:rsidR="0037345C">
              <w:rPr>
                <w:noProof/>
                <w:webHidden/>
              </w:rPr>
              <w:fldChar w:fldCharType="end"/>
            </w:r>
          </w:hyperlink>
        </w:p>
        <w:p w14:paraId="40832CDD" w14:textId="50124058" w:rsidR="0037345C" w:rsidRDefault="00C4725E">
          <w:pPr>
            <w:pStyle w:val="TOC3"/>
            <w:tabs>
              <w:tab w:val="left" w:pos="1809"/>
            </w:tabs>
            <w:rPr>
              <w:rFonts w:asciiTheme="minorHAnsi" w:eastAsiaTheme="minorEastAsia" w:hAnsiTheme="minorHAnsi" w:cstheme="minorBidi"/>
              <w:noProof/>
              <w:sz w:val="22"/>
              <w:szCs w:val="22"/>
              <w:lang w:eastAsia="lv-LV"/>
            </w:rPr>
          </w:pPr>
          <w:hyperlink w:anchor="_Toc479331114" w:history="1">
            <w:r w:rsidR="0037345C" w:rsidRPr="00914621">
              <w:rPr>
                <w:rStyle w:val="Hyperlink"/>
                <w:rFonts w:eastAsiaTheme="majorEastAsia"/>
                <w:noProof/>
              </w:rPr>
              <w:t>8.3.2.</w:t>
            </w:r>
            <w:r w:rsidR="0037345C">
              <w:rPr>
                <w:rFonts w:asciiTheme="minorHAnsi" w:eastAsiaTheme="minorEastAsia" w:hAnsiTheme="minorHAnsi" w:cstheme="minorBidi"/>
                <w:noProof/>
                <w:sz w:val="22"/>
                <w:szCs w:val="22"/>
                <w:lang w:eastAsia="lv-LV"/>
              </w:rPr>
              <w:tab/>
            </w:r>
            <w:r w:rsidR="0037345C" w:rsidRPr="00914621">
              <w:rPr>
                <w:rStyle w:val="Hyperlink"/>
                <w:rFonts w:eastAsiaTheme="majorEastAsia"/>
                <w:noProof/>
              </w:rPr>
              <w:t>Valsts finanšu statistikas pārvaldība</w:t>
            </w:r>
            <w:r w:rsidR="0037345C">
              <w:rPr>
                <w:noProof/>
                <w:webHidden/>
              </w:rPr>
              <w:tab/>
            </w:r>
            <w:r w:rsidR="0037345C">
              <w:rPr>
                <w:noProof/>
                <w:webHidden/>
              </w:rPr>
              <w:fldChar w:fldCharType="begin"/>
            </w:r>
            <w:r w:rsidR="0037345C">
              <w:rPr>
                <w:noProof/>
                <w:webHidden/>
              </w:rPr>
              <w:instrText xml:space="preserve"> PAGEREF _Toc479331114 \h </w:instrText>
            </w:r>
            <w:r w:rsidR="0037345C">
              <w:rPr>
                <w:noProof/>
                <w:webHidden/>
              </w:rPr>
            </w:r>
            <w:r w:rsidR="0037345C">
              <w:rPr>
                <w:noProof/>
                <w:webHidden/>
              </w:rPr>
              <w:fldChar w:fldCharType="separate"/>
            </w:r>
            <w:r w:rsidR="0006534D">
              <w:rPr>
                <w:noProof/>
                <w:webHidden/>
              </w:rPr>
              <w:t>106</w:t>
            </w:r>
            <w:r w:rsidR="0037345C">
              <w:rPr>
                <w:noProof/>
                <w:webHidden/>
              </w:rPr>
              <w:fldChar w:fldCharType="end"/>
            </w:r>
          </w:hyperlink>
        </w:p>
        <w:p w14:paraId="035CE60B" w14:textId="6A688667" w:rsidR="0037345C" w:rsidRDefault="00C4725E">
          <w:pPr>
            <w:pStyle w:val="TOC1"/>
            <w:rPr>
              <w:rFonts w:asciiTheme="minorHAnsi" w:eastAsiaTheme="minorEastAsia" w:hAnsiTheme="minorHAnsi" w:cstheme="minorBidi"/>
              <w:noProof/>
              <w:sz w:val="22"/>
              <w:szCs w:val="22"/>
              <w:lang w:eastAsia="lv-LV"/>
            </w:rPr>
          </w:pPr>
          <w:hyperlink w:anchor="_Toc479331115" w:history="1">
            <w:r w:rsidR="0037345C" w:rsidRPr="00914621">
              <w:rPr>
                <w:rStyle w:val="Hyperlink"/>
                <w:rFonts w:eastAsiaTheme="majorEastAsia"/>
                <w:noProof/>
              </w:rPr>
              <w:t>Pielikumi</w:t>
            </w:r>
            <w:r w:rsidR="0037345C">
              <w:rPr>
                <w:noProof/>
                <w:webHidden/>
              </w:rPr>
              <w:tab/>
            </w:r>
            <w:r w:rsidR="0037345C">
              <w:rPr>
                <w:noProof/>
                <w:webHidden/>
              </w:rPr>
              <w:fldChar w:fldCharType="begin"/>
            </w:r>
            <w:r w:rsidR="0037345C">
              <w:rPr>
                <w:noProof/>
                <w:webHidden/>
              </w:rPr>
              <w:instrText xml:space="preserve"> PAGEREF _Toc479331115 \h </w:instrText>
            </w:r>
            <w:r w:rsidR="0037345C">
              <w:rPr>
                <w:noProof/>
                <w:webHidden/>
              </w:rPr>
            </w:r>
            <w:r w:rsidR="0037345C">
              <w:rPr>
                <w:noProof/>
                <w:webHidden/>
              </w:rPr>
              <w:fldChar w:fldCharType="separate"/>
            </w:r>
            <w:r w:rsidR="0006534D">
              <w:rPr>
                <w:noProof/>
                <w:webHidden/>
              </w:rPr>
              <w:t>107</w:t>
            </w:r>
            <w:r w:rsidR="0037345C">
              <w:rPr>
                <w:noProof/>
                <w:webHidden/>
              </w:rPr>
              <w:fldChar w:fldCharType="end"/>
            </w:r>
          </w:hyperlink>
        </w:p>
        <w:p w14:paraId="5882CD8C" w14:textId="7B99FA5A" w:rsidR="00551458" w:rsidRDefault="00551458">
          <w:r>
            <w:rPr>
              <w:b/>
              <w:bCs/>
              <w:noProof/>
            </w:rPr>
            <w:fldChar w:fldCharType="end"/>
          </w:r>
        </w:p>
      </w:sdtContent>
    </w:sdt>
    <w:p w14:paraId="2D144ADA" w14:textId="77777777" w:rsidR="00551458" w:rsidRDefault="00551458">
      <w:pPr>
        <w:rPr>
          <w:rFonts w:ascii="Times New Roman" w:hAnsi="Times New Roman" w:cs="Times New Roman"/>
          <w:b/>
          <w:color w:val="000000"/>
          <w:sz w:val="28"/>
          <w:szCs w:val="24"/>
          <w:lang w:eastAsia="lv-LV"/>
        </w:rPr>
      </w:pPr>
    </w:p>
    <w:p w14:paraId="7E88629C" w14:textId="77777777" w:rsidR="00551458" w:rsidRDefault="00551458">
      <w:pPr>
        <w:rPr>
          <w:rFonts w:ascii="Times New Roman" w:hAnsi="Times New Roman" w:cs="Times New Roman"/>
          <w:b/>
          <w:color w:val="000000"/>
          <w:sz w:val="28"/>
          <w:szCs w:val="24"/>
          <w:lang w:eastAsia="lv-LV"/>
        </w:rPr>
      </w:pPr>
      <w:r>
        <w:rPr>
          <w:rFonts w:ascii="Times New Roman" w:hAnsi="Times New Roman" w:cs="Times New Roman"/>
          <w:b/>
          <w:color w:val="000000"/>
          <w:sz w:val="28"/>
          <w:szCs w:val="24"/>
          <w:lang w:eastAsia="lv-LV"/>
        </w:rPr>
        <w:br w:type="page"/>
      </w:r>
    </w:p>
    <w:p w14:paraId="513BFD92" w14:textId="77777777" w:rsidR="003F78CC" w:rsidRPr="00F51615" w:rsidRDefault="003F78CC" w:rsidP="003F78CC">
      <w:pPr>
        <w:tabs>
          <w:tab w:val="left" w:pos="3544"/>
        </w:tabs>
        <w:jc w:val="center"/>
        <w:rPr>
          <w:rFonts w:ascii="Times New Roman" w:hAnsi="Times New Roman" w:cs="Times New Roman"/>
          <w:b/>
          <w:color w:val="000000"/>
          <w:sz w:val="28"/>
          <w:szCs w:val="24"/>
          <w:lang w:eastAsia="lv-LV"/>
        </w:rPr>
      </w:pPr>
      <w:r w:rsidRPr="00F51615">
        <w:rPr>
          <w:rFonts w:ascii="Times New Roman" w:hAnsi="Times New Roman" w:cs="Times New Roman"/>
          <w:b/>
          <w:color w:val="000000"/>
          <w:sz w:val="28"/>
          <w:szCs w:val="24"/>
          <w:lang w:eastAsia="lv-LV"/>
        </w:rPr>
        <w:lastRenderedPageBreak/>
        <w:t>Saīsinājumu apzīmējumi</w:t>
      </w:r>
    </w:p>
    <w:p w14:paraId="057BB078" w14:textId="77777777" w:rsidR="003F78CC" w:rsidRPr="000047C9"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0047C9">
        <w:rPr>
          <w:rFonts w:ascii="Times New Roman" w:hAnsi="Times New Roman" w:cs="Times New Roman"/>
          <w:color w:val="000000"/>
          <w:sz w:val="24"/>
          <w:szCs w:val="24"/>
          <w:lang w:eastAsia="lv-LV"/>
        </w:rPr>
        <w:t>ASV</w:t>
      </w:r>
      <w:r w:rsidRPr="000047C9">
        <w:rPr>
          <w:rFonts w:ascii="Times New Roman" w:hAnsi="Times New Roman" w:cs="Times New Roman"/>
          <w:color w:val="000000"/>
          <w:sz w:val="24"/>
          <w:szCs w:val="24"/>
          <w:lang w:eastAsia="lv-LV"/>
        </w:rPr>
        <w:tab/>
        <w:t>Amerikas Savienotās valstis</w:t>
      </w:r>
    </w:p>
    <w:p w14:paraId="752DAAAE" w14:textId="55D4D41C" w:rsidR="003F78CC" w:rsidRDefault="00CE3B47" w:rsidP="00414267">
      <w:pPr>
        <w:tabs>
          <w:tab w:val="left" w:pos="1276"/>
        </w:tabs>
        <w:spacing w:after="0" w:line="240" w:lineRule="auto"/>
        <w:ind w:left="3544" w:hanging="3544"/>
        <w:jc w:val="both"/>
        <w:rPr>
          <w:rFonts w:ascii="Times New Roman" w:hAnsi="Times New Roman" w:cs="Times New Roman"/>
          <w:sz w:val="24"/>
        </w:rPr>
      </w:pPr>
      <w:r>
        <w:rPr>
          <w:rFonts w:ascii="Times New Roman" w:hAnsi="Times New Roman" w:cs="Times New Roman"/>
          <w:sz w:val="24"/>
        </w:rPr>
        <w:t xml:space="preserve">AWG </w:t>
      </w:r>
      <w:r>
        <w:rPr>
          <w:rFonts w:ascii="Times New Roman" w:hAnsi="Times New Roman" w:cs="Times New Roman"/>
          <w:sz w:val="24"/>
        </w:rPr>
        <w:tab/>
      </w:r>
      <w:r>
        <w:rPr>
          <w:rFonts w:ascii="Times New Roman" w:hAnsi="Times New Roman" w:cs="Times New Roman"/>
          <w:sz w:val="24"/>
        </w:rPr>
        <w:tab/>
      </w:r>
      <w:r w:rsidR="003F78CC" w:rsidRPr="000047C9">
        <w:rPr>
          <w:rFonts w:ascii="Times New Roman" w:hAnsi="Times New Roman" w:cs="Times New Roman"/>
          <w:sz w:val="24"/>
        </w:rPr>
        <w:t>Ekonomikas politikas komitejas Sabiedrības novecošanās un valsts finanšu ilgtspējas darba grupa</w:t>
      </w:r>
    </w:p>
    <w:p w14:paraId="30EB554E" w14:textId="4A264F56" w:rsidR="004E0D45" w:rsidRDefault="00262343" w:rsidP="00414267">
      <w:pPr>
        <w:tabs>
          <w:tab w:val="left" w:pos="1276"/>
        </w:tabs>
        <w:spacing w:after="0" w:line="240" w:lineRule="auto"/>
        <w:ind w:left="3544" w:hanging="3544"/>
        <w:jc w:val="both"/>
        <w:rPr>
          <w:rFonts w:ascii="Times New Roman" w:hAnsi="Times New Roman" w:cs="Times New Roman"/>
          <w:sz w:val="24"/>
        </w:rPr>
      </w:pPr>
      <w:r>
        <w:rPr>
          <w:rFonts w:ascii="Times New Roman" w:hAnsi="Times New Roman" w:cs="Times New Roman"/>
          <w:sz w:val="24"/>
        </w:rPr>
        <w:t>ĀTI</w:t>
      </w:r>
      <w:r>
        <w:rPr>
          <w:rFonts w:ascii="Times New Roman" w:hAnsi="Times New Roman" w:cs="Times New Roman"/>
          <w:sz w:val="24"/>
        </w:rPr>
        <w:tab/>
      </w:r>
      <w:r>
        <w:rPr>
          <w:rFonts w:ascii="Times New Roman" w:hAnsi="Times New Roman" w:cs="Times New Roman"/>
          <w:sz w:val="24"/>
        </w:rPr>
        <w:tab/>
      </w:r>
      <w:r w:rsidR="004E0D45">
        <w:rPr>
          <w:rFonts w:ascii="Times New Roman" w:hAnsi="Times New Roman" w:cs="Times New Roman"/>
          <w:sz w:val="24"/>
        </w:rPr>
        <w:t>Ārvalstu tiešās investīcijas</w:t>
      </w:r>
    </w:p>
    <w:p w14:paraId="73F9D32A" w14:textId="77777777" w:rsidR="003F78CC" w:rsidRDefault="003F78CC" w:rsidP="00414267">
      <w:pPr>
        <w:tabs>
          <w:tab w:val="left" w:pos="3544"/>
        </w:tabs>
        <w:spacing w:after="0" w:line="240" w:lineRule="auto"/>
        <w:jc w:val="both"/>
        <w:rPr>
          <w:rFonts w:ascii="Times New Roman" w:hAnsi="Times New Roman" w:cs="Times New Roman"/>
          <w:color w:val="000000"/>
          <w:sz w:val="24"/>
        </w:rPr>
      </w:pPr>
      <w:r w:rsidRPr="000047C9">
        <w:rPr>
          <w:rFonts w:ascii="Times New Roman" w:hAnsi="Times New Roman" w:cs="Times New Roman"/>
          <w:color w:val="000000"/>
          <w:sz w:val="24"/>
          <w:szCs w:val="24"/>
          <w:lang w:eastAsia="lv-LV"/>
        </w:rPr>
        <w:t xml:space="preserve">CSP </w:t>
      </w:r>
      <w:r w:rsidRPr="000047C9">
        <w:rPr>
          <w:rFonts w:ascii="Times New Roman" w:hAnsi="Times New Roman" w:cs="Times New Roman"/>
          <w:color w:val="000000"/>
          <w:sz w:val="24"/>
          <w:szCs w:val="24"/>
          <w:lang w:eastAsia="lv-LV"/>
        </w:rPr>
        <w:tab/>
      </w:r>
      <w:r w:rsidRPr="000047C9">
        <w:rPr>
          <w:rFonts w:ascii="Times New Roman" w:hAnsi="Times New Roman" w:cs="Times New Roman"/>
          <w:color w:val="000000"/>
          <w:sz w:val="24"/>
        </w:rPr>
        <w:t>Centrālā statistikas pārvalde</w:t>
      </w:r>
    </w:p>
    <w:p w14:paraId="5226D922" w14:textId="77777777" w:rsidR="003F78CC" w:rsidRPr="000047C9"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0047C9">
        <w:rPr>
          <w:rFonts w:ascii="Times New Roman" w:hAnsi="Times New Roman" w:cs="Times New Roman"/>
          <w:color w:val="000000"/>
          <w:sz w:val="24"/>
          <w:szCs w:val="24"/>
          <w:lang w:eastAsia="lv-LV"/>
        </w:rPr>
        <w:t xml:space="preserve">EK </w:t>
      </w:r>
      <w:r w:rsidRPr="000047C9">
        <w:rPr>
          <w:rFonts w:ascii="Times New Roman" w:hAnsi="Times New Roman" w:cs="Times New Roman"/>
          <w:color w:val="000000"/>
          <w:sz w:val="24"/>
          <w:szCs w:val="24"/>
          <w:lang w:eastAsia="lv-LV"/>
        </w:rPr>
        <w:tab/>
        <w:t>Eiropas Komisija</w:t>
      </w:r>
    </w:p>
    <w:p w14:paraId="3764D654" w14:textId="4CEE893C" w:rsidR="003F78CC" w:rsidRPr="000047C9" w:rsidRDefault="00E42D7B" w:rsidP="00414267">
      <w:pPr>
        <w:tabs>
          <w:tab w:val="left" w:pos="3544"/>
        </w:tabs>
        <w:spacing w:after="0" w:line="24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EKS </w:t>
      </w:r>
      <w:r>
        <w:rPr>
          <w:rFonts w:ascii="Times New Roman" w:hAnsi="Times New Roman" w:cs="Times New Roman"/>
          <w:color w:val="000000"/>
          <w:sz w:val="24"/>
          <w:szCs w:val="24"/>
          <w:lang w:eastAsia="lv-LV"/>
        </w:rPr>
        <w:tab/>
        <w:t>Eiropas K</w:t>
      </w:r>
      <w:r w:rsidR="003F78CC" w:rsidRPr="000047C9">
        <w:rPr>
          <w:rFonts w:ascii="Times New Roman" w:hAnsi="Times New Roman" w:cs="Times New Roman"/>
          <w:color w:val="000000"/>
          <w:sz w:val="24"/>
          <w:szCs w:val="24"/>
          <w:lang w:eastAsia="lv-LV"/>
        </w:rPr>
        <w:t>ontu sistēma</w:t>
      </w:r>
    </w:p>
    <w:p w14:paraId="327F1A5A" w14:textId="77777777" w:rsidR="003F78CC" w:rsidRPr="000047C9"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0047C9">
        <w:rPr>
          <w:rFonts w:ascii="Times New Roman" w:hAnsi="Times New Roman" w:cs="Times New Roman"/>
          <w:color w:val="000000"/>
          <w:sz w:val="24"/>
          <w:szCs w:val="24"/>
          <w:lang w:eastAsia="lv-LV"/>
        </w:rPr>
        <w:t xml:space="preserve">ES </w:t>
      </w:r>
      <w:r w:rsidRPr="000047C9">
        <w:rPr>
          <w:rFonts w:ascii="Times New Roman" w:hAnsi="Times New Roman" w:cs="Times New Roman"/>
          <w:color w:val="000000"/>
          <w:sz w:val="24"/>
          <w:szCs w:val="24"/>
          <w:lang w:eastAsia="lv-LV"/>
        </w:rPr>
        <w:tab/>
        <w:t>Eiropas Savienība</w:t>
      </w:r>
    </w:p>
    <w:p w14:paraId="5122AD42" w14:textId="77777777" w:rsidR="003F78CC" w:rsidRPr="000047C9"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0047C9">
        <w:rPr>
          <w:rFonts w:ascii="Times New Roman" w:hAnsi="Times New Roman" w:cs="Times New Roman"/>
          <w:color w:val="000000"/>
          <w:sz w:val="24"/>
          <w:szCs w:val="24"/>
          <w:lang w:eastAsia="lv-LV"/>
        </w:rPr>
        <w:t xml:space="preserve">FM </w:t>
      </w:r>
      <w:r w:rsidRPr="000047C9">
        <w:rPr>
          <w:rFonts w:ascii="Times New Roman" w:hAnsi="Times New Roman" w:cs="Times New Roman"/>
          <w:color w:val="000000"/>
          <w:sz w:val="24"/>
          <w:szCs w:val="24"/>
          <w:lang w:eastAsia="lv-LV"/>
        </w:rPr>
        <w:tab/>
      </w:r>
      <w:r w:rsidRPr="000047C9">
        <w:rPr>
          <w:rFonts w:ascii="Times New Roman" w:hAnsi="Times New Roman" w:cs="Times New Roman"/>
          <w:sz w:val="24"/>
        </w:rPr>
        <w:t>Finanšu ministrija</w:t>
      </w:r>
    </w:p>
    <w:p w14:paraId="3A5DB084" w14:textId="77777777" w:rsidR="003F78CC" w:rsidRPr="000047C9"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0047C9">
        <w:rPr>
          <w:rFonts w:ascii="Times New Roman" w:hAnsi="Times New Roman" w:cs="Times New Roman"/>
          <w:color w:val="000000"/>
          <w:sz w:val="24"/>
          <w:szCs w:val="24"/>
          <w:lang w:eastAsia="lv-LV"/>
        </w:rPr>
        <w:t xml:space="preserve">FDL </w:t>
      </w:r>
      <w:r w:rsidRPr="000047C9">
        <w:rPr>
          <w:rFonts w:ascii="Times New Roman" w:hAnsi="Times New Roman" w:cs="Times New Roman"/>
          <w:color w:val="000000"/>
          <w:sz w:val="24"/>
          <w:szCs w:val="24"/>
          <w:lang w:eastAsia="lv-LV"/>
        </w:rPr>
        <w:tab/>
        <w:t>Fiskālās disciplīnas likums</w:t>
      </w:r>
    </w:p>
    <w:p w14:paraId="3749953D" w14:textId="77777777" w:rsidR="003F78CC" w:rsidRPr="000047C9" w:rsidRDefault="003F78CC" w:rsidP="00414267">
      <w:pPr>
        <w:spacing w:after="0" w:line="240" w:lineRule="auto"/>
        <w:ind w:left="3544" w:hanging="3544"/>
        <w:jc w:val="both"/>
        <w:rPr>
          <w:rFonts w:ascii="Times New Roman" w:hAnsi="Times New Roman" w:cs="Times New Roman"/>
          <w:color w:val="000000" w:themeColor="text1"/>
          <w:sz w:val="24"/>
        </w:rPr>
      </w:pPr>
      <w:r w:rsidRPr="000047C9">
        <w:rPr>
          <w:rFonts w:ascii="Times New Roman" w:hAnsi="Times New Roman" w:cs="Times New Roman"/>
          <w:color w:val="000000" w:themeColor="text1"/>
          <w:sz w:val="24"/>
        </w:rPr>
        <w:t xml:space="preserve">Ietvara likums </w:t>
      </w:r>
      <w:r w:rsidRPr="000047C9">
        <w:rPr>
          <w:rFonts w:ascii="Times New Roman" w:hAnsi="Times New Roman" w:cs="Times New Roman"/>
          <w:color w:val="000000" w:themeColor="text1"/>
          <w:sz w:val="24"/>
        </w:rPr>
        <w:tab/>
        <w:t>Vidēja termiņa budžeta ietvara likums</w:t>
      </w:r>
    </w:p>
    <w:p w14:paraId="1D56EB3C" w14:textId="77777777" w:rsidR="003F78CC" w:rsidRPr="00E829CD"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E829CD">
        <w:rPr>
          <w:rFonts w:ascii="Times New Roman" w:hAnsi="Times New Roman" w:cs="Times New Roman"/>
          <w:color w:val="000000"/>
          <w:sz w:val="24"/>
          <w:szCs w:val="24"/>
          <w:lang w:eastAsia="lv-LV"/>
        </w:rPr>
        <w:t>IIN</w:t>
      </w:r>
      <w:r w:rsidRPr="00E829CD">
        <w:rPr>
          <w:rFonts w:ascii="Times New Roman" w:hAnsi="Times New Roman" w:cs="Times New Roman"/>
          <w:color w:val="000000"/>
          <w:sz w:val="24"/>
          <w:szCs w:val="24"/>
          <w:lang w:eastAsia="lv-LV"/>
        </w:rPr>
        <w:tab/>
        <w:t>Iedzīvotāju ienākumu nodoklis</w:t>
      </w:r>
    </w:p>
    <w:p w14:paraId="2A8B15E5" w14:textId="77777777" w:rsidR="003F78CC" w:rsidRPr="00E829CD"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E829CD">
        <w:rPr>
          <w:rFonts w:ascii="Times New Roman" w:hAnsi="Times New Roman" w:cs="Times New Roman"/>
          <w:color w:val="000000"/>
          <w:sz w:val="24"/>
          <w:szCs w:val="24"/>
          <w:lang w:eastAsia="lv-LV"/>
        </w:rPr>
        <w:t xml:space="preserve">IKP </w:t>
      </w:r>
      <w:r w:rsidRPr="00E829CD">
        <w:rPr>
          <w:rFonts w:ascii="Times New Roman" w:hAnsi="Times New Roman" w:cs="Times New Roman"/>
          <w:color w:val="000000"/>
          <w:sz w:val="24"/>
          <w:szCs w:val="24"/>
          <w:lang w:eastAsia="lv-LV"/>
        </w:rPr>
        <w:tab/>
        <w:t>Iekšzemes kopprodukts</w:t>
      </w:r>
    </w:p>
    <w:p w14:paraId="34D3B567" w14:textId="77777777" w:rsidR="003F78CC" w:rsidRPr="00E829CD"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E829CD">
        <w:rPr>
          <w:rFonts w:ascii="Times New Roman" w:hAnsi="Times New Roman" w:cs="Times New Roman"/>
          <w:sz w:val="24"/>
        </w:rPr>
        <w:t xml:space="preserve">JPI </w:t>
      </w:r>
      <w:r w:rsidRPr="00E829CD">
        <w:rPr>
          <w:rFonts w:ascii="Times New Roman" w:hAnsi="Times New Roman" w:cs="Times New Roman"/>
          <w:sz w:val="24"/>
        </w:rPr>
        <w:tab/>
        <w:t>Jaunās politikas iniciatīvas</w:t>
      </w:r>
    </w:p>
    <w:p w14:paraId="7C47DA85" w14:textId="77777777" w:rsidR="003F78CC" w:rsidRPr="00E829CD"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E829CD">
        <w:rPr>
          <w:rFonts w:ascii="Times New Roman" w:hAnsi="Times New Roman" w:cs="Times New Roman"/>
          <w:color w:val="000000"/>
          <w:sz w:val="24"/>
          <w:szCs w:val="24"/>
          <w:lang w:eastAsia="lv-LV"/>
        </w:rPr>
        <w:t xml:space="preserve">LPS </w:t>
      </w:r>
      <w:r w:rsidRPr="00E829CD">
        <w:rPr>
          <w:rFonts w:ascii="Times New Roman" w:hAnsi="Times New Roman" w:cs="Times New Roman"/>
          <w:color w:val="000000"/>
          <w:sz w:val="24"/>
          <w:szCs w:val="24"/>
          <w:lang w:eastAsia="lv-LV"/>
        </w:rPr>
        <w:tab/>
        <w:t>Latvijas Pašvaldību savienība</w:t>
      </w:r>
    </w:p>
    <w:p w14:paraId="6B9707F1" w14:textId="77777777" w:rsidR="003F78CC" w:rsidRPr="00E829CD"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E829CD">
        <w:rPr>
          <w:rFonts w:ascii="Times New Roman" w:hAnsi="Times New Roman" w:cs="Times New Roman"/>
          <w:sz w:val="24"/>
          <w:szCs w:val="24"/>
        </w:rPr>
        <w:t xml:space="preserve">LBFV </w:t>
      </w:r>
      <w:r w:rsidRPr="00E829CD">
        <w:rPr>
          <w:rFonts w:ascii="Times New Roman" w:hAnsi="Times New Roman" w:cs="Times New Roman"/>
          <w:sz w:val="24"/>
          <w:szCs w:val="24"/>
        </w:rPr>
        <w:tab/>
        <w:t>Likums par budžetu un finanšu vadību</w:t>
      </w:r>
    </w:p>
    <w:p w14:paraId="1C188A7C" w14:textId="77777777" w:rsidR="003F78CC" w:rsidRPr="00E829CD"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E829CD">
        <w:rPr>
          <w:rFonts w:ascii="Times New Roman" w:hAnsi="Times New Roman" w:cs="Times New Roman"/>
          <w:color w:val="000000"/>
          <w:sz w:val="24"/>
          <w:szCs w:val="24"/>
          <w:lang w:eastAsia="lv-LV"/>
        </w:rPr>
        <w:t xml:space="preserve">MK </w:t>
      </w:r>
      <w:r w:rsidRPr="00E829CD">
        <w:rPr>
          <w:rFonts w:ascii="Times New Roman" w:hAnsi="Times New Roman" w:cs="Times New Roman"/>
          <w:color w:val="000000"/>
          <w:sz w:val="24"/>
          <w:szCs w:val="24"/>
          <w:lang w:eastAsia="lv-LV"/>
        </w:rPr>
        <w:tab/>
        <w:t>Ministru kabinets</w:t>
      </w:r>
    </w:p>
    <w:p w14:paraId="74857A1B" w14:textId="60DA0DE9" w:rsidR="003F78CC" w:rsidRPr="00E829CD" w:rsidRDefault="003F78CC" w:rsidP="00414267">
      <w:pPr>
        <w:tabs>
          <w:tab w:val="left" w:pos="3570"/>
        </w:tabs>
        <w:spacing w:after="0" w:line="240" w:lineRule="auto"/>
        <w:jc w:val="both"/>
        <w:rPr>
          <w:rFonts w:ascii="Times New Roman" w:hAnsi="Times New Roman" w:cs="Times New Roman"/>
          <w:color w:val="000000"/>
          <w:sz w:val="24"/>
          <w:szCs w:val="24"/>
          <w:lang w:eastAsia="lv-LV"/>
        </w:rPr>
      </w:pPr>
      <w:r w:rsidRPr="00E829CD">
        <w:rPr>
          <w:rFonts w:ascii="Times New Roman" w:hAnsi="Times New Roman" w:cs="Times New Roman"/>
          <w:color w:val="000000"/>
          <w:sz w:val="24"/>
          <w:szCs w:val="24"/>
          <w:lang w:eastAsia="lv-LV"/>
        </w:rPr>
        <w:t>NAP</w:t>
      </w:r>
      <w:r w:rsidR="00CE3B47" w:rsidRPr="00E829CD">
        <w:rPr>
          <w:rFonts w:ascii="Times New Roman" w:hAnsi="Times New Roman" w:cs="Times New Roman"/>
          <w:color w:val="000000"/>
          <w:sz w:val="24"/>
          <w:szCs w:val="24"/>
          <w:lang w:eastAsia="lv-LV"/>
        </w:rPr>
        <w:t xml:space="preserve"> 2020</w:t>
      </w:r>
      <w:r w:rsidRPr="00E829CD">
        <w:rPr>
          <w:rFonts w:ascii="Times New Roman" w:hAnsi="Times New Roman" w:cs="Times New Roman"/>
          <w:color w:val="000000"/>
          <w:sz w:val="24"/>
          <w:szCs w:val="24"/>
          <w:lang w:eastAsia="lv-LV"/>
        </w:rPr>
        <w:tab/>
        <w:t xml:space="preserve">Nacionālās attīstības plāns </w:t>
      </w:r>
      <w:r w:rsidRPr="00E829CD">
        <w:rPr>
          <w:rFonts w:ascii="Times New Roman" w:hAnsi="Times New Roman" w:cs="Times New Roman"/>
          <w:sz w:val="24"/>
          <w:szCs w:val="24"/>
        </w:rPr>
        <w:t>2014.-2020.gadam</w:t>
      </w:r>
    </w:p>
    <w:p w14:paraId="036A277F" w14:textId="77777777" w:rsidR="003F78CC" w:rsidRPr="00E829CD" w:rsidRDefault="003F78CC" w:rsidP="00414267">
      <w:pPr>
        <w:tabs>
          <w:tab w:val="left" w:pos="3544"/>
        </w:tabs>
        <w:spacing w:after="0" w:line="240" w:lineRule="auto"/>
        <w:ind w:left="3537" w:hanging="3537"/>
        <w:jc w:val="both"/>
        <w:rPr>
          <w:rFonts w:ascii="Times New Roman" w:hAnsi="Times New Roman" w:cs="Times New Roman"/>
          <w:color w:val="000000"/>
          <w:sz w:val="24"/>
          <w:szCs w:val="24"/>
          <w:lang w:eastAsia="lv-LV"/>
        </w:rPr>
      </w:pPr>
      <w:r w:rsidRPr="00E829CD">
        <w:rPr>
          <w:rFonts w:ascii="Times New Roman" w:hAnsi="Times New Roman" w:cs="Times New Roman"/>
          <w:color w:val="000000"/>
          <w:sz w:val="24"/>
          <w:szCs w:val="24"/>
          <w:lang w:eastAsia="lv-LV"/>
        </w:rPr>
        <w:t xml:space="preserve">NRP </w:t>
      </w:r>
      <w:r w:rsidRPr="00E829CD">
        <w:rPr>
          <w:rFonts w:ascii="Times New Roman" w:hAnsi="Times New Roman" w:cs="Times New Roman"/>
          <w:color w:val="000000"/>
          <w:sz w:val="24"/>
          <w:szCs w:val="24"/>
          <w:lang w:eastAsia="lv-LV"/>
        </w:rPr>
        <w:tab/>
      </w:r>
      <w:r w:rsidRPr="00E829CD">
        <w:rPr>
          <w:rFonts w:ascii="Times New Roman" w:hAnsi="Times New Roman" w:cs="Times New Roman"/>
          <w:color w:val="000000"/>
          <w:sz w:val="24"/>
          <w:szCs w:val="24"/>
          <w:lang w:eastAsia="lv-LV"/>
        </w:rPr>
        <w:tab/>
        <w:t>Latvijas nacionālā reformu programma „Eiropa 2020” stratēģijas īstenošanai</w:t>
      </w:r>
    </w:p>
    <w:p w14:paraId="598F18F1" w14:textId="2D7183B0" w:rsidR="004E0D45" w:rsidRPr="00E829CD" w:rsidRDefault="004E0D45" w:rsidP="00414267">
      <w:pPr>
        <w:tabs>
          <w:tab w:val="left" w:pos="3544"/>
        </w:tabs>
        <w:spacing w:after="0" w:line="240" w:lineRule="auto"/>
        <w:ind w:left="3537" w:hanging="3537"/>
        <w:jc w:val="both"/>
        <w:rPr>
          <w:rFonts w:ascii="Times New Roman" w:hAnsi="Times New Roman" w:cs="Times New Roman"/>
          <w:sz w:val="24"/>
          <w:szCs w:val="24"/>
        </w:rPr>
      </w:pPr>
      <w:r w:rsidRPr="00E829CD">
        <w:rPr>
          <w:rFonts w:ascii="Times New Roman" w:hAnsi="Times New Roman" w:cs="Times New Roman"/>
          <w:color w:val="000000"/>
          <w:sz w:val="24"/>
          <w:szCs w:val="24"/>
          <w:lang w:eastAsia="lv-LV"/>
        </w:rPr>
        <w:t>NVS</w:t>
      </w:r>
      <w:r w:rsidRPr="00E829CD">
        <w:rPr>
          <w:rFonts w:ascii="Times New Roman" w:hAnsi="Times New Roman" w:cs="Times New Roman"/>
          <w:color w:val="000000"/>
          <w:sz w:val="24"/>
          <w:szCs w:val="24"/>
          <w:lang w:eastAsia="lv-LV"/>
        </w:rPr>
        <w:tab/>
        <w:t>Nacionālo Valstu Sadraudzība</w:t>
      </w:r>
    </w:p>
    <w:p w14:paraId="7DF3ABB6" w14:textId="497E02D3" w:rsidR="004D308F" w:rsidRPr="00E829CD" w:rsidRDefault="004D308F" w:rsidP="00414267">
      <w:pPr>
        <w:tabs>
          <w:tab w:val="left" w:pos="3585"/>
        </w:tabs>
        <w:spacing w:after="0" w:line="240" w:lineRule="auto"/>
        <w:ind w:left="3537" w:hanging="3537"/>
        <w:jc w:val="both"/>
        <w:rPr>
          <w:rFonts w:ascii="Times New Roman" w:hAnsi="Times New Roman" w:cs="Times New Roman"/>
          <w:sz w:val="24"/>
          <w:szCs w:val="24"/>
        </w:rPr>
      </w:pPr>
      <w:r w:rsidRPr="00E829CD">
        <w:rPr>
          <w:rFonts w:ascii="Times New Roman" w:hAnsi="Times New Roman" w:cs="Times New Roman"/>
          <w:sz w:val="24"/>
          <w:szCs w:val="24"/>
        </w:rPr>
        <w:t>OECD</w:t>
      </w:r>
      <w:r w:rsidRPr="00E829CD">
        <w:rPr>
          <w:rFonts w:ascii="Times New Roman" w:hAnsi="Times New Roman" w:cs="Times New Roman"/>
          <w:sz w:val="24"/>
          <w:szCs w:val="24"/>
        </w:rPr>
        <w:tab/>
      </w:r>
      <w:r w:rsidRPr="00E829CD">
        <w:rPr>
          <w:rFonts w:ascii="Times New Roman" w:hAnsi="Times New Roman" w:cs="Times New Roman"/>
          <w:color w:val="000000"/>
          <w:sz w:val="24"/>
          <w:szCs w:val="24"/>
          <w:lang w:eastAsia="lv-LV"/>
        </w:rPr>
        <w:t xml:space="preserve">Ekonomiskās sadarbības un attīstības organizācija </w:t>
      </w:r>
    </w:p>
    <w:p w14:paraId="19FA0E73" w14:textId="492DD290" w:rsidR="004D308F" w:rsidRPr="00E829CD" w:rsidRDefault="004D308F" w:rsidP="00414267">
      <w:pPr>
        <w:tabs>
          <w:tab w:val="left" w:pos="3585"/>
        </w:tabs>
        <w:spacing w:after="0" w:line="240" w:lineRule="auto"/>
        <w:jc w:val="both"/>
        <w:rPr>
          <w:rFonts w:ascii="Times New Roman" w:hAnsi="Times New Roman" w:cs="Times New Roman"/>
          <w:sz w:val="24"/>
          <w:szCs w:val="24"/>
        </w:rPr>
      </w:pPr>
      <w:r w:rsidRPr="00E829CD">
        <w:rPr>
          <w:rFonts w:ascii="Times New Roman" w:hAnsi="Times New Roman" w:cs="Times New Roman"/>
          <w:sz w:val="24"/>
          <w:szCs w:val="24"/>
        </w:rPr>
        <w:t>PCI</w:t>
      </w:r>
      <w:r w:rsidRPr="00E829CD">
        <w:rPr>
          <w:rFonts w:ascii="Times New Roman" w:hAnsi="Times New Roman" w:cs="Times New Roman"/>
          <w:sz w:val="24"/>
          <w:szCs w:val="24"/>
        </w:rPr>
        <w:tab/>
        <w:t>Patēriņa cenu indekss</w:t>
      </w:r>
    </w:p>
    <w:p w14:paraId="7DDCF800" w14:textId="77777777" w:rsidR="003F78CC" w:rsidRPr="00E829CD" w:rsidRDefault="003F78CC" w:rsidP="00414267">
      <w:pPr>
        <w:tabs>
          <w:tab w:val="left" w:pos="3585"/>
        </w:tabs>
        <w:spacing w:after="0" w:line="240" w:lineRule="auto"/>
        <w:jc w:val="both"/>
        <w:rPr>
          <w:rFonts w:ascii="Times New Roman" w:hAnsi="Times New Roman" w:cs="Times New Roman"/>
          <w:sz w:val="24"/>
          <w:szCs w:val="24"/>
        </w:rPr>
      </w:pPr>
      <w:r w:rsidRPr="00E829CD">
        <w:rPr>
          <w:rFonts w:ascii="Times New Roman" w:hAnsi="Times New Roman" w:cs="Times New Roman"/>
          <w:sz w:val="24"/>
          <w:szCs w:val="24"/>
        </w:rPr>
        <w:t>PVN</w:t>
      </w:r>
      <w:r w:rsidRPr="00E829CD">
        <w:rPr>
          <w:rFonts w:ascii="Times New Roman" w:hAnsi="Times New Roman" w:cs="Times New Roman"/>
          <w:sz w:val="24"/>
          <w:szCs w:val="24"/>
        </w:rPr>
        <w:tab/>
        <w:t>Pievienotās vērtības nodoklis</w:t>
      </w:r>
    </w:p>
    <w:p w14:paraId="21231E33" w14:textId="7B5757CF" w:rsidR="003F78CC" w:rsidRPr="00E829CD" w:rsidRDefault="003F78CC" w:rsidP="00414267">
      <w:pPr>
        <w:spacing w:after="0" w:line="240" w:lineRule="auto"/>
        <w:ind w:left="3544" w:hanging="3544"/>
        <w:jc w:val="both"/>
        <w:rPr>
          <w:rFonts w:ascii="Times New Roman" w:hAnsi="Times New Roman" w:cs="Times New Roman"/>
          <w:sz w:val="24"/>
          <w:szCs w:val="24"/>
        </w:rPr>
      </w:pPr>
      <w:r w:rsidRPr="00E829CD">
        <w:rPr>
          <w:rFonts w:ascii="Times New Roman" w:hAnsi="Times New Roman" w:cs="Times New Roman"/>
          <w:sz w:val="24"/>
          <w:szCs w:val="24"/>
        </w:rPr>
        <w:t>Protokola projekts</w:t>
      </w:r>
      <w:r w:rsidR="00882754">
        <w:rPr>
          <w:rFonts w:ascii="Times New Roman" w:hAnsi="Times New Roman" w:cs="Times New Roman"/>
          <w:sz w:val="24"/>
          <w:szCs w:val="24"/>
        </w:rPr>
        <w:t xml:space="preserve"> </w:t>
      </w:r>
      <w:r w:rsidRPr="00E829CD">
        <w:rPr>
          <w:rFonts w:ascii="Times New Roman" w:hAnsi="Times New Roman" w:cs="Times New Roman"/>
          <w:sz w:val="24"/>
          <w:szCs w:val="24"/>
        </w:rPr>
        <w:tab/>
        <w:t>MK un LPS domstarpību un vienošanās protokola projekts</w:t>
      </w:r>
    </w:p>
    <w:p w14:paraId="016B8111" w14:textId="34C25024" w:rsidR="004E0D45" w:rsidRPr="000047C9" w:rsidRDefault="004E0D45" w:rsidP="00414267">
      <w:pPr>
        <w:spacing w:after="0" w:line="240" w:lineRule="auto"/>
        <w:ind w:left="3544" w:hanging="3544"/>
        <w:jc w:val="both"/>
        <w:rPr>
          <w:rFonts w:ascii="Times New Roman" w:hAnsi="Times New Roman" w:cs="Times New Roman"/>
          <w:color w:val="000000"/>
          <w:sz w:val="24"/>
          <w:szCs w:val="24"/>
          <w:lang w:eastAsia="lv-LV"/>
        </w:rPr>
      </w:pPr>
      <w:r w:rsidRPr="00E829CD">
        <w:rPr>
          <w:rFonts w:ascii="Times New Roman" w:hAnsi="Times New Roman" w:cs="Times New Roman"/>
          <w:sz w:val="24"/>
          <w:szCs w:val="24"/>
        </w:rPr>
        <w:t>PZDG</w:t>
      </w:r>
      <w:r w:rsidRPr="00E829CD">
        <w:rPr>
          <w:rFonts w:ascii="Times New Roman" w:hAnsi="Times New Roman" w:cs="Times New Roman"/>
          <w:sz w:val="24"/>
          <w:szCs w:val="24"/>
        </w:rPr>
        <w:tab/>
        <w:t>Potenciāli zaudētie dzīves gadi</w:t>
      </w:r>
    </w:p>
    <w:p w14:paraId="5B4A4A4A" w14:textId="77777777" w:rsidR="003F78CC" w:rsidRPr="000047C9" w:rsidRDefault="003F78CC" w:rsidP="00414267">
      <w:pPr>
        <w:tabs>
          <w:tab w:val="left" w:pos="3570"/>
        </w:tabs>
        <w:spacing w:after="0" w:line="240" w:lineRule="auto"/>
        <w:ind w:left="3544" w:hanging="3544"/>
        <w:jc w:val="both"/>
        <w:rPr>
          <w:rFonts w:ascii="Times New Roman" w:hAnsi="Times New Roman" w:cs="Times New Roman"/>
          <w:color w:val="000000"/>
          <w:sz w:val="24"/>
        </w:rPr>
      </w:pPr>
      <w:r w:rsidRPr="000047C9">
        <w:rPr>
          <w:rFonts w:ascii="Times New Roman" w:hAnsi="Times New Roman" w:cs="Times New Roman"/>
          <w:color w:val="000000"/>
          <w:sz w:val="24"/>
        </w:rPr>
        <w:t xml:space="preserve">Regula Nr. 1175/2011 </w:t>
      </w:r>
      <w:r w:rsidRPr="000047C9">
        <w:rPr>
          <w:rFonts w:ascii="Times New Roman" w:hAnsi="Times New Roman" w:cs="Times New Roman"/>
          <w:color w:val="000000"/>
          <w:sz w:val="24"/>
        </w:rPr>
        <w:tab/>
        <w:t>Eiropas Parlamenta un Padomes regula (ES) Nr. 1175/2011 (2011. gada 16. novembris), ar ko groza Padomes Regulu (EK) Nr. 1466/97 par budžeta stāvokļa uzraudzības un ekonomikas politikas uzraudzības un koordinācijas stiprināšanu</w:t>
      </w:r>
    </w:p>
    <w:p w14:paraId="3FC0CEBA" w14:textId="77777777" w:rsidR="003F78CC" w:rsidRDefault="003F78CC" w:rsidP="00414267">
      <w:pPr>
        <w:tabs>
          <w:tab w:val="left" w:pos="3544"/>
        </w:tabs>
        <w:spacing w:after="0" w:line="240" w:lineRule="auto"/>
        <w:jc w:val="both"/>
        <w:rPr>
          <w:rFonts w:ascii="Times New Roman" w:hAnsi="Times New Roman" w:cs="Times New Roman"/>
          <w:sz w:val="24"/>
          <w:szCs w:val="24"/>
        </w:rPr>
      </w:pPr>
      <w:r w:rsidRPr="000047C9">
        <w:rPr>
          <w:rFonts w:ascii="Times New Roman" w:hAnsi="Times New Roman" w:cs="Times New Roman"/>
          <w:sz w:val="24"/>
          <w:szCs w:val="24"/>
        </w:rPr>
        <w:t>UIN</w:t>
      </w:r>
      <w:r w:rsidRPr="000047C9">
        <w:rPr>
          <w:rFonts w:ascii="Times New Roman" w:hAnsi="Times New Roman" w:cs="Times New Roman"/>
          <w:sz w:val="24"/>
          <w:szCs w:val="24"/>
        </w:rPr>
        <w:tab/>
        <w:t>Uzņēmumu ieņēmumu nodoklis</w:t>
      </w:r>
    </w:p>
    <w:p w14:paraId="25C94220" w14:textId="0C4BDAD9" w:rsidR="00F00EDA" w:rsidRPr="000047C9" w:rsidRDefault="00F00EDA" w:rsidP="00414267">
      <w:pPr>
        <w:tabs>
          <w:tab w:val="left" w:pos="3544"/>
        </w:tabs>
        <w:spacing w:after="0" w:line="240" w:lineRule="auto"/>
        <w:jc w:val="both"/>
        <w:rPr>
          <w:rFonts w:ascii="Times New Roman" w:hAnsi="Times New Roman" w:cs="Times New Roman"/>
          <w:color w:val="000000"/>
          <w:sz w:val="24"/>
          <w:szCs w:val="24"/>
          <w:lang w:eastAsia="lv-LV"/>
        </w:rPr>
      </w:pPr>
      <w:r>
        <w:rPr>
          <w:rFonts w:ascii="Times New Roman" w:hAnsi="Times New Roman" w:cs="Times New Roman"/>
          <w:sz w:val="24"/>
          <w:szCs w:val="24"/>
        </w:rPr>
        <w:t>SIP</w:t>
      </w:r>
      <w:r>
        <w:rPr>
          <w:rFonts w:ascii="Times New Roman" w:hAnsi="Times New Roman" w:cs="Times New Roman"/>
          <w:sz w:val="24"/>
          <w:szCs w:val="24"/>
        </w:rPr>
        <w:tab/>
        <w:t>Stabilitātes un izaugsmes pakts</w:t>
      </w:r>
    </w:p>
    <w:p w14:paraId="62C79ADF" w14:textId="77777777" w:rsidR="003F78CC" w:rsidRPr="000047C9"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0047C9">
        <w:rPr>
          <w:rFonts w:ascii="Times New Roman" w:hAnsi="Times New Roman" w:cs="Times New Roman"/>
          <w:color w:val="000000"/>
          <w:sz w:val="24"/>
          <w:szCs w:val="24"/>
          <w:lang w:eastAsia="lv-LV"/>
        </w:rPr>
        <w:t xml:space="preserve">SVF </w:t>
      </w:r>
      <w:r w:rsidRPr="000047C9">
        <w:rPr>
          <w:rFonts w:ascii="Times New Roman" w:hAnsi="Times New Roman" w:cs="Times New Roman"/>
          <w:color w:val="000000"/>
          <w:sz w:val="24"/>
          <w:szCs w:val="24"/>
          <w:lang w:eastAsia="lv-LV"/>
        </w:rPr>
        <w:tab/>
        <w:t>Starptautiskais valūtas fonds</w:t>
      </w:r>
    </w:p>
    <w:p w14:paraId="1E8D4D08" w14:textId="77777777" w:rsidR="003F78CC" w:rsidRPr="000047C9" w:rsidRDefault="003F78CC" w:rsidP="00414267">
      <w:pPr>
        <w:tabs>
          <w:tab w:val="left" w:pos="3544"/>
        </w:tabs>
        <w:spacing w:after="0" w:line="240" w:lineRule="auto"/>
        <w:jc w:val="both"/>
        <w:rPr>
          <w:rFonts w:ascii="Times New Roman" w:hAnsi="Times New Roman" w:cs="Times New Roman"/>
          <w:color w:val="000000"/>
          <w:sz w:val="24"/>
          <w:szCs w:val="24"/>
          <w:lang w:eastAsia="lv-LV"/>
        </w:rPr>
      </w:pPr>
      <w:r w:rsidRPr="000047C9">
        <w:rPr>
          <w:rFonts w:ascii="Times New Roman" w:hAnsi="Times New Roman" w:cs="Times New Roman"/>
          <w:color w:val="000000"/>
          <w:sz w:val="24"/>
          <w:szCs w:val="24"/>
          <w:lang w:eastAsia="lv-LV"/>
        </w:rPr>
        <w:t xml:space="preserve">VID </w:t>
      </w:r>
      <w:r w:rsidRPr="000047C9">
        <w:rPr>
          <w:rFonts w:ascii="Times New Roman" w:hAnsi="Times New Roman" w:cs="Times New Roman"/>
          <w:color w:val="000000"/>
          <w:sz w:val="24"/>
          <w:szCs w:val="24"/>
          <w:lang w:eastAsia="lv-LV"/>
        </w:rPr>
        <w:tab/>
        <w:t>Valsts ieņēmumu dienests</w:t>
      </w:r>
    </w:p>
    <w:p w14:paraId="2DD0F497" w14:textId="77777777" w:rsidR="003F78CC" w:rsidRPr="000047C9" w:rsidRDefault="003F78CC" w:rsidP="00414267">
      <w:pPr>
        <w:tabs>
          <w:tab w:val="left" w:pos="3544"/>
        </w:tabs>
        <w:spacing w:after="0" w:line="240" w:lineRule="auto"/>
        <w:jc w:val="both"/>
        <w:rPr>
          <w:rFonts w:ascii="Times New Roman" w:hAnsi="Times New Roman" w:cs="Times New Roman"/>
          <w:sz w:val="24"/>
          <w:szCs w:val="24"/>
        </w:rPr>
      </w:pPr>
      <w:r w:rsidRPr="000047C9">
        <w:rPr>
          <w:rFonts w:ascii="Times New Roman" w:hAnsi="Times New Roman" w:cs="Times New Roman"/>
          <w:sz w:val="24"/>
          <w:szCs w:val="24"/>
        </w:rPr>
        <w:t xml:space="preserve">VK </w:t>
      </w:r>
      <w:r w:rsidRPr="000047C9">
        <w:rPr>
          <w:rFonts w:ascii="Times New Roman" w:hAnsi="Times New Roman" w:cs="Times New Roman"/>
          <w:sz w:val="24"/>
          <w:szCs w:val="24"/>
        </w:rPr>
        <w:tab/>
        <w:t>Valsts kase</w:t>
      </w:r>
    </w:p>
    <w:p w14:paraId="4443FFAD" w14:textId="10584B98" w:rsidR="003F78CC" w:rsidRDefault="003F78CC" w:rsidP="001210E9">
      <w:pPr>
        <w:spacing w:after="0" w:line="240" w:lineRule="auto"/>
        <w:ind w:left="3544" w:hanging="3544"/>
        <w:rPr>
          <w:rFonts w:ascii="Times New Roman" w:hAnsi="Times New Roman" w:cs="Times New Roman"/>
          <w:color w:val="000000"/>
          <w:sz w:val="24"/>
        </w:rPr>
      </w:pPr>
      <w:r w:rsidRPr="000047C9">
        <w:rPr>
          <w:rFonts w:ascii="Times New Roman" w:hAnsi="Times New Roman" w:cs="Times New Roman"/>
          <w:color w:val="000000"/>
          <w:sz w:val="24"/>
        </w:rPr>
        <w:t xml:space="preserve">VTM </w:t>
      </w:r>
      <w:r w:rsidRPr="000047C9">
        <w:rPr>
          <w:rFonts w:ascii="Times New Roman" w:hAnsi="Times New Roman" w:cs="Times New Roman"/>
          <w:color w:val="000000"/>
          <w:sz w:val="24"/>
        </w:rPr>
        <w:tab/>
        <w:t>Vidēja termiņa budžeta bilances mērķis strukturālā izteiksmē</w:t>
      </w:r>
    </w:p>
    <w:p w14:paraId="2658C9E2" w14:textId="2DD1E476" w:rsidR="001210E9" w:rsidRDefault="001210E9" w:rsidP="001210E9">
      <w:pPr>
        <w:spacing w:after="0" w:line="240" w:lineRule="auto"/>
        <w:ind w:left="3544" w:hanging="3544"/>
        <w:rPr>
          <w:rFonts w:ascii="Times New Roman" w:hAnsi="Times New Roman" w:cs="Times New Roman"/>
          <w:color w:val="000000"/>
          <w:sz w:val="24"/>
        </w:rPr>
      </w:pPr>
      <w:r>
        <w:rPr>
          <w:rFonts w:ascii="Times New Roman" w:hAnsi="Times New Roman" w:cs="Times New Roman"/>
          <w:color w:val="000000"/>
          <w:sz w:val="24"/>
        </w:rPr>
        <w:t>VHC</w:t>
      </w:r>
      <w:r>
        <w:rPr>
          <w:rFonts w:ascii="Times New Roman" w:hAnsi="Times New Roman" w:cs="Times New Roman"/>
          <w:color w:val="000000"/>
          <w:sz w:val="24"/>
        </w:rPr>
        <w:tab/>
        <w:t>Vīruss hepatīts C</w:t>
      </w:r>
    </w:p>
    <w:p w14:paraId="664D281E" w14:textId="268B4EF2" w:rsidR="00E829CD" w:rsidRDefault="00E829CD" w:rsidP="00262343">
      <w:pPr>
        <w:spacing w:after="0" w:line="240" w:lineRule="auto"/>
        <w:ind w:left="3544" w:hanging="3544"/>
        <w:rPr>
          <w:rFonts w:ascii="Times New Roman" w:hAnsi="Times New Roman" w:cs="Times New Roman"/>
          <w:color w:val="000000"/>
          <w:sz w:val="24"/>
        </w:rPr>
      </w:pPr>
      <w:r>
        <w:rPr>
          <w:rFonts w:ascii="Times New Roman" w:hAnsi="Times New Roman" w:cs="Times New Roman"/>
          <w:color w:val="000000"/>
          <w:sz w:val="24"/>
        </w:rPr>
        <w:t>VTM SIP</w:t>
      </w:r>
      <w:r>
        <w:rPr>
          <w:rFonts w:ascii="Times New Roman" w:hAnsi="Times New Roman" w:cs="Times New Roman"/>
          <w:color w:val="000000"/>
          <w:sz w:val="24"/>
        </w:rPr>
        <w:tab/>
      </w:r>
      <w:r w:rsidRPr="000047C9">
        <w:rPr>
          <w:rFonts w:ascii="Times New Roman" w:hAnsi="Times New Roman" w:cs="Times New Roman"/>
          <w:color w:val="000000"/>
          <w:sz w:val="24"/>
        </w:rPr>
        <w:t>Vidēja termiņa budžeta bilances mērķis</w:t>
      </w:r>
      <w:r>
        <w:rPr>
          <w:rFonts w:ascii="Times New Roman" w:hAnsi="Times New Roman" w:cs="Times New Roman"/>
          <w:color w:val="000000"/>
          <w:sz w:val="24"/>
        </w:rPr>
        <w:t xml:space="preserve"> SIP izpratnē</w:t>
      </w:r>
    </w:p>
    <w:p w14:paraId="49606178" w14:textId="76CC060C" w:rsidR="00D51057" w:rsidRDefault="00D51057" w:rsidP="00262343">
      <w:pPr>
        <w:spacing w:after="0" w:line="240" w:lineRule="auto"/>
        <w:ind w:left="3544" w:hanging="3544"/>
        <w:rPr>
          <w:rFonts w:ascii="Times New Roman" w:hAnsi="Times New Roman" w:cs="Times New Roman"/>
          <w:color w:val="000000"/>
          <w:sz w:val="24"/>
        </w:rPr>
      </w:pPr>
      <w:r>
        <w:rPr>
          <w:rFonts w:ascii="Times New Roman" w:hAnsi="Times New Roman" w:cs="Times New Roman"/>
          <w:color w:val="000000"/>
          <w:sz w:val="24"/>
        </w:rPr>
        <w:t>VSAOI</w:t>
      </w:r>
      <w:r>
        <w:rPr>
          <w:rFonts w:ascii="Times New Roman" w:hAnsi="Times New Roman" w:cs="Times New Roman"/>
          <w:color w:val="000000"/>
          <w:sz w:val="24"/>
        </w:rPr>
        <w:tab/>
        <w:t>V</w:t>
      </w:r>
      <w:r w:rsidRPr="00D51057">
        <w:rPr>
          <w:rFonts w:ascii="Times New Roman" w:hAnsi="Times New Roman" w:cs="Times New Roman"/>
          <w:color w:val="000000"/>
          <w:sz w:val="24"/>
        </w:rPr>
        <w:t>alsts sociālās apdrošināšanas obligātās iemaksas</w:t>
      </w:r>
    </w:p>
    <w:p w14:paraId="7FB459E0" w14:textId="27D1895E" w:rsidR="003F78CC" w:rsidRPr="00F51615" w:rsidRDefault="00872CED" w:rsidP="00D51057">
      <w:pPr>
        <w:spacing w:after="0" w:line="240" w:lineRule="auto"/>
        <w:ind w:left="3544" w:hanging="3544"/>
        <w:jc w:val="both"/>
        <w:rPr>
          <w:rFonts w:ascii="Times New Roman" w:hAnsi="Times New Roman" w:cs="Times New Roman"/>
          <w:color w:val="000000"/>
        </w:rPr>
      </w:pPr>
      <w:r>
        <w:rPr>
          <w:rFonts w:ascii="Times New Roman" w:hAnsi="Times New Roman" w:cs="Times New Roman"/>
          <w:color w:val="000000"/>
          <w:sz w:val="24"/>
        </w:rPr>
        <w:t>EK komunikācija</w:t>
      </w:r>
      <w:r>
        <w:rPr>
          <w:rFonts w:ascii="Times New Roman" w:hAnsi="Times New Roman" w:cs="Times New Roman"/>
          <w:color w:val="000000"/>
          <w:sz w:val="24"/>
        </w:rPr>
        <w:tab/>
      </w:r>
      <w:r w:rsidR="009D199B">
        <w:rPr>
          <w:rFonts w:ascii="Times New Roman" w:hAnsi="Times New Roman" w:cs="Times New Roman"/>
          <w:color w:val="000000"/>
          <w:sz w:val="24"/>
        </w:rPr>
        <w:t xml:space="preserve">Eiropas Komisijas </w:t>
      </w:r>
      <w:r w:rsidR="008B2FEA">
        <w:rPr>
          <w:rFonts w:ascii="Times New Roman" w:hAnsi="Times New Roman" w:cs="Times New Roman"/>
          <w:color w:val="000000"/>
          <w:sz w:val="24"/>
        </w:rPr>
        <w:t>2015.</w:t>
      </w:r>
      <w:r>
        <w:rPr>
          <w:rFonts w:ascii="Times New Roman" w:hAnsi="Times New Roman" w:cs="Times New Roman"/>
          <w:color w:val="000000"/>
          <w:sz w:val="24"/>
        </w:rPr>
        <w:t xml:space="preserve">gada 13.janvāra </w:t>
      </w:r>
      <w:r w:rsidR="009D199B">
        <w:rPr>
          <w:rFonts w:ascii="Times New Roman" w:hAnsi="Times New Roman" w:cs="Times New Roman"/>
          <w:color w:val="000000"/>
          <w:sz w:val="24"/>
        </w:rPr>
        <w:t xml:space="preserve">komunikācija </w:t>
      </w:r>
      <w:r w:rsidR="009D199B" w:rsidRPr="009D199B">
        <w:rPr>
          <w:rFonts w:ascii="Times New Roman" w:hAnsi="Times New Roman" w:cs="Times New Roman"/>
          <w:color w:val="000000"/>
          <w:sz w:val="24"/>
        </w:rPr>
        <w:t>Eiropas Parlam</w:t>
      </w:r>
      <w:r w:rsidR="009D199B">
        <w:rPr>
          <w:rFonts w:ascii="Times New Roman" w:hAnsi="Times New Roman" w:cs="Times New Roman"/>
          <w:color w:val="000000"/>
          <w:sz w:val="24"/>
        </w:rPr>
        <w:t>entam, Padomei, Eiropas Centrālai</w:t>
      </w:r>
      <w:r w:rsidR="00D150F6">
        <w:rPr>
          <w:rFonts w:ascii="Times New Roman" w:hAnsi="Times New Roman" w:cs="Times New Roman"/>
          <w:color w:val="000000"/>
          <w:sz w:val="24"/>
        </w:rPr>
        <w:t xml:space="preserve"> b</w:t>
      </w:r>
      <w:r w:rsidR="009D199B" w:rsidRPr="009D199B">
        <w:rPr>
          <w:rFonts w:ascii="Times New Roman" w:hAnsi="Times New Roman" w:cs="Times New Roman"/>
          <w:color w:val="000000"/>
          <w:sz w:val="24"/>
        </w:rPr>
        <w:t>anka</w:t>
      </w:r>
      <w:r w:rsidR="009D199B">
        <w:rPr>
          <w:rFonts w:ascii="Times New Roman" w:hAnsi="Times New Roman" w:cs="Times New Roman"/>
          <w:color w:val="000000"/>
          <w:sz w:val="24"/>
        </w:rPr>
        <w:t>i, Ekonomikas un s</w:t>
      </w:r>
      <w:r w:rsidR="009D199B" w:rsidRPr="009D199B">
        <w:rPr>
          <w:rFonts w:ascii="Times New Roman" w:hAnsi="Times New Roman" w:cs="Times New Roman"/>
          <w:color w:val="000000"/>
          <w:sz w:val="24"/>
        </w:rPr>
        <w:t xml:space="preserve">ociālo </w:t>
      </w:r>
      <w:r w:rsidR="009D199B">
        <w:rPr>
          <w:rFonts w:ascii="Times New Roman" w:hAnsi="Times New Roman" w:cs="Times New Roman"/>
          <w:color w:val="000000"/>
          <w:sz w:val="24"/>
        </w:rPr>
        <w:t>lietu k</w:t>
      </w:r>
      <w:r w:rsidR="009D199B" w:rsidRPr="009D199B">
        <w:rPr>
          <w:rFonts w:ascii="Times New Roman" w:hAnsi="Times New Roman" w:cs="Times New Roman"/>
          <w:color w:val="000000"/>
          <w:sz w:val="24"/>
        </w:rPr>
        <w:t>omitejai, Reģion</w:t>
      </w:r>
      <w:r w:rsidR="009D199B">
        <w:rPr>
          <w:rFonts w:ascii="Times New Roman" w:hAnsi="Times New Roman" w:cs="Times New Roman"/>
          <w:color w:val="000000"/>
          <w:sz w:val="24"/>
        </w:rPr>
        <w:t>u komitejai u</w:t>
      </w:r>
      <w:r w:rsidR="00D150F6">
        <w:rPr>
          <w:rFonts w:ascii="Times New Roman" w:hAnsi="Times New Roman" w:cs="Times New Roman"/>
          <w:color w:val="000000"/>
          <w:sz w:val="24"/>
        </w:rPr>
        <w:t>n Eiropas Investīciju b</w:t>
      </w:r>
      <w:r w:rsidR="009D199B" w:rsidRPr="009D199B">
        <w:rPr>
          <w:rFonts w:ascii="Times New Roman" w:hAnsi="Times New Roman" w:cs="Times New Roman"/>
          <w:color w:val="000000"/>
          <w:sz w:val="24"/>
        </w:rPr>
        <w:t>anka</w:t>
      </w:r>
      <w:r w:rsidR="009D199B">
        <w:rPr>
          <w:rFonts w:ascii="Times New Roman" w:hAnsi="Times New Roman" w:cs="Times New Roman"/>
          <w:color w:val="000000"/>
          <w:sz w:val="24"/>
        </w:rPr>
        <w:t xml:space="preserve">i </w:t>
      </w:r>
      <w:r w:rsidR="00D150F6">
        <w:rPr>
          <w:rFonts w:ascii="Times New Roman" w:hAnsi="Times New Roman" w:cs="Times New Roman"/>
          <w:color w:val="000000"/>
          <w:sz w:val="24"/>
        </w:rPr>
        <w:t xml:space="preserve">par </w:t>
      </w:r>
      <w:r w:rsidR="00D150F6" w:rsidRPr="009D199B">
        <w:rPr>
          <w:rFonts w:ascii="Times New Roman" w:hAnsi="Times New Roman" w:cs="Times New Roman"/>
          <w:color w:val="000000"/>
          <w:sz w:val="24"/>
        </w:rPr>
        <w:t xml:space="preserve">Stabilitātes un izaugsmes </w:t>
      </w:r>
      <w:proofErr w:type="spellStart"/>
      <w:r w:rsidR="00D150F6" w:rsidRPr="009D199B">
        <w:rPr>
          <w:rFonts w:ascii="Times New Roman" w:hAnsi="Times New Roman" w:cs="Times New Roman"/>
          <w:color w:val="000000"/>
          <w:sz w:val="24"/>
        </w:rPr>
        <w:t>pakta</w:t>
      </w:r>
      <w:proofErr w:type="spellEnd"/>
      <w:r w:rsidR="00D150F6">
        <w:rPr>
          <w:rFonts w:ascii="Times New Roman" w:hAnsi="Times New Roman" w:cs="Times New Roman"/>
          <w:color w:val="000000"/>
          <w:sz w:val="24"/>
        </w:rPr>
        <w:t xml:space="preserve"> regulējumā esošās elastības vislabāko izmantošanu (COM(2015) 12)</w:t>
      </w:r>
      <w:r w:rsidR="003F78CC" w:rsidRPr="00F51615">
        <w:rPr>
          <w:rFonts w:ascii="Times New Roman" w:hAnsi="Times New Roman" w:cs="Times New Roman"/>
          <w:color w:val="000000"/>
        </w:rPr>
        <w:br w:type="page"/>
      </w:r>
    </w:p>
    <w:p w14:paraId="44E8D1E6" w14:textId="77777777" w:rsidR="003F78CC" w:rsidRPr="00F51615" w:rsidRDefault="003F78CC" w:rsidP="00F74C66">
      <w:pPr>
        <w:pStyle w:val="Heading1"/>
        <w:numPr>
          <w:ilvl w:val="0"/>
          <w:numId w:val="1"/>
        </w:numPr>
        <w:spacing w:before="0" w:after="0" w:line="240" w:lineRule="auto"/>
        <w:ind w:left="284" w:hanging="283"/>
        <w:jc w:val="center"/>
        <w:rPr>
          <w:rFonts w:ascii="Times New Roman" w:hAnsi="Times New Roman" w:cs="Times New Roman"/>
          <w:sz w:val="32"/>
        </w:rPr>
      </w:pPr>
      <w:bookmarkStart w:id="0" w:name="_Toc479331080"/>
      <w:r w:rsidRPr="00F51615">
        <w:rPr>
          <w:rFonts w:ascii="Times New Roman" w:hAnsi="Times New Roman" w:cs="Times New Roman"/>
          <w:sz w:val="32"/>
        </w:rPr>
        <w:lastRenderedPageBreak/>
        <w:t>Vispārējās ekonomiskās politikas vadlīnijas un mērķi</w:t>
      </w:r>
      <w:bookmarkEnd w:id="0"/>
    </w:p>
    <w:p w14:paraId="6C76BAD0" w14:textId="609BB8CD" w:rsidR="005811A2" w:rsidRPr="005811A2" w:rsidRDefault="005811A2" w:rsidP="00B672CB">
      <w:pPr>
        <w:spacing w:before="120" w:after="0" w:line="240" w:lineRule="auto"/>
        <w:ind w:firstLine="720"/>
        <w:jc w:val="both"/>
        <w:rPr>
          <w:rFonts w:ascii="Times New Roman" w:hAnsi="Times New Roman" w:cs="Times New Roman"/>
          <w:sz w:val="24"/>
          <w:szCs w:val="24"/>
        </w:rPr>
      </w:pPr>
      <w:r w:rsidRPr="005811A2">
        <w:rPr>
          <w:rFonts w:ascii="Times New Roman" w:hAnsi="Times New Roman" w:cs="Times New Roman"/>
          <w:sz w:val="24"/>
          <w:szCs w:val="24"/>
        </w:rPr>
        <w:t xml:space="preserve">Latvijas Stabilitātes programma ir vidēja termiņa politikas dokuments, kas raksturo Latvijas fiskālo politiku 2017.-2020.gadam un ir sagatavots, vadoties pēc SIP ieviešanas nosacījumiem un vadlīnijām un tiek sagatavota saskaņā ar Padomes 1997.gada 7.jūlija regulas (EK) Nr. </w:t>
      </w:r>
      <w:hyperlink r:id="rId10" w:tgtFrame="_blank" w:history="1">
        <w:r w:rsidRPr="005811A2">
          <w:rPr>
            <w:rFonts w:ascii="Times New Roman" w:hAnsi="Times New Roman" w:cs="Times New Roman"/>
            <w:sz w:val="24"/>
            <w:szCs w:val="24"/>
          </w:rPr>
          <w:t>1466/97</w:t>
        </w:r>
      </w:hyperlink>
      <w:r w:rsidRPr="005811A2">
        <w:rPr>
          <w:rFonts w:ascii="Times New Roman" w:hAnsi="Times New Roman" w:cs="Times New Roman"/>
          <w:sz w:val="24"/>
          <w:szCs w:val="24"/>
        </w:rPr>
        <w:t xml:space="preserve"> par budžeta stāvokļa uzraudzības un ekonomikas politikas uzraudzības un koordinācijas stiprināšanu prasībām. </w:t>
      </w:r>
      <w:r>
        <w:rPr>
          <w:rFonts w:ascii="Times New Roman" w:hAnsi="Times New Roman" w:cs="Times New Roman"/>
          <w:sz w:val="24"/>
          <w:szCs w:val="24"/>
        </w:rPr>
        <w:t>LBFV 28.</w:t>
      </w:r>
      <w:r w:rsidRPr="005811A2">
        <w:rPr>
          <w:rFonts w:ascii="Times New Roman" w:hAnsi="Times New Roman" w:cs="Times New Roman"/>
          <w:sz w:val="24"/>
          <w:szCs w:val="24"/>
        </w:rPr>
        <w:t xml:space="preserve">pants nosaka, ka </w:t>
      </w:r>
      <w:r>
        <w:rPr>
          <w:rFonts w:ascii="Times New Roman" w:hAnsi="Times New Roman" w:cs="Times New Roman"/>
          <w:sz w:val="24"/>
          <w:szCs w:val="24"/>
        </w:rPr>
        <w:t>MK līdz</w:t>
      </w:r>
      <w:r w:rsidRPr="005811A2">
        <w:rPr>
          <w:rFonts w:ascii="Times New Roman" w:hAnsi="Times New Roman" w:cs="Times New Roman"/>
          <w:sz w:val="24"/>
          <w:szCs w:val="24"/>
        </w:rPr>
        <w:t xml:space="preserve"> kārtējā gada 15.aprīlim iesniedz Saeimai Latvijas Stabilitātes programmu.</w:t>
      </w:r>
    </w:p>
    <w:p w14:paraId="6B8305CC" w14:textId="73356C72" w:rsidR="005811A2" w:rsidRPr="005811A2" w:rsidRDefault="005811A2" w:rsidP="00BB33B7">
      <w:pPr>
        <w:spacing w:after="0" w:line="240" w:lineRule="auto"/>
        <w:ind w:firstLine="720"/>
        <w:jc w:val="both"/>
        <w:rPr>
          <w:rFonts w:ascii="Times New Roman" w:hAnsi="Times New Roman"/>
          <w:sz w:val="24"/>
          <w:szCs w:val="20"/>
        </w:rPr>
      </w:pPr>
      <w:r w:rsidRPr="00EA0DB0">
        <w:rPr>
          <w:rFonts w:ascii="Times New Roman" w:hAnsi="Times New Roman"/>
          <w:sz w:val="24"/>
          <w:szCs w:val="20"/>
        </w:rPr>
        <w:t>Šī S</w:t>
      </w:r>
      <w:r w:rsidRPr="005811A2">
        <w:rPr>
          <w:rFonts w:ascii="Times New Roman" w:hAnsi="Times New Roman"/>
          <w:sz w:val="24"/>
          <w:szCs w:val="20"/>
        </w:rPr>
        <w:t xml:space="preserve">tabilitātes programma ir sagatavota plānotās nodokļu reformas zīmē. Lai arī Latvijas ekonomiskā konverģence ir viena no straujākajām </w:t>
      </w:r>
      <w:r w:rsidR="00EA0DB0" w:rsidRPr="00EA0DB0">
        <w:rPr>
          <w:rFonts w:ascii="Times New Roman" w:hAnsi="Times New Roman"/>
          <w:sz w:val="24"/>
          <w:szCs w:val="20"/>
        </w:rPr>
        <w:t>ES</w:t>
      </w:r>
      <w:r w:rsidRPr="005811A2">
        <w:rPr>
          <w:rFonts w:ascii="Times New Roman" w:hAnsi="Times New Roman"/>
          <w:sz w:val="24"/>
          <w:szCs w:val="20"/>
        </w:rPr>
        <w:t xml:space="preserve">, tomēr tās ātrums ir nepietiekams, lai saprātīgā laikā sasniegtu ES vidējo ekonomiskās attīstības līmeni. Nepieciešams ekonomiskais izrāviens. To paredz </w:t>
      </w:r>
      <w:r w:rsidR="00EA0DB0" w:rsidRPr="00EA0DB0">
        <w:rPr>
          <w:rFonts w:ascii="Times New Roman" w:hAnsi="Times New Roman"/>
          <w:sz w:val="24"/>
          <w:szCs w:val="20"/>
        </w:rPr>
        <w:t>NAP 2020</w:t>
      </w:r>
      <w:r w:rsidRPr="005811A2">
        <w:rPr>
          <w:rFonts w:ascii="Times New Roman" w:hAnsi="Times New Roman"/>
          <w:sz w:val="24"/>
          <w:szCs w:val="20"/>
        </w:rPr>
        <w:t xml:space="preserve"> un pašreizējā Latvijas valdība kā prioritāti ir izvirzījusi tādas</w:t>
      </w:r>
      <w:r w:rsidR="00EA0DB0" w:rsidRPr="00EA0DB0">
        <w:rPr>
          <w:rFonts w:ascii="Times New Roman" w:hAnsi="Times New Roman"/>
          <w:sz w:val="24"/>
          <w:szCs w:val="20"/>
        </w:rPr>
        <w:t xml:space="preserve"> ekonomi</w:t>
      </w:r>
      <w:r w:rsidR="00CB58D4">
        <w:rPr>
          <w:rFonts w:ascii="Times New Roman" w:hAnsi="Times New Roman"/>
          <w:sz w:val="24"/>
          <w:szCs w:val="20"/>
        </w:rPr>
        <w:t>skā</w:t>
      </w:r>
      <w:r w:rsidR="00EA0DB0" w:rsidRPr="00EA0DB0">
        <w:rPr>
          <w:rFonts w:ascii="Times New Roman" w:hAnsi="Times New Roman"/>
          <w:sz w:val="24"/>
          <w:szCs w:val="20"/>
        </w:rPr>
        <w:t>s politikas īstenošanu</w:t>
      </w:r>
      <w:r w:rsidRPr="005811A2">
        <w:rPr>
          <w:rFonts w:ascii="Times New Roman" w:hAnsi="Times New Roman"/>
          <w:sz w:val="24"/>
          <w:szCs w:val="20"/>
        </w:rPr>
        <w:t>, kas palielinās Latvijas potenc</w:t>
      </w:r>
      <w:r w:rsidRPr="00EA0DB0">
        <w:rPr>
          <w:rFonts w:ascii="Times New Roman" w:hAnsi="Times New Roman"/>
          <w:sz w:val="24"/>
          <w:szCs w:val="20"/>
        </w:rPr>
        <w:t>iālā IKP pieaugumu no 3% uz 5%.</w:t>
      </w:r>
      <w:r w:rsidRPr="005811A2">
        <w:rPr>
          <w:rFonts w:ascii="Times New Roman" w:hAnsi="Times New Roman"/>
          <w:sz w:val="24"/>
          <w:szCs w:val="20"/>
        </w:rPr>
        <w:t xml:space="preserve"> Ekonomikas dzinējspēks ir uzņēmumi un tāpēc finanšu ministre Latvi</w:t>
      </w:r>
      <w:r w:rsidR="00EA0DB0" w:rsidRPr="00EA0DB0">
        <w:rPr>
          <w:rFonts w:ascii="Times New Roman" w:hAnsi="Times New Roman"/>
          <w:sz w:val="24"/>
          <w:szCs w:val="20"/>
        </w:rPr>
        <w:t>jas fiskālo politiku veido ciešā</w:t>
      </w:r>
      <w:r w:rsidRPr="005811A2">
        <w:rPr>
          <w:rFonts w:ascii="Times New Roman" w:hAnsi="Times New Roman"/>
          <w:sz w:val="24"/>
          <w:szCs w:val="20"/>
        </w:rPr>
        <w:t xml:space="preserve"> sadarbībā ar uzņēmēju organizācijām, ieklausoties šo sociālo partneru viedoklī par šķēršļiem godīgā uzņēmējdarbībā. Nodokļu politika būtiski ietekmē uzņēmēju lēmumus. Nodokļu apjoms un struktūra var būtiski sekmēt, vai kavēt uzņēmēju lēmumus, tāpēc pareiza nodokļu </w:t>
      </w:r>
      <w:proofErr w:type="spellStart"/>
      <w:r w:rsidRPr="005811A2">
        <w:rPr>
          <w:rFonts w:ascii="Times New Roman" w:hAnsi="Times New Roman"/>
          <w:sz w:val="24"/>
          <w:szCs w:val="20"/>
        </w:rPr>
        <w:t>kalibrācija</w:t>
      </w:r>
      <w:proofErr w:type="spellEnd"/>
      <w:r w:rsidRPr="005811A2">
        <w:rPr>
          <w:rFonts w:ascii="Times New Roman" w:hAnsi="Times New Roman"/>
          <w:sz w:val="24"/>
          <w:szCs w:val="20"/>
        </w:rPr>
        <w:t xml:space="preserve"> ir būtisks instruments ekonomiskā izrāviena panākšanai. Nozīmīgas ēnu ekonomikas apstākļ</w:t>
      </w:r>
      <w:r w:rsidR="00EA0DB0" w:rsidRPr="00EA0DB0">
        <w:rPr>
          <w:rFonts w:ascii="Times New Roman" w:hAnsi="Times New Roman"/>
          <w:sz w:val="24"/>
          <w:szCs w:val="20"/>
        </w:rPr>
        <w:t>os ir ne tikai</w:t>
      </w:r>
      <w:r w:rsidRPr="005811A2">
        <w:rPr>
          <w:rFonts w:ascii="Times New Roman" w:hAnsi="Times New Roman"/>
          <w:sz w:val="24"/>
          <w:szCs w:val="20"/>
        </w:rPr>
        <w:t xml:space="preserve"> svarīgi efektīvi cīnīties ar ēnu ekonomikas dalībniekiem, bet mazināt šīs parādības nelabvēlīgos apstākļus uz godīgo uzņēmējdarbību.</w:t>
      </w:r>
      <w:r w:rsidR="00DB504F">
        <w:rPr>
          <w:rFonts w:ascii="Times New Roman" w:hAnsi="Times New Roman"/>
          <w:sz w:val="24"/>
          <w:szCs w:val="20"/>
        </w:rPr>
        <w:t xml:space="preserve"> Papildu efekts no pareizas nodokļu sistēmas strukturēšanas ir mazāka nevienlīdzība strādājošo vidū, kā arī lielāki budžeta ieņēmumi vidējā termiņā.</w:t>
      </w:r>
    </w:p>
    <w:p w14:paraId="1C825CA5" w14:textId="4477C7BB" w:rsidR="005811A2" w:rsidRPr="005811A2" w:rsidRDefault="005811A2" w:rsidP="00BB33B7">
      <w:pPr>
        <w:spacing w:after="0" w:line="240" w:lineRule="auto"/>
        <w:ind w:firstLine="720"/>
        <w:jc w:val="both"/>
        <w:rPr>
          <w:rFonts w:ascii="Times New Roman" w:hAnsi="Times New Roman"/>
          <w:sz w:val="24"/>
          <w:szCs w:val="20"/>
        </w:rPr>
      </w:pPr>
      <w:r w:rsidRPr="005811A2">
        <w:rPr>
          <w:rFonts w:ascii="Times New Roman" w:hAnsi="Times New Roman"/>
          <w:sz w:val="24"/>
          <w:szCs w:val="20"/>
        </w:rPr>
        <w:t>Stabilitātes programmas sagatavošanas brīdī nodokļu reforma Latvijas valdībā vēl nav apstiprināta</w:t>
      </w:r>
      <w:r w:rsidR="0020131C">
        <w:rPr>
          <w:rFonts w:ascii="Times New Roman" w:hAnsi="Times New Roman"/>
          <w:sz w:val="24"/>
          <w:szCs w:val="20"/>
        </w:rPr>
        <w:t>,</w:t>
      </w:r>
      <w:r w:rsidRPr="005811A2">
        <w:rPr>
          <w:rFonts w:ascii="Times New Roman" w:hAnsi="Times New Roman"/>
          <w:sz w:val="24"/>
          <w:szCs w:val="20"/>
        </w:rPr>
        <w:t xml:space="preserve"> un tāpēc šajā programmā sniegtais reformas apraksts </w:t>
      </w:r>
      <w:r w:rsidR="0020131C">
        <w:rPr>
          <w:rFonts w:ascii="Times New Roman" w:hAnsi="Times New Roman"/>
          <w:sz w:val="24"/>
          <w:szCs w:val="20"/>
        </w:rPr>
        <w:t>ir tikai projekts, kādu</w:t>
      </w:r>
      <w:r w:rsidRPr="005811A2">
        <w:rPr>
          <w:rFonts w:ascii="Times New Roman" w:hAnsi="Times New Roman"/>
          <w:sz w:val="24"/>
          <w:szCs w:val="20"/>
        </w:rPr>
        <w:t xml:space="preserve"> </w:t>
      </w:r>
      <w:r w:rsidR="0020131C">
        <w:rPr>
          <w:rFonts w:ascii="Times New Roman" w:hAnsi="Times New Roman"/>
          <w:sz w:val="24"/>
          <w:szCs w:val="20"/>
        </w:rPr>
        <w:t xml:space="preserve">finanšu ministrija piedāvājusi </w:t>
      </w:r>
      <w:r w:rsidRPr="005811A2">
        <w:rPr>
          <w:rFonts w:ascii="Times New Roman" w:hAnsi="Times New Roman"/>
          <w:sz w:val="24"/>
          <w:szCs w:val="20"/>
        </w:rPr>
        <w:t>2017.gada 3.aprīlī</w:t>
      </w:r>
      <w:r w:rsidR="0020131C">
        <w:rPr>
          <w:rFonts w:ascii="Times New Roman" w:hAnsi="Times New Roman"/>
          <w:sz w:val="24"/>
          <w:szCs w:val="20"/>
        </w:rPr>
        <w:t>. Līdz ar to gan</w:t>
      </w:r>
      <w:r w:rsidRPr="005811A2">
        <w:rPr>
          <w:rFonts w:ascii="Times New Roman" w:hAnsi="Times New Roman"/>
          <w:sz w:val="24"/>
          <w:szCs w:val="20"/>
        </w:rPr>
        <w:t xml:space="preserve"> plānotie pasākumi, gan fiskālās ietekmes var mainīties. Nodokļu reformu ir plānots izskatīt Latvijas valdībā aprīļa beigās. P</w:t>
      </w:r>
      <w:r w:rsidR="00CB58D4">
        <w:rPr>
          <w:rFonts w:ascii="Times New Roman" w:hAnsi="Times New Roman"/>
          <w:sz w:val="24"/>
          <w:szCs w:val="20"/>
        </w:rPr>
        <w:t>ēc nodokļu reformas pieņemšanas</w:t>
      </w:r>
      <w:r w:rsidRPr="005811A2">
        <w:rPr>
          <w:rFonts w:ascii="Times New Roman" w:hAnsi="Times New Roman"/>
          <w:sz w:val="24"/>
          <w:szCs w:val="20"/>
        </w:rPr>
        <w:t xml:space="preserve"> tiks sagatavoti un iesniegti </w:t>
      </w:r>
      <w:r w:rsidR="00EA0DB0" w:rsidRPr="00EA0DB0">
        <w:rPr>
          <w:rFonts w:ascii="Times New Roman" w:hAnsi="Times New Roman"/>
          <w:sz w:val="24"/>
          <w:szCs w:val="20"/>
        </w:rPr>
        <w:t>EK</w:t>
      </w:r>
      <w:r w:rsidRPr="005811A2">
        <w:rPr>
          <w:rFonts w:ascii="Times New Roman" w:hAnsi="Times New Roman"/>
          <w:sz w:val="24"/>
          <w:szCs w:val="20"/>
        </w:rPr>
        <w:t xml:space="preserve"> precizējumi Latvijas Stabilitātes programmā.</w:t>
      </w:r>
    </w:p>
    <w:p w14:paraId="5028F165" w14:textId="08B648E4" w:rsidR="005811A2" w:rsidRPr="005811A2" w:rsidRDefault="005811A2" w:rsidP="00E40A6D">
      <w:pPr>
        <w:spacing w:after="0" w:line="240" w:lineRule="auto"/>
        <w:ind w:firstLine="720"/>
        <w:jc w:val="both"/>
        <w:rPr>
          <w:rFonts w:ascii="Times New Roman" w:hAnsi="Times New Roman"/>
          <w:sz w:val="24"/>
          <w:szCs w:val="20"/>
        </w:rPr>
      </w:pPr>
      <w:r w:rsidRPr="005811A2">
        <w:rPr>
          <w:rFonts w:ascii="Times New Roman" w:hAnsi="Times New Roman"/>
          <w:sz w:val="24"/>
          <w:szCs w:val="20"/>
        </w:rPr>
        <w:t>Plānotās nodokļu reformas galvenie pasākumi ietver</w:t>
      </w:r>
      <w:r w:rsidR="00DB504F">
        <w:rPr>
          <w:rFonts w:ascii="Times New Roman" w:hAnsi="Times New Roman"/>
          <w:sz w:val="24"/>
          <w:szCs w:val="20"/>
        </w:rPr>
        <w:t xml:space="preserve"> nodokļu sloga pārnešanu no darbaspēka uz kapitālu, kā arī uzņēmēju konkurētspējas uzlabošanu, ieviešot 0% </w:t>
      </w:r>
      <w:proofErr w:type="spellStart"/>
      <w:r w:rsidR="00DB504F">
        <w:rPr>
          <w:rFonts w:ascii="Times New Roman" w:hAnsi="Times New Roman"/>
          <w:sz w:val="24"/>
          <w:szCs w:val="20"/>
        </w:rPr>
        <w:t>reinvestētās</w:t>
      </w:r>
      <w:proofErr w:type="spellEnd"/>
      <w:r w:rsidR="00DB504F">
        <w:rPr>
          <w:rFonts w:ascii="Times New Roman" w:hAnsi="Times New Roman"/>
          <w:sz w:val="24"/>
          <w:szCs w:val="20"/>
        </w:rPr>
        <w:t xml:space="preserve"> peļņas nodokli</w:t>
      </w:r>
      <w:r w:rsidR="00F952FE">
        <w:rPr>
          <w:rFonts w:ascii="Times New Roman" w:hAnsi="Times New Roman"/>
          <w:sz w:val="24"/>
          <w:szCs w:val="20"/>
        </w:rPr>
        <w:t xml:space="preserve"> un sakārtojot mazās uzņēmējdarbības nodokļu režīmus.</w:t>
      </w:r>
      <w:r w:rsidR="00DB504F">
        <w:rPr>
          <w:rFonts w:ascii="Times New Roman" w:hAnsi="Times New Roman"/>
          <w:sz w:val="24"/>
          <w:szCs w:val="20"/>
        </w:rPr>
        <w:t xml:space="preserve"> Nodokļu reforma paredz</w:t>
      </w:r>
      <w:r w:rsidR="00E40A6D">
        <w:rPr>
          <w:rFonts w:ascii="Times New Roman" w:hAnsi="Times New Roman"/>
          <w:sz w:val="24"/>
          <w:szCs w:val="20"/>
        </w:rPr>
        <w:t>: a)</w:t>
      </w:r>
      <w:r w:rsidR="00DB504F">
        <w:rPr>
          <w:rFonts w:ascii="Times New Roman" w:hAnsi="Times New Roman"/>
          <w:sz w:val="24"/>
          <w:szCs w:val="20"/>
        </w:rPr>
        <w:t xml:space="preserve"> </w:t>
      </w:r>
      <w:r w:rsidR="00E40A6D">
        <w:rPr>
          <w:rFonts w:ascii="Times New Roman" w:hAnsi="Times New Roman"/>
          <w:sz w:val="24"/>
          <w:szCs w:val="20"/>
        </w:rPr>
        <w:t xml:space="preserve">IIN likmes vienādošanu ienākumiem no darba un ienākumiem no kapitāla - </w:t>
      </w:r>
      <w:r w:rsidRPr="005811A2">
        <w:rPr>
          <w:rFonts w:ascii="Times New Roman" w:hAnsi="Times New Roman"/>
          <w:sz w:val="24"/>
          <w:szCs w:val="20"/>
        </w:rPr>
        <w:t xml:space="preserve">IIN </w:t>
      </w:r>
      <w:r w:rsidR="0020131C">
        <w:rPr>
          <w:rFonts w:ascii="Times New Roman" w:hAnsi="Times New Roman"/>
          <w:sz w:val="24"/>
          <w:szCs w:val="20"/>
        </w:rPr>
        <w:t>pamat</w:t>
      </w:r>
      <w:r w:rsidRPr="005811A2">
        <w:rPr>
          <w:rFonts w:ascii="Times New Roman" w:hAnsi="Times New Roman"/>
          <w:sz w:val="24"/>
          <w:szCs w:val="20"/>
        </w:rPr>
        <w:t>likmes samazināšanu</w:t>
      </w:r>
      <w:r w:rsidR="00E40A6D">
        <w:rPr>
          <w:rFonts w:ascii="Times New Roman" w:hAnsi="Times New Roman"/>
          <w:sz w:val="24"/>
          <w:szCs w:val="20"/>
        </w:rPr>
        <w:t xml:space="preserve"> darbaspēkam</w:t>
      </w:r>
      <w:r w:rsidRPr="005811A2">
        <w:rPr>
          <w:rFonts w:ascii="Times New Roman" w:hAnsi="Times New Roman"/>
          <w:sz w:val="24"/>
          <w:szCs w:val="20"/>
        </w:rPr>
        <w:t xml:space="preserve"> no 23% </w:t>
      </w:r>
      <w:r w:rsidR="00EA0DB0" w:rsidRPr="00EA0DB0">
        <w:rPr>
          <w:rFonts w:ascii="Times New Roman" w:hAnsi="Times New Roman"/>
          <w:sz w:val="24"/>
          <w:szCs w:val="20"/>
        </w:rPr>
        <w:t>uz 20%,</w:t>
      </w:r>
      <w:r w:rsidR="0020131C">
        <w:rPr>
          <w:rFonts w:ascii="Times New Roman" w:hAnsi="Times New Roman"/>
          <w:sz w:val="24"/>
          <w:szCs w:val="20"/>
        </w:rPr>
        <w:t xml:space="preserve"> vienlaikus palielinot</w:t>
      </w:r>
      <w:r w:rsidR="00E40A6D">
        <w:rPr>
          <w:rFonts w:ascii="Times New Roman" w:hAnsi="Times New Roman"/>
          <w:sz w:val="24"/>
          <w:szCs w:val="20"/>
        </w:rPr>
        <w:t xml:space="preserve"> uz 20%</w:t>
      </w:r>
      <w:r w:rsidR="0020131C">
        <w:rPr>
          <w:rFonts w:ascii="Times New Roman" w:hAnsi="Times New Roman"/>
          <w:sz w:val="24"/>
          <w:szCs w:val="20"/>
        </w:rPr>
        <w:t xml:space="preserve"> IIN</w:t>
      </w:r>
      <w:r w:rsidR="00DB504F">
        <w:rPr>
          <w:rFonts w:ascii="Times New Roman" w:hAnsi="Times New Roman"/>
          <w:sz w:val="24"/>
          <w:szCs w:val="20"/>
        </w:rPr>
        <w:t xml:space="preserve"> dividendēm</w:t>
      </w:r>
      <w:r w:rsidR="00E40A6D">
        <w:rPr>
          <w:rFonts w:ascii="Times New Roman" w:hAnsi="Times New Roman"/>
          <w:sz w:val="24"/>
          <w:szCs w:val="20"/>
        </w:rPr>
        <w:t xml:space="preserve"> un ienākumam no kapitāla</w:t>
      </w:r>
      <w:r w:rsidR="000F0BAA">
        <w:rPr>
          <w:rFonts w:ascii="Times New Roman" w:hAnsi="Times New Roman"/>
          <w:sz w:val="24"/>
          <w:szCs w:val="20"/>
        </w:rPr>
        <w:t xml:space="preserve"> un kapitāla pieauguma</w:t>
      </w:r>
      <w:r w:rsidR="00E40A6D">
        <w:rPr>
          <w:rFonts w:ascii="Times New Roman" w:hAnsi="Times New Roman"/>
          <w:sz w:val="24"/>
          <w:szCs w:val="20"/>
        </w:rPr>
        <w:t>; b)</w:t>
      </w:r>
      <w:r w:rsidR="00DB504F">
        <w:rPr>
          <w:rFonts w:ascii="Times New Roman" w:hAnsi="Times New Roman"/>
          <w:sz w:val="24"/>
          <w:szCs w:val="20"/>
        </w:rPr>
        <w:t xml:space="preserve"> </w:t>
      </w:r>
      <w:r w:rsidR="00EA0DB0" w:rsidRPr="00EA0DB0">
        <w:rPr>
          <w:rFonts w:ascii="Times New Roman" w:hAnsi="Times New Roman"/>
          <w:sz w:val="24"/>
          <w:szCs w:val="20"/>
        </w:rPr>
        <w:t>U</w:t>
      </w:r>
      <w:r w:rsidR="00E40A6D">
        <w:rPr>
          <w:rFonts w:ascii="Times New Roman" w:hAnsi="Times New Roman"/>
          <w:sz w:val="24"/>
          <w:szCs w:val="20"/>
        </w:rPr>
        <w:t>IN likmes palielināšanu</w:t>
      </w:r>
      <w:r w:rsidR="0020131C">
        <w:rPr>
          <w:rFonts w:ascii="Times New Roman" w:hAnsi="Times New Roman"/>
          <w:sz w:val="24"/>
          <w:szCs w:val="20"/>
        </w:rPr>
        <w:t xml:space="preserve"> no 15% uz 20%, vienlaicīgi nosakot 0% likmi </w:t>
      </w:r>
      <w:proofErr w:type="spellStart"/>
      <w:r w:rsidR="00DB504F">
        <w:rPr>
          <w:rFonts w:ascii="Times New Roman" w:hAnsi="Times New Roman"/>
          <w:sz w:val="24"/>
          <w:szCs w:val="20"/>
        </w:rPr>
        <w:t>reinvestētai</w:t>
      </w:r>
      <w:proofErr w:type="spellEnd"/>
      <w:r w:rsidR="00DB504F">
        <w:rPr>
          <w:rFonts w:ascii="Times New Roman" w:hAnsi="Times New Roman"/>
          <w:sz w:val="24"/>
          <w:szCs w:val="20"/>
        </w:rPr>
        <w:t xml:space="preserve"> peļņai</w:t>
      </w:r>
      <w:r w:rsidR="00E40A6D">
        <w:rPr>
          <w:rFonts w:ascii="Times New Roman" w:hAnsi="Times New Roman"/>
          <w:sz w:val="24"/>
          <w:szCs w:val="20"/>
        </w:rPr>
        <w:t>;</w:t>
      </w:r>
      <w:r w:rsidR="00DB504F">
        <w:rPr>
          <w:rFonts w:ascii="Times New Roman" w:hAnsi="Times New Roman"/>
          <w:sz w:val="24"/>
          <w:szCs w:val="20"/>
        </w:rPr>
        <w:t>.</w:t>
      </w:r>
      <w:r w:rsidRPr="005811A2">
        <w:rPr>
          <w:rFonts w:ascii="Times New Roman" w:hAnsi="Times New Roman"/>
          <w:sz w:val="24"/>
          <w:szCs w:val="20"/>
        </w:rPr>
        <w:t xml:space="preserve"> </w:t>
      </w:r>
      <w:r w:rsidR="00E40A6D">
        <w:rPr>
          <w:rFonts w:ascii="Times New Roman" w:hAnsi="Times New Roman"/>
          <w:sz w:val="24"/>
          <w:szCs w:val="20"/>
        </w:rPr>
        <w:t xml:space="preserve">c) </w:t>
      </w:r>
      <w:r w:rsidRPr="005811A2">
        <w:rPr>
          <w:rFonts w:ascii="Times New Roman" w:hAnsi="Times New Roman"/>
          <w:sz w:val="24"/>
          <w:szCs w:val="20"/>
        </w:rPr>
        <w:t>solidaritātes nodokļa atcelšanu</w:t>
      </w:r>
      <w:r w:rsidR="00E40A6D">
        <w:rPr>
          <w:rFonts w:ascii="Times New Roman" w:hAnsi="Times New Roman"/>
          <w:sz w:val="24"/>
          <w:szCs w:val="20"/>
        </w:rPr>
        <w:t xml:space="preserve">, ieviešot otru līmeni sociālo iemaksu griestiem un ierobežojot īstermiņa sociālās izmaksas lielo algu saņēmējiem; d) </w:t>
      </w:r>
      <w:r w:rsidRPr="005811A2">
        <w:rPr>
          <w:rFonts w:ascii="Times New Roman" w:hAnsi="Times New Roman"/>
          <w:sz w:val="24"/>
          <w:szCs w:val="20"/>
        </w:rPr>
        <w:t>minimālās mēneša da</w:t>
      </w:r>
      <w:r w:rsidR="00E40A6D">
        <w:rPr>
          <w:rFonts w:ascii="Times New Roman" w:hAnsi="Times New Roman"/>
          <w:sz w:val="24"/>
          <w:szCs w:val="20"/>
        </w:rPr>
        <w:t>rba algas palielināšanu par 13%; e) IIN neapliekamā minimuma būtisku palielināšanu, nosakot tā diferenciāciju un precīzāk to kalibrējot nevienlīdzības mazināšanai un nodokļu sloga samazināšanai mazāko algu saņēmējiem; f)</w:t>
      </w:r>
      <w:r w:rsidRPr="005811A2">
        <w:rPr>
          <w:rFonts w:ascii="Times New Roman" w:hAnsi="Times New Roman"/>
          <w:sz w:val="24"/>
          <w:szCs w:val="20"/>
        </w:rPr>
        <w:t xml:space="preserve"> neapliekamā minimuma pensionāriem paaug</w:t>
      </w:r>
      <w:r w:rsidR="00E40A6D">
        <w:rPr>
          <w:rFonts w:ascii="Times New Roman" w:hAnsi="Times New Roman"/>
          <w:sz w:val="24"/>
          <w:szCs w:val="20"/>
        </w:rPr>
        <w:t xml:space="preserve">stināšanu par 28%; g) </w:t>
      </w:r>
      <w:proofErr w:type="spellStart"/>
      <w:r w:rsidR="00F952FE">
        <w:rPr>
          <w:rFonts w:ascii="Times New Roman" w:hAnsi="Times New Roman"/>
          <w:sz w:val="24"/>
          <w:szCs w:val="20"/>
        </w:rPr>
        <w:t>mikrouzņēmumu</w:t>
      </w:r>
      <w:proofErr w:type="spellEnd"/>
      <w:r w:rsidR="00F952FE">
        <w:rPr>
          <w:rFonts w:ascii="Times New Roman" w:hAnsi="Times New Roman"/>
          <w:sz w:val="24"/>
          <w:szCs w:val="20"/>
        </w:rPr>
        <w:t xml:space="preserve"> nodokļa un citas </w:t>
      </w:r>
      <w:r w:rsidR="00E40A6D">
        <w:rPr>
          <w:rFonts w:ascii="Times New Roman" w:hAnsi="Times New Roman"/>
          <w:sz w:val="24"/>
          <w:szCs w:val="20"/>
        </w:rPr>
        <w:t xml:space="preserve">maza apjoma saimnieciskās darbības režīmu sakārtošanu; h) </w:t>
      </w:r>
      <w:r w:rsidRPr="005811A2">
        <w:rPr>
          <w:rFonts w:ascii="Times New Roman" w:hAnsi="Times New Roman"/>
          <w:sz w:val="24"/>
          <w:szCs w:val="20"/>
        </w:rPr>
        <w:t>akcīzes un azartsp</w:t>
      </w:r>
      <w:r w:rsidR="00E40A6D">
        <w:rPr>
          <w:rFonts w:ascii="Times New Roman" w:hAnsi="Times New Roman"/>
          <w:sz w:val="24"/>
          <w:szCs w:val="20"/>
        </w:rPr>
        <w:t>ēļu nodokļa likmju palielināšanu u.c. pasākumus</w:t>
      </w:r>
      <w:r w:rsidRPr="005811A2">
        <w:rPr>
          <w:rFonts w:ascii="Times New Roman" w:hAnsi="Times New Roman"/>
          <w:sz w:val="24"/>
          <w:szCs w:val="20"/>
        </w:rPr>
        <w:t>. Pasākumu komplekss ir veidots tā, lai sabalansēti kāpinātu gan pieprasījuma, gan piedāvājuma pusi un nodrošinātu strukturālās izmaņas, nevis pa</w:t>
      </w:r>
      <w:r w:rsidR="00EA0DB0" w:rsidRPr="00EA0DB0">
        <w:rPr>
          <w:rFonts w:ascii="Times New Roman" w:hAnsi="Times New Roman"/>
          <w:sz w:val="24"/>
          <w:szCs w:val="20"/>
        </w:rPr>
        <w:t>stiprinātu cikliskos efektus.</w:t>
      </w:r>
    </w:p>
    <w:p w14:paraId="2A5CC732" w14:textId="33ECF074" w:rsidR="00B31B1E" w:rsidRDefault="005811A2" w:rsidP="00F74C66">
      <w:pPr>
        <w:spacing w:after="0" w:line="240" w:lineRule="auto"/>
        <w:ind w:firstLine="720"/>
        <w:jc w:val="both"/>
        <w:rPr>
          <w:rFonts w:ascii="Times New Roman" w:hAnsi="Times New Roman"/>
          <w:sz w:val="24"/>
          <w:szCs w:val="20"/>
        </w:rPr>
      </w:pPr>
      <w:r w:rsidRPr="005811A2">
        <w:rPr>
          <w:rFonts w:ascii="Times New Roman" w:hAnsi="Times New Roman"/>
          <w:sz w:val="24"/>
          <w:szCs w:val="20"/>
        </w:rPr>
        <w:t>Ekonomisko izrāvienu nevar panākt ar pakāpeniskiem un neli</w:t>
      </w:r>
      <w:r w:rsidR="004A09BB">
        <w:rPr>
          <w:rFonts w:ascii="Times New Roman" w:hAnsi="Times New Roman"/>
          <w:sz w:val="24"/>
          <w:szCs w:val="20"/>
        </w:rPr>
        <w:t>eliem soļiem. Ekonomikas procesu</w:t>
      </w:r>
      <w:r w:rsidRPr="005811A2">
        <w:rPr>
          <w:rFonts w:ascii="Times New Roman" w:hAnsi="Times New Roman"/>
          <w:sz w:val="24"/>
          <w:szCs w:val="20"/>
        </w:rPr>
        <w:t xml:space="preserve"> ietekmē tās dalībnieku uzvedība – lēmums investēt Latvijā vai nē, paplašināt savu biznesu vai nē. Uzvedības maiņu var sagaidīt, ja politikas pasākuma impulss ir pietiekami liels. Tomēr lielam impulsam ir sava fiskālā cena </w:t>
      </w:r>
      <w:r w:rsidRPr="00417CF3">
        <w:rPr>
          <w:rFonts w:ascii="Times New Roman" w:hAnsi="Times New Roman"/>
          <w:sz w:val="24"/>
          <w:szCs w:val="20"/>
        </w:rPr>
        <w:t>– 2018.gadā 0,7% no IKP, turpmākajos divos gados attiecīgi 0,5% un 0,3%</w:t>
      </w:r>
      <w:r w:rsidR="004A09BB" w:rsidRPr="00417CF3">
        <w:rPr>
          <w:rFonts w:ascii="Times New Roman" w:hAnsi="Times New Roman"/>
          <w:sz w:val="24"/>
          <w:szCs w:val="20"/>
        </w:rPr>
        <w:t>,</w:t>
      </w:r>
      <w:r w:rsidRPr="005811A2">
        <w:rPr>
          <w:rFonts w:ascii="Times New Roman" w:hAnsi="Times New Roman"/>
          <w:sz w:val="24"/>
          <w:szCs w:val="20"/>
        </w:rPr>
        <w:t xml:space="preserve"> un rodas dabisks jautājums, vai Latvija to var atļauties. Fiskālā</w:t>
      </w:r>
      <w:r w:rsidR="004A09BB">
        <w:rPr>
          <w:rFonts w:ascii="Times New Roman" w:hAnsi="Times New Roman"/>
          <w:sz w:val="24"/>
          <w:szCs w:val="20"/>
        </w:rPr>
        <w:t>s prognozes rāda, ka 2017.</w:t>
      </w:r>
      <w:r w:rsidRPr="005811A2">
        <w:rPr>
          <w:rFonts w:ascii="Times New Roman" w:hAnsi="Times New Roman"/>
          <w:sz w:val="24"/>
          <w:szCs w:val="20"/>
        </w:rPr>
        <w:t xml:space="preserve">gadā vispārējās valdības budžeta deficīts būs 0,8% no IKP. </w:t>
      </w:r>
      <w:r w:rsidR="004A09BB">
        <w:rPr>
          <w:rFonts w:ascii="Times New Roman" w:hAnsi="Times New Roman"/>
          <w:sz w:val="24"/>
          <w:szCs w:val="20"/>
        </w:rPr>
        <w:t>2018.gadā pie</w:t>
      </w:r>
      <w:r w:rsidRPr="005811A2">
        <w:rPr>
          <w:rFonts w:ascii="Times New Roman" w:hAnsi="Times New Roman"/>
          <w:sz w:val="24"/>
          <w:szCs w:val="20"/>
        </w:rPr>
        <w:t xml:space="preserve"> nemainīgas politikas tas samazinā</w:t>
      </w:r>
      <w:r w:rsidR="004A09BB">
        <w:rPr>
          <w:rFonts w:ascii="Times New Roman" w:hAnsi="Times New Roman"/>
          <w:sz w:val="24"/>
          <w:szCs w:val="20"/>
        </w:rPr>
        <w:t>tos līdz 0,3%, bet 2019. un 2020.</w:t>
      </w:r>
      <w:r w:rsidRPr="005811A2">
        <w:rPr>
          <w:rFonts w:ascii="Times New Roman" w:hAnsi="Times New Roman"/>
          <w:sz w:val="24"/>
          <w:szCs w:val="20"/>
        </w:rPr>
        <w:t xml:space="preserve">gadā būtu pārpalikums </w:t>
      </w:r>
      <w:r w:rsidRPr="005811A2">
        <w:rPr>
          <w:rFonts w:ascii="Times New Roman" w:hAnsi="Times New Roman"/>
          <w:sz w:val="24"/>
          <w:szCs w:val="20"/>
        </w:rPr>
        <w:lastRenderedPageBreak/>
        <w:t xml:space="preserve">attiecīgi 0,3% un 0,8% no IKP. </w:t>
      </w:r>
      <w:r w:rsidR="004A09BB">
        <w:rPr>
          <w:rFonts w:ascii="Times New Roman" w:hAnsi="Times New Roman"/>
          <w:sz w:val="24"/>
          <w:szCs w:val="20"/>
        </w:rPr>
        <w:t>SIP</w:t>
      </w:r>
      <w:r w:rsidRPr="005811A2">
        <w:rPr>
          <w:rFonts w:ascii="Times New Roman" w:hAnsi="Times New Roman"/>
          <w:sz w:val="24"/>
          <w:szCs w:val="20"/>
        </w:rPr>
        <w:t xml:space="preserve"> fiskālās disciplīnas mērķi nosaka, ka Latvijas vispārējās valdīb</w:t>
      </w:r>
      <w:r w:rsidR="004A09BB">
        <w:rPr>
          <w:rFonts w:ascii="Times New Roman" w:hAnsi="Times New Roman"/>
          <w:sz w:val="24"/>
          <w:szCs w:val="20"/>
        </w:rPr>
        <w:t>as strukturālais deficīts 2018.</w:t>
      </w:r>
      <w:r w:rsidRPr="005811A2">
        <w:rPr>
          <w:rFonts w:ascii="Times New Roman" w:hAnsi="Times New Roman"/>
          <w:sz w:val="24"/>
          <w:szCs w:val="20"/>
        </w:rPr>
        <w:t>gadā nedrīkst pārsni</w:t>
      </w:r>
      <w:r w:rsidR="004A09BB">
        <w:rPr>
          <w:rFonts w:ascii="Times New Roman" w:hAnsi="Times New Roman"/>
          <w:sz w:val="24"/>
          <w:szCs w:val="20"/>
        </w:rPr>
        <w:t>egt 1,7% no IKP, 2019. un 2020.</w:t>
      </w:r>
      <w:r w:rsidRPr="005811A2">
        <w:rPr>
          <w:rFonts w:ascii="Times New Roman" w:hAnsi="Times New Roman"/>
          <w:sz w:val="24"/>
          <w:szCs w:val="20"/>
        </w:rPr>
        <w:t>gadā attiecīgi 1,5% un 1,0%.</w:t>
      </w:r>
      <w:r w:rsidR="004A09BB">
        <w:rPr>
          <w:rFonts w:ascii="Times New Roman" w:hAnsi="Times New Roman"/>
          <w:sz w:val="24"/>
          <w:szCs w:val="20"/>
        </w:rPr>
        <w:t xml:space="preserve"> Latvijas F</w:t>
      </w:r>
      <w:r w:rsidRPr="005811A2">
        <w:rPr>
          <w:rFonts w:ascii="Times New Roman" w:hAnsi="Times New Roman"/>
          <w:sz w:val="24"/>
          <w:szCs w:val="20"/>
        </w:rPr>
        <w:t>iskālās disciplīnas padomes apstiprinātā bilan</w:t>
      </w:r>
      <w:r w:rsidR="004A09BB">
        <w:rPr>
          <w:rFonts w:ascii="Times New Roman" w:hAnsi="Times New Roman"/>
          <w:sz w:val="24"/>
          <w:szCs w:val="20"/>
        </w:rPr>
        <w:t>ces cikliskās komponentes 2018.</w:t>
      </w:r>
      <w:r w:rsidRPr="005811A2">
        <w:rPr>
          <w:rFonts w:ascii="Times New Roman" w:hAnsi="Times New Roman"/>
          <w:sz w:val="24"/>
          <w:szCs w:val="20"/>
        </w:rPr>
        <w:t>gadā ir 0,1%</w:t>
      </w:r>
      <w:r w:rsidR="004A09BB">
        <w:rPr>
          <w:rFonts w:ascii="Times New Roman" w:hAnsi="Times New Roman"/>
          <w:sz w:val="24"/>
          <w:szCs w:val="20"/>
        </w:rPr>
        <w:t xml:space="preserve"> no IKP un 0,3 % 2019. un 2020.</w:t>
      </w:r>
      <w:r w:rsidRPr="005811A2">
        <w:rPr>
          <w:rFonts w:ascii="Times New Roman" w:hAnsi="Times New Roman"/>
          <w:sz w:val="24"/>
          <w:szCs w:val="20"/>
        </w:rPr>
        <w:t>gadā, kas nozīmē, ka nominālais def</w:t>
      </w:r>
      <w:r w:rsidR="004A09BB">
        <w:rPr>
          <w:rFonts w:ascii="Times New Roman" w:hAnsi="Times New Roman"/>
          <w:sz w:val="24"/>
          <w:szCs w:val="20"/>
        </w:rPr>
        <w:t>icīts nedrīkst pārsniegt 2018.gadā 1,6% un 2019. un 2020.gadā 1,2% un 0,7</w:t>
      </w:r>
      <w:r w:rsidRPr="005811A2">
        <w:rPr>
          <w:rFonts w:ascii="Times New Roman" w:hAnsi="Times New Roman"/>
          <w:sz w:val="24"/>
          <w:szCs w:val="20"/>
        </w:rPr>
        <w:t xml:space="preserve">%. Latvijas </w:t>
      </w:r>
      <w:r w:rsidR="004A09BB">
        <w:rPr>
          <w:rFonts w:ascii="Times New Roman" w:hAnsi="Times New Roman"/>
          <w:sz w:val="24"/>
          <w:szCs w:val="20"/>
        </w:rPr>
        <w:t>FDL 2020.</w:t>
      </w:r>
      <w:r w:rsidRPr="005811A2">
        <w:rPr>
          <w:rFonts w:ascii="Times New Roman" w:hAnsi="Times New Roman"/>
          <w:sz w:val="24"/>
          <w:szCs w:val="20"/>
        </w:rPr>
        <w:t>gadā nosaka stingrāku prasību – 0,5% no IKP pieļaujamo deficītu.</w:t>
      </w:r>
      <w:r w:rsidR="004A09BB">
        <w:rPr>
          <w:rFonts w:ascii="Times New Roman" w:hAnsi="Times New Roman"/>
          <w:sz w:val="24"/>
          <w:szCs w:val="20"/>
        </w:rPr>
        <w:t xml:space="preserve"> Līdz ar to fiskālā telpa 2018.</w:t>
      </w:r>
      <w:r w:rsidRPr="005811A2">
        <w:rPr>
          <w:rFonts w:ascii="Times New Roman" w:hAnsi="Times New Roman"/>
          <w:sz w:val="24"/>
          <w:szCs w:val="20"/>
        </w:rPr>
        <w:t>gadā</w:t>
      </w:r>
      <w:r w:rsidR="004A09BB">
        <w:rPr>
          <w:rFonts w:ascii="Times New Roman" w:hAnsi="Times New Roman"/>
          <w:sz w:val="24"/>
          <w:szCs w:val="20"/>
        </w:rPr>
        <w:t xml:space="preserve"> ir 1,3% no IKP, 2019. un 2020.</w:t>
      </w:r>
      <w:r w:rsidRPr="005811A2">
        <w:rPr>
          <w:rFonts w:ascii="Times New Roman" w:hAnsi="Times New Roman"/>
          <w:sz w:val="24"/>
          <w:szCs w:val="20"/>
        </w:rPr>
        <w:t>gadā 1,5% un 1,3% no IKP.</w:t>
      </w:r>
      <w:r w:rsidR="00BB33B7">
        <w:rPr>
          <w:rFonts w:ascii="Times New Roman" w:hAnsi="Times New Roman"/>
          <w:sz w:val="24"/>
          <w:szCs w:val="20"/>
        </w:rPr>
        <w:t xml:space="preserve"> Stabilitātes programmas </w:t>
      </w:r>
      <w:r w:rsidRPr="005811A2">
        <w:rPr>
          <w:rFonts w:ascii="Times New Roman" w:hAnsi="Times New Roman"/>
          <w:sz w:val="24"/>
          <w:szCs w:val="20"/>
        </w:rPr>
        <w:t xml:space="preserve">fiskālās attīstības scenārijs paredz, ka 1,3% fiskālā telpa tiks izmantota fiskālā nodrošinājuma rezervei 0,1% no IKP apmērā, 0,4% no IKP veselības reformai un 0,7% no IKP nodokļu reformai. Turpmākajos gados fiskālās telpas kapacitāte ļauj ne tikai turpināt reformas, bet arī rezervēt daļu no telpas </w:t>
      </w:r>
      <w:r w:rsidR="008B2FEA">
        <w:rPr>
          <w:rFonts w:ascii="Times New Roman" w:hAnsi="Times New Roman"/>
          <w:sz w:val="24"/>
          <w:szCs w:val="20"/>
        </w:rPr>
        <w:t>JPI</w:t>
      </w:r>
      <w:r w:rsidRPr="005811A2">
        <w:rPr>
          <w:rFonts w:ascii="Times New Roman" w:hAnsi="Times New Roman"/>
          <w:sz w:val="24"/>
          <w:szCs w:val="20"/>
        </w:rPr>
        <w:t>.</w:t>
      </w:r>
      <w:r w:rsidR="00417CF3">
        <w:rPr>
          <w:rFonts w:ascii="Times New Roman" w:hAnsi="Times New Roman"/>
          <w:sz w:val="24"/>
          <w:szCs w:val="20"/>
        </w:rPr>
        <w:t xml:space="preserve"> Līdz ar to plānotā nodokļu reforma ir īstenojama esošajos fiskālajos apstākļos, tā ir vēlama tieši šajā periodā, lai nodrošinātu vēlamos izau</w:t>
      </w:r>
      <w:r w:rsidR="0006534D">
        <w:rPr>
          <w:rFonts w:ascii="Times New Roman" w:hAnsi="Times New Roman"/>
          <w:sz w:val="24"/>
          <w:szCs w:val="20"/>
        </w:rPr>
        <w:t>gsmes apstākļus pēc 2020.</w:t>
      </w:r>
      <w:r w:rsidR="00417CF3">
        <w:rPr>
          <w:rFonts w:ascii="Times New Roman" w:hAnsi="Times New Roman"/>
          <w:sz w:val="24"/>
          <w:szCs w:val="20"/>
        </w:rPr>
        <w:t xml:space="preserve">gada, kad pastāv risks, ka ES finansējums valsts investīcijām varētu būt mazāks, kā pašlaik. </w:t>
      </w:r>
      <w:r w:rsidR="00B31B1E">
        <w:rPr>
          <w:rFonts w:ascii="Times New Roman" w:hAnsi="Times New Roman"/>
          <w:sz w:val="24"/>
          <w:szCs w:val="20"/>
        </w:rPr>
        <w:br w:type="page"/>
      </w:r>
    </w:p>
    <w:p w14:paraId="183E178A" w14:textId="77777777" w:rsidR="005536A9" w:rsidRPr="00F51615" w:rsidRDefault="00F512CA" w:rsidP="00F512CA">
      <w:pPr>
        <w:pStyle w:val="Heading1"/>
        <w:numPr>
          <w:ilvl w:val="0"/>
          <w:numId w:val="1"/>
        </w:numPr>
        <w:ind w:left="284" w:hanging="283"/>
        <w:jc w:val="center"/>
        <w:rPr>
          <w:rFonts w:ascii="Times New Roman" w:hAnsi="Times New Roman" w:cs="Times New Roman"/>
          <w:sz w:val="32"/>
        </w:rPr>
      </w:pPr>
      <w:r w:rsidRPr="00F51615">
        <w:rPr>
          <w:rFonts w:ascii="Times New Roman" w:hAnsi="Times New Roman" w:cs="Times New Roman"/>
          <w:sz w:val="32"/>
        </w:rPr>
        <w:lastRenderedPageBreak/>
        <w:t xml:space="preserve"> </w:t>
      </w:r>
      <w:bookmarkStart w:id="1" w:name="_Toc479331081"/>
      <w:r w:rsidRPr="00F51615">
        <w:rPr>
          <w:rFonts w:ascii="Times New Roman" w:hAnsi="Times New Roman" w:cs="Times New Roman"/>
          <w:sz w:val="32"/>
        </w:rPr>
        <w:t>Ekonomiskā situācija</w:t>
      </w:r>
      <w:bookmarkEnd w:id="1"/>
    </w:p>
    <w:p w14:paraId="2119B4E5" w14:textId="7BA63C07" w:rsidR="00A34463" w:rsidRDefault="00A34463" w:rsidP="007E26F6">
      <w:pPr>
        <w:pStyle w:val="Heading2"/>
        <w:numPr>
          <w:ilvl w:val="1"/>
          <w:numId w:val="1"/>
        </w:numPr>
        <w:spacing w:before="240" w:after="120"/>
        <w:ind w:left="709"/>
        <w:rPr>
          <w:rFonts w:ascii="Times New Roman" w:hAnsi="Times New Roman" w:cs="Times New Roman"/>
          <w:sz w:val="24"/>
        </w:rPr>
      </w:pPr>
      <w:bookmarkStart w:id="2" w:name="_Toc479331082"/>
      <w:r w:rsidRPr="00F51615">
        <w:rPr>
          <w:rFonts w:ascii="Times New Roman" w:hAnsi="Times New Roman" w:cs="Times New Roman"/>
          <w:sz w:val="24"/>
        </w:rPr>
        <w:t>Ārējā ekonomiskā vide</w:t>
      </w:r>
      <w:bookmarkEnd w:id="2"/>
    </w:p>
    <w:p w14:paraId="040780A6"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Pasaules ekonomikas izaugsme</w:t>
      </w:r>
      <w:r w:rsidRPr="00A62844">
        <w:rPr>
          <w:rFonts w:ascii="Times New Roman" w:eastAsia="Times New Roman" w:hAnsi="Times New Roman" w:cs="Times New Roman"/>
          <w:color w:val="000000"/>
          <w:sz w:val="24"/>
          <w:szCs w:val="24"/>
          <w:lang w:eastAsia="lv-LV"/>
        </w:rPr>
        <w:t xml:space="preserve"> 2016.gadā nesasniedza iepriekš prognozēto un bija zemākā kopš 2009.gada krīzes, veidojot 3,0%. Lēno izaugsmi, kas bija vēl nedaudz zemāka nekā 2015.gadā, noteica galvenokārt izaugsmes tempu bremzēšanās pasaules attīstītajās valstīs, kas bija vērojama gada pirmajā pusē, savukārt attīstības valstu izaugsme kopumā bija atbilstoša prognozēm.</w:t>
      </w:r>
    </w:p>
    <w:p w14:paraId="2EDF1368" w14:textId="284532FC"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Zemos izaugsmes tempus attīstītajās valstīs lielā mērā noteica situācija ASV, kur </w:t>
      </w:r>
      <w:r w:rsidR="009A6CAC">
        <w:rPr>
          <w:rFonts w:ascii="Times New Roman" w:eastAsia="Times New Roman" w:hAnsi="Times New Roman" w:cs="Times New Roman"/>
          <w:color w:val="000000"/>
          <w:sz w:val="24"/>
          <w:szCs w:val="24"/>
          <w:lang w:eastAsia="lv-LV"/>
        </w:rPr>
        <w:t>IKP</w:t>
      </w:r>
      <w:r w:rsidRPr="00A62844">
        <w:rPr>
          <w:rFonts w:ascii="Times New Roman" w:eastAsia="Times New Roman" w:hAnsi="Times New Roman" w:cs="Times New Roman"/>
          <w:color w:val="000000"/>
          <w:sz w:val="24"/>
          <w:szCs w:val="24"/>
          <w:lang w:eastAsia="lv-LV"/>
        </w:rPr>
        <w:t xml:space="preserve"> pieaugums 2016.gadā saruka līdz 1,6%, salīdzinot ar iepriekšējā gadā sasniegtajiem 2,6%. Izaugsmes palēnināšanos ASV ietekmēja investīciju kritums, tajā skaitā zemo naftas cenu ietekmē mazinoties investīcijām naftas industrijā, valdības izdevumu samazinājums, kā arī neskaidrības par ASV prezidenta vēlēšanu rezultātu un bažas par izaugsmes tempu palēnināšanos lielajos attīstības valstu tirgos. Izaugsmes palēnināšanos pagājušajā gadā piedzīvoja vēl vairākas citas vadošās pasaules valstis, tajā skaitā Lielbritānija, kuru negatīvi ietekmēja politiskā neskaidrība </w:t>
      </w:r>
      <w:r w:rsidR="009A6CAC">
        <w:rPr>
          <w:rFonts w:ascii="Times New Roman" w:eastAsia="Times New Roman" w:hAnsi="Times New Roman" w:cs="Times New Roman"/>
          <w:color w:val="000000"/>
          <w:sz w:val="24"/>
          <w:szCs w:val="24"/>
          <w:lang w:eastAsia="lv-LV"/>
        </w:rPr>
        <w:t>saistībā ar balsojumu</w:t>
      </w:r>
      <w:r w:rsidRPr="00A62844">
        <w:rPr>
          <w:rFonts w:ascii="Times New Roman" w:eastAsia="Times New Roman" w:hAnsi="Times New Roman" w:cs="Times New Roman"/>
          <w:color w:val="000000"/>
          <w:sz w:val="24"/>
          <w:szCs w:val="24"/>
          <w:lang w:eastAsia="lv-LV"/>
        </w:rPr>
        <w:t xml:space="preserve"> par valsts dalību </w:t>
      </w:r>
      <w:r w:rsidR="009A6CAC">
        <w:rPr>
          <w:rFonts w:ascii="Times New Roman" w:eastAsia="Times New Roman" w:hAnsi="Times New Roman" w:cs="Times New Roman"/>
          <w:color w:val="000000"/>
          <w:sz w:val="24"/>
          <w:szCs w:val="24"/>
          <w:lang w:eastAsia="lv-LV"/>
        </w:rPr>
        <w:t>ES, kā arī Japāna un Norvēģija.</w:t>
      </w:r>
    </w:p>
    <w:p w14:paraId="3EF851FA" w14:textId="4C0C120F"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Savukārt pasaules attīstības valstīs izaugsme kopumā 2016.gadā bija atbilstoša gaidītajam, tajā skaitā Ķīnas ekonomikas izaugsme, pateicoties valdības realizētajiem fiskālās stimulēšanas pasākumiem, izrādījās pat nedaudz straujāka par prognozēto, savukārt ekonomikas lejupslīde Krievijā, vājinoties naftas cenu kritumam, bija mazāka nekā gaidīts. Vairākās citās valstīs gan attīstība bija pretēja, tajā skaitā Indijā izaugsme nesasniedza prognozēto un Brazīlijas ekonomikas lejupslīde bija straujāka nekā tika gaidīts gada sākumā.</w:t>
      </w:r>
    </w:p>
    <w:p w14:paraId="576DAB73"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Kopumā pasaules attīstītajās valstīs izaugsme 2016.gadā palēninājās līdz 1,7%, salīdzinot ar 2,3% iepriekšējā gadā, un par 0,5 procentpunktiem atpalika no gada sākumā prognozētā līmeņa. Savukārt pasaules attīstīto valstu kopējā izaugsme 2016.gadā bija nedaudz straujāka nekā iepriekšējā gadā, sasniedzot 4,0%.</w:t>
      </w:r>
    </w:p>
    <w:p w14:paraId="25574D7F" w14:textId="7E9233ED" w:rsidR="00A62844" w:rsidRPr="00A62844" w:rsidRDefault="009A6CAC"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b/>
          <w:color w:val="000000"/>
          <w:sz w:val="24"/>
          <w:szCs w:val="24"/>
          <w:lang w:eastAsia="lv-LV"/>
        </w:rPr>
        <w:t xml:space="preserve">ES </w:t>
      </w:r>
      <w:r w:rsidR="00A62844" w:rsidRPr="00A62844">
        <w:rPr>
          <w:rFonts w:ascii="Times New Roman" w:eastAsia="Times New Roman" w:hAnsi="Times New Roman" w:cs="Times New Roman"/>
          <w:color w:val="000000"/>
          <w:sz w:val="24"/>
          <w:szCs w:val="24"/>
          <w:lang w:eastAsia="lv-LV"/>
        </w:rPr>
        <w:t xml:space="preserve">ekonomika 2016.gadā spēja uzrādīt samērā labu noturību pret ārējo un iekšējo negatīvo apstākļu ietekmi, un izaugsmes tempi, lai arī joprojām zemi, sasniedza 2016.gada sākumā prognozēto 1,9% līmeni. Arī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00A62844" w:rsidRPr="00A62844">
        <w:rPr>
          <w:rFonts w:ascii="Times New Roman" w:eastAsia="Times New Roman" w:hAnsi="Times New Roman" w:cs="Times New Roman"/>
          <w:color w:val="000000"/>
          <w:sz w:val="24"/>
          <w:szCs w:val="24"/>
          <w:lang w:eastAsia="lv-LV"/>
        </w:rPr>
        <w:t xml:space="preserve">zonas ekonomika palielinājās atbilstoši prognozētajam, sasniedzot 1,7% izaugsmi. Tomēr gan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00A62844" w:rsidRPr="00A62844">
        <w:rPr>
          <w:rFonts w:ascii="Times New Roman" w:eastAsia="Times New Roman" w:hAnsi="Times New Roman" w:cs="Times New Roman"/>
          <w:color w:val="000000"/>
          <w:sz w:val="24"/>
          <w:szCs w:val="24"/>
          <w:lang w:eastAsia="lv-LV"/>
        </w:rPr>
        <w:t xml:space="preserve">zonā, gan ES kopumā attīstības tempi bija nedaudz lēnāki nekā 2015.gadā, kad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00A62844" w:rsidRPr="00A62844">
        <w:rPr>
          <w:rFonts w:ascii="Times New Roman" w:eastAsia="Times New Roman" w:hAnsi="Times New Roman" w:cs="Times New Roman"/>
          <w:color w:val="000000"/>
          <w:sz w:val="24"/>
          <w:szCs w:val="24"/>
          <w:lang w:eastAsia="lv-LV"/>
        </w:rPr>
        <w:t xml:space="preserve">zonas un ES ekonomika bija palielinājusies attiecīgi par 2,2% un 2,0%. Starp izaugsmi veicinošajiem faktoriem ES bija zemās izejvielu, tajā skaitā energoresursu cenas, stimulējoša monetārā politika, zemais </w:t>
      </w:r>
      <w:proofErr w:type="spellStart"/>
      <w:r w:rsidR="00A62844" w:rsidRPr="00A62844">
        <w:rPr>
          <w:rFonts w:ascii="Times New Roman" w:eastAsia="Times New Roman" w:hAnsi="Times New Roman" w:cs="Times New Roman"/>
          <w:i/>
          <w:color w:val="000000"/>
          <w:sz w:val="24"/>
          <w:szCs w:val="24"/>
          <w:lang w:eastAsia="lv-LV"/>
        </w:rPr>
        <w:t>euro</w:t>
      </w:r>
      <w:proofErr w:type="spellEnd"/>
      <w:r w:rsidR="00A62844" w:rsidRPr="00A62844">
        <w:rPr>
          <w:rFonts w:ascii="Times New Roman" w:eastAsia="Times New Roman" w:hAnsi="Times New Roman" w:cs="Times New Roman"/>
          <w:color w:val="000000"/>
          <w:sz w:val="24"/>
          <w:szCs w:val="24"/>
          <w:lang w:eastAsia="lv-LV"/>
        </w:rPr>
        <w:t xml:space="preserve"> kurss, kā arī situācijas uzlabošanās darba tirgū un strukturālās reformas atsevišķās ES valstīs, kas ļāva pārvarēt tādus negatīvos faktorus kā politiskā nestabilitāte Lielbritānijas referenduma un ASV prezidenta vēlēšanu sakarā, bažas par izaugsmes tempu mazināšanos lielajos attīstības valstu tirgos, vājā pasaules tirdzniecība un teroristu uzbrukumi vairākās ES dalībvalstīs.</w:t>
      </w:r>
    </w:p>
    <w:p w14:paraId="2144B823" w14:textId="5EBE7110"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Galvenais izaugsmes nodrošinātājs ES joprojām</w:t>
      </w:r>
      <w:r w:rsidR="00CA58E5">
        <w:rPr>
          <w:rFonts w:ascii="Times New Roman" w:eastAsia="Times New Roman" w:hAnsi="Times New Roman" w:cs="Times New Roman"/>
          <w:color w:val="000000"/>
          <w:sz w:val="24"/>
          <w:szCs w:val="24"/>
          <w:lang w:eastAsia="lv-LV"/>
        </w:rPr>
        <w:t xml:space="preserve"> bija privātais patēriņš, kamēr</w:t>
      </w:r>
      <w:r w:rsidRPr="00A62844">
        <w:rPr>
          <w:rFonts w:ascii="Times New Roman" w:eastAsia="Times New Roman" w:hAnsi="Times New Roman" w:cs="Times New Roman"/>
          <w:color w:val="000000"/>
          <w:sz w:val="24"/>
          <w:szCs w:val="24"/>
          <w:lang w:eastAsia="lv-LV"/>
        </w:rPr>
        <w:t xml:space="preserve"> kā lielākā problēma saglabājās vājie investīciju rādītāji, radot bažas par ekonomikas izaugsmes potenciālu nākotnē. Investīciju atjaunošanās tempi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 xml:space="preserve">zonā pēdējo gadu laikā ir bijuši vājāki nekā citās krīzes skartajās ekonomikās, un investīciju īpatsvars </w:t>
      </w:r>
      <w:r w:rsidR="00CA58E5">
        <w:rPr>
          <w:rFonts w:ascii="Times New Roman" w:eastAsia="Times New Roman" w:hAnsi="Times New Roman" w:cs="Times New Roman"/>
          <w:color w:val="000000"/>
          <w:sz w:val="24"/>
          <w:szCs w:val="24"/>
          <w:lang w:eastAsia="lv-LV"/>
        </w:rPr>
        <w:t>IKP</w:t>
      </w:r>
      <w:r w:rsidRPr="00A62844">
        <w:rPr>
          <w:rFonts w:ascii="Times New Roman" w:eastAsia="Times New Roman" w:hAnsi="Times New Roman" w:cs="Times New Roman"/>
          <w:color w:val="000000"/>
          <w:sz w:val="24"/>
          <w:szCs w:val="24"/>
          <w:lang w:eastAsia="lv-LV"/>
        </w:rPr>
        <w:t xml:space="preserve">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zonā pašlaik vēl aizvien ir par 1,8 procentpunktiem zemāks nekā 2000.gadu sākumā.</w:t>
      </w:r>
    </w:p>
    <w:p w14:paraId="591610BA" w14:textId="77777777" w:rsidR="00CA58E5" w:rsidRDefault="00CA58E5">
      <w:pP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br w:type="page"/>
      </w:r>
    </w:p>
    <w:p w14:paraId="48AE4294" w14:textId="12D6E4D9" w:rsidR="00A62844" w:rsidRPr="00A62844" w:rsidRDefault="00A62844" w:rsidP="00D47B98">
      <w:pPr>
        <w:autoSpaceDE w:val="0"/>
        <w:autoSpaceDN w:val="0"/>
        <w:adjustRightInd w:val="0"/>
        <w:spacing w:before="120" w:after="60" w:line="240" w:lineRule="auto"/>
        <w:jc w:val="right"/>
        <w:rPr>
          <w:rFonts w:ascii="Times New Roman" w:eastAsia="Times New Roman" w:hAnsi="Times New Roman" w:cs="Times New Roman"/>
          <w:b/>
          <w:color w:val="000000"/>
          <w:sz w:val="24"/>
          <w:szCs w:val="24"/>
          <w:lang w:eastAsia="lv-LV"/>
        </w:rPr>
      </w:pPr>
      <w:r w:rsidRPr="00A62844">
        <w:rPr>
          <w:rFonts w:ascii="Times New Roman" w:eastAsia="Times New Roman" w:hAnsi="Times New Roman" w:cs="Times New Roman"/>
          <w:b/>
          <w:color w:val="000000"/>
          <w:sz w:val="24"/>
          <w:szCs w:val="24"/>
          <w:lang w:eastAsia="lv-LV"/>
        </w:rPr>
        <w:lastRenderedPageBreak/>
        <w:t>2.1.tabula. Lielāko pasaules ekonomiku IKP pieauguma tempi un prognozes, % pret iepriekšējo gadu</w:t>
      </w:r>
      <w:r w:rsidRPr="00A62844">
        <w:rPr>
          <w:rFonts w:ascii="Times New Roman" w:eastAsia="Times New Roman" w:hAnsi="Times New Roman" w:cs="Times New Roman"/>
          <w:b/>
          <w:color w:val="000000"/>
          <w:sz w:val="24"/>
          <w:szCs w:val="24"/>
          <w:vertAlign w:val="superscript"/>
          <w:lang w:eastAsia="lv-LV"/>
        </w:rPr>
        <w:footnoteReference w:id="1"/>
      </w:r>
    </w:p>
    <w:tbl>
      <w:tblPr>
        <w:tblStyle w:val="GridTable6Colorful-Accent1"/>
        <w:tblW w:w="9073" w:type="dxa"/>
        <w:jc w:val="center"/>
        <w:tblLayout w:type="fixed"/>
        <w:tblLook w:val="04A0" w:firstRow="1" w:lastRow="0" w:firstColumn="1" w:lastColumn="0" w:noHBand="0" w:noVBand="1"/>
      </w:tblPr>
      <w:tblGrid>
        <w:gridCol w:w="2552"/>
        <w:gridCol w:w="1098"/>
        <w:gridCol w:w="1099"/>
        <w:gridCol w:w="1098"/>
        <w:gridCol w:w="1099"/>
        <w:gridCol w:w="1082"/>
        <w:gridCol w:w="1045"/>
      </w:tblGrid>
      <w:tr w:rsidR="00A62844" w:rsidRPr="00A62844" w14:paraId="41B4861F" w14:textId="77777777" w:rsidTr="008D2801">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603D0473" w14:textId="77777777" w:rsidR="00A62844" w:rsidRPr="00A62844" w:rsidRDefault="00A62844" w:rsidP="00A62844">
            <w:pPr>
              <w:autoSpaceDE w:val="0"/>
              <w:autoSpaceDN w:val="0"/>
              <w:adjustRightInd w:val="0"/>
              <w:jc w:val="both"/>
              <w:rPr>
                <w:rFonts w:ascii="Times New Roman" w:eastAsia="Times New Roman" w:hAnsi="Times New Roman" w:cs="Times New Roman"/>
                <w:color w:val="000000"/>
                <w:sz w:val="20"/>
                <w:szCs w:val="24"/>
                <w:lang w:eastAsia="lv-LV"/>
              </w:rPr>
            </w:pPr>
          </w:p>
        </w:tc>
        <w:tc>
          <w:tcPr>
            <w:tcW w:w="1098" w:type="dxa"/>
            <w:vMerge w:val="restart"/>
            <w:vAlign w:val="center"/>
          </w:tcPr>
          <w:p w14:paraId="1FE0A411"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2015</w:t>
            </w:r>
          </w:p>
        </w:tc>
        <w:tc>
          <w:tcPr>
            <w:tcW w:w="1099" w:type="dxa"/>
            <w:vMerge w:val="restart"/>
            <w:vAlign w:val="center"/>
          </w:tcPr>
          <w:p w14:paraId="0802F66C"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2016</w:t>
            </w:r>
          </w:p>
        </w:tc>
        <w:tc>
          <w:tcPr>
            <w:tcW w:w="1098" w:type="dxa"/>
            <w:vMerge w:val="restart"/>
            <w:vAlign w:val="center"/>
          </w:tcPr>
          <w:p w14:paraId="74B44354"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2017p</w:t>
            </w:r>
          </w:p>
        </w:tc>
        <w:tc>
          <w:tcPr>
            <w:tcW w:w="1099" w:type="dxa"/>
            <w:vMerge w:val="restart"/>
            <w:tcBorders>
              <w:right w:val="single" w:sz="4" w:space="0" w:color="9CC2E5" w:themeColor="accent1" w:themeTint="99"/>
            </w:tcBorders>
            <w:vAlign w:val="center"/>
          </w:tcPr>
          <w:p w14:paraId="4287F343"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2018p</w:t>
            </w:r>
          </w:p>
        </w:tc>
        <w:tc>
          <w:tcPr>
            <w:tcW w:w="212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748C3404"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Salīdzinājumā ar EK 2016.gada ziemas prognozēm</w:t>
            </w:r>
          </w:p>
        </w:tc>
      </w:tr>
      <w:tr w:rsidR="008D2801" w:rsidRPr="00A62844" w14:paraId="52FCFA3C" w14:textId="77777777" w:rsidTr="008D280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552" w:type="dxa"/>
            <w:vMerge/>
          </w:tcPr>
          <w:p w14:paraId="458A3917" w14:textId="77777777" w:rsidR="00A62844" w:rsidRPr="00A62844" w:rsidRDefault="00A62844" w:rsidP="00A62844">
            <w:pPr>
              <w:autoSpaceDE w:val="0"/>
              <w:autoSpaceDN w:val="0"/>
              <w:adjustRightInd w:val="0"/>
              <w:jc w:val="both"/>
              <w:rPr>
                <w:rFonts w:ascii="Times New Roman" w:eastAsia="Times New Roman" w:hAnsi="Times New Roman" w:cs="Times New Roman"/>
                <w:color w:val="000000"/>
                <w:sz w:val="20"/>
                <w:szCs w:val="24"/>
                <w:lang w:eastAsia="lv-LV"/>
              </w:rPr>
            </w:pPr>
          </w:p>
        </w:tc>
        <w:tc>
          <w:tcPr>
            <w:tcW w:w="1098" w:type="dxa"/>
            <w:vMerge/>
            <w:vAlign w:val="center"/>
          </w:tcPr>
          <w:p w14:paraId="62BCFB6C" w14:textId="77777777" w:rsidR="00A62844" w:rsidRPr="00A62844" w:rsidRDefault="00A62844" w:rsidP="00A62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1099" w:type="dxa"/>
            <w:vMerge/>
            <w:vAlign w:val="center"/>
          </w:tcPr>
          <w:p w14:paraId="070656CC" w14:textId="77777777" w:rsidR="00A62844" w:rsidRPr="00A62844" w:rsidRDefault="00A62844" w:rsidP="00A62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1098" w:type="dxa"/>
            <w:vMerge/>
            <w:vAlign w:val="center"/>
          </w:tcPr>
          <w:p w14:paraId="193C8D8E" w14:textId="77777777" w:rsidR="00A62844" w:rsidRPr="00A62844" w:rsidRDefault="00A62844" w:rsidP="00A62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1099" w:type="dxa"/>
            <w:vMerge/>
            <w:vAlign w:val="center"/>
          </w:tcPr>
          <w:p w14:paraId="430F31F7" w14:textId="77777777" w:rsidR="00A62844" w:rsidRPr="00A62844" w:rsidRDefault="00A62844" w:rsidP="00A62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1082" w:type="dxa"/>
            <w:tcBorders>
              <w:top w:val="single" w:sz="4" w:space="0" w:color="9CC2E5" w:themeColor="accent1" w:themeTint="99"/>
            </w:tcBorders>
            <w:shd w:val="clear" w:color="auto" w:fill="FFFFFF" w:themeFill="background1"/>
            <w:vAlign w:val="center"/>
          </w:tcPr>
          <w:p w14:paraId="38FC9F1B" w14:textId="77777777" w:rsidR="00A62844" w:rsidRPr="00A62844" w:rsidRDefault="00A62844" w:rsidP="00A62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A62844">
              <w:rPr>
                <w:rFonts w:ascii="Times New Roman" w:eastAsia="Times New Roman" w:hAnsi="Times New Roman" w:cs="Times New Roman"/>
                <w:b/>
                <w:color w:val="000000"/>
                <w:sz w:val="20"/>
                <w:szCs w:val="24"/>
                <w:lang w:eastAsia="lv-LV"/>
              </w:rPr>
              <w:t>2016</w:t>
            </w:r>
          </w:p>
        </w:tc>
        <w:tc>
          <w:tcPr>
            <w:tcW w:w="1045" w:type="dxa"/>
            <w:tcBorders>
              <w:top w:val="single" w:sz="4" w:space="0" w:color="9CC2E5" w:themeColor="accent1" w:themeTint="99"/>
            </w:tcBorders>
            <w:shd w:val="clear" w:color="auto" w:fill="FFFFFF" w:themeFill="background1"/>
            <w:vAlign w:val="center"/>
          </w:tcPr>
          <w:p w14:paraId="4E70A87F" w14:textId="77777777" w:rsidR="00A62844" w:rsidRPr="00A62844" w:rsidRDefault="00A62844" w:rsidP="00A62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A62844">
              <w:rPr>
                <w:rFonts w:ascii="Times New Roman" w:eastAsia="Times New Roman" w:hAnsi="Times New Roman" w:cs="Times New Roman"/>
                <w:b/>
                <w:color w:val="000000"/>
                <w:sz w:val="20"/>
                <w:szCs w:val="24"/>
                <w:lang w:eastAsia="lv-LV"/>
              </w:rPr>
              <w:t>2017</w:t>
            </w:r>
          </w:p>
        </w:tc>
      </w:tr>
      <w:tr w:rsidR="00A62844" w:rsidRPr="00A62844" w14:paraId="37740EAC" w14:textId="77777777" w:rsidTr="008D2801">
        <w:trPr>
          <w:trHeight w:val="245"/>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E18B16E"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Pasaule</w:t>
            </w:r>
          </w:p>
        </w:tc>
        <w:tc>
          <w:tcPr>
            <w:tcW w:w="1098" w:type="dxa"/>
            <w:vAlign w:val="center"/>
          </w:tcPr>
          <w:p w14:paraId="245B9670"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3,1</w:t>
            </w:r>
          </w:p>
        </w:tc>
        <w:tc>
          <w:tcPr>
            <w:tcW w:w="1099" w:type="dxa"/>
            <w:vAlign w:val="center"/>
          </w:tcPr>
          <w:p w14:paraId="68A7197B"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3,0</w:t>
            </w:r>
          </w:p>
        </w:tc>
        <w:tc>
          <w:tcPr>
            <w:tcW w:w="1098" w:type="dxa"/>
            <w:vAlign w:val="center"/>
          </w:tcPr>
          <w:p w14:paraId="6D8978DE"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3,4</w:t>
            </w:r>
          </w:p>
        </w:tc>
        <w:tc>
          <w:tcPr>
            <w:tcW w:w="1099" w:type="dxa"/>
            <w:vAlign w:val="center"/>
          </w:tcPr>
          <w:p w14:paraId="4DEEE02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3,6</w:t>
            </w:r>
          </w:p>
        </w:tc>
        <w:tc>
          <w:tcPr>
            <w:tcW w:w="1082" w:type="dxa"/>
          </w:tcPr>
          <w:p w14:paraId="6019E340"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-0,3</w:t>
            </w:r>
          </w:p>
        </w:tc>
        <w:tc>
          <w:tcPr>
            <w:tcW w:w="1045" w:type="dxa"/>
          </w:tcPr>
          <w:p w14:paraId="5C2FF919"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-0,1</w:t>
            </w:r>
          </w:p>
        </w:tc>
      </w:tr>
      <w:tr w:rsidR="00A62844" w:rsidRPr="00A62844" w14:paraId="60D9E2CE" w14:textId="77777777" w:rsidTr="008D2801">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A63A71C"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Attīstītās valstis</w:t>
            </w:r>
          </w:p>
        </w:tc>
        <w:tc>
          <w:tcPr>
            <w:tcW w:w="1098" w:type="dxa"/>
            <w:vAlign w:val="center"/>
          </w:tcPr>
          <w:p w14:paraId="5C0EDA13"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2,3</w:t>
            </w:r>
          </w:p>
        </w:tc>
        <w:tc>
          <w:tcPr>
            <w:tcW w:w="1099" w:type="dxa"/>
            <w:vAlign w:val="center"/>
          </w:tcPr>
          <w:p w14:paraId="40D10350"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1,7</w:t>
            </w:r>
          </w:p>
        </w:tc>
        <w:tc>
          <w:tcPr>
            <w:tcW w:w="1098" w:type="dxa"/>
            <w:vAlign w:val="center"/>
          </w:tcPr>
          <w:p w14:paraId="2D78E9EF"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w:t>
            </w:r>
          </w:p>
        </w:tc>
        <w:tc>
          <w:tcPr>
            <w:tcW w:w="1099" w:type="dxa"/>
            <w:vAlign w:val="center"/>
          </w:tcPr>
          <w:p w14:paraId="12B32F72"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w:t>
            </w:r>
          </w:p>
        </w:tc>
        <w:tc>
          <w:tcPr>
            <w:tcW w:w="1082" w:type="dxa"/>
          </w:tcPr>
          <w:p w14:paraId="7F2FF609"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-0,5</w:t>
            </w:r>
          </w:p>
        </w:tc>
        <w:tc>
          <w:tcPr>
            <w:tcW w:w="1045" w:type="dxa"/>
          </w:tcPr>
          <w:p w14:paraId="6DFEBE5D"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-0,2</w:t>
            </w:r>
          </w:p>
        </w:tc>
      </w:tr>
      <w:tr w:rsidR="00A62844" w:rsidRPr="00A62844" w14:paraId="5B6BA896" w14:textId="77777777" w:rsidTr="008D2801">
        <w:trPr>
          <w:trHeight w:val="264"/>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1DEDDC4" w14:textId="66EEE5E7" w:rsidR="00A62844" w:rsidRPr="00A62844" w:rsidRDefault="00F902B3" w:rsidP="00A62844">
            <w:pPr>
              <w:autoSpaceDE w:val="0"/>
              <w:autoSpaceDN w:val="0"/>
              <w:adjustRightInd w:val="0"/>
              <w:jc w:val="both"/>
              <w:rPr>
                <w:rFonts w:ascii="Times New Roman" w:eastAsia="Times New Roman" w:hAnsi="Times New Roman" w:cs="Times New Roman"/>
                <w:b w:val="0"/>
                <w:color w:val="000000"/>
                <w:sz w:val="20"/>
                <w:szCs w:val="24"/>
                <w:lang w:eastAsia="lv-LV"/>
              </w:rPr>
            </w:pPr>
            <w:proofErr w:type="spellStart"/>
            <w:r>
              <w:rPr>
                <w:rFonts w:ascii="Times New Roman" w:eastAsia="Times New Roman" w:hAnsi="Times New Roman" w:cs="Times New Roman"/>
                <w:b w:val="0"/>
                <w:i/>
                <w:color w:val="000000"/>
                <w:sz w:val="20"/>
                <w:szCs w:val="24"/>
                <w:lang w:eastAsia="lv-LV"/>
              </w:rPr>
              <w:t>Euro</w:t>
            </w:r>
            <w:proofErr w:type="spellEnd"/>
            <w:r>
              <w:rPr>
                <w:rFonts w:ascii="Times New Roman" w:eastAsia="Times New Roman" w:hAnsi="Times New Roman" w:cs="Times New Roman"/>
                <w:b w:val="0"/>
                <w:color w:val="000000"/>
                <w:sz w:val="20"/>
                <w:szCs w:val="24"/>
                <w:lang w:eastAsia="lv-LV"/>
              </w:rPr>
              <w:t xml:space="preserve"> </w:t>
            </w:r>
            <w:r w:rsidR="00A62844" w:rsidRPr="00A62844">
              <w:rPr>
                <w:rFonts w:ascii="Times New Roman" w:eastAsia="Times New Roman" w:hAnsi="Times New Roman" w:cs="Times New Roman"/>
                <w:b w:val="0"/>
                <w:color w:val="000000"/>
                <w:sz w:val="20"/>
                <w:szCs w:val="24"/>
                <w:lang w:eastAsia="lv-LV"/>
              </w:rPr>
              <w:t>zona</w:t>
            </w:r>
          </w:p>
        </w:tc>
        <w:tc>
          <w:tcPr>
            <w:tcW w:w="1098" w:type="dxa"/>
            <w:vAlign w:val="center"/>
          </w:tcPr>
          <w:p w14:paraId="7DEE7560"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w:t>
            </w:r>
          </w:p>
        </w:tc>
        <w:tc>
          <w:tcPr>
            <w:tcW w:w="1099" w:type="dxa"/>
            <w:vAlign w:val="center"/>
          </w:tcPr>
          <w:p w14:paraId="4019E78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1,7</w:t>
            </w:r>
          </w:p>
        </w:tc>
        <w:tc>
          <w:tcPr>
            <w:tcW w:w="1098" w:type="dxa"/>
            <w:vAlign w:val="center"/>
          </w:tcPr>
          <w:p w14:paraId="3CD3DF10"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1,6</w:t>
            </w:r>
          </w:p>
        </w:tc>
        <w:tc>
          <w:tcPr>
            <w:tcW w:w="1099" w:type="dxa"/>
            <w:vAlign w:val="center"/>
          </w:tcPr>
          <w:p w14:paraId="27214B6C"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1,8</w:t>
            </w:r>
          </w:p>
        </w:tc>
        <w:tc>
          <w:tcPr>
            <w:tcW w:w="1082" w:type="dxa"/>
          </w:tcPr>
          <w:p w14:paraId="43572335"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0,0</w:t>
            </w:r>
          </w:p>
        </w:tc>
        <w:tc>
          <w:tcPr>
            <w:tcW w:w="1045" w:type="dxa"/>
          </w:tcPr>
          <w:p w14:paraId="00EE9235"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-0,3</w:t>
            </w:r>
          </w:p>
        </w:tc>
      </w:tr>
      <w:tr w:rsidR="00A62844" w:rsidRPr="00A62844" w14:paraId="74724CB8" w14:textId="77777777" w:rsidTr="008D280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C2F5836"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Vācija</w:t>
            </w:r>
          </w:p>
        </w:tc>
        <w:tc>
          <w:tcPr>
            <w:tcW w:w="1098" w:type="dxa"/>
            <w:vAlign w:val="center"/>
          </w:tcPr>
          <w:p w14:paraId="4F57ED21"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1,7</w:t>
            </w:r>
          </w:p>
        </w:tc>
        <w:tc>
          <w:tcPr>
            <w:tcW w:w="1099" w:type="dxa"/>
            <w:vAlign w:val="center"/>
          </w:tcPr>
          <w:p w14:paraId="7B30D8D6"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1,9</w:t>
            </w:r>
          </w:p>
        </w:tc>
        <w:tc>
          <w:tcPr>
            <w:tcW w:w="1098" w:type="dxa"/>
            <w:vAlign w:val="center"/>
          </w:tcPr>
          <w:p w14:paraId="1BFB7F62"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1,6</w:t>
            </w:r>
          </w:p>
        </w:tc>
        <w:tc>
          <w:tcPr>
            <w:tcW w:w="1099" w:type="dxa"/>
            <w:vAlign w:val="center"/>
          </w:tcPr>
          <w:p w14:paraId="1A528CF9"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1,8</w:t>
            </w:r>
          </w:p>
        </w:tc>
        <w:tc>
          <w:tcPr>
            <w:tcW w:w="1082" w:type="dxa"/>
          </w:tcPr>
          <w:p w14:paraId="6BF6F30A"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+0.1</w:t>
            </w:r>
          </w:p>
        </w:tc>
        <w:tc>
          <w:tcPr>
            <w:tcW w:w="1045" w:type="dxa"/>
          </w:tcPr>
          <w:p w14:paraId="7BD6A484"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-0.2</w:t>
            </w:r>
          </w:p>
        </w:tc>
      </w:tr>
      <w:tr w:rsidR="00A62844" w:rsidRPr="00A62844" w14:paraId="3503FC4E" w14:textId="77777777" w:rsidTr="008D2801">
        <w:trPr>
          <w:trHeight w:val="271"/>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FF616EB"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Lielbritānija</w:t>
            </w:r>
          </w:p>
        </w:tc>
        <w:tc>
          <w:tcPr>
            <w:tcW w:w="1098" w:type="dxa"/>
            <w:vAlign w:val="center"/>
          </w:tcPr>
          <w:p w14:paraId="7EDA1ABF"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2,2</w:t>
            </w:r>
          </w:p>
        </w:tc>
        <w:tc>
          <w:tcPr>
            <w:tcW w:w="1099" w:type="dxa"/>
            <w:vAlign w:val="center"/>
          </w:tcPr>
          <w:p w14:paraId="10410860"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w:t>
            </w:r>
          </w:p>
        </w:tc>
        <w:tc>
          <w:tcPr>
            <w:tcW w:w="1098" w:type="dxa"/>
            <w:vAlign w:val="center"/>
          </w:tcPr>
          <w:p w14:paraId="29EB0F70"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1,5</w:t>
            </w:r>
          </w:p>
        </w:tc>
        <w:tc>
          <w:tcPr>
            <w:tcW w:w="1099" w:type="dxa"/>
            <w:vAlign w:val="center"/>
          </w:tcPr>
          <w:p w14:paraId="39BBF6E2"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1,2</w:t>
            </w:r>
          </w:p>
        </w:tc>
        <w:tc>
          <w:tcPr>
            <w:tcW w:w="1082" w:type="dxa"/>
          </w:tcPr>
          <w:p w14:paraId="7AFB029B"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-0,1</w:t>
            </w:r>
          </w:p>
        </w:tc>
        <w:tc>
          <w:tcPr>
            <w:tcW w:w="1045" w:type="dxa"/>
          </w:tcPr>
          <w:p w14:paraId="0A9FF198"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-0,6</w:t>
            </w:r>
          </w:p>
        </w:tc>
      </w:tr>
      <w:tr w:rsidR="00A62844" w:rsidRPr="00A62844" w14:paraId="38319D02" w14:textId="77777777" w:rsidTr="008D280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4F31CFE"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ASV</w:t>
            </w:r>
          </w:p>
        </w:tc>
        <w:tc>
          <w:tcPr>
            <w:tcW w:w="1098" w:type="dxa"/>
            <w:vAlign w:val="center"/>
          </w:tcPr>
          <w:p w14:paraId="2DAC2241"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2,6</w:t>
            </w:r>
          </w:p>
        </w:tc>
        <w:tc>
          <w:tcPr>
            <w:tcW w:w="1099" w:type="dxa"/>
            <w:vAlign w:val="center"/>
          </w:tcPr>
          <w:p w14:paraId="3FAAD355"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1,6</w:t>
            </w:r>
          </w:p>
        </w:tc>
        <w:tc>
          <w:tcPr>
            <w:tcW w:w="1098" w:type="dxa"/>
            <w:vAlign w:val="center"/>
          </w:tcPr>
          <w:p w14:paraId="177A34CE"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2,3</w:t>
            </w:r>
          </w:p>
        </w:tc>
        <w:tc>
          <w:tcPr>
            <w:tcW w:w="1099" w:type="dxa"/>
            <w:vAlign w:val="center"/>
          </w:tcPr>
          <w:p w14:paraId="46487CE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2,2</w:t>
            </w:r>
          </w:p>
        </w:tc>
        <w:tc>
          <w:tcPr>
            <w:tcW w:w="1082" w:type="dxa"/>
          </w:tcPr>
          <w:p w14:paraId="65ECA15A"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-1,1</w:t>
            </w:r>
          </w:p>
        </w:tc>
        <w:tc>
          <w:tcPr>
            <w:tcW w:w="1045" w:type="dxa"/>
          </w:tcPr>
          <w:p w14:paraId="41F6E811"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-0,3</w:t>
            </w:r>
          </w:p>
        </w:tc>
      </w:tr>
      <w:tr w:rsidR="00A62844" w:rsidRPr="00A62844" w14:paraId="112690A7" w14:textId="77777777" w:rsidTr="008D2801">
        <w:trPr>
          <w:trHeight w:val="279"/>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2611E7B"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Japāna</w:t>
            </w:r>
          </w:p>
        </w:tc>
        <w:tc>
          <w:tcPr>
            <w:tcW w:w="1098" w:type="dxa"/>
            <w:vAlign w:val="center"/>
          </w:tcPr>
          <w:p w14:paraId="42DB3CD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1,2</w:t>
            </w:r>
          </w:p>
        </w:tc>
        <w:tc>
          <w:tcPr>
            <w:tcW w:w="1099" w:type="dxa"/>
            <w:vAlign w:val="center"/>
          </w:tcPr>
          <w:p w14:paraId="6FB9A3A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0,9</w:t>
            </w:r>
          </w:p>
        </w:tc>
        <w:tc>
          <w:tcPr>
            <w:tcW w:w="1098" w:type="dxa"/>
            <w:vAlign w:val="center"/>
          </w:tcPr>
          <w:p w14:paraId="3FC80334"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1,0</w:t>
            </w:r>
          </w:p>
        </w:tc>
        <w:tc>
          <w:tcPr>
            <w:tcW w:w="1099" w:type="dxa"/>
            <w:vAlign w:val="center"/>
          </w:tcPr>
          <w:p w14:paraId="772FAAF1"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0,5</w:t>
            </w:r>
          </w:p>
        </w:tc>
        <w:tc>
          <w:tcPr>
            <w:tcW w:w="1082" w:type="dxa"/>
          </w:tcPr>
          <w:p w14:paraId="7ABDE392"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-0,2</w:t>
            </w:r>
          </w:p>
        </w:tc>
        <w:tc>
          <w:tcPr>
            <w:tcW w:w="1045" w:type="dxa"/>
          </w:tcPr>
          <w:p w14:paraId="61D05A5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+0,5</w:t>
            </w:r>
          </w:p>
        </w:tc>
      </w:tr>
      <w:tr w:rsidR="00A62844" w:rsidRPr="00A62844" w14:paraId="2F407A7E" w14:textId="77777777" w:rsidTr="008D2801">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0F88105E"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Attīstības valstis</w:t>
            </w:r>
          </w:p>
        </w:tc>
        <w:tc>
          <w:tcPr>
            <w:tcW w:w="1098" w:type="dxa"/>
            <w:vAlign w:val="center"/>
          </w:tcPr>
          <w:p w14:paraId="71E89460"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3,9</w:t>
            </w:r>
          </w:p>
        </w:tc>
        <w:tc>
          <w:tcPr>
            <w:tcW w:w="1099" w:type="dxa"/>
            <w:vAlign w:val="center"/>
          </w:tcPr>
          <w:p w14:paraId="029129DB"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4,0</w:t>
            </w:r>
          </w:p>
        </w:tc>
        <w:tc>
          <w:tcPr>
            <w:tcW w:w="1098" w:type="dxa"/>
            <w:vAlign w:val="center"/>
          </w:tcPr>
          <w:p w14:paraId="15FF572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4,5</w:t>
            </w:r>
          </w:p>
        </w:tc>
        <w:tc>
          <w:tcPr>
            <w:tcW w:w="1099" w:type="dxa"/>
            <w:vAlign w:val="center"/>
          </w:tcPr>
          <w:p w14:paraId="7FBF4D8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4,8</w:t>
            </w:r>
          </w:p>
        </w:tc>
        <w:tc>
          <w:tcPr>
            <w:tcW w:w="1082" w:type="dxa"/>
          </w:tcPr>
          <w:p w14:paraId="690E4D7E"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0,0</w:t>
            </w:r>
          </w:p>
        </w:tc>
        <w:tc>
          <w:tcPr>
            <w:tcW w:w="1045" w:type="dxa"/>
          </w:tcPr>
          <w:p w14:paraId="64BFDAF9"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+0,3</w:t>
            </w:r>
          </w:p>
        </w:tc>
      </w:tr>
      <w:tr w:rsidR="00A62844" w:rsidRPr="00A62844" w14:paraId="180EB0C0" w14:textId="77777777" w:rsidTr="008D2801">
        <w:trPr>
          <w:trHeight w:val="127"/>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7A80D29"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Ķīna</w:t>
            </w:r>
          </w:p>
        </w:tc>
        <w:tc>
          <w:tcPr>
            <w:tcW w:w="1098" w:type="dxa"/>
            <w:vAlign w:val="center"/>
          </w:tcPr>
          <w:p w14:paraId="650DD27B"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6,9</w:t>
            </w:r>
          </w:p>
        </w:tc>
        <w:tc>
          <w:tcPr>
            <w:tcW w:w="1099" w:type="dxa"/>
            <w:vAlign w:val="center"/>
          </w:tcPr>
          <w:p w14:paraId="5E50AACC"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6,7</w:t>
            </w:r>
          </w:p>
        </w:tc>
        <w:tc>
          <w:tcPr>
            <w:tcW w:w="1098" w:type="dxa"/>
            <w:vAlign w:val="center"/>
          </w:tcPr>
          <w:p w14:paraId="57B54673"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6,4</w:t>
            </w:r>
          </w:p>
        </w:tc>
        <w:tc>
          <w:tcPr>
            <w:tcW w:w="1099" w:type="dxa"/>
            <w:vAlign w:val="center"/>
          </w:tcPr>
          <w:p w14:paraId="605C8AA8"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6,2</w:t>
            </w:r>
          </w:p>
        </w:tc>
        <w:tc>
          <w:tcPr>
            <w:tcW w:w="1082" w:type="dxa"/>
          </w:tcPr>
          <w:p w14:paraId="594049E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+0,2</w:t>
            </w:r>
          </w:p>
        </w:tc>
        <w:tc>
          <w:tcPr>
            <w:tcW w:w="1045" w:type="dxa"/>
          </w:tcPr>
          <w:p w14:paraId="12606BA7"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+0,2</w:t>
            </w:r>
          </w:p>
        </w:tc>
      </w:tr>
      <w:tr w:rsidR="00A62844" w:rsidRPr="00A62844" w14:paraId="01E558C6" w14:textId="77777777" w:rsidTr="008D2801">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069F6961"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Krievija</w:t>
            </w:r>
          </w:p>
        </w:tc>
        <w:tc>
          <w:tcPr>
            <w:tcW w:w="1098" w:type="dxa"/>
            <w:vAlign w:val="center"/>
          </w:tcPr>
          <w:p w14:paraId="2C9A677C"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-3,7</w:t>
            </w:r>
          </w:p>
        </w:tc>
        <w:tc>
          <w:tcPr>
            <w:tcW w:w="1099" w:type="dxa"/>
            <w:vAlign w:val="center"/>
          </w:tcPr>
          <w:p w14:paraId="3A80D132"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-0,6</w:t>
            </w:r>
          </w:p>
        </w:tc>
        <w:tc>
          <w:tcPr>
            <w:tcW w:w="1098" w:type="dxa"/>
            <w:vAlign w:val="center"/>
          </w:tcPr>
          <w:p w14:paraId="7AE63A23"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0,8</w:t>
            </w:r>
          </w:p>
        </w:tc>
        <w:tc>
          <w:tcPr>
            <w:tcW w:w="1099" w:type="dxa"/>
            <w:vAlign w:val="center"/>
          </w:tcPr>
          <w:p w14:paraId="6D513BC9"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1,1</w:t>
            </w:r>
          </w:p>
        </w:tc>
        <w:tc>
          <w:tcPr>
            <w:tcW w:w="1082" w:type="dxa"/>
          </w:tcPr>
          <w:p w14:paraId="606F7D96"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+0,6</w:t>
            </w:r>
          </w:p>
        </w:tc>
        <w:tc>
          <w:tcPr>
            <w:tcW w:w="1045" w:type="dxa"/>
          </w:tcPr>
          <w:p w14:paraId="3031CF2A"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+0,5</w:t>
            </w:r>
          </w:p>
        </w:tc>
      </w:tr>
    </w:tbl>
    <w:p w14:paraId="3D11E686" w14:textId="74333730" w:rsidR="00A62844" w:rsidRPr="00A62844" w:rsidRDefault="00A62844" w:rsidP="00D47B98">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Pēc pasaules ekonomiskās izaugsmes tempu sabremzēšanās 2015. un 2016.gadā, nākamajos divos gados atkal tiek prognozēta straujāka izaugsme, kas, pēc </w:t>
      </w:r>
      <w:r w:rsidR="00CA58E5">
        <w:rPr>
          <w:rFonts w:ascii="Times New Roman" w:eastAsia="Times New Roman" w:hAnsi="Times New Roman" w:cs="Times New Roman"/>
          <w:color w:val="000000"/>
          <w:sz w:val="24"/>
          <w:szCs w:val="24"/>
          <w:lang w:eastAsia="lv-LV"/>
        </w:rPr>
        <w:t>EK</w:t>
      </w:r>
      <w:r w:rsidRPr="00A62844">
        <w:rPr>
          <w:rFonts w:ascii="Times New Roman" w:eastAsia="Times New Roman" w:hAnsi="Times New Roman" w:cs="Times New Roman"/>
          <w:color w:val="000000"/>
          <w:sz w:val="24"/>
          <w:szCs w:val="24"/>
          <w:lang w:eastAsia="lv-LV"/>
        </w:rPr>
        <w:t xml:space="preserve"> prognozēm, pasaulē kopā 2017.gadā sasniegs 3,4% un 2018.gadā – 3,6%. Spēcīgāks izaugsmes paātrinājums gaidāms attīstības valstīs, taču apsteidzošie indikatori, tajā skaitā uzņēmēju un patērētāju konfidences rādītāji un fondu tirgus indeksi liecina par izaugsmes tempu paātrināšanos arī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zonas valstīs un ASV. Par straujākiem 2017.gadā sagaidāmajiem izaugsmes tempiem liecina jau 2016.gada otrajā pusē sasniegtie augstākie IKP pieauguma rādītāji. Prognozes par izaugsmes paātrināšanos tiek saistītas arī ar jau realizētajiem un prognozētajiem fiskālās stimulēšanas pasāk</w:t>
      </w:r>
      <w:r w:rsidR="001C7FA4">
        <w:rPr>
          <w:rFonts w:ascii="Times New Roman" w:eastAsia="Times New Roman" w:hAnsi="Times New Roman" w:cs="Times New Roman"/>
          <w:color w:val="000000"/>
          <w:sz w:val="24"/>
          <w:szCs w:val="24"/>
          <w:lang w:eastAsia="lv-LV"/>
        </w:rPr>
        <w:t>umiem, tajā skaitā ASV un Ķīnā.</w:t>
      </w:r>
    </w:p>
    <w:p w14:paraId="72C564EA" w14:textId="7463D395"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Galvenie negatīvie riski globālās ekonomikas izaugsmei pašlaik saistās ar pieaugošām protekcionisma tendencēm, kas var ierobežot pasaules tirdzniecību, atšķirīgām monetārās politikas stadijām vadošajās pasaules ekonomikās, kad ASV jau ir sācies procentu likmju paaugstināšanas cikls, bet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zonā procentu likmes saglabājas rekordzemā līmenī, un šīs atšķirības var izraisīt augstāku svārstīgumu valūtu tirgū. Starp negatīvajiem riskiem ir arī pieaugoša ģeopolitiskā nestabilitāte, bruņotie konflikti Tuvo Austrumu reģionā un atsevišķās Āfrikas valstīs, pieaugošā migrācija, kā arī straujāka nekā prognozēts, Ķīnas ekonomiskās izaugsmes palēnināšanās. No pozitīvās puses, pasaules ekonomikas attīstību var veicināt spēcīgāki fiskālās stimulēšanas pasākumi ASV un Ķīnā, kā arī straujāks investīciju pieaugums, pieaugot pārliecībai par globālās</w:t>
      </w:r>
      <w:r w:rsidR="001C7FA4">
        <w:rPr>
          <w:rFonts w:ascii="Times New Roman" w:eastAsia="Times New Roman" w:hAnsi="Times New Roman" w:cs="Times New Roman"/>
          <w:color w:val="000000"/>
          <w:sz w:val="24"/>
          <w:szCs w:val="24"/>
          <w:lang w:eastAsia="lv-LV"/>
        </w:rPr>
        <w:t xml:space="preserve"> ekonomikas straujāku izaugsmi.</w:t>
      </w:r>
    </w:p>
    <w:p w14:paraId="19BD54BB" w14:textId="7EF79933"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 xml:space="preserve">ES un </w:t>
      </w:r>
      <w:proofErr w:type="spellStart"/>
      <w:r w:rsidR="00D47B98">
        <w:rPr>
          <w:rFonts w:ascii="Times New Roman" w:eastAsia="Times New Roman" w:hAnsi="Times New Roman" w:cs="Times New Roman"/>
          <w:b/>
          <w:i/>
          <w:color w:val="000000"/>
          <w:sz w:val="24"/>
          <w:szCs w:val="24"/>
          <w:lang w:eastAsia="lv-LV"/>
        </w:rPr>
        <w:t>euro</w:t>
      </w:r>
      <w:proofErr w:type="spellEnd"/>
      <w:r w:rsidR="00D47B98">
        <w:rPr>
          <w:rFonts w:ascii="Times New Roman" w:eastAsia="Times New Roman" w:hAnsi="Times New Roman" w:cs="Times New Roman"/>
          <w:b/>
          <w:color w:val="000000"/>
          <w:sz w:val="24"/>
          <w:szCs w:val="24"/>
          <w:lang w:eastAsia="lv-LV"/>
        </w:rPr>
        <w:t xml:space="preserve"> </w:t>
      </w:r>
      <w:r w:rsidRPr="00A62844">
        <w:rPr>
          <w:rFonts w:ascii="Times New Roman" w:eastAsia="Times New Roman" w:hAnsi="Times New Roman" w:cs="Times New Roman"/>
          <w:b/>
          <w:color w:val="000000"/>
          <w:sz w:val="24"/>
          <w:szCs w:val="24"/>
          <w:lang w:eastAsia="lv-LV"/>
        </w:rPr>
        <w:t>zonā</w:t>
      </w:r>
      <w:r w:rsidRPr="00A62844">
        <w:rPr>
          <w:rFonts w:ascii="Times New Roman" w:eastAsia="Times New Roman" w:hAnsi="Times New Roman" w:cs="Times New Roman"/>
          <w:color w:val="000000"/>
          <w:sz w:val="24"/>
          <w:szCs w:val="24"/>
          <w:lang w:eastAsia="lv-LV"/>
        </w:rPr>
        <w:t xml:space="preserve"> izaugsmes tempi 2017.gadā saglabāsies stabili, un pēc EK prognozēm, būs attiecīgi 1,8% un 1,6%. Atsākoties straujākam cenu pieaugumam, privātā patēriņa pieauguma temps kļūs nedaudz lēnāks, taču to turpinās uzturēt augošā nodarbinātība. Investīciju pieaugums būs mērens, ko veicinās pieaugošā ekonomiskā aktivitāte pasaulē, pašreizējais augstais ražošanas jaudu izmantošanas līmenis, kā arī zemās procentu likmes un Eiropas investīciju plāns. Starp kavējošajiem faktoriem savukārt joprojām saglabāsies augstais uzņēmumu un iedzīvotāju parādsaistību līmenis vairākās ES valstīs, kā arī augstā nenoteiktība. 2018.gadā ekonomikas izaugsme ES saglabāsies 1,8% līmenī un tādu pašu 1,8% pieauguma tempu sasniegs arī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zonas valstu ekonomika.</w:t>
      </w:r>
    </w:p>
    <w:p w14:paraId="0F6836D2"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 xml:space="preserve">ASV </w:t>
      </w:r>
      <w:r w:rsidRPr="00A62844">
        <w:rPr>
          <w:rFonts w:ascii="Times New Roman" w:eastAsia="Times New Roman" w:hAnsi="Times New Roman" w:cs="Times New Roman"/>
          <w:color w:val="000000"/>
          <w:sz w:val="24"/>
          <w:szCs w:val="24"/>
          <w:lang w:eastAsia="lv-LV"/>
        </w:rPr>
        <w:t xml:space="preserve">ekonomikas izaugsme, pēc EK prognozēm, 2017.gadā paātrināsies līdz 2,3%, ko veicinās fiskālās stimulēšanas pasākumi, daļēji kompensējot ierobežojošāko monetāro politiku un Federālās rezervju sistēmas jau veiktos un gaidāmos procentu likmju paaugstinājumus. Galvenais izaugsmes nodrošinātājs ASV būs privātais patēriņš, taču gaidāma arī investīciju </w:t>
      </w:r>
      <w:r w:rsidRPr="00A62844">
        <w:rPr>
          <w:rFonts w:ascii="Times New Roman" w:eastAsia="Times New Roman" w:hAnsi="Times New Roman" w:cs="Times New Roman"/>
          <w:color w:val="000000"/>
          <w:sz w:val="24"/>
          <w:szCs w:val="24"/>
          <w:lang w:eastAsia="lv-LV"/>
        </w:rPr>
        <w:lastRenderedPageBreak/>
        <w:t>aktivitātes atjaunošanās, līdz ar naftas cenu palielināšanos augot investīcijām naftas sektorā un uzlabojoties arī citu nozaru biznesa konfidences rādītājiem.</w:t>
      </w:r>
    </w:p>
    <w:p w14:paraId="2C0BC233"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 xml:space="preserve">Japānā </w:t>
      </w:r>
      <w:r w:rsidRPr="00A62844">
        <w:rPr>
          <w:rFonts w:ascii="Times New Roman" w:eastAsia="Times New Roman" w:hAnsi="Times New Roman" w:cs="Times New Roman"/>
          <w:color w:val="000000"/>
          <w:sz w:val="24"/>
          <w:szCs w:val="24"/>
          <w:lang w:eastAsia="lv-LV"/>
        </w:rPr>
        <w:t>ekonomikas izaugsme 2017.gadā kļūs nedaudz straujāka, sasniedzot 1,0%, salīdzinot ar 0,9% pagājušajā gadā. To nodrošinās spēcīgāk augošais iekšzemes pieprasījums, pateicoties stimulējošai monetārajai politikai un papildus fiskālajiem stimuliem. 2018.gadā, beidzoties šo stimulu pozitīvajai ietekmei, izaugsmes temps atkal samazināsies līdz 0,5%.</w:t>
      </w:r>
    </w:p>
    <w:p w14:paraId="5A25E2F0"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 xml:space="preserve">Krievijas </w:t>
      </w:r>
      <w:r w:rsidRPr="00A62844">
        <w:rPr>
          <w:rFonts w:ascii="Times New Roman" w:eastAsia="Times New Roman" w:hAnsi="Times New Roman" w:cs="Times New Roman"/>
          <w:color w:val="000000"/>
          <w:sz w:val="24"/>
          <w:szCs w:val="24"/>
          <w:lang w:eastAsia="lv-LV"/>
        </w:rPr>
        <w:t>IKP 2016.gadā samazinājās mazāk nekā prognozēts – par 0,6% un 2017.gadam jau tiek prognozēta 0,8% izaugsme. Krievijas ekonomikas perspektīvas pēdējos mēnešos ir uzlabojušās, ko noteikusi naftas cenu un rubļa kursa stabilizēšanās. Tomēr tālāku straujāku izaugsmes atjaunošanos ierobežo makroekonomiskā politika - gaidāmā fiskālā konsolidācija un ierobežotās monetārās stimulēšanas iespējas, un 2018.gadā gaidāma izaugsmes paātrināšanās tikai līdz 1,1%.</w:t>
      </w:r>
    </w:p>
    <w:p w14:paraId="7A7FE4CE"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3"/>
          <w:lang w:eastAsia="lv-LV"/>
        </w:rPr>
      </w:pPr>
      <w:r w:rsidRPr="00A62844">
        <w:rPr>
          <w:rFonts w:ascii="Times New Roman" w:eastAsia="Times New Roman" w:hAnsi="Times New Roman" w:cs="Times New Roman"/>
          <w:b/>
          <w:color w:val="000000"/>
          <w:sz w:val="24"/>
          <w:szCs w:val="23"/>
          <w:lang w:eastAsia="lv-LV"/>
        </w:rPr>
        <w:t>Vācijā</w:t>
      </w:r>
      <w:r w:rsidRPr="00A62844">
        <w:rPr>
          <w:rFonts w:ascii="Times New Roman" w:eastAsia="Times New Roman" w:hAnsi="Times New Roman" w:cs="Times New Roman"/>
          <w:color w:val="000000"/>
          <w:sz w:val="24"/>
          <w:szCs w:val="23"/>
          <w:lang w:eastAsia="lv-LV"/>
        </w:rPr>
        <w:t>, kas ir ceturtā lielākā Latvijas eksporta partnere, ekonomikas izaugsme 2016.gadā paātrinājās līdz 1,9%. Ņemot vērā mazāku darba dienu skaita ietekmi, 2017.gadā izaugsme gaidāma nedaudz lēnāka – 1,6% apmērā, bet to turpinās noteikt darba tirgus situācijas uzlabošanās, labvēlīgie kreditēšanas nosacījumi, augošā būvniecības aktivitāte un valsts izdevumu pieaugums. 2018.gadā Vācijas ekonomikas izaugsme atkal kļūs straujāka, sasniedzot 1,8%.</w:t>
      </w:r>
    </w:p>
    <w:p w14:paraId="1F51E8A4" w14:textId="64242C2A" w:rsidR="008D2801" w:rsidRPr="00A62844" w:rsidRDefault="00A62844" w:rsidP="00530D80">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3"/>
          <w:lang w:eastAsia="lv-LV"/>
        </w:rPr>
      </w:pPr>
      <w:r w:rsidRPr="00A62844">
        <w:rPr>
          <w:rFonts w:ascii="Times New Roman" w:eastAsia="Times New Roman" w:hAnsi="Times New Roman" w:cs="Times New Roman"/>
          <w:b/>
          <w:color w:val="000000"/>
          <w:sz w:val="24"/>
          <w:szCs w:val="23"/>
          <w:lang w:eastAsia="lv-LV"/>
        </w:rPr>
        <w:t>Lielbritānijā</w:t>
      </w:r>
      <w:r w:rsidRPr="00A62844">
        <w:rPr>
          <w:rFonts w:ascii="Times New Roman" w:eastAsia="Times New Roman" w:hAnsi="Times New Roman" w:cs="Times New Roman"/>
          <w:color w:val="000000"/>
          <w:sz w:val="24"/>
          <w:szCs w:val="23"/>
          <w:lang w:eastAsia="lv-LV"/>
        </w:rPr>
        <w:t>, kas ir sestā lielākā Latvijas eksporta partnere un 2016.gada jūnijā nobalsoja par izstāšanos no ES, 2017.gadā prognozēta izaugsmes palēnināšanās līdz 1,5% un 2018.gadā līdz 1,2%, salīdzinot ar 2,0% izaugsmi pagājušajā gadā. Lai gan 2016.gada otrajā pusē Lielbritānijas ekonomikas izaugsmes tempi paātrinājās, 2017.gadā uzņēmumu investīcijas sāks negatīvi ietekmēt augstā nenoteiktība par valsts izstāšanās procesu no ES, savukārt privātā patēriņa pieaugumu ierobežos zemāki iedzīvotāju rīcībā esošie ienākumi, palielinoties patēriņa cenu pieaugumam.</w:t>
      </w:r>
    </w:p>
    <w:p w14:paraId="312CEB85" w14:textId="77777777" w:rsidR="00A62844" w:rsidRPr="00A62844" w:rsidRDefault="00A62844" w:rsidP="00A62844">
      <w:pPr>
        <w:autoSpaceDE w:val="0"/>
        <w:autoSpaceDN w:val="0"/>
        <w:adjustRightInd w:val="0"/>
        <w:spacing w:after="0" w:line="240" w:lineRule="auto"/>
        <w:jc w:val="center"/>
        <w:rPr>
          <w:rFonts w:ascii="Times New Roman" w:eastAsia="Times New Roman" w:hAnsi="Times New Roman" w:cs="Times New Roman"/>
          <w:color w:val="000000"/>
          <w:sz w:val="24"/>
          <w:szCs w:val="23"/>
          <w:lang w:eastAsia="lv-LV"/>
        </w:rPr>
      </w:pPr>
      <w:r w:rsidRPr="00A62844">
        <w:rPr>
          <w:rFonts w:ascii="Times New Roman" w:eastAsia="Times New Roman" w:hAnsi="Times New Roman" w:cs="Times New Roman"/>
          <w:noProof/>
          <w:color w:val="000000"/>
          <w:sz w:val="24"/>
          <w:szCs w:val="24"/>
          <w:lang w:eastAsia="lv-LV"/>
        </w:rPr>
        <w:drawing>
          <wp:inline distT="0" distB="0" distL="0" distR="0" wp14:anchorId="0A79A0A3" wp14:editId="19F16491">
            <wp:extent cx="5743575" cy="29813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5429C8" w14:textId="77777777" w:rsidR="00A62844" w:rsidRPr="00A62844" w:rsidRDefault="00A62844" w:rsidP="00530D80">
      <w:pPr>
        <w:autoSpaceDE w:val="0"/>
        <w:autoSpaceDN w:val="0"/>
        <w:adjustRightInd w:val="0"/>
        <w:spacing w:before="60" w:after="120" w:line="240" w:lineRule="auto"/>
        <w:jc w:val="center"/>
        <w:rPr>
          <w:rFonts w:ascii="Times New Roman" w:eastAsia="Times New Roman" w:hAnsi="Times New Roman" w:cs="Times New Roman"/>
          <w:b/>
          <w:color w:val="000000"/>
          <w:sz w:val="24"/>
          <w:szCs w:val="24"/>
          <w:lang w:eastAsia="lv-LV"/>
        </w:rPr>
      </w:pPr>
      <w:r w:rsidRPr="00A62844">
        <w:rPr>
          <w:rFonts w:ascii="Times New Roman" w:eastAsia="Times New Roman" w:hAnsi="Times New Roman" w:cs="Times New Roman"/>
          <w:b/>
          <w:color w:val="000000"/>
          <w:sz w:val="24"/>
          <w:szCs w:val="24"/>
          <w:lang w:eastAsia="lv-LV"/>
        </w:rPr>
        <w:t>2.1.attēls. Latvijas partnervalstu</w:t>
      </w:r>
      <w:r w:rsidRPr="00A62844">
        <w:rPr>
          <w:rFonts w:ascii="Times New Roman" w:eastAsia="Times New Roman" w:hAnsi="Times New Roman" w:cs="Times New Roman"/>
          <w:b/>
          <w:color w:val="000000"/>
          <w:sz w:val="24"/>
          <w:szCs w:val="24"/>
          <w:vertAlign w:val="superscript"/>
          <w:lang w:eastAsia="lv-LV"/>
        </w:rPr>
        <w:footnoteReference w:id="2"/>
      </w:r>
      <w:r w:rsidRPr="00A62844">
        <w:rPr>
          <w:rFonts w:ascii="Times New Roman" w:eastAsia="Times New Roman" w:hAnsi="Times New Roman" w:cs="Times New Roman"/>
          <w:b/>
          <w:color w:val="000000"/>
          <w:sz w:val="24"/>
          <w:szCs w:val="24"/>
          <w:lang w:eastAsia="lv-LV"/>
        </w:rPr>
        <w:t xml:space="preserve"> un ES IKP pieauguma tempi un prognozes, %</w:t>
      </w:r>
    </w:p>
    <w:p w14:paraId="6ED396AD" w14:textId="2627AB74"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3"/>
          <w:lang w:eastAsia="lv-LV"/>
        </w:rPr>
      </w:pPr>
      <w:r w:rsidRPr="00A62844">
        <w:rPr>
          <w:rFonts w:ascii="Times New Roman" w:eastAsia="Times New Roman" w:hAnsi="Times New Roman" w:cs="Times New Roman"/>
          <w:color w:val="000000"/>
          <w:sz w:val="24"/>
          <w:szCs w:val="23"/>
          <w:lang w:eastAsia="lv-LV"/>
        </w:rPr>
        <w:t xml:space="preserve">Pēdējos divus gadus Latvijas galveno tirdzniecības partnervalstu kopējā izaugsme ir bijusi nedaudz zemāka par ES vidējo, un šādu situāciju noteica ekonomikas recesija Krievijā. 2017.gadā Latvijas tirdzniecības partnervalstu izaugsme atkal kļūs straujāka, palielinoties no </w:t>
      </w:r>
      <w:r w:rsidRPr="00A62844">
        <w:rPr>
          <w:rFonts w:ascii="Times New Roman" w:eastAsia="Times New Roman" w:hAnsi="Times New Roman" w:cs="Times New Roman"/>
          <w:color w:val="000000"/>
          <w:sz w:val="24"/>
          <w:szCs w:val="23"/>
          <w:lang w:eastAsia="lv-LV"/>
        </w:rPr>
        <w:lastRenderedPageBreak/>
        <w:t xml:space="preserve">1,7 procentiem 2016.gadā līdz 2,2 procentiem </w:t>
      </w:r>
      <w:r w:rsidR="00A77F81">
        <w:rPr>
          <w:rFonts w:ascii="Times New Roman" w:eastAsia="Times New Roman" w:hAnsi="Times New Roman" w:cs="Times New Roman"/>
          <w:color w:val="000000"/>
          <w:sz w:val="24"/>
          <w:szCs w:val="23"/>
          <w:lang w:eastAsia="lv-LV"/>
        </w:rPr>
        <w:t>2017.gadā un 2,3 procentiem 2018</w:t>
      </w:r>
      <w:r w:rsidRPr="00A62844">
        <w:rPr>
          <w:rFonts w:ascii="Times New Roman" w:eastAsia="Times New Roman" w:hAnsi="Times New Roman" w:cs="Times New Roman"/>
          <w:color w:val="000000"/>
          <w:sz w:val="24"/>
          <w:szCs w:val="23"/>
          <w:lang w:eastAsia="lv-LV"/>
        </w:rPr>
        <w:t>.gadā, attiecīgi veicinot arī Latvijas ekonomiskās attīstības paātrināšanos.</w:t>
      </w:r>
    </w:p>
    <w:p w14:paraId="5ED0367A"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Zemo energoresursu cenu ietekmē kopējais</w:t>
      </w:r>
      <w:r w:rsidRPr="00A62844">
        <w:rPr>
          <w:rFonts w:ascii="Times New Roman" w:eastAsia="Times New Roman" w:hAnsi="Times New Roman" w:cs="Times New Roman"/>
          <w:b/>
          <w:color w:val="000000"/>
          <w:sz w:val="24"/>
          <w:szCs w:val="24"/>
          <w:lang w:eastAsia="lv-LV"/>
        </w:rPr>
        <w:t xml:space="preserve"> inflācijas līmenis</w:t>
      </w:r>
      <w:r w:rsidRPr="00A62844">
        <w:rPr>
          <w:rFonts w:ascii="Times New Roman" w:eastAsia="Times New Roman" w:hAnsi="Times New Roman" w:cs="Times New Roman"/>
          <w:color w:val="000000"/>
          <w:sz w:val="24"/>
          <w:szCs w:val="24"/>
          <w:lang w:eastAsia="lv-LV"/>
        </w:rPr>
        <w:t xml:space="preserve"> pasaulē 2016.gadā saglabājās zems, tomēr gada otrajā pusē līdz ar naftas cenu paaugstināšanos patēriņa cenas atkal sāka pieaugt straujāk. Kopumā pasaules attīstītajās valstīs inflācija 2016.gadā veidoja 0,7%, un bija nedaudz augstāka nekā gadu iepriekš. Savukārt pasaules attīstības valstīs inflācijas līmenis 2016.gadā saglabājās salīdzinoši stabils un augstāks, nekā attīstības valstīs – 4,5%</w:t>
      </w:r>
      <w:r w:rsidRPr="00A62844">
        <w:rPr>
          <w:rFonts w:ascii="Times New Roman" w:eastAsia="Times New Roman" w:hAnsi="Times New Roman" w:cs="Times New Roman"/>
          <w:color w:val="000000"/>
          <w:sz w:val="24"/>
          <w:szCs w:val="24"/>
          <w:vertAlign w:val="superscript"/>
          <w:lang w:eastAsia="lv-LV"/>
        </w:rPr>
        <w:footnoteReference w:id="3"/>
      </w:r>
      <w:r w:rsidRPr="00A62844">
        <w:rPr>
          <w:rFonts w:ascii="Times New Roman" w:eastAsia="Times New Roman" w:hAnsi="Times New Roman" w:cs="Times New Roman"/>
          <w:color w:val="000000"/>
          <w:sz w:val="24"/>
          <w:szCs w:val="24"/>
          <w:lang w:eastAsia="lv-LV"/>
        </w:rPr>
        <w:t>, ko ietekmēja arī nacionālo valūtu kursu kritums lielā daļā valstu, kuras eksportē izejvielas.</w:t>
      </w:r>
    </w:p>
    <w:p w14:paraId="74C6D044" w14:textId="20BD33D5"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Inflācija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zonā pagājušajā gadā saglabājās ļoti zemajā 0,2% līmenī, tomēr 2017.gadā jau prognozēts inflācijas pieaugums līdz 1,7%, ko noteiks galvenokārt energoresursu cenu kāpuma ietekme, kamēr pamatinflācija joprojām saglabāsies salīdzinoši zema, paaugstinoties no 0,8 procentiem 2016.gadā līdz 1,1 procentam 2017.gadā. Nākamajā, 2018.gadā inflācija </w:t>
      </w:r>
      <w:proofErr w:type="spellStart"/>
      <w:r w:rsidR="00D47B98">
        <w:rPr>
          <w:rFonts w:ascii="Times New Roman" w:eastAsia="Times New Roman" w:hAnsi="Times New Roman" w:cs="Times New Roman"/>
          <w:i/>
          <w:color w:val="000000"/>
          <w:sz w:val="24"/>
          <w:szCs w:val="24"/>
          <w:lang w:eastAsia="lv-LV"/>
        </w:rPr>
        <w:t>euro</w:t>
      </w:r>
      <w:proofErr w:type="spellEnd"/>
      <w:r w:rsidR="00D47B98">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zonā tiek prognozēta 1,4% līmenī.</w:t>
      </w:r>
    </w:p>
    <w:p w14:paraId="0A30BAC4" w14:textId="15E4036A"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Būtiskākā ietekme uz inflācijas līmeni pēdējā gada laikā bija naftas cenām, kas pēc pazemināšanās līdz pēdējo 13 gadu zemākajam līmenim, </w:t>
      </w:r>
      <w:proofErr w:type="spellStart"/>
      <w:r w:rsidRPr="00A62844">
        <w:rPr>
          <w:rFonts w:ascii="Times New Roman" w:eastAsia="Times New Roman" w:hAnsi="Times New Roman" w:cs="Times New Roman"/>
          <w:i/>
          <w:color w:val="000000"/>
          <w:sz w:val="24"/>
          <w:szCs w:val="24"/>
          <w:lang w:eastAsia="lv-LV"/>
        </w:rPr>
        <w:t>Brent</w:t>
      </w:r>
      <w:proofErr w:type="spellEnd"/>
      <w:r w:rsidRPr="00A62844">
        <w:rPr>
          <w:rFonts w:ascii="Times New Roman" w:eastAsia="Times New Roman" w:hAnsi="Times New Roman" w:cs="Times New Roman"/>
          <w:i/>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jēlnaftai janvāra vidū maksājot vairs tikai 28 dolārus par barelu, gada laikā atsāka pakāpeniski pieaugt, 2016.gada beigās pēc OPEC</w:t>
      </w:r>
      <w:r w:rsidR="00A509FC">
        <w:rPr>
          <w:rFonts w:ascii="Times New Roman" w:eastAsia="Times New Roman" w:hAnsi="Times New Roman" w:cs="Times New Roman"/>
          <w:color w:val="000000"/>
          <w:sz w:val="24"/>
          <w:szCs w:val="24"/>
          <w:lang w:eastAsia="lv-LV"/>
        </w:rPr>
        <w:t xml:space="preserve"> (</w:t>
      </w:r>
      <w:r w:rsidR="00A509FC" w:rsidRPr="00A509FC">
        <w:rPr>
          <w:rFonts w:ascii="Times New Roman" w:eastAsia="Times New Roman" w:hAnsi="Times New Roman" w:cs="Times New Roman"/>
          <w:color w:val="000000"/>
          <w:sz w:val="24"/>
          <w:szCs w:val="24"/>
          <w:lang w:eastAsia="lv-LV"/>
        </w:rPr>
        <w:t>Naftas eksportētājvalstu organizācija)</w:t>
      </w:r>
      <w:r w:rsidRPr="00A62844">
        <w:rPr>
          <w:rFonts w:ascii="Times New Roman" w:eastAsia="Times New Roman" w:hAnsi="Times New Roman" w:cs="Times New Roman"/>
          <w:color w:val="000000"/>
          <w:sz w:val="24"/>
          <w:szCs w:val="24"/>
          <w:lang w:eastAsia="lv-LV"/>
        </w:rPr>
        <w:t xml:space="preserve"> vienošanās par naftas ieguves apjomu samazināšanu atkal sasniedzot 55 dolārus par barelu.</w:t>
      </w:r>
    </w:p>
    <w:p w14:paraId="4FDD4959" w14:textId="77777777" w:rsidR="00A62844" w:rsidRPr="00A62844" w:rsidRDefault="00A62844" w:rsidP="00530D80">
      <w:pPr>
        <w:spacing w:line="240" w:lineRule="auto"/>
      </w:pPr>
    </w:p>
    <w:p w14:paraId="2666A5B7" w14:textId="77777777" w:rsidR="00A34463" w:rsidRDefault="00A34463" w:rsidP="007E26F6">
      <w:pPr>
        <w:pStyle w:val="Heading2"/>
        <w:numPr>
          <w:ilvl w:val="1"/>
          <w:numId w:val="1"/>
        </w:numPr>
        <w:spacing w:before="240" w:after="120"/>
        <w:ind w:left="709"/>
        <w:rPr>
          <w:rFonts w:ascii="Times New Roman" w:hAnsi="Times New Roman" w:cs="Times New Roman"/>
          <w:sz w:val="24"/>
        </w:rPr>
      </w:pPr>
      <w:bookmarkStart w:id="3" w:name="_Toc479331083"/>
      <w:r w:rsidRPr="00F51615">
        <w:rPr>
          <w:rFonts w:ascii="Times New Roman" w:hAnsi="Times New Roman" w:cs="Times New Roman"/>
          <w:sz w:val="24"/>
        </w:rPr>
        <w:t>Pašreizējā ekonomiskā situācija</w:t>
      </w:r>
      <w:bookmarkEnd w:id="3"/>
    </w:p>
    <w:p w14:paraId="27FBFC1B" w14:textId="280A0D06"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2016.gadā IKP pieaugums Latvijā bija mērens, veidojot 2,0%.</w:t>
      </w:r>
      <w:r w:rsidRPr="00A62844">
        <w:rPr>
          <w:rFonts w:ascii="Times New Roman" w:eastAsia="Times New Roman" w:hAnsi="Times New Roman" w:cs="Times New Roman"/>
          <w:color w:val="000000"/>
          <w:sz w:val="24"/>
          <w:szCs w:val="24"/>
          <w:lang w:eastAsia="lv-LV"/>
        </w:rPr>
        <w:t xml:space="preserve"> Tādējādi pērn ekonomiskā izaugsme bija vājāka par 2015.gadā uzrādītajiem 2,7% un līdzinājās 2014.gada līmenim. Izaugsmes tempu palēnināšanos pagājušajā gadā noteica īstermiņa iekšējie faktori saistībā ar ES fondu investīciju aizkavēšanos, kā arī joprojām nelabvēlīgā situācija ārējā vidē, jo ekonomiskās izaugsmes tempi lielā daļā Latvijas galveno ārējās tirdzniecības partnervalstīs gada pirmajā pusē bija zemāki nekā tika sagaidīts iepriekš. Savukārt Latvijas ekonomisko attīstību pērn tāpat kā 2015.gadā pozitīvi ietekmēja stabi</w:t>
      </w:r>
      <w:r w:rsidR="00A534DA">
        <w:rPr>
          <w:rFonts w:ascii="Times New Roman" w:eastAsia="Times New Roman" w:hAnsi="Times New Roman" w:cs="Times New Roman"/>
          <w:color w:val="000000"/>
          <w:sz w:val="24"/>
          <w:szCs w:val="24"/>
          <w:lang w:eastAsia="lv-LV"/>
        </w:rPr>
        <w:t>li augošais iekšējais patēriņš.</w:t>
      </w:r>
    </w:p>
    <w:p w14:paraId="0903619E" w14:textId="7B39DA19"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Privātā patēriņa pieaugums 2016.gadā veidoja 3,4%, tādējādi nodrošinot lielāko pozitīvo devumu IKP izaugsmē. Privāto pieprasījumu veicināja joprojām spēcīgi augošā darba samaksa, zemais inflācijas līmenis, palielinot iedzīvotāju rīcībā esošos ienākumus, kā arī kreditēšanas aktivizēšanās, 2016.gadā jūtami pieaugot mājsaimniecībām </w:t>
      </w:r>
      <w:proofErr w:type="spellStart"/>
      <w:r w:rsidRPr="00A62844">
        <w:rPr>
          <w:rFonts w:ascii="Times New Roman" w:eastAsia="Times New Roman" w:hAnsi="Times New Roman" w:cs="Times New Roman"/>
          <w:color w:val="000000"/>
          <w:sz w:val="24"/>
          <w:szCs w:val="24"/>
          <w:lang w:eastAsia="lv-LV"/>
        </w:rPr>
        <w:t>jaunizsniegto</w:t>
      </w:r>
      <w:proofErr w:type="spellEnd"/>
      <w:r w:rsidRPr="00A62844">
        <w:rPr>
          <w:rFonts w:ascii="Times New Roman" w:eastAsia="Times New Roman" w:hAnsi="Times New Roman" w:cs="Times New Roman"/>
          <w:color w:val="000000"/>
          <w:sz w:val="24"/>
          <w:szCs w:val="24"/>
          <w:lang w:eastAsia="lv-LV"/>
        </w:rPr>
        <w:t xml:space="preserve"> kredītu apjomam. Pērn pieauga arī sab</w:t>
      </w:r>
      <w:r w:rsidR="00B229E3">
        <w:rPr>
          <w:rFonts w:ascii="Times New Roman" w:eastAsia="Times New Roman" w:hAnsi="Times New Roman" w:cs="Times New Roman"/>
          <w:color w:val="000000"/>
          <w:sz w:val="24"/>
          <w:szCs w:val="24"/>
          <w:lang w:eastAsia="lv-LV"/>
        </w:rPr>
        <w:t>iedriskais patēriņš – par 2,7%.</w:t>
      </w:r>
    </w:p>
    <w:p w14:paraId="61C49AA7" w14:textId="4DE926E6"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Jāatzīmē, ka 2016.gadā </w:t>
      </w:r>
      <w:r w:rsidRPr="00A534DA">
        <w:rPr>
          <w:rFonts w:ascii="Times New Roman" w:eastAsia="Times New Roman" w:hAnsi="Times New Roman" w:cs="Times New Roman"/>
          <w:b/>
          <w:color w:val="000000"/>
          <w:sz w:val="24"/>
          <w:szCs w:val="24"/>
          <w:lang w:eastAsia="lv-LV"/>
        </w:rPr>
        <w:t>p</w:t>
      </w:r>
      <w:r w:rsidRPr="00A62844">
        <w:rPr>
          <w:rFonts w:ascii="Times New Roman" w:eastAsia="Times New Roman" w:hAnsi="Times New Roman" w:cs="Times New Roman"/>
          <w:b/>
          <w:color w:val="000000"/>
          <w:sz w:val="24"/>
          <w:szCs w:val="24"/>
          <w:lang w:eastAsia="lv-LV"/>
        </w:rPr>
        <w:t>reču un pakalpojumu eksports salīdzināmajās cenās uzrādīja kāpumu par 2,8%</w:t>
      </w:r>
      <w:r w:rsidRPr="00A62844">
        <w:rPr>
          <w:rFonts w:ascii="Times New Roman" w:eastAsia="Times New Roman" w:hAnsi="Times New Roman" w:cs="Times New Roman"/>
          <w:color w:val="000000"/>
          <w:sz w:val="24"/>
          <w:szCs w:val="24"/>
          <w:lang w:eastAsia="lv-LV"/>
        </w:rPr>
        <w:t>, kas, ņemot vērā ne tik pārliecinošu ekonomisko situāciju ES pērnā gada pirmajā pusē un ekonomikas lejupslīdi Krievijā, vērtējams kā ļoti labs rezultāts. Savukārt preču un pakalpojumu imports pērn pieauga straujāk nekā eksports – par 4,6%, kā rezultātā Latvijas preču un pakalpojumu ārējās tirdzniecības bilance pasliktinājās par 1,1 procentpunktu, tirdzniecības defic</w:t>
      </w:r>
      <w:r w:rsidR="00B229E3">
        <w:rPr>
          <w:rFonts w:ascii="Times New Roman" w:eastAsia="Times New Roman" w:hAnsi="Times New Roman" w:cs="Times New Roman"/>
          <w:color w:val="000000"/>
          <w:sz w:val="24"/>
          <w:szCs w:val="24"/>
          <w:lang w:eastAsia="lv-LV"/>
        </w:rPr>
        <w:t>ītam pieaugot līdz 2,4% no IKP.</w:t>
      </w:r>
    </w:p>
    <w:p w14:paraId="4E6DD19B"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Eksporta pieaugumu Latvijā nodrošināja pakalpojumu eksporta kāpums, kamēr preču eksports uzrādīja nelielu samazinājumu, ko izraisīja reeksporta kritums. Tādējādi Latvijas preču eksports faktiskajās cenās 2016.gadā kopumā bija par 0,2% zemāks nekā 2015.gadā. Straujākie eksporta sarukumi reģistrēti </w:t>
      </w:r>
      <w:proofErr w:type="spellStart"/>
      <w:r w:rsidRPr="00A62844">
        <w:rPr>
          <w:rFonts w:ascii="Times New Roman" w:eastAsia="Times New Roman" w:hAnsi="Times New Roman" w:cs="Times New Roman"/>
          <w:color w:val="000000"/>
          <w:sz w:val="24"/>
          <w:szCs w:val="24"/>
          <w:lang w:eastAsia="lv-LV"/>
        </w:rPr>
        <w:t>minerālproduktu</w:t>
      </w:r>
      <w:proofErr w:type="spellEnd"/>
      <w:r w:rsidRPr="00A62844">
        <w:rPr>
          <w:rFonts w:ascii="Times New Roman" w:eastAsia="Times New Roman" w:hAnsi="Times New Roman" w:cs="Times New Roman"/>
          <w:color w:val="000000"/>
          <w:sz w:val="24"/>
          <w:szCs w:val="24"/>
          <w:lang w:eastAsia="lv-LV"/>
        </w:rPr>
        <w:t xml:space="preserve"> kategorijā par 26,5% saistībā ar krītošajām naftas cenām, kā arī elektroierīču un elektroiekārtu preču kategorijā par 13,1%, ko savukārt izraisīja likumu izmaiņas, kas noteica reverso PVN maksāšanas kārtību elektrotehnikai. Jāatzīmē, ka šīs divas produktu kategorijas lielā mērā veido reeksportu, tikmēr vietējo ražotāju produkcijas, piemēram, koksnes un koksnes izstrādājumu, mēbeļu, eksporta vērtība pērn palielinājās par attiecīgi 4,9% un 16,1%. Lielākie eksporta apjoma pieaugumi 2016.gadā tika reģistrēti uz </w:t>
      </w:r>
      <w:r w:rsidRPr="00A62844">
        <w:rPr>
          <w:rFonts w:ascii="Times New Roman" w:eastAsia="Times New Roman" w:hAnsi="Times New Roman" w:cs="Times New Roman"/>
          <w:color w:val="000000"/>
          <w:sz w:val="24"/>
          <w:szCs w:val="24"/>
          <w:lang w:eastAsia="lv-LV"/>
        </w:rPr>
        <w:lastRenderedPageBreak/>
        <w:t>Vāciju (+13,4%), Zviedriju (+14,8%) un Dāniju (+15,0%). Savukārt vērtības ziņā vislielākie preču eksporta sarukumi fiksēti uz Lietuvu (-4,9%), Alžīriju (-55,1%) un Poliju (-12,4%). Preču eksporta kritums uz Krieviju iepriekšējā gadā veidoja 5,9%, tomēr Krievija joprojām ierindojas kā trešais lielākais Latvijas preču eksporta tirgus aiz Lietuvas un Igaunijas. Tajā pašā laikā preču importa kritums salīdzinājumā ar eksporta samazinājumu pērn bija lielāks – 1,6%, tādējādi Latvijas preču ārējās tirdzniecības bilance 2016.gadā uzlabojās.</w:t>
      </w:r>
    </w:p>
    <w:p w14:paraId="660F1873"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6C29D841" w14:textId="77777777" w:rsidR="00A62844" w:rsidRPr="00A62844" w:rsidRDefault="00A62844" w:rsidP="00530D80">
      <w:pPr>
        <w:spacing w:after="60" w:line="240" w:lineRule="auto"/>
        <w:ind w:left="567" w:firstLine="153"/>
        <w:jc w:val="both"/>
        <w:outlineLvl w:val="3"/>
        <w:rPr>
          <w:rFonts w:ascii="Times New Roman" w:eastAsia="Times New Roman" w:hAnsi="Times New Roman" w:cs="Times New Roman"/>
          <w:b/>
          <w:sz w:val="24"/>
          <w:szCs w:val="24"/>
        </w:rPr>
      </w:pPr>
      <w:r w:rsidRPr="00A62844">
        <w:rPr>
          <w:rFonts w:ascii="Times New Roman" w:eastAsia="Times New Roman" w:hAnsi="Times New Roman" w:cs="Times New Roman"/>
          <w:b/>
          <w:sz w:val="24"/>
          <w:szCs w:val="24"/>
        </w:rPr>
        <w:t>Tekošais konts</w:t>
      </w:r>
    </w:p>
    <w:p w14:paraId="1C5A25B5" w14:textId="6831E060" w:rsidR="00A62844" w:rsidRPr="00A62844" w:rsidRDefault="00B229E3"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Pr>
          <w:rFonts w:ascii="Times New Roman" w:eastAsia="Times New Roman" w:hAnsi="Times New Roman" w:cs="Times New Roman"/>
          <w:sz w:val="24"/>
          <w:szCs w:val="23"/>
          <w:lang w:eastAsia="lv-LV"/>
        </w:rPr>
        <w:t>2016.</w:t>
      </w:r>
      <w:r w:rsidR="00A62844" w:rsidRPr="00A62844">
        <w:rPr>
          <w:rFonts w:ascii="Times New Roman" w:eastAsia="Times New Roman" w:hAnsi="Times New Roman" w:cs="Times New Roman"/>
          <w:sz w:val="24"/>
          <w:szCs w:val="23"/>
          <w:lang w:eastAsia="lv-LV"/>
        </w:rPr>
        <w:t>gadā Latvijas maksājumu bilances tekošā konta bilance pirmo reizi kopš 2</w:t>
      </w:r>
      <w:r>
        <w:rPr>
          <w:rFonts w:ascii="Times New Roman" w:eastAsia="Times New Roman" w:hAnsi="Times New Roman" w:cs="Times New Roman"/>
          <w:sz w:val="24"/>
          <w:szCs w:val="23"/>
          <w:lang w:eastAsia="lv-LV"/>
        </w:rPr>
        <w:t>010.</w:t>
      </w:r>
      <w:r w:rsidR="00A62844" w:rsidRPr="00A62844">
        <w:rPr>
          <w:rFonts w:ascii="Times New Roman" w:eastAsia="Times New Roman" w:hAnsi="Times New Roman" w:cs="Times New Roman"/>
          <w:sz w:val="24"/>
          <w:szCs w:val="23"/>
          <w:lang w:eastAsia="lv-LV"/>
        </w:rPr>
        <w:t>ga</w:t>
      </w:r>
      <w:r>
        <w:rPr>
          <w:rFonts w:ascii="Times New Roman" w:eastAsia="Times New Roman" w:hAnsi="Times New Roman" w:cs="Times New Roman"/>
          <w:sz w:val="24"/>
          <w:szCs w:val="23"/>
          <w:lang w:eastAsia="lv-LV"/>
        </w:rPr>
        <w:t>da kļuva pozitīva. Ja vēl 2015.</w:t>
      </w:r>
      <w:r w:rsidR="00A62844" w:rsidRPr="00A62844">
        <w:rPr>
          <w:rFonts w:ascii="Times New Roman" w:eastAsia="Times New Roman" w:hAnsi="Times New Roman" w:cs="Times New Roman"/>
          <w:sz w:val="24"/>
          <w:szCs w:val="23"/>
          <w:lang w:eastAsia="lv-LV"/>
        </w:rPr>
        <w:t>gada tekošā konta bilance bi</w:t>
      </w:r>
      <w:r>
        <w:rPr>
          <w:rFonts w:ascii="Times New Roman" w:eastAsia="Times New Roman" w:hAnsi="Times New Roman" w:cs="Times New Roman"/>
          <w:sz w:val="24"/>
          <w:szCs w:val="23"/>
          <w:lang w:eastAsia="lv-LV"/>
        </w:rPr>
        <w:t xml:space="preserve">ja tuvu sabalansētai, tomēr ar </w:t>
      </w:r>
      <w:r w:rsidR="00A62844" w:rsidRPr="00A62844">
        <w:rPr>
          <w:rFonts w:ascii="Times New Roman" w:eastAsia="Times New Roman" w:hAnsi="Times New Roman" w:cs="Times New Roman"/>
          <w:sz w:val="24"/>
          <w:szCs w:val="23"/>
          <w:lang w:eastAsia="lv-LV"/>
        </w:rPr>
        <w:t xml:space="preserve">188,9 milj. </w:t>
      </w:r>
      <w:proofErr w:type="spellStart"/>
      <w:r w:rsidR="00A62844" w:rsidRPr="00A62844">
        <w:rPr>
          <w:rFonts w:ascii="Times New Roman" w:eastAsia="Times New Roman" w:hAnsi="Times New Roman" w:cs="Times New Roman"/>
          <w:i/>
          <w:sz w:val="24"/>
          <w:szCs w:val="23"/>
          <w:lang w:eastAsia="lv-LV"/>
        </w:rPr>
        <w:t>euro</w:t>
      </w:r>
      <w:proofErr w:type="spellEnd"/>
      <w:r w:rsidR="00A62844" w:rsidRPr="00A62844">
        <w:rPr>
          <w:rFonts w:ascii="Times New Roman" w:eastAsia="Times New Roman" w:hAnsi="Times New Roman" w:cs="Times New Roman"/>
          <w:sz w:val="24"/>
          <w:szCs w:val="23"/>
          <w:lang w:eastAsia="lv-LV"/>
        </w:rPr>
        <w:t xml:space="preserve"> lielo deficītu, tad pagājušajā gadā tekošajā kontā reģistrēts jau 369,5 milj. </w:t>
      </w:r>
      <w:proofErr w:type="spellStart"/>
      <w:r w:rsidR="00A62844" w:rsidRPr="00A62844">
        <w:rPr>
          <w:rFonts w:ascii="Times New Roman" w:eastAsia="Times New Roman" w:hAnsi="Times New Roman" w:cs="Times New Roman"/>
          <w:i/>
          <w:sz w:val="24"/>
          <w:szCs w:val="23"/>
          <w:lang w:eastAsia="lv-LV"/>
        </w:rPr>
        <w:t>euro</w:t>
      </w:r>
      <w:proofErr w:type="spellEnd"/>
      <w:r w:rsidR="00A62844" w:rsidRPr="00A62844">
        <w:rPr>
          <w:rFonts w:ascii="Times New Roman" w:eastAsia="Times New Roman" w:hAnsi="Times New Roman" w:cs="Times New Roman"/>
          <w:sz w:val="24"/>
          <w:szCs w:val="23"/>
          <w:lang w:eastAsia="lv-LV"/>
        </w:rPr>
        <w:t xml:space="preserve"> li</w:t>
      </w:r>
      <w:r>
        <w:rPr>
          <w:rFonts w:ascii="Times New Roman" w:eastAsia="Times New Roman" w:hAnsi="Times New Roman" w:cs="Times New Roman"/>
          <w:sz w:val="24"/>
          <w:szCs w:val="23"/>
          <w:lang w:eastAsia="lv-LV"/>
        </w:rPr>
        <w:t>els pārpalikums. Tādējādi 2016.</w:t>
      </w:r>
      <w:r w:rsidR="00A62844" w:rsidRPr="00A62844">
        <w:rPr>
          <w:rFonts w:ascii="Times New Roman" w:eastAsia="Times New Roman" w:hAnsi="Times New Roman" w:cs="Times New Roman"/>
          <w:sz w:val="24"/>
          <w:szCs w:val="23"/>
          <w:lang w:eastAsia="lv-LV"/>
        </w:rPr>
        <w:t>gadā tekošā konta bilanc</w:t>
      </w:r>
      <w:r>
        <w:rPr>
          <w:rFonts w:ascii="Times New Roman" w:eastAsia="Times New Roman" w:hAnsi="Times New Roman" w:cs="Times New Roman"/>
          <w:sz w:val="24"/>
          <w:szCs w:val="23"/>
          <w:lang w:eastAsia="lv-LV"/>
        </w:rPr>
        <w:t>e veidoja 1,5% no nominālā IKP.</w:t>
      </w:r>
      <w:r w:rsidR="00A62844" w:rsidRPr="00A62844">
        <w:rPr>
          <w:rFonts w:ascii="Times New Roman" w:eastAsia="Times New Roman" w:hAnsi="Times New Roman" w:cs="Times New Roman"/>
          <w:sz w:val="24"/>
          <w:szCs w:val="23"/>
          <w:lang w:eastAsia="lv-LV"/>
        </w:rPr>
        <w:t xml:space="preserve"> Maksājumu bilances tekošā konta pēdējo trīs gadu vidējais līmenis (-0,4% no IKP) ir būtiski zemāks nekā ES agrās brīdināšanas mehānismā noteiktais slieksnis (-4% no IKP) un vērtējams kā ilgtspējīgs.</w:t>
      </w:r>
    </w:p>
    <w:p w14:paraId="49656067" w14:textId="77777777" w:rsidR="00A62844" w:rsidRPr="00A62844" w:rsidRDefault="00A62844" w:rsidP="00A62844">
      <w:pPr>
        <w:autoSpaceDE w:val="0"/>
        <w:autoSpaceDN w:val="0"/>
        <w:adjustRightInd w:val="0"/>
        <w:spacing w:after="0" w:line="240" w:lineRule="auto"/>
        <w:jc w:val="both"/>
        <w:rPr>
          <w:rFonts w:ascii="Times New Roman" w:eastAsia="Calibri" w:hAnsi="Times New Roman" w:cs="Times New Roman"/>
          <w:color w:val="000000"/>
          <w:sz w:val="24"/>
          <w:szCs w:val="24"/>
          <w:lang w:eastAsia="lv-LV"/>
        </w:rPr>
      </w:pPr>
      <w:r w:rsidRPr="00A62844">
        <w:rPr>
          <w:rFonts w:ascii="Times New Roman" w:eastAsia="Calibri" w:hAnsi="Times New Roman" w:cs="Times New Roman"/>
          <w:noProof/>
          <w:color w:val="000000"/>
          <w:sz w:val="24"/>
          <w:szCs w:val="24"/>
          <w:lang w:eastAsia="lv-LV"/>
        </w:rPr>
        <w:drawing>
          <wp:inline distT="0" distB="0" distL="0" distR="0" wp14:anchorId="1F8DB25F" wp14:editId="1A00B1AB">
            <wp:extent cx="5760085" cy="40957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302C7A" w14:textId="77777777" w:rsidR="00A62844" w:rsidRPr="00A62844" w:rsidRDefault="00A62844" w:rsidP="00530D80">
      <w:pPr>
        <w:autoSpaceDE w:val="0"/>
        <w:autoSpaceDN w:val="0"/>
        <w:adjustRightInd w:val="0"/>
        <w:spacing w:before="60" w:after="120" w:line="240" w:lineRule="auto"/>
        <w:jc w:val="center"/>
        <w:rPr>
          <w:rFonts w:ascii="Times New Roman" w:eastAsia="Calibri" w:hAnsi="Times New Roman" w:cs="Times New Roman"/>
          <w:b/>
          <w:color w:val="000000"/>
          <w:sz w:val="24"/>
          <w:szCs w:val="24"/>
          <w:lang w:eastAsia="lv-LV"/>
        </w:rPr>
      </w:pPr>
      <w:r w:rsidRPr="00A62844">
        <w:rPr>
          <w:rFonts w:ascii="Times New Roman" w:eastAsia="Calibri" w:hAnsi="Times New Roman" w:cs="Times New Roman"/>
          <w:b/>
          <w:color w:val="000000"/>
          <w:sz w:val="24"/>
          <w:szCs w:val="24"/>
          <w:lang w:eastAsia="lv-LV"/>
        </w:rPr>
        <w:t xml:space="preserve">2.2.attēls. Latvijas maksājumu bilances tekošā konta komponentes (milj. </w:t>
      </w:r>
      <w:proofErr w:type="spellStart"/>
      <w:r w:rsidRPr="00A62844">
        <w:rPr>
          <w:rFonts w:ascii="Times New Roman" w:eastAsia="Calibri" w:hAnsi="Times New Roman" w:cs="Times New Roman"/>
          <w:b/>
          <w:i/>
          <w:color w:val="000000"/>
          <w:sz w:val="24"/>
          <w:szCs w:val="24"/>
          <w:lang w:eastAsia="lv-LV"/>
        </w:rPr>
        <w:t>euro</w:t>
      </w:r>
      <w:proofErr w:type="spellEnd"/>
      <w:r w:rsidRPr="00A62844">
        <w:rPr>
          <w:rFonts w:ascii="Times New Roman" w:eastAsia="Calibri" w:hAnsi="Times New Roman" w:cs="Times New Roman"/>
          <w:b/>
          <w:color w:val="000000"/>
          <w:sz w:val="24"/>
          <w:szCs w:val="24"/>
          <w:lang w:eastAsia="lv-LV"/>
        </w:rPr>
        <w:t>) un tekošais un kapitāla konti procentos no IKP</w:t>
      </w:r>
    </w:p>
    <w:p w14:paraId="40273516" w14:textId="3F223D7F" w:rsidR="00A62844" w:rsidRPr="00A62844" w:rsidRDefault="00B229E3" w:rsidP="00530D80">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Pr>
          <w:rFonts w:ascii="Times New Roman" w:eastAsia="Times New Roman" w:hAnsi="Times New Roman" w:cs="Times New Roman"/>
          <w:color w:val="000000"/>
          <w:sz w:val="24"/>
          <w:szCs w:val="20"/>
          <w:lang w:eastAsia="lv-LV"/>
        </w:rPr>
        <w:t>Salīdzinājumā ar 2015.</w:t>
      </w:r>
      <w:r w:rsidR="00A62844" w:rsidRPr="00A62844">
        <w:rPr>
          <w:rFonts w:ascii="Times New Roman" w:eastAsia="Times New Roman" w:hAnsi="Times New Roman" w:cs="Times New Roman"/>
          <w:color w:val="000000"/>
          <w:sz w:val="24"/>
          <w:szCs w:val="20"/>
          <w:lang w:eastAsia="lv-LV"/>
        </w:rPr>
        <w:t xml:space="preserve">gadu tekošā konta bilance palielinājās par 558,4 milj. </w:t>
      </w:r>
      <w:proofErr w:type="spellStart"/>
      <w:r w:rsidR="00A62844" w:rsidRPr="00A62844">
        <w:rPr>
          <w:rFonts w:ascii="Times New Roman" w:eastAsia="Times New Roman" w:hAnsi="Times New Roman" w:cs="Times New Roman"/>
          <w:i/>
          <w:color w:val="000000"/>
          <w:sz w:val="24"/>
          <w:szCs w:val="20"/>
          <w:lang w:eastAsia="lv-LV"/>
        </w:rPr>
        <w:t>euro</w:t>
      </w:r>
      <w:proofErr w:type="spellEnd"/>
      <w:r w:rsidR="00A62844" w:rsidRPr="00A62844">
        <w:rPr>
          <w:rFonts w:ascii="Times New Roman" w:eastAsia="Times New Roman" w:hAnsi="Times New Roman" w:cs="Times New Roman"/>
          <w:color w:val="000000"/>
          <w:sz w:val="24"/>
          <w:szCs w:val="20"/>
          <w:lang w:eastAsia="lv-LV"/>
        </w:rPr>
        <w:t xml:space="preserve">. Aptuveni pusi no tekošā konta bilances pieauguma nodrošināja preču konta deficīta sarukums par 299,9 milj. </w:t>
      </w:r>
      <w:proofErr w:type="spellStart"/>
      <w:r w:rsidR="00A62844" w:rsidRPr="00A62844">
        <w:rPr>
          <w:rFonts w:ascii="Times New Roman" w:eastAsia="Times New Roman" w:hAnsi="Times New Roman" w:cs="Times New Roman"/>
          <w:i/>
          <w:color w:val="000000"/>
          <w:sz w:val="24"/>
          <w:szCs w:val="20"/>
          <w:lang w:eastAsia="lv-LV"/>
        </w:rPr>
        <w:t>euro</w:t>
      </w:r>
      <w:proofErr w:type="spellEnd"/>
      <w:r w:rsidR="00A62844" w:rsidRPr="00A62844">
        <w:rPr>
          <w:rFonts w:ascii="Times New Roman" w:eastAsia="Times New Roman" w:hAnsi="Times New Roman" w:cs="Times New Roman"/>
          <w:color w:val="000000"/>
          <w:sz w:val="24"/>
          <w:szCs w:val="20"/>
          <w:lang w:eastAsia="lv-LV"/>
        </w:rPr>
        <w:t>, tādējādi sasniedzot zemāko defi</w:t>
      </w:r>
      <w:r>
        <w:rPr>
          <w:rFonts w:ascii="Times New Roman" w:eastAsia="Times New Roman" w:hAnsi="Times New Roman" w:cs="Times New Roman"/>
          <w:color w:val="000000"/>
          <w:sz w:val="24"/>
          <w:szCs w:val="20"/>
          <w:lang w:eastAsia="lv-LV"/>
        </w:rPr>
        <w:t>cīta apjomu pēdējos sešos gados</w:t>
      </w:r>
      <w:r w:rsidR="00A62844" w:rsidRPr="00A62844">
        <w:rPr>
          <w:rFonts w:ascii="Times New Roman" w:eastAsia="Times New Roman" w:hAnsi="Times New Roman" w:cs="Times New Roman"/>
          <w:color w:val="000000"/>
          <w:sz w:val="24"/>
          <w:szCs w:val="20"/>
          <w:lang w:eastAsia="lv-LV"/>
        </w:rPr>
        <w:t xml:space="preserve"> - 1741,6 milj. </w:t>
      </w:r>
      <w:proofErr w:type="spellStart"/>
      <w:r w:rsidR="00A62844" w:rsidRPr="00A62844">
        <w:rPr>
          <w:rFonts w:ascii="Times New Roman" w:eastAsia="Times New Roman" w:hAnsi="Times New Roman" w:cs="Times New Roman"/>
          <w:i/>
          <w:color w:val="000000"/>
          <w:sz w:val="24"/>
          <w:szCs w:val="20"/>
          <w:lang w:eastAsia="lv-LV"/>
        </w:rPr>
        <w:t>euro</w:t>
      </w:r>
      <w:proofErr w:type="spellEnd"/>
      <w:r w:rsidR="00A62844" w:rsidRPr="00A62844">
        <w:rPr>
          <w:rFonts w:ascii="Times New Roman" w:eastAsia="Times New Roman" w:hAnsi="Times New Roman" w:cs="Times New Roman"/>
          <w:color w:val="000000"/>
          <w:sz w:val="24"/>
          <w:szCs w:val="20"/>
          <w:lang w:eastAsia="lv-LV"/>
        </w:rPr>
        <w:t xml:space="preserve"> jeb -7,0% no IKP. Ja preču konta deficīta kritums iepriekšējos gados bija saistīts galvenokārt ar eksporta pieaugumu, tad pērnajā gadā preču kontā saldo uzlabojumu noteica preču importa vērtības kritums, kamēr eksporta vērtība palika praktiski nemainīga.</w:t>
      </w:r>
    </w:p>
    <w:p w14:paraId="3B2C74FE" w14:textId="7D5440C4"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 xml:space="preserve">Atbilstoši CSP datiem preču importa vērtība 2016.gadā samazinājās par 1,6%. Lielāko negatīvo ietekmi uz preču importa vērtības kritumu radīja </w:t>
      </w:r>
      <w:proofErr w:type="spellStart"/>
      <w:r w:rsidRPr="00A62844">
        <w:rPr>
          <w:rFonts w:ascii="Times New Roman" w:eastAsia="Times New Roman" w:hAnsi="Times New Roman" w:cs="Times New Roman"/>
          <w:color w:val="000000"/>
          <w:sz w:val="24"/>
          <w:szCs w:val="20"/>
          <w:lang w:eastAsia="lv-LV"/>
        </w:rPr>
        <w:t>minerālproduktu</w:t>
      </w:r>
      <w:proofErr w:type="spellEnd"/>
      <w:r w:rsidRPr="00A62844">
        <w:rPr>
          <w:rFonts w:ascii="Times New Roman" w:eastAsia="Times New Roman" w:hAnsi="Times New Roman" w:cs="Times New Roman"/>
          <w:color w:val="000000"/>
          <w:sz w:val="24"/>
          <w:szCs w:val="20"/>
          <w:lang w:eastAsia="lv-LV"/>
        </w:rPr>
        <w:t xml:space="preserve">, it īpaši naftas produktu importa kritums. Kopumā </w:t>
      </w:r>
      <w:proofErr w:type="spellStart"/>
      <w:r w:rsidRPr="00A62844">
        <w:rPr>
          <w:rFonts w:ascii="Times New Roman" w:eastAsia="Times New Roman" w:hAnsi="Times New Roman" w:cs="Times New Roman"/>
          <w:color w:val="000000"/>
          <w:sz w:val="24"/>
          <w:szCs w:val="20"/>
          <w:lang w:eastAsia="lv-LV"/>
        </w:rPr>
        <w:t>minerālproduktu</w:t>
      </w:r>
      <w:proofErr w:type="spellEnd"/>
      <w:r w:rsidRPr="00A62844">
        <w:rPr>
          <w:rFonts w:ascii="Times New Roman" w:eastAsia="Times New Roman" w:hAnsi="Times New Roman" w:cs="Times New Roman"/>
          <w:color w:val="000000"/>
          <w:sz w:val="24"/>
          <w:szCs w:val="20"/>
          <w:lang w:eastAsia="lv-LV"/>
        </w:rPr>
        <w:t xml:space="preserve"> impo</w:t>
      </w:r>
      <w:r w:rsidR="008D7AE2">
        <w:rPr>
          <w:rFonts w:ascii="Times New Roman" w:eastAsia="Times New Roman" w:hAnsi="Times New Roman" w:cs="Times New Roman"/>
          <w:color w:val="000000"/>
          <w:sz w:val="24"/>
          <w:szCs w:val="20"/>
          <w:lang w:eastAsia="lv-LV"/>
        </w:rPr>
        <w:t>rta vērtība samazinājās par 26,4</w:t>
      </w:r>
      <w:r w:rsidRPr="00A62844">
        <w:rPr>
          <w:rFonts w:ascii="Times New Roman" w:eastAsia="Times New Roman" w:hAnsi="Times New Roman" w:cs="Times New Roman"/>
          <w:color w:val="000000"/>
          <w:sz w:val="24"/>
          <w:szCs w:val="20"/>
          <w:lang w:eastAsia="lv-LV"/>
        </w:rPr>
        <w:t xml:space="preserve">% </w:t>
      </w:r>
      <w:r w:rsidRPr="00A62844">
        <w:rPr>
          <w:rFonts w:ascii="Times New Roman" w:eastAsia="Times New Roman" w:hAnsi="Times New Roman" w:cs="Times New Roman"/>
          <w:color w:val="000000"/>
          <w:sz w:val="24"/>
          <w:szCs w:val="20"/>
          <w:lang w:eastAsia="lv-LV"/>
        </w:rPr>
        <w:lastRenderedPageBreak/>
        <w:t xml:space="preserve">jeb 397,4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xml:space="preserve"> salīdzinājumā ar 2015.gadu, kas ir saistīts ar zemām energoresursu cenām pasaules tirgos. </w:t>
      </w:r>
      <w:proofErr w:type="spellStart"/>
      <w:r w:rsidRPr="00A62844">
        <w:rPr>
          <w:rFonts w:ascii="Times New Roman" w:eastAsia="Times New Roman" w:hAnsi="Times New Roman" w:cs="Times New Roman"/>
          <w:color w:val="000000"/>
          <w:sz w:val="24"/>
          <w:szCs w:val="20"/>
          <w:lang w:eastAsia="lv-LV"/>
        </w:rPr>
        <w:t>Minerālproduktu</w:t>
      </w:r>
      <w:proofErr w:type="spellEnd"/>
      <w:r w:rsidRPr="00A62844">
        <w:rPr>
          <w:rFonts w:ascii="Times New Roman" w:eastAsia="Times New Roman" w:hAnsi="Times New Roman" w:cs="Times New Roman"/>
          <w:color w:val="000000"/>
          <w:sz w:val="24"/>
          <w:szCs w:val="20"/>
          <w:lang w:eastAsia="lv-LV"/>
        </w:rPr>
        <w:t xml:space="preserve"> imports samazinās jau kopš 2013.gada, cieši korelējot ar n</w:t>
      </w:r>
      <w:r w:rsidR="00B229E3">
        <w:rPr>
          <w:rFonts w:ascii="Times New Roman" w:eastAsia="Times New Roman" w:hAnsi="Times New Roman" w:cs="Times New Roman"/>
          <w:color w:val="000000"/>
          <w:sz w:val="24"/>
          <w:szCs w:val="20"/>
          <w:lang w:eastAsia="lv-LV"/>
        </w:rPr>
        <w:t>aftas cenu izmainām. Kopš 2012.</w:t>
      </w:r>
      <w:r w:rsidRPr="00A62844">
        <w:rPr>
          <w:rFonts w:ascii="Times New Roman" w:eastAsia="Times New Roman" w:hAnsi="Times New Roman" w:cs="Times New Roman"/>
          <w:color w:val="000000"/>
          <w:sz w:val="24"/>
          <w:szCs w:val="20"/>
          <w:lang w:eastAsia="lv-LV"/>
        </w:rPr>
        <w:t xml:space="preserve">gada vidējā naftas cena katru gadu mazinājās. Ja </w:t>
      </w:r>
      <w:proofErr w:type="spellStart"/>
      <w:r w:rsidRPr="00A62844">
        <w:rPr>
          <w:rFonts w:ascii="Times New Roman" w:eastAsia="Times New Roman" w:hAnsi="Times New Roman" w:cs="Times New Roman"/>
          <w:i/>
          <w:color w:val="000000"/>
          <w:sz w:val="24"/>
          <w:szCs w:val="20"/>
          <w:lang w:eastAsia="lv-LV"/>
        </w:rPr>
        <w:t>Brent</w:t>
      </w:r>
      <w:proofErr w:type="spellEnd"/>
      <w:r w:rsidRPr="00A62844">
        <w:rPr>
          <w:rFonts w:ascii="Times New Roman" w:eastAsia="Times New Roman" w:hAnsi="Times New Roman" w:cs="Times New Roman"/>
          <w:color w:val="000000"/>
          <w:sz w:val="24"/>
          <w:szCs w:val="20"/>
          <w:lang w:eastAsia="lv-LV"/>
        </w:rPr>
        <w:t xml:space="preserve"> markas jēlnaftas vidējā cena 2012.gadā bija 87,0</w:t>
      </w:r>
      <w:r w:rsidR="00B229E3">
        <w:rPr>
          <w:rFonts w:ascii="Times New Roman" w:eastAsia="Times New Roman" w:hAnsi="Times New Roman" w:cs="Times New Roman"/>
          <w:color w:val="000000"/>
          <w:sz w:val="24"/>
          <w:szCs w:val="20"/>
          <w:lang w:eastAsia="lv-LV"/>
        </w:rPr>
        <w:t xml:space="preserve"> </w:t>
      </w:r>
      <w:proofErr w:type="spellStart"/>
      <w:r w:rsidR="008D7AE2">
        <w:rPr>
          <w:rFonts w:ascii="Times New Roman" w:eastAsia="Times New Roman" w:hAnsi="Times New Roman" w:cs="Times New Roman"/>
          <w:i/>
          <w:color w:val="000000"/>
          <w:sz w:val="24"/>
          <w:szCs w:val="20"/>
          <w:lang w:eastAsia="lv-LV"/>
        </w:rPr>
        <w:t>euro</w:t>
      </w:r>
      <w:proofErr w:type="spellEnd"/>
      <w:r w:rsidR="00B229E3">
        <w:rPr>
          <w:rFonts w:ascii="Times New Roman" w:eastAsia="Times New Roman" w:hAnsi="Times New Roman" w:cs="Times New Roman"/>
          <w:color w:val="000000"/>
          <w:sz w:val="24"/>
          <w:szCs w:val="20"/>
          <w:lang w:eastAsia="lv-LV"/>
        </w:rPr>
        <w:t xml:space="preserve"> par barelu, tad līdz 2016.</w:t>
      </w:r>
      <w:r w:rsidRPr="00A62844">
        <w:rPr>
          <w:rFonts w:ascii="Times New Roman" w:eastAsia="Times New Roman" w:hAnsi="Times New Roman" w:cs="Times New Roman"/>
          <w:color w:val="000000"/>
          <w:sz w:val="24"/>
          <w:szCs w:val="20"/>
          <w:lang w:eastAsia="lv-LV"/>
        </w:rPr>
        <w:t xml:space="preserve">gadam vidējā cena samazinājās </w:t>
      </w:r>
      <w:r w:rsidR="00B229E3">
        <w:rPr>
          <w:rFonts w:ascii="Times New Roman" w:eastAsia="Times New Roman" w:hAnsi="Times New Roman" w:cs="Times New Roman"/>
          <w:color w:val="000000"/>
          <w:sz w:val="24"/>
          <w:szCs w:val="20"/>
          <w:lang w:eastAsia="lv-LV"/>
        </w:rPr>
        <w:t xml:space="preserve">līdz 40,4 </w:t>
      </w:r>
      <w:proofErr w:type="spellStart"/>
      <w:r w:rsidR="008D7AE2">
        <w:rPr>
          <w:rFonts w:ascii="Times New Roman" w:eastAsia="Times New Roman" w:hAnsi="Times New Roman" w:cs="Times New Roman"/>
          <w:i/>
          <w:color w:val="000000"/>
          <w:sz w:val="24"/>
          <w:szCs w:val="20"/>
          <w:lang w:eastAsia="lv-LV"/>
        </w:rPr>
        <w:t>euro</w:t>
      </w:r>
      <w:proofErr w:type="spellEnd"/>
      <w:r w:rsidR="00B229E3">
        <w:rPr>
          <w:rFonts w:ascii="Times New Roman" w:eastAsia="Times New Roman" w:hAnsi="Times New Roman" w:cs="Times New Roman"/>
          <w:color w:val="000000"/>
          <w:sz w:val="24"/>
          <w:szCs w:val="20"/>
          <w:lang w:eastAsia="lv-LV"/>
        </w:rPr>
        <w:t xml:space="preserve"> par vienu barelu.</w:t>
      </w:r>
    </w:p>
    <w:p w14:paraId="3391129C" w14:textId="77C12046"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 xml:space="preserve">Vēl viena preču kategorija, kura negatīvi ietekmēja preču importa attīstību pērnajā gadā, bija elektroiekārtas un elektroierīces, to importa vērtībai samazinoties par 6,7% jeb 102,7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xml:space="preserve">. Elektroierīču </w:t>
      </w:r>
      <w:r w:rsidR="00815587">
        <w:rPr>
          <w:rFonts w:ascii="Times New Roman" w:eastAsia="Times New Roman" w:hAnsi="Times New Roman" w:cs="Times New Roman"/>
          <w:color w:val="000000"/>
          <w:sz w:val="24"/>
          <w:szCs w:val="20"/>
          <w:lang w:eastAsia="lv-LV"/>
        </w:rPr>
        <w:t>importa</w:t>
      </w:r>
      <w:r w:rsidRPr="00A62844">
        <w:rPr>
          <w:rFonts w:ascii="Times New Roman" w:eastAsia="Times New Roman" w:hAnsi="Times New Roman" w:cs="Times New Roman"/>
          <w:color w:val="000000"/>
          <w:sz w:val="24"/>
          <w:szCs w:val="20"/>
          <w:lang w:eastAsia="lv-LV"/>
        </w:rPr>
        <w:t xml:space="preserve"> kritums visticamāk ir saistīts ar grozījumiem </w:t>
      </w:r>
      <w:r w:rsidR="00B229E3">
        <w:rPr>
          <w:rFonts w:ascii="Times New Roman" w:eastAsia="Times New Roman" w:hAnsi="Times New Roman" w:cs="Times New Roman"/>
          <w:color w:val="000000"/>
          <w:sz w:val="24"/>
          <w:szCs w:val="20"/>
          <w:lang w:eastAsia="lv-LV"/>
        </w:rPr>
        <w:t>P</w:t>
      </w:r>
      <w:r w:rsidRPr="00A62844">
        <w:rPr>
          <w:rFonts w:ascii="Times New Roman" w:eastAsia="Times New Roman" w:hAnsi="Times New Roman" w:cs="Times New Roman"/>
          <w:color w:val="000000"/>
          <w:sz w:val="24"/>
          <w:szCs w:val="20"/>
          <w:lang w:eastAsia="lv-LV"/>
        </w:rPr>
        <w:t xml:space="preserve">ievienotās vērtības nodokļa likumā par īpašu nodokļa piemērošanas režīmu elektronikai. PVN likuma izmaiņās tika noteikts, ka mobilajiem telefoniem, planšetdatoriem un klēpjdatoriem, integrālās shēmas ierīcēm (tai skaitā mikroprocesoriem un centrālo procesoru blokiem pirms to ievietošanas gala produktā) piemēro īpašo </w:t>
      </w:r>
      <w:r w:rsidR="00B229E3">
        <w:rPr>
          <w:rFonts w:ascii="Times New Roman" w:eastAsia="Times New Roman" w:hAnsi="Times New Roman" w:cs="Times New Roman"/>
          <w:color w:val="000000"/>
          <w:sz w:val="24"/>
          <w:szCs w:val="20"/>
          <w:lang w:eastAsia="lv-LV"/>
        </w:rPr>
        <w:t>PVN</w:t>
      </w:r>
      <w:r w:rsidRPr="00A62844">
        <w:rPr>
          <w:rFonts w:ascii="Times New Roman" w:eastAsia="Times New Roman" w:hAnsi="Times New Roman" w:cs="Times New Roman"/>
          <w:color w:val="000000"/>
          <w:sz w:val="24"/>
          <w:szCs w:val="20"/>
          <w:lang w:eastAsia="lv-LV"/>
        </w:rPr>
        <w:t xml:space="preserve"> piemērošanas režīmu </w:t>
      </w:r>
      <w:r w:rsidR="00B229E3">
        <w:rPr>
          <w:rFonts w:ascii="Times New Roman" w:eastAsia="Times New Roman" w:hAnsi="Times New Roman" w:cs="Times New Roman"/>
          <w:color w:val="000000"/>
          <w:sz w:val="24"/>
          <w:szCs w:val="20"/>
          <w:lang w:eastAsia="lv-LV"/>
        </w:rPr>
        <w:t xml:space="preserve">– </w:t>
      </w:r>
      <w:r w:rsidRPr="00A62844">
        <w:rPr>
          <w:rFonts w:ascii="Times New Roman" w:eastAsia="Times New Roman" w:hAnsi="Times New Roman" w:cs="Times New Roman"/>
          <w:color w:val="000000"/>
          <w:sz w:val="24"/>
          <w:szCs w:val="20"/>
          <w:lang w:eastAsia="lv-LV"/>
        </w:rPr>
        <w:t xml:space="preserve">PVN apgriezto maksāšanas kārtību. PVN maksāšanas kārtības izmaiņas samazināja fiktīvo darījumu skaitu, tādējādi ietekmējot elektronikas importa un eksporta apjomus. No vienas puses, tas negatīvi ietekmēja ārējo tirdzniecību. Taču no otras puses, negatīva ietekme novērota tikai īstermiņā un noteiktās izmaiņas padarīs biznesa vidi šajā nozarē konkurētspējīgāku. Lai gan elektroierīču un elektroiekārtu preču </w:t>
      </w:r>
      <w:r w:rsidR="00815587">
        <w:rPr>
          <w:rFonts w:ascii="Times New Roman" w:eastAsia="Times New Roman" w:hAnsi="Times New Roman" w:cs="Times New Roman"/>
          <w:color w:val="000000"/>
          <w:sz w:val="24"/>
          <w:szCs w:val="20"/>
          <w:lang w:eastAsia="lv-LV"/>
        </w:rPr>
        <w:t>importa</w:t>
      </w:r>
      <w:r w:rsidRPr="00A62844">
        <w:rPr>
          <w:rFonts w:ascii="Times New Roman" w:eastAsia="Times New Roman" w:hAnsi="Times New Roman" w:cs="Times New Roman"/>
          <w:color w:val="000000"/>
          <w:sz w:val="24"/>
          <w:szCs w:val="20"/>
          <w:lang w:eastAsia="lv-LV"/>
        </w:rPr>
        <w:t xml:space="preserve"> kategorija ir daudzveidīga un atsevišķām precēm ar mazu īpatsvaru ir fiksēts neliels </w:t>
      </w:r>
      <w:r w:rsidR="00815587">
        <w:rPr>
          <w:rFonts w:ascii="Times New Roman" w:eastAsia="Times New Roman" w:hAnsi="Times New Roman" w:cs="Times New Roman"/>
          <w:color w:val="000000"/>
          <w:sz w:val="24"/>
          <w:szCs w:val="20"/>
          <w:lang w:eastAsia="lv-LV"/>
        </w:rPr>
        <w:t>importa</w:t>
      </w:r>
      <w:r w:rsidRPr="00A62844">
        <w:rPr>
          <w:rFonts w:ascii="Times New Roman" w:eastAsia="Times New Roman" w:hAnsi="Times New Roman" w:cs="Times New Roman"/>
          <w:color w:val="000000"/>
          <w:sz w:val="24"/>
          <w:szCs w:val="20"/>
          <w:lang w:eastAsia="lv-LV"/>
        </w:rPr>
        <w:t xml:space="preserve"> kāpums, tomēr tieši telefona aparātu (mobilie telefoni) </w:t>
      </w:r>
      <w:r w:rsidR="00815587">
        <w:rPr>
          <w:rFonts w:ascii="Times New Roman" w:eastAsia="Times New Roman" w:hAnsi="Times New Roman" w:cs="Times New Roman"/>
          <w:color w:val="000000"/>
          <w:sz w:val="24"/>
          <w:szCs w:val="20"/>
          <w:lang w:eastAsia="lv-LV"/>
        </w:rPr>
        <w:t>importa</w:t>
      </w:r>
      <w:r w:rsidRPr="00A62844">
        <w:rPr>
          <w:rFonts w:ascii="Times New Roman" w:eastAsia="Times New Roman" w:hAnsi="Times New Roman" w:cs="Times New Roman"/>
          <w:color w:val="000000"/>
          <w:sz w:val="24"/>
          <w:szCs w:val="20"/>
          <w:lang w:eastAsia="lv-LV"/>
        </w:rPr>
        <w:t xml:space="preserve"> vērtības kritums par 100,0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xml:space="preserve"> noteica kopējo šīs kategorijas </w:t>
      </w:r>
      <w:r w:rsidR="00815587">
        <w:rPr>
          <w:rFonts w:ascii="Times New Roman" w:eastAsia="Times New Roman" w:hAnsi="Times New Roman" w:cs="Times New Roman"/>
          <w:color w:val="000000"/>
          <w:sz w:val="24"/>
          <w:szCs w:val="20"/>
          <w:lang w:eastAsia="lv-LV"/>
        </w:rPr>
        <w:t>importa</w:t>
      </w:r>
      <w:r w:rsidRPr="00A62844">
        <w:rPr>
          <w:rFonts w:ascii="Times New Roman" w:eastAsia="Times New Roman" w:hAnsi="Times New Roman" w:cs="Times New Roman"/>
          <w:color w:val="000000"/>
          <w:sz w:val="24"/>
          <w:szCs w:val="20"/>
          <w:lang w:eastAsia="lv-LV"/>
        </w:rPr>
        <w:t xml:space="preserve"> kritumu. Beidzoties bāzes efektam, sākot ar 2017. gadu šīs preču kategorijas attīstība stabilizēties.</w:t>
      </w:r>
    </w:p>
    <w:p w14:paraId="5F83B872" w14:textId="0517A129"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 xml:space="preserve">Tajā pašā laikā, tādām preču kategorijām kā lauksaimniecības un pārtikas preces, it īpaši zivīm, graudaugiem, alkoholiskajiem dzērieniem, kā arī farmācijas produktiem un sauszemes transportam tika fiksēts samērā straujš importa kāpums, tādējādi nedaudz </w:t>
      </w:r>
      <w:r w:rsidR="0093108F">
        <w:rPr>
          <w:rFonts w:ascii="Times New Roman" w:eastAsia="Times New Roman" w:hAnsi="Times New Roman" w:cs="Times New Roman"/>
          <w:color w:val="000000"/>
          <w:sz w:val="24"/>
          <w:szCs w:val="20"/>
          <w:lang w:eastAsia="lv-LV"/>
        </w:rPr>
        <w:t>mazinot kopējo importa kritumu.</w:t>
      </w:r>
    </w:p>
    <w:p w14:paraId="5B47DC15" w14:textId="42FC42EC"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 xml:space="preserve">Lai arī kopējā preču eksporta vērtība 2016.gadā samazinājās vien par 0,2%, eksporta dinamika preču kategoriju griezumā ir ļoti neviendabīga. Ņemot vērā, ka </w:t>
      </w:r>
      <w:proofErr w:type="spellStart"/>
      <w:r w:rsidRPr="00A62844">
        <w:rPr>
          <w:rFonts w:ascii="Times New Roman" w:eastAsia="Times New Roman" w:hAnsi="Times New Roman" w:cs="Times New Roman"/>
          <w:color w:val="000000"/>
          <w:sz w:val="24"/>
          <w:szCs w:val="20"/>
          <w:lang w:eastAsia="lv-LV"/>
        </w:rPr>
        <w:t>minerālproduktu</w:t>
      </w:r>
      <w:proofErr w:type="spellEnd"/>
      <w:r w:rsidRPr="00A62844">
        <w:rPr>
          <w:rFonts w:ascii="Times New Roman" w:eastAsia="Times New Roman" w:hAnsi="Times New Roman" w:cs="Times New Roman"/>
          <w:color w:val="000000"/>
          <w:sz w:val="24"/>
          <w:szCs w:val="20"/>
          <w:lang w:eastAsia="lv-LV"/>
        </w:rPr>
        <w:t xml:space="preserve"> un elektroiekārt</w:t>
      </w:r>
      <w:r w:rsidR="0093108F">
        <w:rPr>
          <w:rFonts w:ascii="Times New Roman" w:eastAsia="Times New Roman" w:hAnsi="Times New Roman" w:cs="Times New Roman"/>
          <w:color w:val="000000"/>
          <w:sz w:val="24"/>
          <w:szCs w:val="20"/>
          <w:lang w:eastAsia="lv-LV"/>
        </w:rPr>
        <w:t>u preču kategorijās ir liels re</w:t>
      </w:r>
      <w:r w:rsidRPr="00A62844">
        <w:rPr>
          <w:rFonts w:ascii="Times New Roman" w:eastAsia="Times New Roman" w:hAnsi="Times New Roman" w:cs="Times New Roman"/>
          <w:color w:val="000000"/>
          <w:sz w:val="24"/>
          <w:szCs w:val="20"/>
          <w:lang w:eastAsia="lv-LV"/>
        </w:rPr>
        <w:t xml:space="preserve">eksporta īpatsvars, tieši šajās preču kategorijās, kā arī importā ir fiksēti lielākie eksporta vērtības kritumi. </w:t>
      </w:r>
      <w:proofErr w:type="spellStart"/>
      <w:r w:rsidRPr="00A62844">
        <w:rPr>
          <w:rFonts w:ascii="Times New Roman" w:eastAsia="Times New Roman" w:hAnsi="Times New Roman" w:cs="Times New Roman"/>
          <w:color w:val="000000"/>
          <w:sz w:val="24"/>
          <w:szCs w:val="20"/>
          <w:lang w:eastAsia="lv-LV"/>
        </w:rPr>
        <w:t>Minerālproduktu</w:t>
      </w:r>
      <w:proofErr w:type="spellEnd"/>
      <w:r w:rsidRPr="00A62844">
        <w:rPr>
          <w:rFonts w:ascii="Times New Roman" w:eastAsia="Times New Roman" w:hAnsi="Times New Roman" w:cs="Times New Roman"/>
          <w:color w:val="000000"/>
          <w:sz w:val="24"/>
          <w:szCs w:val="20"/>
          <w:lang w:eastAsia="lv-LV"/>
        </w:rPr>
        <w:t xml:space="preserve"> eksporta vērtība samazinājās par 26,5% jeb 186,3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xml:space="preserve">. Savukārt, elektroiekārtu eksporta vērtība samazinājās par 13,1% jeb 177,4 milj. </w:t>
      </w:r>
      <w:proofErr w:type="spellStart"/>
      <w:r w:rsidRPr="00A62844">
        <w:rPr>
          <w:rFonts w:ascii="Times New Roman" w:eastAsia="Times New Roman" w:hAnsi="Times New Roman" w:cs="Times New Roman"/>
          <w:i/>
          <w:color w:val="000000"/>
          <w:sz w:val="24"/>
          <w:szCs w:val="20"/>
          <w:lang w:eastAsia="lv-LV"/>
        </w:rPr>
        <w:t>euro</w:t>
      </w:r>
      <w:proofErr w:type="spellEnd"/>
      <w:r w:rsidR="0093108F">
        <w:rPr>
          <w:rFonts w:ascii="Times New Roman" w:eastAsia="Times New Roman" w:hAnsi="Times New Roman" w:cs="Times New Roman"/>
          <w:color w:val="000000"/>
          <w:sz w:val="24"/>
          <w:szCs w:val="20"/>
          <w:lang w:eastAsia="lv-LV"/>
        </w:rPr>
        <w:t>.</w:t>
      </w:r>
    </w:p>
    <w:p w14:paraId="6ED2F654" w14:textId="17750036"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 xml:space="preserve">Tajā pašā laikā ir svarīgi atzīmēt, ka koka un koka izstrādājumu eksports turpina palielināties, uzstādot jaunus eksportētās vērtības rekordus. Pērnajā gadā koka un koka izstrādājumu eksports palielinājās par 4,9% sasniedzot 1793,5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kas ir augstākā šīs preču kategorijas eksporta vērtība pēdējos 25 gados. Zīmīgi, ka koka eksports palielinājās par spīti būtiskam sterliņu mā</w:t>
      </w:r>
      <w:r w:rsidR="0093108F">
        <w:rPr>
          <w:rFonts w:ascii="Times New Roman" w:eastAsia="Times New Roman" w:hAnsi="Times New Roman" w:cs="Times New Roman"/>
          <w:color w:val="000000"/>
          <w:sz w:val="24"/>
          <w:szCs w:val="20"/>
          <w:lang w:eastAsia="lv-LV"/>
        </w:rPr>
        <w:t>rciņas vērtības sarukumam 2016.</w:t>
      </w:r>
      <w:r w:rsidRPr="00A62844">
        <w:rPr>
          <w:rFonts w:ascii="Times New Roman" w:eastAsia="Times New Roman" w:hAnsi="Times New Roman" w:cs="Times New Roman"/>
          <w:color w:val="000000"/>
          <w:sz w:val="24"/>
          <w:szCs w:val="20"/>
          <w:lang w:eastAsia="lv-LV"/>
        </w:rPr>
        <w:t>gada vidū, kad bija publicēti referenduma rezultāti par Lielbritānijas izstāšanos no ES. Lielbritānija ar aptuveni vienu piektdaļu no kopējā īpatsvara ir galvenais koka un koka izstrādājumu eksporta noieta tirgus. Kopu</w:t>
      </w:r>
      <w:r w:rsidR="0093108F">
        <w:rPr>
          <w:rFonts w:ascii="Times New Roman" w:eastAsia="Times New Roman" w:hAnsi="Times New Roman" w:cs="Times New Roman"/>
          <w:color w:val="000000"/>
          <w:sz w:val="24"/>
          <w:szCs w:val="20"/>
          <w:lang w:eastAsia="lv-LV"/>
        </w:rPr>
        <w:t>mā koksnes eksports uz šo valsti</w:t>
      </w:r>
      <w:r w:rsidRPr="00A62844">
        <w:rPr>
          <w:rFonts w:ascii="Times New Roman" w:eastAsia="Times New Roman" w:hAnsi="Times New Roman" w:cs="Times New Roman"/>
          <w:color w:val="000000"/>
          <w:sz w:val="24"/>
          <w:szCs w:val="20"/>
          <w:lang w:eastAsia="lv-LV"/>
        </w:rPr>
        <w:t xml:space="preserve"> pagājušajā gadā pieauga par 8,4%, nodro</w:t>
      </w:r>
      <w:r w:rsidR="0093108F">
        <w:rPr>
          <w:rFonts w:ascii="Times New Roman" w:eastAsia="Times New Roman" w:hAnsi="Times New Roman" w:cs="Times New Roman"/>
          <w:color w:val="000000"/>
          <w:sz w:val="24"/>
          <w:szCs w:val="20"/>
          <w:lang w:eastAsia="lv-LV"/>
        </w:rPr>
        <w:t>šinot lielāko pozitīvo devumu šī</w:t>
      </w:r>
      <w:r w:rsidRPr="00A62844">
        <w:rPr>
          <w:rFonts w:ascii="Times New Roman" w:eastAsia="Times New Roman" w:hAnsi="Times New Roman" w:cs="Times New Roman"/>
          <w:color w:val="000000"/>
          <w:sz w:val="24"/>
          <w:szCs w:val="20"/>
          <w:lang w:eastAsia="lv-LV"/>
        </w:rPr>
        <w:t xml:space="preserve">s preču kategorijas attīstībā. Savukārt, kopējais preču </w:t>
      </w:r>
      <w:r w:rsidR="0093108F">
        <w:rPr>
          <w:rFonts w:ascii="Times New Roman" w:eastAsia="Times New Roman" w:hAnsi="Times New Roman" w:cs="Times New Roman"/>
          <w:color w:val="000000"/>
          <w:sz w:val="24"/>
          <w:szCs w:val="20"/>
          <w:lang w:eastAsia="lv-LV"/>
        </w:rPr>
        <w:t>eksports uz Lielbritāniju 2016.</w:t>
      </w:r>
      <w:r w:rsidRPr="00A62844">
        <w:rPr>
          <w:rFonts w:ascii="Times New Roman" w:eastAsia="Times New Roman" w:hAnsi="Times New Roman" w:cs="Times New Roman"/>
          <w:color w:val="000000"/>
          <w:sz w:val="24"/>
          <w:szCs w:val="20"/>
          <w:lang w:eastAsia="lv-LV"/>
        </w:rPr>
        <w:t>gadā palielinājās par 10,2%. Papildus tam jāatzīmē, ka pieauga arī citas ar koksni saistītas preču kategorijas. Tā kopējais mēbeļu eksports pieauga par 16,1%, savukārt papīra un poligrāfijas izstrādājumu eksports pieauga par 0,1%.</w:t>
      </w:r>
    </w:p>
    <w:p w14:paraId="2E40F984" w14:textId="4A3823E8"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 xml:space="preserve">Būtisks eksporta kāpums par 21,4% vērojams satiksmes līdzekļiem, kas galvenokārt ir saistīts ar </w:t>
      </w:r>
      <w:r w:rsidR="00EB3270">
        <w:rPr>
          <w:rFonts w:ascii="Times New Roman" w:hAnsi="Times New Roman" w:cs="Times New Roman"/>
          <w:sz w:val="24"/>
          <w:szCs w:val="20"/>
        </w:rPr>
        <w:t>automobiļu un to piederumu re</w:t>
      </w:r>
      <w:r w:rsidR="00EB3270" w:rsidRPr="0069362A">
        <w:rPr>
          <w:rFonts w:ascii="Times New Roman" w:hAnsi="Times New Roman" w:cs="Times New Roman"/>
          <w:sz w:val="24"/>
          <w:szCs w:val="20"/>
        </w:rPr>
        <w:t>eksporta kāpumu, kā arī ar jūras jahtu eksportu.</w:t>
      </w:r>
      <w:r w:rsidR="00EB3270">
        <w:rPr>
          <w:rFonts w:ascii="Times New Roman" w:hAnsi="Times New Roman" w:cs="Times New Roman"/>
          <w:sz w:val="24"/>
          <w:szCs w:val="20"/>
        </w:rPr>
        <w:t xml:space="preserve"> F</w:t>
      </w:r>
      <w:r w:rsidR="00EB3270">
        <w:rPr>
          <w:rFonts w:ascii="Times New Roman" w:eastAsia="Times New Roman" w:hAnsi="Times New Roman" w:cs="Times New Roman"/>
          <w:color w:val="000000"/>
          <w:sz w:val="24"/>
          <w:szCs w:val="20"/>
          <w:lang w:eastAsia="lv-LV"/>
        </w:rPr>
        <w:t>armaceitisko produktu eksporta vērtības</w:t>
      </w:r>
      <w:r w:rsidRPr="00A62844">
        <w:rPr>
          <w:rFonts w:ascii="Times New Roman" w:eastAsia="Times New Roman" w:hAnsi="Times New Roman" w:cs="Times New Roman"/>
          <w:color w:val="000000"/>
          <w:sz w:val="24"/>
          <w:szCs w:val="20"/>
          <w:lang w:eastAsia="lv-LV"/>
        </w:rPr>
        <w:t xml:space="preserve"> pieaug</w:t>
      </w:r>
      <w:r w:rsidR="00EB3270">
        <w:rPr>
          <w:rFonts w:ascii="Times New Roman" w:eastAsia="Times New Roman" w:hAnsi="Times New Roman" w:cs="Times New Roman"/>
          <w:color w:val="000000"/>
          <w:sz w:val="24"/>
          <w:szCs w:val="20"/>
          <w:lang w:eastAsia="lv-LV"/>
        </w:rPr>
        <w:t>umu</w:t>
      </w:r>
      <w:r w:rsidRPr="00A62844">
        <w:rPr>
          <w:rFonts w:ascii="Times New Roman" w:eastAsia="Times New Roman" w:hAnsi="Times New Roman" w:cs="Times New Roman"/>
          <w:color w:val="000000"/>
          <w:sz w:val="24"/>
          <w:szCs w:val="20"/>
          <w:lang w:eastAsia="lv-LV"/>
        </w:rPr>
        <w:t xml:space="preserve"> par 23,8%</w:t>
      </w:r>
      <w:r w:rsidR="0093108F">
        <w:rPr>
          <w:rFonts w:ascii="Times New Roman" w:eastAsia="Times New Roman" w:hAnsi="Times New Roman" w:cs="Times New Roman"/>
          <w:color w:val="000000"/>
          <w:sz w:val="24"/>
          <w:szCs w:val="20"/>
          <w:lang w:eastAsia="lv-LV"/>
        </w:rPr>
        <w:t xml:space="preserve"> </w:t>
      </w:r>
      <w:r w:rsidR="00EB3270">
        <w:rPr>
          <w:rFonts w:ascii="Times New Roman" w:eastAsia="Times New Roman" w:hAnsi="Times New Roman" w:cs="Times New Roman"/>
          <w:color w:val="000000"/>
          <w:sz w:val="24"/>
          <w:szCs w:val="20"/>
          <w:lang w:eastAsia="lv-LV"/>
        </w:rPr>
        <w:t>sekmēja arī</w:t>
      </w:r>
      <w:r w:rsidR="0093108F">
        <w:rPr>
          <w:rFonts w:ascii="Times New Roman" w:eastAsia="Times New Roman" w:hAnsi="Times New Roman" w:cs="Times New Roman"/>
          <w:color w:val="000000"/>
          <w:sz w:val="24"/>
          <w:szCs w:val="20"/>
          <w:lang w:eastAsia="lv-LV"/>
        </w:rPr>
        <w:t xml:space="preserve"> re</w:t>
      </w:r>
      <w:r w:rsidRPr="00A62844">
        <w:rPr>
          <w:rFonts w:ascii="Times New Roman" w:eastAsia="Times New Roman" w:hAnsi="Times New Roman" w:cs="Times New Roman"/>
          <w:color w:val="000000"/>
          <w:sz w:val="24"/>
          <w:szCs w:val="20"/>
          <w:lang w:eastAsia="lv-LV"/>
        </w:rPr>
        <w:t xml:space="preserve">eksporta </w:t>
      </w:r>
      <w:r w:rsidR="00EB3270">
        <w:rPr>
          <w:rFonts w:ascii="Times New Roman" w:eastAsia="Times New Roman" w:hAnsi="Times New Roman" w:cs="Times New Roman"/>
          <w:color w:val="000000"/>
          <w:sz w:val="24"/>
          <w:szCs w:val="20"/>
          <w:lang w:eastAsia="lv-LV"/>
        </w:rPr>
        <w:t>kāpums</w:t>
      </w:r>
      <w:r w:rsidRPr="00A62844">
        <w:rPr>
          <w:rFonts w:ascii="Times New Roman" w:eastAsia="Times New Roman" w:hAnsi="Times New Roman" w:cs="Times New Roman"/>
          <w:color w:val="000000"/>
          <w:sz w:val="24"/>
          <w:szCs w:val="20"/>
          <w:lang w:eastAsia="lv-LV"/>
        </w:rPr>
        <w:t>. Importējot medikamentus galvenokārt no Rietumeir</w:t>
      </w:r>
      <w:r w:rsidR="0093108F">
        <w:rPr>
          <w:rFonts w:ascii="Times New Roman" w:eastAsia="Times New Roman" w:hAnsi="Times New Roman" w:cs="Times New Roman"/>
          <w:color w:val="000000"/>
          <w:sz w:val="24"/>
          <w:szCs w:val="20"/>
          <w:lang w:eastAsia="lv-LV"/>
        </w:rPr>
        <w:t xml:space="preserve">opas valstīm, tālāk tie </w:t>
      </w:r>
      <w:proofErr w:type="spellStart"/>
      <w:r w:rsidR="0093108F">
        <w:rPr>
          <w:rFonts w:ascii="Times New Roman" w:eastAsia="Times New Roman" w:hAnsi="Times New Roman" w:cs="Times New Roman"/>
          <w:color w:val="000000"/>
          <w:sz w:val="24"/>
          <w:szCs w:val="20"/>
          <w:lang w:eastAsia="lv-LV"/>
        </w:rPr>
        <w:t>reeksportēti</w:t>
      </w:r>
      <w:proofErr w:type="spellEnd"/>
      <w:r w:rsidR="0093108F">
        <w:rPr>
          <w:rFonts w:ascii="Times New Roman" w:eastAsia="Times New Roman" w:hAnsi="Times New Roman" w:cs="Times New Roman"/>
          <w:color w:val="000000"/>
          <w:sz w:val="24"/>
          <w:szCs w:val="20"/>
          <w:lang w:eastAsia="lv-LV"/>
        </w:rPr>
        <w:t xml:space="preserve"> uz NVS valstīm.</w:t>
      </w:r>
    </w:p>
    <w:p w14:paraId="0DB10051" w14:textId="4F512041"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Kopumā jāsecina, ka pērnais gads Latvijas eksportētājiem bijis izaicinājumu pilns, ņemot vērā izejvielu cenu kritumu, straujo Krievijas rubļa un sterliņa mārciņas vērtības samazinājumu, kā arī atsevišķu ar reeksportu saistīto preču kategoriju eksporta kritum</w:t>
      </w:r>
      <w:r w:rsidR="0093108F">
        <w:rPr>
          <w:rFonts w:ascii="Times New Roman" w:eastAsia="Times New Roman" w:hAnsi="Times New Roman" w:cs="Times New Roman"/>
          <w:color w:val="000000"/>
          <w:sz w:val="24"/>
          <w:szCs w:val="20"/>
          <w:lang w:eastAsia="lv-LV"/>
        </w:rPr>
        <w:t xml:space="preserve">u. </w:t>
      </w:r>
      <w:r w:rsidR="0093108F">
        <w:rPr>
          <w:rFonts w:ascii="Times New Roman" w:eastAsia="Times New Roman" w:hAnsi="Times New Roman" w:cs="Times New Roman"/>
          <w:color w:val="000000"/>
          <w:sz w:val="24"/>
          <w:szCs w:val="20"/>
          <w:lang w:eastAsia="lv-LV"/>
        </w:rPr>
        <w:lastRenderedPageBreak/>
        <w:t>Augstākminētie faktori 2016.</w:t>
      </w:r>
      <w:r w:rsidRPr="00A62844">
        <w:rPr>
          <w:rFonts w:ascii="Times New Roman" w:eastAsia="Times New Roman" w:hAnsi="Times New Roman" w:cs="Times New Roman"/>
          <w:color w:val="000000"/>
          <w:sz w:val="24"/>
          <w:szCs w:val="20"/>
          <w:lang w:eastAsia="lv-LV"/>
        </w:rPr>
        <w:t>gadā bremzējuši Latvijas preču eksporta attīstību. Taču, ja no kopē</w:t>
      </w:r>
      <w:r w:rsidR="0093108F">
        <w:rPr>
          <w:rFonts w:ascii="Times New Roman" w:eastAsia="Times New Roman" w:hAnsi="Times New Roman" w:cs="Times New Roman"/>
          <w:color w:val="000000"/>
          <w:sz w:val="24"/>
          <w:szCs w:val="20"/>
          <w:lang w:eastAsia="lv-LV"/>
        </w:rPr>
        <w:t>jā preču eksporta izslēdz ar re</w:t>
      </w:r>
      <w:r w:rsidRPr="00A62844">
        <w:rPr>
          <w:rFonts w:ascii="Times New Roman" w:eastAsia="Times New Roman" w:hAnsi="Times New Roman" w:cs="Times New Roman"/>
          <w:color w:val="000000"/>
          <w:sz w:val="24"/>
          <w:szCs w:val="20"/>
          <w:lang w:eastAsia="lv-LV"/>
        </w:rPr>
        <w:t xml:space="preserve">eksportu saistīto preču kategoriju jeb </w:t>
      </w:r>
      <w:proofErr w:type="spellStart"/>
      <w:r w:rsidRPr="00A62844">
        <w:rPr>
          <w:rFonts w:ascii="Times New Roman" w:eastAsia="Times New Roman" w:hAnsi="Times New Roman" w:cs="Times New Roman"/>
          <w:color w:val="000000"/>
          <w:sz w:val="24"/>
          <w:szCs w:val="20"/>
          <w:lang w:eastAsia="lv-LV"/>
        </w:rPr>
        <w:t>minerālproduktu</w:t>
      </w:r>
      <w:proofErr w:type="spellEnd"/>
      <w:r w:rsidRPr="00A62844">
        <w:rPr>
          <w:rFonts w:ascii="Times New Roman" w:eastAsia="Times New Roman" w:hAnsi="Times New Roman" w:cs="Times New Roman"/>
          <w:color w:val="000000"/>
          <w:sz w:val="24"/>
          <w:szCs w:val="20"/>
          <w:lang w:eastAsia="lv-LV"/>
        </w:rPr>
        <w:t xml:space="preserve"> un elektroiekārtu eksporta kritumu, tad preču eksporta vērtība būtu par</w:t>
      </w:r>
      <w:r w:rsidR="0093108F">
        <w:rPr>
          <w:rFonts w:ascii="Times New Roman" w:eastAsia="Times New Roman" w:hAnsi="Times New Roman" w:cs="Times New Roman"/>
          <w:color w:val="000000"/>
          <w:sz w:val="24"/>
          <w:szCs w:val="20"/>
          <w:lang w:eastAsia="lv-LV"/>
        </w:rPr>
        <w:t xml:space="preserve"> 4,1% augstāka nekā 2015.gadā.</w:t>
      </w:r>
    </w:p>
    <w:p w14:paraId="5A65E237" w14:textId="281BFE1B"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Atšķirībā no preču eksporta, pakalpojumu eksporta attīstības dinamika 2016.gadā bija pozitīva, kopumā palielinot</w:t>
      </w:r>
      <w:r w:rsidR="00C21188">
        <w:rPr>
          <w:rFonts w:ascii="Times New Roman" w:eastAsia="Times New Roman" w:hAnsi="Times New Roman" w:cs="Times New Roman"/>
          <w:color w:val="000000"/>
          <w:sz w:val="24"/>
          <w:szCs w:val="20"/>
          <w:lang w:eastAsia="lv-LV"/>
        </w:rPr>
        <w:t>ies par 5,1% salīdzinot ar 2015.</w:t>
      </w:r>
      <w:r w:rsidRPr="00A62844">
        <w:rPr>
          <w:rFonts w:ascii="Times New Roman" w:eastAsia="Times New Roman" w:hAnsi="Times New Roman" w:cs="Times New Roman"/>
          <w:color w:val="000000"/>
          <w:sz w:val="24"/>
          <w:szCs w:val="20"/>
          <w:lang w:eastAsia="lv-LV"/>
        </w:rPr>
        <w:t xml:space="preserve">gadu. Pakalpojumu eksporta vērtība pieauga neskatoties uz to, ka nerezidentiem sniegto transporta pakalpojumu vērtība samazinājās par 3,8%. Pieaugošā konkurence transporta nozarē Baltijas jūras reģionā atspoguļojas tranzīta plūsmas kritumā, kā arī transporta atbalsta pakalpojumos, tādējādi negatīvi ietekmējot nerezidentiem sniegto ostu un dzelzceļa pakalpojumu apjomu. Jūras un dzelzceļa transporta sniegto pakalpojumu vērtība pagājušajā gadā samazinājās attiecīgi par 6,7% un 18,0%. To nespēja kompensēt pieaugums autotransporta un gaisa transporta pakalpojumu eksportā. Taču, pateicoties telesakaru, informācijas un </w:t>
      </w:r>
      <w:proofErr w:type="spellStart"/>
      <w:r w:rsidRPr="00A62844">
        <w:rPr>
          <w:rFonts w:ascii="Times New Roman" w:eastAsia="Times New Roman" w:hAnsi="Times New Roman" w:cs="Times New Roman"/>
          <w:color w:val="000000"/>
          <w:sz w:val="24"/>
          <w:szCs w:val="20"/>
          <w:lang w:eastAsia="lv-LV"/>
        </w:rPr>
        <w:t>datorpakalpojumiem</w:t>
      </w:r>
      <w:proofErr w:type="spellEnd"/>
      <w:r w:rsidRPr="00A62844">
        <w:rPr>
          <w:rFonts w:ascii="Times New Roman" w:eastAsia="Times New Roman" w:hAnsi="Times New Roman" w:cs="Times New Roman"/>
          <w:color w:val="000000"/>
          <w:sz w:val="24"/>
          <w:szCs w:val="20"/>
          <w:lang w:eastAsia="lv-LV"/>
        </w:rPr>
        <w:t>, kā arī ieņēmumiem no būvniecības un citiem pēc īpatsvara mazākiem pakalpojumiem, kopēja pakalpojumu eksporta vērtība 2016.gadā sasniedza augstāko līm</w:t>
      </w:r>
      <w:r w:rsidR="00C21188">
        <w:rPr>
          <w:rFonts w:ascii="Times New Roman" w:eastAsia="Times New Roman" w:hAnsi="Times New Roman" w:cs="Times New Roman"/>
          <w:color w:val="000000"/>
          <w:sz w:val="24"/>
          <w:szCs w:val="20"/>
          <w:lang w:eastAsia="lv-LV"/>
        </w:rPr>
        <w:t>eni kopš 2000.</w:t>
      </w:r>
      <w:r w:rsidRPr="00A62844">
        <w:rPr>
          <w:rFonts w:ascii="Times New Roman" w:eastAsia="Times New Roman" w:hAnsi="Times New Roman" w:cs="Times New Roman"/>
          <w:color w:val="000000"/>
          <w:sz w:val="24"/>
          <w:szCs w:val="20"/>
          <w:lang w:eastAsia="lv-LV"/>
        </w:rPr>
        <w:t xml:space="preserve">gadā jeb 4243,7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i/>
          <w:color w:val="000000"/>
          <w:sz w:val="24"/>
          <w:szCs w:val="20"/>
          <w:lang w:eastAsia="lv-LV"/>
        </w:rPr>
        <w:t>.</w:t>
      </w:r>
      <w:r w:rsidR="00C21188">
        <w:rPr>
          <w:rFonts w:ascii="Times New Roman" w:eastAsia="Times New Roman" w:hAnsi="Times New Roman" w:cs="Times New Roman"/>
          <w:color w:val="000000"/>
          <w:sz w:val="24"/>
          <w:szCs w:val="20"/>
          <w:lang w:eastAsia="lv-LV"/>
        </w:rPr>
        <w:t xml:space="preserve"> </w:t>
      </w:r>
      <w:r w:rsidRPr="00A62844">
        <w:rPr>
          <w:rFonts w:ascii="Times New Roman" w:eastAsia="Times New Roman" w:hAnsi="Times New Roman" w:cs="Times New Roman"/>
          <w:color w:val="000000"/>
          <w:sz w:val="24"/>
          <w:szCs w:val="20"/>
          <w:lang w:eastAsia="lv-LV"/>
        </w:rPr>
        <w:t xml:space="preserve">Zīmīgi, ka Latvijas pakalpojumu eksporta struktūrā pieaug pakalpojumi ar augstu pievienoto vērtību (telesakaru, informācijas un </w:t>
      </w:r>
      <w:proofErr w:type="spellStart"/>
      <w:r w:rsidRPr="00A62844">
        <w:rPr>
          <w:rFonts w:ascii="Times New Roman" w:eastAsia="Times New Roman" w:hAnsi="Times New Roman" w:cs="Times New Roman"/>
          <w:color w:val="000000"/>
          <w:sz w:val="24"/>
          <w:szCs w:val="20"/>
          <w:lang w:eastAsia="lv-LV"/>
        </w:rPr>
        <w:t>datorpakalpojumi</w:t>
      </w:r>
      <w:proofErr w:type="spellEnd"/>
      <w:r w:rsidRPr="00A62844">
        <w:rPr>
          <w:rFonts w:ascii="Times New Roman" w:eastAsia="Times New Roman" w:hAnsi="Times New Roman" w:cs="Times New Roman"/>
          <w:color w:val="000000"/>
          <w:sz w:val="24"/>
          <w:szCs w:val="20"/>
          <w:lang w:eastAsia="lv-LV"/>
        </w:rPr>
        <w:t>, finanšu pakalpojumi), kam ir daudz lielāks attīstības potenciāls nekā transporta pakalpojumiem. Ja vēl pirms pieciem gadiem trīs augstāk minēto pakalpojumu īpatsvars kopējā pakalpojumu eksportā struktūrā bija 16,3%, tad 2016.gadā jau 23,3%. Lai gan transporta pakalpojumu īpatsvars samazinās, tam ar 35,9% lielu īpatsvaru joprojām ir vadošā loma kopējā pakalpojumu eksporta vērtībā. Šīs pakalpojumu nozares nākotnē būtiska nozīme būs spējai gan jaunu kravu piesaistīšanai ko</w:t>
      </w:r>
      <w:r w:rsidR="00C21188">
        <w:rPr>
          <w:rFonts w:ascii="Times New Roman" w:eastAsia="Times New Roman" w:hAnsi="Times New Roman" w:cs="Times New Roman"/>
          <w:color w:val="000000"/>
          <w:sz w:val="24"/>
          <w:szCs w:val="20"/>
          <w:lang w:eastAsia="lv-LV"/>
        </w:rPr>
        <w:t>pumā, gan kravu diferencēšanai.</w:t>
      </w:r>
    </w:p>
    <w:p w14:paraId="11A43A11" w14:textId="2AC6A08C"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A</w:t>
      </w:r>
      <w:r w:rsidR="00C21188">
        <w:rPr>
          <w:rFonts w:ascii="Times New Roman" w:eastAsia="Times New Roman" w:hAnsi="Times New Roman" w:cs="Times New Roman"/>
          <w:color w:val="000000"/>
          <w:sz w:val="24"/>
          <w:szCs w:val="20"/>
          <w:lang w:eastAsia="lv-LV"/>
        </w:rPr>
        <w:t>rī pakalpojumu imports 2016.gadā</w:t>
      </w:r>
      <w:r w:rsidRPr="00A62844">
        <w:rPr>
          <w:rFonts w:ascii="Times New Roman" w:eastAsia="Times New Roman" w:hAnsi="Times New Roman" w:cs="Times New Roman"/>
          <w:color w:val="000000"/>
          <w:sz w:val="24"/>
          <w:szCs w:val="20"/>
          <w:lang w:eastAsia="lv-LV"/>
        </w:rPr>
        <w:t xml:space="preserve"> pieauga, ko galvenokārt veicināja Latvijas iedzīvotāju tēriņu pieaugums ārvalstīs un telesakaru importa pieaugums. Ņemot vērā, ka pakalpojumu eksporta vērtības kāpums bija straujāks, pakalpojumu konta pārpalikums palielinājās par 6,4%, tādējādi pilnībā kompensējot preču konta deficītu. Kopumā, pakalpojumu konta pārpalikums 2016.gadā bija 1878,4 milj. </w:t>
      </w:r>
      <w:proofErr w:type="spellStart"/>
      <w:r w:rsidRPr="00A62844">
        <w:rPr>
          <w:rFonts w:ascii="Times New Roman" w:eastAsia="Times New Roman" w:hAnsi="Times New Roman" w:cs="Times New Roman"/>
          <w:i/>
          <w:color w:val="000000"/>
          <w:sz w:val="24"/>
          <w:szCs w:val="20"/>
          <w:lang w:eastAsia="lv-LV"/>
        </w:rPr>
        <w:t>euro</w:t>
      </w:r>
      <w:proofErr w:type="spellEnd"/>
      <w:r w:rsidR="00C21188">
        <w:rPr>
          <w:rFonts w:ascii="Times New Roman" w:eastAsia="Times New Roman" w:hAnsi="Times New Roman" w:cs="Times New Roman"/>
          <w:color w:val="000000"/>
          <w:sz w:val="24"/>
          <w:szCs w:val="20"/>
          <w:lang w:eastAsia="lv-LV"/>
        </w:rPr>
        <w:t xml:space="preserve"> jeb 7,5% no IKP.</w:t>
      </w:r>
    </w:p>
    <w:p w14:paraId="645448BC"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0"/>
          <w:lang w:eastAsia="lv-LV"/>
        </w:rPr>
      </w:pPr>
      <w:r w:rsidRPr="00A62844">
        <w:rPr>
          <w:rFonts w:ascii="Times New Roman" w:eastAsia="Times New Roman" w:hAnsi="Times New Roman" w:cs="Times New Roman"/>
          <w:color w:val="000000"/>
          <w:sz w:val="24"/>
          <w:szCs w:val="20"/>
          <w:lang w:eastAsia="lv-LV"/>
        </w:rPr>
        <w:t xml:space="preserve">Sākotnējo ienākumu konta pārpalikums pieauga par 116,3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xml:space="preserve"> līdz 58,0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xml:space="preserve">, ko galvenokārt ietekmēja pieaugošā ES lauksaimniecības fondu ienākošā plūsma. Papildus tam, konta uzlabojumu nedaudz veicināja arī ārvalstu rezidentu gūto ienākumu par iepriekš veiktajām investīcijām Latvijā samazinājums. Otrreizējo ienākumu konta bilances izmaiņas noteica ES Eiropas Sociālā fonda līdzekļu ieplūde. Tādējādi otrreizējo ienākumu konta pārpalikums palielinājās par 29,7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 xml:space="preserve"> līdz 174,7 milj. </w:t>
      </w:r>
      <w:proofErr w:type="spellStart"/>
      <w:r w:rsidRPr="00A62844">
        <w:rPr>
          <w:rFonts w:ascii="Times New Roman" w:eastAsia="Times New Roman" w:hAnsi="Times New Roman" w:cs="Times New Roman"/>
          <w:i/>
          <w:color w:val="000000"/>
          <w:sz w:val="24"/>
          <w:szCs w:val="20"/>
          <w:lang w:eastAsia="lv-LV"/>
        </w:rPr>
        <w:t>euro</w:t>
      </w:r>
      <w:proofErr w:type="spellEnd"/>
      <w:r w:rsidRPr="00A62844">
        <w:rPr>
          <w:rFonts w:ascii="Times New Roman" w:eastAsia="Times New Roman" w:hAnsi="Times New Roman" w:cs="Times New Roman"/>
          <w:color w:val="000000"/>
          <w:sz w:val="24"/>
          <w:szCs w:val="20"/>
          <w:lang w:eastAsia="lv-LV"/>
        </w:rPr>
        <w:t>.</w:t>
      </w:r>
    </w:p>
    <w:p w14:paraId="482EBB01" w14:textId="50D4504D"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Savukārt vienīgā IKP izlietojuma puses komponente, kura 2016.gadā uzrādīja kritumu, ir investīcijas. </w:t>
      </w:r>
      <w:r w:rsidRPr="00A62844">
        <w:rPr>
          <w:rFonts w:ascii="Times New Roman" w:eastAsia="Times New Roman" w:hAnsi="Times New Roman" w:cs="Times New Roman"/>
          <w:b/>
          <w:color w:val="000000"/>
          <w:sz w:val="24"/>
          <w:szCs w:val="24"/>
          <w:lang w:eastAsia="lv-LV"/>
        </w:rPr>
        <w:t>Ieguldījumi bruto pamatkapitāla veidošanā pērn būtiski samazinājās - par 11,7%,</w:t>
      </w:r>
      <w:r w:rsidRPr="00A62844">
        <w:rPr>
          <w:rFonts w:ascii="Times New Roman" w:eastAsia="Times New Roman" w:hAnsi="Times New Roman" w:cs="Times New Roman"/>
          <w:color w:val="000000"/>
          <w:sz w:val="24"/>
          <w:szCs w:val="24"/>
          <w:lang w:eastAsia="lv-LV"/>
        </w:rPr>
        <w:t xml:space="preserve"> ko noteica kavēšanās ar ES fondu investīcijām, tādējādi negatīvi ietekmējot vispārējo tautsaimniecības izaugsmi. Kopumā investīcijas Latvij</w:t>
      </w:r>
      <w:r w:rsidR="00C103E3">
        <w:rPr>
          <w:rFonts w:ascii="Times New Roman" w:eastAsia="Times New Roman" w:hAnsi="Times New Roman" w:cs="Times New Roman"/>
          <w:color w:val="000000"/>
          <w:sz w:val="24"/>
          <w:szCs w:val="24"/>
          <w:lang w:eastAsia="lv-LV"/>
        </w:rPr>
        <w:t>ā nav pieaugušas jau kopš 2013.</w:t>
      </w:r>
      <w:r w:rsidRPr="00A62844">
        <w:rPr>
          <w:rFonts w:ascii="Times New Roman" w:eastAsia="Times New Roman" w:hAnsi="Times New Roman" w:cs="Times New Roman"/>
          <w:color w:val="000000"/>
          <w:sz w:val="24"/>
          <w:szCs w:val="24"/>
          <w:lang w:eastAsia="lv-LV"/>
        </w:rPr>
        <w:t>gada (2014.gadā reģistrēts minimāls pieaugums 0,1% apmērā) un kopējais ieguldījumu kritums bruto pamatkapitālā šo gadu laikā veido 18,5%.</w:t>
      </w:r>
    </w:p>
    <w:p w14:paraId="43C903BC"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Aptuveni pusi (2016.gadā - 46%) no kopējiem ieguldījumiem bruto pamatkapitālā veido </w:t>
      </w:r>
      <w:proofErr w:type="spellStart"/>
      <w:r w:rsidRPr="00A62844">
        <w:rPr>
          <w:rFonts w:ascii="Times New Roman" w:eastAsia="Times New Roman" w:hAnsi="Times New Roman" w:cs="Times New Roman"/>
          <w:color w:val="000000"/>
          <w:sz w:val="24"/>
          <w:szCs w:val="24"/>
          <w:lang w:eastAsia="lv-LV"/>
        </w:rPr>
        <w:t>nefinanšu</w:t>
      </w:r>
      <w:proofErr w:type="spellEnd"/>
      <w:r w:rsidRPr="00A62844">
        <w:rPr>
          <w:rFonts w:ascii="Times New Roman" w:eastAsia="Times New Roman" w:hAnsi="Times New Roman" w:cs="Times New Roman"/>
          <w:color w:val="000000"/>
          <w:sz w:val="24"/>
          <w:szCs w:val="24"/>
          <w:lang w:eastAsia="lv-LV"/>
        </w:rPr>
        <w:t xml:space="preserve"> investīcijas, un pērn to apjoms faktiskajās cenās saruka par 23,9%, noslīdot līdz pēdējos sešos gados zemākajam līmenim, tas ir, 2,1 mljrd.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Lielākais </w:t>
      </w:r>
      <w:proofErr w:type="spellStart"/>
      <w:r w:rsidRPr="00A62844">
        <w:rPr>
          <w:rFonts w:ascii="Times New Roman" w:eastAsia="Times New Roman" w:hAnsi="Times New Roman" w:cs="Times New Roman"/>
          <w:color w:val="000000"/>
          <w:sz w:val="24"/>
          <w:szCs w:val="24"/>
          <w:lang w:eastAsia="lv-LV"/>
        </w:rPr>
        <w:t>nefinanšu</w:t>
      </w:r>
      <w:proofErr w:type="spellEnd"/>
      <w:r w:rsidRPr="00A62844">
        <w:rPr>
          <w:rFonts w:ascii="Times New Roman" w:eastAsia="Times New Roman" w:hAnsi="Times New Roman" w:cs="Times New Roman"/>
          <w:color w:val="000000"/>
          <w:sz w:val="24"/>
          <w:szCs w:val="24"/>
          <w:lang w:eastAsia="lv-LV"/>
        </w:rPr>
        <w:t xml:space="preserve"> investīciju īpatsvars reģistrēts šādās nozarēs - valsts pārvalde un aizsardzība (17% no kopējām </w:t>
      </w:r>
      <w:proofErr w:type="spellStart"/>
      <w:r w:rsidRPr="00A62844">
        <w:rPr>
          <w:rFonts w:ascii="Times New Roman" w:eastAsia="Times New Roman" w:hAnsi="Times New Roman" w:cs="Times New Roman"/>
          <w:color w:val="000000"/>
          <w:sz w:val="24"/>
          <w:szCs w:val="24"/>
          <w:lang w:eastAsia="lv-LV"/>
        </w:rPr>
        <w:t>nefinanšu</w:t>
      </w:r>
      <w:proofErr w:type="spellEnd"/>
      <w:r w:rsidRPr="00A62844">
        <w:rPr>
          <w:rFonts w:ascii="Times New Roman" w:eastAsia="Times New Roman" w:hAnsi="Times New Roman" w:cs="Times New Roman"/>
          <w:color w:val="000000"/>
          <w:sz w:val="24"/>
          <w:szCs w:val="24"/>
          <w:lang w:eastAsia="lv-LV"/>
        </w:rPr>
        <w:t xml:space="preserve"> investīcijām 2016.gadā), transports un uzglabāšana (16%), elektroenerģija, gāzes un siltumapgāde (13%) un apstrādes rūpniecība (13%). No uzskaitītajām nozarēm tikai elektroenerģijas, gāzes un siltumapgādes nozarē pērn salīdzinājumā ar 2015.gadu bijis </w:t>
      </w:r>
      <w:proofErr w:type="spellStart"/>
      <w:r w:rsidRPr="00A62844">
        <w:rPr>
          <w:rFonts w:ascii="Times New Roman" w:eastAsia="Times New Roman" w:hAnsi="Times New Roman" w:cs="Times New Roman"/>
          <w:color w:val="000000"/>
          <w:sz w:val="24"/>
          <w:szCs w:val="24"/>
          <w:lang w:eastAsia="lv-LV"/>
        </w:rPr>
        <w:t>nefinanšu</w:t>
      </w:r>
      <w:proofErr w:type="spellEnd"/>
      <w:r w:rsidRPr="00A62844">
        <w:rPr>
          <w:rFonts w:ascii="Times New Roman" w:eastAsia="Times New Roman" w:hAnsi="Times New Roman" w:cs="Times New Roman"/>
          <w:color w:val="000000"/>
          <w:sz w:val="24"/>
          <w:szCs w:val="24"/>
          <w:lang w:eastAsia="lv-LV"/>
        </w:rPr>
        <w:t xml:space="preserve"> investīciju pieaugums (+12,1%), kamēr pārējās reģistrēts investīciju sarukums par attiecīgi 18,3%, 41,5% un 27,2%. </w:t>
      </w:r>
      <w:proofErr w:type="spellStart"/>
      <w:r w:rsidRPr="00A62844">
        <w:rPr>
          <w:rFonts w:ascii="Times New Roman" w:eastAsia="Times New Roman" w:hAnsi="Times New Roman" w:cs="Times New Roman"/>
          <w:color w:val="000000"/>
          <w:sz w:val="24"/>
          <w:szCs w:val="24"/>
          <w:lang w:eastAsia="lv-LV"/>
        </w:rPr>
        <w:t>Nefinanšu</w:t>
      </w:r>
      <w:proofErr w:type="spellEnd"/>
      <w:r w:rsidRPr="00A62844">
        <w:rPr>
          <w:rFonts w:ascii="Times New Roman" w:eastAsia="Times New Roman" w:hAnsi="Times New Roman" w:cs="Times New Roman"/>
          <w:color w:val="000000"/>
          <w:sz w:val="24"/>
          <w:szCs w:val="24"/>
          <w:lang w:eastAsia="lv-LV"/>
        </w:rPr>
        <w:t xml:space="preserve"> investīcijas samazinājās arī daudzās citās tautsaimniecības nozarēs, kamēr pieaugums fiksēts informācijas un komunikācijas </w:t>
      </w:r>
      <w:r w:rsidRPr="00A62844">
        <w:rPr>
          <w:rFonts w:ascii="Times New Roman" w:eastAsia="Times New Roman" w:hAnsi="Times New Roman" w:cs="Times New Roman"/>
          <w:color w:val="000000"/>
          <w:sz w:val="24"/>
          <w:szCs w:val="24"/>
          <w:lang w:eastAsia="lv-LV"/>
        </w:rPr>
        <w:lastRenderedPageBreak/>
        <w:t>pakalpojumos, finanšu un apdrošināšanas darbības, veselībā un sociālajā aprūpē un vēl dažās citās īpatsvara ziņā nelielās nozarēs.</w:t>
      </w:r>
    </w:p>
    <w:p w14:paraId="11A10C21" w14:textId="75642293"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Savukārt ienākošo </w:t>
      </w:r>
      <w:r w:rsidR="00377651">
        <w:rPr>
          <w:rFonts w:ascii="Times New Roman" w:eastAsia="Times New Roman" w:hAnsi="Times New Roman" w:cs="Times New Roman"/>
          <w:b/>
          <w:color w:val="000000"/>
          <w:sz w:val="24"/>
          <w:szCs w:val="24"/>
          <w:lang w:eastAsia="lv-LV"/>
        </w:rPr>
        <w:t>ĀTI</w:t>
      </w:r>
      <w:r w:rsidRPr="00A62844">
        <w:rPr>
          <w:rFonts w:ascii="Times New Roman" w:eastAsia="Times New Roman" w:hAnsi="Times New Roman" w:cs="Times New Roman"/>
          <w:color w:val="000000"/>
          <w:sz w:val="24"/>
          <w:szCs w:val="24"/>
          <w:lang w:eastAsia="lv-LV"/>
        </w:rPr>
        <w:t xml:space="preserve"> apjoms Latvijā 2016.gadā bijis 114,1 milj.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apjomā, pretstatā 600,2 milj.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lielām investīcijām iepriekšējā gadā, ko noteica vienreizējs faktors – būtisks pašu kapitāla samazinājums </w:t>
      </w:r>
      <w:r w:rsidRPr="00A62844">
        <w:rPr>
          <w:rFonts w:ascii="Times New Roman" w:eastAsia="Times New Roman" w:hAnsi="Times New Roman" w:cs="Times New Roman"/>
          <w:i/>
          <w:color w:val="000000"/>
          <w:sz w:val="24"/>
          <w:szCs w:val="24"/>
          <w:lang w:eastAsia="lv-LV"/>
        </w:rPr>
        <w:t>Swedbank</w:t>
      </w:r>
      <w:r w:rsidR="00DA674D" w:rsidRPr="00DA674D">
        <w:rPr>
          <w:rFonts w:ascii="Times New Roman" w:eastAsia="Times New Roman" w:hAnsi="Times New Roman" w:cs="Times New Roman"/>
          <w:i/>
          <w:color w:val="000000"/>
          <w:sz w:val="24"/>
          <w:szCs w:val="24"/>
          <w:lang w:eastAsia="lv-LV"/>
        </w:rPr>
        <w:t xml:space="preserve"> </w:t>
      </w:r>
      <w:r w:rsidR="00DA674D" w:rsidRPr="00A62844">
        <w:rPr>
          <w:rFonts w:ascii="Times New Roman" w:eastAsia="Times New Roman" w:hAnsi="Times New Roman" w:cs="Times New Roman"/>
          <w:i/>
          <w:color w:val="000000"/>
          <w:sz w:val="24"/>
          <w:szCs w:val="24"/>
          <w:lang w:eastAsia="lv-LV"/>
        </w:rPr>
        <w:t>AS</w:t>
      </w:r>
      <w:r w:rsidRPr="00A62844">
        <w:rPr>
          <w:rFonts w:ascii="Times New Roman" w:eastAsia="Times New Roman" w:hAnsi="Times New Roman" w:cs="Times New Roman"/>
          <w:color w:val="000000"/>
          <w:sz w:val="24"/>
          <w:szCs w:val="24"/>
          <w:lang w:eastAsia="lv-LV"/>
        </w:rPr>
        <w:t xml:space="preserve">. Līdz ar </w:t>
      </w:r>
      <w:r w:rsidR="00016A6C">
        <w:rPr>
          <w:rFonts w:ascii="Times New Roman" w:eastAsia="Times New Roman" w:hAnsi="Times New Roman" w:cs="Times New Roman"/>
          <w:color w:val="000000"/>
          <w:sz w:val="24"/>
          <w:szCs w:val="24"/>
          <w:lang w:eastAsia="lv-LV"/>
        </w:rPr>
        <w:t>to ienākošo ĀTI apjoms pagājuš</w:t>
      </w:r>
      <w:r w:rsidRPr="00A62844">
        <w:rPr>
          <w:rFonts w:ascii="Times New Roman" w:eastAsia="Times New Roman" w:hAnsi="Times New Roman" w:cs="Times New Roman"/>
          <w:color w:val="000000"/>
          <w:sz w:val="24"/>
          <w:szCs w:val="24"/>
          <w:lang w:eastAsia="lv-LV"/>
        </w:rPr>
        <w:t xml:space="preserve">ā gada pirmajā pusē bija pat negatīvs. Negatīva ĀTI plūsma veidojas, kad meitas uzņēmuma saistības pret mātes uzņēmumu pārsniedz prasības jeb kad meitas uzņēmums samazina pamatkapitālu vai atmaksā kredītu mātes uzņēmumam. Ienākošo ĀTI plūsmas samazinājumu 2016.gada pirmajā pusē noteica investīciju kritums pašu kapitālā par 583,3 milj.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Viens no galvenajiem faktoriem, kas noteica pašu kapitāla samazinājumu, bija komercbankas </w:t>
      </w:r>
      <w:r w:rsidRPr="00A62844">
        <w:rPr>
          <w:rFonts w:ascii="Times New Roman" w:eastAsia="Times New Roman" w:hAnsi="Times New Roman" w:cs="Times New Roman"/>
          <w:i/>
          <w:color w:val="000000"/>
          <w:sz w:val="24"/>
          <w:szCs w:val="24"/>
          <w:lang w:eastAsia="lv-LV"/>
        </w:rPr>
        <w:t xml:space="preserve">Swedbank </w:t>
      </w:r>
      <w:r w:rsidR="00DA674D" w:rsidRPr="00A62844">
        <w:rPr>
          <w:rFonts w:ascii="Times New Roman" w:eastAsia="Times New Roman" w:hAnsi="Times New Roman" w:cs="Times New Roman"/>
          <w:i/>
          <w:color w:val="000000"/>
          <w:sz w:val="24"/>
          <w:szCs w:val="24"/>
          <w:lang w:eastAsia="lv-LV"/>
        </w:rPr>
        <w:t>AS</w:t>
      </w:r>
      <w:r w:rsidR="00DA674D" w:rsidRPr="00A62844">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 xml:space="preserve">lēmums par kapitāla struktūras optimizēšanu, samazinot pamatkapitālu par 367,9 milj.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2015.gada beigās bankas kopējais kapitāla pietiekamības rādītājs bija 39,28% un pēc pamatkapitāla samazinājuma tas veidoja 23,22%, kas joprojām ir ļoti augsts salīdzinājumā ar regulatora noteikto prasību 12,8%</w:t>
      </w:r>
      <w:r w:rsidRPr="00A62844">
        <w:rPr>
          <w:rFonts w:ascii="Times New Roman" w:eastAsia="Times New Roman" w:hAnsi="Times New Roman" w:cs="Times New Roman"/>
          <w:color w:val="000000"/>
          <w:sz w:val="24"/>
          <w:szCs w:val="24"/>
          <w:vertAlign w:val="superscript"/>
          <w:lang w:eastAsia="lv-LV"/>
        </w:rPr>
        <w:footnoteReference w:id="4"/>
      </w:r>
      <w:r w:rsidRPr="00A62844">
        <w:rPr>
          <w:rFonts w:ascii="Times New Roman" w:eastAsia="Times New Roman" w:hAnsi="Times New Roman" w:cs="Times New Roman"/>
          <w:color w:val="000000"/>
          <w:sz w:val="24"/>
          <w:szCs w:val="24"/>
          <w:lang w:eastAsia="lv-LV"/>
        </w:rPr>
        <w:t xml:space="preserve">. Pamatkapitāla samazinājums uzņēmumā ar ārvalstu kapitālu nozīmē ārvalstu tiešo investīciju aizplūdi no valsts. To apliecina arī uzkrāto ĀTI atlikumu apjoms finanšu un apdrošināšanas darbības nozarē, kas 2016.gadā samazinājās. Savukārt 2016.gada otrajā pusgadā ĀTI plūsma pašu kapitālā kopumā bija pozitīva un tas kopā ar </w:t>
      </w:r>
      <w:proofErr w:type="spellStart"/>
      <w:r w:rsidRPr="00A62844">
        <w:rPr>
          <w:rFonts w:ascii="Times New Roman" w:eastAsia="Times New Roman" w:hAnsi="Times New Roman" w:cs="Times New Roman"/>
          <w:color w:val="000000"/>
          <w:sz w:val="24"/>
          <w:szCs w:val="24"/>
          <w:lang w:eastAsia="lv-LV"/>
        </w:rPr>
        <w:t>reinvestētas</w:t>
      </w:r>
      <w:proofErr w:type="spellEnd"/>
      <w:r w:rsidRPr="00A62844">
        <w:rPr>
          <w:rFonts w:ascii="Times New Roman" w:eastAsia="Times New Roman" w:hAnsi="Times New Roman" w:cs="Times New Roman"/>
          <w:color w:val="000000"/>
          <w:sz w:val="24"/>
          <w:szCs w:val="24"/>
          <w:lang w:eastAsia="lv-LV"/>
        </w:rPr>
        <w:t xml:space="preserve"> peļņas pieaugumu pilnībā kompensēja ĀTI kritumu gada sākumā. Atskaitot</w:t>
      </w:r>
      <w:r w:rsidRPr="00A62844">
        <w:rPr>
          <w:rFonts w:ascii="Times New Roman" w:eastAsia="Times New Roman" w:hAnsi="Times New Roman" w:cs="Times New Roman"/>
          <w:i/>
          <w:color w:val="000000"/>
          <w:sz w:val="24"/>
          <w:szCs w:val="24"/>
          <w:lang w:eastAsia="lv-LV"/>
        </w:rPr>
        <w:t xml:space="preserve"> Swedbank </w:t>
      </w:r>
      <w:r w:rsidR="00DA674D" w:rsidRPr="00A62844">
        <w:rPr>
          <w:rFonts w:ascii="Times New Roman" w:eastAsia="Times New Roman" w:hAnsi="Times New Roman" w:cs="Times New Roman"/>
          <w:i/>
          <w:color w:val="000000"/>
          <w:sz w:val="24"/>
          <w:szCs w:val="24"/>
          <w:lang w:eastAsia="lv-LV"/>
        </w:rPr>
        <w:t>AS</w:t>
      </w:r>
      <w:r w:rsidR="00DA674D" w:rsidRPr="00A62844">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darījumu, ko var uzskatīt par vienreizēju faktoru, tad ĀTI plūsma pērnajā gadā bija stabila. Tautsaimniecības nozaru griezumā lielākā ārvalstu tiešo investīciju aktivitāte pagājušajā gadā fiksēta tirdzniecības nozarē.</w:t>
      </w:r>
    </w:p>
    <w:p w14:paraId="3766A229" w14:textId="5968A84E" w:rsidR="00B51086"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Saskaņā ar </w:t>
      </w:r>
      <w:r w:rsidR="00016A6C">
        <w:rPr>
          <w:rFonts w:ascii="Times New Roman" w:eastAsia="Times New Roman" w:hAnsi="Times New Roman" w:cs="Times New Roman"/>
          <w:color w:val="000000"/>
          <w:sz w:val="24"/>
          <w:szCs w:val="24"/>
          <w:lang w:eastAsia="lv-LV"/>
        </w:rPr>
        <w:t>FM</w:t>
      </w:r>
      <w:r w:rsidRPr="00A62844">
        <w:rPr>
          <w:rFonts w:ascii="Times New Roman" w:eastAsia="Times New Roman" w:hAnsi="Times New Roman" w:cs="Times New Roman"/>
          <w:color w:val="000000"/>
          <w:sz w:val="24"/>
          <w:szCs w:val="24"/>
          <w:lang w:eastAsia="lv-LV"/>
        </w:rPr>
        <w:t xml:space="preserve"> novērtējumu, </w:t>
      </w:r>
      <w:r w:rsidRPr="00A62844">
        <w:rPr>
          <w:rFonts w:ascii="Times New Roman" w:eastAsia="Times New Roman" w:hAnsi="Times New Roman" w:cs="Times New Roman"/>
          <w:b/>
          <w:color w:val="000000"/>
          <w:sz w:val="24"/>
          <w:szCs w:val="24"/>
          <w:lang w:eastAsia="lv-LV"/>
        </w:rPr>
        <w:t>ES fondu investīcijas</w:t>
      </w:r>
      <w:r w:rsidRPr="00A62844">
        <w:rPr>
          <w:rFonts w:ascii="Times New Roman" w:eastAsia="Times New Roman" w:hAnsi="Times New Roman" w:cs="Times New Roman"/>
          <w:color w:val="000000"/>
          <w:sz w:val="24"/>
          <w:szCs w:val="24"/>
          <w:lang w:eastAsia="lv-LV"/>
        </w:rPr>
        <w:t xml:space="preserve"> (plašākā izpratnē)</w:t>
      </w:r>
      <w:r w:rsidRPr="00A62844">
        <w:rPr>
          <w:rFonts w:ascii="Times New Roman" w:eastAsia="Times New Roman" w:hAnsi="Times New Roman" w:cs="Times New Roman"/>
          <w:color w:val="000000"/>
          <w:sz w:val="24"/>
          <w:szCs w:val="24"/>
          <w:vertAlign w:val="superscript"/>
          <w:lang w:eastAsia="lv-LV"/>
        </w:rPr>
        <w:footnoteReference w:id="5"/>
      </w:r>
      <w:r w:rsidRPr="00A62844">
        <w:rPr>
          <w:rFonts w:ascii="Times New Roman" w:eastAsia="Times New Roman" w:hAnsi="Times New Roman" w:cs="Times New Roman"/>
          <w:color w:val="000000"/>
          <w:sz w:val="24"/>
          <w:szCs w:val="24"/>
          <w:lang w:eastAsia="lv-LV"/>
        </w:rPr>
        <w:t xml:space="preserve"> 2015.gadā IKP izaugsmi palielināja par 1,4 procentpunktiem. Savukārt, būtiski mazinoti</w:t>
      </w:r>
      <w:r w:rsidR="00B2570E">
        <w:rPr>
          <w:rFonts w:ascii="Times New Roman" w:eastAsia="Times New Roman" w:hAnsi="Times New Roman" w:cs="Times New Roman"/>
          <w:color w:val="000000"/>
          <w:sz w:val="24"/>
          <w:szCs w:val="24"/>
          <w:lang w:eastAsia="lv-LV"/>
        </w:rPr>
        <w:t>es ES fondu investīcijām, 2016.</w:t>
      </w:r>
      <w:r w:rsidRPr="00A62844">
        <w:rPr>
          <w:rFonts w:ascii="Times New Roman" w:eastAsia="Times New Roman" w:hAnsi="Times New Roman" w:cs="Times New Roman"/>
          <w:color w:val="000000"/>
          <w:sz w:val="24"/>
          <w:szCs w:val="24"/>
          <w:lang w:eastAsia="lv-LV"/>
        </w:rPr>
        <w:t>gadā mazinājās arī pozitīvā ietekme uz reālo IKP. Jāatzīmē, ka 2015.gadā, noslēdzoties ie</w:t>
      </w:r>
      <w:r w:rsidR="00852D80">
        <w:rPr>
          <w:rFonts w:ascii="Times New Roman" w:eastAsia="Times New Roman" w:hAnsi="Times New Roman" w:cs="Times New Roman"/>
          <w:color w:val="000000"/>
          <w:sz w:val="24"/>
          <w:szCs w:val="24"/>
          <w:lang w:eastAsia="lv-LV"/>
        </w:rPr>
        <w:t>priekšējam ES fondu 2007.-2013.</w:t>
      </w:r>
      <w:r w:rsidRPr="00A62844">
        <w:rPr>
          <w:rFonts w:ascii="Times New Roman" w:eastAsia="Times New Roman" w:hAnsi="Times New Roman" w:cs="Times New Roman"/>
          <w:color w:val="000000"/>
          <w:sz w:val="24"/>
          <w:szCs w:val="24"/>
          <w:lang w:eastAsia="lv-LV"/>
        </w:rPr>
        <w:t xml:space="preserve">gada plānošanas periodam, ES fondu investīciju apjoms bija samērā augstā līmenī jeb 752 milj.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Savukārt, ES fondu in</w:t>
      </w:r>
      <w:r w:rsidR="00852D80">
        <w:rPr>
          <w:rFonts w:ascii="Times New Roman" w:eastAsia="Times New Roman" w:hAnsi="Times New Roman" w:cs="Times New Roman"/>
          <w:color w:val="000000"/>
          <w:sz w:val="24"/>
          <w:szCs w:val="24"/>
          <w:lang w:eastAsia="lv-LV"/>
        </w:rPr>
        <w:t>vestīcijas no jaunā 2014.-2020.</w:t>
      </w:r>
      <w:r w:rsidRPr="00A62844">
        <w:rPr>
          <w:rFonts w:ascii="Times New Roman" w:eastAsia="Times New Roman" w:hAnsi="Times New Roman" w:cs="Times New Roman"/>
          <w:color w:val="000000"/>
          <w:sz w:val="24"/>
          <w:szCs w:val="24"/>
          <w:lang w:eastAsia="lv-LV"/>
        </w:rPr>
        <w:t xml:space="preserve">gada plānošanas perioda </w:t>
      </w:r>
      <w:r w:rsidR="00852D80">
        <w:rPr>
          <w:rFonts w:ascii="Times New Roman" w:eastAsia="Times New Roman" w:hAnsi="Times New Roman" w:cs="Times New Roman"/>
          <w:color w:val="000000"/>
          <w:sz w:val="24"/>
          <w:szCs w:val="24"/>
          <w:lang w:eastAsia="lv-LV"/>
        </w:rPr>
        <w:t>uz šo brīdi ir mērenas un 2016.</w:t>
      </w:r>
      <w:r w:rsidRPr="00A62844">
        <w:rPr>
          <w:rFonts w:ascii="Times New Roman" w:eastAsia="Times New Roman" w:hAnsi="Times New Roman" w:cs="Times New Roman"/>
          <w:color w:val="000000"/>
          <w:sz w:val="24"/>
          <w:szCs w:val="24"/>
          <w:lang w:eastAsia="lv-LV"/>
        </w:rPr>
        <w:t xml:space="preserve">gadā bija tikai 419 milj.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i/>
          <w:color w:val="000000"/>
          <w:sz w:val="24"/>
          <w:szCs w:val="24"/>
          <w:lang w:eastAsia="lv-LV"/>
        </w:rPr>
        <w:t>.</w:t>
      </w:r>
      <w:r w:rsidRPr="00A62844">
        <w:rPr>
          <w:rFonts w:ascii="Times New Roman" w:eastAsia="Times New Roman" w:hAnsi="Times New Roman" w:cs="Times New Roman"/>
          <w:color w:val="000000"/>
          <w:sz w:val="24"/>
          <w:szCs w:val="24"/>
          <w:lang w:eastAsia="lv-LV"/>
        </w:rPr>
        <w:t xml:space="preserve"> Tādējādi tiek prognozēts, ka ES fondu investīciju pozitīvā ietekme uz Latvijas tautsaimniecību būs aptuveni 0,5 procentpunkti. Ņemot vērā, ka vēl n</w:t>
      </w:r>
      <w:r w:rsidR="00852D80">
        <w:rPr>
          <w:rFonts w:ascii="Times New Roman" w:eastAsia="Times New Roman" w:hAnsi="Times New Roman" w:cs="Times New Roman"/>
          <w:color w:val="000000"/>
          <w:sz w:val="24"/>
          <w:szCs w:val="24"/>
          <w:lang w:eastAsia="lv-LV"/>
        </w:rPr>
        <w:t>av pieejami visi dati par 2016.</w:t>
      </w:r>
      <w:r w:rsidRPr="00A62844">
        <w:rPr>
          <w:rFonts w:ascii="Times New Roman" w:eastAsia="Times New Roman" w:hAnsi="Times New Roman" w:cs="Times New Roman"/>
          <w:color w:val="000000"/>
          <w:sz w:val="24"/>
          <w:szCs w:val="24"/>
          <w:lang w:eastAsia="lv-LV"/>
        </w:rPr>
        <w:t>gadu, nav iespējams veikt simulāciju par visu gadu. Jāatzīmē, ka apgūto ES fondu līdzekļu apjoms pagājušā gadā bija būtiski zemāks nekā plānots. Ja fondu līdzekļi būtu apgūti plānotajā apmērā, tad pozitīva ietekme uz tautsaimniecību 2016.gadā būtu bijusi būtiski augstāka.</w:t>
      </w:r>
    </w:p>
    <w:p w14:paraId="43845F2D" w14:textId="4B3E2A9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IKP analīze nozaru griezumā</w:t>
      </w:r>
      <w:r w:rsidRPr="00A62844">
        <w:rPr>
          <w:rFonts w:ascii="Times New Roman" w:eastAsia="Times New Roman" w:hAnsi="Times New Roman" w:cs="Times New Roman"/>
          <w:color w:val="000000"/>
          <w:sz w:val="24"/>
          <w:szCs w:val="24"/>
          <w:lang w:eastAsia="lv-LV"/>
        </w:rPr>
        <w:t xml:space="preserve"> parāda, ka 2016.gadā pievienotā vērtība samazinājusies divās nozarēs – būvniecībā un operācijās ar nekustamo īpašumu. Nekustamo īpašumu operāciju radītā pievienotā vērtība pērn bija tikai par 0,6% zemāka nekā 2015.gadā, tikmēr būvniecībā tika reģistrēts daudz lielāks kritums. Būvniecības nozares sarukums salīdzināmajās cenās pērn veidoja 17,9%, un to noteica iepriekšminētā kavēšanās ar ES fondu investīcijām, jo ievērojama daļa būvniecības tiek finansēta no ES fondu līdzekļiem. Tā, piemēram, inženierbūvju celtniecības apjomi faktiskajās cenās 2016.gadā saruka par trešdaļu, kamēr dzīvojamo ēku celtniecība, kas tiek finansēta no privātiem finansē</w:t>
      </w:r>
      <w:r w:rsidR="0073213D">
        <w:rPr>
          <w:rFonts w:ascii="Times New Roman" w:eastAsia="Times New Roman" w:hAnsi="Times New Roman" w:cs="Times New Roman"/>
          <w:color w:val="000000"/>
          <w:sz w:val="24"/>
          <w:szCs w:val="24"/>
          <w:lang w:eastAsia="lv-LV"/>
        </w:rPr>
        <w:t>juma avotiem, pieauga par 5,1%.</w:t>
      </w:r>
    </w:p>
    <w:p w14:paraId="48440741" w14:textId="1A3994B9"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Savukārt pārējās tautsaimniecības nozarēs 2016.gadā bija vērojama izaugsme. Lielāko pozitīvo ietekmi uz IKP pievienotās vērtības pieaugumu radīja apstrādes rūpniecības izlaides kāpums par 5,6%, ko nodrošināja stabili augošā kokapstrāde, kā arī izaugsmes atjaunošanās būvmateriālu un gatavo metālizstrādājumu ražošanā. Turklāt pērnā gada nogalē apstrād</w:t>
      </w:r>
      <w:r w:rsidR="0073213D">
        <w:rPr>
          <w:rFonts w:ascii="Times New Roman" w:eastAsia="Times New Roman" w:hAnsi="Times New Roman" w:cs="Times New Roman"/>
          <w:color w:val="000000"/>
          <w:sz w:val="24"/>
          <w:szCs w:val="24"/>
          <w:lang w:eastAsia="lv-LV"/>
        </w:rPr>
        <w:t>es rūpniecības izaugsme kļuva vē</w:t>
      </w:r>
      <w:r w:rsidRPr="00A62844">
        <w:rPr>
          <w:rFonts w:ascii="Times New Roman" w:eastAsia="Times New Roman" w:hAnsi="Times New Roman" w:cs="Times New Roman"/>
          <w:color w:val="000000"/>
          <w:sz w:val="24"/>
          <w:szCs w:val="24"/>
          <w:lang w:eastAsia="lv-LV"/>
        </w:rPr>
        <w:t xml:space="preserve">l spēcīgāka, ceturtajā ceturksnī nozares izlaides pieaugumam gada griezumā tuvojoties 10%. Pievienotās vērtības kāpums par 3,3% pērn fiksēts arī lielākajā </w:t>
      </w:r>
      <w:r w:rsidRPr="00A62844">
        <w:rPr>
          <w:rFonts w:ascii="Times New Roman" w:eastAsia="Times New Roman" w:hAnsi="Times New Roman" w:cs="Times New Roman"/>
          <w:color w:val="000000"/>
          <w:sz w:val="24"/>
          <w:szCs w:val="24"/>
          <w:lang w:eastAsia="lv-LV"/>
        </w:rPr>
        <w:lastRenderedPageBreak/>
        <w:t>Latvijas tautsaimniecības nozarē – tirdzniecībā, kura ir cieši saistīta ar privātā patēriņa pieaugumu. Tāpat, izaugsme bijusi arī vairākās citās ar iekšējo pieprasījumu saistītās nozarēs, piemēram, izmitināšanā un ēdināšanas pakalpojumos (+8,9%), finanšu un apdrošināšanas darbībās (+3,5%), mākslas un izklaides nozarē (+3,1%). Tajā pašā laikā transporta un uzglabāšanas nozarē radītā pievienotā vērtība pagājušajā gadā pieauga vien par 0,5%, ko noteica pieaugums autopārvadājumos, kamēr dzelzceļa un ostu darbības rādītāji pērn bija vājāki nekā 2015.gadā.</w:t>
      </w:r>
    </w:p>
    <w:p w14:paraId="74D73482" w14:textId="29AA4140"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Pērn turpināja uzlaboties </w:t>
      </w:r>
      <w:r w:rsidRPr="00A62844">
        <w:rPr>
          <w:rFonts w:ascii="Times New Roman" w:eastAsia="Times New Roman" w:hAnsi="Times New Roman" w:cs="Times New Roman"/>
          <w:b/>
          <w:color w:val="000000"/>
          <w:sz w:val="24"/>
          <w:szCs w:val="24"/>
          <w:lang w:eastAsia="lv-LV"/>
        </w:rPr>
        <w:t>komercbanku kredītportfeļa stāvoklis</w:t>
      </w:r>
      <w:r w:rsidRPr="00A62844">
        <w:rPr>
          <w:rFonts w:ascii="Times New Roman" w:eastAsia="Times New Roman" w:hAnsi="Times New Roman" w:cs="Times New Roman"/>
          <w:color w:val="000000"/>
          <w:sz w:val="24"/>
          <w:szCs w:val="24"/>
          <w:lang w:eastAsia="lv-LV"/>
        </w:rPr>
        <w:t xml:space="preserve">, 2016.gada beigās, salīdzinot ar 2015.gada beigām, kredītportfelim palielinoties par 3,1% un sasniedzot 15,1 mljrd.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Kopējā kredītportfeļa pieaugumu nodrošināja palielinājums</w:t>
      </w:r>
      <w:r w:rsidR="0073213D">
        <w:rPr>
          <w:rFonts w:ascii="Times New Roman" w:eastAsia="Times New Roman" w:hAnsi="Times New Roman" w:cs="Times New Roman"/>
          <w:color w:val="000000"/>
          <w:sz w:val="24"/>
          <w:szCs w:val="24"/>
          <w:lang w:eastAsia="lv-LV"/>
        </w:rPr>
        <w:t xml:space="preserve"> gan rezidentu, gan nerezidentu</w:t>
      </w:r>
      <w:r w:rsidRPr="00A62844">
        <w:rPr>
          <w:rFonts w:ascii="Times New Roman" w:eastAsia="Times New Roman" w:hAnsi="Times New Roman" w:cs="Times New Roman"/>
          <w:color w:val="000000"/>
          <w:sz w:val="24"/>
          <w:szCs w:val="24"/>
          <w:lang w:eastAsia="lv-LV"/>
        </w:rPr>
        <w:t xml:space="preserve"> kredītportfelī, sasniedzot attiecīgi 12,8 mljrd.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un 2,3 mljrd.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pērnā gada beigās. 2016.gada laikā turpināja uzlaboties komercbanku portfeļa kvalitāte, jo ilgāk par 90 dienām kavēto kredītu īpatsvars banku kredītportfelī samazinājies no 6,0% 2015. gada beigās līdz 4,4% pērnā gada beigās. Pozitīvas tendences bija vērojamas gan rezidentu mājsaimniecību, gan uzņēmumu portfelī, kur virs 90 dienām kavēto kredītu īpatsvars uz 2016.gada beigām veidoja attiecīgi 5,3% un 2,3%, tikmēr nerezidentu virs 90 dienām kavēto kredītu īpatsvars pieauga no 8,9% līdz 9,6%. Savukārt pārstrukturizēto kredītu īpatsvars ir samazinājies gan rezidentu, gan nerezidentu portfelī. Rezidentiem pārstrukturizēto kredītu īpatsvars sarucis straujāk un ir ievērojami zemāks – 7,9% no šīs kategorijas portfeļa kopsummas, kamēr pārstrukturizēto kredītu īpatsvars nerezidentu portfelī no augstā 2015.gada nogales līmeņa samazinājies vien par 0,2 procentpunktiem un veido 14,9%. Kopumā 2015.gada laikā bankas norakstīja kredītus 180 milj.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vērtībā, kas tāpat kā 2015.gadā veidoja 1,2% no b</w:t>
      </w:r>
      <w:r w:rsidR="0073213D">
        <w:rPr>
          <w:rFonts w:ascii="Times New Roman" w:eastAsia="Times New Roman" w:hAnsi="Times New Roman" w:cs="Times New Roman"/>
          <w:color w:val="000000"/>
          <w:sz w:val="24"/>
          <w:szCs w:val="24"/>
          <w:lang w:eastAsia="lv-LV"/>
        </w:rPr>
        <w:t>anku kopējā kredītportfeļa.</w:t>
      </w:r>
    </w:p>
    <w:p w14:paraId="7F064EA4" w14:textId="53E19D6D"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2016.gadā no jauna izsniegto kredītu apjoms veidoja 3,3 mljrd.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kas ir pieaugums par 11,1%, salīdzinot ar 2015.gadu, tai skaitā rezidentiem </w:t>
      </w:r>
      <w:proofErr w:type="spellStart"/>
      <w:r w:rsidRPr="00A62844">
        <w:rPr>
          <w:rFonts w:ascii="Times New Roman" w:eastAsia="Times New Roman" w:hAnsi="Times New Roman" w:cs="Times New Roman"/>
          <w:color w:val="000000"/>
          <w:sz w:val="24"/>
          <w:szCs w:val="24"/>
          <w:lang w:eastAsia="lv-LV"/>
        </w:rPr>
        <w:t>jaunizsniegto</w:t>
      </w:r>
      <w:proofErr w:type="spellEnd"/>
      <w:r w:rsidRPr="00A62844">
        <w:rPr>
          <w:rFonts w:ascii="Times New Roman" w:eastAsia="Times New Roman" w:hAnsi="Times New Roman" w:cs="Times New Roman"/>
          <w:color w:val="000000"/>
          <w:sz w:val="24"/>
          <w:szCs w:val="24"/>
          <w:lang w:eastAsia="lv-LV"/>
        </w:rPr>
        <w:t xml:space="preserve"> kredītu apjoms palielinājās par 45,9% un nerezidentiem saruka par 20,5%. Rezidentu uzņēmumiem </w:t>
      </w:r>
      <w:proofErr w:type="spellStart"/>
      <w:r w:rsidRPr="00A62844">
        <w:rPr>
          <w:rFonts w:ascii="Times New Roman" w:eastAsia="Times New Roman" w:hAnsi="Times New Roman" w:cs="Times New Roman"/>
          <w:color w:val="000000"/>
          <w:sz w:val="24"/>
          <w:szCs w:val="24"/>
          <w:lang w:eastAsia="lv-LV"/>
        </w:rPr>
        <w:t>jaunizsniegto</w:t>
      </w:r>
      <w:proofErr w:type="spellEnd"/>
      <w:r w:rsidRPr="00A62844">
        <w:rPr>
          <w:rFonts w:ascii="Times New Roman" w:eastAsia="Times New Roman" w:hAnsi="Times New Roman" w:cs="Times New Roman"/>
          <w:color w:val="000000"/>
          <w:sz w:val="24"/>
          <w:szCs w:val="24"/>
          <w:lang w:eastAsia="lv-LV"/>
        </w:rPr>
        <w:t xml:space="preserve"> kredītu apjoms pērn pieauga par 32,6%, kas varētu atspoguļoties investīciju kāpumā šogad, un mājsaimniecībām – par 28,4%, īpaši pieaugot kredītiem mājokļa iegādei un remontam. Uz 2016.gada beigām noguldījumi Latvijas komercbankās kopumā veidoja 21,4 mljrd.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kas salīdzinājumā ar gadu iepriekš ir kritums par 8,2%. Šo samazinājumu noteica nerezidentu noguldījumu sarukums saistībā ar nerezidentu segmenta stingrāku uzraudzību, Latvijai iestājoties </w:t>
      </w:r>
      <w:r w:rsidR="0073213D">
        <w:rPr>
          <w:rFonts w:ascii="Times New Roman" w:eastAsia="Times New Roman" w:hAnsi="Times New Roman" w:cs="Times New Roman"/>
          <w:color w:val="000000"/>
          <w:sz w:val="24"/>
          <w:szCs w:val="24"/>
          <w:lang w:eastAsia="lv-LV"/>
        </w:rPr>
        <w:t>OECD</w:t>
      </w:r>
      <w:r w:rsidRPr="00A62844">
        <w:rPr>
          <w:rFonts w:ascii="Times New Roman" w:eastAsia="Times New Roman" w:hAnsi="Times New Roman" w:cs="Times New Roman"/>
          <w:color w:val="000000"/>
          <w:sz w:val="24"/>
          <w:szCs w:val="24"/>
          <w:lang w:eastAsia="lv-LV"/>
        </w:rPr>
        <w:t xml:space="preserve">. Tajā pašā laikā rezidentu noguldījumu apjoms turpināja palielināties, to īpatsvaram gada laikā pieaugot no 47% līdz 57% no visiem noguldījumiem. No visiem </w:t>
      </w:r>
      <w:proofErr w:type="spellStart"/>
      <w:r w:rsidRPr="00A62844">
        <w:rPr>
          <w:rFonts w:ascii="Times New Roman" w:eastAsia="Times New Roman" w:hAnsi="Times New Roman" w:cs="Times New Roman"/>
          <w:color w:val="000000"/>
          <w:sz w:val="24"/>
          <w:szCs w:val="24"/>
          <w:lang w:eastAsia="lv-LV"/>
        </w:rPr>
        <w:t>nebanku</w:t>
      </w:r>
      <w:proofErr w:type="spellEnd"/>
      <w:r w:rsidRPr="00A62844">
        <w:rPr>
          <w:rFonts w:ascii="Times New Roman" w:eastAsia="Times New Roman" w:hAnsi="Times New Roman" w:cs="Times New Roman"/>
          <w:color w:val="000000"/>
          <w:sz w:val="24"/>
          <w:szCs w:val="24"/>
          <w:lang w:eastAsia="lv-LV"/>
        </w:rPr>
        <w:t xml:space="preserve"> noguldījumiem 1,2% veidoja ilgtermiņa (ilgāk par 5 gadiem) noguldījumi, un to apjoms gada laikā pieauga par 1,7%, ko arī veicināja rezidentu ilgtermiņa noguldījumu kāpums.</w:t>
      </w:r>
    </w:p>
    <w:p w14:paraId="3003EDAE" w14:textId="20EC5725"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b/>
          <w:color w:val="000000"/>
          <w:sz w:val="24"/>
          <w:szCs w:val="24"/>
          <w:lang w:eastAsia="lv-LV"/>
        </w:rPr>
        <w:t>Bezdarba līmenis Latvijā</w:t>
      </w:r>
      <w:r w:rsidRPr="00A62844">
        <w:rPr>
          <w:rFonts w:ascii="Times New Roman" w:eastAsia="Times New Roman" w:hAnsi="Times New Roman" w:cs="Times New Roman"/>
          <w:color w:val="000000"/>
          <w:sz w:val="24"/>
          <w:szCs w:val="24"/>
          <w:lang w:eastAsia="lv-LV"/>
        </w:rPr>
        <w:t xml:space="preserve"> 201</w:t>
      </w:r>
      <w:r w:rsidR="0073213D">
        <w:rPr>
          <w:rFonts w:ascii="Times New Roman" w:eastAsia="Times New Roman" w:hAnsi="Times New Roman" w:cs="Times New Roman"/>
          <w:color w:val="000000"/>
          <w:sz w:val="24"/>
          <w:szCs w:val="24"/>
          <w:lang w:eastAsia="lv-LV"/>
        </w:rPr>
        <w:t>6.gadā ir nedaudz samazinājies,</w:t>
      </w:r>
      <w:r w:rsidRPr="00A62844">
        <w:rPr>
          <w:rFonts w:ascii="Times New Roman" w:eastAsia="Times New Roman" w:hAnsi="Times New Roman" w:cs="Times New Roman"/>
          <w:color w:val="000000"/>
          <w:sz w:val="24"/>
          <w:szCs w:val="24"/>
          <w:lang w:eastAsia="lv-LV"/>
        </w:rPr>
        <w:t xml:space="preserve"> pēc darbaspēka </w:t>
      </w:r>
      <w:proofErr w:type="spellStart"/>
      <w:r w:rsidRPr="00A62844">
        <w:rPr>
          <w:rFonts w:ascii="Times New Roman" w:eastAsia="Times New Roman" w:hAnsi="Times New Roman" w:cs="Times New Roman"/>
          <w:color w:val="000000"/>
          <w:sz w:val="24"/>
          <w:szCs w:val="24"/>
          <w:lang w:eastAsia="lv-LV"/>
        </w:rPr>
        <w:t>apsekojuma</w:t>
      </w:r>
      <w:proofErr w:type="spellEnd"/>
      <w:r w:rsidRPr="00A62844">
        <w:rPr>
          <w:rFonts w:ascii="Times New Roman" w:eastAsia="Times New Roman" w:hAnsi="Times New Roman" w:cs="Times New Roman"/>
          <w:color w:val="000000"/>
          <w:sz w:val="24"/>
          <w:szCs w:val="24"/>
          <w:lang w:eastAsia="lv-LV"/>
        </w:rPr>
        <w:t xml:space="preserve"> veidojot 9,6% no ekonomiski aktīvajiem iedzīvotājiem, kas ir par 0,3 procentpunktiem mazāk nekā 2015.gadā. Līdzīgā tempā turpināja samazināties arī reģistrētā bezdarba līmenis, kas 2016.gadā vidēji bija 8,5% no ekonomiski aktīvajiem iedzīvotājiem - par 0,2 procentpunktiem zemāks nekā pirms gada. Reģistrēto bezdarbnieku skaits 2016.gada laikā saruka par 4,2% līdz 78,5 tūkstošiem. Savukārt nodarbināto iedzīvotāju skaits, pēc darbaspēka </w:t>
      </w:r>
      <w:proofErr w:type="spellStart"/>
      <w:r w:rsidRPr="00A62844">
        <w:rPr>
          <w:rFonts w:ascii="Times New Roman" w:eastAsia="Times New Roman" w:hAnsi="Times New Roman" w:cs="Times New Roman"/>
          <w:color w:val="000000"/>
          <w:sz w:val="24"/>
          <w:szCs w:val="24"/>
          <w:lang w:eastAsia="lv-LV"/>
        </w:rPr>
        <w:t>apsekojuma</w:t>
      </w:r>
      <w:proofErr w:type="spellEnd"/>
      <w:r w:rsidRPr="00A62844">
        <w:rPr>
          <w:rFonts w:ascii="Times New Roman" w:eastAsia="Times New Roman" w:hAnsi="Times New Roman" w:cs="Times New Roman"/>
          <w:color w:val="000000"/>
          <w:sz w:val="24"/>
          <w:szCs w:val="24"/>
          <w:lang w:eastAsia="lv-LV"/>
        </w:rPr>
        <w:t xml:space="preserve"> datiem, 2016.gadā bijis par 0,3% mazāks nekā attiecīgajā laika posmā pirms gada, veidojot 893,3 tūkstošus. Jaunas darba vietas 2016.gadā veidojušās galvenokārt informācijas un komunikācijas pakalpojumu, kā arī administratīvo pakalpojumu nozarēs, tikmēr darba vietas būvniecībā pērn samazinājušās.</w:t>
      </w:r>
    </w:p>
    <w:p w14:paraId="21C1E8AE" w14:textId="5B2DEFB1"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Lai arī nedaudz vājāk nekā iepriekšējos divus gadus, </w:t>
      </w:r>
      <w:r w:rsidRPr="00A62844">
        <w:rPr>
          <w:rFonts w:ascii="Times New Roman" w:eastAsia="Times New Roman" w:hAnsi="Times New Roman" w:cs="Times New Roman"/>
          <w:b/>
          <w:color w:val="000000"/>
          <w:sz w:val="24"/>
          <w:szCs w:val="24"/>
          <w:lang w:eastAsia="lv-LV"/>
        </w:rPr>
        <w:t>pērn turpinājās darba algas pieaugums</w:t>
      </w:r>
      <w:r w:rsidRPr="00A62844">
        <w:rPr>
          <w:rFonts w:ascii="Times New Roman" w:eastAsia="Times New Roman" w:hAnsi="Times New Roman" w:cs="Times New Roman"/>
          <w:color w:val="000000"/>
          <w:sz w:val="24"/>
          <w:szCs w:val="24"/>
          <w:lang w:eastAsia="lv-LV"/>
        </w:rPr>
        <w:t xml:space="preserve">. Vidējā mēneša bruto darba samaksa 2016.gadā, salīdzinot ar 2015.gadu, palielinājās par 5,0%, veidojot 859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Lēnāks algu pieaugums 2016.gadā saistīts ar mazāku minimālās algas paaugstināšanu gada sākumā (minimālās darba algas pieaugums par 2,8% </w:t>
      </w:r>
      <w:r w:rsidRPr="00A62844">
        <w:rPr>
          <w:rFonts w:ascii="Times New Roman" w:eastAsia="Times New Roman" w:hAnsi="Times New Roman" w:cs="Times New Roman"/>
          <w:color w:val="000000"/>
          <w:sz w:val="24"/>
          <w:szCs w:val="24"/>
          <w:lang w:eastAsia="lv-LV"/>
        </w:rPr>
        <w:lastRenderedPageBreak/>
        <w:t>pretstatā 12,5% kāpumam ar 2015.gada 1.janvāri) un lēnāku ek</w:t>
      </w:r>
      <w:r w:rsidR="002E5EA2">
        <w:rPr>
          <w:rFonts w:ascii="Times New Roman" w:eastAsia="Times New Roman" w:hAnsi="Times New Roman" w:cs="Times New Roman"/>
          <w:color w:val="000000"/>
          <w:sz w:val="24"/>
          <w:szCs w:val="24"/>
          <w:lang w:eastAsia="lv-LV"/>
        </w:rPr>
        <w:t xml:space="preserve">onomikas izaugsmi gadā kopumā. </w:t>
      </w:r>
      <w:r w:rsidRPr="00A62844">
        <w:rPr>
          <w:rFonts w:ascii="Times New Roman" w:eastAsia="Times New Roman" w:hAnsi="Times New Roman" w:cs="Times New Roman"/>
          <w:color w:val="000000"/>
          <w:sz w:val="24"/>
          <w:szCs w:val="24"/>
          <w:lang w:eastAsia="lv-LV"/>
        </w:rPr>
        <w:t xml:space="preserve">Līdzīgi kā iepriekšējos gados algas straujāk auga privātajā sektorā - par 5,8% līdz 845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xml:space="preserve">, kamēr sabiedriskajā sektorā algas pieaugums bija lēnāks - par 3,7% līdz 886 </w:t>
      </w:r>
      <w:proofErr w:type="spellStart"/>
      <w:r w:rsidRPr="00A62844">
        <w:rPr>
          <w:rFonts w:ascii="Times New Roman" w:eastAsia="Times New Roman" w:hAnsi="Times New Roman" w:cs="Times New Roman"/>
          <w:i/>
          <w:color w:val="000000"/>
          <w:sz w:val="24"/>
          <w:szCs w:val="24"/>
          <w:lang w:eastAsia="lv-LV"/>
        </w:rPr>
        <w:t>euro</w:t>
      </w:r>
      <w:proofErr w:type="spellEnd"/>
      <w:r w:rsidRPr="00A62844">
        <w:rPr>
          <w:rFonts w:ascii="Times New Roman" w:eastAsia="Times New Roman" w:hAnsi="Times New Roman" w:cs="Times New Roman"/>
          <w:color w:val="000000"/>
          <w:sz w:val="24"/>
          <w:szCs w:val="24"/>
          <w:lang w:eastAsia="lv-LV"/>
        </w:rPr>
        <w:t>. Pagājušajā gadā straujākie bruto darba samaksas pieaugumi reģistrēti administratīvo un apkalpojošo dienestu darbības nozarē, kā arī izmitināšanas un</w:t>
      </w:r>
      <w:r w:rsidR="004C44BC">
        <w:rPr>
          <w:rFonts w:ascii="Times New Roman" w:eastAsia="Times New Roman" w:hAnsi="Times New Roman" w:cs="Times New Roman"/>
          <w:color w:val="000000"/>
          <w:sz w:val="24"/>
          <w:szCs w:val="24"/>
          <w:lang w:eastAsia="lv-LV"/>
        </w:rPr>
        <w:t xml:space="preserve"> ēdināšanas pakalpojumu sektorā</w:t>
      </w:r>
      <w:r w:rsidR="004C44BC" w:rsidRPr="00A62844">
        <w:rPr>
          <w:rFonts w:ascii="Times New Roman" w:eastAsia="Times New Roman" w:hAnsi="Times New Roman" w:cs="Times New Roman"/>
          <w:color w:val="000000"/>
          <w:sz w:val="20"/>
          <w:szCs w:val="24"/>
          <w:lang w:eastAsia="lv-LV"/>
        </w:rPr>
        <w:t> </w:t>
      </w:r>
      <w:r w:rsidRPr="00A62844">
        <w:rPr>
          <w:rFonts w:ascii="Times New Roman" w:eastAsia="Times New Roman" w:hAnsi="Times New Roman" w:cs="Times New Roman"/>
          <w:color w:val="000000"/>
          <w:sz w:val="24"/>
          <w:szCs w:val="24"/>
          <w:lang w:eastAsia="lv-LV"/>
        </w:rPr>
        <w:t>– par attiecīgi 7,3% un 7,2%. Darba algas samazinājums pērn netika fiksēts nevienā nozarē, savukārt vājākie algas pieaugumi bijuši profesionālo, zinātnisko un tehnisko pakalpojumu, kā arī transporta un uzglabāšanas nozarē strādājošajiem. Augstākā bruto darba samaksa pērn saglabājusies finanšu un apdrošināšanas darbību sektora, kamēr izmitināšanas un ēdināšanas pakalpojumos tā bijus</w:t>
      </w:r>
      <w:r w:rsidR="002E5EA2">
        <w:rPr>
          <w:rFonts w:ascii="Times New Roman" w:eastAsia="Times New Roman" w:hAnsi="Times New Roman" w:cs="Times New Roman"/>
          <w:color w:val="000000"/>
          <w:sz w:val="24"/>
          <w:szCs w:val="24"/>
          <w:lang w:eastAsia="lv-LV"/>
        </w:rPr>
        <w:t>i vairāk kā trīs reizes zemāka.</w:t>
      </w:r>
    </w:p>
    <w:p w14:paraId="27082518"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2016.gada </w:t>
      </w:r>
      <w:r w:rsidRPr="00A62844">
        <w:rPr>
          <w:rFonts w:ascii="Times New Roman" w:eastAsia="Times New Roman" w:hAnsi="Times New Roman" w:cs="Times New Roman"/>
          <w:b/>
          <w:color w:val="000000"/>
          <w:sz w:val="24"/>
          <w:szCs w:val="24"/>
          <w:lang w:eastAsia="lv-LV"/>
        </w:rPr>
        <w:t>vidējā inflācija</w:t>
      </w:r>
      <w:r w:rsidRPr="00A62844">
        <w:rPr>
          <w:rFonts w:ascii="Times New Roman" w:eastAsia="Times New Roman" w:hAnsi="Times New Roman" w:cs="Times New Roman"/>
          <w:color w:val="000000"/>
          <w:sz w:val="24"/>
          <w:szCs w:val="24"/>
          <w:lang w:eastAsia="lv-LV"/>
        </w:rPr>
        <w:t xml:space="preserve"> Latvijā bija zema, veidojot 0,1%. Pērnā gada pirmajā pusē patēriņa cenu izmaiņas bija negatīvas, bet līdz ar jūliju valstī pakāpeniski atjaunojās inflācija. Pērn inflācijas dinamiku lielā mērā noteica izejvielu cenu svārstības pasaules tirgos. Straujš naftas produktu cenu kritums pērnā gada sākumā būtiski samazināja degvielas, siltumenerģijas un gāzes cenu Latvijā. Taču tikpat straujš pārtikas cenu kāpums gada nogalē nedaudz kompensēja ar energoresursiem saistīto preču un pakalpojumu cenu kritumu. Papildus tam inflāciju paaugstināja būtisks ūdensapgādes un citu ar mājokli saistīto pakalpojumu cenu kāpums, sākot ar 2016.gada jūliju, ko ietekmēja mājokļa apsaimniekošanas pakalpojumu sadārdzināšanās saistībā ar 21% PVN likmes piemērošanu namu </w:t>
      </w:r>
      <w:proofErr w:type="spellStart"/>
      <w:r w:rsidRPr="00A62844">
        <w:rPr>
          <w:rFonts w:ascii="Times New Roman" w:eastAsia="Times New Roman" w:hAnsi="Times New Roman" w:cs="Times New Roman"/>
          <w:color w:val="000000"/>
          <w:sz w:val="24"/>
          <w:szCs w:val="24"/>
          <w:lang w:eastAsia="lv-LV"/>
        </w:rPr>
        <w:t>apsaimniekotājiem</w:t>
      </w:r>
      <w:proofErr w:type="spellEnd"/>
      <w:r w:rsidRPr="00A62844">
        <w:rPr>
          <w:rFonts w:ascii="Times New Roman" w:eastAsia="Times New Roman" w:hAnsi="Times New Roman" w:cs="Times New Roman"/>
          <w:color w:val="000000"/>
          <w:sz w:val="24"/>
          <w:szCs w:val="24"/>
          <w:lang w:eastAsia="lv-LV"/>
        </w:rPr>
        <w:t>. Kopumā preču cenas pērn bija par 0,6% zemākas nekā 2015.gadā, savukārt pakalpojumu cenas pieauga par 2,2%.</w:t>
      </w:r>
    </w:p>
    <w:p w14:paraId="7E83C0F0" w14:textId="0BF9CF0E"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Kopumā Latvijas ekonomiskā izaugsme pērn bija vājāka nekā sagaidīts, kas pamatā notika pārejošu iekšējo faktoru ietekmē, turklāt situācija ārējā vidē joprojām radīja riskus. Toties pašlaik iekšējās un ārējās vides priekšnosacījumi ir labvēlīgi, lai ekonomiskā izaugsme 2017.gadā kļūtu ievērojami straujāka, ko nosaka gan ES fondu investīciju aktivizēšanās, gan ekonomiskās situācijas spēcināšanās Latvija</w:t>
      </w:r>
      <w:r w:rsidR="004C44BC">
        <w:rPr>
          <w:rFonts w:ascii="Times New Roman" w:eastAsia="Times New Roman" w:hAnsi="Times New Roman" w:cs="Times New Roman"/>
          <w:color w:val="000000"/>
          <w:sz w:val="24"/>
          <w:szCs w:val="24"/>
          <w:lang w:eastAsia="lv-LV"/>
        </w:rPr>
        <w:t>s tirdzniecības partnervalstīs.</w:t>
      </w:r>
    </w:p>
    <w:p w14:paraId="0B3C2AF8" w14:textId="77777777" w:rsidR="00A62844" w:rsidRPr="00F51615" w:rsidRDefault="00A62844" w:rsidP="00530D80">
      <w:pPr>
        <w:pStyle w:val="Default"/>
        <w:spacing w:after="160"/>
        <w:jc w:val="both"/>
        <w:rPr>
          <w:rFonts w:eastAsiaTheme="majorEastAsia"/>
          <w:b/>
          <w:bCs/>
          <w:smallCaps/>
          <w:color w:val="000000" w:themeColor="text1"/>
          <w:szCs w:val="28"/>
        </w:rPr>
      </w:pPr>
    </w:p>
    <w:p w14:paraId="15BBB4D5" w14:textId="2879B5F9" w:rsidR="00A62844" w:rsidRDefault="00A34463" w:rsidP="00A62844">
      <w:pPr>
        <w:pStyle w:val="Heading2"/>
        <w:numPr>
          <w:ilvl w:val="1"/>
          <w:numId w:val="1"/>
        </w:numPr>
        <w:spacing w:before="240" w:after="120"/>
        <w:ind w:left="709"/>
        <w:rPr>
          <w:rFonts w:ascii="Times New Roman" w:hAnsi="Times New Roman" w:cs="Times New Roman"/>
          <w:sz w:val="24"/>
        </w:rPr>
      </w:pPr>
      <w:bookmarkStart w:id="4" w:name="_Toc479331084"/>
      <w:r w:rsidRPr="00F51615">
        <w:rPr>
          <w:rFonts w:ascii="Times New Roman" w:hAnsi="Times New Roman" w:cs="Times New Roman"/>
          <w:sz w:val="24"/>
        </w:rPr>
        <w:t>Makroekonomiskās attīstības scenārijs</w:t>
      </w:r>
      <w:bookmarkEnd w:id="4"/>
    </w:p>
    <w:p w14:paraId="6083DCE7" w14:textId="434394DD"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sz w:val="24"/>
          <w:szCs w:val="23"/>
          <w:lang w:eastAsia="lv-LV"/>
        </w:rPr>
        <w:t>Vidēja termiņa makroekonomiskās attīstības scenārijs par 2017.-2020.gadiem izstrādāts 2017.gada februārī, pamatojoties uz 2016.gada 4.ceturkšņa ātro IKP novērtējumu un statistisko informāciju, kas bija pieejama līdz 2017.gada 3.februārim. Šī gada 24.martā CSP publicēja precizētus makroekonomiskos datus par 2015. un 2016.gadu. Tāpēc, ņemot vērā šos precizējumus, FM veica tehnisku prognožu korekciju, saglabājot reālos izaugsmes tempus un nedaudz mainot nominālos datus, lai tie būtu saskanīgi ar 2016.g</w:t>
      </w:r>
      <w:r w:rsidR="004C44BC">
        <w:rPr>
          <w:rFonts w:ascii="Times New Roman" w:eastAsia="Times New Roman" w:hAnsi="Times New Roman" w:cs="Times New Roman"/>
          <w:sz w:val="24"/>
          <w:szCs w:val="23"/>
          <w:lang w:eastAsia="lv-LV"/>
        </w:rPr>
        <w:t>ada</w:t>
      </w:r>
      <w:r w:rsidRPr="00A62844">
        <w:rPr>
          <w:rFonts w:ascii="Times New Roman" w:eastAsia="Times New Roman" w:hAnsi="Times New Roman" w:cs="Times New Roman"/>
          <w:sz w:val="24"/>
          <w:szCs w:val="23"/>
          <w:lang w:eastAsia="lv-LV"/>
        </w:rPr>
        <w:t xml:space="preserve"> faktu.</w:t>
      </w:r>
    </w:p>
    <w:p w14:paraId="3DBE70DF" w14:textId="7FE0579C"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sz w:val="24"/>
          <w:szCs w:val="23"/>
          <w:lang w:eastAsia="lv-LV"/>
        </w:rPr>
        <w:t xml:space="preserve">Izstrādājot makroekonomisko rādītāju prognozes, FM organizēja diskusijas ar Latvijas Bankas un Ekonomikas ministrijas ekspertiem, kā arī ar EK un SVF ekspertiem. Atjaunotās makroekonomisko rādītāju vidējā termiņa prognozes prezentētas arī Fiskālās </w:t>
      </w:r>
      <w:r w:rsidR="004C44BC">
        <w:rPr>
          <w:rFonts w:ascii="Times New Roman" w:eastAsia="Times New Roman" w:hAnsi="Times New Roman" w:cs="Times New Roman"/>
          <w:sz w:val="24"/>
          <w:szCs w:val="23"/>
          <w:lang w:eastAsia="lv-LV"/>
        </w:rPr>
        <w:t>disciplīnas padomei, kas 2017.gada</w:t>
      </w:r>
      <w:r w:rsidRPr="00A62844">
        <w:rPr>
          <w:rFonts w:ascii="Times New Roman" w:eastAsia="Times New Roman" w:hAnsi="Times New Roman" w:cs="Times New Roman"/>
          <w:sz w:val="24"/>
          <w:szCs w:val="23"/>
          <w:lang w:eastAsia="lv-LV"/>
        </w:rPr>
        <w:t xml:space="preserve"> 17.februārī tās apstiprināja.</w:t>
      </w:r>
    </w:p>
    <w:p w14:paraId="4DFCE484"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sz w:val="24"/>
          <w:szCs w:val="23"/>
          <w:lang w:eastAsia="lv-LV"/>
        </w:rPr>
        <w:t xml:space="preserve">Makroekonomiskās attīstības scenārijs veidots, pamatojoties uz EK 2017.gada ziemas prognozēm. FM scenārijs paredz, ka 2017.gadā vidējā naftas cena būs 52,3 </w:t>
      </w:r>
      <w:r w:rsidRPr="00A62844">
        <w:rPr>
          <w:rFonts w:ascii="Times New Roman" w:eastAsia="Times New Roman" w:hAnsi="Times New Roman" w:cs="Times New Roman"/>
          <w:color w:val="000000"/>
          <w:sz w:val="24"/>
          <w:szCs w:val="20"/>
          <w:lang w:eastAsia="lv-LV"/>
        </w:rPr>
        <w:t xml:space="preserve">ASV </w:t>
      </w:r>
      <w:r w:rsidRPr="00A62844">
        <w:rPr>
          <w:rFonts w:ascii="Times New Roman" w:eastAsia="Times New Roman" w:hAnsi="Times New Roman" w:cs="Times New Roman"/>
          <w:sz w:val="24"/>
          <w:szCs w:val="23"/>
          <w:lang w:eastAsia="lv-LV"/>
        </w:rPr>
        <w:t xml:space="preserve">dolāri par </w:t>
      </w:r>
      <w:proofErr w:type="spellStart"/>
      <w:r w:rsidRPr="00A62844">
        <w:rPr>
          <w:rFonts w:ascii="Times New Roman" w:eastAsia="Times New Roman" w:hAnsi="Times New Roman" w:cs="Times New Roman"/>
          <w:i/>
          <w:sz w:val="24"/>
          <w:szCs w:val="23"/>
          <w:lang w:eastAsia="lv-LV"/>
        </w:rPr>
        <w:t>Brent</w:t>
      </w:r>
      <w:proofErr w:type="spellEnd"/>
      <w:r w:rsidRPr="00A62844">
        <w:rPr>
          <w:rFonts w:ascii="Times New Roman" w:eastAsia="Times New Roman" w:hAnsi="Times New Roman" w:cs="Times New Roman"/>
          <w:sz w:val="24"/>
          <w:szCs w:val="23"/>
          <w:lang w:eastAsia="lv-LV"/>
        </w:rPr>
        <w:t xml:space="preserve"> jēlnaftas barelu, savukārt, 2018.gadā un turpmākajos gados būs 56 </w:t>
      </w:r>
      <w:r w:rsidRPr="00A62844">
        <w:rPr>
          <w:rFonts w:ascii="Times New Roman" w:eastAsia="Times New Roman" w:hAnsi="Times New Roman" w:cs="Times New Roman"/>
          <w:color w:val="000000"/>
          <w:sz w:val="24"/>
          <w:szCs w:val="20"/>
          <w:lang w:eastAsia="lv-LV"/>
        </w:rPr>
        <w:t>ASV</w:t>
      </w:r>
      <w:r w:rsidRPr="00A62844">
        <w:rPr>
          <w:rFonts w:ascii="Times New Roman" w:eastAsia="Times New Roman" w:hAnsi="Times New Roman" w:cs="Times New Roman"/>
          <w:sz w:val="24"/>
          <w:szCs w:val="23"/>
          <w:lang w:eastAsia="lv-LV"/>
        </w:rPr>
        <w:t xml:space="preserve"> dolāri.</w:t>
      </w:r>
    </w:p>
    <w:p w14:paraId="44A1001B" w14:textId="5314C22A" w:rsidR="00273334" w:rsidRDefault="00A62844"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sz w:val="24"/>
          <w:szCs w:val="23"/>
          <w:lang w:eastAsia="lv-LV"/>
        </w:rPr>
        <w:t>Atbilstoši EK prognozei ES dalībvalstu IKP pieaugs 2017.gadā vidēji par 1,6% un 2018.gadā par 1,8%. Salīdzinājumā ar 2016.g</w:t>
      </w:r>
      <w:r w:rsidR="004C44BC">
        <w:rPr>
          <w:rFonts w:ascii="Times New Roman" w:eastAsia="Times New Roman" w:hAnsi="Times New Roman" w:cs="Times New Roman"/>
          <w:sz w:val="24"/>
          <w:szCs w:val="23"/>
          <w:lang w:eastAsia="lv-LV"/>
        </w:rPr>
        <w:t>ada</w:t>
      </w:r>
      <w:r w:rsidRPr="00A62844">
        <w:rPr>
          <w:rFonts w:ascii="Times New Roman" w:eastAsia="Times New Roman" w:hAnsi="Times New Roman" w:cs="Times New Roman"/>
          <w:sz w:val="24"/>
          <w:szCs w:val="23"/>
          <w:lang w:eastAsia="lv-LV"/>
        </w:rPr>
        <w:t xml:space="preserve"> rudens prognozi tās ir palielinātas par 0,1%, balstoties uz labāku nekā iepriekš prognozēts ekonomikas attīstību. Līdz ar to FM prognozes balstās uz pieņēmumu, ka Latvijas galveno tirdzniecības partneru, t.sk., Krievijas, ekonomi</w:t>
      </w:r>
      <w:r w:rsidR="004C44BC">
        <w:rPr>
          <w:rFonts w:ascii="Times New Roman" w:eastAsia="Times New Roman" w:hAnsi="Times New Roman" w:cs="Times New Roman"/>
          <w:sz w:val="24"/>
          <w:szCs w:val="23"/>
          <w:lang w:eastAsia="lv-LV"/>
        </w:rPr>
        <w:t>s</w:t>
      </w:r>
      <w:r w:rsidRPr="00A62844">
        <w:rPr>
          <w:rFonts w:ascii="Times New Roman" w:eastAsia="Times New Roman" w:hAnsi="Times New Roman" w:cs="Times New Roman"/>
          <w:sz w:val="24"/>
          <w:szCs w:val="23"/>
          <w:lang w:eastAsia="lv-LV"/>
        </w:rPr>
        <w:t>kā attīstība būs straujā</w:t>
      </w:r>
      <w:r w:rsidR="004C44BC">
        <w:rPr>
          <w:rFonts w:ascii="Times New Roman" w:eastAsia="Times New Roman" w:hAnsi="Times New Roman" w:cs="Times New Roman"/>
          <w:sz w:val="24"/>
          <w:szCs w:val="23"/>
          <w:lang w:eastAsia="lv-LV"/>
        </w:rPr>
        <w:t>ka, nekā tika prognozēts 2016.gada</w:t>
      </w:r>
      <w:r w:rsidRPr="00A62844">
        <w:rPr>
          <w:rFonts w:ascii="Times New Roman" w:eastAsia="Times New Roman" w:hAnsi="Times New Roman" w:cs="Times New Roman"/>
          <w:sz w:val="24"/>
          <w:szCs w:val="23"/>
          <w:lang w:eastAsia="lv-LV"/>
        </w:rPr>
        <w:t xml:space="preserve"> jūnijā, gatavojot prognozes un 2017.g</w:t>
      </w:r>
      <w:r w:rsidR="004C44BC">
        <w:rPr>
          <w:rFonts w:ascii="Times New Roman" w:eastAsia="Times New Roman" w:hAnsi="Times New Roman" w:cs="Times New Roman"/>
          <w:sz w:val="24"/>
          <w:szCs w:val="23"/>
          <w:lang w:eastAsia="lv-LV"/>
        </w:rPr>
        <w:t>ada</w:t>
      </w:r>
      <w:r w:rsidRPr="00A62844">
        <w:rPr>
          <w:rFonts w:ascii="Times New Roman" w:eastAsia="Times New Roman" w:hAnsi="Times New Roman" w:cs="Times New Roman"/>
          <w:sz w:val="24"/>
          <w:szCs w:val="23"/>
          <w:lang w:eastAsia="lv-LV"/>
        </w:rPr>
        <w:t xml:space="preserve"> budžetu. Tādēļ gaidāms, ka turpmākajos gados eksporta izaugsme paātrināsies no 2,8% 2016.gadā līdz 3,3% 2017.gadā un pakāpeniski sasniedzot 4,1% 2020.gadā.</w:t>
      </w:r>
    </w:p>
    <w:p w14:paraId="3D2B1311" w14:textId="77777777" w:rsidR="00273334" w:rsidRDefault="00273334">
      <w:pP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br w:type="page"/>
      </w:r>
    </w:p>
    <w:p w14:paraId="5AE591DF" w14:textId="133D9934" w:rsidR="00A62844" w:rsidRPr="00A62844" w:rsidRDefault="00A62844" w:rsidP="00530D80">
      <w:pPr>
        <w:autoSpaceDE w:val="0"/>
        <w:autoSpaceDN w:val="0"/>
        <w:adjustRightInd w:val="0"/>
        <w:spacing w:before="120" w:after="60" w:line="240" w:lineRule="auto"/>
        <w:jc w:val="right"/>
        <w:rPr>
          <w:rFonts w:ascii="Times New Roman" w:eastAsia="Times New Roman" w:hAnsi="Times New Roman" w:cs="Times New Roman"/>
          <w:b/>
          <w:color w:val="000000"/>
          <w:sz w:val="24"/>
          <w:szCs w:val="24"/>
          <w:lang w:eastAsia="lv-LV"/>
        </w:rPr>
      </w:pPr>
      <w:r w:rsidRPr="00A62844">
        <w:rPr>
          <w:rFonts w:ascii="Times New Roman" w:eastAsia="Times New Roman" w:hAnsi="Times New Roman" w:cs="Times New Roman"/>
          <w:b/>
          <w:color w:val="000000"/>
          <w:sz w:val="24"/>
          <w:szCs w:val="24"/>
          <w:lang w:eastAsia="lv-LV"/>
        </w:rPr>
        <w:lastRenderedPageBreak/>
        <w:t>2.2.tabula. Izaugsme un ar to saistītie faktori</w:t>
      </w:r>
    </w:p>
    <w:tbl>
      <w:tblPr>
        <w:tblStyle w:val="GridTable6Colorful-Accent1"/>
        <w:tblW w:w="9073" w:type="dxa"/>
        <w:jc w:val="center"/>
        <w:tblLayout w:type="fixed"/>
        <w:tblLook w:val="04A0" w:firstRow="1" w:lastRow="0" w:firstColumn="1" w:lastColumn="0" w:noHBand="0" w:noVBand="1"/>
      </w:tblPr>
      <w:tblGrid>
        <w:gridCol w:w="3256"/>
        <w:gridCol w:w="998"/>
        <w:gridCol w:w="803"/>
        <w:gridCol w:w="803"/>
        <w:gridCol w:w="803"/>
        <w:gridCol w:w="803"/>
        <w:gridCol w:w="803"/>
        <w:gridCol w:w="804"/>
      </w:tblGrid>
      <w:tr w:rsidR="00A62844" w:rsidRPr="00A62844" w14:paraId="5E7DFB6F" w14:textId="77777777" w:rsidTr="008D2801">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hideMark/>
          </w:tcPr>
          <w:p w14:paraId="341A07BB" w14:textId="77777777" w:rsidR="00A62844" w:rsidRPr="00A62844" w:rsidRDefault="00A62844" w:rsidP="00A62844">
            <w:pPr>
              <w:autoSpaceDE w:val="0"/>
              <w:autoSpaceDN w:val="0"/>
              <w:adjustRightInd w:val="0"/>
              <w:jc w:val="both"/>
              <w:rPr>
                <w:rFonts w:ascii="Times New Roman" w:eastAsia="Times New Roman" w:hAnsi="Times New Roman" w:cs="Times New Roman"/>
                <w:color w:val="000000"/>
                <w:sz w:val="20"/>
                <w:szCs w:val="24"/>
                <w:lang w:eastAsia="lv-LV"/>
              </w:rPr>
            </w:pPr>
          </w:p>
        </w:tc>
        <w:tc>
          <w:tcPr>
            <w:tcW w:w="998" w:type="dxa"/>
            <w:vMerge w:val="restart"/>
            <w:noWrap/>
            <w:vAlign w:val="center"/>
            <w:hideMark/>
          </w:tcPr>
          <w:p w14:paraId="65A7641A" w14:textId="77777777" w:rsidR="00A62844" w:rsidRPr="00A62844" w:rsidRDefault="00A62844" w:rsidP="00A6284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lv-LV"/>
              </w:rPr>
            </w:pPr>
            <w:r w:rsidRPr="00A62844">
              <w:rPr>
                <w:rFonts w:ascii="Times New Roman" w:eastAsia="Times New Roman" w:hAnsi="Times New Roman" w:cs="Times New Roman"/>
                <w:color w:val="000000"/>
                <w:sz w:val="20"/>
                <w:szCs w:val="24"/>
                <w:lang w:eastAsia="lv-LV"/>
              </w:rPr>
              <w:t>EKS Kods</w:t>
            </w:r>
          </w:p>
        </w:tc>
        <w:tc>
          <w:tcPr>
            <w:tcW w:w="803" w:type="dxa"/>
            <w:noWrap/>
            <w:vAlign w:val="center"/>
          </w:tcPr>
          <w:p w14:paraId="61B82B1C"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lv-LV"/>
              </w:rPr>
            </w:pPr>
            <w:r w:rsidRPr="00A62844">
              <w:rPr>
                <w:rFonts w:ascii="Times New Roman" w:eastAsia="Times New Roman" w:hAnsi="Times New Roman" w:cs="Times New Roman"/>
                <w:color w:val="000000"/>
                <w:sz w:val="20"/>
                <w:szCs w:val="24"/>
                <w:lang w:eastAsia="lv-LV"/>
              </w:rPr>
              <w:t>2016</w:t>
            </w:r>
          </w:p>
        </w:tc>
        <w:tc>
          <w:tcPr>
            <w:tcW w:w="803" w:type="dxa"/>
            <w:noWrap/>
            <w:vAlign w:val="center"/>
          </w:tcPr>
          <w:p w14:paraId="715AC010"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lv-LV"/>
              </w:rPr>
            </w:pPr>
            <w:r w:rsidRPr="00A62844">
              <w:rPr>
                <w:rFonts w:ascii="Times New Roman" w:eastAsia="Times New Roman" w:hAnsi="Times New Roman" w:cs="Times New Roman"/>
                <w:color w:val="000000"/>
                <w:sz w:val="20"/>
                <w:szCs w:val="24"/>
                <w:lang w:eastAsia="lv-LV"/>
              </w:rPr>
              <w:t>2016</w:t>
            </w:r>
          </w:p>
        </w:tc>
        <w:tc>
          <w:tcPr>
            <w:tcW w:w="803" w:type="dxa"/>
            <w:noWrap/>
            <w:vAlign w:val="center"/>
          </w:tcPr>
          <w:p w14:paraId="41871F6C"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lv-LV"/>
              </w:rPr>
            </w:pPr>
            <w:r w:rsidRPr="00A62844">
              <w:rPr>
                <w:rFonts w:ascii="Times New Roman" w:eastAsia="Times New Roman" w:hAnsi="Times New Roman" w:cs="Times New Roman"/>
                <w:color w:val="000000"/>
                <w:sz w:val="20"/>
                <w:szCs w:val="24"/>
                <w:lang w:eastAsia="lv-LV"/>
              </w:rPr>
              <w:t>2017p</w:t>
            </w:r>
          </w:p>
        </w:tc>
        <w:tc>
          <w:tcPr>
            <w:tcW w:w="803" w:type="dxa"/>
            <w:noWrap/>
            <w:vAlign w:val="center"/>
          </w:tcPr>
          <w:p w14:paraId="77CD4494"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lv-LV"/>
              </w:rPr>
            </w:pPr>
            <w:r w:rsidRPr="00A62844">
              <w:rPr>
                <w:rFonts w:ascii="Times New Roman" w:eastAsia="Times New Roman" w:hAnsi="Times New Roman" w:cs="Times New Roman"/>
                <w:color w:val="000000"/>
                <w:sz w:val="20"/>
                <w:szCs w:val="24"/>
                <w:lang w:eastAsia="lv-LV"/>
              </w:rPr>
              <w:t>2018p</w:t>
            </w:r>
          </w:p>
        </w:tc>
        <w:tc>
          <w:tcPr>
            <w:tcW w:w="803" w:type="dxa"/>
            <w:noWrap/>
            <w:vAlign w:val="center"/>
          </w:tcPr>
          <w:p w14:paraId="18CCD382"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2019p</w:t>
            </w:r>
          </w:p>
        </w:tc>
        <w:tc>
          <w:tcPr>
            <w:tcW w:w="804" w:type="dxa"/>
            <w:noWrap/>
            <w:vAlign w:val="center"/>
          </w:tcPr>
          <w:p w14:paraId="04DAF1E1" w14:textId="77777777" w:rsidR="00A62844" w:rsidRPr="00A62844" w:rsidRDefault="00A62844" w:rsidP="00A628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2020p</w:t>
            </w:r>
          </w:p>
        </w:tc>
      </w:tr>
      <w:tr w:rsidR="00A62844" w:rsidRPr="00A62844" w14:paraId="2FD260E7" w14:textId="77777777" w:rsidTr="006B0EB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256" w:type="dxa"/>
            <w:vMerge/>
            <w:vAlign w:val="center"/>
            <w:hideMark/>
          </w:tcPr>
          <w:p w14:paraId="2223C218" w14:textId="77777777" w:rsidR="00A62844" w:rsidRPr="00A62844" w:rsidRDefault="00A62844" w:rsidP="00A62844">
            <w:pPr>
              <w:autoSpaceDE w:val="0"/>
              <w:autoSpaceDN w:val="0"/>
              <w:adjustRightInd w:val="0"/>
              <w:jc w:val="both"/>
              <w:rPr>
                <w:rFonts w:ascii="Times New Roman" w:eastAsia="Times New Roman" w:hAnsi="Times New Roman" w:cs="Times New Roman"/>
                <w:color w:val="000000"/>
                <w:sz w:val="20"/>
                <w:szCs w:val="24"/>
                <w:lang w:eastAsia="lv-LV"/>
              </w:rPr>
            </w:pPr>
          </w:p>
        </w:tc>
        <w:tc>
          <w:tcPr>
            <w:tcW w:w="998" w:type="dxa"/>
            <w:vMerge/>
            <w:vAlign w:val="center"/>
            <w:hideMark/>
          </w:tcPr>
          <w:p w14:paraId="50D9D45B" w14:textId="77777777" w:rsidR="00A62844" w:rsidRPr="00A62844" w:rsidRDefault="00A62844" w:rsidP="00A628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14:paraId="4FB48565" w14:textId="77777777" w:rsidR="00A62844" w:rsidRPr="00A62844" w:rsidRDefault="00A62844" w:rsidP="006B0EB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 xml:space="preserve">milj. </w:t>
            </w:r>
            <w:proofErr w:type="spellStart"/>
            <w:r w:rsidRPr="00A62844">
              <w:rPr>
                <w:rFonts w:ascii="Times New Roman" w:eastAsia="Times New Roman" w:hAnsi="Times New Roman" w:cs="Times New Roman"/>
                <w:i/>
                <w:iCs/>
                <w:color w:val="000000"/>
                <w:sz w:val="20"/>
                <w:szCs w:val="24"/>
                <w:lang w:eastAsia="lv-LV"/>
              </w:rPr>
              <w:t>euro</w:t>
            </w:r>
            <w:proofErr w:type="spellEnd"/>
          </w:p>
        </w:tc>
        <w:tc>
          <w:tcPr>
            <w:tcW w:w="4016" w:type="dxa"/>
            <w:gridSpan w:val="5"/>
            <w:vAlign w:val="center"/>
          </w:tcPr>
          <w:p w14:paraId="5B6E4177" w14:textId="77777777" w:rsidR="00A62844" w:rsidRPr="00A62844" w:rsidRDefault="00A62844" w:rsidP="008D28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Pieaugums %</w:t>
            </w:r>
          </w:p>
        </w:tc>
      </w:tr>
      <w:tr w:rsidR="00A62844" w:rsidRPr="00A62844" w14:paraId="5BCF6B6A" w14:textId="77777777" w:rsidTr="008D2801">
        <w:trPr>
          <w:trHeight w:val="16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4DC3C42"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1. IKP 2010.gada cenās</w:t>
            </w:r>
          </w:p>
        </w:tc>
        <w:tc>
          <w:tcPr>
            <w:tcW w:w="998" w:type="dxa"/>
            <w:noWrap/>
            <w:vAlign w:val="center"/>
            <w:hideMark/>
          </w:tcPr>
          <w:p w14:paraId="00008E9D" w14:textId="77777777" w:rsidR="00A62844" w:rsidRPr="00A62844" w:rsidRDefault="00A62844" w:rsidP="008D28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B1*g</w:t>
            </w:r>
          </w:p>
        </w:tc>
        <w:tc>
          <w:tcPr>
            <w:tcW w:w="803" w:type="dxa"/>
            <w:noWrap/>
            <w:vAlign w:val="center"/>
            <w:hideMark/>
          </w:tcPr>
          <w:p w14:paraId="306BE052"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21781</w:t>
            </w:r>
          </w:p>
        </w:tc>
        <w:tc>
          <w:tcPr>
            <w:tcW w:w="803" w:type="dxa"/>
            <w:noWrap/>
            <w:vAlign w:val="center"/>
            <w:hideMark/>
          </w:tcPr>
          <w:p w14:paraId="358987F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w:t>
            </w:r>
          </w:p>
        </w:tc>
        <w:tc>
          <w:tcPr>
            <w:tcW w:w="803" w:type="dxa"/>
            <w:noWrap/>
            <w:vAlign w:val="center"/>
            <w:hideMark/>
          </w:tcPr>
          <w:p w14:paraId="78324F71"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3,2</w:t>
            </w:r>
          </w:p>
        </w:tc>
        <w:tc>
          <w:tcPr>
            <w:tcW w:w="803" w:type="dxa"/>
            <w:noWrap/>
            <w:vAlign w:val="center"/>
            <w:hideMark/>
          </w:tcPr>
          <w:p w14:paraId="3D1EA92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3,4</w:t>
            </w:r>
          </w:p>
        </w:tc>
        <w:tc>
          <w:tcPr>
            <w:tcW w:w="803" w:type="dxa"/>
            <w:noWrap/>
            <w:vAlign w:val="center"/>
            <w:hideMark/>
          </w:tcPr>
          <w:p w14:paraId="5C4BDD7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3,2</w:t>
            </w:r>
          </w:p>
        </w:tc>
        <w:tc>
          <w:tcPr>
            <w:tcW w:w="804" w:type="dxa"/>
            <w:noWrap/>
            <w:vAlign w:val="center"/>
            <w:hideMark/>
          </w:tcPr>
          <w:p w14:paraId="657BDCB8"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3,0</w:t>
            </w:r>
          </w:p>
        </w:tc>
      </w:tr>
      <w:tr w:rsidR="00A62844" w:rsidRPr="00A62844" w14:paraId="6D6F38FA" w14:textId="77777777" w:rsidTr="008D280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F58A2EA"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2. IKP faktiskajās cenās</w:t>
            </w:r>
          </w:p>
        </w:tc>
        <w:tc>
          <w:tcPr>
            <w:tcW w:w="998" w:type="dxa"/>
            <w:noWrap/>
            <w:vAlign w:val="center"/>
            <w:hideMark/>
          </w:tcPr>
          <w:p w14:paraId="466EC9F1" w14:textId="77777777" w:rsidR="00A62844" w:rsidRPr="00A62844" w:rsidRDefault="00A62844" w:rsidP="008D28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B1*g</w:t>
            </w:r>
          </w:p>
        </w:tc>
        <w:tc>
          <w:tcPr>
            <w:tcW w:w="803" w:type="dxa"/>
            <w:noWrap/>
            <w:vAlign w:val="center"/>
            <w:hideMark/>
          </w:tcPr>
          <w:p w14:paraId="234601B6"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25021</w:t>
            </w:r>
          </w:p>
        </w:tc>
        <w:tc>
          <w:tcPr>
            <w:tcW w:w="803" w:type="dxa"/>
            <w:noWrap/>
            <w:vAlign w:val="center"/>
            <w:hideMark/>
          </w:tcPr>
          <w:p w14:paraId="4FBC70D1"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2,7</w:t>
            </w:r>
          </w:p>
        </w:tc>
        <w:tc>
          <w:tcPr>
            <w:tcW w:w="803" w:type="dxa"/>
            <w:noWrap/>
            <w:vAlign w:val="center"/>
            <w:hideMark/>
          </w:tcPr>
          <w:p w14:paraId="0B40E9A1"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5,2</w:t>
            </w:r>
          </w:p>
        </w:tc>
        <w:tc>
          <w:tcPr>
            <w:tcW w:w="803" w:type="dxa"/>
            <w:noWrap/>
            <w:vAlign w:val="center"/>
            <w:hideMark/>
          </w:tcPr>
          <w:p w14:paraId="544F87F3"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5,2</w:t>
            </w:r>
          </w:p>
        </w:tc>
        <w:tc>
          <w:tcPr>
            <w:tcW w:w="803" w:type="dxa"/>
            <w:noWrap/>
            <w:vAlign w:val="center"/>
            <w:hideMark/>
          </w:tcPr>
          <w:p w14:paraId="0A1F538A"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6,0</w:t>
            </w:r>
          </w:p>
        </w:tc>
        <w:tc>
          <w:tcPr>
            <w:tcW w:w="804" w:type="dxa"/>
            <w:noWrap/>
            <w:vAlign w:val="center"/>
            <w:hideMark/>
          </w:tcPr>
          <w:p w14:paraId="6ED49BF0"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5,7</w:t>
            </w:r>
          </w:p>
        </w:tc>
      </w:tr>
      <w:tr w:rsidR="00A62844" w:rsidRPr="00A62844" w14:paraId="468A9B09" w14:textId="77777777" w:rsidTr="008D2801">
        <w:trPr>
          <w:trHeight w:val="118"/>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14:paraId="5EE9B326" w14:textId="7A20A5B0" w:rsidR="00A62844" w:rsidRPr="00A62844" w:rsidRDefault="00A62844" w:rsidP="004C44BC">
            <w:pPr>
              <w:autoSpaceDE w:val="0"/>
              <w:autoSpaceDN w:val="0"/>
              <w:adjustRightInd w:val="0"/>
              <w:jc w:val="center"/>
              <w:rPr>
                <w:rFonts w:ascii="Times New Roman" w:eastAsia="Times New Roman" w:hAnsi="Times New Roman" w:cs="Times New Roman"/>
                <w:bCs w:val="0"/>
                <w:color w:val="000000"/>
                <w:sz w:val="20"/>
                <w:szCs w:val="24"/>
                <w:lang w:eastAsia="lv-LV"/>
              </w:rPr>
            </w:pPr>
            <w:r w:rsidRPr="00A62844">
              <w:rPr>
                <w:rFonts w:ascii="Times New Roman" w:eastAsia="Times New Roman" w:hAnsi="Times New Roman" w:cs="Times New Roman"/>
                <w:color w:val="000000"/>
                <w:sz w:val="20"/>
                <w:szCs w:val="24"/>
                <w:lang w:eastAsia="lv-LV"/>
              </w:rPr>
              <w:t>IKP pēc izlietojuma 2010.gada cenās</w:t>
            </w:r>
          </w:p>
        </w:tc>
      </w:tr>
      <w:tr w:rsidR="00A62844" w:rsidRPr="00A62844" w14:paraId="2372FCF9" w14:textId="77777777" w:rsidTr="008D2801">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4E6A8721"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3. Privātais patēriņš</w:t>
            </w:r>
          </w:p>
        </w:tc>
        <w:tc>
          <w:tcPr>
            <w:tcW w:w="998" w:type="dxa"/>
            <w:noWrap/>
            <w:vAlign w:val="center"/>
            <w:hideMark/>
          </w:tcPr>
          <w:p w14:paraId="67CED52D" w14:textId="77777777" w:rsidR="00A62844" w:rsidRPr="00A62844" w:rsidRDefault="00A62844" w:rsidP="008D28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P3</w:t>
            </w:r>
          </w:p>
        </w:tc>
        <w:tc>
          <w:tcPr>
            <w:tcW w:w="803" w:type="dxa"/>
            <w:noWrap/>
            <w:hideMark/>
          </w:tcPr>
          <w:p w14:paraId="04D51789"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13834</w:t>
            </w:r>
          </w:p>
        </w:tc>
        <w:tc>
          <w:tcPr>
            <w:tcW w:w="803" w:type="dxa"/>
            <w:noWrap/>
            <w:vAlign w:val="center"/>
            <w:hideMark/>
          </w:tcPr>
          <w:p w14:paraId="7DF4A3BB"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3,4</w:t>
            </w:r>
          </w:p>
        </w:tc>
        <w:tc>
          <w:tcPr>
            <w:tcW w:w="803" w:type="dxa"/>
            <w:noWrap/>
            <w:vAlign w:val="center"/>
            <w:hideMark/>
          </w:tcPr>
          <w:p w14:paraId="2D3A294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3,2</w:t>
            </w:r>
          </w:p>
        </w:tc>
        <w:tc>
          <w:tcPr>
            <w:tcW w:w="803" w:type="dxa"/>
            <w:noWrap/>
            <w:vAlign w:val="center"/>
            <w:hideMark/>
          </w:tcPr>
          <w:p w14:paraId="2B4E7BCF"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3,0</w:t>
            </w:r>
          </w:p>
        </w:tc>
        <w:tc>
          <w:tcPr>
            <w:tcW w:w="803" w:type="dxa"/>
            <w:noWrap/>
            <w:vAlign w:val="center"/>
            <w:hideMark/>
          </w:tcPr>
          <w:p w14:paraId="7CF08711"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2,2</w:t>
            </w:r>
          </w:p>
        </w:tc>
        <w:tc>
          <w:tcPr>
            <w:tcW w:w="804" w:type="dxa"/>
            <w:noWrap/>
            <w:vAlign w:val="center"/>
            <w:hideMark/>
          </w:tcPr>
          <w:p w14:paraId="327A9355"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2,0</w:t>
            </w:r>
          </w:p>
        </w:tc>
      </w:tr>
      <w:tr w:rsidR="00A62844" w:rsidRPr="00A62844" w14:paraId="0CDC5223" w14:textId="77777777" w:rsidTr="008D2801">
        <w:trPr>
          <w:trHeight w:val="20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0D5F8ED0"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4. Sabiedriskais patēriņš</w:t>
            </w:r>
          </w:p>
        </w:tc>
        <w:tc>
          <w:tcPr>
            <w:tcW w:w="998" w:type="dxa"/>
            <w:noWrap/>
            <w:vAlign w:val="center"/>
            <w:hideMark/>
          </w:tcPr>
          <w:p w14:paraId="25F67770" w14:textId="77777777" w:rsidR="00A62844" w:rsidRPr="00A62844" w:rsidRDefault="00A62844" w:rsidP="008D28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P3</w:t>
            </w:r>
          </w:p>
        </w:tc>
        <w:tc>
          <w:tcPr>
            <w:tcW w:w="803" w:type="dxa"/>
            <w:noWrap/>
            <w:hideMark/>
          </w:tcPr>
          <w:p w14:paraId="7B50CE2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3741</w:t>
            </w:r>
          </w:p>
        </w:tc>
        <w:tc>
          <w:tcPr>
            <w:tcW w:w="803" w:type="dxa"/>
            <w:noWrap/>
            <w:vAlign w:val="center"/>
            <w:hideMark/>
          </w:tcPr>
          <w:p w14:paraId="6602103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2,7</w:t>
            </w:r>
          </w:p>
        </w:tc>
        <w:tc>
          <w:tcPr>
            <w:tcW w:w="803" w:type="dxa"/>
            <w:noWrap/>
            <w:vAlign w:val="center"/>
            <w:hideMark/>
          </w:tcPr>
          <w:p w14:paraId="78355B5B"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3,4</w:t>
            </w:r>
          </w:p>
        </w:tc>
        <w:tc>
          <w:tcPr>
            <w:tcW w:w="803" w:type="dxa"/>
            <w:noWrap/>
            <w:vAlign w:val="center"/>
            <w:hideMark/>
          </w:tcPr>
          <w:p w14:paraId="31FEAD8B"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2,8</w:t>
            </w:r>
          </w:p>
        </w:tc>
        <w:tc>
          <w:tcPr>
            <w:tcW w:w="803" w:type="dxa"/>
            <w:noWrap/>
            <w:vAlign w:val="center"/>
            <w:hideMark/>
          </w:tcPr>
          <w:p w14:paraId="12546E2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2,8</w:t>
            </w:r>
          </w:p>
        </w:tc>
        <w:tc>
          <w:tcPr>
            <w:tcW w:w="804" w:type="dxa"/>
            <w:noWrap/>
            <w:vAlign w:val="center"/>
            <w:hideMark/>
          </w:tcPr>
          <w:p w14:paraId="4C12EB5E"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2,5</w:t>
            </w:r>
          </w:p>
        </w:tc>
      </w:tr>
      <w:tr w:rsidR="00A62844" w:rsidRPr="00A62844" w14:paraId="1CA6BA8A" w14:textId="77777777" w:rsidTr="008D280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7B47CC26"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5. Kopējā pamatkapitāla veidošana</w:t>
            </w:r>
          </w:p>
        </w:tc>
        <w:tc>
          <w:tcPr>
            <w:tcW w:w="998" w:type="dxa"/>
            <w:noWrap/>
            <w:vAlign w:val="center"/>
            <w:hideMark/>
          </w:tcPr>
          <w:p w14:paraId="0C6FB9EE" w14:textId="77777777" w:rsidR="00A62844" w:rsidRPr="00A62844" w:rsidRDefault="00A62844" w:rsidP="008D28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P51</w:t>
            </w:r>
          </w:p>
        </w:tc>
        <w:tc>
          <w:tcPr>
            <w:tcW w:w="803" w:type="dxa"/>
            <w:noWrap/>
            <w:hideMark/>
          </w:tcPr>
          <w:p w14:paraId="353C9722"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4023</w:t>
            </w:r>
          </w:p>
        </w:tc>
        <w:tc>
          <w:tcPr>
            <w:tcW w:w="803" w:type="dxa"/>
            <w:noWrap/>
            <w:hideMark/>
          </w:tcPr>
          <w:p w14:paraId="707ECB9D"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-11,7</w:t>
            </w:r>
          </w:p>
        </w:tc>
        <w:tc>
          <w:tcPr>
            <w:tcW w:w="803" w:type="dxa"/>
            <w:noWrap/>
            <w:hideMark/>
          </w:tcPr>
          <w:p w14:paraId="4B564530"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5,2</w:t>
            </w:r>
          </w:p>
        </w:tc>
        <w:tc>
          <w:tcPr>
            <w:tcW w:w="803" w:type="dxa"/>
            <w:noWrap/>
            <w:hideMark/>
          </w:tcPr>
          <w:p w14:paraId="47A925B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35,4</w:t>
            </w:r>
          </w:p>
        </w:tc>
        <w:tc>
          <w:tcPr>
            <w:tcW w:w="803" w:type="dxa"/>
            <w:noWrap/>
            <w:hideMark/>
          </w:tcPr>
          <w:p w14:paraId="3F18D12C"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10,8</w:t>
            </w:r>
          </w:p>
        </w:tc>
        <w:tc>
          <w:tcPr>
            <w:tcW w:w="804" w:type="dxa"/>
            <w:noWrap/>
            <w:hideMark/>
          </w:tcPr>
          <w:p w14:paraId="361D49D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8,2</w:t>
            </w:r>
          </w:p>
        </w:tc>
      </w:tr>
      <w:tr w:rsidR="00A62844" w:rsidRPr="00A62844" w14:paraId="3F14AD58" w14:textId="77777777" w:rsidTr="008D2801">
        <w:trPr>
          <w:trHeight w:val="24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434EF628"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6. Krājumu pārmaiņas un vērtslietu iegāde</w:t>
            </w:r>
          </w:p>
        </w:tc>
        <w:tc>
          <w:tcPr>
            <w:tcW w:w="998" w:type="dxa"/>
            <w:noWrap/>
            <w:vAlign w:val="center"/>
            <w:hideMark/>
          </w:tcPr>
          <w:p w14:paraId="474634F2" w14:textId="77777777" w:rsidR="00A62844" w:rsidRPr="00A62844" w:rsidRDefault="00A62844" w:rsidP="008D28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P52+P53</w:t>
            </w:r>
          </w:p>
        </w:tc>
        <w:tc>
          <w:tcPr>
            <w:tcW w:w="803" w:type="dxa"/>
            <w:noWrap/>
            <w:hideMark/>
          </w:tcPr>
          <w:p w14:paraId="6B6A0EA3"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702</w:t>
            </w:r>
          </w:p>
        </w:tc>
        <w:tc>
          <w:tcPr>
            <w:tcW w:w="803" w:type="dxa"/>
            <w:noWrap/>
          </w:tcPr>
          <w:p w14:paraId="5EC0848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w:t>
            </w:r>
          </w:p>
        </w:tc>
        <w:tc>
          <w:tcPr>
            <w:tcW w:w="803" w:type="dxa"/>
            <w:noWrap/>
          </w:tcPr>
          <w:p w14:paraId="1AA98FC1"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w:t>
            </w:r>
          </w:p>
        </w:tc>
        <w:tc>
          <w:tcPr>
            <w:tcW w:w="803" w:type="dxa"/>
            <w:noWrap/>
          </w:tcPr>
          <w:p w14:paraId="75FCAEFC"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w:t>
            </w:r>
          </w:p>
        </w:tc>
        <w:tc>
          <w:tcPr>
            <w:tcW w:w="803" w:type="dxa"/>
            <w:noWrap/>
          </w:tcPr>
          <w:p w14:paraId="79D1EB82"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w:t>
            </w:r>
          </w:p>
        </w:tc>
        <w:tc>
          <w:tcPr>
            <w:tcW w:w="804" w:type="dxa"/>
            <w:noWrap/>
          </w:tcPr>
          <w:p w14:paraId="0544E513"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w:t>
            </w:r>
          </w:p>
        </w:tc>
      </w:tr>
      <w:tr w:rsidR="00A62844" w:rsidRPr="00A62844" w14:paraId="16E4370C" w14:textId="77777777" w:rsidTr="008D2801">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174ADF97"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7. Eksports</w:t>
            </w:r>
          </w:p>
        </w:tc>
        <w:tc>
          <w:tcPr>
            <w:tcW w:w="998" w:type="dxa"/>
            <w:noWrap/>
            <w:vAlign w:val="center"/>
            <w:hideMark/>
          </w:tcPr>
          <w:p w14:paraId="2E70566F" w14:textId="77777777" w:rsidR="00A62844" w:rsidRPr="00A62844" w:rsidRDefault="00A62844" w:rsidP="008D28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P6</w:t>
            </w:r>
          </w:p>
        </w:tc>
        <w:tc>
          <w:tcPr>
            <w:tcW w:w="803" w:type="dxa"/>
            <w:noWrap/>
            <w:hideMark/>
          </w:tcPr>
          <w:p w14:paraId="26B0AB1B"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13108</w:t>
            </w:r>
          </w:p>
        </w:tc>
        <w:tc>
          <w:tcPr>
            <w:tcW w:w="803" w:type="dxa"/>
            <w:noWrap/>
            <w:hideMark/>
          </w:tcPr>
          <w:p w14:paraId="62A0E8EC"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2,8</w:t>
            </w:r>
          </w:p>
        </w:tc>
        <w:tc>
          <w:tcPr>
            <w:tcW w:w="803" w:type="dxa"/>
            <w:noWrap/>
            <w:hideMark/>
          </w:tcPr>
          <w:p w14:paraId="521495D4"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3,3</w:t>
            </w:r>
          </w:p>
        </w:tc>
        <w:tc>
          <w:tcPr>
            <w:tcW w:w="803" w:type="dxa"/>
            <w:noWrap/>
            <w:hideMark/>
          </w:tcPr>
          <w:p w14:paraId="7AC4B5A9"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3,5</w:t>
            </w:r>
          </w:p>
        </w:tc>
        <w:tc>
          <w:tcPr>
            <w:tcW w:w="803" w:type="dxa"/>
            <w:noWrap/>
            <w:hideMark/>
          </w:tcPr>
          <w:p w14:paraId="677A17D1"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3,7</w:t>
            </w:r>
          </w:p>
        </w:tc>
        <w:tc>
          <w:tcPr>
            <w:tcW w:w="804" w:type="dxa"/>
            <w:noWrap/>
            <w:hideMark/>
          </w:tcPr>
          <w:p w14:paraId="51F09DD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4,1</w:t>
            </w:r>
          </w:p>
        </w:tc>
      </w:tr>
      <w:tr w:rsidR="00A62844" w:rsidRPr="00A62844" w14:paraId="125DB31F" w14:textId="77777777" w:rsidTr="008D2801">
        <w:trPr>
          <w:trHeight w:val="201"/>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4C207717"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8. Imports</w:t>
            </w:r>
          </w:p>
        </w:tc>
        <w:tc>
          <w:tcPr>
            <w:tcW w:w="998" w:type="dxa"/>
            <w:noWrap/>
            <w:vAlign w:val="center"/>
            <w:hideMark/>
          </w:tcPr>
          <w:p w14:paraId="14857BE2" w14:textId="77777777" w:rsidR="00A62844" w:rsidRPr="00A62844" w:rsidRDefault="00A62844" w:rsidP="008D28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P7</w:t>
            </w:r>
          </w:p>
        </w:tc>
        <w:tc>
          <w:tcPr>
            <w:tcW w:w="803" w:type="dxa"/>
            <w:noWrap/>
            <w:hideMark/>
          </w:tcPr>
          <w:p w14:paraId="5FEE4E5D"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13627</w:t>
            </w:r>
          </w:p>
        </w:tc>
        <w:tc>
          <w:tcPr>
            <w:tcW w:w="803" w:type="dxa"/>
            <w:noWrap/>
            <w:hideMark/>
          </w:tcPr>
          <w:p w14:paraId="544127A4"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4,6</w:t>
            </w:r>
          </w:p>
        </w:tc>
        <w:tc>
          <w:tcPr>
            <w:tcW w:w="803" w:type="dxa"/>
            <w:noWrap/>
            <w:hideMark/>
          </w:tcPr>
          <w:p w14:paraId="629AA0F5"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1,4</w:t>
            </w:r>
          </w:p>
        </w:tc>
        <w:tc>
          <w:tcPr>
            <w:tcW w:w="803" w:type="dxa"/>
            <w:noWrap/>
            <w:hideMark/>
          </w:tcPr>
          <w:p w14:paraId="611DC3CC"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7,1</w:t>
            </w:r>
          </w:p>
        </w:tc>
        <w:tc>
          <w:tcPr>
            <w:tcW w:w="803" w:type="dxa"/>
            <w:noWrap/>
            <w:hideMark/>
          </w:tcPr>
          <w:p w14:paraId="4DED5F6C"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5,2</w:t>
            </w:r>
          </w:p>
        </w:tc>
        <w:tc>
          <w:tcPr>
            <w:tcW w:w="804" w:type="dxa"/>
            <w:noWrap/>
            <w:hideMark/>
          </w:tcPr>
          <w:p w14:paraId="267284CF"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4,9</w:t>
            </w:r>
          </w:p>
        </w:tc>
      </w:tr>
      <w:tr w:rsidR="00A62844" w:rsidRPr="00A62844" w14:paraId="2B976C4E" w14:textId="77777777" w:rsidTr="008D2801">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14:paraId="2FAD6F66" w14:textId="77777777" w:rsidR="00A62844" w:rsidRPr="00A62844" w:rsidRDefault="00A62844" w:rsidP="00A62844">
            <w:pPr>
              <w:autoSpaceDE w:val="0"/>
              <w:autoSpaceDN w:val="0"/>
              <w:adjustRightInd w:val="0"/>
              <w:jc w:val="center"/>
              <w:rPr>
                <w:rFonts w:ascii="Times New Roman" w:eastAsia="Times New Roman" w:hAnsi="Times New Roman" w:cs="Times New Roman"/>
                <w:bCs w:val="0"/>
                <w:color w:val="000000"/>
                <w:sz w:val="20"/>
                <w:szCs w:val="24"/>
                <w:lang w:eastAsia="lv-LV"/>
              </w:rPr>
            </w:pPr>
            <w:r w:rsidRPr="00A62844">
              <w:rPr>
                <w:rFonts w:ascii="Times New Roman" w:eastAsia="Times New Roman" w:hAnsi="Times New Roman" w:cs="Times New Roman"/>
                <w:color w:val="000000"/>
                <w:sz w:val="20"/>
                <w:szCs w:val="24"/>
                <w:lang w:eastAsia="lv-LV"/>
              </w:rPr>
              <w:t>Ieguldījums IKP izaugsmē</w:t>
            </w:r>
          </w:p>
        </w:tc>
      </w:tr>
      <w:tr w:rsidR="00A62844" w:rsidRPr="00A62844" w14:paraId="5D6B1AE3" w14:textId="77777777" w:rsidTr="008D2801">
        <w:trPr>
          <w:trHeight w:val="14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6B22B46A"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9. Kopējais iekšzemes pieprasījums</w:t>
            </w:r>
          </w:p>
        </w:tc>
        <w:tc>
          <w:tcPr>
            <w:tcW w:w="998" w:type="dxa"/>
            <w:noWrap/>
            <w:vAlign w:val="center"/>
            <w:hideMark/>
          </w:tcPr>
          <w:p w14:paraId="2D703CAC" w14:textId="77777777" w:rsidR="00A62844" w:rsidRPr="00A62844" w:rsidRDefault="00A62844" w:rsidP="008D28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14:paraId="45D45732" w14:textId="77777777" w:rsidR="00A62844" w:rsidRPr="00A62844" w:rsidRDefault="00A62844" w:rsidP="00A62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14:paraId="7E21E24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0,1</w:t>
            </w:r>
          </w:p>
        </w:tc>
        <w:tc>
          <w:tcPr>
            <w:tcW w:w="803" w:type="dxa"/>
            <w:noWrap/>
            <w:vAlign w:val="center"/>
            <w:hideMark/>
          </w:tcPr>
          <w:p w14:paraId="74F33BDF"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3,6</w:t>
            </w:r>
          </w:p>
        </w:tc>
        <w:tc>
          <w:tcPr>
            <w:tcW w:w="803" w:type="dxa"/>
            <w:noWrap/>
            <w:vAlign w:val="center"/>
            <w:hideMark/>
          </w:tcPr>
          <w:p w14:paraId="324CD81E"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9,0</w:t>
            </w:r>
          </w:p>
        </w:tc>
        <w:tc>
          <w:tcPr>
            <w:tcW w:w="803" w:type="dxa"/>
            <w:noWrap/>
            <w:vAlign w:val="center"/>
            <w:hideMark/>
          </w:tcPr>
          <w:p w14:paraId="490BC559"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4,6</w:t>
            </w:r>
          </w:p>
        </w:tc>
        <w:tc>
          <w:tcPr>
            <w:tcW w:w="804" w:type="dxa"/>
            <w:noWrap/>
            <w:vAlign w:val="center"/>
            <w:hideMark/>
          </w:tcPr>
          <w:p w14:paraId="639EC7FD"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3,9</w:t>
            </w:r>
          </w:p>
        </w:tc>
      </w:tr>
      <w:tr w:rsidR="00A62844" w:rsidRPr="00A62844" w14:paraId="7A92AD98" w14:textId="77777777" w:rsidTr="008D2801">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70F35878"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 xml:space="preserve">10. Krājumu pārmaiņas un vērtslietu iegāde </w:t>
            </w:r>
          </w:p>
        </w:tc>
        <w:tc>
          <w:tcPr>
            <w:tcW w:w="998" w:type="dxa"/>
            <w:noWrap/>
            <w:vAlign w:val="center"/>
            <w:hideMark/>
          </w:tcPr>
          <w:p w14:paraId="4295E3E9" w14:textId="77777777" w:rsidR="00A62844" w:rsidRPr="00A62844" w:rsidRDefault="00A62844" w:rsidP="008D28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P52+P53</w:t>
            </w:r>
          </w:p>
        </w:tc>
        <w:tc>
          <w:tcPr>
            <w:tcW w:w="803" w:type="dxa"/>
            <w:noWrap/>
            <w:vAlign w:val="center"/>
            <w:hideMark/>
          </w:tcPr>
          <w:p w14:paraId="0B554647" w14:textId="77777777" w:rsidR="00A62844" w:rsidRPr="00A62844" w:rsidRDefault="00A62844" w:rsidP="00A628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14:paraId="6175C31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3,0</w:t>
            </w:r>
          </w:p>
        </w:tc>
        <w:tc>
          <w:tcPr>
            <w:tcW w:w="803" w:type="dxa"/>
            <w:noWrap/>
            <w:vAlign w:val="center"/>
            <w:hideMark/>
          </w:tcPr>
          <w:p w14:paraId="7DCA5D7C"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-1,5</w:t>
            </w:r>
          </w:p>
        </w:tc>
        <w:tc>
          <w:tcPr>
            <w:tcW w:w="803" w:type="dxa"/>
            <w:noWrap/>
            <w:vAlign w:val="center"/>
            <w:hideMark/>
          </w:tcPr>
          <w:p w14:paraId="57716238"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-3,4</w:t>
            </w:r>
          </w:p>
        </w:tc>
        <w:tc>
          <w:tcPr>
            <w:tcW w:w="803" w:type="dxa"/>
            <w:noWrap/>
            <w:vAlign w:val="center"/>
            <w:hideMark/>
          </w:tcPr>
          <w:p w14:paraId="33D1E812"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-0,2</w:t>
            </w:r>
          </w:p>
        </w:tc>
        <w:tc>
          <w:tcPr>
            <w:tcW w:w="804" w:type="dxa"/>
            <w:noWrap/>
            <w:vAlign w:val="center"/>
            <w:hideMark/>
          </w:tcPr>
          <w:p w14:paraId="16C0B955" w14:textId="77777777" w:rsidR="00A62844" w:rsidRPr="00A62844" w:rsidRDefault="00A62844" w:rsidP="008D2801">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-0,2</w:t>
            </w:r>
          </w:p>
        </w:tc>
      </w:tr>
      <w:tr w:rsidR="00A62844" w:rsidRPr="00A62844" w14:paraId="6481F667" w14:textId="77777777" w:rsidTr="008D2801">
        <w:trPr>
          <w:trHeight w:val="34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681A9781" w14:textId="77777777" w:rsidR="00A62844" w:rsidRPr="00A62844" w:rsidRDefault="00A62844" w:rsidP="00A62844">
            <w:pPr>
              <w:autoSpaceDE w:val="0"/>
              <w:autoSpaceDN w:val="0"/>
              <w:adjustRightInd w:val="0"/>
              <w:jc w:val="both"/>
              <w:rPr>
                <w:rFonts w:ascii="Times New Roman" w:eastAsia="Times New Roman" w:hAnsi="Times New Roman" w:cs="Times New Roman"/>
                <w:b w:val="0"/>
                <w:color w:val="000000"/>
                <w:sz w:val="20"/>
                <w:szCs w:val="24"/>
                <w:lang w:eastAsia="lv-LV"/>
              </w:rPr>
            </w:pPr>
            <w:r w:rsidRPr="00A62844">
              <w:rPr>
                <w:rFonts w:ascii="Times New Roman" w:eastAsia="Times New Roman" w:hAnsi="Times New Roman" w:cs="Times New Roman"/>
                <w:b w:val="0"/>
                <w:color w:val="000000"/>
                <w:sz w:val="20"/>
                <w:szCs w:val="24"/>
                <w:lang w:eastAsia="lv-LV"/>
              </w:rPr>
              <w:t>11. Eksporta-importa bilance</w:t>
            </w:r>
          </w:p>
        </w:tc>
        <w:tc>
          <w:tcPr>
            <w:tcW w:w="998" w:type="dxa"/>
            <w:noWrap/>
            <w:vAlign w:val="center"/>
            <w:hideMark/>
          </w:tcPr>
          <w:p w14:paraId="5F33104B" w14:textId="77777777" w:rsidR="00A62844" w:rsidRPr="00A62844" w:rsidRDefault="00A62844" w:rsidP="008D28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B11</w:t>
            </w:r>
          </w:p>
        </w:tc>
        <w:tc>
          <w:tcPr>
            <w:tcW w:w="803" w:type="dxa"/>
            <w:noWrap/>
            <w:vAlign w:val="center"/>
            <w:hideMark/>
          </w:tcPr>
          <w:p w14:paraId="450504AF" w14:textId="77777777" w:rsidR="00A62844" w:rsidRPr="00A62844" w:rsidRDefault="00A62844" w:rsidP="00A6284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14:paraId="6C917594"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-1,1</w:t>
            </w:r>
          </w:p>
        </w:tc>
        <w:tc>
          <w:tcPr>
            <w:tcW w:w="803" w:type="dxa"/>
            <w:noWrap/>
            <w:vAlign w:val="center"/>
            <w:hideMark/>
          </w:tcPr>
          <w:p w14:paraId="23589DF6"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1,1</w:t>
            </w:r>
          </w:p>
        </w:tc>
        <w:tc>
          <w:tcPr>
            <w:tcW w:w="803" w:type="dxa"/>
            <w:noWrap/>
            <w:vAlign w:val="center"/>
            <w:hideMark/>
          </w:tcPr>
          <w:p w14:paraId="19B0AF20"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-2,3</w:t>
            </w:r>
          </w:p>
        </w:tc>
        <w:tc>
          <w:tcPr>
            <w:tcW w:w="803" w:type="dxa"/>
            <w:noWrap/>
            <w:vAlign w:val="center"/>
            <w:hideMark/>
          </w:tcPr>
          <w:p w14:paraId="2A3B206A"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-1,1</w:t>
            </w:r>
          </w:p>
        </w:tc>
        <w:tc>
          <w:tcPr>
            <w:tcW w:w="804" w:type="dxa"/>
            <w:noWrap/>
            <w:vAlign w:val="center"/>
            <w:hideMark/>
          </w:tcPr>
          <w:p w14:paraId="3957486B" w14:textId="77777777" w:rsidR="00A62844" w:rsidRPr="00A62844" w:rsidRDefault="00A62844" w:rsidP="008D280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A62844">
              <w:rPr>
                <w:rFonts w:ascii="Times New Roman" w:eastAsia="Times New Roman" w:hAnsi="Times New Roman" w:cs="Times New Roman"/>
                <w:color w:val="000000"/>
                <w:sz w:val="20"/>
                <w:szCs w:val="24"/>
                <w:lang w:eastAsia="lv-LV"/>
              </w:rPr>
              <w:t>-0,7</w:t>
            </w:r>
          </w:p>
        </w:tc>
      </w:tr>
    </w:tbl>
    <w:p w14:paraId="68D6BCD6" w14:textId="5E1095E3" w:rsidR="00A62844" w:rsidRPr="00A62844" w:rsidRDefault="00A62844" w:rsidP="00530D80">
      <w:pPr>
        <w:autoSpaceDE w:val="0"/>
        <w:autoSpaceDN w:val="0"/>
        <w:adjustRightInd w:val="0"/>
        <w:spacing w:before="120"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sz w:val="24"/>
          <w:szCs w:val="23"/>
          <w:lang w:eastAsia="lv-LV"/>
        </w:rPr>
        <w:t>Investīciju dinamiku būtiski ietekmēs ES fondu apguve. Tiek paredzēts, ka 2017.gadā tā kļūs aktīvāka, un apjomu ziņā ES fondu apguve varētu būt divreiz lielāka nekā 2016.g</w:t>
      </w:r>
      <w:r w:rsidR="004C44BC">
        <w:rPr>
          <w:rFonts w:ascii="Times New Roman" w:eastAsia="Times New Roman" w:hAnsi="Times New Roman" w:cs="Times New Roman"/>
          <w:sz w:val="24"/>
          <w:szCs w:val="23"/>
          <w:lang w:eastAsia="lv-LV"/>
        </w:rPr>
        <w:t>adā</w:t>
      </w:r>
      <w:r w:rsidRPr="00A62844">
        <w:rPr>
          <w:rFonts w:ascii="Times New Roman" w:eastAsia="Times New Roman" w:hAnsi="Times New Roman" w:cs="Times New Roman"/>
          <w:sz w:val="24"/>
          <w:szCs w:val="23"/>
          <w:lang w:eastAsia="lv-LV"/>
        </w:rPr>
        <w:t xml:space="preserve">. ES fondu ieplūdes pieaugums tiek plānots arī 2018. un 2019.gados. Jāsaka, ka pastāv risks, ka ES fondu apguve vēl varētu bremzēties 2017.gada sākumā, tomēr jau gada otrajā pusē to apguve kļūs straujāka. Investīcijas veicinās </w:t>
      </w:r>
      <w:r w:rsidR="005B370F">
        <w:rPr>
          <w:rFonts w:ascii="Times New Roman" w:eastAsia="Times New Roman" w:hAnsi="Times New Roman" w:cs="Times New Roman"/>
          <w:sz w:val="24"/>
          <w:szCs w:val="23"/>
          <w:lang w:eastAsia="lv-LV"/>
        </w:rPr>
        <w:t xml:space="preserve">arī </w:t>
      </w:r>
      <w:proofErr w:type="spellStart"/>
      <w:r w:rsidR="005B370F">
        <w:rPr>
          <w:rFonts w:ascii="Times New Roman" w:eastAsia="Times New Roman" w:hAnsi="Times New Roman" w:cs="Times New Roman"/>
          <w:sz w:val="24"/>
          <w:szCs w:val="23"/>
          <w:lang w:eastAsia="lv-LV"/>
        </w:rPr>
        <w:t>nefinanšu</w:t>
      </w:r>
      <w:proofErr w:type="spellEnd"/>
      <w:r w:rsidR="005B370F">
        <w:rPr>
          <w:rFonts w:ascii="Times New Roman" w:eastAsia="Times New Roman" w:hAnsi="Times New Roman" w:cs="Times New Roman"/>
          <w:sz w:val="24"/>
          <w:szCs w:val="23"/>
          <w:lang w:eastAsia="lv-LV"/>
        </w:rPr>
        <w:t xml:space="preserve"> iestādēm pieaugošu izsniegto kredītu apjomu</w:t>
      </w:r>
      <w:r w:rsidRPr="00A62844">
        <w:rPr>
          <w:rFonts w:ascii="Times New Roman" w:eastAsia="Times New Roman" w:hAnsi="Times New Roman" w:cs="Times New Roman"/>
          <w:sz w:val="24"/>
          <w:szCs w:val="23"/>
          <w:lang w:eastAsia="lv-LV"/>
        </w:rPr>
        <w:t>. Prognožu periodā tiek pieņemts, ka Krievijas un ES ģeopolitiskās attiecības nepasliktināsies, līdz ar to nepasliktināsies reģiona investīciju pievilcība. Tādējādi paredzams, ka investīciju pieauguma tempi pārsniegs kopējos ekonomikas attīstības tempus.</w:t>
      </w:r>
    </w:p>
    <w:p w14:paraId="11173B68" w14:textId="1110FE6F"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sz w:val="24"/>
          <w:szCs w:val="23"/>
          <w:lang w:eastAsia="lv-LV"/>
        </w:rPr>
        <w:t>Privātā patēriņa attīstība vidējā termiņā būs cieši saistīta ar norisēm darba tirgū. Nodarbinātības pieaugums, demogrāfisko ierobežojumu dēļ būs ļoti ierobežots. Būs vērojams mērens darba algas pieaugums, kas stiprinās</w:t>
      </w:r>
      <w:r w:rsidR="00B3016A">
        <w:rPr>
          <w:rFonts w:ascii="Times New Roman" w:eastAsia="Times New Roman" w:hAnsi="Times New Roman" w:cs="Times New Roman"/>
          <w:sz w:val="24"/>
          <w:szCs w:val="23"/>
          <w:lang w:eastAsia="lv-LV"/>
        </w:rPr>
        <w:t xml:space="preserve"> patērētāju noskaņojumu. 2017.gadā</w:t>
      </w:r>
      <w:r w:rsidRPr="00A62844">
        <w:rPr>
          <w:rFonts w:ascii="Times New Roman" w:eastAsia="Times New Roman" w:hAnsi="Times New Roman" w:cs="Times New Roman"/>
          <w:sz w:val="24"/>
          <w:szCs w:val="23"/>
          <w:lang w:eastAsia="lv-LV"/>
        </w:rPr>
        <w:t xml:space="preserve"> turpinās palielināties mājsaimniecībām no jauna izsniegto kredītu apjoms, tomēr kreditēšanas ietekme uz patēriņu vēl būs ierobežota. Iedzīvotāji saglābās piesardzību, uzņemoties ilgtermiņa saistības. Rezultātā privātā patēriņa attīstība vidējā termiņā būs salīdzinoši tuva kopējam ekonomikas attīstības tempam.</w:t>
      </w:r>
    </w:p>
    <w:p w14:paraId="434EBA35" w14:textId="295C5A7D"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3"/>
          <w:lang w:eastAsia="lv-LV"/>
        </w:rPr>
        <w:t>Atbilstoši FM prognozēm, Latvijas IKP 2017. un 2018.gadā palielināsies attiecīgi par 3,2% un 3,4%, (</w:t>
      </w:r>
      <w:r w:rsidRPr="00A62844">
        <w:rPr>
          <w:rFonts w:ascii="Times New Roman" w:eastAsia="Times New Roman" w:hAnsi="Times New Roman" w:cs="Times New Roman"/>
          <w:sz w:val="24"/>
          <w:szCs w:val="23"/>
          <w:lang w:eastAsia="lv-LV"/>
        </w:rPr>
        <w:t xml:space="preserve">Stabilitātes programmā 2016.-2019.gadam minētajos gados prognozētais IKP pieaugums bija </w:t>
      </w:r>
      <w:r w:rsidR="00B3016A">
        <w:rPr>
          <w:rFonts w:ascii="Times New Roman" w:eastAsia="Times New Roman" w:hAnsi="Times New Roman" w:cs="Times New Roman"/>
          <w:color w:val="000000"/>
          <w:sz w:val="24"/>
          <w:szCs w:val="23"/>
          <w:lang w:eastAsia="lv-LV"/>
        </w:rPr>
        <w:t>2017.</w:t>
      </w:r>
      <w:r w:rsidRPr="00A62844">
        <w:rPr>
          <w:rFonts w:ascii="Times New Roman" w:eastAsia="Times New Roman" w:hAnsi="Times New Roman" w:cs="Times New Roman"/>
          <w:color w:val="000000"/>
          <w:sz w:val="24"/>
          <w:szCs w:val="23"/>
          <w:lang w:eastAsia="lv-LV"/>
        </w:rPr>
        <w:t>g</w:t>
      </w:r>
      <w:r w:rsidR="00B3016A">
        <w:rPr>
          <w:rFonts w:ascii="Times New Roman" w:eastAsia="Times New Roman" w:hAnsi="Times New Roman" w:cs="Times New Roman"/>
          <w:color w:val="000000"/>
          <w:sz w:val="24"/>
          <w:szCs w:val="23"/>
          <w:lang w:eastAsia="lv-LV"/>
        </w:rPr>
        <w:t>adā</w:t>
      </w:r>
      <w:r w:rsidRPr="00A62844">
        <w:rPr>
          <w:rFonts w:ascii="Times New Roman" w:eastAsia="Times New Roman" w:hAnsi="Times New Roman" w:cs="Times New Roman"/>
          <w:color w:val="000000"/>
          <w:sz w:val="24"/>
          <w:szCs w:val="23"/>
          <w:lang w:eastAsia="lv-LV"/>
        </w:rPr>
        <w:t xml:space="preserve"> </w:t>
      </w:r>
      <w:r w:rsidRPr="00A62844">
        <w:rPr>
          <w:rFonts w:ascii="Times New Roman" w:eastAsia="Times New Roman" w:hAnsi="Times New Roman" w:cs="Times New Roman"/>
          <w:sz w:val="24"/>
          <w:szCs w:val="23"/>
          <w:lang w:eastAsia="lv-LV"/>
        </w:rPr>
        <w:t>3,3</w:t>
      </w:r>
      <w:r w:rsidR="00B3016A">
        <w:rPr>
          <w:rFonts w:ascii="Times New Roman" w:eastAsia="Times New Roman" w:hAnsi="Times New Roman" w:cs="Times New Roman"/>
          <w:sz w:val="24"/>
          <w:szCs w:val="23"/>
          <w:lang w:eastAsia="lv-LV"/>
        </w:rPr>
        <w:t>%</w:t>
      </w:r>
      <w:r w:rsidRPr="00A62844">
        <w:rPr>
          <w:rFonts w:ascii="Times New Roman" w:eastAsia="Times New Roman" w:hAnsi="Times New Roman" w:cs="Times New Roman"/>
          <w:sz w:val="24"/>
          <w:szCs w:val="23"/>
          <w:lang w:eastAsia="lv-LV"/>
        </w:rPr>
        <w:t xml:space="preserve"> un </w:t>
      </w:r>
      <w:r w:rsidR="00B3016A">
        <w:rPr>
          <w:rFonts w:ascii="Times New Roman" w:eastAsia="Times New Roman" w:hAnsi="Times New Roman" w:cs="Times New Roman"/>
          <w:color w:val="000000"/>
          <w:sz w:val="24"/>
          <w:szCs w:val="23"/>
          <w:lang w:eastAsia="lv-LV"/>
        </w:rPr>
        <w:t>2018.gadā</w:t>
      </w:r>
      <w:r w:rsidRPr="00A62844">
        <w:rPr>
          <w:rFonts w:ascii="Times New Roman" w:eastAsia="Times New Roman" w:hAnsi="Times New Roman" w:cs="Times New Roman"/>
          <w:color w:val="000000"/>
          <w:sz w:val="24"/>
          <w:szCs w:val="23"/>
          <w:lang w:eastAsia="lv-LV"/>
        </w:rPr>
        <w:t xml:space="preserve"> </w:t>
      </w:r>
      <w:r w:rsidRPr="00A62844">
        <w:rPr>
          <w:rFonts w:ascii="Times New Roman" w:eastAsia="Times New Roman" w:hAnsi="Times New Roman" w:cs="Times New Roman"/>
          <w:sz w:val="24"/>
          <w:szCs w:val="23"/>
          <w:lang w:eastAsia="lv-LV"/>
        </w:rPr>
        <w:t>3,4%)</w:t>
      </w:r>
      <w:r w:rsidRPr="00A62844">
        <w:rPr>
          <w:rFonts w:ascii="Times New Roman" w:eastAsia="Times New Roman" w:hAnsi="Times New Roman" w:cs="Times New Roman"/>
          <w:color w:val="000000"/>
          <w:sz w:val="24"/>
          <w:szCs w:val="23"/>
          <w:lang w:eastAsia="lv-LV"/>
        </w:rPr>
        <w:t>. Tālākajos gados IKP pieauguma tempi mazināsies līdz 3% 2020.gadā, tuvojoties potenciālajam izaugsmes līmenim.</w:t>
      </w:r>
    </w:p>
    <w:p w14:paraId="3E4A4A49" w14:textId="77777777" w:rsidR="00A62844" w:rsidRPr="00A62844" w:rsidRDefault="00A62844" w:rsidP="00A62844">
      <w:pPr>
        <w:autoSpaceDE w:val="0"/>
        <w:autoSpaceDN w:val="0"/>
        <w:adjustRightInd w:val="0"/>
        <w:spacing w:after="60" w:line="240" w:lineRule="auto"/>
        <w:ind w:firstLine="720"/>
        <w:jc w:val="both"/>
        <w:rPr>
          <w:rFonts w:ascii="Times New Roman" w:eastAsia="Times New Roman" w:hAnsi="Times New Roman" w:cs="Times New Roman"/>
          <w:color w:val="000000"/>
          <w:sz w:val="24"/>
          <w:szCs w:val="23"/>
          <w:lang w:eastAsia="lv-LV"/>
        </w:rPr>
      </w:pPr>
    </w:p>
    <w:p w14:paraId="4310B3DA" w14:textId="77777777" w:rsidR="00A62844" w:rsidRPr="00A62844" w:rsidRDefault="00A62844" w:rsidP="00530D80">
      <w:pPr>
        <w:spacing w:after="60" w:line="240" w:lineRule="auto"/>
        <w:ind w:firstLine="720"/>
        <w:jc w:val="both"/>
        <w:outlineLvl w:val="3"/>
        <w:rPr>
          <w:rFonts w:ascii="Times New Roman" w:eastAsia="Times New Roman" w:hAnsi="Times New Roman" w:cs="Times New Roman"/>
          <w:b/>
          <w:sz w:val="24"/>
          <w:szCs w:val="24"/>
        </w:rPr>
      </w:pPr>
      <w:r w:rsidRPr="00A62844">
        <w:rPr>
          <w:rFonts w:ascii="Times New Roman" w:eastAsia="Times New Roman" w:hAnsi="Times New Roman" w:cs="Times New Roman"/>
          <w:b/>
          <w:sz w:val="24"/>
          <w:szCs w:val="24"/>
        </w:rPr>
        <w:t>Inflācija</w:t>
      </w:r>
    </w:p>
    <w:p w14:paraId="72D08A29" w14:textId="4F0923D2" w:rsidR="00A62844" w:rsidRPr="00A62844" w:rsidRDefault="005B370F" w:rsidP="00A62844">
      <w:pPr>
        <w:autoSpaceDE w:val="0"/>
        <w:autoSpaceDN w:val="0"/>
        <w:adjustRightInd w:val="0"/>
        <w:spacing w:after="0" w:line="240" w:lineRule="auto"/>
        <w:ind w:firstLine="720"/>
        <w:jc w:val="both"/>
        <w:rPr>
          <w:rFonts w:ascii="Times New Roman" w:eastAsia="Calibri" w:hAnsi="Times New Roman" w:cs="Times New Roman"/>
          <w:color w:val="000000"/>
          <w:sz w:val="24"/>
          <w:szCs w:val="24"/>
          <w:lang w:eastAsia="lv-LV"/>
        </w:rPr>
      </w:pPr>
      <w:r>
        <w:rPr>
          <w:rFonts w:ascii="Times New Roman" w:eastAsia="Calibri" w:hAnsi="Times New Roman" w:cs="Times New Roman"/>
          <w:color w:val="000000"/>
          <w:sz w:val="24"/>
          <w:szCs w:val="24"/>
          <w:lang w:eastAsia="lv-LV"/>
        </w:rPr>
        <w:t>2016.</w:t>
      </w:r>
      <w:r w:rsidR="00A62844" w:rsidRPr="00A62844">
        <w:rPr>
          <w:rFonts w:ascii="Times New Roman" w:eastAsia="Calibri" w:hAnsi="Times New Roman" w:cs="Times New Roman"/>
          <w:color w:val="000000"/>
          <w:sz w:val="24"/>
          <w:szCs w:val="24"/>
          <w:lang w:eastAsia="lv-LV"/>
        </w:rPr>
        <w:t xml:space="preserve">gadā vidējā gada inflācija saglabājas ļoti vājā līmenī, patēriņa cenām palielinoties vien par 0,1%, salīdzinot ar iepriekšējo gadu. Pērnā gada patēriņa cenu līmenim bija ļoti raksturīga iezīme, ka cenu svārstības galvenokārt izskaidroja norises pasaules izejvielu tirgos. Straujš naftas produktu cenu kritums pērnā gada sākumā būtiski samazināja degvielas, siltumenerģijas un gāzes cenu Latvijā. Kopumā degvielas cenas Latvijā 2016.gadā samazinājās par 7,7%. Savukārt, siltumenerģijas un gāzes cenas bija attiecīgi par 11,4% un 11,0% zemākas. Tādējādi, degvielas, siltumenerģijas un gāzes cenu krituma negatīvais devums patēriņa cenu izmaiņās bija -1,0 procentpunkts. Taču straujš pārtikas cenu kāpums gada nogalē, it īpaši zivīm, pienam, eļļas produktiem, dārzeņiem un cukuram, kas ir saistīts ar pārtikas piedāvājuma un pieprasījuma apjomu līdzsvarošanos pasaules tirgos, nedaudz kompensēja ar energoresursiem saistīto preču un pakalpojumu cenu kritumu. Ņemot vērā, ka pārtikas preču īpatsvars patēriņa </w:t>
      </w:r>
      <w:r w:rsidR="00A62844" w:rsidRPr="00A62844">
        <w:rPr>
          <w:rFonts w:ascii="Times New Roman" w:eastAsia="Calibri" w:hAnsi="Times New Roman" w:cs="Times New Roman"/>
          <w:color w:val="000000"/>
          <w:sz w:val="24"/>
          <w:szCs w:val="24"/>
          <w:lang w:eastAsia="lv-LV"/>
        </w:rPr>
        <w:lastRenderedPageBreak/>
        <w:t>grozā ir nedaudz lielāks par piekto daļu, tieši šo preču cenu kāpums nodrošināja lielāko pozitīvo jeb 0,3 procentpunktu devumu patēriņa cenu kopējā pieaugum</w:t>
      </w:r>
      <w:r>
        <w:rPr>
          <w:rFonts w:ascii="Times New Roman" w:eastAsia="Calibri" w:hAnsi="Times New Roman" w:cs="Times New Roman"/>
          <w:color w:val="000000"/>
          <w:sz w:val="24"/>
          <w:szCs w:val="24"/>
          <w:lang w:eastAsia="lv-LV"/>
        </w:rPr>
        <w:t>ā, lai arī pārtikas cenas 2016.</w:t>
      </w:r>
      <w:r w:rsidR="00A62844" w:rsidRPr="00A62844">
        <w:rPr>
          <w:rFonts w:ascii="Times New Roman" w:eastAsia="Calibri" w:hAnsi="Times New Roman" w:cs="Times New Roman"/>
          <w:color w:val="000000"/>
          <w:sz w:val="24"/>
          <w:szCs w:val="24"/>
          <w:lang w:eastAsia="lv-LV"/>
        </w:rPr>
        <w:t>gadā kopumā bija tikai par 1,2% a</w:t>
      </w:r>
      <w:r>
        <w:rPr>
          <w:rFonts w:ascii="Times New Roman" w:eastAsia="Calibri" w:hAnsi="Times New Roman" w:cs="Times New Roman"/>
          <w:color w:val="000000"/>
          <w:sz w:val="24"/>
          <w:szCs w:val="24"/>
          <w:lang w:eastAsia="lv-LV"/>
        </w:rPr>
        <w:t>ugstākas nekā iepriekšējā gadā.</w:t>
      </w:r>
    </w:p>
    <w:p w14:paraId="45512A2D" w14:textId="44B3BCD5" w:rsidR="00A62844" w:rsidRPr="00A62844" w:rsidRDefault="00A62844" w:rsidP="00A62844">
      <w:pPr>
        <w:autoSpaceDE w:val="0"/>
        <w:autoSpaceDN w:val="0"/>
        <w:adjustRightInd w:val="0"/>
        <w:spacing w:after="0" w:line="240" w:lineRule="auto"/>
        <w:ind w:firstLine="720"/>
        <w:jc w:val="both"/>
        <w:rPr>
          <w:rFonts w:ascii="Times New Roman" w:eastAsia="Calibri" w:hAnsi="Times New Roman" w:cs="Times New Roman"/>
          <w:color w:val="000000"/>
          <w:sz w:val="24"/>
          <w:szCs w:val="24"/>
          <w:lang w:eastAsia="lv-LV"/>
        </w:rPr>
      </w:pPr>
      <w:r w:rsidRPr="00A62844">
        <w:rPr>
          <w:rFonts w:ascii="Times New Roman" w:eastAsia="Calibri" w:hAnsi="Times New Roman" w:cs="Times New Roman"/>
          <w:color w:val="000000"/>
          <w:sz w:val="24"/>
          <w:szCs w:val="24"/>
          <w:lang w:eastAsia="lv-LV"/>
        </w:rPr>
        <w:t xml:space="preserve">Papildus tam pagājušā gada inflāciju būtiski ietekmēja cenu pieaugums ūdensapgādes un citiem ar mājokli saistītiem pakalpojumiem, kopumā par 4,7%. Cenu kāpumu ietekmēja mājokļa apsaimniekošanas pakalpojumu sadārdzināšanās saistībā ar 21% PVN likmes piemērošanu namu </w:t>
      </w:r>
      <w:proofErr w:type="spellStart"/>
      <w:r w:rsidRPr="00A62844">
        <w:rPr>
          <w:rFonts w:ascii="Times New Roman" w:eastAsia="Calibri" w:hAnsi="Times New Roman" w:cs="Times New Roman"/>
          <w:color w:val="000000"/>
          <w:sz w:val="24"/>
          <w:szCs w:val="24"/>
          <w:lang w:eastAsia="lv-LV"/>
        </w:rPr>
        <w:t>apsaimniekotājiem</w:t>
      </w:r>
      <w:proofErr w:type="spellEnd"/>
      <w:r w:rsidRPr="00A62844">
        <w:rPr>
          <w:rFonts w:ascii="Times New Roman" w:eastAsia="Calibri" w:hAnsi="Times New Roman" w:cs="Times New Roman"/>
          <w:color w:val="000000"/>
          <w:sz w:val="24"/>
          <w:szCs w:val="24"/>
          <w:lang w:eastAsia="lv-LV"/>
        </w:rPr>
        <w:t xml:space="preserve"> no 2016.gada 1.jūlija. Kopumā, pērnajā gadā preču cenas samazinājās par 0,7%, savukārt pakalpojumu cenas bija par 2,2%</w:t>
      </w:r>
      <w:r w:rsidR="005B370F">
        <w:rPr>
          <w:rFonts w:ascii="Times New Roman" w:eastAsia="Calibri" w:hAnsi="Times New Roman" w:cs="Times New Roman"/>
          <w:color w:val="000000"/>
          <w:sz w:val="24"/>
          <w:szCs w:val="24"/>
          <w:lang w:eastAsia="lv-LV"/>
        </w:rPr>
        <w:t xml:space="preserve"> augstākas, salīdzinot ar 2015.</w:t>
      </w:r>
      <w:r w:rsidRPr="00A62844">
        <w:rPr>
          <w:rFonts w:ascii="Times New Roman" w:eastAsia="Calibri" w:hAnsi="Times New Roman" w:cs="Times New Roman"/>
          <w:color w:val="000000"/>
          <w:sz w:val="24"/>
          <w:szCs w:val="24"/>
          <w:lang w:eastAsia="lv-LV"/>
        </w:rPr>
        <w:t>gadu.</w:t>
      </w:r>
    </w:p>
    <w:p w14:paraId="06A10A95" w14:textId="77777777" w:rsidR="00A62844" w:rsidRPr="00A62844" w:rsidRDefault="00A62844" w:rsidP="00530D80">
      <w:pPr>
        <w:autoSpaceDE w:val="0"/>
        <w:autoSpaceDN w:val="0"/>
        <w:adjustRightInd w:val="0"/>
        <w:spacing w:before="60" w:after="120" w:line="240" w:lineRule="auto"/>
        <w:jc w:val="center"/>
        <w:rPr>
          <w:rFonts w:ascii="Times New Roman" w:eastAsia="Calibri" w:hAnsi="Times New Roman" w:cs="Times New Roman"/>
          <w:color w:val="000000"/>
          <w:sz w:val="24"/>
          <w:szCs w:val="24"/>
          <w:lang w:eastAsia="lv-LV"/>
        </w:rPr>
      </w:pPr>
      <w:r w:rsidRPr="00A62844">
        <w:rPr>
          <w:rFonts w:ascii="Times New Roman" w:eastAsia="Calibri" w:hAnsi="Times New Roman" w:cs="Times New Roman"/>
          <w:noProof/>
          <w:color w:val="000000"/>
          <w:sz w:val="24"/>
          <w:szCs w:val="24"/>
          <w:lang w:eastAsia="lv-LV"/>
        </w:rPr>
        <w:drawing>
          <wp:inline distT="0" distB="0" distL="0" distR="0" wp14:anchorId="2584E522" wp14:editId="76570EBB">
            <wp:extent cx="5800725" cy="39909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62844">
        <w:rPr>
          <w:rFonts w:ascii="Times New Roman" w:eastAsia="Calibri" w:hAnsi="Times New Roman" w:cs="Times New Roman"/>
          <w:b/>
          <w:color w:val="000000"/>
          <w:sz w:val="24"/>
          <w:szCs w:val="24"/>
          <w:lang w:eastAsia="lv-LV"/>
        </w:rPr>
        <w:t>2.3.attēls. Gada inflācija pēc izcelsmes avota</w:t>
      </w:r>
    </w:p>
    <w:p w14:paraId="6B1FA2B5" w14:textId="020F4704" w:rsidR="00A62844" w:rsidRPr="00A62844" w:rsidRDefault="005B370F" w:rsidP="00A62844">
      <w:pPr>
        <w:autoSpaceDE w:val="0"/>
        <w:autoSpaceDN w:val="0"/>
        <w:adjustRightInd w:val="0"/>
        <w:spacing w:after="0" w:line="240" w:lineRule="auto"/>
        <w:ind w:firstLine="720"/>
        <w:jc w:val="both"/>
        <w:rPr>
          <w:rFonts w:ascii="Times New Roman" w:eastAsia="Calibri" w:hAnsi="Times New Roman" w:cs="Times New Roman"/>
          <w:color w:val="000000"/>
          <w:sz w:val="24"/>
          <w:szCs w:val="24"/>
          <w:lang w:eastAsia="lv-LV"/>
        </w:rPr>
      </w:pPr>
      <w:r>
        <w:rPr>
          <w:rFonts w:ascii="Times New Roman" w:eastAsia="Calibri" w:hAnsi="Times New Roman" w:cs="Times New Roman"/>
          <w:color w:val="000000"/>
          <w:sz w:val="24"/>
          <w:szCs w:val="24"/>
          <w:lang w:eastAsia="lv-LV"/>
        </w:rPr>
        <w:t>2017.</w:t>
      </w:r>
      <w:r w:rsidR="00A62844" w:rsidRPr="00A62844">
        <w:rPr>
          <w:rFonts w:ascii="Times New Roman" w:eastAsia="Calibri" w:hAnsi="Times New Roman" w:cs="Times New Roman"/>
          <w:color w:val="000000"/>
          <w:sz w:val="24"/>
          <w:szCs w:val="24"/>
          <w:lang w:eastAsia="lv-LV"/>
        </w:rPr>
        <w:t>gada pirmajos divos mēnešos patēriņa cenas vidēji pieauga pa</w:t>
      </w:r>
      <w:r w:rsidR="006968E9">
        <w:rPr>
          <w:rFonts w:ascii="Times New Roman" w:eastAsia="Calibri" w:hAnsi="Times New Roman" w:cs="Times New Roman"/>
          <w:color w:val="000000"/>
          <w:sz w:val="24"/>
          <w:szCs w:val="24"/>
          <w:lang w:eastAsia="lv-LV"/>
        </w:rPr>
        <w:t>r 3,1% salīdzinājumā ar 2016.</w:t>
      </w:r>
      <w:r w:rsidR="00A62844" w:rsidRPr="00A62844">
        <w:rPr>
          <w:rFonts w:ascii="Times New Roman" w:eastAsia="Calibri" w:hAnsi="Times New Roman" w:cs="Times New Roman"/>
          <w:color w:val="000000"/>
          <w:sz w:val="24"/>
          <w:szCs w:val="24"/>
          <w:lang w:eastAsia="lv-LV"/>
        </w:rPr>
        <w:t>gada attiecīgo laika periodu. Samērā straujais cenu kāpums ir saistīts galvenokārt ar degvielas un pārtikas cenu pieaugumu. Stabilizējoties naftas cenām</w:t>
      </w:r>
      <w:r w:rsidR="006968E9">
        <w:rPr>
          <w:rFonts w:ascii="Times New Roman" w:eastAsia="Calibri" w:hAnsi="Times New Roman" w:cs="Times New Roman"/>
          <w:color w:val="000000"/>
          <w:sz w:val="24"/>
          <w:szCs w:val="24"/>
          <w:lang w:eastAsia="lv-LV"/>
        </w:rPr>
        <w:t xml:space="preserve"> pasaules tirgos sākot no 2016.</w:t>
      </w:r>
      <w:r w:rsidR="00A62844" w:rsidRPr="00A62844">
        <w:rPr>
          <w:rFonts w:ascii="Times New Roman" w:eastAsia="Calibri" w:hAnsi="Times New Roman" w:cs="Times New Roman"/>
          <w:color w:val="000000"/>
          <w:sz w:val="24"/>
          <w:szCs w:val="24"/>
          <w:lang w:eastAsia="lv-LV"/>
        </w:rPr>
        <w:t xml:space="preserve">gada beigām un pagājušā gada zemās bāzes dēļ, degvielas cenas Latvijā </w:t>
      </w:r>
      <w:r w:rsidR="006968E9">
        <w:rPr>
          <w:rFonts w:ascii="Times New Roman" w:eastAsia="Calibri" w:hAnsi="Times New Roman" w:cs="Times New Roman"/>
          <w:color w:val="000000"/>
          <w:sz w:val="24"/>
          <w:szCs w:val="24"/>
          <w:lang w:eastAsia="lv-LV"/>
        </w:rPr>
        <w:t>2017.gada</w:t>
      </w:r>
      <w:r w:rsidR="00A62844" w:rsidRPr="00A62844">
        <w:rPr>
          <w:rFonts w:ascii="Times New Roman" w:eastAsia="Calibri" w:hAnsi="Times New Roman" w:cs="Times New Roman"/>
          <w:color w:val="000000"/>
          <w:sz w:val="24"/>
          <w:szCs w:val="24"/>
          <w:lang w:eastAsia="lv-LV"/>
        </w:rPr>
        <w:t xml:space="preserve"> pirmajos divos mēnešos vidēji bija par 16,8% augstākas nekā pagājušā gadā attiecīgajā laikā periodā. Sagaidāms, ka </w:t>
      </w:r>
      <w:r w:rsidR="006968E9">
        <w:rPr>
          <w:rFonts w:ascii="Times New Roman" w:eastAsia="Calibri" w:hAnsi="Times New Roman" w:cs="Times New Roman"/>
          <w:color w:val="000000"/>
          <w:sz w:val="24"/>
          <w:szCs w:val="24"/>
          <w:lang w:eastAsia="lv-LV"/>
        </w:rPr>
        <w:t>2017.gada</w:t>
      </w:r>
      <w:r w:rsidR="00A62844" w:rsidRPr="00A62844">
        <w:rPr>
          <w:rFonts w:ascii="Times New Roman" w:eastAsia="Calibri" w:hAnsi="Times New Roman" w:cs="Times New Roman"/>
          <w:color w:val="000000"/>
          <w:sz w:val="24"/>
          <w:szCs w:val="24"/>
          <w:lang w:eastAsia="lv-LV"/>
        </w:rPr>
        <w:t xml:space="preserve"> pirmajā pusgadā degvielas cenu kāpums būs augsts un tuvu </w:t>
      </w:r>
      <w:r w:rsidR="006968E9">
        <w:rPr>
          <w:rFonts w:ascii="Times New Roman" w:eastAsia="Calibri" w:hAnsi="Times New Roman" w:cs="Times New Roman"/>
          <w:color w:val="000000"/>
          <w:sz w:val="24"/>
          <w:szCs w:val="24"/>
          <w:lang w:eastAsia="lv-LV"/>
        </w:rPr>
        <w:t>šā gada</w:t>
      </w:r>
      <w:r w:rsidR="00A62844" w:rsidRPr="00A62844">
        <w:rPr>
          <w:rFonts w:ascii="Times New Roman" w:eastAsia="Calibri" w:hAnsi="Times New Roman" w:cs="Times New Roman"/>
          <w:color w:val="000000"/>
          <w:sz w:val="24"/>
          <w:szCs w:val="24"/>
          <w:lang w:eastAsia="lv-LV"/>
        </w:rPr>
        <w:t xml:space="preserve"> pirmo divu mēnešu pieaugumam. Ja degvielas cenas samērā ātri reaģē uz naftas cenu izmaiņām, tad ietekme uz gāzes un siltumenerģijas tarifiem atspoguļojas ar laika nobīdi. Ņemot vērā, ka gāzes tarifi tiek pārskatīti divas reizes gadā un </w:t>
      </w:r>
      <w:r w:rsidR="00A62844" w:rsidRPr="00A62844">
        <w:rPr>
          <w:rFonts w:ascii="Times New Roman" w:eastAsia="Calibri" w:hAnsi="Times New Roman" w:cs="Times New Roman"/>
          <w:color w:val="000000"/>
          <w:sz w:val="24"/>
          <w:szCs w:val="23"/>
          <w:lang w:eastAsia="lv-LV"/>
        </w:rPr>
        <w:t xml:space="preserve">ir atkarīgi no naftas produktu (mazuta un dīzeļdegvielas) cenām pasaules biržās, kas tiek rēķināta atbilstoši iepriekšējo 9 mēnešu mazuta un dīzeļdegvielas kotācijai, visu </w:t>
      </w:r>
      <w:r w:rsidR="006968E9">
        <w:rPr>
          <w:rFonts w:ascii="Times New Roman" w:eastAsia="Calibri" w:hAnsi="Times New Roman" w:cs="Times New Roman"/>
          <w:color w:val="000000"/>
          <w:sz w:val="24"/>
          <w:szCs w:val="23"/>
          <w:lang w:eastAsia="lv-LV"/>
        </w:rPr>
        <w:t>2017.gada</w:t>
      </w:r>
      <w:r w:rsidR="00A62844" w:rsidRPr="00A62844">
        <w:rPr>
          <w:rFonts w:ascii="Times New Roman" w:eastAsia="Calibri" w:hAnsi="Times New Roman" w:cs="Times New Roman"/>
          <w:color w:val="000000"/>
          <w:sz w:val="24"/>
          <w:szCs w:val="23"/>
          <w:lang w:eastAsia="lv-LV"/>
        </w:rPr>
        <w:t xml:space="preserve"> pirmo pusi gāze joprojām būs </w:t>
      </w:r>
      <w:r w:rsidR="00A62844" w:rsidRPr="00A62844">
        <w:rPr>
          <w:rFonts w:ascii="Times New Roman" w:eastAsia="Calibri" w:hAnsi="Times New Roman" w:cs="Times New Roman"/>
          <w:color w:val="000000"/>
          <w:sz w:val="24"/>
          <w:szCs w:val="24"/>
          <w:lang w:eastAsia="lv-LV"/>
        </w:rPr>
        <w:t xml:space="preserve">lētāka, salīdzinot ar iepriekšējo gadu. Savukārt, siltumenerģijas tarifi ir saistīti ar gāzes cenu, kuru piemēro rūpnieciskajiem klientiem, un tarifi tiek pārskatīti katru mēnesi. Tādējādi sagaidāms, ka siltumenerģijas tarifs palielināsies, sākot ar </w:t>
      </w:r>
      <w:r w:rsidR="006968E9">
        <w:rPr>
          <w:rFonts w:ascii="Times New Roman" w:eastAsia="Calibri" w:hAnsi="Times New Roman" w:cs="Times New Roman"/>
          <w:color w:val="000000"/>
          <w:sz w:val="24"/>
          <w:szCs w:val="24"/>
          <w:lang w:eastAsia="lv-LV"/>
        </w:rPr>
        <w:t>2017.gada pavasari.</w:t>
      </w:r>
    </w:p>
    <w:p w14:paraId="37B1FCE1" w14:textId="2C5904CE" w:rsidR="00A62844" w:rsidRPr="00A62844" w:rsidRDefault="00A62844" w:rsidP="00A62844">
      <w:pPr>
        <w:autoSpaceDE w:val="0"/>
        <w:autoSpaceDN w:val="0"/>
        <w:adjustRightInd w:val="0"/>
        <w:spacing w:after="0" w:line="240" w:lineRule="auto"/>
        <w:ind w:firstLine="720"/>
        <w:jc w:val="both"/>
        <w:rPr>
          <w:rFonts w:ascii="Times New Roman" w:eastAsia="Calibri" w:hAnsi="Times New Roman" w:cs="Times New Roman"/>
          <w:color w:val="000000"/>
          <w:sz w:val="24"/>
          <w:szCs w:val="24"/>
          <w:lang w:eastAsia="lv-LV"/>
        </w:rPr>
      </w:pPr>
      <w:r w:rsidRPr="00A62844">
        <w:rPr>
          <w:rFonts w:ascii="Times New Roman" w:eastAsia="Calibri" w:hAnsi="Times New Roman" w:cs="Times New Roman"/>
          <w:color w:val="000000"/>
          <w:sz w:val="24"/>
          <w:szCs w:val="24"/>
          <w:lang w:eastAsia="lv-LV"/>
        </w:rPr>
        <w:t>Tomēr galveno patēriņa</w:t>
      </w:r>
      <w:r w:rsidR="006968E9">
        <w:rPr>
          <w:rFonts w:ascii="Times New Roman" w:eastAsia="Calibri" w:hAnsi="Times New Roman" w:cs="Times New Roman"/>
          <w:color w:val="000000"/>
          <w:sz w:val="24"/>
          <w:szCs w:val="24"/>
          <w:lang w:eastAsia="lv-LV"/>
        </w:rPr>
        <w:t xml:space="preserve"> cenu paaugstinošo efektu 2017.</w:t>
      </w:r>
      <w:r w:rsidRPr="00A62844">
        <w:rPr>
          <w:rFonts w:ascii="Times New Roman" w:eastAsia="Calibri" w:hAnsi="Times New Roman" w:cs="Times New Roman"/>
          <w:color w:val="000000"/>
          <w:sz w:val="24"/>
          <w:szCs w:val="24"/>
          <w:lang w:eastAsia="lv-LV"/>
        </w:rPr>
        <w:t xml:space="preserve">gadā radīs pārtikas cenu kāpums. Ņemot vērā, ka tieši pārtikas preces veido lielāko daļu no mājsaimniecību patēriņa groza, tiem ir būtiska ietekme uz vidējām patēriņa cenu izmaiņām. </w:t>
      </w:r>
      <w:r w:rsidR="006968E9">
        <w:rPr>
          <w:rFonts w:ascii="Times New Roman" w:eastAsia="Calibri" w:hAnsi="Times New Roman" w:cs="Times New Roman"/>
          <w:color w:val="000000"/>
          <w:sz w:val="24"/>
          <w:szCs w:val="24"/>
          <w:lang w:eastAsia="lv-LV"/>
        </w:rPr>
        <w:t>2017.gada</w:t>
      </w:r>
      <w:r w:rsidRPr="00A62844">
        <w:rPr>
          <w:rFonts w:ascii="Times New Roman" w:eastAsia="Calibri" w:hAnsi="Times New Roman" w:cs="Times New Roman"/>
          <w:color w:val="000000"/>
          <w:sz w:val="24"/>
          <w:szCs w:val="24"/>
          <w:lang w:eastAsia="lv-LV"/>
        </w:rPr>
        <w:t xml:space="preserve"> pirmajos divos </w:t>
      </w:r>
      <w:r w:rsidRPr="00A62844">
        <w:rPr>
          <w:rFonts w:ascii="Times New Roman" w:eastAsia="Calibri" w:hAnsi="Times New Roman" w:cs="Times New Roman"/>
          <w:color w:val="000000"/>
          <w:sz w:val="24"/>
          <w:szCs w:val="24"/>
          <w:lang w:eastAsia="lv-LV"/>
        </w:rPr>
        <w:lastRenderedPageBreak/>
        <w:t>mēnešos pārtikas cenas vidēji bij</w:t>
      </w:r>
      <w:r w:rsidR="006968E9">
        <w:rPr>
          <w:rFonts w:ascii="Times New Roman" w:eastAsia="Calibri" w:hAnsi="Times New Roman" w:cs="Times New Roman"/>
          <w:color w:val="000000"/>
          <w:sz w:val="24"/>
          <w:szCs w:val="24"/>
          <w:lang w:eastAsia="lv-LV"/>
        </w:rPr>
        <w:t>a par 6,6% augstākas nekā 2015.</w:t>
      </w:r>
      <w:r w:rsidRPr="00A62844">
        <w:rPr>
          <w:rFonts w:ascii="Times New Roman" w:eastAsia="Calibri" w:hAnsi="Times New Roman" w:cs="Times New Roman"/>
          <w:color w:val="000000"/>
          <w:sz w:val="24"/>
          <w:szCs w:val="24"/>
          <w:lang w:eastAsia="lv-LV"/>
        </w:rPr>
        <w:t xml:space="preserve">gada attiecīgajā periodā, tādējādi izskaidrojot gandrīz pusi no kopējā patēriņa cenu pieauguma 2017.gada sākumā. Pārtikas cenu kāpums tuvu 6% varētu saglabāties visu </w:t>
      </w:r>
      <w:r w:rsidR="006968E9">
        <w:rPr>
          <w:rFonts w:ascii="Times New Roman" w:eastAsia="Calibri" w:hAnsi="Times New Roman" w:cs="Times New Roman"/>
          <w:color w:val="000000"/>
          <w:sz w:val="24"/>
          <w:szCs w:val="24"/>
          <w:lang w:eastAsia="lv-LV"/>
        </w:rPr>
        <w:t>2017.gada</w:t>
      </w:r>
      <w:r w:rsidRPr="00A62844">
        <w:rPr>
          <w:rFonts w:ascii="Times New Roman" w:eastAsia="Calibri" w:hAnsi="Times New Roman" w:cs="Times New Roman"/>
          <w:color w:val="000000"/>
          <w:sz w:val="24"/>
          <w:szCs w:val="24"/>
          <w:lang w:eastAsia="lv-LV"/>
        </w:rPr>
        <w:t xml:space="preserve"> pirmo pusgadu. Taču nav pamata uzskatīt, ka šāds pārtikas cenu kāpums saglabāsies līdz gada beigām. Pārtikas cenas sāka s</w:t>
      </w:r>
      <w:r w:rsidR="006968E9">
        <w:rPr>
          <w:rFonts w:ascii="Times New Roman" w:eastAsia="Calibri" w:hAnsi="Times New Roman" w:cs="Times New Roman"/>
          <w:color w:val="000000"/>
          <w:sz w:val="24"/>
          <w:szCs w:val="24"/>
          <w:lang w:eastAsia="lv-LV"/>
        </w:rPr>
        <w:t>trauji palielināties kopš 2016.</w:t>
      </w:r>
      <w:r w:rsidRPr="00A62844">
        <w:rPr>
          <w:rFonts w:ascii="Times New Roman" w:eastAsia="Calibri" w:hAnsi="Times New Roman" w:cs="Times New Roman"/>
          <w:color w:val="000000"/>
          <w:sz w:val="24"/>
          <w:szCs w:val="24"/>
          <w:lang w:eastAsia="lv-LV"/>
        </w:rPr>
        <w:t xml:space="preserve">gada septembra, kad gada pieaugums sasniedza 2%. Turpmākajos mēnešos pārtikas cenu gada kāpums tikai palielinājās un decembrī veidoja jau 5%. Tādējādi, ņemot vērā bāzes efektus, pārtikas cenu pieaugums </w:t>
      </w:r>
      <w:r w:rsidR="006968E9">
        <w:rPr>
          <w:rFonts w:ascii="Times New Roman" w:eastAsia="Calibri" w:hAnsi="Times New Roman" w:cs="Times New Roman"/>
          <w:color w:val="000000"/>
          <w:sz w:val="24"/>
          <w:szCs w:val="24"/>
          <w:lang w:eastAsia="lv-LV"/>
        </w:rPr>
        <w:t>šī gada</w:t>
      </w:r>
      <w:r w:rsidRPr="00A62844">
        <w:rPr>
          <w:rFonts w:ascii="Times New Roman" w:eastAsia="Calibri" w:hAnsi="Times New Roman" w:cs="Times New Roman"/>
          <w:color w:val="000000"/>
          <w:sz w:val="24"/>
          <w:szCs w:val="24"/>
          <w:lang w:eastAsia="lv-LV"/>
        </w:rPr>
        <w:t xml:space="preserve"> otrajā pusgadā pi</w:t>
      </w:r>
      <w:r w:rsidR="006968E9">
        <w:rPr>
          <w:rFonts w:ascii="Times New Roman" w:eastAsia="Calibri" w:hAnsi="Times New Roman" w:cs="Times New Roman"/>
          <w:color w:val="000000"/>
          <w:sz w:val="24"/>
          <w:szCs w:val="24"/>
          <w:lang w:eastAsia="lv-LV"/>
        </w:rPr>
        <w:t>ebremzēsies.</w:t>
      </w:r>
    </w:p>
    <w:p w14:paraId="423F18C8" w14:textId="77777777" w:rsidR="00A62844" w:rsidRPr="00A62844" w:rsidRDefault="00A62844" w:rsidP="00A62844">
      <w:pPr>
        <w:autoSpaceDE w:val="0"/>
        <w:autoSpaceDN w:val="0"/>
        <w:adjustRightInd w:val="0"/>
        <w:spacing w:after="0" w:line="240" w:lineRule="auto"/>
        <w:ind w:firstLine="720"/>
        <w:jc w:val="both"/>
        <w:rPr>
          <w:rFonts w:ascii="Times New Roman" w:eastAsia="Calibri" w:hAnsi="Times New Roman" w:cs="Times New Roman"/>
          <w:color w:val="000000"/>
          <w:sz w:val="24"/>
          <w:szCs w:val="24"/>
          <w:lang w:eastAsia="lv-LV"/>
        </w:rPr>
      </w:pPr>
      <w:r w:rsidRPr="00A62844">
        <w:rPr>
          <w:rFonts w:ascii="Times New Roman" w:eastAsia="Calibri" w:hAnsi="Times New Roman" w:cs="Times New Roman"/>
          <w:color w:val="000000"/>
          <w:sz w:val="24"/>
          <w:szCs w:val="24"/>
          <w:lang w:eastAsia="lv-LV"/>
        </w:rPr>
        <w:t>Kopš pagājušā gada vidus pakalpojumu cenu kāpums ir nostabilizējies un svārstās ap 3%. Ņemot vērā, ka situācijā darba tirgū saglabājas stabila, tas kopā ar stabilu darba samaksas kāpumu tuvu 5%, norāda uz to, ka līdzvērtīgs pakalpojumu cenu pieaugums saglabāsies arī turpmāk.</w:t>
      </w:r>
    </w:p>
    <w:p w14:paraId="09A690B8" w14:textId="0C304BDC"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3"/>
          <w:lang w:eastAsia="lv-LV"/>
        </w:rPr>
        <w:t xml:space="preserve">Atbilstoši FM prognozēm 2017.gadā patēriņa cenas vidēji palielināsies </w:t>
      </w:r>
      <w:r w:rsidR="006968E9">
        <w:rPr>
          <w:rFonts w:ascii="Times New Roman" w:eastAsia="Times New Roman" w:hAnsi="Times New Roman" w:cs="Times New Roman"/>
          <w:color w:val="000000"/>
          <w:sz w:val="24"/>
          <w:szCs w:val="23"/>
          <w:lang w:eastAsia="lv-LV"/>
        </w:rPr>
        <w:t>par 2,3%, ko galvenokārt ietekmē</w:t>
      </w:r>
      <w:r w:rsidRPr="00A62844">
        <w:rPr>
          <w:rFonts w:ascii="Times New Roman" w:eastAsia="Times New Roman" w:hAnsi="Times New Roman" w:cs="Times New Roman"/>
          <w:color w:val="000000"/>
          <w:sz w:val="24"/>
          <w:szCs w:val="23"/>
          <w:lang w:eastAsia="lv-LV"/>
        </w:rPr>
        <w:t xml:space="preserve">s degvielas un pārtikas preču kāpums. Savukārt laika periodā no </w:t>
      </w:r>
      <w:r w:rsidRPr="00A62844">
        <w:rPr>
          <w:rFonts w:ascii="Times New Roman" w:eastAsia="Times New Roman" w:hAnsi="Times New Roman" w:cs="Times New Roman"/>
          <w:color w:val="000000"/>
          <w:sz w:val="24"/>
          <w:szCs w:val="24"/>
          <w:lang w:eastAsia="lv-LV"/>
        </w:rPr>
        <w:t>2018.</w:t>
      </w:r>
      <w:r w:rsidR="006968E9">
        <w:rPr>
          <w:rFonts w:ascii="Times New Roman" w:eastAsia="Times New Roman" w:hAnsi="Times New Roman" w:cs="Times New Roman"/>
          <w:color w:val="000000"/>
          <w:sz w:val="24"/>
          <w:szCs w:val="24"/>
          <w:lang w:eastAsia="lv-LV"/>
        </w:rPr>
        <w:t xml:space="preserve"> </w:t>
      </w:r>
      <w:r w:rsidRPr="00A62844">
        <w:rPr>
          <w:rFonts w:ascii="Times New Roman" w:eastAsia="Times New Roman" w:hAnsi="Times New Roman" w:cs="Times New Roman"/>
          <w:color w:val="000000"/>
          <w:sz w:val="24"/>
          <w:szCs w:val="24"/>
          <w:lang w:eastAsia="lv-LV"/>
        </w:rPr>
        <w:t>līdz 2020.gadam gaidāma cenu paaugstināšanās par 2,0% ik gadu, to ietekmēs dažādi pieprasījuma faktori. Sag</w:t>
      </w:r>
      <w:r w:rsidR="006968E9">
        <w:rPr>
          <w:rFonts w:ascii="Times New Roman" w:eastAsia="Times New Roman" w:hAnsi="Times New Roman" w:cs="Times New Roman"/>
          <w:color w:val="000000"/>
          <w:sz w:val="24"/>
          <w:szCs w:val="24"/>
          <w:lang w:eastAsia="lv-LV"/>
        </w:rPr>
        <w:t>aidāms, ka situācija darba tirgū</w:t>
      </w:r>
      <w:r w:rsidRPr="00A62844">
        <w:rPr>
          <w:rFonts w:ascii="Times New Roman" w:eastAsia="Times New Roman" w:hAnsi="Times New Roman" w:cs="Times New Roman"/>
          <w:color w:val="000000"/>
          <w:sz w:val="24"/>
          <w:szCs w:val="24"/>
          <w:lang w:eastAsia="lv-LV"/>
        </w:rPr>
        <w:t xml:space="preserve"> pakāpeniski turpinās uzlaboties un darba samaksa</w:t>
      </w:r>
      <w:r w:rsidR="006968E9">
        <w:rPr>
          <w:rFonts w:ascii="Times New Roman" w:eastAsia="Times New Roman" w:hAnsi="Times New Roman" w:cs="Times New Roman"/>
          <w:color w:val="000000"/>
          <w:sz w:val="24"/>
          <w:szCs w:val="24"/>
          <w:lang w:eastAsia="lv-LV"/>
        </w:rPr>
        <w:t>s kāpums būs tuvu 5% līdz 2020.</w:t>
      </w:r>
      <w:r w:rsidRPr="00A62844">
        <w:rPr>
          <w:rFonts w:ascii="Times New Roman" w:eastAsia="Times New Roman" w:hAnsi="Times New Roman" w:cs="Times New Roman"/>
          <w:color w:val="000000"/>
          <w:sz w:val="24"/>
          <w:szCs w:val="24"/>
          <w:lang w:eastAsia="lv-LV"/>
        </w:rPr>
        <w:t>gadam, tādējādi stimulējot privāto patēriņu un mērenu cenu kāpumu. Vienlaikus patēriņa cenu izmaiņas vidējā termiņā būs atkarīgas arī no naftas un pārtikas cenu svārstībām pasaules tirgos.</w:t>
      </w:r>
    </w:p>
    <w:p w14:paraId="560A9113"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6E6C6283" w14:textId="77777777" w:rsidR="00A62844" w:rsidRPr="00A62844" w:rsidRDefault="00A62844" w:rsidP="00530D80">
      <w:pPr>
        <w:spacing w:after="60" w:line="240" w:lineRule="auto"/>
        <w:ind w:left="567" w:firstLine="153"/>
        <w:jc w:val="both"/>
        <w:outlineLvl w:val="3"/>
        <w:rPr>
          <w:rFonts w:ascii="Times New Roman" w:eastAsia="Times New Roman" w:hAnsi="Times New Roman" w:cs="Times New Roman"/>
          <w:b/>
          <w:sz w:val="24"/>
          <w:szCs w:val="24"/>
        </w:rPr>
      </w:pPr>
      <w:r w:rsidRPr="00A62844">
        <w:rPr>
          <w:rFonts w:ascii="Times New Roman" w:eastAsia="Times New Roman" w:hAnsi="Times New Roman" w:cs="Times New Roman"/>
          <w:b/>
          <w:sz w:val="24"/>
          <w:szCs w:val="24"/>
        </w:rPr>
        <w:t>Darba tirgus</w:t>
      </w:r>
    </w:p>
    <w:p w14:paraId="4F0C28E9" w14:textId="4E4FBC08"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Līdz ar ekonomiskās izaugsmes palēnināšanos uzlabojumi darba tirgū 2016.gadā kļuva lēnāki, tomēr bezdarba līmenis turpināja pazemināties, savukārt tautsaimniecībā nodarbināto iedzīvotāju skaits bija nedaud</w:t>
      </w:r>
      <w:r w:rsidR="00890A27">
        <w:rPr>
          <w:rFonts w:ascii="Times New Roman" w:eastAsia="Times New Roman" w:hAnsi="Times New Roman" w:cs="Times New Roman"/>
          <w:color w:val="000000"/>
          <w:sz w:val="24"/>
          <w:szCs w:val="24"/>
          <w:lang w:eastAsia="lv-LV"/>
        </w:rPr>
        <w:t>z mazāks nekā iepriekšējā gadā.</w:t>
      </w:r>
    </w:p>
    <w:p w14:paraId="208A4D16"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Bezdarba līmenis pēc darbaspēka </w:t>
      </w:r>
      <w:proofErr w:type="spellStart"/>
      <w:r w:rsidRPr="00A62844">
        <w:rPr>
          <w:rFonts w:ascii="Times New Roman" w:eastAsia="Times New Roman" w:hAnsi="Times New Roman" w:cs="Times New Roman"/>
          <w:color w:val="000000"/>
          <w:sz w:val="24"/>
          <w:szCs w:val="24"/>
          <w:lang w:eastAsia="lv-LV"/>
        </w:rPr>
        <w:t>apsekojuma</w:t>
      </w:r>
      <w:proofErr w:type="spellEnd"/>
      <w:r w:rsidRPr="00A62844">
        <w:rPr>
          <w:rFonts w:ascii="Times New Roman" w:eastAsia="Times New Roman" w:hAnsi="Times New Roman" w:cs="Times New Roman"/>
          <w:color w:val="000000"/>
          <w:sz w:val="24"/>
          <w:szCs w:val="24"/>
          <w:lang w:eastAsia="lv-LV"/>
        </w:rPr>
        <w:t xml:space="preserve"> datiem, 2016.gadā samazinājies līdz 9,6% no ekonomiski aktīvajiem iedzīvotājiem, kas ir par 0,3 procentpunktiem mazāk nekā 2015.gadā. Bezdarba līmeņa samazināšanos noteicis ekonomiski aktīvo iedzīvotāju skaita kritums, bezdarbnieku skaitam samazinoties straujāk nekā nodarbināto iedzīvotāju skaitam. Bezdarbnieku skaits 2016.gadā vidēji bija par 2,9% mazāks nekā 2015.gadā un veidoja 95,3 tūkstošus, bet tautsaimniecībā nodarbināto iedzīvotāju skaits pēc darbaspēka </w:t>
      </w:r>
      <w:proofErr w:type="spellStart"/>
      <w:r w:rsidRPr="00A62844">
        <w:rPr>
          <w:rFonts w:ascii="Times New Roman" w:eastAsia="Times New Roman" w:hAnsi="Times New Roman" w:cs="Times New Roman"/>
          <w:color w:val="000000"/>
          <w:sz w:val="24"/>
          <w:szCs w:val="24"/>
          <w:lang w:eastAsia="lv-LV"/>
        </w:rPr>
        <w:t>apsekojuma</w:t>
      </w:r>
      <w:proofErr w:type="spellEnd"/>
      <w:r w:rsidRPr="00A62844">
        <w:rPr>
          <w:rFonts w:ascii="Times New Roman" w:eastAsia="Times New Roman" w:hAnsi="Times New Roman" w:cs="Times New Roman"/>
          <w:color w:val="000000"/>
          <w:sz w:val="24"/>
          <w:szCs w:val="24"/>
          <w:lang w:eastAsia="lv-LV"/>
        </w:rPr>
        <w:t xml:space="preserve"> bija samazinājies par 0,3% līdz 893,3 tūkstošiem.</w:t>
      </w:r>
    </w:p>
    <w:p w14:paraId="74BC01AE"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Darbspējas vecuma iedzīvotāju (15-74 gadi) skaitam pēdējos gados samazinoties aptuveni par 1,5% gadā, arvien palielinās iedzīvotāju ekonomiskās aktivitātes līmenis, ekonomiski aktīvajiem iedzīvotājiem 2016.gadā sasniedzot jau 68,2% no visiem iedzīvotājiem 15-74 gadu vecumā. 2014.gadā šis rādītājs bija 66,3% un 2015.gadā – 67,5%, un ekonomiskās aktivitātes pieaugums gaidāms arī turpmākajos gados, 2020.gadā sasniedzot 69,9%. Ekonomiskās aktivitātes pieaugums vienlaikus liecina gan par darbaspēka pieprasījuma pieaugumu un situācijas tālāku uzlabošanos darba tirgū, kad piedāvātās darba vietas un atalgojuma līmenis ir pietiekami stimulējošs, lai iepriekš ekonomiski neaktīvie cilvēki atgrieztos darba tirgū, gan parāda izmaiņas darbspējas vecuma iedzīvotāju vecuma struktūrā, kur samazinās ekonomiski neaktīvāko jauniešu īpatsvars.</w:t>
      </w:r>
    </w:p>
    <w:p w14:paraId="6B99755B" w14:textId="77777777" w:rsidR="00A62844" w:rsidRPr="00A62844" w:rsidRDefault="00A62844" w:rsidP="00A62844">
      <w:pPr>
        <w:autoSpaceDE w:val="0"/>
        <w:autoSpaceDN w:val="0"/>
        <w:adjustRightInd w:val="0"/>
        <w:spacing w:after="0" w:line="240" w:lineRule="auto"/>
        <w:jc w:val="center"/>
        <w:rPr>
          <w:rFonts w:ascii="Times New Roman" w:eastAsia="Times New Roman" w:hAnsi="Times New Roman" w:cs="Times New Roman"/>
          <w:noProof/>
          <w:color w:val="000000"/>
          <w:sz w:val="24"/>
          <w:szCs w:val="24"/>
          <w:highlight w:val="yellow"/>
          <w:lang w:eastAsia="lv-LV"/>
        </w:rPr>
      </w:pPr>
      <w:r w:rsidRPr="00A62844">
        <w:rPr>
          <w:rFonts w:ascii="Times New Roman" w:eastAsia="Times New Roman" w:hAnsi="Times New Roman" w:cs="Times New Roman"/>
          <w:noProof/>
          <w:color w:val="000000"/>
          <w:sz w:val="24"/>
          <w:szCs w:val="24"/>
          <w:lang w:eastAsia="lv-LV"/>
        </w:rPr>
        <w:lastRenderedPageBreak/>
        <w:drawing>
          <wp:inline distT="0" distB="0" distL="0" distR="0" wp14:anchorId="04DD23C8" wp14:editId="5E9FAD88">
            <wp:extent cx="5813425" cy="2238233"/>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381BB7" w14:textId="77777777" w:rsidR="00A62844" w:rsidRPr="00A62844" w:rsidRDefault="00A62844" w:rsidP="00530D80">
      <w:pPr>
        <w:autoSpaceDE w:val="0"/>
        <w:autoSpaceDN w:val="0"/>
        <w:adjustRightInd w:val="0"/>
        <w:spacing w:before="60" w:after="120" w:line="240" w:lineRule="auto"/>
        <w:jc w:val="center"/>
        <w:rPr>
          <w:rFonts w:ascii="Times New Roman" w:eastAsia="Times New Roman" w:hAnsi="Times New Roman" w:cs="Times New Roman"/>
          <w:b/>
          <w:color w:val="000000"/>
          <w:sz w:val="24"/>
          <w:szCs w:val="24"/>
          <w:lang w:eastAsia="lv-LV"/>
        </w:rPr>
      </w:pPr>
      <w:r w:rsidRPr="00A62844">
        <w:rPr>
          <w:rFonts w:ascii="Times New Roman" w:eastAsia="Times New Roman" w:hAnsi="Times New Roman" w:cs="Times New Roman"/>
          <w:b/>
          <w:noProof/>
          <w:color w:val="000000"/>
          <w:sz w:val="24"/>
          <w:szCs w:val="24"/>
          <w:lang w:eastAsia="lv-LV"/>
        </w:rPr>
        <w:t>2.4.attēls.</w:t>
      </w:r>
      <w:r w:rsidRPr="00A62844">
        <w:rPr>
          <w:rFonts w:ascii="Times New Roman" w:eastAsia="Times New Roman" w:hAnsi="Times New Roman" w:cs="Times New Roman"/>
          <w:b/>
          <w:color w:val="000000"/>
          <w:sz w:val="24"/>
          <w:szCs w:val="24"/>
          <w:lang w:eastAsia="lv-LV"/>
        </w:rPr>
        <w:t xml:space="preserve"> Nodarbinātība un bezdarbs 2008.–2020.gadā</w:t>
      </w:r>
    </w:p>
    <w:p w14:paraId="788C3ED4" w14:textId="3D65CE2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heme="minorHAnsi" w:hAnsi="Times New Roman" w:cs="Times New Roman"/>
          <w:color w:val="000000"/>
          <w:sz w:val="24"/>
          <w:szCs w:val="24"/>
          <w:lang w:eastAsia="lv-LV"/>
        </w:rPr>
        <w:t xml:space="preserve">Līdzīgas tendences kā pagājušajā gadā darba tirgū saglabāsies arī vidējā termiņā. Nodarbinātības pieaugumu turpinās ierobežot darbspējas vecuma iedzīvotāju skaita samazināšanās. Kopumā laikā kopš ekonomiskās krīzes augstākā punkta 2010.gadā tautsaimniecībā nodarbināto iedzīvotāju skaits ir palielinājies par 42,6 tūkstošiem jeb 5%, bet joprojām ir būtiski – par 164,1 tūkstoti </w:t>
      </w:r>
      <w:r w:rsidR="0057735F">
        <w:rPr>
          <w:rFonts w:ascii="Times New Roman" w:eastAsiaTheme="minorHAnsi" w:hAnsi="Times New Roman" w:cs="Times New Roman"/>
          <w:color w:val="000000"/>
          <w:sz w:val="24"/>
          <w:szCs w:val="24"/>
          <w:lang w:eastAsia="lv-LV"/>
        </w:rPr>
        <w:t>–</w:t>
      </w:r>
      <w:r w:rsidRPr="00A62844">
        <w:rPr>
          <w:rFonts w:ascii="Times New Roman" w:eastAsiaTheme="minorHAnsi" w:hAnsi="Times New Roman" w:cs="Times New Roman"/>
          <w:color w:val="000000"/>
          <w:sz w:val="24"/>
          <w:szCs w:val="24"/>
          <w:lang w:eastAsia="lv-LV"/>
        </w:rPr>
        <w:t xml:space="preserve"> zemāks par 2007.gadā sasniegto līmeni, un arī nākamajos gados straujš nodarbinātības pieaugums nav gaidāms. Pēc </w:t>
      </w:r>
      <w:r w:rsidR="0057735F">
        <w:rPr>
          <w:rFonts w:ascii="Times New Roman" w:eastAsiaTheme="minorHAnsi" w:hAnsi="Times New Roman" w:cs="Times New Roman"/>
          <w:color w:val="000000"/>
          <w:sz w:val="24"/>
          <w:szCs w:val="24"/>
          <w:lang w:eastAsia="lv-LV"/>
        </w:rPr>
        <w:t>FM</w:t>
      </w:r>
      <w:r w:rsidRPr="00A62844">
        <w:rPr>
          <w:rFonts w:ascii="Times New Roman" w:eastAsiaTheme="minorHAnsi" w:hAnsi="Times New Roman" w:cs="Times New Roman"/>
          <w:color w:val="000000"/>
          <w:sz w:val="24"/>
          <w:szCs w:val="24"/>
          <w:lang w:eastAsia="lv-LV"/>
        </w:rPr>
        <w:t xml:space="preserve"> prognozēm, 2017.gadā tautsaimniecībā nodarbināto iedzīvotāju skaits palielināsies par 0,2% līdz 895 tūkstošiem. Nelielam pieaugumam saglabājoties arī nākamajos gados, 2020.gadā nodarbināto skaits būs palielinājies līdz 897 tūkstošiem. Zemos nodarbinātības pieauguma tempus turpinās noteikt demogrāfiskā situācija un </w:t>
      </w:r>
      <w:r w:rsidRPr="00A62844">
        <w:rPr>
          <w:rFonts w:ascii="Times New Roman" w:eastAsia="Times New Roman" w:hAnsi="Times New Roman" w:cs="Times New Roman"/>
          <w:color w:val="000000"/>
          <w:sz w:val="24"/>
          <w:szCs w:val="24"/>
          <w:lang w:eastAsia="lv-LV"/>
        </w:rPr>
        <w:t>attiecīgas kvalifikācijas vai atalgojuma līmeņa darbinieku trūkums Latvijas darba tirgū.</w:t>
      </w:r>
    </w:p>
    <w:p w14:paraId="375334E4" w14:textId="58D5934B" w:rsidR="00A62844" w:rsidRPr="00A62844" w:rsidRDefault="00A62844" w:rsidP="00530D80">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Savukārt bezdarba līmenis vidējā termiņā turpinās pakāpeniski samazināties, ko noteiks ekonomiskās izaugsmes paātrināšanās un ietekmēs arī iedzīvotāju skaita samazināšanās 15-74 gadu vecuma grupā. Tomēr ekonomiskās izaugsmes un demogrāfisko faktoru ietekmē vienlaikus turpināsies arī iedzīvotāju ekonomiskās aktivitātes pieaugums, kā rezultātā bezdarba līmeņa samazināšanās kļūs arvien lēnāka, no 9,6% 2016.gadā noslīdot līdz 8,2% 2020.gadā.</w:t>
      </w:r>
    </w:p>
    <w:p w14:paraId="0E20DBA2" w14:textId="148089A1" w:rsidR="00A62844" w:rsidRPr="00A62844" w:rsidRDefault="007515BC" w:rsidP="007515BC">
      <w:pPr>
        <w:autoSpaceDE w:val="0"/>
        <w:autoSpaceDN w:val="0"/>
        <w:adjustRightInd w:val="0"/>
        <w:spacing w:after="0" w:line="240" w:lineRule="auto"/>
        <w:ind w:left="-142"/>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noProof/>
          <w:color w:val="000000"/>
          <w:sz w:val="24"/>
          <w:szCs w:val="24"/>
          <w:lang w:eastAsia="lv-LV"/>
        </w:rPr>
        <w:drawing>
          <wp:inline distT="0" distB="0" distL="0" distR="0" wp14:anchorId="02638C14" wp14:editId="10D2775A">
            <wp:extent cx="5924550" cy="233235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96904C" w14:textId="357DD940" w:rsidR="00A62844" w:rsidRPr="00A62844" w:rsidRDefault="008238F4" w:rsidP="00530D80">
      <w:pPr>
        <w:autoSpaceDE w:val="0"/>
        <w:autoSpaceDN w:val="0"/>
        <w:adjustRightInd w:val="0"/>
        <w:spacing w:before="60" w:after="120" w:line="240" w:lineRule="auto"/>
        <w:jc w:val="center"/>
        <w:rPr>
          <w:rFonts w:ascii="Times New Roman" w:eastAsia="Times New Roman" w:hAnsi="Times New Roman" w:cs="Times New Roman"/>
          <w:b/>
          <w:noProof/>
          <w:color w:val="000000"/>
          <w:sz w:val="24"/>
          <w:szCs w:val="24"/>
          <w:lang w:eastAsia="lv-LV"/>
        </w:rPr>
      </w:pPr>
      <w:r>
        <w:rPr>
          <w:rFonts w:ascii="Times New Roman" w:eastAsia="Times New Roman" w:hAnsi="Times New Roman" w:cs="Times New Roman"/>
          <w:b/>
          <w:noProof/>
          <w:color w:val="000000"/>
          <w:sz w:val="24"/>
          <w:szCs w:val="24"/>
          <w:lang w:eastAsia="lv-LV"/>
        </w:rPr>
        <w:t>2.5.</w:t>
      </w:r>
      <w:r w:rsidR="00A62844" w:rsidRPr="00A62844">
        <w:rPr>
          <w:rFonts w:ascii="Times New Roman" w:eastAsia="Times New Roman" w:hAnsi="Times New Roman" w:cs="Times New Roman"/>
          <w:b/>
          <w:noProof/>
          <w:color w:val="000000"/>
          <w:sz w:val="24"/>
          <w:szCs w:val="24"/>
          <w:lang w:eastAsia="lv-LV"/>
        </w:rPr>
        <w:t>attēls. Produktivitātes un reālās darba samaksas izmaiņas, % pret iepriekšējo periodu</w:t>
      </w:r>
    </w:p>
    <w:p w14:paraId="342A8129"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Pēdējo gadu laikā reālās darba samaksas pieaugums ir būtiski pārsniedzis produktivitātes kāpumu. Šāda situācija bija saistīta ar tautsaimniecības straujo izaugsmi iepriekšējos gados, kas uzlaboja uzņēmumu finanšu rādītājus un nodrošināja resursus algu paaugstināšanai, kā arī ļoti zemo inflāciju, kas vēl papildus nodrošināja reālās darba samaksas </w:t>
      </w:r>
      <w:r w:rsidRPr="00A62844">
        <w:rPr>
          <w:rFonts w:ascii="Times New Roman" w:eastAsia="Times New Roman" w:hAnsi="Times New Roman" w:cs="Times New Roman"/>
          <w:color w:val="000000"/>
          <w:sz w:val="24"/>
          <w:szCs w:val="24"/>
          <w:lang w:eastAsia="lv-LV"/>
        </w:rPr>
        <w:lastRenderedPageBreak/>
        <w:t>straujāku pieaugumu, un minimālās algas būtisko paaugstinājumu 2014. un 2015.gadā. Minēto faktoru ietekmei izzūdot, sagaidāms, ka vidējā termiņā darba samaksas pieaugumu noteiks produktivitātes pieaugums, kas ir būtisks priekšnoteikums Latvijas konkurētspējas nodrošināšanai.</w:t>
      </w:r>
    </w:p>
    <w:p w14:paraId="5DA9DBA8" w14:textId="77777777" w:rsidR="00A62844" w:rsidRPr="00A62844" w:rsidRDefault="00A62844" w:rsidP="00A62844">
      <w:pPr>
        <w:autoSpaceDE w:val="0"/>
        <w:autoSpaceDN w:val="0"/>
        <w:adjustRightInd w:val="0"/>
        <w:spacing w:after="0" w:line="240" w:lineRule="auto"/>
        <w:ind w:firstLine="720"/>
        <w:jc w:val="both"/>
        <w:rPr>
          <w:rFonts w:ascii="Times New Roman" w:eastAsiaTheme="minorHAnsi" w:hAnsi="Times New Roman" w:cs="Times New Roman"/>
          <w:color w:val="000000"/>
          <w:sz w:val="24"/>
          <w:szCs w:val="24"/>
          <w:lang w:eastAsia="lv-LV"/>
        </w:rPr>
      </w:pPr>
    </w:p>
    <w:p w14:paraId="585CAD19" w14:textId="77777777" w:rsidR="00A62844" w:rsidRPr="00A62844" w:rsidRDefault="00A62844" w:rsidP="00530D80">
      <w:pPr>
        <w:spacing w:after="60" w:line="240" w:lineRule="auto"/>
        <w:ind w:left="567" w:firstLine="153"/>
        <w:jc w:val="both"/>
        <w:outlineLvl w:val="3"/>
        <w:rPr>
          <w:rFonts w:ascii="Times New Roman" w:eastAsia="Times New Roman" w:hAnsi="Times New Roman" w:cs="Times New Roman"/>
          <w:b/>
          <w:sz w:val="24"/>
          <w:szCs w:val="24"/>
        </w:rPr>
      </w:pPr>
      <w:r w:rsidRPr="00A62844">
        <w:rPr>
          <w:rFonts w:ascii="Times New Roman" w:eastAsia="Times New Roman" w:hAnsi="Times New Roman" w:cs="Times New Roman"/>
          <w:b/>
          <w:sz w:val="24"/>
          <w:szCs w:val="24"/>
        </w:rPr>
        <w:t>Ekonomikas cikliskā attīstība</w:t>
      </w:r>
    </w:p>
    <w:p w14:paraId="76697597" w14:textId="7427B38C"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Saskaņā ar FM aprēķiniem, potenciālā IKP izaugsme vidējā termiņā nepārsniegs 3%, ko pamatā noteiks kapitāla un kopējās faktoru produktivitātes pieaugums, kamēr nodarbinātības devums</w:t>
      </w:r>
      <w:r w:rsidR="0057735F">
        <w:rPr>
          <w:rFonts w:ascii="Times New Roman" w:eastAsia="Times New Roman" w:hAnsi="Times New Roman" w:cs="Times New Roman"/>
          <w:color w:val="000000"/>
          <w:sz w:val="24"/>
          <w:szCs w:val="24"/>
          <w:lang w:eastAsia="lv-LV"/>
        </w:rPr>
        <w:t xml:space="preserve"> ir tuvs nullei. 2015. un 2016.gadā</w:t>
      </w:r>
      <w:r w:rsidRPr="00A62844">
        <w:rPr>
          <w:rFonts w:ascii="Times New Roman" w:eastAsia="Times New Roman" w:hAnsi="Times New Roman" w:cs="Times New Roman"/>
          <w:color w:val="000000"/>
          <w:sz w:val="24"/>
          <w:szCs w:val="24"/>
          <w:lang w:eastAsia="lv-LV"/>
        </w:rPr>
        <w:t xml:space="preserve"> potenciālo izaugsmi bremzēja ES fondu apguves kavēšanās, ierobežojot investīciju aktivitāti. Sagaidāms, ka vidējā termiņā atjaunojoties ES fondu plūsmai, paātrināsies arī potenciālā IKP izaugsme uz kapitāla pieauguma rēķina. Savukārt, ņemot vērā to, ka darbaspēka pieejamība ir ierobežota, tad turpmākā potenciālā IKP izaugsme uz nodarbināto skaita pieauguma rēķina ir ierobežota. Tajā pašā laikā kopējā faktoru produktivitāte saglabāsies nemainīga aptuveni 2% robežās.</w:t>
      </w:r>
    </w:p>
    <w:p w14:paraId="46D11612" w14:textId="77777777" w:rsidR="00A62844" w:rsidRPr="00A62844" w:rsidRDefault="00A62844" w:rsidP="00530D80">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Atbilstoši FM novērtējumam Latvijas ekonomika attīstās tuvu potenciālajam līmenim, proti, izlaižu starpība būs tuvu nullei 2017. un 2018.gadā. Sagaidāms, ka arī turpmākajos gados ekonomikas izaugsme būs tuvu tās potenciālajam līmenim, bet ar tendenci to pārsniegt, proti, veidosies pozitīva izlaižu starpība, 2020.gadā sasniedzot 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15"/>
        <w:gridCol w:w="4148"/>
      </w:tblGrid>
      <w:tr w:rsidR="00A62844" w:rsidRPr="00A62844" w14:paraId="3FCFE757" w14:textId="77777777" w:rsidTr="00D661A9">
        <w:trPr>
          <w:jc w:val="center"/>
        </w:trPr>
        <w:tc>
          <w:tcPr>
            <w:tcW w:w="4715" w:type="dxa"/>
          </w:tcPr>
          <w:p w14:paraId="5E487FE3" w14:textId="61CE37EA" w:rsidR="00A62844" w:rsidRPr="00A62844" w:rsidRDefault="00A62844" w:rsidP="00A62844">
            <w:pPr>
              <w:autoSpaceDE w:val="0"/>
              <w:autoSpaceDN w:val="0"/>
              <w:adjustRightInd w:val="0"/>
              <w:jc w:val="both"/>
              <w:rPr>
                <w:rFonts w:eastAsia="Times New Roman"/>
                <w:sz w:val="24"/>
                <w:szCs w:val="23"/>
              </w:rPr>
            </w:pPr>
            <w:r w:rsidRPr="00A62844">
              <w:rPr>
                <w:noProof/>
                <w:color w:val="000000"/>
              </w:rPr>
              <w:fldChar w:fldCharType="begin"/>
            </w:r>
            <w:r w:rsidRPr="00A62844">
              <w:rPr>
                <w:noProof/>
                <w:color w:val="000000"/>
              </w:rPr>
              <w:instrText xml:space="preserve"> LINK Excel.Sheet.12 "\\\\fs\\tand\\TAND\\_Makro_modeli\\Makro Mod\\YModel - NEW dev (v1.4) - jauns nominiālais IKP 2016.xlsx!Apraksts![YModel - NEW dev (v1.4) - jauns nominiālais IKP 2016.xlsx]Apraksts Chart 4" "" \p </w:instrText>
            </w:r>
            <w:r w:rsidR="00D661A9">
              <w:rPr>
                <w:noProof/>
                <w:color w:val="000000"/>
              </w:rPr>
              <w:instrText xml:space="preserve"> \* MERGEFORMAT </w:instrText>
            </w:r>
            <w:r w:rsidRPr="00A62844">
              <w:rPr>
                <w:noProof/>
                <w:color w:val="000000"/>
              </w:rPr>
              <w:fldChar w:fldCharType="separate"/>
            </w:r>
            <w:r w:rsidR="00C4725E">
              <w:rPr>
                <w:rFonts w:asciiTheme="minorHAnsi" w:eastAsiaTheme="minorEastAsia" w:hAnsiTheme="minorHAnsi" w:cstheme="minorBidi"/>
                <w:noProof/>
                <w:color w:val="000000"/>
                <w:sz w:val="22"/>
                <w:szCs w:val="22"/>
                <w:lang w:eastAsia="en-US"/>
              </w:rPr>
              <w:object w:dxaOrig="4125" w:dyaOrig="4125" w14:anchorId="2CADA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25pt;height:189.35pt" o:ole="">
                  <v:imagedata r:id="rId16" o:title=""/>
                </v:shape>
              </w:object>
            </w:r>
            <w:r w:rsidRPr="00A62844">
              <w:rPr>
                <w:noProof/>
                <w:color w:val="000000"/>
              </w:rPr>
              <w:fldChar w:fldCharType="end"/>
            </w:r>
          </w:p>
        </w:tc>
        <w:tc>
          <w:tcPr>
            <w:tcW w:w="4148" w:type="dxa"/>
          </w:tcPr>
          <w:p w14:paraId="1E5F0F05" w14:textId="125963F2" w:rsidR="00A62844" w:rsidRPr="00A62844" w:rsidRDefault="00A62844" w:rsidP="00A62844">
            <w:pPr>
              <w:autoSpaceDE w:val="0"/>
              <w:autoSpaceDN w:val="0"/>
              <w:adjustRightInd w:val="0"/>
              <w:jc w:val="both"/>
              <w:rPr>
                <w:rFonts w:eastAsia="Times New Roman"/>
                <w:sz w:val="24"/>
                <w:szCs w:val="23"/>
              </w:rPr>
            </w:pPr>
            <w:r w:rsidRPr="00A62844">
              <w:rPr>
                <w:noProof/>
                <w:color w:val="000000"/>
              </w:rPr>
              <w:fldChar w:fldCharType="begin"/>
            </w:r>
            <w:r w:rsidRPr="00A62844">
              <w:rPr>
                <w:noProof/>
                <w:color w:val="000000"/>
              </w:rPr>
              <w:instrText xml:space="preserve"> LINK Excel.Sheet.12 "\\\\fs\\tand\\TAND\\_Makro_modeli\\Makro Mod\\YModel - NEW dev (v1.4) - jauns nominiālais IKP 2016.xlsx!Apraksts![YModel - NEW dev (v1.4) - jauns nominiālais IKP 2016.xlsx]Apraksts Chart 5" "" \p </w:instrText>
            </w:r>
            <w:r w:rsidRPr="00A62844">
              <w:rPr>
                <w:noProof/>
                <w:color w:val="000000"/>
              </w:rPr>
              <w:fldChar w:fldCharType="separate"/>
            </w:r>
            <w:r w:rsidR="00C4725E">
              <w:rPr>
                <w:rFonts w:asciiTheme="minorHAnsi" w:eastAsiaTheme="minorEastAsia" w:hAnsiTheme="minorHAnsi" w:cstheme="minorBidi"/>
                <w:noProof/>
                <w:color w:val="000000"/>
                <w:sz w:val="22"/>
                <w:szCs w:val="22"/>
                <w:lang w:eastAsia="en-US"/>
              </w:rPr>
              <w:object w:dxaOrig="4125" w:dyaOrig="3135" w14:anchorId="1C22076F">
                <v:shape id="_x0000_i1026" type="#_x0000_t75" style="width:221.1pt;height:158.3pt" o:ole="">
                  <v:imagedata r:id="rId17" o:title=""/>
                </v:shape>
              </w:object>
            </w:r>
            <w:r w:rsidRPr="00A62844">
              <w:rPr>
                <w:noProof/>
                <w:color w:val="000000"/>
              </w:rPr>
              <w:fldChar w:fldCharType="end"/>
            </w:r>
          </w:p>
        </w:tc>
      </w:tr>
    </w:tbl>
    <w:p w14:paraId="25EADB1C" w14:textId="77777777" w:rsidR="00A62844" w:rsidRPr="00A62844" w:rsidRDefault="00A62844" w:rsidP="00530D80">
      <w:pPr>
        <w:autoSpaceDE w:val="0"/>
        <w:autoSpaceDN w:val="0"/>
        <w:adjustRightInd w:val="0"/>
        <w:spacing w:before="60" w:after="120" w:line="240" w:lineRule="auto"/>
        <w:jc w:val="center"/>
        <w:rPr>
          <w:rFonts w:ascii="Times New Roman" w:eastAsia="Times New Roman" w:hAnsi="Times New Roman" w:cs="Times New Roman"/>
          <w:b/>
          <w:color w:val="000000"/>
          <w:sz w:val="24"/>
          <w:szCs w:val="24"/>
          <w:lang w:eastAsia="lv-LV"/>
        </w:rPr>
      </w:pPr>
      <w:r w:rsidRPr="00A62844">
        <w:rPr>
          <w:rFonts w:ascii="Times New Roman" w:eastAsia="Times New Roman" w:hAnsi="Times New Roman" w:cs="Times New Roman"/>
          <w:b/>
          <w:color w:val="000000"/>
          <w:sz w:val="24"/>
          <w:szCs w:val="24"/>
          <w:lang w:eastAsia="lv-LV"/>
        </w:rPr>
        <w:t>2.6.attēls. Potenciālais IKP un izlaižu starpība</w:t>
      </w:r>
    </w:p>
    <w:p w14:paraId="3DE4873B" w14:textId="7374356E"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color w:val="000000"/>
          <w:sz w:val="24"/>
          <w:szCs w:val="24"/>
          <w:lang w:eastAsia="lv-LV"/>
        </w:rPr>
        <w:t>Līdzīgs vidēja termiņa izlaižu starpības novēr</w:t>
      </w:r>
      <w:r w:rsidR="0057735F">
        <w:rPr>
          <w:rFonts w:ascii="Times New Roman" w:eastAsia="Times New Roman" w:hAnsi="Times New Roman" w:cs="Times New Roman"/>
          <w:color w:val="000000"/>
          <w:sz w:val="24"/>
          <w:szCs w:val="24"/>
          <w:lang w:eastAsia="lv-LV"/>
        </w:rPr>
        <w:t>tējums ir arī EK. Lai gan 2016. un 2017.gadā</w:t>
      </w:r>
      <w:r w:rsidRPr="00A62844">
        <w:rPr>
          <w:rFonts w:ascii="Times New Roman" w:eastAsia="Times New Roman" w:hAnsi="Times New Roman" w:cs="Times New Roman"/>
          <w:color w:val="000000"/>
          <w:sz w:val="24"/>
          <w:szCs w:val="24"/>
          <w:lang w:eastAsia="lv-LV"/>
        </w:rPr>
        <w:t xml:space="preserve"> pēc EK vērtējuma ir pozitīva izlaižu starpība, pamatojot to ar strauju algu pieaugumu un</w:t>
      </w:r>
      <w:r w:rsidR="0057735F">
        <w:rPr>
          <w:rFonts w:ascii="Times New Roman" w:eastAsia="Times New Roman" w:hAnsi="Times New Roman" w:cs="Times New Roman"/>
          <w:color w:val="000000"/>
          <w:sz w:val="24"/>
          <w:szCs w:val="24"/>
          <w:lang w:eastAsia="lv-LV"/>
        </w:rPr>
        <w:t xml:space="preserve"> bezdarba līmeņa samazinājumu, t</w:t>
      </w:r>
      <w:r w:rsidRPr="00A62844">
        <w:rPr>
          <w:rFonts w:ascii="Times New Roman" w:eastAsia="Times New Roman" w:hAnsi="Times New Roman" w:cs="Times New Roman"/>
          <w:color w:val="000000"/>
          <w:sz w:val="24"/>
          <w:szCs w:val="24"/>
          <w:lang w:eastAsia="lv-LV"/>
        </w:rPr>
        <w:t>omēr par sabalansētu izlaižu starpību nor</w:t>
      </w:r>
      <w:r w:rsidR="0057735F">
        <w:rPr>
          <w:rFonts w:ascii="Times New Roman" w:eastAsia="Times New Roman" w:hAnsi="Times New Roman" w:cs="Times New Roman"/>
          <w:color w:val="000000"/>
          <w:sz w:val="24"/>
          <w:szCs w:val="24"/>
          <w:lang w:eastAsia="lv-LV"/>
        </w:rPr>
        <w:t xml:space="preserve">āda citi cikliskie mainīgie, </w:t>
      </w:r>
      <w:r w:rsidRPr="00A62844">
        <w:rPr>
          <w:rFonts w:ascii="Times New Roman" w:eastAsia="Times New Roman" w:hAnsi="Times New Roman" w:cs="Times New Roman"/>
          <w:color w:val="000000"/>
          <w:sz w:val="24"/>
          <w:szCs w:val="24"/>
          <w:lang w:eastAsia="lv-LV"/>
        </w:rPr>
        <w:t xml:space="preserve">piemēram, </w:t>
      </w:r>
      <w:r w:rsidRPr="00A62844">
        <w:rPr>
          <w:rFonts w:ascii="Times New Roman" w:eastAsia="Times New Roman" w:hAnsi="Times New Roman" w:cs="Times New Roman"/>
          <w:sz w:val="24"/>
          <w:szCs w:val="23"/>
          <w:lang w:eastAsia="lv-LV"/>
        </w:rPr>
        <w:t xml:space="preserve">zemā inflācija. Turklāt par ārējo sabalansētību liecina tekošā un kapitāla konta bilances pārpalikums, proti, Latvija nedzīvo uz ārējā parāda rēķina. Pēdējos gados turpina samazināties arī </w:t>
      </w:r>
      <w:r w:rsidR="0057735F">
        <w:rPr>
          <w:rFonts w:ascii="Times New Roman" w:eastAsia="Times New Roman" w:hAnsi="Times New Roman" w:cs="Times New Roman"/>
          <w:sz w:val="24"/>
          <w:szCs w:val="23"/>
          <w:lang w:eastAsia="lv-LV"/>
        </w:rPr>
        <w:t>neto parāda attiecība pret IKP.</w:t>
      </w:r>
    </w:p>
    <w:p w14:paraId="0324B5E8" w14:textId="77777777"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sz w:val="24"/>
          <w:szCs w:val="23"/>
          <w:lang w:eastAsia="lv-LV"/>
        </w:rPr>
        <w:t xml:space="preserve"> Arī vidējās algas pieaugums ir saistīts ar ienākumu konverģenci ar ES, minimālas algas palielināšanu un ēnu ekonomikas samazināšanos nevis ar pārmērīgu pieprasījuma palielināšanos. Turklāt EK izstrādātais “ticamības rīks”</w:t>
      </w:r>
      <w:r w:rsidRPr="00A62844">
        <w:rPr>
          <w:rFonts w:ascii="Garamond" w:eastAsia="Times New Roman" w:hAnsi="Garamond" w:cs="Times New Roman"/>
          <w:sz w:val="20"/>
          <w:szCs w:val="23"/>
          <w:vertAlign w:val="superscript"/>
          <w:lang w:eastAsia="lv-LV"/>
        </w:rPr>
        <w:footnoteReference w:id="6"/>
      </w:r>
      <w:r w:rsidRPr="00A62844">
        <w:rPr>
          <w:rFonts w:ascii="Times New Roman" w:eastAsia="Times New Roman" w:hAnsi="Times New Roman" w:cs="Times New Roman"/>
          <w:sz w:val="24"/>
          <w:szCs w:val="23"/>
          <w:lang w:eastAsia="lv-LV"/>
        </w:rPr>
        <w:t xml:space="preserve"> norāda uz negatīvu izlaižu starpību Latvijā. Līdzīgs ir arī SVF un OECD izlaižu starpības novērtējums.</w:t>
      </w:r>
    </w:p>
    <w:p w14:paraId="32634618" w14:textId="5CA1F0CC" w:rsidR="00A62844" w:rsidRPr="00A62844" w:rsidRDefault="00A62844" w:rsidP="00A6284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A62844">
        <w:rPr>
          <w:rFonts w:ascii="Times New Roman" w:eastAsia="Times New Roman" w:hAnsi="Times New Roman" w:cs="Times New Roman"/>
          <w:color w:val="000000"/>
          <w:sz w:val="24"/>
          <w:szCs w:val="24"/>
          <w:lang w:eastAsia="lv-LV"/>
        </w:rPr>
        <w:t>Par iekšējo sabalansētu ekonomisko izaugsmi liecina</w:t>
      </w:r>
      <w:r w:rsidR="0057735F">
        <w:rPr>
          <w:rFonts w:ascii="Times New Roman" w:eastAsia="Times New Roman" w:hAnsi="Times New Roman" w:cs="Times New Roman"/>
          <w:color w:val="000000"/>
          <w:sz w:val="24"/>
          <w:szCs w:val="24"/>
          <w:lang w:eastAsia="lv-LV"/>
        </w:rPr>
        <w:t xml:space="preserve"> tas</w:t>
      </w:r>
      <w:r w:rsidR="0057735F">
        <w:rPr>
          <w:rFonts w:ascii="Times New Roman" w:eastAsia="Times New Roman" w:hAnsi="Times New Roman" w:cs="Times New Roman"/>
          <w:sz w:val="24"/>
          <w:szCs w:val="23"/>
          <w:lang w:eastAsia="lv-LV"/>
        </w:rPr>
        <w:t>, ka tā</w:t>
      </w:r>
      <w:r w:rsidRPr="00A62844">
        <w:rPr>
          <w:rFonts w:ascii="Times New Roman" w:eastAsia="Times New Roman" w:hAnsi="Times New Roman" w:cs="Times New Roman"/>
          <w:sz w:val="24"/>
          <w:szCs w:val="23"/>
          <w:lang w:eastAsia="lv-LV"/>
        </w:rPr>
        <w:t xml:space="preserve"> ir tuva ES vidējam līmenim, un vidējā termiņā netiek prognozēts tās straujāks pieaugums nekā vidēji ES. Arī algu pieaugums ir mērens, kas atspoguļo ienākumu konverģenci ar ES, minimālās algas palielināšanu un ēnu ekonomikas samazināšanos. Turklāt tiek prognozēts, ka reālās algas pieaugums vidējā termiņā nepārsniegs darba</w:t>
      </w:r>
      <w:r w:rsidR="00D21A87">
        <w:rPr>
          <w:rFonts w:ascii="Times New Roman" w:eastAsia="Times New Roman" w:hAnsi="Times New Roman" w:cs="Times New Roman"/>
          <w:sz w:val="24"/>
          <w:szCs w:val="23"/>
          <w:lang w:eastAsia="lv-LV"/>
        </w:rPr>
        <w:t>spēka produktivitātes pieaugumu</w:t>
      </w:r>
    </w:p>
    <w:p w14:paraId="18ED4669" w14:textId="23ADF73B" w:rsidR="005536A9" w:rsidRPr="00F51615" w:rsidRDefault="005536A9" w:rsidP="00F512CA">
      <w:pPr>
        <w:pStyle w:val="Heading1"/>
        <w:numPr>
          <w:ilvl w:val="0"/>
          <w:numId w:val="1"/>
        </w:numPr>
        <w:ind w:left="284" w:hanging="283"/>
        <w:jc w:val="center"/>
        <w:rPr>
          <w:rFonts w:ascii="Times New Roman" w:hAnsi="Times New Roman" w:cs="Times New Roman"/>
          <w:sz w:val="32"/>
        </w:rPr>
      </w:pPr>
      <w:bookmarkStart w:id="5" w:name="_Toc479331085"/>
      <w:r w:rsidRPr="00F51615">
        <w:rPr>
          <w:rFonts w:ascii="Times New Roman" w:hAnsi="Times New Roman" w:cs="Times New Roman"/>
          <w:sz w:val="32"/>
        </w:rPr>
        <w:lastRenderedPageBreak/>
        <w:t>Vispārējās valdības budžeta bilance un parāds</w:t>
      </w:r>
      <w:bookmarkEnd w:id="5"/>
    </w:p>
    <w:p w14:paraId="61B2E350" w14:textId="77777777" w:rsidR="00A34463" w:rsidRDefault="00A34463" w:rsidP="007E26F6">
      <w:pPr>
        <w:pStyle w:val="Heading2"/>
        <w:numPr>
          <w:ilvl w:val="1"/>
          <w:numId w:val="1"/>
        </w:numPr>
        <w:spacing w:before="240" w:after="120"/>
        <w:ind w:left="709"/>
        <w:rPr>
          <w:rFonts w:ascii="Times New Roman" w:hAnsi="Times New Roman" w:cs="Times New Roman"/>
          <w:sz w:val="24"/>
        </w:rPr>
      </w:pPr>
      <w:bookmarkStart w:id="6" w:name="_Toc479331086"/>
      <w:r w:rsidRPr="00F51615">
        <w:rPr>
          <w:rFonts w:ascii="Times New Roman" w:hAnsi="Times New Roman" w:cs="Times New Roman"/>
          <w:sz w:val="24"/>
        </w:rPr>
        <w:t>Pašreizējā fiskālā situācija</w:t>
      </w:r>
      <w:bookmarkEnd w:id="6"/>
    </w:p>
    <w:p w14:paraId="608B93B0" w14:textId="600384B9" w:rsidR="00C6773B" w:rsidRPr="00C6773B" w:rsidRDefault="00C6773B" w:rsidP="00C6773B">
      <w:pPr>
        <w:spacing w:after="0" w:line="240" w:lineRule="auto"/>
        <w:ind w:firstLine="720"/>
        <w:jc w:val="both"/>
        <w:rPr>
          <w:rFonts w:ascii="Times New Roman" w:eastAsia="Calibri" w:hAnsi="Times New Roman" w:cs="Times New Roman"/>
          <w:sz w:val="24"/>
          <w:szCs w:val="24"/>
        </w:rPr>
      </w:pPr>
      <w:r w:rsidRPr="00C6773B">
        <w:rPr>
          <w:rFonts w:ascii="Times New Roman" w:eastAsia="Calibri" w:hAnsi="Times New Roman" w:cs="Times New Roman"/>
          <w:sz w:val="24"/>
          <w:szCs w:val="24"/>
        </w:rPr>
        <w:t xml:space="preserve">Atbilstoši </w:t>
      </w:r>
      <w:r>
        <w:rPr>
          <w:rFonts w:ascii="Times New Roman" w:eastAsia="Calibri" w:hAnsi="Times New Roman" w:cs="Times New Roman"/>
          <w:sz w:val="24"/>
          <w:szCs w:val="24"/>
        </w:rPr>
        <w:t>FM</w:t>
      </w:r>
      <w:r w:rsidRPr="00C6773B">
        <w:rPr>
          <w:rFonts w:ascii="Times New Roman" w:eastAsia="Calibri" w:hAnsi="Times New Roman" w:cs="Times New Roman"/>
          <w:sz w:val="24"/>
          <w:szCs w:val="24"/>
        </w:rPr>
        <w:t xml:space="preserve"> novērtējumam vispārējās valdības budžeta nominālais deficīts 2016</w:t>
      </w:r>
      <w:r>
        <w:rPr>
          <w:rFonts w:ascii="Times New Roman" w:eastAsia="Calibri" w:hAnsi="Times New Roman" w:cs="Times New Roman"/>
          <w:sz w:val="24"/>
          <w:szCs w:val="24"/>
        </w:rPr>
        <w:t>.</w:t>
      </w:r>
      <w:r w:rsidRPr="00C6773B">
        <w:rPr>
          <w:rFonts w:ascii="Times New Roman" w:eastAsia="Calibri" w:hAnsi="Times New Roman" w:cs="Times New Roman"/>
          <w:sz w:val="24"/>
          <w:szCs w:val="24"/>
        </w:rPr>
        <w:t xml:space="preserve">gadā bija </w:t>
      </w:r>
      <w:r w:rsidRPr="00C6773B">
        <w:rPr>
          <w:rFonts w:ascii="Times New Roman" w:eastAsia="Calibri" w:hAnsi="Times New Roman" w:cs="Times New Roman"/>
          <w:color w:val="000000"/>
          <w:sz w:val="24"/>
          <w:szCs w:val="24"/>
        </w:rPr>
        <w:t xml:space="preserve">7,5 milj. </w:t>
      </w:r>
      <w:r>
        <w:rPr>
          <w:rFonts w:ascii="Times New Roman" w:eastAsia="Calibri" w:hAnsi="Times New Roman" w:cs="Times New Roman"/>
          <w:i/>
          <w:color w:val="000000"/>
          <w:sz w:val="24"/>
          <w:szCs w:val="24"/>
        </w:rPr>
        <w:t>euro</w:t>
      </w:r>
      <w:r w:rsidRPr="00C6773B">
        <w:rPr>
          <w:rFonts w:ascii="Times New Roman" w:eastAsia="Calibri" w:hAnsi="Times New Roman" w:cs="Times New Roman"/>
          <w:color w:val="000000"/>
          <w:sz w:val="24"/>
          <w:szCs w:val="24"/>
        </w:rPr>
        <w:t xml:space="preserve"> jeb 0,03% no IKP, kas bija mazāk kā likumā “Par valsts budžetu 2016.gadam” plānotais apmērs. Atbilstoši likumam “Par valsts budžetu 2016.gadam” vispārējās valdības budžeta bilance tika plānota ar deficītu 1,0% apmērā no IKP. </w:t>
      </w:r>
      <w:r>
        <w:rPr>
          <w:rFonts w:ascii="Times New Roman" w:eastAsia="Calibri" w:hAnsi="Times New Roman" w:cs="Times New Roman"/>
          <w:color w:val="000000"/>
          <w:sz w:val="24"/>
          <w:szCs w:val="24"/>
        </w:rPr>
        <w:t>FM</w:t>
      </w:r>
      <w:r w:rsidRPr="00C6773B">
        <w:rPr>
          <w:rFonts w:ascii="Times New Roman" w:eastAsia="Calibri" w:hAnsi="Times New Roman" w:cs="Times New Roman"/>
          <w:color w:val="000000"/>
          <w:sz w:val="24"/>
          <w:szCs w:val="24"/>
        </w:rPr>
        <w:t xml:space="preserve"> 2016.gadam novērtētais deficīta līmenis ir par 1,0 procentpunktu jeb 245,2 milj. </w:t>
      </w:r>
      <w:r>
        <w:rPr>
          <w:rFonts w:ascii="Times New Roman" w:eastAsia="Calibri" w:hAnsi="Times New Roman" w:cs="Times New Roman"/>
          <w:i/>
          <w:color w:val="000000"/>
          <w:sz w:val="24"/>
          <w:szCs w:val="24"/>
        </w:rPr>
        <w:t>euro</w:t>
      </w:r>
      <w:r w:rsidRPr="00C6773B">
        <w:rPr>
          <w:rFonts w:ascii="Times New Roman" w:eastAsia="Calibri" w:hAnsi="Times New Roman" w:cs="Times New Roman"/>
          <w:color w:val="000000"/>
          <w:sz w:val="24"/>
          <w:szCs w:val="24"/>
        </w:rPr>
        <w:t xml:space="preserve"> mazāks nekā tika norādīts iepriekšējā Latvijas Stabilitātes programmā 2016.-2019.gadam. Kā būtiskākās komponentes, kas veido m</w:t>
      </w:r>
      <w:r w:rsidRPr="00C6773B">
        <w:rPr>
          <w:rFonts w:ascii="Times New Roman" w:eastAsia="Calibri" w:hAnsi="Times New Roman" w:cs="Times New Roman"/>
          <w:sz w:val="24"/>
          <w:szCs w:val="24"/>
        </w:rPr>
        <w:t xml:space="preserve">azāku deficītu nekā prognozēts, ir lielāki nodokļu ieņēmumi, ņemot vērā </w:t>
      </w:r>
      <w:r w:rsidRPr="00C6773B">
        <w:rPr>
          <w:rFonts w:ascii="Times New Roman" w:eastAsia="Times New Roman" w:hAnsi="Times New Roman" w:cs="Times New Roman"/>
          <w:sz w:val="24"/>
          <w:szCs w:val="24"/>
        </w:rPr>
        <w:t>pozitīvu efektu no ēnu ekonomikas apkarošanas un nodokļu administrēšanas uzlabošanas pasākumiem, kā arī izdevumu samazinājums un zemāki izdevumi ES fondu projektu īstenošanai.</w:t>
      </w:r>
      <w:r w:rsidRPr="00C6773B">
        <w:rPr>
          <w:rFonts w:ascii="Times New Roman" w:eastAsia="Calibri" w:hAnsi="Times New Roman" w:cs="Times New Roman"/>
          <w:sz w:val="24"/>
          <w:szCs w:val="24"/>
        </w:rPr>
        <w:t xml:space="preserve"> </w:t>
      </w:r>
      <w:r w:rsidRPr="00C6773B">
        <w:rPr>
          <w:rFonts w:ascii="Times New Roman" w:eastAsia="Calibri" w:hAnsi="Times New Roman" w:cs="Times New Roman"/>
          <w:color w:val="000000"/>
          <w:sz w:val="24"/>
          <w:szCs w:val="24"/>
        </w:rPr>
        <w:t xml:space="preserve">Dinamikā vispārējās valdības budžeta bilance 2016.gadā salīdzinājumā ar 2015.gadu ir uzlabojusies par 1,2 procentpunktu no IKP, un ir zemākā kopš 1998.gada, kad iepriekš bilancē bijis neliels pārpalikums. </w:t>
      </w:r>
    </w:p>
    <w:p w14:paraId="65ADAEC9" w14:textId="5F21121B" w:rsidR="00C6773B" w:rsidRPr="00C6773B" w:rsidRDefault="00C6773B" w:rsidP="00C6773B">
      <w:pPr>
        <w:spacing w:after="0" w:line="240" w:lineRule="auto"/>
        <w:ind w:firstLine="567"/>
        <w:jc w:val="both"/>
        <w:rPr>
          <w:rFonts w:ascii="Times New Roman" w:eastAsia="Times New Roman" w:hAnsi="Times New Roman" w:cs="Times New Roman"/>
          <w:sz w:val="24"/>
          <w:szCs w:val="20"/>
        </w:rPr>
      </w:pPr>
      <w:r w:rsidRPr="00C6773B">
        <w:rPr>
          <w:rFonts w:ascii="Times New Roman" w:eastAsia="Times New Roman" w:hAnsi="Times New Roman" w:cs="Times New Roman"/>
          <w:sz w:val="24"/>
          <w:szCs w:val="20"/>
        </w:rPr>
        <w:t xml:space="preserve">2016.gadā salīdzinot ar iepriekšējo gadu pieauga </w:t>
      </w:r>
      <w:r w:rsidRPr="00C6773B">
        <w:rPr>
          <w:rFonts w:ascii="Times New Roman" w:eastAsia="Calibri" w:hAnsi="Times New Roman" w:cs="Times New Roman"/>
          <w:color w:val="000000"/>
          <w:sz w:val="24"/>
          <w:szCs w:val="24"/>
        </w:rPr>
        <w:t xml:space="preserve">vispārējās valdības </w:t>
      </w:r>
      <w:r w:rsidRPr="00C6773B">
        <w:rPr>
          <w:rFonts w:ascii="Times New Roman" w:eastAsia="Times New Roman" w:hAnsi="Times New Roman" w:cs="Times New Roman"/>
          <w:sz w:val="24"/>
          <w:szCs w:val="20"/>
        </w:rPr>
        <w:t>ieņēmumi, gan izdevumi. Ieņēmumi pieauguši par 3,7% , kas ir straujāk salīdzinājumā ar ekonomikas izaugsmi pērn, kamēr izdevumi</w:t>
      </w:r>
      <w:r>
        <w:rPr>
          <w:rFonts w:ascii="Times New Roman" w:eastAsia="Times New Roman" w:hAnsi="Times New Roman" w:cs="Times New Roman"/>
          <w:sz w:val="24"/>
          <w:szCs w:val="20"/>
        </w:rPr>
        <w:t xml:space="preserve"> palielinājās</w:t>
      </w:r>
      <w:r w:rsidRPr="00C6773B">
        <w:rPr>
          <w:rFonts w:ascii="Times New Roman" w:eastAsia="Times New Roman" w:hAnsi="Times New Roman" w:cs="Times New Roman"/>
          <w:sz w:val="24"/>
          <w:szCs w:val="20"/>
        </w:rPr>
        <w:t xml:space="preserve"> tikai par 0,2%.</w:t>
      </w:r>
      <w:r w:rsidR="009C5C07">
        <w:rPr>
          <w:rFonts w:ascii="Times New Roman" w:eastAsia="Times New Roman" w:hAnsi="Times New Roman" w:cs="Times New Roman"/>
          <w:sz w:val="24"/>
          <w:szCs w:val="20"/>
        </w:rPr>
        <w:t xml:space="preserve"> </w:t>
      </w:r>
      <w:r w:rsidRPr="00C6773B">
        <w:rPr>
          <w:rFonts w:ascii="Times New Roman" w:eastAsia="Times New Roman" w:hAnsi="Times New Roman" w:cs="Times New Roman"/>
          <w:sz w:val="24"/>
          <w:szCs w:val="20"/>
        </w:rPr>
        <w:t>Salīdzinot ar 2015.gada līmeni, ieņēmumi attiecībā pret IKP palielinājušies par 0,4</w:t>
      </w:r>
      <w:r w:rsidRPr="00C6773B">
        <w:rPr>
          <w:rFonts w:ascii="Times New Roman" w:eastAsia="Calibri" w:hAnsi="Times New Roman" w:cs="Times New Roman"/>
          <w:color w:val="000000"/>
          <w:sz w:val="24"/>
          <w:szCs w:val="24"/>
        </w:rPr>
        <w:t> </w:t>
      </w:r>
      <w:r w:rsidRPr="00C6773B">
        <w:rPr>
          <w:rFonts w:ascii="Times New Roman" w:eastAsia="Times New Roman" w:hAnsi="Times New Roman" w:cs="Times New Roman"/>
          <w:sz w:val="24"/>
          <w:szCs w:val="20"/>
        </w:rPr>
        <w:t>procentpunktiem, sasniedzot 36,1% no IKP, savukārt pārdalītie resursi vispārējās valdības budžeta izdevumos samazinājās par 0,9</w:t>
      </w:r>
      <w:r w:rsidRPr="00C6773B">
        <w:rPr>
          <w:rFonts w:ascii="Times New Roman" w:eastAsia="Calibri" w:hAnsi="Times New Roman" w:cs="Times New Roman"/>
          <w:color w:val="000000"/>
          <w:sz w:val="24"/>
          <w:szCs w:val="24"/>
        </w:rPr>
        <w:t> </w:t>
      </w:r>
      <w:r w:rsidRPr="00C6773B">
        <w:rPr>
          <w:rFonts w:ascii="Times New Roman" w:eastAsia="Times New Roman" w:hAnsi="Times New Roman" w:cs="Times New Roman"/>
          <w:sz w:val="24"/>
          <w:szCs w:val="20"/>
        </w:rPr>
        <w:t>procentpunktiem un arī veidoja 36,1% no IKP.</w:t>
      </w:r>
    </w:p>
    <w:p w14:paraId="53174BC8" w14:textId="77777777" w:rsidR="00C6773B" w:rsidRPr="00C6773B" w:rsidRDefault="00C6773B" w:rsidP="00C6773B">
      <w:pPr>
        <w:spacing w:after="120" w:line="240" w:lineRule="auto"/>
        <w:jc w:val="center"/>
        <w:rPr>
          <w:rFonts w:ascii="Times New Roman" w:eastAsia="Times New Roman" w:hAnsi="Times New Roman" w:cs="Times New Roman"/>
          <w:sz w:val="24"/>
          <w:szCs w:val="20"/>
          <w:highlight w:val="yellow"/>
        </w:rPr>
      </w:pPr>
      <w:r w:rsidRPr="00C6773B">
        <w:rPr>
          <w:rFonts w:ascii="Times New Roman" w:eastAsia="Times New Roman" w:hAnsi="Times New Roman" w:cs="Times New Roman"/>
          <w:noProof/>
          <w:sz w:val="24"/>
          <w:szCs w:val="20"/>
          <w:lang w:eastAsia="lv-LV"/>
        </w:rPr>
        <w:drawing>
          <wp:inline distT="0" distB="0" distL="0" distR="0" wp14:anchorId="18360FAA" wp14:editId="18FDF995">
            <wp:extent cx="5829300" cy="26860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C30DAD" w14:textId="4D44A077" w:rsidR="00C6773B" w:rsidRPr="00C6773B" w:rsidRDefault="008238F4" w:rsidP="00D21A87">
      <w:pPr>
        <w:spacing w:before="60"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3.1.</w:t>
      </w:r>
      <w:r w:rsidR="00C6773B" w:rsidRPr="00C6773B">
        <w:rPr>
          <w:rFonts w:ascii="Times New Roman" w:eastAsia="Calibri" w:hAnsi="Times New Roman" w:cs="Times New Roman"/>
          <w:b/>
          <w:sz w:val="24"/>
          <w:szCs w:val="24"/>
        </w:rPr>
        <w:t>att</w:t>
      </w:r>
      <w:r w:rsidR="00D47B98">
        <w:rPr>
          <w:rFonts w:ascii="Times New Roman" w:eastAsia="Calibri" w:hAnsi="Times New Roman" w:cs="Times New Roman"/>
          <w:b/>
          <w:sz w:val="24"/>
          <w:szCs w:val="24"/>
        </w:rPr>
        <w:t>ēls</w:t>
      </w:r>
      <w:r w:rsidR="00C6773B" w:rsidRPr="00C6773B">
        <w:rPr>
          <w:rFonts w:ascii="Times New Roman" w:eastAsia="Calibri" w:hAnsi="Times New Roman" w:cs="Times New Roman"/>
          <w:b/>
          <w:sz w:val="24"/>
          <w:szCs w:val="24"/>
        </w:rPr>
        <w:t>. Vispārējās valdības ieņēmumi, izdevumi un budžeta bilance</w:t>
      </w:r>
      <w:r w:rsidR="00C6773B" w:rsidRPr="00C6773B">
        <w:rPr>
          <w:rFonts w:ascii="Times New Roman" w:eastAsia="Calibri" w:hAnsi="Times New Roman" w:cs="Times New Roman"/>
          <w:b/>
          <w:sz w:val="24"/>
          <w:szCs w:val="24"/>
          <w:vertAlign w:val="superscript"/>
        </w:rPr>
        <w:footnoteReference w:id="7"/>
      </w:r>
      <w:r w:rsidR="00C6773B" w:rsidRPr="00C6773B">
        <w:rPr>
          <w:rFonts w:ascii="Times New Roman" w:eastAsia="Calibri" w:hAnsi="Times New Roman" w:cs="Times New Roman"/>
          <w:b/>
          <w:sz w:val="24"/>
          <w:szCs w:val="24"/>
        </w:rPr>
        <w:t>, % no IKP</w:t>
      </w:r>
    </w:p>
    <w:p w14:paraId="38F06D68" w14:textId="3C3E57D7" w:rsidR="00C6773B" w:rsidRPr="00C6773B" w:rsidRDefault="006E5765" w:rsidP="00C6773B">
      <w:pPr>
        <w:spacing w:after="120" w:line="240" w:lineRule="auto"/>
        <w:ind w:firstLine="567"/>
        <w:jc w:val="both"/>
        <w:rPr>
          <w:rFonts w:ascii="Times New Roman" w:eastAsia="Times New Roman" w:hAnsi="Times New Roman" w:cs="Times New Roman"/>
          <w:sz w:val="24"/>
          <w:szCs w:val="20"/>
          <w:highlight w:val="yellow"/>
        </w:rPr>
      </w:pPr>
      <w:r>
        <w:rPr>
          <w:rFonts w:ascii="Times New Roman" w:eastAsia="Times New Roman" w:hAnsi="Times New Roman" w:cs="Times New Roman"/>
          <w:sz w:val="24"/>
          <w:szCs w:val="20"/>
        </w:rPr>
        <w:t>Par galvenajiem</w:t>
      </w:r>
      <w:r w:rsidR="00C6773B" w:rsidRPr="00C6773B">
        <w:rPr>
          <w:rFonts w:ascii="Times New Roman" w:eastAsia="Times New Roman" w:hAnsi="Times New Roman" w:cs="Times New Roman"/>
          <w:sz w:val="24"/>
          <w:szCs w:val="20"/>
        </w:rPr>
        <w:t xml:space="preserve"> faktoriem zemākai kā plānots Latvijas ekonomikas izaugsmei 2016.gadā uzskatāma nela</w:t>
      </w:r>
      <w:r w:rsidR="009C5C07">
        <w:rPr>
          <w:rFonts w:ascii="Times New Roman" w:eastAsia="Times New Roman" w:hAnsi="Times New Roman" w:cs="Times New Roman"/>
          <w:sz w:val="24"/>
          <w:szCs w:val="20"/>
        </w:rPr>
        <w:t>bvēlīgā situācija ārējā vidē un</w:t>
      </w:r>
      <w:r w:rsidR="00C6773B" w:rsidRPr="00C6773B">
        <w:rPr>
          <w:rFonts w:ascii="Times New Roman" w:eastAsia="Times New Roman" w:hAnsi="Times New Roman" w:cs="Times New Roman"/>
          <w:sz w:val="24"/>
          <w:szCs w:val="20"/>
        </w:rPr>
        <w:t xml:space="preserve"> lēnāka ES fondu projektu ieviešana, tādejādi ietekmējot valsts un pašvaldību izdevumu līmeni. Vienlaikus sekmīgie nodokļu administrēšanas pasākumi un ēnu ekonomikas apkarošana nodrošināja nodokļu ieņēmumus atbilstoši plānotajam līmenim. Nodokļu slogs 2016.gadā bija 29,7% no IKP, kas ir augstākais nodokļu ieņēmumu līmenis pēdējo vairāk kā 15 gadu laikā. Tāpat kā iepriekšējos gados, arī 2016.gadā viens no galvenajiem ekonomiskās izaugsmes veicinātājiem bija iekšzemes pieprasījums. Vidējās darba samaksas pieaugums sekmēja privāto patēriņu un mazumtirdzniecības apgrozījuma kāpumu. Nodokļu ieņēmumu pieaugums kopumā bija </w:t>
      </w:r>
      <w:r w:rsidR="00C6773B" w:rsidRPr="00C6773B">
        <w:rPr>
          <w:rFonts w:ascii="Times New Roman" w:eastAsia="Times New Roman" w:hAnsi="Times New Roman" w:cs="Times New Roman"/>
          <w:sz w:val="24"/>
          <w:szCs w:val="20"/>
        </w:rPr>
        <w:lastRenderedPageBreak/>
        <w:t xml:space="preserve">vērojams visiem nodokļu veidiem, bet visstraujāk pieauga ieņēmumi no akcīzes nodokļa, </w:t>
      </w:r>
      <w:r w:rsidR="009C5C07">
        <w:rPr>
          <w:rFonts w:ascii="Times New Roman" w:eastAsia="Times New Roman" w:hAnsi="Times New Roman" w:cs="Times New Roman"/>
          <w:sz w:val="24"/>
          <w:szCs w:val="20"/>
        </w:rPr>
        <w:t>IIN</w:t>
      </w:r>
      <w:r w:rsidR="00C6773B" w:rsidRPr="00C6773B">
        <w:rPr>
          <w:rFonts w:ascii="Times New Roman" w:eastAsia="Times New Roman" w:hAnsi="Times New Roman" w:cs="Times New Roman"/>
          <w:sz w:val="24"/>
          <w:szCs w:val="20"/>
        </w:rPr>
        <w:t xml:space="preserve"> un </w:t>
      </w:r>
      <w:r w:rsidR="009C5C07">
        <w:rPr>
          <w:rFonts w:ascii="Times New Roman" w:eastAsia="Times New Roman" w:hAnsi="Times New Roman" w:cs="Times New Roman"/>
          <w:sz w:val="24"/>
          <w:szCs w:val="20"/>
        </w:rPr>
        <w:t>PVN</w:t>
      </w:r>
      <w:r w:rsidR="00C6773B" w:rsidRPr="00C6773B">
        <w:rPr>
          <w:rFonts w:ascii="Times New Roman" w:eastAsia="Times New Roman" w:hAnsi="Times New Roman" w:cs="Times New Roman"/>
          <w:sz w:val="24"/>
          <w:szCs w:val="20"/>
        </w:rPr>
        <w:t>.</w:t>
      </w:r>
    </w:p>
    <w:p w14:paraId="7AA1F429" w14:textId="77777777" w:rsidR="00C6773B" w:rsidRPr="00C6773B" w:rsidRDefault="00C6773B" w:rsidP="00D21A87">
      <w:pPr>
        <w:spacing w:before="240" w:after="120" w:line="240" w:lineRule="auto"/>
        <w:jc w:val="center"/>
        <w:rPr>
          <w:rFonts w:ascii="Times New Roman" w:eastAsia="Times New Roman" w:hAnsi="Times New Roman" w:cs="Times New Roman"/>
          <w:sz w:val="24"/>
          <w:szCs w:val="20"/>
          <w:highlight w:val="yellow"/>
        </w:rPr>
      </w:pPr>
      <w:r w:rsidRPr="00C6773B">
        <w:rPr>
          <w:rFonts w:ascii="Times New Roman" w:eastAsia="Times New Roman" w:hAnsi="Times New Roman" w:cs="Times New Roman"/>
          <w:noProof/>
          <w:sz w:val="24"/>
          <w:szCs w:val="20"/>
          <w:lang w:eastAsia="lv-LV"/>
        </w:rPr>
        <w:drawing>
          <wp:inline distT="0" distB="0" distL="0" distR="0" wp14:anchorId="40C1FCFA" wp14:editId="0AE5C4BD">
            <wp:extent cx="5784215" cy="2819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20D0BE" w14:textId="5E90095B" w:rsidR="00C6773B" w:rsidRPr="00C6773B" w:rsidRDefault="008238F4" w:rsidP="00D21A87">
      <w:pPr>
        <w:spacing w:before="60" w:after="120" w:line="240" w:lineRule="auto"/>
        <w:jc w:val="center"/>
        <w:rPr>
          <w:rFonts w:ascii="Times New Roman" w:eastAsia="Calibri" w:hAnsi="Times New Roman" w:cs="Times New Roman"/>
          <w:b/>
          <w:noProof/>
          <w:sz w:val="24"/>
          <w:szCs w:val="24"/>
        </w:rPr>
      </w:pPr>
      <w:r>
        <w:rPr>
          <w:rFonts w:ascii="Times New Roman" w:eastAsia="Calibri" w:hAnsi="Times New Roman" w:cs="Times New Roman"/>
          <w:b/>
          <w:sz w:val="24"/>
          <w:szCs w:val="24"/>
        </w:rPr>
        <w:t>3.2.</w:t>
      </w:r>
      <w:r w:rsidR="00C6773B" w:rsidRPr="00C6773B">
        <w:rPr>
          <w:rFonts w:ascii="Times New Roman" w:eastAsia="Calibri" w:hAnsi="Times New Roman" w:cs="Times New Roman"/>
          <w:b/>
          <w:sz w:val="24"/>
          <w:szCs w:val="24"/>
        </w:rPr>
        <w:t>att</w:t>
      </w:r>
      <w:r w:rsidR="00D21A87">
        <w:rPr>
          <w:rFonts w:ascii="Times New Roman" w:eastAsia="Calibri" w:hAnsi="Times New Roman" w:cs="Times New Roman"/>
          <w:b/>
          <w:sz w:val="24"/>
          <w:szCs w:val="24"/>
        </w:rPr>
        <w:t>ēls</w:t>
      </w:r>
      <w:r w:rsidR="00C6773B" w:rsidRPr="00C6773B">
        <w:rPr>
          <w:rFonts w:ascii="Times New Roman" w:eastAsia="Calibri" w:hAnsi="Times New Roman" w:cs="Times New Roman"/>
          <w:b/>
          <w:sz w:val="24"/>
          <w:szCs w:val="24"/>
        </w:rPr>
        <w:t xml:space="preserve">. Vispārējās valdības budžeta bilance sadalījumā pa </w:t>
      </w:r>
      <w:r w:rsidR="00C6773B" w:rsidRPr="00C6773B">
        <w:rPr>
          <w:rFonts w:ascii="Times New Roman" w:eastAsia="Calibri" w:hAnsi="Times New Roman" w:cs="Times New Roman"/>
          <w:b/>
          <w:noProof/>
          <w:sz w:val="24"/>
          <w:szCs w:val="24"/>
        </w:rPr>
        <w:t>apakšsektoriem</w:t>
      </w:r>
      <w:r w:rsidR="00C6773B" w:rsidRPr="00C6773B">
        <w:rPr>
          <w:rFonts w:ascii="Times New Roman" w:eastAsia="Calibri" w:hAnsi="Times New Roman" w:cs="Times New Roman"/>
          <w:b/>
          <w:sz w:val="24"/>
          <w:szCs w:val="24"/>
          <w:vertAlign w:val="superscript"/>
        </w:rPr>
        <w:footnoteReference w:id="8"/>
      </w:r>
      <w:r w:rsidR="00C6773B" w:rsidRPr="00C6773B">
        <w:rPr>
          <w:rFonts w:ascii="Times New Roman" w:eastAsia="Calibri" w:hAnsi="Times New Roman" w:cs="Times New Roman"/>
          <w:b/>
          <w:noProof/>
          <w:sz w:val="24"/>
          <w:szCs w:val="24"/>
        </w:rPr>
        <w:t>,</w:t>
      </w:r>
      <w:r w:rsidR="00C6773B" w:rsidRPr="00C6773B">
        <w:rPr>
          <w:rFonts w:ascii="Times New Roman" w:eastAsia="Calibri" w:hAnsi="Times New Roman" w:cs="Times New Roman"/>
          <w:b/>
          <w:noProof/>
          <w:sz w:val="24"/>
          <w:szCs w:val="24"/>
        </w:rPr>
        <w:br/>
        <w:t>% no IKP</w:t>
      </w:r>
    </w:p>
    <w:p w14:paraId="2FF4C8A4" w14:textId="0F45349B" w:rsidR="00C6773B" w:rsidRPr="00C6773B" w:rsidRDefault="00C6773B" w:rsidP="00C6773B">
      <w:pPr>
        <w:spacing w:after="0" w:line="240" w:lineRule="auto"/>
        <w:ind w:firstLine="567"/>
        <w:jc w:val="both"/>
        <w:rPr>
          <w:rFonts w:ascii="Times New Roman" w:eastAsia="Times New Roman" w:hAnsi="Times New Roman" w:cs="Times New Roman"/>
          <w:sz w:val="24"/>
          <w:szCs w:val="20"/>
          <w:highlight w:val="yellow"/>
        </w:rPr>
      </w:pPr>
      <w:r w:rsidRPr="00C6773B">
        <w:rPr>
          <w:rFonts w:ascii="Times New Roman" w:eastAsia="Times New Roman" w:hAnsi="Times New Roman" w:cs="Times New Roman"/>
          <w:noProof/>
          <w:sz w:val="24"/>
          <w:szCs w:val="20"/>
        </w:rPr>
        <w:t>Analizējot vispārējās valdīb</w:t>
      </w:r>
      <w:r w:rsidR="009C5C07">
        <w:rPr>
          <w:rFonts w:ascii="Times New Roman" w:eastAsia="Times New Roman" w:hAnsi="Times New Roman" w:cs="Times New Roman"/>
          <w:noProof/>
          <w:sz w:val="24"/>
          <w:szCs w:val="20"/>
        </w:rPr>
        <w:t>as apakšsektoru</w:t>
      </w:r>
      <w:r w:rsidRPr="009C5C07">
        <w:rPr>
          <w:rFonts w:ascii="Times New Roman" w:eastAsia="Times New Roman" w:hAnsi="Times New Roman" w:cs="Times New Roman"/>
          <w:noProof/>
          <w:sz w:val="24"/>
          <w:szCs w:val="24"/>
          <w:vertAlign w:val="superscript"/>
        </w:rPr>
        <w:footnoteReference w:id="9"/>
      </w:r>
      <w:r w:rsidRPr="00C6773B">
        <w:rPr>
          <w:rFonts w:ascii="Times New Roman" w:eastAsia="Times New Roman" w:hAnsi="Times New Roman" w:cs="Times New Roman"/>
          <w:sz w:val="24"/>
          <w:szCs w:val="20"/>
        </w:rPr>
        <w:t xml:space="preserve"> ieguldījumu kopējā fiskālajā bilancē, jāsecina, ka visu budžeta bilanču līmenis bijis tuvu sabalansētam. Vietējā valdībā bijis pārpalikums 0,1% apmērā no IKP, bet centrālā valdībā deficīts.0,1% no IKP. </w:t>
      </w:r>
    </w:p>
    <w:p w14:paraId="5CC1F738" w14:textId="7DF8F273" w:rsidR="00C6773B" w:rsidRPr="00C6773B" w:rsidRDefault="00C6773B" w:rsidP="00C6773B">
      <w:pPr>
        <w:spacing w:after="0" w:line="240" w:lineRule="auto"/>
        <w:ind w:firstLine="567"/>
        <w:jc w:val="both"/>
        <w:rPr>
          <w:rFonts w:ascii="Times New Roman" w:eastAsia="Times New Roman" w:hAnsi="Times New Roman" w:cs="Times New Roman"/>
          <w:noProof/>
          <w:sz w:val="24"/>
          <w:szCs w:val="20"/>
          <w:highlight w:val="yellow"/>
        </w:rPr>
      </w:pPr>
      <w:r w:rsidRPr="00C6773B">
        <w:rPr>
          <w:rFonts w:ascii="Times New Roman" w:eastAsia="Times New Roman" w:hAnsi="Times New Roman" w:cs="Times New Roman"/>
          <w:sz w:val="24"/>
          <w:szCs w:val="20"/>
        </w:rPr>
        <w:t>Turpmākajos gados izdevumiem pieaugot</w:t>
      </w:r>
      <w:r w:rsidR="009C5C07">
        <w:rPr>
          <w:rFonts w:ascii="Times New Roman" w:eastAsia="Times New Roman" w:hAnsi="Times New Roman" w:cs="Times New Roman"/>
          <w:sz w:val="24"/>
          <w:szCs w:val="20"/>
        </w:rPr>
        <w:t>,</w:t>
      </w:r>
      <w:r w:rsidRPr="00C6773B">
        <w:rPr>
          <w:rFonts w:ascii="Times New Roman" w:eastAsia="Times New Roman" w:hAnsi="Times New Roman" w:cs="Times New Roman"/>
          <w:sz w:val="24"/>
          <w:szCs w:val="20"/>
        </w:rPr>
        <w:t xml:space="preserve"> tiek prognozēts centrālās valdības deficīta pieaugums, deficītam sasniedzot pēdējo gadu vidējo līmeni. Vietējās valdības un sociālās nodrošināšanas fondu bilancēs būtiskas svārstības budžeta deficīta un pārpalikuma virzienā uz Stabilitātes programmu netiek prognozētas. </w:t>
      </w:r>
    </w:p>
    <w:p w14:paraId="1D2A50A1" w14:textId="77777777" w:rsidR="00C6773B" w:rsidRPr="00907B96" w:rsidRDefault="00C6773B" w:rsidP="00EA2F8F">
      <w:pPr>
        <w:spacing w:line="240" w:lineRule="auto"/>
        <w:jc w:val="both"/>
        <w:rPr>
          <w:rFonts w:ascii="Times New Roman" w:hAnsi="Times New Roman" w:cs="Times New Roman"/>
          <w:noProof/>
          <w:sz w:val="24"/>
          <w:szCs w:val="24"/>
        </w:rPr>
      </w:pPr>
    </w:p>
    <w:p w14:paraId="7DA6C0EA" w14:textId="4A1098E7" w:rsidR="00313EDD" w:rsidRPr="00966E08" w:rsidRDefault="00A34463" w:rsidP="00966E08">
      <w:pPr>
        <w:pStyle w:val="Heading2"/>
        <w:numPr>
          <w:ilvl w:val="1"/>
          <w:numId w:val="1"/>
        </w:numPr>
        <w:spacing w:before="240" w:after="120"/>
        <w:ind w:left="709"/>
        <w:rPr>
          <w:rFonts w:ascii="Times New Roman" w:hAnsi="Times New Roman" w:cs="Times New Roman"/>
          <w:sz w:val="24"/>
        </w:rPr>
      </w:pPr>
      <w:bookmarkStart w:id="7" w:name="_Toc479331087"/>
      <w:r w:rsidRPr="00F51615">
        <w:rPr>
          <w:rFonts w:ascii="Times New Roman" w:hAnsi="Times New Roman" w:cs="Times New Roman"/>
          <w:sz w:val="24"/>
        </w:rPr>
        <w:t>Fiskālās politikas stratēģija un vidēja termiņa mērķis</w:t>
      </w:r>
      <w:bookmarkEnd w:id="7"/>
    </w:p>
    <w:p w14:paraId="36DB78D7" w14:textId="77777777" w:rsidR="0077183B" w:rsidRDefault="0077183B" w:rsidP="0077183B">
      <w:pPr>
        <w:spacing w:after="0" w:line="240" w:lineRule="auto"/>
        <w:ind w:firstLine="7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Latvijas fiskālās politikas stratēģija šogad ir vērsta uz divu mērķu sasniegšanu: </w:t>
      </w:r>
    </w:p>
    <w:p w14:paraId="1CB7AA06" w14:textId="3E3A7C93" w:rsidR="0077183B" w:rsidRDefault="0077183B" w:rsidP="0077183B">
      <w:pPr>
        <w:spacing w:after="0" w:line="240" w:lineRule="auto"/>
        <w:ind w:firstLine="7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(1) </w:t>
      </w:r>
      <w:r w:rsidRPr="004C414A">
        <w:rPr>
          <w:rFonts w:ascii="Times New Roman" w:eastAsia="Calibri" w:hAnsi="Times New Roman" w:cs="Times New Roman"/>
          <w:b/>
          <w:color w:val="000000"/>
          <w:sz w:val="24"/>
          <w:szCs w:val="24"/>
        </w:rPr>
        <w:t>Latvijas fiskālās politikas stratēģijas pamatā, tāpat, kā iepriekšējos gados, ir ekonomiskajā ciklā sabalansēta budžeta nosacījums jeb nosacījums, ka vispārējās valdības budžeta</w:t>
      </w:r>
      <w:r w:rsidRPr="004C414A">
        <w:rPr>
          <w:rFonts w:ascii="Times New Roman" w:hAnsi="Times New Roman" w:cs="Times New Roman"/>
          <w:b/>
          <w:sz w:val="24"/>
          <w:szCs w:val="24"/>
        </w:rPr>
        <w:t xml:space="preserve"> </w:t>
      </w:r>
      <w:r w:rsidR="00A82997" w:rsidRPr="004C414A">
        <w:rPr>
          <w:rFonts w:ascii="Times New Roman" w:eastAsia="Calibri" w:hAnsi="Times New Roman" w:cs="Times New Roman"/>
          <w:b/>
          <w:color w:val="000000"/>
          <w:sz w:val="24"/>
          <w:szCs w:val="24"/>
        </w:rPr>
        <w:t xml:space="preserve">strukturālais </w:t>
      </w:r>
      <w:r w:rsidRPr="004C414A">
        <w:rPr>
          <w:rFonts w:ascii="Times New Roman" w:eastAsia="Calibri" w:hAnsi="Times New Roman" w:cs="Times New Roman"/>
          <w:b/>
          <w:color w:val="000000"/>
          <w:sz w:val="24"/>
          <w:szCs w:val="24"/>
        </w:rPr>
        <w:t xml:space="preserve">deficīts ilgtermiņā (VTM) nedrīkst pārsniegt 0,5% no IKP. </w:t>
      </w:r>
    </w:p>
    <w:p w14:paraId="4D025A75" w14:textId="7F7E8A1E" w:rsidR="0077183B" w:rsidRPr="004C414A" w:rsidRDefault="0077183B" w:rsidP="0077183B">
      <w:pPr>
        <w:spacing w:after="0" w:line="240" w:lineRule="auto"/>
        <w:ind w:firstLine="7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(2) </w:t>
      </w:r>
      <w:r w:rsidRPr="004C414A">
        <w:rPr>
          <w:rFonts w:ascii="Times New Roman" w:eastAsia="Calibri" w:hAnsi="Times New Roman" w:cs="Times New Roman"/>
          <w:b/>
          <w:color w:val="000000"/>
          <w:sz w:val="24"/>
          <w:szCs w:val="24"/>
        </w:rPr>
        <w:t xml:space="preserve">Tomēr šogad līdzās budžeta sabalansētības nosacījumam, Latvijas fiskālās politikas stratēģija ietver mērķi panākt valsts ilgtspējīgu ekonomisko izrāvienu – ar fiskālās politikas pasākumiem </w:t>
      </w:r>
      <w:r>
        <w:rPr>
          <w:rFonts w:ascii="Times New Roman" w:eastAsia="Calibri" w:hAnsi="Times New Roman" w:cs="Times New Roman"/>
          <w:b/>
          <w:color w:val="000000"/>
          <w:sz w:val="24"/>
          <w:szCs w:val="24"/>
        </w:rPr>
        <w:t>dot ieguldījumu, lai potenciālā</w:t>
      </w:r>
      <w:r w:rsidRPr="004C414A">
        <w:rPr>
          <w:rFonts w:ascii="Times New Roman" w:eastAsia="Calibri" w:hAnsi="Times New Roman" w:cs="Times New Roman"/>
          <w:b/>
          <w:color w:val="000000"/>
          <w:sz w:val="24"/>
          <w:szCs w:val="24"/>
        </w:rPr>
        <w:t xml:space="preserve"> izaugsme pieaugtu no 3% no IKP uz </w:t>
      </w:r>
      <w:r>
        <w:rPr>
          <w:rFonts w:ascii="Times New Roman" w:eastAsia="Calibri" w:hAnsi="Times New Roman" w:cs="Times New Roman"/>
          <w:b/>
          <w:color w:val="000000"/>
          <w:sz w:val="24"/>
          <w:szCs w:val="24"/>
        </w:rPr>
        <w:t>5% no IKP.</w:t>
      </w:r>
    </w:p>
    <w:p w14:paraId="6E550FC5" w14:textId="41432896" w:rsidR="0077183B" w:rsidRDefault="00B77AD2" w:rsidP="0077183B">
      <w:pPr>
        <w:pStyle w:val="Heading2"/>
        <w:numPr>
          <w:ilvl w:val="2"/>
          <w:numId w:val="1"/>
        </w:numPr>
        <w:spacing w:before="240" w:after="120"/>
        <w:ind w:left="1418"/>
        <w:rPr>
          <w:rFonts w:ascii="Times New Roman" w:eastAsia="Calibri" w:hAnsi="Times New Roman" w:cs="Times New Roman"/>
          <w:color w:val="000000"/>
          <w:sz w:val="24"/>
          <w:szCs w:val="24"/>
        </w:rPr>
      </w:pPr>
      <w:bookmarkStart w:id="8" w:name="_Toc479331088"/>
      <w:r>
        <w:rPr>
          <w:rFonts w:ascii="Times New Roman" w:eastAsia="Calibri" w:hAnsi="Times New Roman" w:cs="Times New Roman"/>
          <w:color w:val="000000"/>
          <w:sz w:val="24"/>
          <w:szCs w:val="24"/>
        </w:rPr>
        <w:lastRenderedPageBreak/>
        <w:t>S</w:t>
      </w:r>
      <w:r w:rsidR="0077183B">
        <w:rPr>
          <w:rFonts w:ascii="Times New Roman" w:eastAsia="Calibri" w:hAnsi="Times New Roman" w:cs="Times New Roman"/>
          <w:color w:val="000000"/>
          <w:sz w:val="24"/>
          <w:szCs w:val="24"/>
        </w:rPr>
        <w:t>trukturālās bilances mērķa noteikšana</w:t>
      </w:r>
      <w:bookmarkEnd w:id="8"/>
    </w:p>
    <w:p w14:paraId="504AED87" w14:textId="6815B09D" w:rsidR="0077183B" w:rsidRPr="00D43138" w:rsidRDefault="0077183B" w:rsidP="0077183B">
      <w:pPr>
        <w:spacing w:after="0" w:line="240" w:lineRule="auto"/>
        <w:ind w:firstLine="720"/>
        <w:jc w:val="both"/>
        <w:rPr>
          <w:rFonts w:ascii="Times New Roman" w:eastAsia="Calibri" w:hAnsi="Times New Roman" w:cs="Times New Roman"/>
          <w:color w:val="000000"/>
          <w:sz w:val="24"/>
          <w:szCs w:val="24"/>
        </w:rPr>
      </w:pPr>
      <w:r w:rsidRPr="00D43138">
        <w:rPr>
          <w:rFonts w:ascii="Times New Roman" w:eastAsia="Calibri" w:hAnsi="Times New Roman" w:cs="Times New Roman"/>
          <w:color w:val="000000"/>
          <w:sz w:val="24"/>
          <w:szCs w:val="24"/>
        </w:rPr>
        <w:t xml:space="preserve">Šajā sadaļā tiek </w:t>
      </w:r>
      <w:r>
        <w:rPr>
          <w:rFonts w:ascii="Times New Roman" w:eastAsia="Calibri" w:hAnsi="Times New Roman" w:cs="Times New Roman"/>
          <w:color w:val="000000"/>
          <w:sz w:val="24"/>
          <w:szCs w:val="24"/>
        </w:rPr>
        <w:t xml:space="preserve">aprakstīta fiskālās politikas pirmā mērķa nodrošināšana un vidēja termiņa mērķis, bet informācija par fiskālās </w:t>
      </w:r>
      <w:r w:rsidRPr="00492A61">
        <w:rPr>
          <w:rFonts w:ascii="Times New Roman" w:eastAsia="Calibri" w:hAnsi="Times New Roman" w:cs="Times New Roman"/>
          <w:color w:val="000000"/>
          <w:sz w:val="24"/>
          <w:szCs w:val="24"/>
        </w:rPr>
        <w:t>politikas otro mērķi ir sniegta (</w:t>
      </w:r>
      <w:r w:rsidR="00492A61">
        <w:rPr>
          <w:rFonts w:ascii="Times New Roman" w:eastAsia="Calibri" w:hAnsi="Times New Roman" w:cs="Times New Roman"/>
          <w:color w:val="000000"/>
          <w:sz w:val="24"/>
          <w:szCs w:val="24"/>
        </w:rPr>
        <w:t xml:space="preserve">skat. </w:t>
      </w:r>
      <w:r w:rsidR="00B77911" w:rsidRPr="00492A61">
        <w:rPr>
          <w:rFonts w:ascii="Times New Roman" w:eastAsia="Calibri" w:hAnsi="Times New Roman" w:cs="Times New Roman"/>
          <w:color w:val="000000"/>
          <w:sz w:val="24"/>
          <w:szCs w:val="24"/>
        </w:rPr>
        <w:t>3.2.4.</w:t>
      </w:r>
      <w:r w:rsidRPr="00492A61">
        <w:rPr>
          <w:rFonts w:ascii="Times New Roman" w:eastAsia="Calibri" w:hAnsi="Times New Roman" w:cs="Times New Roman"/>
          <w:color w:val="000000"/>
          <w:sz w:val="24"/>
          <w:szCs w:val="24"/>
        </w:rPr>
        <w:t>sadaļā</w:t>
      </w:r>
      <w:r>
        <w:rPr>
          <w:rFonts w:ascii="Times New Roman" w:eastAsia="Calibri" w:hAnsi="Times New Roman" w:cs="Times New Roman"/>
          <w:color w:val="000000"/>
          <w:sz w:val="24"/>
          <w:szCs w:val="24"/>
        </w:rPr>
        <w:t>).</w:t>
      </w:r>
    </w:p>
    <w:p w14:paraId="658742B6" w14:textId="2F983DF5" w:rsidR="0077183B" w:rsidRPr="004C414A" w:rsidRDefault="0077183B" w:rsidP="0077183B">
      <w:pPr>
        <w:spacing w:after="0" w:line="240" w:lineRule="auto"/>
        <w:ind w:firstLine="720"/>
        <w:jc w:val="both"/>
        <w:rPr>
          <w:rFonts w:ascii="Times New Roman" w:eastAsia="Calibri" w:hAnsi="Times New Roman" w:cs="Times New Roman"/>
          <w:color w:val="000000"/>
          <w:sz w:val="24"/>
          <w:szCs w:val="24"/>
        </w:rPr>
      </w:pPr>
      <w:r w:rsidRPr="004C414A">
        <w:rPr>
          <w:rFonts w:ascii="Times New Roman" w:eastAsia="Calibri" w:hAnsi="Times New Roman" w:cs="Times New Roman"/>
          <w:color w:val="000000"/>
          <w:sz w:val="24"/>
          <w:szCs w:val="24"/>
          <w:u w:val="single"/>
        </w:rPr>
        <w:t>Pirmā fiskālās politikas stratēģiskā mērķa</w:t>
      </w:r>
      <w:r>
        <w:rPr>
          <w:rFonts w:ascii="Times New Roman" w:eastAsia="Calibri" w:hAnsi="Times New Roman" w:cs="Times New Roman"/>
          <w:color w:val="000000"/>
          <w:sz w:val="24"/>
          <w:szCs w:val="24"/>
        </w:rPr>
        <w:t xml:space="preserve"> sasniegšana tiek nodrošināta ar FDL un SIP. </w:t>
      </w:r>
      <w:r w:rsidRPr="0009609E">
        <w:rPr>
          <w:rFonts w:ascii="Times New Roman" w:eastAsia="Calibri" w:hAnsi="Times New Roman" w:cs="Times New Roman"/>
          <w:color w:val="000000"/>
          <w:sz w:val="24"/>
          <w:szCs w:val="24"/>
        </w:rPr>
        <w:t>2013.gadā pieņemtais FDL izveido</w:t>
      </w:r>
      <w:r>
        <w:rPr>
          <w:rFonts w:ascii="Times New Roman" w:eastAsia="Calibri" w:hAnsi="Times New Roman" w:cs="Times New Roman"/>
          <w:color w:val="000000"/>
          <w:sz w:val="24"/>
          <w:szCs w:val="24"/>
        </w:rPr>
        <w:t>ja</w:t>
      </w:r>
      <w:r w:rsidRPr="0009609E">
        <w:rPr>
          <w:rFonts w:ascii="Times New Roman" w:eastAsia="Calibri" w:hAnsi="Times New Roman" w:cs="Times New Roman"/>
          <w:color w:val="000000"/>
          <w:sz w:val="24"/>
          <w:szCs w:val="24"/>
        </w:rPr>
        <w:t xml:space="preserve"> sistēmu vispārējās valdības </w:t>
      </w:r>
      <w:r>
        <w:rPr>
          <w:rFonts w:ascii="Times New Roman" w:eastAsia="Calibri" w:hAnsi="Times New Roman" w:cs="Times New Roman"/>
          <w:color w:val="000000"/>
          <w:sz w:val="24"/>
          <w:szCs w:val="24"/>
        </w:rPr>
        <w:t xml:space="preserve">budžeta </w:t>
      </w:r>
      <w:r w:rsidRPr="0009609E">
        <w:rPr>
          <w:rFonts w:ascii="Times New Roman" w:eastAsia="Calibri" w:hAnsi="Times New Roman" w:cs="Times New Roman"/>
          <w:color w:val="000000"/>
          <w:sz w:val="24"/>
          <w:szCs w:val="24"/>
        </w:rPr>
        <w:t xml:space="preserve">bilances mērķu noteikšanai saskaņā ar </w:t>
      </w:r>
      <w:r w:rsidRPr="0009609E">
        <w:rPr>
          <w:rFonts w:ascii="Times New Roman" w:eastAsia="Calibri" w:hAnsi="Times New Roman" w:cs="Times New Roman"/>
          <w:i/>
          <w:color w:val="000000"/>
          <w:sz w:val="24"/>
          <w:szCs w:val="24"/>
        </w:rPr>
        <w:t>lejupvērsto budžeta bilances plānošanas metodi.</w:t>
      </w:r>
    </w:p>
    <w:p w14:paraId="111724D3" w14:textId="742663A5" w:rsidR="0077183B" w:rsidRPr="0009609E"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 xml:space="preserve">Šī metode ļauj izvirzīt vispārējās valdības </w:t>
      </w:r>
      <w:r>
        <w:rPr>
          <w:rFonts w:ascii="Times New Roman" w:eastAsia="Calibri" w:hAnsi="Times New Roman" w:cs="Times New Roman"/>
          <w:color w:val="000000"/>
          <w:sz w:val="24"/>
          <w:szCs w:val="24"/>
        </w:rPr>
        <w:t>budžeta</w:t>
      </w:r>
      <w:r w:rsidRPr="0009609E">
        <w:rPr>
          <w:rFonts w:ascii="Times New Roman" w:eastAsia="Calibri" w:hAnsi="Times New Roman" w:cs="Times New Roman"/>
          <w:color w:val="000000"/>
          <w:sz w:val="24"/>
          <w:szCs w:val="24"/>
        </w:rPr>
        <w:t xml:space="preserve"> </w:t>
      </w:r>
      <w:r w:rsidR="00003729" w:rsidRPr="0009609E">
        <w:rPr>
          <w:rFonts w:ascii="Times New Roman" w:eastAsia="Calibri" w:hAnsi="Times New Roman" w:cs="Times New Roman"/>
          <w:color w:val="000000"/>
          <w:sz w:val="24"/>
          <w:szCs w:val="24"/>
        </w:rPr>
        <w:t>strukturālās</w:t>
      </w:r>
      <w:r w:rsidR="00003729">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t>bilances mērķus katram gadam, tā lai tie atbilstu SIP nosacījumiem un attiecīgi aprēķināt minimālās nominālās bilances (maksimāli pieļaujamo vispārējās valdības deficītu vai minimālo pieļaujamo vispārējās valdības budžeta pārpalikumu).</w:t>
      </w:r>
    </w:p>
    <w:p w14:paraId="3FEC6AEC" w14:textId="77777777" w:rsidR="0077183B" w:rsidRPr="0009609E"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 xml:space="preserve">Vienlaicīgi tiek piemērota arī </w:t>
      </w:r>
      <w:r w:rsidRPr="0009609E">
        <w:rPr>
          <w:rFonts w:ascii="Times New Roman" w:eastAsia="Calibri" w:hAnsi="Times New Roman" w:cs="Times New Roman"/>
          <w:i/>
          <w:color w:val="000000"/>
          <w:sz w:val="24"/>
          <w:szCs w:val="24"/>
        </w:rPr>
        <w:t>augšupvērstā budžeta bilances plānošanas metode</w:t>
      </w:r>
      <w:r w:rsidRPr="0009609E">
        <w:rPr>
          <w:rFonts w:ascii="Times New Roman" w:eastAsia="Calibri" w:hAnsi="Times New Roman" w:cs="Times New Roman"/>
          <w:color w:val="000000"/>
          <w:sz w:val="24"/>
          <w:szCs w:val="24"/>
        </w:rPr>
        <w:t xml:space="preserve">, saskaņā ar kuru tiek prognozēta vispārējās valdības budžeta bilance </w:t>
      </w:r>
      <w:r w:rsidRPr="0009609E">
        <w:rPr>
          <w:rFonts w:ascii="Times New Roman" w:eastAsia="Calibri" w:hAnsi="Times New Roman" w:cs="Times New Roman"/>
          <w:b/>
          <w:color w:val="000000"/>
          <w:sz w:val="24"/>
          <w:szCs w:val="24"/>
        </w:rPr>
        <w:t>nemainīgas politikas gadījumā</w:t>
      </w:r>
      <w:r w:rsidRPr="0009609E">
        <w:rPr>
          <w:rFonts w:ascii="Times New Roman" w:eastAsia="Calibri" w:hAnsi="Times New Roman" w:cs="Times New Roman"/>
          <w:color w:val="000000"/>
          <w:sz w:val="24"/>
          <w:szCs w:val="24"/>
        </w:rPr>
        <w:t>. Arī saskaņā ar šo metodi tiek prognozēta vispārējās valdības budžeta bilance.</w:t>
      </w:r>
    </w:p>
    <w:p w14:paraId="6BCEC962" w14:textId="77777777" w:rsidR="0077183B" w:rsidRPr="0009609E"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Vispārīgā gadījumā vispārējās valdības budžeta bilances pēc abām metodēm atšķiras. Ja vispārējās valdības budžeta bilance pēc pirmās metodes</w:t>
      </w:r>
      <w:r w:rsidRPr="00313EDD">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t>ir lielāka, kā</w:t>
      </w:r>
      <w:r w:rsidRPr="00313EDD">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t>pēc otrās metodes, valdības rīcībā ir tā saucamā fiskālā telpa jeb iespējas palielināt izdevumus jaunām izdevumu politikas iniciatīvām vai samazināt ieņēmumus jaunām nodokļu politikas iniciatīvām. Ja vispārējās valdības budžeta bilance pēc</w:t>
      </w:r>
      <w:r>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t>pirmās metodes</w:t>
      </w:r>
      <w:r w:rsidRPr="00313EDD">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t>ir mazāka, kā</w:t>
      </w:r>
      <w:r w:rsidRPr="00313ED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pēc otrās metodes, valdībai</w:t>
      </w:r>
      <w:r w:rsidRPr="0009609E">
        <w:rPr>
          <w:rFonts w:ascii="Times New Roman" w:eastAsia="Calibri" w:hAnsi="Times New Roman" w:cs="Times New Roman"/>
          <w:color w:val="000000"/>
          <w:sz w:val="24"/>
          <w:szCs w:val="24"/>
        </w:rPr>
        <w:t xml:space="preserve"> ir jāveic konsolidācijas pasākumi, pieņemot diskrecionāros pasākumus izdevumu samazināšanai vai ieņēmumu palielināšanai.</w:t>
      </w:r>
      <w:r>
        <w:rPr>
          <w:rFonts w:ascii="Times New Roman" w:eastAsia="Calibri" w:hAnsi="Times New Roman" w:cs="Times New Roman"/>
          <w:color w:val="000000"/>
          <w:sz w:val="24"/>
          <w:szCs w:val="24"/>
        </w:rPr>
        <w:t xml:space="preserve"> </w:t>
      </w:r>
    </w:p>
    <w:p w14:paraId="771092C9" w14:textId="77777777"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 xml:space="preserve">Latvijā galvenie budžeta politikas lēmumi, kas skar vidēja termiņa izdevumu un ieņēmumu politiku tiek pieņemti nevis pavasarī, bet rudenī kopā ar gadskārtējo valsts budžeta likumu. Šajā laikā tiek izstrādāts ne tikai gadskārtējais valsts budžeta likums, bet </w:t>
      </w:r>
      <w:r>
        <w:rPr>
          <w:rFonts w:ascii="Times New Roman" w:eastAsia="Calibri" w:hAnsi="Times New Roman" w:cs="Times New Roman"/>
          <w:color w:val="000000"/>
          <w:sz w:val="24"/>
          <w:szCs w:val="24"/>
        </w:rPr>
        <w:t>arī</w:t>
      </w:r>
      <w:r w:rsidRPr="0009609E">
        <w:rPr>
          <w:rFonts w:ascii="Times New Roman" w:eastAsia="Calibri" w:hAnsi="Times New Roman" w:cs="Times New Roman"/>
          <w:color w:val="000000"/>
          <w:sz w:val="24"/>
          <w:szCs w:val="24"/>
        </w:rPr>
        <w:t xml:space="preserve"> Ietvara likums turpmākajiem 3 gadiem. Līdz ar to</w:t>
      </w:r>
      <w:r>
        <w:rPr>
          <w:rFonts w:ascii="Times New Roman" w:eastAsia="Calibri" w:hAnsi="Times New Roman" w:cs="Times New Roman"/>
          <w:color w:val="000000"/>
          <w:sz w:val="24"/>
          <w:szCs w:val="24"/>
        </w:rPr>
        <w:t xml:space="preserve"> starplaikā starp </w:t>
      </w:r>
      <w:r w:rsidRPr="009606F9">
        <w:rPr>
          <w:rFonts w:ascii="Times New Roman" w:eastAsia="Calibri" w:hAnsi="Times New Roman" w:cs="Times New Roman"/>
          <w:color w:val="000000"/>
          <w:sz w:val="24"/>
          <w:szCs w:val="24"/>
        </w:rPr>
        <w:t>Stabilitātes programmu 201</w:t>
      </w:r>
      <w:r>
        <w:rPr>
          <w:rFonts w:ascii="Times New Roman" w:eastAsia="Calibri" w:hAnsi="Times New Roman" w:cs="Times New Roman"/>
          <w:color w:val="000000"/>
          <w:sz w:val="24"/>
          <w:szCs w:val="24"/>
        </w:rPr>
        <w:t>6</w:t>
      </w:r>
      <w:r w:rsidRPr="009606F9">
        <w:rPr>
          <w:rFonts w:ascii="Times New Roman" w:eastAsia="Calibri" w:hAnsi="Times New Roman" w:cs="Times New Roman"/>
          <w:color w:val="000000"/>
          <w:sz w:val="24"/>
          <w:szCs w:val="24"/>
        </w:rPr>
        <w:t>.-201</w:t>
      </w:r>
      <w:r>
        <w:rPr>
          <w:rFonts w:ascii="Times New Roman" w:eastAsia="Calibri" w:hAnsi="Times New Roman" w:cs="Times New Roman"/>
          <w:color w:val="000000"/>
          <w:sz w:val="24"/>
          <w:szCs w:val="24"/>
        </w:rPr>
        <w:t>9</w:t>
      </w:r>
      <w:r w:rsidRPr="009606F9">
        <w:rPr>
          <w:rFonts w:ascii="Times New Roman" w:eastAsia="Calibri" w:hAnsi="Times New Roman" w:cs="Times New Roman"/>
          <w:color w:val="000000"/>
          <w:sz w:val="24"/>
          <w:szCs w:val="24"/>
        </w:rPr>
        <w:t>.gadam</w:t>
      </w:r>
      <w:r w:rsidRPr="0009609E">
        <w:rPr>
          <w:rFonts w:ascii="Times New Roman" w:eastAsia="Calibri" w:hAnsi="Times New Roman" w:cs="Times New Roman"/>
          <w:color w:val="000000"/>
          <w:sz w:val="24"/>
          <w:szCs w:val="24"/>
        </w:rPr>
        <w:t xml:space="preserve"> un </w:t>
      </w:r>
      <w:r w:rsidRPr="009606F9">
        <w:rPr>
          <w:rFonts w:ascii="Times New Roman" w:eastAsia="Calibri" w:hAnsi="Times New Roman" w:cs="Times New Roman"/>
          <w:color w:val="000000"/>
          <w:sz w:val="24"/>
          <w:szCs w:val="24"/>
        </w:rPr>
        <w:t>Stabilitātes programmas 201</w:t>
      </w:r>
      <w:r>
        <w:rPr>
          <w:rFonts w:ascii="Times New Roman" w:eastAsia="Calibri" w:hAnsi="Times New Roman" w:cs="Times New Roman"/>
          <w:color w:val="000000"/>
          <w:sz w:val="24"/>
          <w:szCs w:val="24"/>
        </w:rPr>
        <w:t>7</w:t>
      </w:r>
      <w:r w:rsidRPr="009606F9">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20</w:t>
      </w:r>
      <w:r w:rsidRPr="009606F9">
        <w:rPr>
          <w:rFonts w:ascii="Times New Roman" w:eastAsia="Calibri" w:hAnsi="Times New Roman" w:cs="Times New Roman"/>
          <w:color w:val="000000"/>
          <w:sz w:val="24"/>
          <w:szCs w:val="24"/>
        </w:rPr>
        <w:t>.gadam</w:t>
      </w:r>
      <w:r w:rsidRPr="0009609E">
        <w:rPr>
          <w:rFonts w:ascii="Times New Roman" w:eastAsia="Calibri" w:hAnsi="Times New Roman" w:cs="Times New Roman"/>
          <w:color w:val="000000"/>
          <w:sz w:val="24"/>
          <w:szCs w:val="24"/>
        </w:rPr>
        <w:t xml:space="preserve"> izstrādes brīdi ir pieņemti būtiski fiskālās politikas lēmum</w:t>
      </w:r>
      <w:r>
        <w:rPr>
          <w:rFonts w:ascii="Times New Roman" w:eastAsia="Calibri" w:hAnsi="Times New Roman" w:cs="Times New Roman"/>
          <w:color w:val="000000"/>
          <w:sz w:val="24"/>
          <w:szCs w:val="24"/>
        </w:rPr>
        <w:t>i, kas ir aizpildījuši visu 2017</w:t>
      </w:r>
      <w:r w:rsidRPr="0009609E">
        <w:rPr>
          <w:rFonts w:ascii="Times New Roman" w:eastAsia="Calibri" w:hAnsi="Times New Roman" w:cs="Times New Roman"/>
          <w:color w:val="000000"/>
          <w:sz w:val="24"/>
          <w:szCs w:val="24"/>
        </w:rPr>
        <w:t xml:space="preserve">.gada fiskālo telpu un veido pamatu </w:t>
      </w:r>
      <w:r w:rsidRPr="009606F9">
        <w:rPr>
          <w:rFonts w:ascii="Times New Roman" w:eastAsia="Calibri" w:hAnsi="Times New Roman" w:cs="Times New Roman"/>
          <w:color w:val="000000"/>
          <w:sz w:val="24"/>
          <w:szCs w:val="24"/>
        </w:rPr>
        <w:t>Stabilitātes programmas 201</w:t>
      </w:r>
      <w:r>
        <w:rPr>
          <w:rFonts w:ascii="Times New Roman" w:eastAsia="Calibri" w:hAnsi="Times New Roman" w:cs="Times New Roman"/>
          <w:color w:val="000000"/>
          <w:sz w:val="24"/>
          <w:szCs w:val="24"/>
        </w:rPr>
        <w:t>7</w:t>
      </w:r>
      <w:r w:rsidRPr="009606F9">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20</w:t>
      </w:r>
      <w:r w:rsidRPr="009606F9">
        <w:rPr>
          <w:rFonts w:ascii="Times New Roman" w:eastAsia="Calibri" w:hAnsi="Times New Roman" w:cs="Times New Roman"/>
          <w:color w:val="000000"/>
          <w:sz w:val="24"/>
          <w:szCs w:val="24"/>
        </w:rPr>
        <w:t>.gadam</w:t>
      </w:r>
      <w:r w:rsidRPr="0009609E">
        <w:rPr>
          <w:rFonts w:ascii="Times New Roman" w:eastAsia="Calibri" w:hAnsi="Times New Roman" w:cs="Times New Roman"/>
          <w:color w:val="000000"/>
          <w:sz w:val="24"/>
          <w:szCs w:val="24"/>
        </w:rPr>
        <w:t xml:space="preserve"> stratēģijas īstenošanai.</w:t>
      </w:r>
      <w:r>
        <w:rPr>
          <w:rFonts w:ascii="Times New Roman" w:eastAsia="Calibri" w:hAnsi="Times New Roman" w:cs="Times New Roman"/>
          <w:color w:val="000000"/>
          <w:sz w:val="24"/>
          <w:szCs w:val="24"/>
        </w:rPr>
        <w:t xml:space="preserve"> Šo lēmumu fiskālais efekts šajā Stabilitātes programmā ir iekļauts </w:t>
      </w:r>
      <w:r w:rsidRPr="00D43138">
        <w:rPr>
          <w:rFonts w:ascii="Times New Roman" w:eastAsia="Calibri" w:hAnsi="Times New Roman" w:cs="Times New Roman"/>
          <w:b/>
          <w:color w:val="000000"/>
          <w:sz w:val="24"/>
          <w:szCs w:val="24"/>
        </w:rPr>
        <w:t>nemainīgas politikas scenārijā.</w:t>
      </w:r>
    </w:p>
    <w:p w14:paraId="51DC0F4C" w14:textId="74183BB4"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Iepriekšējo gadu Stabilitātes programmās potenciālie lēmumi par pieejamās fiskālās telpas sadali netika aprakstīti, uzsverot, ka šie lēmumi tiks pieņemti rudenī un atspoguļoti budžeta plānā un nākamajā Stabilitātes programmā. Tomēr šogad Stabilitātes programmā ir iekļauta informācija par potenciālajiem lēmumiem attiecībā uz nodokļu reformu. Tas tāpēc, ka nodokļu reformas fiskālā ietekme ir būtiska, lēmumu projekti ir la</w:t>
      </w:r>
      <w:r w:rsidR="009C5C07">
        <w:rPr>
          <w:rFonts w:ascii="Times New Roman" w:eastAsia="Calibri" w:hAnsi="Times New Roman" w:cs="Times New Roman"/>
          <w:color w:val="000000"/>
          <w:sz w:val="24"/>
          <w:szCs w:val="24"/>
        </w:rPr>
        <w:t>bā sagatavotības stadijā un, tā</w:t>
      </w:r>
      <w:r>
        <w:rPr>
          <w:rFonts w:ascii="Times New Roman" w:eastAsia="Calibri" w:hAnsi="Times New Roman" w:cs="Times New Roman"/>
          <w:color w:val="000000"/>
          <w:sz w:val="24"/>
          <w:szCs w:val="24"/>
        </w:rPr>
        <w:t xml:space="preserve"> kā nodokļu reforma ir nozīmīgākais fiskālās politikas pasākums 2017.gadā, tās neatspoguļošanas Stabilitātes programmā būtiski mazinātu šīs programmas kvalitāti. Jāatzīmē, ka izmaiņas, kas saistītas ar nodokļu pamatnostādnēm ir atspoguļotas </w:t>
      </w:r>
      <w:r w:rsidRPr="00D43138">
        <w:rPr>
          <w:rFonts w:ascii="Times New Roman" w:eastAsia="Calibri" w:hAnsi="Times New Roman" w:cs="Times New Roman"/>
          <w:b/>
          <w:color w:val="000000"/>
          <w:sz w:val="24"/>
          <w:szCs w:val="24"/>
        </w:rPr>
        <w:t>mainīgas politikas scenārijā.</w:t>
      </w:r>
    </w:p>
    <w:p w14:paraId="797EC153" w14:textId="77777777" w:rsidR="0077183B" w:rsidRPr="0009609E" w:rsidRDefault="0077183B" w:rsidP="00B22254">
      <w:pPr>
        <w:spacing w:before="320" w:after="120" w:line="240" w:lineRule="auto"/>
        <w:ind w:firstLine="720"/>
        <w:jc w:val="both"/>
        <w:rPr>
          <w:rFonts w:ascii="Times New Roman" w:eastAsia="Calibri" w:hAnsi="Times New Roman" w:cs="Times New Roman"/>
          <w:b/>
          <w:color w:val="000000"/>
          <w:sz w:val="24"/>
          <w:szCs w:val="24"/>
        </w:rPr>
      </w:pPr>
      <w:r w:rsidRPr="0009609E">
        <w:rPr>
          <w:rFonts w:ascii="Times New Roman" w:eastAsia="Calibri" w:hAnsi="Times New Roman" w:cs="Times New Roman"/>
          <w:b/>
          <w:color w:val="000000"/>
          <w:sz w:val="24"/>
          <w:szCs w:val="24"/>
        </w:rPr>
        <w:t>Vidēja termiņa mērķis</w:t>
      </w:r>
    </w:p>
    <w:p w14:paraId="0ECB9574" w14:textId="77777777" w:rsidR="0077183B" w:rsidRPr="0009609E"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 xml:space="preserve">Attiecībā uz </w:t>
      </w:r>
      <w:r>
        <w:rPr>
          <w:rFonts w:ascii="Times New Roman" w:eastAsia="Calibri" w:hAnsi="Times New Roman" w:cs="Times New Roman"/>
          <w:color w:val="000000"/>
          <w:sz w:val="24"/>
          <w:szCs w:val="24"/>
        </w:rPr>
        <w:t>VTM</w:t>
      </w:r>
      <w:r w:rsidRPr="0009609E">
        <w:rPr>
          <w:rFonts w:ascii="Times New Roman" w:eastAsia="Calibri" w:hAnsi="Times New Roman" w:cs="Times New Roman"/>
          <w:color w:val="000000"/>
          <w:sz w:val="24"/>
          <w:szCs w:val="24"/>
        </w:rPr>
        <w:t xml:space="preserve"> tiek saglabāta</w:t>
      </w:r>
      <w:r>
        <w:rPr>
          <w:rFonts w:ascii="Times New Roman" w:eastAsia="Calibri" w:hAnsi="Times New Roman" w:cs="Times New Roman"/>
          <w:color w:val="000000"/>
          <w:sz w:val="24"/>
          <w:szCs w:val="24"/>
        </w:rPr>
        <w:t xml:space="preserve"> iepriekšējā</w:t>
      </w:r>
      <w:r w:rsidRPr="0009609E">
        <w:rPr>
          <w:rFonts w:ascii="Times New Roman" w:eastAsia="Calibri" w:hAnsi="Times New Roman" w:cs="Times New Roman"/>
          <w:color w:val="000000"/>
          <w:sz w:val="24"/>
          <w:szCs w:val="24"/>
        </w:rPr>
        <w:t xml:space="preserve"> Stabilitātes programmā </w:t>
      </w:r>
      <w:r>
        <w:rPr>
          <w:rFonts w:ascii="Times New Roman" w:eastAsia="Calibri" w:hAnsi="Times New Roman" w:cs="Times New Roman"/>
          <w:color w:val="000000"/>
          <w:sz w:val="24"/>
          <w:szCs w:val="24"/>
        </w:rPr>
        <w:t>definētā</w:t>
      </w:r>
      <w:r w:rsidRPr="0009609E">
        <w:rPr>
          <w:rFonts w:ascii="Times New Roman" w:eastAsia="Calibri" w:hAnsi="Times New Roman" w:cs="Times New Roman"/>
          <w:color w:val="000000"/>
          <w:sz w:val="24"/>
          <w:szCs w:val="24"/>
        </w:rPr>
        <w:t xml:space="preserve"> pieeja nosakot divus atšķirīgus VTM, nacionālo VTM, kas saglabājas -0,5% no IKP un VTM </w:t>
      </w:r>
      <w:r>
        <w:rPr>
          <w:rFonts w:ascii="Times New Roman" w:eastAsia="Calibri" w:hAnsi="Times New Roman" w:cs="Times New Roman"/>
          <w:color w:val="000000"/>
          <w:sz w:val="24"/>
          <w:szCs w:val="24"/>
        </w:rPr>
        <w:t>SIP izpratnē</w:t>
      </w:r>
      <w:r w:rsidRPr="0009609E">
        <w:rPr>
          <w:rFonts w:ascii="Times New Roman" w:eastAsia="Calibri" w:hAnsi="Times New Roman" w:cs="Times New Roman"/>
          <w:color w:val="000000"/>
          <w:sz w:val="24"/>
          <w:szCs w:val="24"/>
        </w:rPr>
        <w:t xml:space="preserve"> jeb VTM</w:t>
      </w:r>
      <w:r>
        <w:rPr>
          <w:rFonts w:ascii="Times New Roman" w:eastAsia="Calibri" w:hAnsi="Times New Roman" w:cs="Times New Roman"/>
          <w:color w:val="000000"/>
          <w:sz w:val="24"/>
          <w:szCs w:val="24"/>
        </w:rPr>
        <w:t xml:space="preserve"> </w:t>
      </w:r>
      <w:r w:rsidRPr="00313EDD">
        <w:rPr>
          <w:rFonts w:ascii="Times New Roman" w:eastAsia="Calibri" w:hAnsi="Times New Roman" w:cs="Times New Roman"/>
          <w:color w:val="000000"/>
          <w:sz w:val="24"/>
          <w:szCs w:val="24"/>
        </w:rPr>
        <w:t>SIP</w:t>
      </w:r>
      <w:r w:rsidRPr="0009609E">
        <w:rPr>
          <w:rFonts w:ascii="Times New Roman" w:eastAsia="Calibri" w:hAnsi="Times New Roman" w:cs="Times New Roman"/>
          <w:color w:val="000000"/>
          <w:sz w:val="24"/>
          <w:szCs w:val="24"/>
        </w:rPr>
        <w:t>, kas tiek noteikts -1,0% no IKP līmenī.</w:t>
      </w:r>
    </w:p>
    <w:p w14:paraId="333136C4" w14:textId="77777777" w:rsidR="0077183B" w:rsidRPr="0009609E" w:rsidRDefault="0077183B" w:rsidP="00B22254">
      <w:pPr>
        <w:spacing w:before="320" w:after="120" w:line="240" w:lineRule="auto"/>
        <w:ind w:firstLine="7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2018., 2019. un 2020</w:t>
      </w:r>
      <w:r w:rsidRPr="0009609E">
        <w:rPr>
          <w:rFonts w:ascii="Times New Roman" w:eastAsia="Calibri" w:hAnsi="Times New Roman" w:cs="Times New Roman"/>
          <w:b/>
          <w:color w:val="000000"/>
          <w:sz w:val="24"/>
          <w:szCs w:val="24"/>
        </w:rPr>
        <w:t>.gadu strukturālās bilances mērķi</w:t>
      </w:r>
    </w:p>
    <w:p w14:paraId="020EDCD1" w14:textId="798C5A70"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Vispārīgā pieeja paredz, ka </w:t>
      </w:r>
      <w:r w:rsidRPr="0009609E">
        <w:rPr>
          <w:rFonts w:ascii="Times New Roman" w:eastAsia="Calibri" w:hAnsi="Times New Roman" w:cs="Times New Roman"/>
          <w:color w:val="000000"/>
          <w:sz w:val="24"/>
          <w:szCs w:val="24"/>
        </w:rPr>
        <w:t>vispārējās valdības</w:t>
      </w:r>
      <w:r>
        <w:rPr>
          <w:rFonts w:ascii="Times New Roman" w:eastAsia="Calibri" w:hAnsi="Times New Roman" w:cs="Times New Roman"/>
          <w:color w:val="000000"/>
          <w:sz w:val="24"/>
          <w:szCs w:val="24"/>
        </w:rPr>
        <w:t xml:space="preserve"> budžeta strukturālās</w:t>
      </w:r>
      <w:r w:rsidRPr="0009609E">
        <w:rPr>
          <w:rFonts w:ascii="Times New Roman" w:eastAsia="Calibri" w:hAnsi="Times New Roman" w:cs="Times New Roman"/>
          <w:color w:val="000000"/>
          <w:sz w:val="24"/>
          <w:szCs w:val="24"/>
        </w:rPr>
        <w:t xml:space="preserve"> bilances mērķu noteikšanā tiek piemērota vairāku pakāpju metode</w:t>
      </w:r>
      <w:r>
        <w:rPr>
          <w:rFonts w:ascii="Times New Roman" w:eastAsia="Calibri" w:hAnsi="Times New Roman" w:cs="Times New Roman"/>
          <w:color w:val="000000"/>
          <w:sz w:val="24"/>
          <w:szCs w:val="24"/>
        </w:rPr>
        <w:t xml:space="preserve"> un tiem ir vienlaicīgi jānodrošina atbilstība gan nacionālā līmeņa fiskālajiem nosacījumiem (bilances nosacījums, izdevumu pieauguma nosacījums un izdevumu pārmantojamības nosacījums), kas definēti FDL, gan arī </w:t>
      </w:r>
      <w:r w:rsidR="00B22254">
        <w:rPr>
          <w:rFonts w:ascii="Times New Roman" w:eastAsia="Calibri" w:hAnsi="Times New Roman" w:cs="Times New Roman"/>
          <w:color w:val="000000"/>
          <w:sz w:val="24"/>
          <w:szCs w:val="24"/>
        </w:rPr>
        <w:t>EK</w:t>
      </w:r>
      <w:r>
        <w:rPr>
          <w:rFonts w:ascii="Times New Roman" w:eastAsia="Calibri" w:hAnsi="Times New Roman" w:cs="Times New Roman"/>
          <w:color w:val="000000"/>
          <w:sz w:val="24"/>
          <w:szCs w:val="24"/>
        </w:rPr>
        <w:t xml:space="preserve"> pielietotajai metodoloģijai.</w:t>
      </w:r>
    </w:p>
    <w:p w14:paraId="3BA15D18" w14:textId="377FE274"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Vispirms strukturālās bilances mērķi tiek aprēķināti pielietojot </w:t>
      </w:r>
      <w:r w:rsidRPr="00A71291">
        <w:rPr>
          <w:rFonts w:ascii="Times New Roman" w:eastAsia="Calibri" w:hAnsi="Times New Roman" w:cs="Times New Roman"/>
          <w:b/>
          <w:color w:val="000000"/>
          <w:sz w:val="24"/>
          <w:szCs w:val="24"/>
        </w:rPr>
        <w:t>bilances nosacījumu</w:t>
      </w:r>
      <w:r>
        <w:rPr>
          <w:rFonts w:ascii="Times New Roman" w:eastAsia="Calibri" w:hAnsi="Times New Roman" w:cs="Times New Roman"/>
          <w:color w:val="000000"/>
          <w:sz w:val="24"/>
          <w:szCs w:val="24"/>
        </w:rPr>
        <w:t xml:space="preserve">. Bilances nosacījuma pārbaudē </w:t>
      </w:r>
      <w:r w:rsidRPr="0009609E">
        <w:rPr>
          <w:rFonts w:ascii="Times New Roman" w:eastAsia="Calibri" w:hAnsi="Times New Roman" w:cs="Times New Roman"/>
          <w:color w:val="000000"/>
          <w:sz w:val="24"/>
          <w:szCs w:val="24"/>
        </w:rPr>
        <w:t>tiek veidoti divi scen</w:t>
      </w:r>
      <w:r>
        <w:rPr>
          <w:rFonts w:ascii="Times New Roman" w:eastAsia="Calibri" w:hAnsi="Times New Roman" w:cs="Times New Roman"/>
          <w:color w:val="000000"/>
          <w:sz w:val="24"/>
          <w:szCs w:val="24"/>
        </w:rPr>
        <w:t xml:space="preserve">āriji – viens ar nacionālo VTM </w:t>
      </w:r>
      <w:r w:rsidRPr="0009609E">
        <w:rPr>
          <w:rFonts w:ascii="Times New Roman" w:eastAsia="Calibri" w:hAnsi="Times New Roman" w:cs="Times New Roman"/>
          <w:color w:val="000000"/>
          <w:sz w:val="24"/>
          <w:szCs w:val="24"/>
        </w:rPr>
        <w:t xml:space="preserve">un otrs ar VTM </w:t>
      </w:r>
      <w:r>
        <w:rPr>
          <w:rFonts w:ascii="Times New Roman" w:eastAsia="Calibri" w:hAnsi="Times New Roman" w:cs="Times New Roman"/>
          <w:color w:val="000000"/>
          <w:sz w:val="24"/>
          <w:szCs w:val="24"/>
        </w:rPr>
        <w:t>SIP, kas ir nosacīts atskaites punkts</w:t>
      </w:r>
      <w:r w:rsidRPr="0009609E">
        <w:rPr>
          <w:rFonts w:ascii="Times New Roman" w:eastAsia="Calibri" w:hAnsi="Times New Roman" w:cs="Times New Roman"/>
          <w:color w:val="000000"/>
          <w:sz w:val="24"/>
          <w:szCs w:val="24"/>
        </w:rPr>
        <w:t>, kam tiek piemērotas atkāpes, kas izri</w:t>
      </w:r>
      <w:r>
        <w:rPr>
          <w:rFonts w:ascii="Times New Roman" w:eastAsia="Calibri" w:hAnsi="Times New Roman" w:cs="Times New Roman"/>
          <w:color w:val="000000"/>
          <w:sz w:val="24"/>
          <w:szCs w:val="24"/>
        </w:rPr>
        <w:t>et no iemaksu palielināšanās 2.</w:t>
      </w:r>
      <w:r w:rsidRPr="0009609E">
        <w:rPr>
          <w:rFonts w:ascii="Times New Roman" w:eastAsia="Calibri" w:hAnsi="Times New Roman" w:cs="Times New Roman"/>
          <w:color w:val="000000"/>
          <w:sz w:val="24"/>
          <w:szCs w:val="24"/>
        </w:rPr>
        <w:t>pensiju līmenī</w:t>
      </w:r>
      <w:r>
        <w:rPr>
          <w:rFonts w:ascii="Times New Roman" w:eastAsia="Calibri" w:hAnsi="Times New Roman" w:cs="Times New Roman"/>
          <w:color w:val="000000"/>
          <w:sz w:val="24"/>
          <w:szCs w:val="24"/>
        </w:rPr>
        <w:t xml:space="preserve"> un veselības reformu īstenošanas</w:t>
      </w:r>
      <w:r w:rsidRPr="008116D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Divu atšķirīgu VTM ieviešana </w:t>
      </w:r>
      <w:r w:rsidRPr="0009609E">
        <w:rPr>
          <w:rFonts w:ascii="Times New Roman" w:eastAsia="Calibri" w:hAnsi="Times New Roman" w:cs="Times New Roman"/>
          <w:color w:val="000000"/>
          <w:sz w:val="24"/>
          <w:szCs w:val="24"/>
        </w:rPr>
        <w:t xml:space="preserve">Latvijas fiskālajā politikā </w:t>
      </w:r>
      <w:r>
        <w:rPr>
          <w:rFonts w:ascii="Times New Roman" w:eastAsia="Calibri" w:hAnsi="Times New Roman" w:cs="Times New Roman"/>
          <w:color w:val="000000"/>
          <w:sz w:val="24"/>
          <w:szCs w:val="24"/>
        </w:rPr>
        <w:t>joprojām balstās piesardzīgā pieejā</w:t>
      </w:r>
      <w:r w:rsidRPr="0009609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lai</w:t>
      </w:r>
      <w:r w:rsidRPr="0009609E">
        <w:rPr>
          <w:rFonts w:ascii="Times New Roman" w:eastAsia="Calibri" w:hAnsi="Times New Roman" w:cs="Times New Roman"/>
          <w:color w:val="000000"/>
          <w:sz w:val="24"/>
          <w:szCs w:val="24"/>
        </w:rPr>
        <w:t xml:space="preserve"> noteiktie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00003729" w:rsidRPr="0009609E">
        <w:rPr>
          <w:rFonts w:ascii="Times New Roman" w:eastAsia="Calibri" w:hAnsi="Times New Roman" w:cs="Times New Roman"/>
          <w:color w:val="000000"/>
          <w:sz w:val="24"/>
          <w:szCs w:val="24"/>
        </w:rPr>
        <w:t xml:space="preserve">strukturālās </w:t>
      </w:r>
      <w:r w:rsidRPr="0009609E">
        <w:rPr>
          <w:rFonts w:ascii="Times New Roman" w:eastAsia="Calibri" w:hAnsi="Times New Roman" w:cs="Times New Roman"/>
          <w:color w:val="000000"/>
          <w:sz w:val="24"/>
          <w:szCs w:val="24"/>
        </w:rPr>
        <w:t>bilances mērķi ir saskaņā ne tik</w:t>
      </w:r>
      <w:r>
        <w:rPr>
          <w:rFonts w:ascii="Times New Roman" w:eastAsia="Calibri" w:hAnsi="Times New Roman" w:cs="Times New Roman"/>
          <w:color w:val="000000"/>
          <w:sz w:val="24"/>
          <w:szCs w:val="24"/>
        </w:rPr>
        <w:t xml:space="preserve">ai ar nacionālo pieeju, bet arī </w:t>
      </w:r>
      <w:r w:rsidRPr="0009609E">
        <w:rPr>
          <w:rFonts w:ascii="Times New Roman" w:eastAsia="Calibri" w:hAnsi="Times New Roman" w:cs="Times New Roman"/>
          <w:color w:val="000000"/>
          <w:sz w:val="24"/>
          <w:szCs w:val="24"/>
        </w:rPr>
        <w:t>tiktu nodrošināt</w:t>
      </w:r>
      <w:r w:rsidR="00B22254">
        <w:rPr>
          <w:rFonts w:ascii="Times New Roman" w:eastAsia="Calibri" w:hAnsi="Times New Roman" w:cs="Times New Roman"/>
          <w:color w:val="000000"/>
          <w:sz w:val="24"/>
          <w:szCs w:val="24"/>
        </w:rPr>
        <w:t>a atbilstība SIP nosacījumiem.</w:t>
      </w:r>
    </w:p>
    <w:p w14:paraId="387D3D6F" w14:textId="03ADD70C" w:rsidR="0077183B" w:rsidRPr="00732AC2" w:rsidRDefault="0077183B" w:rsidP="0077183B">
      <w:pPr>
        <w:spacing w:after="0" w:line="240" w:lineRule="auto"/>
        <w:ind w:firstLine="720"/>
        <w:jc w:val="both"/>
        <w:rPr>
          <w:rFonts w:ascii="Times New Roman" w:eastAsia="Calibri" w:hAnsi="Times New Roman" w:cs="Times New Roman"/>
          <w:color w:val="000000"/>
          <w:sz w:val="24"/>
          <w:szCs w:val="24"/>
        </w:rPr>
      </w:pPr>
      <w:r w:rsidRPr="00A71291">
        <w:rPr>
          <w:rFonts w:ascii="Times New Roman" w:eastAsia="Calibri" w:hAnsi="Times New Roman" w:cs="Times New Roman"/>
          <w:color w:val="000000"/>
          <w:sz w:val="24"/>
          <w:szCs w:val="24"/>
        </w:rPr>
        <w:t>FDL paredz, ka bilances nosacījuma ievērošana nav vienīgais fiskālais nosacījums.</w:t>
      </w:r>
      <w:r>
        <w:rPr>
          <w:rFonts w:ascii="Times New Roman" w:eastAsia="Calibri" w:hAnsi="Times New Roman" w:cs="Times New Roman"/>
          <w:color w:val="000000"/>
          <w:sz w:val="24"/>
          <w:szCs w:val="24"/>
        </w:rPr>
        <w:t xml:space="preserve"> Strukturālās bilances mērķu noteikšanā</w:t>
      </w:r>
      <w:r w:rsidRPr="00A7129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w:t>
      </w:r>
      <w:r w:rsidRPr="00A71291">
        <w:rPr>
          <w:rFonts w:ascii="Times New Roman" w:eastAsia="Calibri" w:hAnsi="Times New Roman" w:cs="Times New Roman"/>
          <w:color w:val="000000"/>
          <w:sz w:val="24"/>
          <w:szCs w:val="24"/>
        </w:rPr>
        <w:t xml:space="preserve">r jāievēro arī </w:t>
      </w:r>
      <w:r w:rsidRPr="00A71291">
        <w:rPr>
          <w:rFonts w:ascii="Times New Roman" w:eastAsia="Calibri" w:hAnsi="Times New Roman" w:cs="Times New Roman"/>
          <w:b/>
          <w:color w:val="000000"/>
          <w:sz w:val="24"/>
          <w:szCs w:val="24"/>
        </w:rPr>
        <w:t>izdevumu pieauguma</w:t>
      </w:r>
      <w:r w:rsidRPr="00A71291">
        <w:rPr>
          <w:rFonts w:ascii="Times New Roman" w:eastAsia="Calibri" w:hAnsi="Times New Roman" w:cs="Times New Roman"/>
          <w:color w:val="000000"/>
          <w:sz w:val="24"/>
          <w:szCs w:val="24"/>
        </w:rPr>
        <w:t xml:space="preserve"> </w:t>
      </w:r>
      <w:r w:rsidRPr="00A71291">
        <w:rPr>
          <w:rFonts w:ascii="Times New Roman" w:eastAsia="Calibri" w:hAnsi="Times New Roman" w:cs="Times New Roman"/>
          <w:b/>
          <w:color w:val="000000"/>
          <w:sz w:val="24"/>
          <w:szCs w:val="24"/>
        </w:rPr>
        <w:t>nosacījums</w:t>
      </w:r>
      <w:r w:rsidRPr="00A71291">
        <w:rPr>
          <w:rFonts w:ascii="Times New Roman" w:eastAsia="Calibri" w:hAnsi="Times New Roman" w:cs="Times New Roman"/>
          <w:color w:val="000000"/>
          <w:sz w:val="24"/>
          <w:szCs w:val="24"/>
        </w:rPr>
        <w:t xml:space="preserve">, ko nosaka Regula Nr. 1175/2011. Šis nosacījums vispārīgajā gadījumā var noteikt ambiciozākus vispārējās valdības budžeta </w:t>
      </w:r>
      <w:r w:rsidR="00003729" w:rsidRPr="00A71291">
        <w:rPr>
          <w:rFonts w:ascii="Times New Roman" w:eastAsia="Calibri" w:hAnsi="Times New Roman" w:cs="Times New Roman"/>
          <w:color w:val="000000"/>
          <w:sz w:val="24"/>
          <w:szCs w:val="24"/>
        </w:rPr>
        <w:t xml:space="preserve">strukturālās </w:t>
      </w:r>
      <w:r w:rsidRPr="00A71291">
        <w:rPr>
          <w:rFonts w:ascii="Times New Roman" w:eastAsia="Calibri" w:hAnsi="Times New Roman" w:cs="Times New Roman"/>
          <w:color w:val="000000"/>
          <w:sz w:val="24"/>
          <w:szCs w:val="24"/>
        </w:rPr>
        <w:t>bilances mērķus. FDL arī paredz, ka centrālās valdības izdevumi tiek noteikti Ietvara likumā turpmākajiem 3 gadiem un tie ir juridiski saistoši (</w:t>
      </w:r>
      <w:r w:rsidRPr="00A71291">
        <w:rPr>
          <w:rFonts w:ascii="Times New Roman" w:eastAsia="Calibri" w:hAnsi="Times New Roman" w:cs="Times New Roman"/>
          <w:b/>
          <w:color w:val="000000"/>
          <w:sz w:val="24"/>
          <w:szCs w:val="24"/>
        </w:rPr>
        <w:t>izdevumu pārmantojamības nosacījums</w:t>
      </w:r>
      <w:r w:rsidRPr="00A71291">
        <w:rPr>
          <w:rFonts w:ascii="Times New Roman" w:eastAsia="Calibri" w:hAnsi="Times New Roman" w:cs="Times New Roman"/>
          <w:color w:val="000000"/>
          <w:sz w:val="24"/>
          <w:szCs w:val="24"/>
        </w:rPr>
        <w:t xml:space="preserve">). Līdz ar to var izveidoties situācija, ka centrālās valdības izdevumu paturēšana iepriekšējā Ietvara likumā noteiktajā līmenī var mainīt vispārējās valdības budžeta </w:t>
      </w:r>
      <w:r w:rsidR="00A82997" w:rsidRPr="00A71291">
        <w:rPr>
          <w:rFonts w:ascii="Times New Roman" w:eastAsia="Calibri" w:hAnsi="Times New Roman" w:cs="Times New Roman"/>
          <w:color w:val="000000"/>
          <w:sz w:val="24"/>
          <w:szCs w:val="24"/>
        </w:rPr>
        <w:t xml:space="preserve">strukturālās </w:t>
      </w:r>
      <w:r w:rsidRPr="00A71291">
        <w:rPr>
          <w:rFonts w:ascii="Times New Roman" w:eastAsia="Calibri" w:hAnsi="Times New Roman" w:cs="Times New Roman"/>
          <w:color w:val="000000"/>
          <w:sz w:val="24"/>
          <w:szCs w:val="24"/>
        </w:rPr>
        <w:t xml:space="preserve">bilances mērķi. Tomēr izmaiņas ierobežo FDL noteikums, ka, ja izdevumu novirzes ir lielākas par 0,1% no IKP, izdevumi netiek saglabāti, bet tiek aprēķināti no jauna saskaņā ar vispārējās valdības budžeta </w:t>
      </w:r>
      <w:r w:rsidR="00A82997" w:rsidRPr="00A71291">
        <w:rPr>
          <w:rFonts w:ascii="Times New Roman" w:eastAsia="Calibri" w:hAnsi="Times New Roman" w:cs="Times New Roman"/>
          <w:color w:val="000000"/>
          <w:sz w:val="24"/>
          <w:szCs w:val="24"/>
        </w:rPr>
        <w:t xml:space="preserve">strukturālās </w:t>
      </w:r>
      <w:r w:rsidRPr="00A71291">
        <w:rPr>
          <w:rFonts w:ascii="Times New Roman" w:eastAsia="Calibri" w:hAnsi="Times New Roman" w:cs="Times New Roman"/>
          <w:color w:val="000000"/>
          <w:sz w:val="24"/>
          <w:szCs w:val="24"/>
        </w:rPr>
        <w:t>bilances un izdevumu pieauguma nosacījumiem.</w:t>
      </w:r>
    </w:p>
    <w:p w14:paraId="37AA8B64" w14:textId="1B1049FC" w:rsidR="0077183B" w:rsidRDefault="0077183B" w:rsidP="0077183B">
      <w:pPr>
        <w:spacing w:after="0" w:line="240" w:lineRule="auto"/>
        <w:ind w:firstLine="720"/>
        <w:jc w:val="both"/>
        <w:rPr>
          <w:rFonts w:ascii="Times New Roman" w:eastAsia="Calibri" w:hAnsi="Times New Roman" w:cs="Times New Roman"/>
          <w:color w:val="000000"/>
          <w:sz w:val="24"/>
          <w:szCs w:val="24"/>
        </w:rPr>
      </w:pPr>
    </w:p>
    <w:p w14:paraId="24B23A6B" w14:textId="6B4B9A57" w:rsidR="0077183B" w:rsidRDefault="0077183B" w:rsidP="00B22254">
      <w:pPr>
        <w:spacing w:after="0" w:line="240" w:lineRule="auto"/>
        <w:ind w:firstLine="720"/>
        <w:jc w:val="both"/>
        <w:rPr>
          <w:rFonts w:ascii="Times New Roman" w:eastAsia="Calibri" w:hAnsi="Times New Roman" w:cs="Times New Roman"/>
          <w:b/>
          <w:color w:val="000000"/>
          <w:sz w:val="24"/>
          <w:szCs w:val="24"/>
        </w:rPr>
      </w:pPr>
      <w:r w:rsidRPr="00075DEB">
        <w:rPr>
          <w:rFonts w:ascii="Times New Roman" w:eastAsia="Calibri" w:hAnsi="Times New Roman" w:cs="Times New Roman"/>
          <w:b/>
          <w:color w:val="000000"/>
          <w:sz w:val="24"/>
          <w:szCs w:val="24"/>
        </w:rPr>
        <w:t>Bilances mērķi, atbilstoši</w:t>
      </w:r>
      <w:r>
        <w:rPr>
          <w:rFonts w:ascii="Times New Roman" w:eastAsia="Calibri" w:hAnsi="Times New Roman" w:cs="Times New Roman"/>
          <w:b/>
          <w:color w:val="000000"/>
          <w:sz w:val="24"/>
          <w:szCs w:val="24"/>
        </w:rPr>
        <w:t xml:space="preserve"> bilances nosacījumam</w:t>
      </w:r>
      <w:r w:rsidRPr="00075DEB">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(SIP metodoloģija)</w:t>
      </w:r>
    </w:p>
    <w:p w14:paraId="689D7FAB" w14:textId="6A21DFE8" w:rsidR="0077183B" w:rsidRPr="00966E08" w:rsidRDefault="0077183B" w:rsidP="00B22254">
      <w:pPr>
        <w:spacing w:before="60"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Šajā sadaļā tiek noskaidrots</w:t>
      </w:r>
      <w:r>
        <w:rPr>
          <w:rFonts w:ascii="Times New Roman" w:eastAsia="Calibri" w:hAnsi="Times New Roman" w:cs="Times New Roman"/>
          <w:color w:val="000000"/>
          <w:sz w:val="24"/>
          <w:szCs w:val="24"/>
        </w:rPr>
        <w:t>,</w:t>
      </w:r>
      <w:r w:rsidRPr="0009609E">
        <w:rPr>
          <w:rFonts w:ascii="Times New Roman" w:eastAsia="Calibri" w:hAnsi="Times New Roman" w:cs="Times New Roman"/>
          <w:color w:val="000000"/>
          <w:sz w:val="24"/>
          <w:szCs w:val="24"/>
        </w:rPr>
        <w:t xml:space="preserve"> kāds var būt maksimāli pieļaujamais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00A82997" w:rsidRPr="0009609E">
        <w:rPr>
          <w:rFonts w:ascii="Times New Roman" w:eastAsia="Calibri" w:hAnsi="Times New Roman" w:cs="Times New Roman"/>
          <w:color w:val="000000"/>
          <w:sz w:val="24"/>
          <w:szCs w:val="24"/>
        </w:rPr>
        <w:t xml:space="preserve">strukturālās </w:t>
      </w:r>
      <w:r w:rsidRPr="0009609E">
        <w:rPr>
          <w:rFonts w:ascii="Times New Roman" w:eastAsia="Calibri" w:hAnsi="Times New Roman" w:cs="Times New Roman"/>
          <w:color w:val="000000"/>
          <w:sz w:val="24"/>
          <w:szCs w:val="24"/>
        </w:rPr>
        <w:t>bilances mērķis atbilstoši iepriekš minētajai SIP izpratnei. Kā jau iepriekš tika minēts, izejas pozīcija vispārējās valdības</w:t>
      </w:r>
      <w:r>
        <w:rPr>
          <w:rFonts w:ascii="Times New Roman" w:eastAsia="Calibri" w:hAnsi="Times New Roman" w:cs="Times New Roman"/>
          <w:color w:val="000000"/>
          <w:sz w:val="24"/>
          <w:szCs w:val="24"/>
        </w:rPr>
        <w:t xml:space="preserve"> budžeta </w:t>
      </w:r>
      <w:r w:rsidR="00DA1222" w:rsidRPr="0009609E">
        <w:rPr>
          <w:rFonts w:ascii="Times New Roman" w:eastAsia="Calibri" w:hAnsi="Times New Roman" w:cs="Times New Roman"/>
          <w:color w:val="000000"/>
          <w:sz w:val="24"/>
          <w:szCs w:val="24"/>
        </w:rPr>
        <w:t>struktur</w:t>
      </w:r>
      <w:r w:rsidR="00DA1222">
        <w:rPr>
          <w:rFonts w:ascii="Times New Roman" w:eastAsia="Calibri" w:hAnsi="Times New Roman" w:cs="Times New Roman"/>
          <w:color w:val="000000"/>
          <w:sz w:val="24"/>
          <w:szCs w:val="24"/>
        </w:rPr>
        <w:t xml:space="preserve">ālās </w:t>
      </w:r>
      <w:r>
        <w:rPr>
          <w:rFonts w:ascii="Times New Roman" w:eastAsia="Calibri" w:hAnsi="Times New Roman" w:cs="Times New Roman"/>
          <w:color w:val="000000"/>
          <w:sz w:val="24"/>
          <w:szCs w:val="24"/>
        </w:rPr>
        <w:t>bilances mērķa noteikšanai</w:t>
      </w:r>
      <w:r w:rsidRPr="0009609E">
        <w:rPr>
          <w:rFonts w:ascii="Times New Roman" w:eastAsia="Calibri" w:hAnsi="Times New Roman" w:cs="Times New Roman"/>
          <w:color w:val="000000"/>
          <w:sz w:val="24"/>
          <w:szCs w:val="24"/>
        </w:rPr>
        <w:t xml:space="preserve"> atbilstoši SIP izpratnei ir VTM -1% no IKP. Zemāk esošajā tabulā ir atspoguļotas turpmākās korekcijas.</w:t>
      </w:r>
    </w:p>
    <w:p w14:paraId="714B46E2" w14:textId="6FEB3227" w:rsidR="00B672CB" w:rsidRPr="00B672CB" w:rsidRDefault="0077183B" w:rsidP="00B672CB">
      <w:pPr>
        <w:spacing w:before="120" w:after="120" w:line="240" w:lineRule="auto"/>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3.1</w:t>
      </w:r>
      <w:r w:rsidRPr="0009609E">
        <w:rPr>
          <w:rFonts w:ascii="Times New Roman" w:eastAsia="Calibri" w:hAnsi="Times New Roman" w:cs="Times New Roman"/>
          <w:b/>
          <w:color w:val="000000"/>
          <w:sz w:val="24"/>
          <w:szCs w:val="24"/>
        </w:rPr>
        <w:t>.tabula. Strukturālās bilances mē</w:t>
      </w:r>
      <w:r w:rsidR="00C6773B">
        <w:rPr>
          <w:rFonts w:ascii="Times New Roman" w:eastAsia="Calibri" w:hAnsi="Times New Roman" w:cs="Times New Roman"/>
          <w:b/>
          <w:color w:val="000000"/>
          <w:sz w:val="24"/>
          <w:szCs w:val="24"/>
        </w:rPr>
        <w:t xml:space="preserve">rķis, atbilstoši SIP </w:t>
      </w:r>
      <w:r w:rsidR="0025180F">
        <w:rPr>
          <w:rFonts w:ascii="Times New Roman" w:eastAsia="Calibri" w:hAnsi="Times New Roman" w:cs="Times New Roman"/>
          <w:b/>
          <w:color w:val="000000"/>
          <w:sz w:val="24"/>
          <w:szCs w:val="24"/>
        </w:rPr>
        <w:t>metodoloģijai</w:t>
      </w:r>
      <w:r w:rsidR="00B672CB">
        <w:rPr>
          <w:rFonts w:ascii="Times New Roman" w:eastAsia="Calibri" w:hAnsi="Times New Roman" w:cs="Times New Roman"/>
          <w:color w:val="000000"/>
          <w:sz w:val="24"/>
          <w:szCs w:val="24"/>
        </w:rPr>
        <w:fldChar w:fldCharType="begin"/>
      </w:r>
      <w:r w:rsidR="00B672CB">
        <w:rPr>
          <w:rFonts w:ascii="Times New Roman" w:eastAsia="Calibri" w:hAnsi="Times New Roman" w:cs="Times New Roman"/>
          <w:color w:val="000000"/>
          <w:sz w:val="24"/>
          <w:szCs w:val="24"/>
        </w:rPr>
        <w:instrText xml:space="preserve"> LINK Excel.Sheet.12 "\\\\fs\\fpd\\FPD\\Tautsaimniecibas_un_fiskalas_parvaldibas_nodala\\Gints\\_Eiropas_semestris\\_SP_2017_2020\\merki_29032017\\izdevumu_griesti_SP2017\\bilances_nosac\\SBmerkis_29032017.xlsx" "Sheet1!R4C2:R14C12" \f 4 \h \* MERGEFORMAT </w:instrText>
      </w:r>
      <w:r w:rsidR="00B672CB">
        <w:rPr>
          <w:rFonts w:ascii="Times New Roman" w:eastAsia="Calibri" w:hAnsi="Times New Roman" w:cs="Times New Roman"/>
          <w:color w:val="000000"/>
          <w:sz w:val="24"/>
          <w:szCs w:val="24"/>
        </w:rPr>
        <w:fldChar w:fldCharType="separate"/>
      </w:r>
    </w:p>
    <w:tbl>
      <w:tblPr>
        <w:tblStyle w:val="GridTable6Colorful-Accent1"/>
        <w:tblW w:w="9493" w:type="dxa"/>
        <w:jc w:val="center"/>
        <w:tblLook w:val="04A0" w:firstRow="1" w:lastRow="0" w:firstColumn="1" w:lastColumn="0" w:noHBand="0" w:noVBand="1"/>
      </w:tblPr>
      <w:tblGrid>
        <w:gridCol w:w="1704"/>
        <w:gridCol w:w="1106"/>
        <w:gridCol w:w="700"/>
        <w:gridCol w:w="700"/>
        <w:gridCol w:w="700"/>
        <w:gridCol w:w="699"/>
        <w:gridCol w:w="700"/>
        <w:gridCol w:w="700"/>
        <w:gridCol w:w="783"/>
        <w:gridCol w:w="850"/>
        <w:gridCol w:w="851"/>
      </w:tblGrid>
      <w:tr w:rsidR="00B672CB" w:rsidRPr="00B672CB" w14:paraId="6943A65C" w14:textId="77777777" w:rsidTr="00B672C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47C79EAD" w14:textId="321BD871" w:rsidR="00B672CB" w:rsidRPr="00B672CB" w:rsidRDefault="00B672CB" w:rsidP="00B672CB">
            <w:pPr>
              <w:rPr>
                <w:rFonts w:ascii="Times New Roman" w:eastAsia="Times New Roman" w:hAnsi="Times New Roman" w:cs="Times New Roman"/>
                <w:sz w:val="18"/>
                <w:szCs w:val="18"/>
                <w:lang w:eastAsia="lv-LV"/>
              </w:rPr>
            </w:pPr>
          </w:p>
        </w:tc>
        <w:tc>
          <w:tcPr>
            <w:tcW w:w="1806" w:type="dxa"/>
            <w:gridSpan w:val="2"/>
            <w:noWrap/>
            <w:hideMark/>
          </w:tcPr>
          <w:p w14:paraId="501F227F" w14:textId="77777777" w:rsidR="00B672CB" w:rsidRPr="00B672CB" w:rsidRDefault="00B672CB" w:rsidP="00B67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557B3F32"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2013</w:t>
            </w:r>
          </w:p>
        </w:tc>
        <w:tc>
          <w:tcPr>
            <w:tcW w:w="700" w:type="dxa"/>
            <w:noWrap/>
            <w:hideMark/>
          </w:tcPr>
          <w:p w14:paraId="743451EE"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2014</w:t>
            </w:r>
          </w:p>
        </w:tc>
        <w:tc>
          <w:tcPr>
            <w:tcW w:w="699" w:type="dxa"/>
            <w:noWrap/>
            <w:hideMark/>
          </w:tcPr>
          <w:p w14:paraId="1637FF77"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2015</w:t>
            </w:r>
          </w:p>
        </w:tc>
        <w:tc>
          <w:tcPr>
            <w:tcW w:w="700" w:type="dxa"/>
            <w:noWrap/>
            <w:hideMark/>
          </w:tcPr>
          <w:p w14:paraId="7D503033"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2016</w:t>
            </w:r>
          </w:p>
        </w:tc>
        <w:tc>
          <w:tcPr>
            <w:tcW w:w="700" w:type="dxa"/>
            <w:noWrap/>
            <w:hideMark/>
          </w:tcPr>
          <w:p w14:paraId="085608AC"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2017</w:t>
            </w:r>
          </w:p>
        </w:tc>
        <w:tc>
          <w:tcPr>
            <w:tcW w:w="783" w:type="dxa"/>
            <w:noWrap/>
            <w:hideMark/>
          </w:tcPr>
          <w:p w14:paraId="67975093"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2018</w:t>
            </w:r>
          </w:p>
        </w:tc>
        <w:tc>
          <w:tcPr>
            <w:tcW w:w="850" w:type="dxa"/>
            <w:noWrap/>
            <w:hideMark/>
          </w:tcPr>
          <w:p w14:paraId="32FB0A0B"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2019</w:t>
            </w:r>
          </w:p>
        </w:tc>
        <w:tc>
          <w:tcPr>
            <w:tcW w:w="851" w:type="dxa"/>
            <w:noWrap/>
            <w:hideMark/>
          </w:tcPr>
          <w:p w14:paraId="63BD1E63"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2020</w:t>
            </w:r>
          </w:p>
        </w:tc>
      </w:tr>
      <w:tr w:rsidR="00B672CB" w:rsidRPr="00B672CB" w14:paraId="31E99A26" w14:textId="77777777" w:rsidTr="00B672C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635214ED"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(1)</w:t>
            </w:r>
          </w:p>
        </w:tc>
        <w:tc>
          <w:tcPr>
            <w:tcW w:w="1806" w:type="dxa"/>
            <w:gridSpan w:val="2"/>
            <w:noWrap/>
            <w:hideMark/>
          </w:tcPr>
          <w:p w14:paraId="5EF9AB73"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VTM</w:t>
            </w:r>
          </w:p>
        </w:tc>
        <w:tc>
          <w:tcPr>
            <w:tcW w:w="700" w:type="dxa"/>
            <w:noWrap/>
            <w:hideMark/>
          </w:tcPr>
          <w:p w14:paraId="2B335570"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c>
          <w:tcPr>
            <w:tcW w:w="700" w:type="dxa"/>
            <w:noWrap/>
            <w:hideMark/>
          </w:tcPr>
          <w:p w14:paraId="6B616A6C"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c>
          <w:tcPr>
            <w:tcW w:w="699" w:type="dxa"/>
            <w:noWrap/>
            <w:hideMark/>
          </w:tcPr>
          <w:p w14:paraId="133CAF0B"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c>
          <w:tcPr>
            <w:tcW w:w="700" w:type="dxa"/>
            <w:noWrap/>
            <w:hideMark/>
          </w:tcPr>
          <w:p w14:paraId="1A13EB93"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c>
          <w:tcPr>
            <w:tcW w:w="700" w:type="dxa"/>
            <w:noWrap/>
            <w:hideMark/>
          </w:tcPr>
          <w:p w14:paraId="0941312F"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c>
          <w:tcPr>
            <w:tcW w:w="783" w:type="dxa"/>
            <w:noWrap/>
            <w:hideMark/>
          </w:tcPr>
          <w:p w14:paraId="25089631"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c>
          <w:tcPr>
            <w:tcW w:w="850" w:type="dxa"/>
            <w:noWrap/>
            <w:hideMark/>
          </w:tcPr>
          <w:p w14:paraId="55769F87"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c>
          <w:tcPr>
            <w:tcW w:w="851" w:type="dxa"/>
            <w:noWrap/>
            <w:hideMark/>
          </w:tcPr>
          <w:p w14:paraId="42D2F40E"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-1.0%</w:t>
            </w:r>
          </w:p>
        </w:tc>
      </w:tr>
      <w:tr w:rsidR="00B672CB" w:rsidRPr="00B672CB" w14:paraId="0CCBFBD8" w14:textId="77777777" w:rsidTr="00B672CB">
        <w:trPr>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69CB6E35"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(2)</w:t>
            </w:r>
          </w:p>
        </w:tc>
        <w:tc>
          <w:tcPr>
            <w:tcW w:w="1106" w:type="dxa"/>
            <w:noWrap/>
            <w:hideMark/>
          </w:tcPr>
          <w:p w14:paraId="3C4FCF41"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pensiju reforma</w:t>
            </w:r>
          </w:p>
        </w:tc>
        <w:tc>
          <w:tcPr>
            <w:tcW w:w="700" w:type="dxa"/>
            <w:noWrap/>
            <w:hideMark/>
          </w:tcPr>
          <w:p w14:paraId="5CCECEF2"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 2% uz 4%</w:t>
            </w:r>
          </w:p>
        </w:tc>
        <w:tc>
          <w:tcPr>
            <w:tcW w:w="700" w:type="dxa"/>
            <w:shd w:val="clear" w:color="auto" w:fill="D0CECE" w:themeFill="background2" w:themeFillShade="E6"/>
            <w:noWrap/>
            <w:hideMark/>
          </w:tcPr>
          <w:p w14:paraId="04E60E0F"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w:t>
            </w:r>
          </w:p>
        </w:tc>
        <w:tc>
          <w:tcPr>
            <w:tcW w:w="700" w:type="dxa"/>
            <w:noWrap/>
            <w:hideMark/>
          </w:tcPr>
          <w:p w14:paraId="08B5F765"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w:t>
            </w:r>
          </w:p>
        </w:tc>
        <w:tc>
          <w:tcPr>
            <w:tcW w:w="699" w:type="dxa"/>
            <w:noWrap/>
            <w:hideMark/>
          </w:tcPr>
          <w:p w14:paraId="47E09C0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w:t>
            </w:r>
          </w:p>
        </w:tc>
        <w:tc>
          <w:tcPr>
            <w:tcW w:w="700" w:type="dxa"/>
            <w:shd w:val="clear" w:color="auto" w:fill="D0CECE" w:themeFill="background2" w:themeFillShade="E6"/>
            <w:noWrap/>
            <w:hideMark/>
          </w:tcPr>
          <w:p w14:paraId="0ECEBD8B"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700" w:type="dxa"/>
            <w:noWrap/>
            <w:hideMark/>
          </w:tcPr>
          <w:p w14:paraId="2C4A40C9"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83" w:type="dxa"/>
            <w:noWrap/>
            <w:hideMark/>
          </w:tcPr>
          <w:p w14:paraId="37A416D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2D0D1C4F"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1" w:type="dxa"/>
            <w:noWrap/>
            <w:hideMark/>
          </w:tcPr>
          <w:p w14:paraId="6B03D33F"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r>
      <w:tr w:rsidR="00B672CB" w:rsidRPr="00B672CB" w14:paraId="75D2DF16" w14:textId="77777777" w:rsidTr="00B672C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08894CF0"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(3)</w:t>
            </w:r>
          </w:p>
        </w:tc>
        <w:tc>
          <w:tcPr>
            <w:tcW w:w="1106" w:type="dxa"/>
            <w:noWrap/>
            <w:hideMark/>
          </w:tcPr>
          <w:p w14:paraId="165940E6"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791B6362"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 4% uz 5%</w:t>
            </w:r>
          </w:p>
        </w:tc>
        <w:tc>
          <w:tcPr>
            <w:tcW w:w="700" w:type="dxa"/>
            <w:noWrap/>
            <w:hideMark/>
          </w:tcPr>
          <w:p w14:paraId="2AC0B0C5"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3D4A4D4F"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699" w:type="dxa"/>
            <w:shd w:val="clear" w:color="auto" w:fill="D0CECE" w:themeFill="background2" w:themeFillShade="E6"/>
            <w:noWrap/>
            <w:hideMark/>
          </w:tcPr>
          <w:p w14:paraId="66849E12"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r w:rsidRPr="00B672CB">
              <w:rPr>
                <w:rFonts w:ascii="Times New Roman" w:eastAsia="Times New Roman" w:hAnsi="Times New Roman" w:cs="Times New Roman"/>
                <w:color w:val="000000"/>
                <w:sz w:val="18"/>
                <w:szCs w:val="18"/>
                <w:shd w:val="clear" w:color="auto" w:fill="D0CECE" w:themeFill="background2" w:themeFillShade="E6"/>
                <w:lang w:eastAsia="lv-LV"/>
              </w:rPr>
              <w:t>%</w:t>
            </w:r>
          </w:p>
        </w:tc>
        <w:tc>
          <w:tcPr>
            <w:tcW w:w="700" w:type="dxa"/>
            <w:noWrap/>
            <w:hideMark/>
          </w:tcPr>
          <w:p w14:paraId="08B11898"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00" w:type="dxa"/>
            <w:noWrap/>
            <w:hideMark/>
          </w:tcPr>
          <w:p w14:paraId="0D0942F5"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83" w:type="dxa"/>
            <w:shd w:val="clear" w:color="auto" w:fill="D0CECE" w:themeFill="background2" w:themeFillShade="E6"/>
            <w:noWrap/>
            <w:hideMark/>
          </w:tcPr>
          <w:p w14:paraId="375A6C46"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850" w:type="dxa"/>
            <w:noWrap/>
            <w:hideMark/>
          </w:tcPr>
          <w:p w14:paraId="22F886E8"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1" w:type="dxa"/>
            <w:noWrap/>
            <w:hideMark/>
          </w:tcPr>
          <w:p w14:paraId="335C4514"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r>
      <w:tr w:rsidR="00B672CB" w:rsidRPr="00B672CB" w14:paraId="5FB2FA23" w14:textId="77777777" w:rsidTr="00B672CB">
        <w:trPr>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35C5527E"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(4)</w:t>
            </w:r>
          </w:p>
        </w:tc>
        <w:tc>
          <w:tcPr>
            <w:tcW w:w="1106" w:type="dxa"/>
            <w:noWrap/>
            <w:hideMark/>
          </w:tcPr>
          <w:p w14:paraId="6DFA7D38"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3DA2B831"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 5% uz 6%</w:t>
            </w:r>
          </w:p>
        </w:tc>
        <w:tc>
          <w:tcPr>
            <w:tcW w:w="700" w:type="dxa"/>
            <w:noWrap/>
            <w:hideMark/>
          </w:tcPr>
          <w:p w14:paraId="26810A8A"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3F7E28B3"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699" w:type="dxa"/>
            <w:noWrap/>
            <w:hideMark/>
          </w:tcPr>
          <w:p w14:paraId="65EC2953"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shd w:val="clear" w:color="auto" w:fill="D0CECE" w:themeFill="background2" w:themeFillShade="E6"/>
            <w:noWrap/>
            <w:hideMark/>
          </w:tcPr>
          <w:p w14:paraId="2FFA4E3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00" w:type="dxa"/>
            <w:noWrap/>
            <w:hideMark/>
          </w:tcPr>
          <w:p w14:paraId="30984205"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83" w:type="dxa"/>
            <w:noWrap/>
            <w:hideMark/>
          </w:tcPr>
          <w:p w14:paraId="5C2974B5"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850" w:type="dxa"/>
            <w:noWrap/>
            <w:hideMark/>
          </w:tcPr>
          <w:p w14:paraId="3D6F3B1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851" w:type="dxa"/>
            <w:noWrap/>
            <w:hideMark/>
          </w:tcPr>
          <w:p w14:paraId="6F3BAEEF"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r>
      <w:tr w:rsidR="00B672CB" w:rsidRPr="00B672CB" w14:paraId="494AA73D" w14:textId="77777777" w:rsidTr="00B672C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7032FF88"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(5)</w:t>
            </w:r>
          </w:p>
        </w:tc>
        <w:tc>
          <w:tcPr>
            <w:tcW w:w="1106" w:type="dxa"/>
            <w:noWrap/>
            <w:hideMark/>
          </w:tcPr>
          <w:p w14:paraId="6F81F70B"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veselības reformas</w:t>
            </w:r>
          </w:p>
        </w:tc>
        <w:tc>
          <w:tcPr>
            <w:tcW w:w="700" w:type="dxa"/>
            <w:noWrap/>
            <w:hideMark/>
          </w:tcPr>
          <w:p w14:paraId="67EF5DE6"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64F238F6"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3B80319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699" w:type="dxa"/>
            <w:noWrap/>
            <w:hideMark/>
          </w:tcPr>
          <w:p w14:paraId="3FFB9A91"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32657A4D"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 </w:t>
            </w:r>
          </w:p>
        </w:tc>
        <w:tc>
          <w:tcPr>
            <w:tcW w:w="700" w:type="dxa"/>
            <w:shd w:val="clear" w:color="auto" w:fill="D0CECE" w:themeFill="background2" w:themeFillShade="E6"/>
            <w:noWrap/>
            <w:hideMark/>
          </w:tcPr>
          <w:p w14:paraId="7A11BCB4"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-0.1%</w:t>
            </w:r>
          </w:p>
        </w:tc>
        <w:tc>
          <w:tcPr>
            <w:tcW w:w="783" w:type="dxa"/>
            <w:noWrap/>
            <w:hideMark/>
          </w:tcPr>
          <w:p w14:paraId="15813257"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-0.4%</w:t>
            </w:r>
          </w:p>
        </w:tc>
        <w:tc>
          <w:tcPr>
            <w:tcW w:w="850" w:type="dxa"/>
            <w:noWrap/>
            <w:hideMark/>
          </w:tcPr>
          <w:p w14:paraId="1874EB48"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851" w:type="dxa"/>
            <w:shd w:val="clear" w:color="auto" w:fill="D0CECE" w:themeFill="background2" w:themeFillShade="E6"/>
            <w:noWrap/>
            <w:hideMark/>
          </w:tcPr>
          <w:p w14:paraId="5872DB0F"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0.0%</w:t>
            </w:r>
          </w:p>
        </w:tc>
      </w:tr>
      <w:tr w:rsidR="00B672CB" w:rsidRPr="00B672CB" w14:paraId="162E009C" w14:textId="77777777" w:rsidTr="00B672CB">
        <w:trPr>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4FFEB25D"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(6)=sum(1;2;3;4;5)</w:t>
            </w:r>
          </w:p>
        </w:tc>
        <w:tc>
          <w:tcPr>
            <w:tcW w:w="1106" w:type="dxa"/>
            <w:noWrap/>
            <w:hideMark/>
          </w:tcPr>
          <w:p w14:paraId="790D8681"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maksimālā strukturālā bilance</w:t>
            </w:r>
          </w:p>
        </w:tc>
        <w:tc>
          <w:tcPr>
            <w:tcW w:w="700" w:type="dxa"/>
            <w:noWrap/>
            <w:hideMark/>
          </w:tcPr>
          <w:p w14:paraId="16EDF236"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4171B219"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41CA3090"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699" w:type="dxa"/>
            <w:noWrap/>
            <w:hideMark/>
          </w:tcPr>
          <w:p w14:paraId="04B5E91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51BBFCF5"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33E4288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83" w:type="dxa"/>
            <w:noWrap/>
            <w:hideMark/>
          </w:tcPr>
          <w:p w14:paraId="52F3C7F7"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-1.7%</w:t>
            </w:r>
          </w:p>
        </w:tc>
        <w:tc>
          <w:tcPr>
            <w:tcW w:w="850" w:type="dxa"/>
            <w:noWrap/>
            <w:hideMark/>
          </w:tcPr>
          <w:p w14:paraId="6D4B3169"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-1.5%</w:t>
            </w:r>
          </w:p>
        </w:tc>
        <w:tc>
          <w:tcPr>
            <w:tcW w:w="851" w:type="dxa"/>
            <w:noWrap/>
            <w:hideMark/>
          </w:tcPr>
          <w:p w14:paraId="78B36B73"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-1.0%</w:t>
            </w:r>
          </w:p>
        </w:tc>
      </w:tr>
      <w:tr w:rsidR="00B672CB" w:rsidRPr="00B672CB" w14:paraId="1A98A3C2" w14:textId="77777777" w:rsidTr="00B672C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7DDA0E73"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(7)</w:t>
            </w:r>
          </w:p>
        </w:tc>
        <w:tc>
          <w:tcPr>
            <w:tcW w:w="1106" w:type="dxa"/>
            <w:noWrap/>
            <w:hideMark/>
          </w:tcPr>
          <w:p w14:paraId="3169514E"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cikliskā komponente</w:t>
            </w:r>
          </w:p>
        </w:tc>
        <w:tc>
          <w:tcPr>
            <w:tcW w:w="700" w:type="dxa"/>
            <w:noWrap/>
            <w:hideMark/>
          </w:tcPr>
          <w:p w14:paraId="3060FD2C"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13DD40AD"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2A06EF76"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699" w:type="dxa"/>
            <w:noWrap/>
            <w:hideMark/>
          </w:tcPr>
          <w:p w14:paraId="671D47B3"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695482F4"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6A30BE2E"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83" w:type="dxa"/>
            <w:noWrap/>
            <w:hideMark/>
          </w:tcPr>
          <w:p w14:paraId="6AFCC7FF"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0.1%</w:t>
            </w:r>
          </w:p>
        </w:tc>
        <w:tc>
          <w:tcPr>
            <w:tcW w:w="850" w:type="dxa"/>
            <w:noWrap/>
            <w:hideMark/>
          </w:tcPr>
          <w:p w14:paraId="7E9160F1"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851" w:type="dxa"/>
            <w:noWrap/>
            <w:hideMark/>
          </w:tcPr>
          <w:p w14:paraId="2A40FF8E"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r>
      <w:tr w:rsidR="00B672CB" w:rsidRPr="00B672CB" w14:paraId="1AD13843" w14:textId="77777777" w:rsidTr="00B672CB">
        <w:trPr>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6CCF13A7"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(8)=(6)+(7)</w:t>
            </w:r>
          </w:p>
        </w:tc>
        <w:tc>
          <w:tcPr>
            <w:tcW w:w="1106" w:type="dxa"/>
            <w:noWrap/>
            <w:hideMark/>
          </w:tcPr>
          <w:p w14:paraId="5F31E720"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cikliski koriģētais</w:t>
            </w:r>
          </w:p>
        </w:tc>
        <w:tc>
          <w:tcPr>
            <w:tcW w:w="700" w:type="dxa"/>
            <w:noWrap/>
            <w:hideMark/>
          </w:tcPr>
          <w:p w14:paraId="187CA167"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004899AE"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7C3C509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699" w:type="dxa"/>
            <w:noWrap/>
            <w:hideMark/>
          </w:tcPr>
          <w:p w14:paraId="30ECD3C1"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088450A2"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57160F32"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83" w:type="dxa"/>
            <w:noWrap/>
            <w:hideMark/>
          </w:tcPr>
          <w:p w14:paraId="0451E1C9"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-1.6%</w:t>
            </w:r>
          </w:p>
        </w:tc>
        <w:tc>
          <w:tcPr>
            <w:tcW w:w="850" w:type="dxa"/>
            <w:noWrap/>
            <w:hideMark/>
          </w:tcPr>
          <w:p w14:paraId="544F8FB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-1.2%</w:t>
            </w:r>
          </w:p>
        </w:tc>
        <w:tc>
          <w:tcPr>
            <w:tcW w:w="851" w:type="dxa"/>
            <w:noWrap/>
            <w:hideMark/>
          </w:tcPr>
          <w:p w14:paraId="0B496C6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-0.7%</w:t>
            </w:r>
          </w:p>
        </w:tc>
      </w:tr>
      <w:tr w:rsidR="00B672CB" w:rsidRPr="00B672CB" w14:paraId="0D109796" w14:textId="77777777" w:rsidTr="00B672C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676831B0"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(9)</w:t>
            </w:r>
          </w:p>
        </w:tc>
        <w:tc>
          <w:tcPr>
            <w:tcW w:w="1106" w:type="dxa"/>
            <w:noWrap/>
            <w:hideMark/>
          </w:tcPr>
          <w:p w14:paraId="2347147E"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vienreizējie pasākumi</w:t>
            </w:r>
          </w:p>
        </w:tc>
        <w:tc>
          <w:tcPr>
            <w:tcW w:w="700" w:type="dxa"/>
            <w:noWrap/>
            <w:hideMark/>
          </w:tcPr>
          <w:p w14:paraId="78E9DA4C"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3E687C1D"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496E2A98"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699" w:type="dxa"/>
            <w:noWrap/>
            <w:hideMark/>
          </w:tcPr>
          <w:p w14:paraId="2264DCB1"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1273331E"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687CBDF1"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83" w:type="dxa"/>
            <w:noWrap/>
            <w:hideMark/>
          </w:tcPr>
          <w:p w14:paraId="148FC1A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6A053494"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1" w:type="dxa"/>
            <w:noWrap/>
            <w:hideMark/>
          </w:tcPr>
          <w:p w14:paraId="64BEF6D8"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r>
      <w:tr w:rsidR="00B672CB" w:rsidRPr="00B672CB" w14:paraId="3606B2E4" w14:textId="77777777" w:rsidTr="00B672CB">
        <w:trPr>
          <w:trHeight w:val="273"/>
          <w:jc w:val="center"/>
        </w:trPr>
        <w:tc>
          <w:tcPr>
            <w:cnfStyle w:val="001000000000" w:firstRow="0" w:lastRow="0" w:firstColumn="1" w:lastColumn="0" w:oddVBand="0" w:evenVBand="0" w:oddHBand="0" w:evenHBand="0" w:firstRowFirstColumn="0" w:firstRowLastColumn="0" w:lastRowFirstColumn="0" w:lastRowLastColumn="0"/>
            <w:tcW w:w="1704" w:type="dxa"/>
            <w:noWrap/>
            <w:hideMark/>
          </w:tcPr>
          <w:p w14:paraId="5094042C"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(10)=(8)+(9)</w:t>
            </w:r>
          </w:p>
        </w:tc>
        <w:tc>
          <w:tcPr>
            <w:tcW w:w="1106" w:type="dxa"/>
            <w:noWrap/>
            <w:hideMark/>
          </w:tcPr>
          <w:p w14:paraId="5970EC0B"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nominālā bilance</w:t>
            </w:r>
          </w:p>
        </w:tc>
        <w:tc>
          <w:tcPr>
            <w:tcW w:w="700" w:type="dxa"/>
            <w:noWrap/>
            <w:hideMark/>
          </w:tcPr>
          <w:p w14:paraId="5C1C3697"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0" w:type="dxa"/>
            <w:noWrap/>
            <w:hideMark/>
          </w:tcPr>
          <w:p w14:paraId="41671B7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-0.9%</w:t>
            </w:r>
          </w:p>
        </w:tc>
        <w:tc>
          <w:tcPr>
            <w:tcW w:w="700" w:type="dxa"/>
            <w:noWrap/>
            <w:hideMark/>
          </w:tcPr>
          <w:p w14:paraId="2B95918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-1.6%</w:t>
            </w:r>
          </w:p>
        </w:tc>
        <w:tc>
          <w:tcPr>
            <w:tcW w:w="699" w:type="dxa"/>
            <w:noWrap/>
            <w:hideMark/>
          </w:tcPr>
          <w:p w14:paraId="23FDA897"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-1.3%</w:t>
            </w:r>
          </w:p>
        </w:tc>
        <w:tc>
          <w:tcPr>
            <w:tcW w:w="700" w:type="dxa"/>
            <w:noWrap/>
            <w:hideMark/>
          </w:tcPr>
          <w:p w14:paraId="55395E94"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700" w:type="dxa"/>
            <w:noWrap/>
            <w:hideMark/>
          </w:tcPr>
          <w:p w14:paraId="14EE36A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-1.0%</w:t>
            </w:r>
          </w:p>
        </w:tc>
        <w:tc>
          <w:tcPr>
            <w:tcW w:w="783" w:type="dxa"/>
            <w:shd w:val="clear" w:color="auto" w:fill="D0CECE" w:themeFill="background2" w:themeFillShade="E6"/>
            <w:noWrap/>
            <w:hideMark/>
          </w:tcPr>
          <w:p w14:paraId="11B43556"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-1.58%</w:t>
            </w:r>
          </w:p>
        </w:tc>
        <w:tc>
          <w:tcPr>
            <w:tcW w:w="850" w:type="dxa"/>
            <w:shd w:val="clear" w:color="auto" w:fill="D0CECE" w:themeFill="background2" w:themeFillShade="E6"/>
            <w:noWrap/>
            <w:hideMark/>
          </w:tcPr>
          <w:p w14:paraId="496ED75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-1.24%</w:t>
            </w:r>
          </w:p>
        </w:tc>
        <w:tc>
          <w:tcPr>
            <w:tcW w:w="851" w:type="dxa"/>
            <w:shd w:val="clear" w:color="auto" w:fill="D0CECE" w:themeFill="background2" w:themeFillShade="E6"/>
            <w:noWrap/>
            <w:hideMark/>
          </w:tcPr>
          <w:p w14:paraId="3C48202A"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-0.73%</w:t>
            </w:r>
          </w:p>
        </w:tc>
      </w:tr>
    </w:tbl>
    <w:p w14:paraId="1663F6CC" w14:textId="0E90333C" w:rsidR="0077183B" w:rsidRDefault="00B672CB" w:rsidP="00B22254">
      <w:pPr>
        <w:spacing w:before="200"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fldChar w:fldCharType="end"/>
      </w:r>
      <w:r w:rsidR="0077183B" w:rsidRPr="0009609E">
        <w:rPr>
          <w:rFonts w:ascii="Times New Roman" w:eastAsia="Calibri" w:hAnsi="Times New Roman" w:cs="Times New Roman"/>
          <w:color w:val="000000"/>
          <w:sz w:val="24"/>
          <w:szCs w:val="24"/>
        </w:rPr>
        <w:t xml:space="preserve">Attiecībā uz atkāpju modeli, kas izriet no iemaksu palielināšanas </w:t>
      </w:r>
      <w:r w:rsidR="0077183B">
        <w:rPr>
          <w:rFonts w:ascii="Times New Roman" w:eastAsia="Calibri" w:hAnsi="Times New Roman" w:cs="Times New Roman"/>
          <w:color w:val="000000"/>
          <w:sz w:val="24"/>
          <w:szCs w:val="24"/>
        </w:rPr>
        <w:t>2.</w:t>
      </w:r>
      <w:r w:rsidR="0077183B" w:rsidRPr="0009609E">
        <w:rPr>
          <w:rFonts w:ascii="Times New Roman" w:eastAsia="Calibri" w:hAnsi="Times New Roman" w:cs="Times New Roman"/>
          <w:color w:val="000000"/>
          <w:sz w:val="24"/>
          <w:szCs w:val="24"/>
        </w:rPr>
        <w:t xml:space="preserve">pensiju līmenī, </w:t>
      </w:r>
      <w:r w:rsidR="0077183B">
        <w:rPr>
          <w:rFonts w:ascii="Times New Roman" w:eastAsia="Calibri" w:hAnsi="Times New Roman" w:cs="Times New Roman"/>
          <w:color w:val="000000"/>
          <w:sz w:val="24"/>
          <w:szCs w:val="24"/>
        </w:rPr>
        <w:t>Latvija saglabā tādu pašu pieeju</w:t>
      </w:r>
      <w:r w:rsidR="0077183B" w:rsidRPr="0009609E">
        <w:rPr>
          <w:rFonts w:ascii="Times New Roman" w:eastAsia="Calibri" w:hAnsi="Times New Roman" w:cs="Times New Roman"/>
          <w:color w:val="000000"/>
          <w:sz w:val="24"/>
          <w:szCs w:val="24"/>
        </w:rPr>
        <w:t xml:space="preserve"> kā</w:t>
      </w:r>
      <w:r w:rsidR="0077183B">
        <w:rPr>
          <w:rFonts w:ascii="Times New Roman" w:eastAsia="Calibri" w:hAnsi="Times New Roman" w:cs="Times New Roman"/>
          <w:color w:val="000000"/>
          <w:sz w:val="24"/>
          <w:szCs w:val="24"/>
        </w:rPr>
        <w:t xml:space="preserve"> iepriekšējā</w:t>
      </w:r>
      <w:r w:rsidR="0077183B" w:rsidRPr="0009609E">
        <w:rPr>
          <w:rFonts w:ascii="Times New Roman" w:eastAsia="Calibri" w:hAnsi="Times New Roman" w:cs="Times New Roman"/>
          <w:color w:val="000000"/>
          <w:sz w:val="24"/>
          <w:szCs w:val="24"/>
        </w:rPr>
        <w:t xml:space="preserve"> </w:t>
      </w:r>
      <w:r w:rsidR="0077183B">
        <w:rPr>
          <w:rFonts w:ascii="Times New Roman" w:eastAsia="Calibri" w:hAnsi="Times New Roman" w:cs="Times New Roman"/>
          <w:color w:val="000000"/>
          <w:sz w:val="24"/>
          <w:szCs w:val="24"/>
        </w:rPr>
        <w:t>Stabilitātes programmā</w:t>
      </w:r>
      <w:r w:rsidR="0077183B" w:rsidRPr="0009609E">
        <w:rPr>
          <w:rFonts w:ascii="Times New Roman" w:eastAsia="Calibri" w:hAnsi="Times New Roman" w:cs="Times New Roman"/>
          <w:color w:val="000000"/>
          <w:sz w:val="24"/>
          <w:szCs w:val="24"/>
        </w:rPr>
        <w:t xml:space="preserve">. Iemaksu palielinājums 2.pensiju līmenī joprojām tiek veikts 3 posmos: 2013.gadā palielinot iemaksas no 2 uz 4% (fiskālā ietekme 0,50% no IKP), 2015.gadā palielinot iemaksas </w:t>
      </w:r>
      <w:r w:rsidR="0077183B">
        <w:rPr>
          <w:rFonts w:ascii="Times New Roman" w:eastAsia="Calibri" w:hAnsi="Times New Roman" w:cs="Times New Roman"/>
          <w:color w:val="000000"/>
          <w:sz w:val="24"/>
          <w:szCs w:val="24"/>
        </w:rPr>
        <w:t>no 4 uz 5% (fiskālā ietekme 0,3</w:t>
      </w:r>
      <w:r w:rsidR="0077183B" w:rsidRPr="0009609E">
        <w:rPr>
          <w:rFonts w:ascii="Times New Roman" w:eastAsia="Calibri" w:hAnsi="Times New Roman" w:cs="Times New Roman"/>
          <w:color w:val="000000"/>
          <w:sz w:val="24"/>
          <w:szCs w:val="24"/>
        </w:rPr>
        <w:t xml:space="preserve">% no IKP) un 2016.gadā palielinot iemaksu </w:t>
      </w:r>
      <w:r w:rsidR="0077183B">
        <w:rPr>
          <w:rFonts w:ascii="Times New Roman" w:eastAsia="Calibri" w:hAnsi="Times New Roman" w:cs="Times New Roman"/>
          <w:color w:val="000000"/>
          <w:sz w:val="24"/>
          <w:szCs w:val="24"/>
        </w:rPr>
        <w:t>no 5 uz 6% (fiskālā ietekme 0,3</w:t>
      </w:r>
      <w:r w:rsidR="0077183B" w:rsidRPr="0009609E">
        <w:rPr>
          <w:rFonts w:ascii="Times New Roman" w:eastAsia="Calibri" w:hAnsi="Times New Roman" w:cs="Times New Roman"/>
          <w:color w:val="000000"/>
          <w:sz w:val="24"/>
          <w:szCs w:val="24"/>
        </w:rPr>
        <w:t xml:space="preserve">% no IKP). </w:t>
      </w:r>
      <w:r w:rsidR="0077183B">
        <w:rPr>
          <w:rFonts w:ascii="Times New Roman" w:eastAsia="Calibri" w:hAnsi="Times New Roman" w:cs="Times New Roman"/>
          <w:color w:val="000000"/>
          <w:sz w:val="24"/>
          <w:szCs w:val="24"/>
        </w:rPr>
        <w:lastRenderedPageBreak/>
        <w:t>A</w:t>
      </w:r>
      <w:r w:rsidR="0077183B" w:rsidRPr="0009609E">
        <w:rPr>
          <w:rFonts w:ascii="Times New Roman" w:eastAsia="Calibri" w:hAnsi="Times New Roman" w:cs="Times New Roman"/>
          <w:color w:val="000000"/>
          <w:sz w:val="24"/>
          <w:szCs w:val="24"/>
        </w:rPr>
        <w:t>tkāpju apmērs trīs gadu griezumā saglabājās nemainīgā apmērā, kāds tas bija pirmajā gadā un nobīde tiek likvidē</w:t>
      </w:r>
      <w:r w:rsidR="0077183B">
        <w:rPr>
          <w:rFonts w:ascii="Times New Roman" w:eastAsia="Calibri" w:hAnsi="Times New Roman" w:cs="Times New Roman"/>
          <w:color w:val="000000"/>
          <w:sz w:val="24"/>
          <w:szCs w:val="24"/>
        </w:rPr>
        <w:t xml:space="preserve">ta pilnā apmērā ceturtajā gadā. </w:t>
      </w:r>
    </w:p>
    <w:p w14:paraId="13FFA6E3" w14:textId="77777777" w:rsidR="0077183B" w:rsidRPr="0009609E" w:rsidRDefault="0077183B" w:rsidP="00B22254">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Piešķirtās atkāpes no VTM saistībā ar veselības reformas īstenošanu tiek saglabātas līdzšinējā apmērā, proti, 2017.gadā 0,1% no IKP, 2018.gadā 0,4% no IKP un 2019.gadā 0,5% no IKP. </w:t>
      </w:r>
    </w:p>
    <w:p w14:paraId="51B1FD79" w14:textId="469CA684"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Summējot VTM ar attiecīgajām atkāpēm turpmāko aprēķinu vajadzībām iegūst maksimālo strukturālo bilanci, kas ir -1,7% no IKP 2018.ga</w:t>
      </w:r>
      <w:r w:rsidR="00F1691B">
        <w:rPr>
          <w:rFonts w:ascii="Times New Roman" w:eastAsia="Calibri" w:hAnsi="Times New Roman" w:cs="Times New Roman"/>
          <w:color w:val="000000"/>
          <w:sz w:val="24"/>
          <w:szCs w:val="24"/>
        </w:rPr>
        <w:t>dā, -1,5 % no IKP 2019.gadā un -</w:t>
      </w:r>
      <w:r w:rsidR="00F1691B" w:rsidRPr="00A71291">
        <w:rPr>
          <w:rFonts w:ascii="Times New Roman" w:eastAsia="Calibri" w:hAnsi="Times New Roman" w:cs="Times New Roman"/>
          <w:color w:val="000000"/>
          <w:sz w:val="24"/>
          <w:szCs w:val="24"/>
        </w:rPr>
        <w:t> </w:t>
      </w:r>
      <w:r>
        <w:rPr>
          <w:rFonts w:ascii="Times New Roman" w:eastAsia="Calibri" w:hAnsi="Times New Roman" w:cs="Times New Roman"/>
          <w:color w:val="000000"/>
          <w:sz w:val="24"/>
          <w:szCs w:val="24"/>
        </w:rPr>
        <w:t xml:space="preserve">1,0% no IKP 2020.gadā. </w:t>
      </w:r>
    </w:p>
    <w:p w14:paraId="3455EED6" w14:textId="67B78E92"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Pēc t</w:t>
      </w:r>
      <w:r>
        <w:rPr>
          <w:rFonts w:ascii="Times New Roman" w:eastAsia="Calibri" w:hAnsi="Times New Roman" w:cs="Times New Roman"/>
          <w:color w:val="000000"/>
          <w:sz w:val="24"/>
          <w:szCs w:val="24"/>
        </w:rPr>
        <w:t>am, kad ir noskaidrota</w:t>
      </w:r>
      <w:r w:rsidRPr="0009609E">
        <w:rPr>
          <w:rFonts w:ascii="Times New Roman" w:eastAsia="Calibri" w:hAnsi="Times New Roman" w:cs="Times New Roman"/>
          <w:color w:val="000000"/>
          <w:sz w:val="24"/>
          <w:szCs w:val="24"/>
        </w:rPr>
        <w:t xml:space="preserve"> vispārējās valdības</w:t>
      </w:r>
      <w:r>
        <w:rPr>
          <w:rFonts w:ascii="Times New Roman" w:eastAsia="Calibri" w:hAnsi="Times New Roman" w:cs="Times New Roman"/>
          <w:color w:val="000000"/>
          <w:sz w:val="24"/>
          <w:szCs w:val="24"/>
        </w:rPr>
        <w:t xml:space="preserve"> budžeta strukturālā</w:t>
      </w:r>
      <w:r w:rsidRPr="0009609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bilance,</w:t>
      </w:r>
      <w:r w:rsidRPr="0009609E">
        <w:rPr>
          <w:rFonts w:ascii="Times New Roman" w:eastAsia="Calibri" w:hAnsi="Times New Roman" w:cs="Times New Roman"/>
          <w:color w:val="000000"/>
          <w:sz w:val="24"/>
          <w:szCs w:val="24"/>
        </w:rPr>
        <w:t xml:space="preserve"> tiek aprēķināts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nominālās bilances apmērs</w:t>
      </w:r>
      <w:r>
        <w:rPr>
          <w:rFonts w:ascii="Times New Roman" w:eastAsia="Calibri" w:hAnsi="Times New Roman" w:cs="Times New Roman"/>
          <w:color w:val="000000"/>
          <w:sz w:val="24"/>
          <w:szCs w:val="24"/>
        </w:rPr>
        <w:t xml:space="preserve">, pieskaitot bilances ciklisko komponenti, kuru nosaka, izmantojot izlaižu starpības novērtējumu. Šajā Stabilitātes programmā </w:t>
      </w:r>
      <w:r w:rsidRPr="0009609E">
        <w:rPr>
          <w:rFonts w:ascii="Times New Roman" w:eastAsia="Calibri" w:hAnsi="Times New Roman" w:cs="Times New Roman"/>
          <w:color w:val="000000"/>
          <w:sz w:val="24"/>
          <w:szCs w:val="24"/>
        </w:rPr>
        <w:t>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nominālās bilances</w:t>
      </w:r>
      <w:r>
        <w:rPr>
          <w:rFonts w:ascii="Times New Roman" w:eastAsia="Calibri" w:hAnsi="Times New Roman" w:cs="Times New Roman"/>
          <w:color w:val="000000"/>
          <w:sz w:val="24"/>
          <w:szCs w:val="24"/>
        </w:rPr>
        <w:t xml:space="preserve"> aprēķināšanai tiek izmantota atšķirīga pieeja nekā iepriekšējā Stabilitātes programma, proti, tiek pielietota jaunā EK procedūra</w:t>
      </w:r>
      <w:r w:rsidRPr="00A277F9">
        <w:rPr>
          <w:rFonts w:ascii="Times New Roman" w:eastAsia="Calibri" w:hAnsi="Times New Roman" w:cs="Times New Roman"/>
          <w:color w:val="000000"/>
          <w:sz w:val="24"/>
          <w:szCs w:val="24"/>
        </w:rPr>
        <w:t xml:space="preserve"> izlaižu starpību novērtēšanai</w:t>
      </w:r>
      <w:r>
        <w:rPr>
          <w:rFonts w:ascii="Times New Roman" w:eastAsia="Calibri" w:hAnsi="Times New Roman" w:cs="Times New Roman"/>
          <w:color w:val="000000"/>
          <w:sz w:val="24"/>
          <w:szCs w:val="24"/>
        </w:rPr>
        <w:t xml:space="preserve"> – ticamības tests (</w:t>
      </w:r>
      <w:r w:rsidRPr="009B45AF">
        <w:rPr>
          <w:rFonts w:ascii="Times New Roman" w:eastAsia="Calibri" w:hAnsi="Times New Roman" w:cs="Times New Roman"/>
          <w:i/>
          <w:color w:val="000000"/>
          <w:sz w:val="24"/>
          <w:szCs w:val="24"/>
        </w:rPr>
        <w:t>plausibility tool</w:t>
      </w:r>
      <w:r>
        <w:rPr>
          <w:rFonts w:ascii="Times New Roman" w:eastAsia="Calibri" w:hAnsi="Times New Roman" w:cs="Times New Roman"/>
          <w:color w:val="000000"/>
          <w:sz w:val="24"/>
          <w:szCs w:val="24"/>
        </w:rPr>
        <w:t>) un argumentēto lēmumu procedūra (</w:t>
      </w:r>
      <w:r w:rsidRPr="007D07FD">
        <w:rPr>
          <w:rFonts w:ascii="Times New Roman" w:eastAsia="Calibri" w:hAnsi="Times New Roman" w:cs="Times New Roman"/>
          <w:i/>
          <w:color w:val="000000"/>
          <w:sz w:val="24"/>
          <w:szCs w:val="24"/>
        </w:rPr>
        <w:t>constrain judgement</w:t>
      </w:r>
      <w:r>
        <w:rPr>
          <w:rFonts w:ascii="Times New Roman" w:eastAsia="Calibri" w:hAnsi="Times New Roman" w:cs="Times New Roman"/>
          <w:color w:val="000000"/>
          <w:sz w:val="24"/>
          <w:szCs w:val="24"/>
        </w:rPr>
        <w:t>)</w:t>
      </w:r>
      <w:r w:rsidRPr="00F1691B">
        <w:rPr>
          <w:rStyle w:val="FootnoteReference"/>
          <w:rFonts w:ascii="Times New Roman" w:eastAsia="Calibri" w:hAnsi="Times New Roman" w:cs="Times New Roman"/>
          <w:color w:val="000000"/>
          <w:sz w:val="24"/>
          <w:szCs w:val="24"/>
        </w:rPr>
        <w:footnoteReference w:id="10"/>
      </w:r>
      <w:r w:rsidRPr="00F1691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kura var tikt pielietota gadījumos, </w:t>
      </w:r>
      <w:r w:rsidRPr="00396863">
        <w:rPr>
          <w:rFonts w:ascii="Times New Roman" w:eastAsia="Calibri" w:hAnsi="Times New Roman" w:cs="Times New Roman"/>
          <w:color w:val="000000"/>
          <w:sz w:val="24"/>
          <w:szCs w:val="24"/>
        </w:rPr>
        <w:t>kad kopējā</w:t>
      </w:r>
      <w:r>
        <w:rPr>
          <w:rFonts w:ascii="Times New Roman" w:eastAsia="Calibri" w:hAnsi="Times New Roman" w:cs="Times New Roman"/>
          <w:color w:val="000000"/>
          <w:sz w:val="24"/>
          <w:szCs w:val="24"/>
        </w:rPr>
        <w:t xml:space="preserve"> EK</w:t>
      </w:r>
      <w:r w:rsidRPr="00396863">
        <w:rPr>
          <w:rFonts w:ascii="Times New Roman" w:eastAsia="Calibri" w:hAnsi="Times New Roman" w:cs="Times New Roman"/>
          <w:color w:val="000000"/>
          <w:sz w:val="24"/>
          <w:szCs w:val="24"/>
        </w:rPr>
        <w:t xml:space="preserve"> metodoloģija</w:t>
      </w:r>
      <w:r>
        <w:rPr>
          <w:rFonts w:ascii="Times New Roman" w:eastAsia="Calibri" w:hAnsi="Times New Roman" w:cs="Times New Roman"/>
          <w:color w:val="000000"/>
          <w:sz w:val="24"/>
          <w:szCs w:val="24"/>
        </w:rPr>
        <w:t xml:space="preserve"> izlaižu starpību novērtēšanā</w:t>
      </w:r>
      <w:r w:rsidRPr="00396863">
        <w:rPr>
          <w:rFonts w:ascii="Times New Roman" w:eastAsia="Calibri" w:hAnsi="Times New Roman" w:cs="Times New Roman"/>
          <w:color w:val="000000"/>
          <w:sz w:val="24"/>
          <w:szCs w:val="24"/>
        </w:rPr>
        <w:t xml:space="preserve"> dod ekonomiski nepamatotu rezultātu</w:t>
      </w:r>
      <w:r>
        <w:rPr>
          <w:rFonts w:ascii="Times New Roman" w:eastAsia="Calibri" w:hAnsi="Times New Roman" w:cs="Times New Roman"/>
          <w:color w:val="000000"/>
          <w:sz w:val="24"/>
          <w:szCs w:val="24"/>
        </w:rPr>
        <w:t xml:space="preserve">. </w:t>
      </w:r>
      <w:r w:rsidRPr="00A46C6A">
        <w:rPr>
          <w:rFonts w:ascii="Times New Roman" w:eastAsia="Calibri" w:hAnsi="Times New Roman" w:cs="Times New Roman"/>
          <w:color w:val="000000"/>
          <w:sz w:val="24"/>
          <w:szCs w:val="24"/>
        </w:rPr>
        <w:t>Sīkāk par ticamības testu un argumentēto lēmumu procedūru skat</w:t>
      </w:r>
      <w:r w:rsidR="00F1691B" w:rsidRPr="00A46C6A">
        <w:rPr>
          <w:rFonts w:ascii="Times New Roman" w:eastAsia="Calibri" w:hAnsi="Times New Roman" w:cs="Times New Roman"/>
          <w:color w:val="000000"/>
          <w:sz w:val="24"/>
          <w:szCs w:val="24"/>
        </w:rPr>
        <w:t>.</w:t>
      </w:r>
      <w:r w:rsidRPr="00A46C6A">
        <w:rPr>
          <w:rFonts w:ascii="Times New Roman" w:eastAsia="Calibri" w:hAnsi="Times New Roman" w:cs="Times New Roman"/>
          <w:color w:val="000000"/>
          <w:sz w:val="24"/>
          <w:szCs w:val="24"/>
        </w:rPr>
        <w:t xml:space="preserve"> 3.2.2.sadaļā.</w:t>
      </w:r>
    </w:p>
    <w:p w14:paraId="5FB86673" w14:textId="7205F2D2"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Ņemot vērā jauno izlaižu starpības novērtējumu un piemērojot elastības koeficientu 0,38 tiek iegūta</w:t>
      </w:r>
      <w:r w:rsidR="00F1691B">
        <w:rPr>
          <w:rFonts w:ascii="Times New Roman" w:eastAsia="Calibri" w:hAnsi="Times New Roman" w:cs="Times New Roman"/>
          <w:color w:val="000000"/>
          <w:sz w:val="24"/>
          <w:szCs w:val="24"/>
        </w:rPr>
        <w:t xml:space="preserve"> cikliskā komponente, kas 2018.</w:t>
      </w:r>
      <w:r>
        <w:rPr>
          <w:rFonts w:ascii="Times New Roman" w:eastAsia="Calibri" w:hAnsi="Times New Roman" w:cs="Times New Roman"/>
          <w:color w:val="000000"/>
          <w:sz w:val="24"/>
          <w:szCs w:val="24"/>
        </w:rPr>
        <w:t>gadā ir 0,1% no potenciālā IKP, 20</w:t>
      </w:r>
      <w:r w:rsidR="00F1691B">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gadā ir 0,3% no potenciālā IKP un 2020.gadā ir 0,3% no potenciālā IKP.</w:t>
      </w:r>
    </w:p>
    <w:p w14:paraId="403F3A65" w14:textId="77777777"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Pielietojot iepriekš noteikto strukturālās bilances līmeni un novērtēto izlaižu starpību,</w:t>
      </w:r>
      <w:r w:rsidRPr="0009609E">
        <w:rPr>
          <w:rFonts w:ascii="Times New Roman" w:eastAsia="Calibri" w:hAnsi="Times New Roman" w:cs="Times New Roman"/>
          <w:color w:val="000000"/>
          <w:sz w:val="24"/>
          <w:szCs w:val="24"/>
        </w:rPr>
        <w:t xml:space="preserve"> tiek iegūta</w:t>
      </w:r>
      <w:r>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t>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nomināl</w:t>
      </w:r>
      <w:r>
        <w:rPr>
          <w:rFonts w:ascii="Times New Roman" w:eastAsia="Calibri" w:hAnsi="Times New Roman" w:cs="Times New Roman"/>
          <w:color w:val="000000"/>
          <w:sz w:val="24"/>
          <w:szCs w:val="24"/>
        </w:rPr>
        <w:t>ā bilance, kas 2018.gadā ir -1,6% no IKP, 2019.gadā ir</w:t>
      </w:r>
      <w:r>
        <w:rPr>
          <w:rFonts w:ascii="Helvetica" w:hAnsi="Helvetica" w:cs="Helvetica"/>
          <w:color w:val="000000"/>
          <w:sz w:val="18"/>
          <w:szCs w:val="18"/>
        </w:rPr>
        <w:t xml:space="preserve"> </w:t>
      </w:r>
      <w:r>
        <w:rPr>
          <w:rFonts w:ascii="Times New Roman" w:eastAsia="Calibri" w:hAnsi="Times New Roman" w:cs="Times New Roman"/>
          <w:color w:val="000000"/>
          <w:sz w:val="24"/>
          <w:szCs w:val="24"/>
        </w:rPr>
        <w:t>-1,2% no IKP un 2020.gadā ir -0,7</w:t>
      </w:r>
      <w:r w:rsidRPr="0009609E">
        <w:rPr>
          <w:rFonts w:ascii="Times New Roman" w:eastAsia="Calibri" w:hAnsi="Times New Roman" w:cs="Times New Roman"/>
          <w:color w:val="000000"/>
          <w:sz w:val="24"/>
          <w:szCs w:val="24"/>
        </w:rPr>
        <w:t>% no IKP.</w:t>
      </w:r>
    </w:p>
    <w:p w14:paraId="0132E8B2" w14:textId="77777777" w:rsidR="0077183B" w:rsidRPr="00075DEB" w:rsidRDefault="0077183B" w:rsidP="00A46C6A">
      <w:pPr>
        <w:spacing w:before="320" w:after="60" w:line="240" w:lineRule="auto"/>
        <w:ind w:firstLine="720"/>
        <w:jc w:val="both"/>
        <w:rPr>
          <w:rFonts w:ascii="Times New Roman" w:eastAsia="Calibri" w:hAnsi="Times New Roman" w:cs="Times New Roman"/>
          <w:b/>
          <w:color w:val="000000"/>
          <w:sz w:val="24"/>
          <w:szCs w:val="24"/>
        </w:rPr>
      </w:pPr>
      <w:r w:rsidRPr="00075DEB">
        <w:rPr>
          <w:rFonts w:ascii="Times New Roman" w:eastAsia="Calibri" w:hAnsi="Times New Roman" w:cs="Times New Roman"/>
          <w:b/>
          <w:color w:val="000000"/>
          <w:sz w:val="24"/>
          <w:szCs w:val="24"/>
        </w:rPr>
        <w:t>Bilances mērķi, atbilst</w:t>
      </w:r>
      <w:r>
        <w:rPr>
          <w:rFonts w:ascii="Times New Roman" w:eastAsia="Calibri" w:hAnsi="Times New Roman" w:cs="Times New Roman"/>
          <w:b/>
          <w:color w:val="000000"/>
          <w:sz w:val="24"/>
          <w:szCs w:val="24"/>
        </w:rPr>
        <w:t>oši bilances nosacījumam (nacionālā metodoloģija)</w:t>
      </w:r>
    </w:p>
    <w:p w14:paraId="19159B54" w14:textId="0AF1320D"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Šajā sadaļā tiek noskaidrots</w:t>
      </w:r>
      <w:r>
        <w:rPr>
          <w:rFonts w:ascii="Times New Roman" w:eastAsia="Calibri" w:hAnsi="Times New Roman" w:cs="Times New Roman"/>
          <w:color w:val="000000"/>
          <w:sz w:val="24"/>
          <w:szCs w:val="24"/>
        </w:rPr>
        <w:t>,</w:t>
      </w:r>
      <w:r w:rsidRPr="0009609E">
        <w:rPr>
          <w:rFonts w:ascii="Times New Roman" w:eastAsia="Calibri" w:hAnsi="Times New Roman" w:cs="Times New Roman"/>
          <w:color w:val="000000"/>
          <w:sz w:val="24"/>
          <w:szCs w:val="24"/>
        </w:rPr>
        <w:t xml:space="preserve"> kāds var būt maksimāli pieļaujamais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00DA1222" w:rsidRPr="0009609E">
        <w:rPr>
          <w:rFonts w:ascii="Times New Roman" w:eastAsia="Calibri" w:hAnsi="Times New Roman" w:cs="Times New Roman"/>
          <w:color w:val="000000"/>
          <w:sz w:val="24"/>
          <w:szCs w:val="24"/>
        </w:rPr>
        <w:t xml:space="preserve">strukturālās </w:t>
      </w:r>
      <w:r w:rsidRPr="0009609E">
        <w:rPr>
          <w:rFonts w:ascii="Times New Roman" w:eastAsia="Calibri" w:hAnsi="Times New Roman" w:cs="Times New Roman"/>
          <w:color w:val="000000"/>
          <w:sz w:val="24"/>
          <w:szCs w:val="24"/>
        </w:rPr>
        <w:t>bilances mērķis atbilstoši nacionālajai metodoloģijai. Kā jau iepriekš tika minēts, izejas pozīcija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00DA1222" w:rsidRPr="0009609E">
        <w:rPr>
          <w:rFonts w:ascii="Times New Roman" w:eastAsia="Calibri" w:hAnsi="Times New Roman" w:cs="Times New Roman"/>
          <w:color w:val="000000"/>
          <w:sz w:val="24"/>
          <w:szCs w:val="24"/>
        </w:rPr>
        <w:t xml:space="preserve">strukturālās </w:t>
      </w:r>
      <w:r w:rsidRPr="0009609E">
        <w:rPr>
          <w:rFonts w:ascii="Times New Roman" w:eastAsia="Calibri" w:hAnsi="Times New Roman" w:cs="Times New Roman"/>
          <w:color w:val="000000"/>
          <w:sz w:val="24"/>
          <w:szCs w:val="24"/>
        </w:rPr>
        <w:t>bilances mērķa noteikšanai, atbilstoši nacionālajai metodoloģijai ir VTM -0,5% no IKP. Zemāk esošajā tabulā ir atspoguļotas turpmākās korekcijas.</w:t>
      </w:r>
    </w:p>
    <w:p w14:paraId="7C299696" w14:textId="77777777" w:rsidR="00A46C6A" w:rsidRDefault="00A46C6A">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p>
    <w:p w14:paraId="74951B49" w14:textId="1744BDB4" w:rsidR="00B672CB" w:rsidRPr="00B672CB" w:rsidRDefault="0077183B" w:rsidP="00B672CB">
      <w:pPr>
        <w:spacing w:before="120" w:after="60" w:line="240" w:lineRule="auto"/>
        <w:ind w:firstLine="720"/>
        <w:jc w:val="right"/>
        <w:rPr>
          <w:rFonts w:ascii="Times New Roman" w:eastAsia="Calibri" w:hAnsi="Times New Roman" w:cs="Times New Roman"/>
          <w:b/>
          <w:color w:val="000000"/>
          <w:sz w:val="24"/>
          <w:szCs w:val="24"/>
        </w:rPr>
      </w:pPr>
      <w:r w:rsidRPr="0009609E">
        <w:rPr>
          <w:rFonts w:ascii="Times New Roman" w:eastAsia="Calibri" w:hAnsi="Times New Roman" w:cs="Times New Roman"/>
          <w:b/>
          <w:color w:val="000000"/>
          <w:sz w:val="24"/>
          <w:szCs w:val="24"/>
        </w:rPr>
        <w:lastRenderedPageBreak/>
        <w:t>3.2.tabula. Strukturālās bilances mērķis, atbilst</w:t>
      </w:r>
      <w:r>
        <w:rPr>
          <w:rFonts w:ascii="Times New Roman" w:eastAsia="Calibri" w:hAnsi="Times New Roman" w:cs="Times New Roman"/>
          <w:b/>
          <w:color w:val="000000"/>
          <w:sz w:val="24"/>
          <w:szCs w:val="24"/>
        </w:rPr>
        <w:t xml:space="preserve">oši nacionālajai metodoloģijai </w:t>
      </w:r>
      <w:r w:rsidR="00B672CB">
        <w:rPr>
          <w:rFonts w:ascii="Times New Roman" w:eastAsia="Calibri" w:hAnsi="Times New Roman" w:cs="Times New Roman"/>
          <w:color w:val="000000"/>
          <w:sz w:val="24"/>
          <w:szCs w:val="24"/>
        </w:rPr>
        <w:fldChar w:fldCharType="begin"/>
      </w:r>
      <w:r w:rsidR="00B672CB">
        <w:rPr>
          <w:rFonts w:ascii="Times New Roman" w:eastAsia="Calibri" w:hAnsi="Times New Roman" w:cs="Times New Roman"/>
          <w:color w:val="000000"/>
          <w:sz w:val="24"/>
          <w:szCs w:val="24"/>
        </w:rPr>
        <w:instrText xml:space="preserve"> LINK Excel.Sheet.12 "\\\\fs\\fpd\\FPD\\Tautsaimniecibas_un_fiskalas_parvaldibas_nodala\\Gints\\_Eiropas_semestris\\_SP_2017_2020\\merki_29032017\\izdevumu_griesti_SP2017\\bilances_nosac\\SBmerkis_29032017.xlsx" "Sheet1!R20C2:R30C12" \f 4 \h \* MERGEFORMAT </w:instrText>
      </w:r>
      <w:r w:rsidR="00B672CB">
        <w:rPr>
          <w:rFonts w:ascii="Times New Roman" w:eastAsia="Calibri" w:hAnsi="Times New Roman" w:cs="Times New Roman"/>
          <w:color w:val="000000"/>
          <w:sz w:val="24"/>
          <w:szCs w:val="24"/>
        </w:rPr>
        <w:fldChar w:fldCharType="separate"/>
      </w:r>
    </w:p>
    <w:tbl>
      <w:tblPr>
        <w:tblStyle w:val="GridTable6Colorful-Accent1"/>
        <w:tblW w:w="9634" w:type="dxa"/>
        <w:jc w:val="center"/>
        <w:tblLook w:val="04A0" w:firstRow="1" w:lastRow="0" w:firstColumn="1" w:lastColumn="0" w:noHBand="0" w:noVBand="1"/>
      </w:tblPr>
      <w:tblGrid>
        <w:gridCol w:w="1724"/>
        <w:gridCol w:w="1106"/>
        <w:gridCol w:w="709"/>
        <w:gridCol w:w="709"/>
        <w:gridCol w:w="709"/>
        <w:gridCol w:w="708"/>
        <w:gridCol w:w="709"/>
        <w:gridCol w:w="709"/>
        <w:gridCol w:w="850"/>
        <w:gridCol w:w="851"/>
        <w:gridCol w:w="850"/>
      </w:tblGrid>
      <w:tr w:rsidR="00B672CB" w:rsidRPr="00B672CB" w14:paraId="3FA278F0" w14:textId="77777777" w:rsidTr="00B672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616A91BB" w14:textId="6269169B" w:rsidR="00B672CB" w:rsidRPr="00B672CB" w:rsidRDefault="00B672CB" w:rsidP="00B672CB">
            <w:pPr>
              <w:rPr>
                <w:rFonts w:ascii="Times New Roman" w:eastAsia="Times New Roman" w:hAnsi="Times New Roman" w:cs="Times New Roman"/>
                <w:sz w:val="18"/>
                <w:szCs w:val="18"/>
                <w:lang w:eastAsia="lv-LV"/>
              </w:rPr>
            </w:pPr>
          </w:p>
        </w:tc>
        <w:tc>
          <w:tcPr>
            <w:tcW w:w="1815" w:type="dxa"/>
            <w:gridSpan w:val="2"/>
            <w:noWrap/>
            <w:hideMark/>
          </w:tcPr>
          <w:p w14:paraId="5065964A" w14:textId="77777777" w:rsidR="00B672CB" w:rsidRPr="00B672CB" w:rsidRDefault="00B672CB" w:rsidP="00B67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6443692D"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2013</w:t>
            </w:r>
          </w:p>
        </w:tc>
        <w:tc>
          <w:tcPr>
            <w:tcW w:w="709" w:type="dxa"/>
            <w:noWrap/>
            <w:hideMark/>
          </w:tcPr>
          <w:p w14:paraId="0926CA74"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2014</w:t>
            </w:r>
          </w:p>
        </w:tc>
        <w:tc>
          <w:tcPr>
            <w:tcW w:w="708" w:type="dxa"/>
            <w:noWrap/>
            <w:hideMark/>
          </w:tcPr>
          <w:p w14:paraId="30317538"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2015</w:t>
            </w:r>
          </w:p>
        </w:tc>
        <w:tc>
          <w:tcPr>
            <w:tcW w:w="709" w:type="dxa"/>
            <w:noWrap/>
            <w:hideMark/>
          </w:tcPr>
          <w:p w14:paraId="746ABE35"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2016</w:t>
            </w:r>
          </w:p>
        </w:tc>
        <w:tc>
          <w:tcPr>
            <w:tcW w:w="709" w:type="dxa"/>
            <w:noWrap/>
            <w:hideMark/>
          </w:tcPr>
          <w:p w14:paraId="3E0FE16E"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2017</w:t>
            </w:r>
          </w:p>
        </w:tc>
        <w:tc>
          <w:tcPr>
            <w:tcW w:w="850" w:type="dxa"/>
            <w:noWrap/>
            <w:hideMark/>
          </w:tcPr>
          <w:p w14:paraId="0247FB47"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2018</w:t>
            </w:r>
          </w:p>
        </w:tc>
        <w:tc>
          <w:tcPr>
            <w:tcW w:w="851" w:type="dxa"/>
            <w:noWrap/>
            <w:hideMark/>
          </w:tcPr>
          <w:p w14:paraId="1E7F7CC1"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2019</w:t>
            </w:r>
          </w:p>
        </w:tc>
        <w:tc>
          <w:tcPr>
            <w:tcW w:w="850" w:type="dxa"/>
            <w:noWrap/>
            <w:hideMark/>
          </w:tcPr>
          <w:p w14:paraId="1BE1C72B"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2020</w:t>
            </w:r>
          </w:p>
        </w:tc>
      </w:tr>
      <w:tr w:rsidR="00B672CB" w:rsidRPr="00B672CB" w14:paraId="556924C5" w14:textId="77777777" w:rsidTr="00B672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5706717E"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(1)</w:t>
            </w:r>
          </w:p>
        </w:tc>
        <w:tc>
          <w:tcPr>
            <w:tcW w:w="1815" w:type="dxa"/>
            <w:gridSpan w:val="2"/>
            <w:noWrap/>
            <w:hideMark/>
          </w:tcPr>
          <w:p w14:paraId="2D3CD49A" w14:textId="77777777" w:rsidR="00B672CB" w:rsidRPr="00B672CB" w:rsidRDefault="00B672CB" w:rsidP="00B672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VTM</w:t>
            </w:r>
          </w:p>
        </w:tc>
        <w:tc>
          <w:tcPr>
            <w:tcW w:w="709" w:type="dxa"/>
            <w:noWrap/>
            <w:hideMark/>
          </w:tcPr>
          <w:p w14:paraId="11B4EC05"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709" w:type="dxa"/>
            <w:noWrap/>
            <w:hideMark/>
          </w:tcPr>
          <w:p w14:paraId="64CF27A6"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708" w:type="dxa"/>
            <w:noWrap/>
            <w:hideMark/>
          </w:tcPr>
          <w:p w14:paraId="7A30EF1B"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709" w:type="dxa"/>
            <w:noWrap/>
            <w:hideMark/>
          </w:tcPr>
          <w:p w14:paraId="4251DCEA"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709" w:type="dxa"/>
            <w:noWrap/>
            <w:hideMark/>
          </w:tcPr>
          <w:p w14:paraId="5994CB75"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850" w:type="dxa"/>
            <w:noWrap/>
            <w:hideMark/>
          </w:tcPr>
          <w:p w14:paraId="3C4E282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851" w:type="dxa"/>
            <w:noWrap/>
            <w:hideMark/>
          </w:tcPr>
          <w:p w14:paraId="1D6792E0"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c>
          <w:tcPr>
            <w:tcW w:w="850" w:type="dxa"/>
            <w:noWrap/>
            <w:hideMark/>
          </w:tcPr>
          <w:p w14:paraId="297A5705"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v-LV"/>
              </w:rPr>
            </w:pPr>
            <w:r w:rsidRPr="00B672CB">
              <w:rPr>
                <w:rFonts w:ascii="Times New Roman" w:eastAsia="Times New Roman" w:hAnsi="Times New Roman" w:cs="Times New Roman"/>
                <w:b/>
                <w:bCs/>
                <w:color w:val="000000"/>
                <w:sz w:val="18"/>
                <w:szCs w:val="18"/>
                <w:lang w:eastAsia="lv-LV"/>
              </w:rPr>
              <w:t>-0.5%</w:t>
            </w:r>
          </w:p>
        </w:tc>
      </w:tr>
      <w:tr w:rsidR="00B672CB" w:rsidRPr="00B672CB" w14:paraId="15FDE5C1" w14:textId="77777777" w:rsidTr="00B672CB">
        <w:trPr>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3DB47E1F"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(2)</w:t>
            </w:r>
          </w:p>
        </w:tc>
        <w:tc>
          <w:tcPr>
            <w:tcW w:w="1106" w:type="dxa"/>
            <w:noWrap/>
            <w:hideMark/>
          </w:tcPr>
          <w:p w14:paraId="50573BF5"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Pensiju reforma</w:t>
            </w:r>
          </w:p>
        </w:tc>
        <w:tc>
          <w:tcPr>
            <w:tcW w:w="709" w:type="dxa"/>
            <w:noWrap/>
            <w:hideMark/>
          </w:tcPr>
          <w:p w14:paraId="3DA417E5"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 2% uz 4%</w:t>
            </w:r>
          </w:p>
        </w:tc>
        <w:tc>
          <w:tcPr>
            <w:tcW w:w="709" w:type="dxa"/>
            <w:noWrap/>
            <w:hideMark/>
          </w:tcPr>
          <w:p w14:paraId="5B3589A0"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w:t>
            </w:r>
          </w:p>
        </w:tc>
        <w:tc>
          <w:tcPr>
            <w:tcW w:w="709" w:type="dxa"/>
            <w:noWrap/>
            <w:hideMark/>
          </w:tcPr>
          <w:p w14:paraId="2FEDAC5F"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w:t>
            </w:r>
          </w:p>
        </w:tc>
        <w:tc>
          <w:tcPr>
            <w:tcW w:w="708" w:type="dxa"/>
            <w:noWrap/>
            <w:hideMark/>
          </w:tcPr>
          <w:p w14:paraId="4BFA8BE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w:t>
            </w:r>
          </w:p>
        </w:tc>
        <w:tc>
          <w:tcPr>
            <w:tcW w:w="709" w:type="dxa"/>
            <w:noWrap/>
            <w:hideMark/>
          </w:tcPr>
          <w:p w14:paraId="65D6237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709" w:type="dxa"/>
            <w:noWrap/>
            <w:hideMark/>
          </w:tcPr>
          <w:p w14:paraId="631C54F0"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50F375EB"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1" w:type="dxa"/>
            <w:noWrap/>
            <w:hideMark/>
          </w:tcPr>
          <w:p w14:paraId="26FFA671"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38A1105F"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r>
      <w:tr w:rsidR="00B672CB" w:rsidRPr="00B672CB" w14:paraId="52814FBC" w14:textId="77777777" w:rsidTr="00B672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4863DD67"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(3)</w:t>
            </w:r>
          </w:p>
        </w:tc>
        <w:tc>
          <w:tcPr>
            <w:tcW w:w="1106" w:type="dxa"/>
            <w:noWrap/>
            <w:hideMark/>
          </w:tcPr>
          <w:p w14:paraId="3A318C6A"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19E489BD"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 4% uz 5%</w:t>
            </w:r>
          </w:p>
        </w:tc>
        <w:tc>
          <w:tcPr>
            <w:tcW w:w="709" w:type="dxa"/>
            <w:noWrap/>
            <w:hideMark/>
          </w:tcPr>
          <w:p w14:paraId="6F84D938"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568E3713"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8" w:type="dxa"/>
            <w:noWrap/>
            <w:hideMark/>
          </w:tcPr>
          <w:p w14:paraId="28E3A5F3"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09" w:type="dxa"/>
            <w:noWrap/>
            <w:hideMark/>
          </w:tcPr>
          <w:p w14:paraId="40623125"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09" w:type="dxa"/>
            <w:noWrap/>
            <w:hideMark/>
          </w:tcPr>
          <w:p w14:paraId="1204386D"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850" w:type="dxa"/>
            <w:noWrap/>
            <w:hideMark/>
          </w:tcPr>
          <w:p w14:paraId="46F57B3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851" w:type="dxa"/>
            <w:noWrap/>
            <w:hideMark/>
          </w:tcPr>
          <w:p w14:paraId="52851A70"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575427A2"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r>
      <w:tr w:rsidR="00B672CB" w:rsidRPr="00B672CB" w14:paraId="7EDD202C" w14:textId="77777777" w:rsidTr="00B672CB">
        <w:trPr>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45DCCFFD"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(4)</w:t>
            </w:r>
          </w:p>
        </w:tc>
        <w:tc>
          <w:tcPr>
            <w:tcW w:w="1106" w:type="dxa"/>
            <w:noWrap/>
            <w:hideMark/>
          </w:tcPr>
          <w:p w14:paraId="4323FDF1"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56D1E901"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 5% uz 6%</w:t>
            </w:r>
          </w:p>
        </w:tc>
        <w:tc>
          <w:tcPr>
            <w:tcW w:w="709" w:type="dxa"/>
            <w:noWrap/>
            <w:hideMark/>
          </w:tcPr>
          <w:p w14:paraId="4DE4BF21"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5B8520D0"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8" w:type="dxa"/>
            <w:noWrap/>
            <w:hideMark/>
          </w:tcPr>
          <w:p w14:paraId="1D48C4E0"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0BB57BC7"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09" w:type="dxa"/>
            <w:noWrap/>
            <w:hideMark/>
          </w:tcPr>
          <w:p w14:paraId="4C5A2FD3"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850" w:type="dxa"/>
            <w:noWrap/>
            <w:hideMark/>
          </w:tcPr>
          <w:p w14:paraId="3AE983C6"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851" w:type="dxa"/>
            <w:noWrap/>
            <w:hideMark/>
          </w:tcPr>
          <w:p w14:paraId="2B711FC4"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850" w:type="dxa"/>
            <w:noWrap/>
            <w:hideMark/>
          </w:tcPr>
          <w:p w14:paraId="2DDC7E11"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r>
      <w:tr w:rsidR="00B672CB" w:rsidRPr="00B672CB" w14:paraId="5EAC5078" w14:textId="77777777" w:rsidTr="00B672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04283B90"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(5)</w:t>
            </w:r>
          </w:p>
        </w:tc>
        <w:tc>
          <w:tcPr>
            <w:tcW w:w="1106" w:type="dxa"/>
            <w:noWrap/>
            <w:hideMark/>
          </w:tcPr>
          <w:p w14:paraId="1681B54B"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veselības reformas</w:t>
            </w:r>
          </w:p>
        </w:tc>
        <w:tc>
          <w:tcPr>
            <w:tcW w:w="709" w:type="dxa"/>
            <w:noWrap/>
            <w:hideMark/>
          </w:tcPr>
          <w:p w14:paraId="0914B7A5"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7AD5EDA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7C0B597D"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8" w:type="dxa"/>
            <w:noWrap/>
            <w:hideMark/>
          </w:tcPr>
          <w:p w14:paraId="5A74FC3B"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54FD4BF5"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1457DEC2"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-0.1%</w:t>
            </w:r>
          </w:p>
        </w:tc>
        <w:tc>
          <w:tcPr>
            <w:tcW w:w="850" w:type="dxa"/>
            <w:noWrap/>
            <w:hideMark/>
          </w:tcPr>
          <w:p w14:paraId="0A09696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-0.4%</w:t>
            </w:r>
          </w:p>
        </w:tc>
        <w:tc>
          <w:tcPr>
            <w:tcW w:w="851" w:type="dxa"/>
            <w:noWrap/>
            <w:hideMark/>
          </w:tcPr>
          <w:p w14:paraId="261D85B6"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w:t>
            </w:r>
          </w:p>
        </w:tc>
        <w:tc>
          <w:tcPr>
            <w:tcW w:w="850" w:type="dxa"/>
            <w:noWrap/>
            <w:hideMark/>
          </w:tcPr>
          <w:p w14:paraId="559F632B"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r>
      <w:tr w:rsidR="00B672CB" w:rsidRPr="00B672CB" w14:paraId="7981BFB4" w14:textId="77777777" w:rsidTr="00B672CB">
        <w:trPr>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1398025C"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(6)=sum(1;2;3;4;5)</w:t>
            </w:r>
          </w:p>
        </w:tc>
        <w:tc>
          <w:tcPr>
            <w:tcW w:w="1106" w:type="dxa"/>
            <w:noWrap/>
            <w:hideMark/>
          </w:tcPr>
          <w:p w14:paraId="499F3313"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maksimālā strukturālā bilance</w:t>
            </w:r>
          </w:p>
        </w:tc>
        <w:tc>
          <w:tcPr>
            <w:tcW w:w="709" w:type="dxa"/>
            <w:noWrap/>
            <w:hideMark/>
          </w:tcPr>
          <w:p w14:paraId="7B774DD2"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2AF15D0A"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088B03E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8" w:type="dxa"/>
            <w:noWrap/>
            <w:hideMark/>
          </w:tcPr>
          <w:p w14:paraId="58218265"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18942F7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07EE9D3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6812E3EE"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-1.2%</w:t>
            </w:r>
          </w:p>
        </w:tc>
        <w:tc>
          <w:tcPr>
            <w:tcW w:w="851" w:type="dxa"/>
            <w:noWrap/>
            <w:hideMark/>
          </w:tcPr>
          <w:p w14:paraId="37BF1932"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-1.000%</w:t>
            </w:r>
          </w:p>
        </w:tc>
        <w:tc>
          <w:tcPr>
            <w:tcW w:w="850" w:type="dxa"/>
            <w:noWrap/>
            <w:hideMark/>
          </w:tcPr>
          <w:p w14:paraId="3936770B"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-0.500%</w:t>
            </w:r>
          </w:p>
        </w:tc>
      </w:tr>
      <w:tr w:rsidR="00B672CB" w:rsidRPr="00B672CB" w14:paraId="158F51D8" w14:textId="77777777" w:rsidTr="00B672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01A44D03"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(7)</w:t>
            </w:r>
          </w:p>
        </w:tc>
        <w:tc>
          <w:tcPr>
            <w:tcW w:w="1106" w:type="dxa"/>
            <w:noWrap/>
            <w:hideMark/>
          </w:tcPr>
          <w:p w14:paraId="172B1FDE"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proofErr w:type="spellStart"/>
            <w:r w:rsidRPr="00B672CB">
              <w:rPr>
                <w:rFonts w:ascii="Times New Roman" w:eastAsia="Times New Roman" w:hAnsi="Times New Roman" w:cs="Times New Roman"/>
                <w:color w:val="000000"/>
                <w:sz w:val="18"/>
                <w:szCs w:val="18"/>
                <w:lang w:eastAsia="lv-LV"/>
              </w:rPr>
              <w:t>cikiskā</w:t>
            </w:r>
            <w:proofErr w:type="spellEnd"/>
            <w:r w:rsidRPr="00B672CB">
              <w:rPr>
                <w:rFonts w:ascii="Times New Roman" w:eastAsia="Times New Roman" w:hAnsi="Times New Roman" w:cs="Times New Roman"/>
                <w:color w:val="000000"/>
                <w:sz w:val="18"/>
                <w:szCs w:val="18"/>
                <w:lang w:eastAsia="lv-LV"/>
              </w:rPr>
              <w:t xml:space="preserve"> komponente</w:t>
            </w:r>
          </w:p>
        </w:tc>
        <w:tc>
          <w:tcPr>
            <w:tcW w:w="709" w:type="dxa"/>
            <w:noWrap/>
            <w:hideMark/>
          </w:tcPr>
          <w:p w14:paraId="6C724ED4"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784715C8"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5A1B9E81"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8" w:type="dxa"/>
            <w:noWrap/>
            <w:hideMark/>
          </w:tcPr>
          <w:p w14:paraId="709C96A6"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424C4BB3"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0400F35D"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3384E864"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0.1%</w:t>
            </w:r>
          </w:p>
        </w:tc>
        <w:tc>
          <w:tcPr>
            <w:tcW w:w="851" w:type="dxa"/>
            <w:noWrap/>
            <w:hideMark/>
          </w:tcPr>
          <w:p w14:paraId="0CD40140"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850" w:type="dxa"/>
            <w:noWrap/>
            <w:hideMark/>
          </w:tcPr>
          <w:p w14:paraId="3C409B37"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r>
      <w:tr w:rsidR="00B672CB" w:rsidRPr="00B672CB" w14:paraId="65F9E175" w14:textId="77777777" w:rsidTr="00B672CB">
        <w:trPr>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36437C2C"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(8)=(6)+(7)</w:t>
            </w:r>
          </w:p>
        </w:tc>
        <w:tc>
          <w:tcPr>
            <w:tcW w:w="1106" w:type="dxa"/>
            <w:noWrap/>
            <w:hideMark/>
          </w:tcPr>
          <w:p w14:paraId="55FF805F"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cikliski koriģētais</w:t>
            </w:r>
          </w:p>
        </w:tc>
        <w:tc>
          <w:tcPr>
            <w:tcW w:w="709" w:type="dxa"/>
            <w:noWrap/>
            <w:hideMark/>
          </w:tcPr>
          <w:p w14:paraId="45EC94ED"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201A2ED4"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27832F9E"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8" w:type="dxa"/>
            <w:noWrap/>
            <w:hideMark/>
          </w:tcPr>
          <w:p w14:paraId="6EC68781"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5149482A"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0362471B"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6C4E9419"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-1.1%</w:t>
            </w:r>
          </w:p>
        </w:tc>
        <w:tc>
          <w:tcPr>
            <w:tcW w:w="851" w:type="dxa"/>
            <w:noWrap/>
            <w:hideMark/>
          </w:tcPr>
          <w:p w14:paraId="1D947341"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-0.7%</w:t>
            </w:r>
          </w:p>
        </w:tc>
        <w:tc>
          <w:tcPr>
            <w:tcW w:w="850" w:type="dxa"/>
            <w:noWrap/>
            <w:hideMark/>
          </w:tcPr>
          <w:p w14:paraId="631634F1"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-0.2%</w:t>
            </w:r>
          </w:p>
        </w:tc>
      </w:tr>
      <w:tr w:rsidR="00B672CB" w:rsidRPr="00B672CB" w14:paraId="158D5451" w14:textId="77777777" w:rsidTr="00B672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3E4B3286"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(9)</w:t>
            </w:r>
          </w:p>
        </w:tc>
        <w:tc>
          <w:tcPr>
            <w:tcW w:w="1106" w:type="dxa"/>
            <w:noWrap/>
            <w:hideMark/>
          </w:tcPr>
          <w:p w14:paraId="65DE2388"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vienreizējie pasākumi</w:t>
            </w:r>
          </w:p>
        </w:tc>
        <w:tc>
          <w:tcPr>
            <w:tcW w:w="709" w:type="dxa"/>
            <w:noWrap/>
            <w:hideMark/>
          </w:tcPr>
          <w:p w14:paraId="160604FB" w14:textId="77777777" w:rsidR="00B672CB" w:rsidRPr="00B672CB" w:rsidRDefault="00B672CB" w:rsidP="00B672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7FF9CC3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2D1CAC02"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w:t>
            </w:r>
          </w:p>
        </w:tc>
        <w:tc>
          <w:tcPr>
            <w:tcW w:w="708" w:type="dxa"/>
            <w:noWrap/>
            <w:hideMark/>
          </w:tcPr>
          <w:p w14:paraId="3FFF819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481B9F40"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66B93DD4"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850" w:type="dxa"/>
            <w:noWrap/>
            <w:hideMark/>
          </w:tcPr>
          <w:p w14:paraId="6B85D736"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-0.74%</w:t>
            </w:r>
          </w:p>
        </w:tc>
        <w:tc>
          <w:tcPr>
            <w:tcW w:w="851" w:type="dxa"/>
            <w:noWrap/>
            <w:hideMark/>
          </w:tcPr>
          <w:p w14:paraId="089E33B9"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-0.51%</w:t>
            </w:r>
          </w:p>
        </w:tc>
        <w:tc>
          <w:tcPr>
            <w:tcW w:w="850" w:type="dxa"/>
            <w:noWrap/>
            <w:hideMark/>
          </w:tcPr>
          <w:p w14:paraId="3832F27C" w14:textId="77777777" w:rsidR="00B672CB" w:rsidRPr="00B672CB" w:rsidRDefault="00B672CB" w:rsidP="00B672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-0.31%</w:t>
            </w:r>
          </w:p>
        </w:tc>
      </w:tr>
      <w:tr w:rsidR="00B672CB" w:rsidRPr="00B672CB" w14:paraId="170E2897" w14:textId="77777777" w:rsidTr="00B672CB">
        <w:trPr>
          <w:trHeight w:val="270"/>
          <w:jc w:val="center"/>
        </w:trPr>
        <w:tc>
          <w:tcPr>
            <w:cnfStyle w:val="001000000000" w:firstRow="0" w:lastRow="0" w:firstColumn="1" w:lastColumn="0" w:oddVBand="0" w:evenVBand="0" w:oddHBand="0" w:evenHBand="0" w:firstRowFirstColumn="0" w:firstRowLastColumn="0" w:lastRowFirstColumn="0" w:lastRowLastColumn="0"/>
            <w:tcW w:w="1724" w:type="dxa"/>
            <w:noWrap/>
            <w:hideMark/>
          </w:tcPr>
          <w:p w14:paraId="69E87606" w14:textId="77777777" w:rsidR="00B672CB" w:rsidRPr="00B672CB" w:rsidRDefault="00B672CB" w:rsidP="00B672CB">
            <w:pPr>
              <w:rPr>
                <w:rFonts w:ascii="Times New Roman" w:eastAsia="Times New Roman" w:hAnsi="Times New Roman" w:cs="Times New Roman"/>
                <w:b w:val="0"/>
                <w:color w:val="000000"/>
                <w:sz w:val="18"/>
                <w:szCs w:val="18"/>
                <w:lang w:eastAsia="lv-LV"/>
              </w:rPr>
            </w:pPr>
            <w:r w:rsidRPr="00B672CB">
              <w:rPr>
                <w:rFonts w:ascii="Times New Roman" w:eastAsia="Times New Roman" w:hAnsi="Times New Roman" w:cs="Times New Roman"/>
                <w:b w:val="0"/>
                <w:color w:val="000000"/>
                <w:sz w:val="18"/>
                <w:szCs w:val="18"/>
                <w:lang w:eastAsia="lv-LV"/>
              </w:rPr>
              <w:t>(10)=(8)+(9)</w:t>
            </w:r>
          </w:p>
        </w:tc>
        <w:tc>
          <w:tcPr>
            <w:tcW w:w="1106" w:type="dxa"/>
            <w:noWrap/>
            <w:hideMark/>
          </w:tcPr>
          <w:p w14:paraId="1604B2C7"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nominālā bilance</w:t>
            </w:r>
          </w:p>
        </w:tc>
        <w:tc>
          <w:tcPr>
            <w:tcW w:w="709" w:type="dxa"/>
            <w:noWrap/>
            <w:hideMark/>
          </w:tcPr>
          <w:p w14:paraId="4D4B33AA" w14:textId="77777777" w:rsidR="00B672CB" w:rsidRPr="00B672CB" w:rsidRDefault="00B672CB" w:rsidP="00B67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 </w:t>
            </w:r>
          </w:p>
        </w:tc>
        <w:tc>
          <w:tcPr>
            <w:tcW w:w="709" w:type="dxa"/>
            <w:noWrap/>
            <w:hideMark/>
          </w:tcPr>
          <w:p w14:paraId="5909E383"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-0.9%</w:t>
            </w:r>
          </w:p>
        </w:tc>
        <w:tc>
          <w:tcPr>
            <w:tcW w:w="709" w:type="dxa"/>
            <w:noWrap/>
            <w:hideMark/>
          </w:tcPr>
          <w:p w14:paraId="6B6A01D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-1.6%</w:t>
            </w:r>
          </w:p>
        </w:tc>
        <w:tc>
          <w:tcPr>
            <w:tcW w:w="708" w:type="dxa"/>
            <w:noWrap/>
            <w:hideMark/>
          </w:tcPr>
          <w:p w14:paraId="5CD65CFD"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-1.3%</w:t>
            </w:r>
          </w:p>
        </w:tc>
        <w:tc>
          <w:tcPr>
            <w:tcW w:w="709" w:type="dxa"/>
            <w:noWrap/>
            <w:hideMark/>
          </w:tcPr>
          <w:p w14:paraId="26BA50B8"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0.0%</w:t>
            </w:r>
          </w:p>
        </w:tc>
        <w:tc>
          <w:tcPr>
            <w:tcW w:w="709" w:type="dxa"/>
            <w:noWrap/>
            <w:hideMark/>
          </w:tcPr>
          <w:p w14:paraId="54B77184"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-0.8%</w:t>
            </w:r>
          </w:p>
        </w:tc>
        <w:tc>
          <w:tcPr>
            <w:tcW w:w="850" w:type="dxa"/>
            <w:noWrap/>
            <w:hideMark/>
          </w:tcPr>
          <w:p w14:paraId="1C8ACA85"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-1.82%</w:t>
            </w:r>
          </w:p>
        </w:tc>
        <w:tc>
          <w:tcPr>
            <w:tcW w:w="851" w:type="dxa"/>
            <w:noWrap/>
            <w:hideMark/>
          </w:tcPr>
          <w:p w14:paraId="13880392"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-1.26%</w:t>
            </w:r>
          </w:p>
        </w:tc>
        <w:tc>
          <w:tcPr>
            <w:tcW w:w="850" w:type="dxa"/>
            <w:noWrap/>
            <w:hideMark/>
          </w:tcPr>
          <w:p w14:paraId="63FDB4CE" w14:textId="77777777" w:rsidR="00B672CB" w:rsidRPr="00B672CB" w:rsidRDefault="00B672CB" w:rsidP="00B672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v-LV"/>
              </w:rPr>
            </w:pPr>
            <w:r w:rsidRPr="00B672CB">
              <w:rPr>
                <w:rFonts w:ascii="Times New Roman" w:eastAsia="Times New Roman" w:hAnsi="Times New Roman" w:cs="Times New Roman"/>
                <w:color w:val="000000"/>
                <w:sz w:val="18"/>
                <w:szCs w:val="18"/>
                <w:lang w:eastAsia="lv-LV"/>
              </w:rPr>
              <w:t>-0.54%</w:t>
            </w:r>
          </w:p>
        </w:tc>
      </w:tr>
    </w:tbl>
    <w:p w14:paraId="3CFEDE15" w14:textId="329F6950" w:rsidR="0077183B" w:rsidRDefault="00B672CB" w:rsidP="00F1691B">
      <w:pPr>
        <w:spacing w:before="200"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fldChar w:fldCharType="end"/>
      </w:r>
      <w:r w:rsidR="0077183B" w:rsidRPr="0009609E">
        <w:rPr>
          <w:rFonts w:ascii="Times New Roman" w:eastAsia="Calibri" w:hAnsi="Times New Roman" w:cs="Times New Roman"/>
          <w:color w:val="000000"/>
          <w:sz w:val="24"/>
          <w:szCs w:val="24"/>
        </w:rPr>
        <w:t xml:space="preserve">Atkāpju modelis, kas izriet no iemaksu palielināšanas </w:t>
      </w:r>
      <w:r w:rsidR="0077183B">
        <w:rPr>
          <w:rFonts w:ascii="Times New Roman" w:eastAsia="Calibri" w:hAnsi="Times New Roman" w:cs="Times New Roman"/>
          <w:color w:val="000000"/>
          <w:sz w:val="24"/>
          <w:szCs w:val="24"/>
        </w:rPr>
        <w:t>2.pensiju līmenī un veselības reformas īstenošanas, ir tāds pats, kā</w:t>
      </w:r>
      <w:r w:rsidR="0077183B" w:rsidRPr="0009609E">
        <w:rPr>
          <w:rFonts w:ascii="Times New Roman" w:eastAsia="Calibri" w:hAnsi="Times New Roman" w:cs="Times New Roman"/>
          <w:color w:val="000000"/>
          <w:sz w:val="24"/>
          <w:szCs w:val="24"/>
        </w:rPr>
        <w:t xml:space="preserve"> veicot vispārējās valdības</w:t>
      </w:r>
      <w:r w:rsidR="0077183B">
        <w:rPr>
          <w:rFonts w:ascii="Times New Roman" w:eastAsia="Calibri" w:hAnsi="Times New Roman" w:cs="Times New Roman"/>
          <w:color w:val="000000"/>
          <w:sz w:val="24"/>
          <w:szCs w:val="24"/>
        </w:rPr>
        <w:t xml:space="preserve"> budžeta</w:t>
      </w:r>
      <w:r w:rsidR="0077183B" w:rsidRPr="0009609E">
        <w:rPr>
          <w:rFonts w:ascii="Times New Roman" w:eastAsia="Calibri" w:hAnsi="Times New Roman" w:cs="Times New Roman"/>
          <w:color w:val="000000"/>
          <w:sz w:val="24"/>
          <w:szCs w:val="24"/>
        </w:rPr>
        <w:t xml:space="preserve"> </w:t>
      </w:r>
      <w:r w:rsidR="00DA1222" w:rsidRPr="0009609E">
        <w:rPr>
          <w:rFonts w:ascii="Times New Roman" w:eastAsia="Calibri" w:hAnsi="Times New Roman" w:cs="Times New Roman"/>
          <w:color w:val="000000"/>
          <w:sz w:val="24"/>
          <w:szCs w:val="24"/>
        </w:rPr>
        <w:t>strukturālās</w:t>
      </w:r>
      <w:r w:rsidR="00DA1222">
        <w:rPr>
          <w:rFonts w:ascii="Times New Roman" w:eastAsia="Calibri" w:hAnsi="Times New Roman" w:cs="Times New Roman"/>
          <w:color w:val="000000"/>
          <w:sz w:val="24"/>
          <w:szCs w:val="24"/>
        </w:rPr>
        <w:t xml:space="preserve"> </w:t>
      </w:r>
      <w:r w:rsidR="0077183B" w:rsidRPr="0009609E">
        <w:rPr>
          <w:rFonts w:ascii="Times New Roman" w:eastAsia="Calibri" w:hAnsi="Times New Roman" w:cs="Times New Roman"/>
          <w:color w:val="000000"/>
          <w:sz w:val="24"/>
          <w:szCs w:val="24"/>
        </w:rPr>
        <w:t>bilances mērķa noteikšan</w:t>
      </w:r>
      <w:r w:rsidR="00F1691B">
        <w:rPr>
          <w:rFonts w:ascii="Times New Roman" w:eastAsia="Calibri" w:hAnsi="Times New Roman" w:cs="Times New Roman"/>
          <w:color w:val="000000"/>
          <w:sz w:val="24"/>
          <w:szCs w:val="24"/>
        </w:rPr>
        <w:t>u atbilstoši SIP metodoloģijai.</w:t>
      </w:r>
    </w:p>
    <w:p w14:paraId="189AA240" w14:textId="5D50A0A2" w:rsidR="0077183B" w:rsidRDefault="0077183B" w:rsidP="00F1691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Summējot VTM ar attiecīgajām atkāpēm turpmāko aprēķinu vajadzībām iegūst maksimālo strukturālo bilanci, kas ir -1,2% no IKP 2018.gadā, -1,0 % no IKP 2019.</w:t>
      </w:r>
      <w:r w:rsidR="00F1691B">
        <w:rPr>
          <w:rFonts w:ascii="Times New Roman" w:eastAsia="Calibri" w:hAnsi="Times New Roman" w:cs="Times New Roman"/>
          <w:color w:val="000000"/>
          <w:sz w:val="24"/>
          <w:szCs w:val="24"/>
        </w:rPr>
        <w:t>gadā un -0,5% no IKP 2020.gadā.</w:t>
      </w:r>
    </w:p>
    <w:p w14:paraId="7F4F23D3" w14:textId="03CD70BC" w:rsidR="0077183B" w:rsidRDefault="0077183B" w:rsidP="00F1691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Pēc tam, kad ir noskaidrots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00DA1222" w:rsidRPr="0009609E">
        <w:rPr>
          <w:rFonts w:ascii="Times New Roman" w:eastAsia="Calibri" w:hAnsi="Times New Roman" w:cs="Times New Roman"/>
          <w:color w:val="000000"/>
          <w:sz w:val="24"/>
          <w:szCs w:val="24"/>
        </w:rPr>
        <w:t>strukturālās</w:t>
      </w:r>
      <w:r w:rsidR="00DA1222">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t xml:space="preserve">bilances apmērs, kas izmantojams turpmākajos aprēķinos, tiek aprēķināts </w:t>
      </w:r>
      <w:r>
        <w:rPr>
          <w:rFonts w:ascii="Times New Roman" w:eastAsia="Calibri" w:hAnsi="Times New Roman" w:cs="Times New Roman"/>
          <w:color w:val="000000"/>
          <w:sz w:val="24"/>
          <w:szCs w:val="24"/>
        </w:rPr>
        <w:t>vispārējās</w:t>
      </w:r>
      <w:r w:rsidRPr="0009609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valdības budžeta nominālās bilances apmērs, </w:t>
      </w:r>
      <w:r w:rsidRPr="0009609E">
        <w:rPr>
          <w:rFonts w:ascii="Times New Roman" w:eastAsia="Calibri" w:hAnsi="Times New Roman" w:cs="Times New Roman"/>
          <w:color w:val="000000"/>
          <w:sz w:val="24"/>
          <w:szCs w:val="24"/>
        </w:rPr>
        <w:t>vispārējās valdības</w:t>
      </w:r>
      <w:r>
        <w:rPr>
          <w:rFonts w:ascii="Times New Roman" w:eastAsia="Calibri" w:hAnsi="Times New Roman" w:cs="Times New Roman"/>
          <w:color w:val="000000"/>
          <w:sz w:val="24"/>
          <w:szCs w:val="24"/>
        </w:rPr>
        <w:t xml:space="preserve"> budžeta strukturālajai bilancei pieskaitot bilances ciklisko komponenti. Bilances cikliskā komponente ir 0,1%</w:t>
      </w:r>
      <w:r w:rsidR="00F1691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0,3% un 0,3% </w:t>
      </w:r>
      <w:r w:rsidR="00F1691B">
        <w:rPr>
          <w:rFonts w:ascii="Times New Roman" w:eastAsia="Calibri" w:hAnsi="Times New Roman" w:cs="Times New Roman"/>
          <w:color w:val="000000"/>
          <w:sz w:val="24"/>
          <w:szCs w:val="24"/>
        </w:rPr>
        <w:t>attiecīgi 2018., 2019. un 2020.</w:t>
      </w:r>
      <w:r>
        <w:rPr>
          <w:rFonts w:ascii="Times New Roman" w:eastAsia="Calibri" w:hAnsi="Times New Roman" w:cs="Times New Roman"/>
          <w:color w:val="000000"/>
          <w:sz w:val="24"/>
          <w:szCs w:val="24"/>
        </w:rPr>
        <w:t>gados.</w:t>
      </w:r>
    </w:p>
    <w:p w14:paraId="1A1E46CC" w14:textId="2FEBB851" w:rsidR="0077183B" w:rsidRDefault="0077183B" w:rsidP="00F1691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Šajā scenārijā nodokļu reformas izsauktais īstermiņa ieņēmumu kritums:</w:t>
      </w:r>
      <w:r w:rsidRPr="00854005">
        <w:rPr>
          <w:rFonts w:ascii="Times New Roman" w:eastAsia="Calibri" w:hAnsi="Times New Roman" w:cs="Times New Roman"/>
          <w:color w:val="000000"/>
          <w:sz w:val="24"/>
          <w:szCs w:val="24"/>
        </w:rPr>
        <w:t xml:space="preserve"> </w:t>
      </w:r>
      <w:r w:rsidRPr="009B0620">
        <w:rPr>
          <w:rFonts w:ascii="Times New Roman" w:eastAsia="Calibri" w:hAnsi="Times New Roman" w:cs="Times New Roman"/>
          <w:color w:val="000000"/>
          <w:sz w:val="24"/>
          <w:szCs w:val="24"/>
        </w:rPr>
        <w:t xml:space="preserve">2018.gadā -0,7% no IKP, 2019.gadā -0,5% no </w:t>
      </w:r>
      <w:r w:rsidR="00F1691B" w:rsidRPr="009B0620">
        <w:rPr>
          <w:rFonts w:ascii="Times New Roman" w:eastAsia="Calibri" w:hAnsi="Times New Roman" w:cs="Times New Roman"/>
          <w:color w:val="000000"/>
          <w:sz w:val="24"/>
          <w:szCs w:val="24"/>
        </w:rPr>
        <w:t xml:space="preserve">IKP un 2020.gadā -0,3% no IKP. </w:t>
      </w:r>
      <w:r w:rsidRPr="009B0620">
        <w:rPr>
          <w:rFonts w:ascii="Times New Roman" w:eastAsia="Calibri" w:hAnsi="Times New Roman" w:cs="Times New Roman"/>
          <w:color w:val="000000"/>
          <w:sz w:val="24"/>
          <w:szCs w:val="24"/>
        </w:rPr>
        <w:t>(skat</w:t>
      </w:r>
      <w:r w:rsidR="00015238" w:rsidRPr="009B0620">
        <w:rPr>
          <w:rFonts w:ascii="Times New Roman" w:eastAsia="Calibri" w:hAnsi="Times New Roman" w:cs="Times New Roman"/>
          <w:color w:val="000000"/>
          <w:sz w:val="24"/>
          <w:szCs w:val="24"/>
        </w:rPr>
        <w:t>.</w:t>
      </w:r>
      <w:r w:rsidRPr="009B0620">
        <w:rPr>
          <w:rFonts w:ascii="Times New Roman" w:eastAsia="Calibri" w:hAnsi="Times New Roman" w:cs="Times New Roman"/>
          <w:color w:val="000000"/>
          <w:sz w:val="24"/>
          <w:szCs w:val="24"/>
        </w:rPr>
        <w:t xml:space="preserve"> </w:t>
      </w:r>
      <w:r w:rsidR="00015238" w:rsidRPr="009B0620">
        <w:rPr>
          <w:rFonts w:ascii="Times New Roman" w:eastAsia="Calibri" w:hAnsi="Times New Roman" w:cs="Times New Roman"/>
          <w:color w:val="000000"/>
          <w:sz w:val="24"/>
          <w:szCs w:val="24"/>
        </w:rPr>
        <w:t>3.2.4.</w:t>
      </w:r>
      <w:r w:rsidRPr="009B0620">
        <w:rPr>
          <w:rFonts w:ascii="Times New Roman" w:eastAsia="Calibri" w:hAnsi="Times New Roman" w:cs="Times New Roman"/>
          <w:color w:val="000000"/>
          <w:sz w:val="24"/>
          <w:szCs w:val="24"/>
        </w:rPr>
        <w:t>sadaļu) tiek uzskatīts par vienreizējo pasākumu</w:t>
      </w:r>
      <w:r>
        <w:rPr>
          <w:rFonts w:ascii="Times New Roman" w:eastAsia="Calibri" w:hAnsi="Times New Roman" w:cs="Times New Roman"/>
          <w:color w:val="000000"/>
          <w:sz w:val="24"/>
          <w:szCs w:val="24"/>
        </w:rPr>
        <w:t xml:space="preserve"> (</w:t>
      </w:r>
      <w:r w:rsidRPr="000C3D0F">
        <w:rPr>
          <w:rFonts w:ascii="Times New Roman" w:eastAsia="Calibri" w:hAnsi="Times New Roman" w:cs="Times New Roman"/>
          <w:i/>
          <w:color w:val="000000"/>
          <w:sz w:val="24"/>
          <w:szCs w:val="24"/>
        </w:rPr>
        <w:t>one –off measure</w:t>
      </w:r>
      <w:r>
        <w:rPr>
          <w:rFonts w:ascii="Times New Roman" w:eastAsia="Calibri" w:hAnsi="Times New Roman" w:cs="Times New Roman"/>
          <w:color w:val="000000"/>
          <w:sz w:val="24"/>
          <w:szCs w:val="24"/>
        </w:rPr>
        <w:t xml:space="preserve">). </w:t>
      </w:r>
    </w:p>
    <w:p w14:paraId="168EBE61" w14:textId="393720B5" w:rsidR="0077183B" w:rsidRDefault="0077183B" w:rsidP="00F1691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Tādējādi</w:t>
      </w:r>
      <w:r>
        <w:rPr>
          <w:rFonts w:ascii="Times New Roman" w:eastAsia="Calibri" w:hAnsi="Times New Roman" w:cs="Times New Roman"/>
          <w:color w:val="000000"/>
          <w:sz w:val="24"/>
          <w:szCs w:val="24"/>
        </w:rPr>
        <w:t xml:space="preserve"> izmantojot iepriekš noteikto strukturālo bilanci, FM prognozes par izlaižu starpību un vienreizējos pasākumus</w:t>
      </w:r>
      <w:r w:rsidRPr="0009609E">
        <w:rPr>
          <w:rFonts w:ascii="Times New Roman" w:eastAsia="Calibri" w:hAnsi="Times New Roman" w:cs="Times New Roman"/>
          <w:color w:val="000000"/>
          <w:sz w:val="24"/>
          <w:szCs w:val="24"/>
        </w:rPr>
        <w:t xml:space="preserve"> tiek i</w:t>
      </w:r>
      <w:r>
        <w:rPr>
          <w:rFonts w:ascii="Times New Roman" w:eastAsia="Calibri" w:hAnsi="Times New Roman" w:cs="Times New Roman"/>
          <w:color w:val="000000"/>
          <w:sz w:val="24"/>
          <w:szCs w:val="24"/>
        </w:rPr>
        <w:t>egūta nominālā bilance, kas 2</w:t>
      </w:r>
      <w:r w:rsidR="00F1691B">
        <w:rPr>
          <w:rFonts w:ascii="Times New Roman" w:eastAsia="Calibri" w:hAnsi="Times New Roman" w:cs="Times New Roman"/>
          <w:color w:val="000000"/>
          <w:sz w:val="24"/>
          <w:szCs w:val="24"/>
        </w:rPr>
        <w:t>018.gadā ir -1,8% no IKP, 2019.</w:t>
      </w:r>
      <w:r>
        <w:rPr>
          <w:rFonts w:ascii="Times New Roman" w:eastAsia="Calibri" w:hAnsi="Times New Roman" w:cs="Times New Roman"/>
          <w:color w:val="000000"/>
          <w:sz w:val="24"/>
          <w:szCs w:val="24"/>
        </w:rPr>
        <w:t>gadā ir -1,2% no IKP un 2020.gadā ir -0,5</w:t>
      </w:r>
      <w:r w:rsidRPr="0009609E">
        <w:rPr>
          <w:rFonts w:ascii="Times New Roman" w:eastAsia="Calibri" w:hAnsi="Times New Roman" w:cs="Times New Roman"/>
          <w:color w:val="000000"/>
          <w:sz w:val="24"/>
          <w:szCs w:val="24"/>
        </w:rPr>
        <w:t>% no IKP.</w:t>
      </w:r>
      <w:r>
        <w:rPr>
          <w:rFonts w:ascii="Times New Roman" w:eastAsia="Calibri" w:hAnsi="Times New Roman" w:cs="Times New Roman"/>
          <w:color w:val="000000"/>
          <w:sz w:val="24"/>
          <w:szCs w:val="24"/>
        </w:rPr>
        <w:t xml:space="preserve"> </w:t>
      </w:r>
    </w:p>
    <w:p w14:paraId="7D2A408A" w14:textId="053F10B2" w:rsidR="0077183B" w:rsidRPr="0009609E"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Jāatzīmē, ka </w:t>
      </w:r>
      <w:r w:rsidR="00F1691B">
        <w:rPr>
          <w:rFonts w:ascii="Times New Roman" w:eastAsia="Calibri" w:hAnsi="Times New Roman" w:cs="Times New Roman"/>
          <w:color w:val="000000"/>
          <w:sz w:val="24"/>
          <w:szCs w:val="24"/>
        </w:rPr>
        <w:t>FDL</w:t>
      </w:r>
      <w:r>
        <w:rPr>
          <w:rFonts w:ascii="Times New Roman" w:eastAsia="Calibri" w:hAnsi="Times New Roman" w:cs="Times New Roman"/>
          <w:color w:val="000000"/>
          <w:sz w:val="24"/>
          <w:szCs w:val="24"/>
        </w:rPr>
        <w:t xml:space="preserve"> normu piemērošana un tulkošana ir FM kompetencē un FM uztur viedokli, ka īstermiņa ieņēmumu kritums, ko izsauc nodokļu reforma pēc būtības ir vienreizējs pasākums – ieņēmumu kritumam nav paliekoša efekta un tāpēc tas nav jāiekļa</w:t>
      </w:r>
      <w:r w:rsidR="00DA1222">
        <w:rPr>
          <w:rFonts w:ascii="Times New Roman" w:eastAsia="Calibri" w:hAnsi="Times New Roman" w:cs="Times New Roman"/>
          <w:color w:val="000000"/>
          <w:sz w:val="24"/>
          <w:szCs w:val="24"/>
        </w:rPr>
        <w:t>uj strukturālajā bilancē. Tāpat</w:t>
      </w:r>
      <w:r>
        <w:rPr>
          <w:rFonts w:ascii="Times New Roman" w:eastAsia="Calibri" w:hAnsi="Times New Roman" w:cs="Times New Roman"/>
          <w:color w:val="000000"/>
          <w:sz w:val="24"/>
          <w:szCs w:val="24"/>
        </w:rPr>
        <w:t xml:space="preserve"> jāatzīmē, ka EK attiecībā uz vienreizējiem pasākumiem ietur daudz konservatīvāku politiku un ne visus pasākumus ar īstermiņa fiskālo efektu izslēdz no strukturālās bilances </w:t>
      </w:r>
      <w:r w:rsidRPr="007331E9">
        <w:rPr>
          <w:rFonts w:ascii="Times New Roman" w:eastAsia="Calibri" w:hAnsi="Times New Roman" w:cs="Times New Roman"/>
          <w:color w:val="000000"/>
          <w:sz w:val="24"/>
          <w:szCs w:val="24"/>
        </w:rPr>
        <w:t xml:space="preserve">(skat. </w:t>
      </w:r>
      <w:r w:rsidRPr="007331E9">
        <w:rPr>
          <w:rFonts w:ascii="Times New Roman" w:eastAsia="Calibri" w:hAnsi="Times New Roman" w:cs="Times New Roman"/>
          <w:i/>
          <w:color w:val="000000"/>
          <w:sz w:val="24"/>
          <w:szCs w:val="24"/>
          <w:lang w:val="en-GB"/>
        </w:rPr>
        <w:t xml:space="preserve">Vade Mecum on </w:t>
      </w:r>
      <w:r w:rsidR="00F1691B">
        <w:rPr>
          <w:rFonts w:ascii="Times New Roman" w:eastAsia="Calibri" w:hAnsi="Times New Roman" w:cs="Times New Roman"/>
          <w:i/>
          <w:color w:val="000000"/>
          <w:sz w:val="24"/>
          <w:szCs w:val="24"/>
          <w:lang w:val="en-GB"/>
        </w:rPr>
        <w:t xml:space="preserve">the Stability and Growth Pact, </w:t>
      </w:r>
      <w:r w:rsidRPr="007331E9">
        <w:rPr>
          <w:rFonts w:ascii="Times New Roman" w:eastAsia="Calibri" w:hAnsi="Times New Roman" w:cs="Times New Roman"/>
          <w:i/>
          <w:color w:val="000000"/>
          <w:sz w:val="24"/>
          <w:szCs w:val="24"/>
          <w:lang w:val="en-GB"/>
        </w:rPr>
        <w:t>Box 1.4: Calculating the structural balance</w:t>
      </w:r>
      <w:r w:rsidRPr="007331E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Līdz ar to SIP kontekstā nodokļu </w:t>
      </w:r>
      <w:r w:rsidRPr="00A46C6A">
        <w:rPr>
          <w:rFonts w:ascii="Times New Roman" w:eastAsia="Calibri" w:hAnsi="Times New Roman" w:cs="Times New Roman"/>
          <w:color w:val="000000"/>
          <w:sz w:val="24"/>
          <w:szCs w:val="24"/>
        </w:rPr>
        <w:t>reformas izsauktais ieņēmumu kritums netiks atzīts no EK puses par vienreizējo pasākumu un tāpēc 3.</w:t>
      </w:r>
      <w:r w:rsidR="00A46C6A" w:rsidRPr="00A46C6A">
        <w:rPr>
          <w:rFonts w:ascii="Times New Roman" w:eastAsia="Calibri" w:hAnsi="Times New Roman" w:cs="Times New Roman"/>
          <w:color w:val="000000"/>
          <w:sz w:val="24"/>
          <w:szCs w:val="24"/>
        </w:rPr>
        <w:t>1.</w:t>
      </w:r>
      <w:r w:rsidRPr="00A46C6A">
        <w:rPr>
          <w:rFonts w:ascii="Times New Roman" w:eastAsia="Calibri" w:hAnsi="Times New Roman" w:cs="Times New Roman"/>
          <w:color w:val="000000"/>
          <w:sz w:val="24"/>
          <w:szCs w:val="24"/>
        </w:rPr>
        <w:t>tabulā</w:t>
      </w:r>
      <w:r>
        <w:rPr>
          <w:rFonts w:ascii="Times New Roman" w:eastAsia="Calibri" w:hAnsi="Times New Roman" w:cs="Times New Roman"/>
          <w:color w:val="000000"/>
          <w:sz w:val="24"/>
          <w:szCs w:val="24"/>
        </w:rPr>
        <w:t xml:space="preserve"> tas netiek ie</w:t>
      </w:r>
      <w:r w:rsidR="00F1691B">
        <w:rPr>
          <w:rFonts w:ascii="Times New Roman" w:eastAsia="Calibri" w:hAnsi="Times New Roman" w:cs="Times New Roman"/>
          <w:color w:val="000000"/>
          <w:sz w:val="24"/>
          <w:szCs w:val="24"/>
        </w:rPr>
        <w:t>kļauts kā vienreizējs pasākums.</w:t>
      </w:r>
    </w:p>
    <w:p w14:paraId="58FADBE7" w14:textId="77777777" w:rsidR="0077183B" w:rsidRPr="00CC6037" w:rsidRDefault="0077183B" w:rsidP="00F1691B">
      <w:pPr>
        <w:spacing w:before="320" w:after="120" w:line="240" w:lineRule="auto"/>
        <w:ind w:firstLine="720"/>
        <w:jc w:val="both"/>
        <w:rPr>
          <w:rFonts w:ascii="Times New Roman" w:eastAsia="Calibri" w:hAnsi="Times New Roman" w:cs="Times New Roman"/>
          <w:b/>
          <w:color w:val="000000"/>
          <w:sz w:val="24"/>
          <w:szCs w:val="24"/>
        </w:rPr>
      </w:pPr>
      <w:r w:rsidRPr="00075DEB">
        <w:rPr>
          <w:rFonts w:ascii="Times New Roman" w:eastAsia="Calibri" w:hAnsi="Times New Roman" w:cs="Times New Roman"/>
          <w:b/>
          <w:color w:val="000000"/>
          <w:sz w:val="24"/>
          <w:szCs w:val="24"/>
        </w:rPr>
        <w:t>Bilances mērķi, atbilst</w:t>
      </w:r>
      <w:r>
        <w:rPr>
          <w:rFonts w:ascii="Times New Roman" w:eastAsia="Calibri" w:hAnsi="Times New Roman" w:cs="Times New Roman"/>
          <w:b/>
          <w:color w:val="000000"/>
          <w:sz w:val="24"/>
          <w:szCs w:val="24"/>
        </w:rPr>
        <w:t>oši bilances nosacījumam</w:t>
      </w:r>
      <w:r w:rsidRPr="00CC6037">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 s</w:t>
      </w:r>
      <w:r w:rsidRPr="00CC6037">
        <w:rPr>
          <w:rFonts w:ascii="Times New Roman" w:eastAsia="Calibri" w:hAnsi="Times New Roman" w:cs="Times New Roman"/>
          <w:b/>
          <w:color w:val="000000"/>
          <w:sz w:val="24"/>
          <w:szCs w:val="24"/>
        </w:rPr>
        <w:t>trukturālo mērķu izvēle</w:t>
      </w:r>
      <w:r>
        <w:rPr>
          <w:rFonts w:ascii="Times New Roman" w:eastAsia="Calibri" w:hAnsi="Times New Roman" w:cs="Times New Roman"/>
          <w:b/>
          <w:color w:val="000000"/>
          <w:sz w:val="24"/>
          <w:szCs w:val="24"/>
        </w:rPr>
        <w:t xml:space="preserve"> </w:t>
      </w:r>
    </w:p>
    <w:p w14:paraId="2AD30ACE" w14:textId="66455E98"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sidRPr="0009609E">
        <w:rPr>
          <w:rFonts w:ascii="Times New Roman" w:eastAsia="Calibri" w:hAnsi="Times New Roman" w:cs="Times New Roman"/>
          <w:color w:val="000000"/>
          <w:sz w:val="24"/>
          <w:szCs w:val="24"/>
        </w:rPr>
        <w:t>Kad pēc abām</w:t>
      </w:r>
      <w:r>
        <w:rPr>
          <w:rFonts w:ascii="Times New Roman" w:eastAsia="Calibri" w:hAnsi="Times New Roman" w:cs="Times New Roman"/>
          <w:color w:val="000000"/>
          <w:sz w:val="24"/>
          <w:szCs w:val="24"/>
        </w:rPr>
        <w:t xml:space="preserve"> bilances nosacījuma</w:t>
      </w:r>
      <w:r w:rsidRPr="0009609E">
        <w:rPr>
          <w:rFonts w:ascii="Times New Roman" w:eastAsia="Calibri" w:hAnsi="Times New Roman" w:cs="Times New Roman"/>
          <w:color w:val="000000"/>
          <w:sz w:val="24"/>
          <w:szCs w:val="24"/>
        </w:rPr>
        <w:t xml:space="preserve"> metodēm ir noteikti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00DA1222" w:rsidRPr="0009609E">
        <w:rPr>
          <w:rFonts w:ascii="Times New Roman" w:eastAsia="Calibri" w:hAnsi="Times New Roman" w:cs="Times New Roman"/>
          <w:color w:val="000000"/>
          <w:sz w:val="24"/>
          <w:szCs w:val="24"/>
        </w:rPr>
        <w:t xml:space="preserve">strukturālās </w:t>
      </w:r>
      <w:r w:rsidRPr="0009609E">
        <w:rPr>
          <w:rFonts w:ascii="Times New Roman" w:eastAsia="Calibri" w:hAnsi="Times New Roman" w:cs="Times New Roman"/>
          <w:color w:val="000000"/>
          <w:sz w:val="24"/>
          <w:szCs w:val="24"/>
        </w:rPr>
        <w:t>bilances mērķi un aprēķināta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nominālā bilance, iegūtie rezultāti nominālā izteiksmē tiek salīdzināti un tiek izvēlēta lielākā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Pr="0009609E">
        <w:rPr>
          <w:rFonts w:ascii="Times New Roman" w:eastAsia="Calibri" w:hAnsi="Times New Roman" w:cs="Times New Roman"/>
          <w:color w:val="000000"/>
          <w:sz w:val="24"/>
          <w:szCs w:val="24"/>
        </w:rPr>
        <w:lastRenderedPageBreak/>
        <w:t>nominālās bilances vērtība, ar mērķi nodrošināt fiskālo nosacījumu atbilstību gan pēc nacionālās metodoloģija</w:t>
      </w:r>
      <w:r w:rsidR="00E20DFB">
        <w:rPr>
          <w:rFonts w:ascii="Times New Roman" w:eastAsia="Calibri" w:hAnsi="Times New Roman" w:cs="Times New Roman"/>
          <w:color w:val="000000"/>
          <w:sz w:val="24"/>
          <w:szCs w:val="24"/>
        </w:rPr>
        <w:t>s, gan saskaņā ar SIP izpratni.</w:t>
      </w:r>
    </w:p>
    <w:p w14:paraId="591A6B4A" w14:textId="77777777" w:rsidR="0077183B" w:rsidRPr="00CC6037" w:rsidRDefault="0077183B" w:rsidP="0077183B">
      <w:pPr>
        <w:spacing w:before="120" w:after="120" w:line="240" w:lineRule="auto"/>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3.3.tabula. Strukturālā mērķa izvēle</w:t>
      </w:r>
    </w:p>
    <w:tbl>
      <w:tblPr>
        <w:tblStyle w:val="GridTable6Colorful-Accent1"/>
        <w:tblW w:w="9061" w:type="dxa"/>
        <w:jc w:val="center"/>
        <w:tblLook w:val="04A0" w:firstRow="1" w:lastRow="0" w:firstColumn="1" w:lastColumn="0" w:noHBand="0" w:noVBand="1"/>
      </w:tblPr>
      <w:tblGrid>
        <w:gridCol w:w="1555"/>
        <w:gridCol w:w="4626"/>
        <w:gridCol w:w="960"/>
        <w:gridCol w:w="960"/>
        <w:gridCol w:w="960"/>
      </w:tblGrid>
      <w:tr w:rsidR="0077183B" w:rsidRPr="00912D5A" w14:paraId="2DE6706C" w14:textId="77777777" w:rsidTr="0077183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Pr>
          <w:p w14:paraId="6592D869" w14:textId="77777777" w:rsidR="0077183B" w:rsidRPr="00D811E2" w:rsidRDefault="0077183B" w:rsidP="0077183B">
            <w:pPr>
              <w:rPr>
                <w:rFonts w:ascii="Times New Roman" w:eastAsia="Times New Roman" w:hAnsi="Times New Roman" w:cs="Times New Roman"/>
                <w:sz w:val="20"/>
                <w:szCs w:val="20"/>
                <w:lang w:eastAsia="lv-LV"/>
              </w:rPr>
            </w:pPr>
          </w:p>
        </w:tc>
        <w:tc>
          <w:tcPr>
            <w:tcW w:w="4626" w:type="dxa"/>
            <w:noWrap/>
            <w:hideMark/>
          </w:tcPr>
          <w:p w14:paraId="4D852EE0" w14:textId="77777777" w:rsidR="0077183B" w:rsidRPr="00D811E2" w:rsidRDefault="0077183B" w:rsidP="0077183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811E2">
              <w:rPr>
                <w:rFonts w:ascii="Times New Roman" w:eastAsia="Times New Roman" w:hAnsi="Times New Roman" w:cs="Times New Roman"/>
                <w:color w:val="auto"/>
                <w:sz w:val="20"/>
                <w:szCs w:val="20"/>
                <w:lang w:eastAsia="lv-LV"/>
              </w:rPr>
              <w:t> </w:t>
            </w:r>
          </w:p>
        </w:tc>
        <w:tc>
          <w:tcPr>
            <w:tcW w:w="960" w:type="dxa"/>
            <w:noWrap/>
            <w:vAlign w:val="center"/>
            <w:hideMark/>
          </w:tcPr>
          <w:p w14:paraId="09643573" w14:textId="77777777" w:rsidR="0077183B" w:rsidRPr="00912D5A" w:rsidRDefault="0077183B" w:rsidP="00771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2018</w:t>
            </w:r>
          </w:p>
        </w:tc>
        <w:tc>
          <w:tcPr>
            <w:tcW w:w="960" w:type="dxa"/>
            <w:noWrap/>
            <w:vAlign w:val="center"/>
            <w:hideMark/>
          </w:tcPr>
          <w:p w14:paraId="646329BC" w14:textId="77777777" w:rsidR="0077183B" w:rsidRPr="00912D5A" w:rsidRDefault="0077183B" w:rsidP="00771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2019</w:t>
            </w:r>
          </w:p>
        </w:tc>
        <w:tc>
          <w:tcPr>
            <w:tcW w:w="960" w:type="dxa"/>
            <w:noWrap/>
            <w:vAlign w:val="center"/>
            <w:hideMark/>
          </w:tcPr>
          <w:p w14:paraId="4B44EA89" w14:textId="77777777" w:rsidR="0077183B" w:rsidRPr="00912D5A" w:rsidRDefault="0077183B" w:rsidP="00771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2020</w:t>
            </w:r>
          </w:p>
        </w:tc>
      </w:tr>
      <w:tr w:rsidR="0077183B" w:rsidRPr="00912D5A" w14:paraId="0D7046C9" w14:textId="77777777" w:rsidTr="007718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Pr>
          <w:p w14:paraId="7C73B33A" w14:textId="77777777" w:rsidR="0077183B" w:rsidRPr="00912D5A" w:rsidRDefault="0077183B" w:rsidP="0077183B">
            <w:pPr>
              <w:jc w:val="center"/>
              <w:rPr>
                <w:rFonts w:ascii="Times New Roman" w:eastAsia="Times New Roman" w:hAnsi="Times New Roman" w:cs="Times New Roman"/>
                <w:b w:val="0"/>
                <w:color w:val="auto"/>
                <w:sz w:val="18"/>
                <w:szCs w:val="20"/>
                <w:lang w:eastAsia="lv-LV"/>
              </w:rPr>
            </w:pPr>
            <w:r w:rsidRPr="00912D5A">
              <w:rPr>
                <w:rFonts w:ascii="Times New Roman" w:eastAsia="Times New Roman" w:hAnsi="Times New Roman" w:cs="Times New Roman"/>
                <w:b w:val="0"/>
                <w:color w:val="auto"/>
                <w:sz w:val="18"/>
                <w:szCs w:val="20"/>
                <w:lang w:eastAsia="lv-LV"/>
              </w:rPr>
              <w:t>(1)</w:t>
            </w:r>
          </w:p>
        </w:tc>
        <w:tc>
          <w:tcPr>
            <w:tcW w:w="4626" w:type="dxa"/>
            <w:noWrap/>
            <w:hideMark/>
          </w:tcPr>
          <w:p w14:paraId="7DAFA9A8" w14:textId="77777777" w:rsidR="0077183B" w:rsidRPr="00912D5A" w:rsidRDefault="0077183B" w:rsidP="0077183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color w:val="auto"/>
                <w:sz w:val="20"/>
                <w:szCs w:val="20"/>
                <w:lang w:eastAsia="lv-LV"/>
              </w:rPr>
              <w:t>1. Nominālā bilance (saskaņā ar SIP izpratni)</w:t>
            </w:r>
          </w:p>
        </w:tc>
        <w:tc>
          <w:tcPr>
            <w:tcW w:w="960" w:type="dxa"/>
            <w:noWrap/>
            <w:vAlign w:val="center"/>
          </w:tcPr>
          <w:p w14:paraId="570CA052"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-1,6%</w:t>
            </w:r>
          </w:p>
        </w:tc>
        <w:tc>
          <w:tcPr>
            <w:tcW w:w="960" w:type="dxa"/>
            <w:noWrap/>
            <w:vAlign w:val="center"/>
          </w:tcPr>
          <w:p w14:paraId="1A6F413C"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-1,2%</w:t>
            </w:r>
          </w:p>
        </w:tc>
        <w:tc>
          <w:tcPr>
            <w:tcW w:w="960" w:type="dxa"/>
            <w:noWrap/>
            <w:vAlign w:val="center"/>
          </w:tcPr>
          <w:p w14:paraId="39264D4D"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-0,7%</w:t>
            </w:r>
          </w:p>
        </w:tc>
      </w:tr>
      <w:tr w:rsidR="0077183B" w:rsidRPr="00912D5A" w14:paraId="68E2E371" w14:textId="77777777" w:rsidTr="0077183B">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Pr>
          <w:p w14:paraId="27584F42" w14:textId="77777777" w:rsidR="0077183B" w:rsidRPr="00912D5A" w:rsidRDefault="0077183B" w:rsidP="0077183B">
            <w:pPr>
              <w:jc w:val="center"/>
              <w:rPr>
                <w:rFonts w:ascii="Times New Roman" w:eastAsia="Times New Roman" w:hAnsi="Times New Roman" w:cs="Times New Roman"/>
                <w:b w:val="0"/>
                <w:color w:val="auto"/>
                <w:sz w:val="18"/>
                <w:szCs w:val="20"/>
                <w:lang w:eastAsia="lv-LV"/>
              </w:rPr>
            </w:pPr>
            <w:r w:rsidRPr="00912D5A">
              <w:rPr>
                <w:rFonts w:ascii="Times New Roman" w:eastAsia="Times New Roman" w:hAnsi="Times New Roman" w:cs="Times New Roman"/>
                <w:b w:val="0"/>
                <w:color w:val="auto"/>
                <w:sz w:val="18"/>
                <w:szCs w:val="20"/>
                <w:lang w:eastAsia="lv-LV"/>
              </w:rPr>
              <w:t>(2)</w:t>
            </w:r>
          </w:p>
        </w:tc>
        <w:tc>
          <w:tcPr>
            <w:tcW w:w="4626" w:type="dxa"/>
            <w:noWrap/>
            <w:hideMark/>
          </w:tcPr>
          <w:p w14:paraId="01E56056" w14:textId="77777777" w:rsidR="0077183B" w:rsidRPr="00912D5A" w:rsidRDefault="0077183B" w:rsidP="0077183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color w:val="auto"/>
                <w:sz w:val="20"/>
                <w:szCs w:val="20"/>
                <w:lang w:eastAsia="lv-LV"/>
              </w:rPr>
              <w:t>2. Nominālā bilance (saskaņā ar nacionālo metodoloģiju)</w:t>
            </w:r>
          </w:p>
        </w:tc>
        <w:tc>
          <w:tcPr>
            <w:tcW w:w="960" w:type="dxa"/>
            <w:noWrap/>
            <w:vAlign w:val="center"/>
          </w:tcPr>
          <w:p w14:paraId="57AD700C"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-1,8%</w:t>
            </w:r>
          </w:p>
        </w:tc>
        <w:tc>
          <w:tcPr>
            <w:tcW w:w="960" w:type="dxa"/>
            <w:noWrap/>
            <w:vAlign w:val="center"/>
          </w:tcPr>
          <w:p w14:paraId="33B06E07"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-1,2%</w:t>
            </w:r>
          </w:p>
        </w:tc>
        <w:tc>
          <w:tcPr>
            <w:tcW w:w="960" w:type="dxa"/>
            <w:noWrap/>
            <w:vAlign w:val="center"/>
          </w:tcPr>
          <w:p w14:paraId="1279E214"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-0,5%</w:t>
            </w:r>
          </w:p>
        </w:tc>
      </w:tr>
      <w:tr w:rsidR="0077183B" w:rsidRPr="00912D5A" w14:paraId="2498D59A" w14:textId="77777777" w:rsidTr="007718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Pr>
          <w:p w14:paraId="633C5F82" w14:textId="77777777" w:rsidR="0077183B" w:rsidRPr="00912D5A" w:rsidRDefault="0077183B" w:rsidP="0077183B">
            <w:pPr>
              <w:jc w:val="center"/>
              <w:rPr>
                <w:rFonts w:ascii="Times New Roman" w:eastAsia="Times New Roman" w:hAnsi="Times New Roman" w:cs="Times New Roman"/>
                <w:b w:val="0"/>
                <w:color w:val="auto"/>
                <w:sz w:val="18"/>
                <w:szCs w:val="20"/>
                <w:lang w:eastAsia="lv-LV"/>
              </w:rPr>
            </w:pPr>
            <w:r w:rsidRPr="00912D5A">
              <w:rPr>
                <w:rFonts w:ascii="Times New Roman" w:eastAsia="Times New Roman" w:hAnsi="Times New Roman" w:cs="Times New Roman"/>
                <w:b w:val="0"/>
                <w:color w:val="auto"/>
                <w:sz w:val="18"/>
                <w:szCs w:val="20"/>
                <w:lang w:eastAsia="lv-LV"/>
              </w:rPr>
              <w:t>(3) = MAX (1;2)</w:t>
            </w:r>
          </w:p>
        </w:tc>
        <w:tc>
          <w:tcPr>
            <w:tcW w:w="4626" w:type="dxa"/>
            <w:noWrap/>
            <w:hideMark/>
          </w:tcPr>
          <w:p w14:paraId="1E28E8ED" w14:textId="77777777" w:rsidR="0077183B" w:rsidRPr="00912D5A" w:rsidRDefault="0077183B" w:rsidP="0077183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color w:val="auto"/>
                <w:sz w:val="20"/>
                <w:szCs w:val="20"/>
                <w:lang w:eastAsia="lv-LV"/>
              </w:rPr>
              <w:t>Lielākā nominālās bilances vērtība MAX(1;2)</w:t>
            </w:r>
          </w:p>
        </w:tc>
        <w:tc>
          <w:tcPr>
            <w:tcW w:w="960" w:type="dxa"/>
            <w:noWrap/>
            <w:vAlign w:val="center"/>
          </w:tcPr>
          <w:p w14:paraId="227C98C0"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-1,6%</w:t>
            </w:r>
          </w:p>
        </w:tc>
        <w:tc>
          <w:tcPr>
            <w:tcW w:w="960" w:type="dxa"/>
            <w:noWrap/>
            <w:vAlign w:val="center"/>
          </w:tcPr>
          <w:p w14:paraId="20FCD09F"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-1,2%</w:t>
            </w:r>
          </w:p>
        </w:tc>
        <w:tc>
          <w:tcPr>
            <w:tcW w:w="960" w:type="dxa"/>
            <w:noWrap/>
            <w:vAlign w:val="center"/>
          </w:tcPr>
          <w:p w14:paraId="1DDC398F"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-0,5%</w:t>
            </w:r>
          </w:p>
        </w:tc>
      </w:tr>
      <w:tr w:rsidR="0077183B" w:rsidRPr="00912D5A" w14:paraId="65B54744" w14:textId="77777777" w:rsidTr="0077183B">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Pr>
          <w:p w14:paraId="164746B2" w14:textId="77777777" w:rsidR="0077183B" w:rsidRPr="00912D5A" w:rsidRDefault="0077183B" w:rsidP="0077183B">
            <w:pPr>
              <w:jc w:val="center"/>
              <w:rPr>
                <w:rFonts w:ascii="Times New Roman" w:eastAsia="Times New Roman" w:hAnsi="Times New Roman" w:cs="Times New Roman"/>
                <w:b w:val="0"/>
                <w:color w:val="auto"/>
                <w:sz w:val="18"/>
                <w:szCs w:val="20"/>
                <w:lang w:eastAsia="lv-LV"/>
              </w:rPr>
            </w:pPr>
            <w:r w:rsidRPr="00912D5A">
              <w:rPr>
                <w:rFonts w:ascii="Times New Roman" w:eastAsia="Times New Roman" w:hAnsi="Times New Roman" w:cs="Times New Roman"/>
                <w:b w:val="0"/>
                <w:color w:val="auto"/>
                <w:sz w:val="18"/>
                <w:szCs w:val="20"/>
                <w:lang w:eastAsia="lv-LV"/>
              </w:rPr>
              <w:t>(4)</w:t>
            </w:r>
          </w:p>
        </w:tc>
        <w:tc>
          <w:tcPr>
            <w:tcW w:w="4626" w:type="dxa"/>
            <w:noWrap/>
            <w:hideMark/>
          </w:tcPr>
          <w:p w14:paraId="476FD4A9" w14:textId="77777777" w:rsidR="0077183B" w:rsidRPr="00912D5A" w:rsidRDefault="0077183B" w:rsidP="0077183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color w:val="auto"/>
                <w:sz w:val="20"/>
                <w:szCs w:val="20"/>
                <w:lang w:eastAsia="lv-LV"/>
              </w:rPr>
              <w:t>Cikliskā komponente (nacionālā metodoloģija)</w:t>
            </w:r>
          </w:p>
        </w:tc>
        <w:tc>
          <w:tcPr>
            <w:tcW w:w="960" w:type="dxa"/>
            <w:noWrap/>
            <w:hideMark/>
          </w:tcPr>
          <w:p w14:paraId="283E2180"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0,1%</w:t>
            </w:r>
          </w:p>
        </w:tc>
        <w:tc>
          <w:tcPr>
            <w:tcW w:w="960" w:type="dxa"/>
            <w:noWrap/>
            <w:hideMark/>
          </w:tcPr>
          <w:p w14:paraId="7297F7A0"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0,3%</w:t>
            </w:r>
          </w:p>
        </w:tc>
        <w:tc>
          <w:tcPr>
            <w:tcW w:w="960" w:type="dxa"/>
            <w:noWrap/>
            <w:hideMark/>
          </w:tcPr>
          <w:p w14:paraId="4B03A3F2"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0,3%</w:t>
            </w:r>
          </w:p>
        </w:tc>
      </w:tr>
      <w:tr w:rsidR="0077183B" w:rsidRPr="00912D5A" w14:paraId="3C5F537F" w14:textId="77777777" w:rsidTr="007718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Pr>
          <w:p w14:paraId="767BD910" w14:textId="77777777" w:rsidR="0077183B" w:rsidRPr="00912D5A" w:rsidRDefault="0077183B" w:rsidP="0077183B">
            <w:pPr>
              <w:jc w:val="center"/>
              <w:rPr>
                <w:rFonts w:ascii="Times New Roman" w:eastAsia="Times New Roman" w:hAnsi="Times New Roman" w:cs="Times New Roman"/>
                <w:b w:val="0"/>
                <w:color w:val="auto"/>
                <w:sz w:val="18"/>
                <w:szCs w:val="20"/>
                <w:lang w:eastAsia="lv-LV"/>
              </w:rPr>
            </w:pPr>
            <w:r w:rsidRPr="00912D5A">
              <w:rPr>
                <w:rFonts w:ascii="Times New Roman" w:eastAsia="Times New Roman" w:hAnsi="Times New Roman" w:cs="Times New Roman"/>
                <w:b w:val="0"/>
                <w:color w:val="auto"/>
                <w:sz w:val="18"/>
                <w:szCs w:val="20"/>
                <w:lang w:eastAsia="lv-LV"/>
              </w:rPr>
              <w:t>(5)</w:t>
            </w:r>
          </w:p>
        </w:tc>
        <w:tc>
          <w:tcPr>
            <w:tcW w:w="4626" w:type="dxa"/>
            <w:noWrap/>
          </w:tcPr>
          <w:p w14:paraId="08432118" w14:textId="77777777" w:rsidR="0077183B" w:rsidRPr="00912D5A" w:rsidRDefault="0077183B" w:rsidP="0077183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912D5A">
              <w:rPr>
                <w:rFonts w:ascii="Times New Roman" w:eastAsia="Times New Roman" w:hAnsi="Times New Roman" w:cs="Times New Roman"/>
                <w:color w:val="auto"/>
                <w:sz w:val="20"/>
                <w:szCs w:val="20"/>
                <w:lang w:eastAsia="lv-LV"/>
              </w:rPr>
              <w:t>Vienreizējie pasākumi</w:t>
            </w:r>
          </w:p>
        </w:tc>
        <w:tc>
          <w:tcPr>
            <w:tcW w:w="960" w:type="dxa"/>
            <w:noWrap/>
          </w:tcPr>
          <w:p w14:paraId="125946F3"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-0,7%</w:t>
            </w:r>
          </w:p>
        </w:tc>
        <w:tc>
          <w:tcPr>
            <w:tcW w:w="960" w:type="dxa"/>
            <w:noWrap/>
          </w:tcPr>
          <w:p w14:paraId="060398B8"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-0,4%</w:t>
            </w:r>
          </w:p>
        </w:tc>
        <w:tc>
          <w:tcPr>
            <w:tcW w:w="960" w:type="dxa"/>
            <w:noWrap/>
          </w:tcPr>
          <w:p w14:paraId="53068669" w14:textId="77777777" w:rsidR="0077183B" w:rsidRPr="00912D5A" w:rsidRDefault="0077183B" w:rsidP="007718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12D5A">
              <w:rPr>
                <w:rFonts w:ascii="Times New Roman" w:eastAsia="Times New Roman" w:hAnsi="Times New Roman" w:cs="Times New Roman"/>
                <w:color w:val="auto"/>
                <w:sz w:val="20"/>
                <w:szCs w:val="20"/>
                <w:lang w:eastAsia="lv-LV"/>
              </w:rPr>
              <w:t>-0,3%</w:t>
            </w:r>
          </w:p>
        </w:tc>
      </w:tr>
      <w:tr w:rsidR="0077183B" w:rsidRPr="00D811E2" w14:paraId="20168B92" w14:textId="77777777" w:rsidTr="0077183B">
        <w:trPr>
          <w:trHeight w:val="56"/>
          <w:jc w:val="center"/>
        </w:trPr>
        <w:tc>
          <w:tcPr>
            <w:cnfStyle w:val="001000000000" w:firstRow="0" w:lastRow="0" w:firstColumn="1" w:lastColumn="0" w:oddVBand="0" w:evenVBand="0" w:oddHBand="0" w:evenHBand="0" w:firstRowFirstColumn="0" w:firstRowLastColumn="0" w:lastRowFirstColumn="0" w:lastRowLastColumn="0"/>
            <w:tcW w:w="1555" w:type="dxa"/>
          </w:tcPr>
          <w:p w14:paraId="3012F173" w14:textId="77777777" w:rsidR="0077183B" w:rsidRPr="00912D5A" w:rsidRDefault="0077183B" w:rsidP="0077183B">
            <w:pPr>
              <w:jc w:val="center"/>
              <w:rPr>
                <w:rFonts w:ascii="Times New Roman" w:eastAsia="Times New Roman" w:hAnsi="Times New Roman" w:cs="Times New Roman"/>
                <w:color w:val="auto"/>
                <w:sz w:val="18"/>
                <w:szCs w:val="20"/>
                <w:lang w:eastAsia="lv-LV"/>
              </w:rPr>
            </w:pPr>
            <w:r w:rsidRPr="00912D5A">
              <w:rPr>
                <w:rFonts w:ascii="Times New Roman" w:eastAsia="Times New Roman" w:hAnsi="Times New Roman" w:cs="Times New Roman"/>
                <w:color w:val="auto"/>
                <w:sz w:val="18"/>
                <w:szCs w:val="20"/>
                <w:lang w:eastAsia="lv-LV"/>
              </w:rPr>
              <w:t>(</w:t>
            </w:r>
            <w:r w:rsidRPr="00912D5A">
              <w:rPr>
                <w:rFonts w:ascii="Times New Roman" w:eastAsia="Times New Roman" w:hAnsi="Times New Roman" w:cs="Times New Roman"/>
                <w:b w:val="0"/>
                <w:color w:val="auto"/>
                <w:sz w:val="18"/>
                <w:szCs w:val="20"/>
                <w:lang w:eastAsia="lv-LV"/>
              </w:rPr>
              <w:t>6)=(3)-(4)-(5)</w:t>
            </w:r>
          </w:p>
        </w:tc>
        <w:tc>
          <w:tcPr>
            <w:tcW w:w="4626" w:type="dxa"/>
            <w:noWrap/>
            <w:hideMark/>
          </w:tcPr>
          <w:p w14:paraId="61C59919" w14:textId="77777777" w:rsidR="0077183B" w:rsidRPr="00912D5A" w:rsidRDefault="0077183B" w:rsidP="0077183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b/>
                <w:color w:val="auto"/>
                <w:sz w:val="20"/>
                <w:szCs w:val="20"/>
                <w:lang w:eastAsia="lv-LV"/>
              </w:rPr>
              <w:t>Strukturālās bilances mērķis</w:t>
            </w:r>
          </w:p>
        </w:tc>
        <w:tc>
          <w:tcPr>
            <w:tcW w:w="960" w:type="dxa"/>
            <w:noWrap/>
            <w:vAlign w:val="center"/>
          </w:tcPr>
          <w:p w14:paraId="748F497E"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b/>
                <w:color w:val="auto"/>
                <w:sz w:val="20"/>
                <w:szCs w:val="20"/>
                <w:lang w:eastAsia="lv-LV"/>
              </w:rPr>
              <w:t>-1,0%</w:t>
            </w:r>
          </w:p>
        </w:tc>
        <w:tc>
          <w:tcPr>
            <w:tcW w:w="960" w:type="dxa"/>
            <w:noWrap/>
            <w:vAlign w:val="center"/>
          </w:tcPr>
          <w:p w14:paraId="380358D1" w14:textId="77777777" w:rsidR="0077183B" w:rsidRPr="00912D5A"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b/>
                <w:color w:val="auto"/>
                <w:sz w:val="20"/>
                <w:szCs w:val="20"/>
                <w:lang w:eastAsia="lv-LV"/>
              </w:rPr>
              <w:t>-1,0%</w:t>
            </w:r>
          </w:p>
        </w:tc>
        <w:tc>
          <w:tcPr>
            <w:tcW w:w="960" w:type="dxa"/>
            <w:noWrap/>
            <w:vAlign w:val="center"/>
          </w:tcPr>
          <w:p w14:paraId="73730F15" w14:textId="77777777" w:rsidR="0077183B" w:rsidRPr="00944163" w:rsidRDefault="0077183B" w:rsidP="007718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12D5A">
              <w:rPr>
                <w:rFonts w:ascii="Times New Roman" w:eastAsia="Times New Roman" w:hAnsi="Times New Roman" w:cs="Times New Roman"/>
                <w:b/>
                <w:color w:val="auto"/>
                <w:sz w:val="20"/>
                <w:szCs w:val="20"/>
                <w:lang w:eastAsia="lv-LV"/>
              </w:rPr>
              <w:t>-0,5%</w:t>
            </w:r>
          </w:p>
        </w:tc>
      </w:tr>
    </w:tbl>
    <w:p w14:paraId="27A95635" w14:textId="3A8D1655" w:rsidR="0077183B" w:rsidRDefault="0077183B" w:rsidP="00E20DFB">
      <w:pPr>
        <w:spacing w:before="120" w:after="0" w:line="240" w:lineRule="auto"/>
        <w:ind w:firstLine="720"/>
        <w:jc w:val="both"/>
        <w:rPr>
          <w:rFonts w:ascii="Times New Roman" w:eastAsia="Calibri" w:hAnsi="Times New Roman" w:cs="Times New Roman"/>
          <w:b/>
          <w:color w:val="000000"/>
          <w:sz w:val="24"/>
          <w:szCs w:val="24"/>
        </w:rPr>
      </w:pPr>
      <w:r w:rsidRPr="0009609E">
        <w:rPr>
          <w:rFonts w:ascii="Times New Roman" w:eastAsia="Calibri" w:hAnsi="Times New Roman" w:cs="Times New Roman"/>
          <w:color w:val="000000"/>
          <w:sz w:val="24"/>
          <w:szCs w:val="24"/>
        </w:rPr>
        <w:t>Pēc tam kad ir noteikta lielākā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nominālās bilances vērtība, tiek veikta pāreja uz bilanci strukturālā izteiksmē (izmantojot ciklisko komponenti</w:t>
      </w:r>
      <w:r>
        <w:rPr>
          <w:rFonts w:ascii="Times New Roman" w:eastAsia="Calibri" w:hAnsi="Times New Roman" w:cs="Times New Roman"/>
          <w:color w:val="000000"/>
          <w:sz w:val="24"/>
          <w:szCs w:val="24"/>
        </w:rPr>
        <w:t xml:space="preserve"> un definētos vienreizējos pasākumus</w:t>
      </w:r>
      <w:r w:rsidRPr="0009609E">
        <w:rPr>
          <w:rFonts w:ascii="Times New Roman" w:eastAsia="Calibri" w:hAnsi="Times New Roman" w:cs="Times New Roman"/>
          <w:color w:val="000000"/>
          <w:sz w:val="24"/>
          <w:szCs w:val="24"/>
        </w:rPr>
        <w:t xml:space="preserve"> atbilstoši </w:t>
      </w:r>
      <w:r>
        <w:rPr>
          <w:rFonts w:ascii="Times New Roman" w:eastAsia="Calibri" w:hAnsi="Times New Roman" w:cs="Times New Roman"/>
          <w:color w:val="000000"/>
          <w:sz w:val="24"/>
          <w:szCs w:val="24"/>
        </w:rPr>
        <w:t>FM</w:t>
      </w:r>
      <w:r w:rsidRPr="0009609E">
        <w:rPr>
          <w:rFonts w:ascii="Times New Roman" w:eastAsia="Calibri" w:hAnsi="Times New Roman" w:cs="Times New Roman"/>
          <w:color w:val="000000"/>
          <w:sz w:val="24"/>
          <w:szCs w:val="24"/>
        </w:rPr>
        <w:t xml:space="preserve"> aprēķiniem). Attiecīgi tiek iegūti vispārējās valdības</w:t>
      </w:r>
      <w:r>
        <w:rPr>
          <w:rFonts w:ascii="Times New Roman" w:eastAsia="Calibri" w:hAnsi="Times New Roman" w:cs="Times New Roman"/>
          <w:color w:val="000000"/>
          <w:sz w:val="24"/>
          <w:szCs w:val="24"/>
        </w:rPr>
        <w:t xml:space="preserve"> budžeta</w:t>
      </w:r>
      <w:r w:rsidRPr="0009609E">
        <w:rPr>
          <w:rFonts w:ascii="Times New Roman" w:eastAsia="Calibri" w:hAnsi="Times New Roman" w:cs="Times New Roman"/>
          <w:color w:val="000000"/>
          <w:sz w:val="24"/>
          <w:szCs w:val="24"/>
        </w:rPr>
        <w:t xml:space="preserve"> </w:t>
      </w:r>
      <w:r w:rsidR="00B77AD2" w:rsidRPr="0009609E">
        <w:rPr>
          <w:rFonts w:ascii="Times New Roman" w:eastAsia="Calibri" w:hAnsi="Times New Roman" w:cs="Times New Roman"/>
          <w:color w:val="000000"/>
          <w:sz w:val="24"/>
          <w:szCs w:val="24"/>
        </w:rPr>
        <w:t xml:space="preserve">strukturālās </w:t>
      </w:r>
      <w:r w:rsidRPr="0009609E">
        <w:rPr>
          <w:rFonts w:ascii="Times New Roman" w:eastAsia="Calibri" w:hAnsi="Times New Roman" w:cs="Times New Roman"/>
          <w:color w:val="000000"/>
          <w:sz w:val="24"/>
          <w:szCs w:val="24"/>
        </w:rPr>
        <w:t xml:space="preserve">bilances mērķi, kas </w:t>
      </w:r>
      <w:r>
        <w:rPr>
          <w:rFonts w:ascii="Times New Roman" w:eastAsia="Calibri" w:hAnsi="Times New Roman" w:cs="Times New Roman"/>
          <w:b/>
          <w:color w:val="000000"/>
          <w:sz w:val="24"/>
          <w:szCs w:val="24"/>
        </w:rPr>
        <w:t>2018.gadā ir -</w:t>
      </w:r>
      <w:r w:rsidRPr="0009609E">
        <w:rPr>
          <w:rFonts w:ascii="Times New Roman" w:eastAsia="Calibri" w:hAnsi="Times New Roman" w:cs="Times New Roman"/>
          <w:b/>
          <w:color w:val="000000"/>
          <w:sz w:val="24"/>
          <w:szCs w:val="24"/>
        </w:rPr>
        <w:t>1,</w:t>
      </w:r>
      <w:r>
        <w:rPr>
          <w:rFonts w:ascii="Times New Roman" w:eastAsia="Calibri" w:hAnsi="Times New Roman" w:cs="Times New Roman"/>
          <w:b/>
          <w:color w:val="000000"/>
          <w:sz w:val="24"/>
          <w:szCs w:val="24"/>
        </w:rPr>
        <w:t>0</w:t>
      </w:r>
      <w:r w:rsidRPr="0009609E">
        <w:rPr>
          <w:rFonts w:ascii="Times New Roman" w:eastAsia="Calibri" w:hAnsi="Times New Roman" w:cs="Times New Roman"/>
          <w:b/>
          <w:color w:val="000000"/>
          <w:sz w:val="24"/>
          <w:szCs w:val="24"/>
        </w:rPr>
        <w:t>% no IKP, 201</w:t>
      </w:r>
      <w:r>
        <w:rPr>
          <w:rFonts w:ascii="Times New Roman" w:eastAsia="Calibri" w:hAnsi="Times New Roman" w:cs="Times New Roman"/>
          <w:b/>
          <w:color w:val="000000"/>
          <w:sz w:val="24"/>
          <w:szCs w:val="24"/>
        </w:rPr>
        <w:t>9.gadā -1,0</w:t>
      </w:r>
      <w:r w:rsidRPr="0009609E">
        <w:rPr>
          <w:rFonts w:ascii="Times New Roman" w:eastAsia="Calibri" w:hAnsi="Times New Roman" w:cs="Times New Roman"/>
          <w:b/>
          <w:color w:val="000000"/>
          <w:sz w:val="24"/>
          <w:szCs w:val="24"/>
        </w:rPr>
        <w:t>% no IKP un 20</w:t>
      </w:r>
      <w:r>
        <w:rPr>
          <w:rFonts w:ascii="Times New Roman" w:eastAsia="Calibri" w:hAnsi="Times New Roman" w:cs="Times New Roman"/>
          <w:b/>
          <w:color w:val="000000"/>
          <w:sz w:val="24"/>
          <w:szCs w:val="24"/>
        </w:rPr>
        <w:t>20</w:t>
      </w:r>
      <w:r w:rsidRPr="0009609E">
        <w:rPr>
          <w:rFonts w:ascii="Times New Roman" w:eastAsia="Calibri" w:hAnsi="Times New Roman" w:cs="Times New Roman"/>
          <w:b/>
          <w:color w:val="000000"/>
          <w:sz w:val="24"/>
          <w:szCs w:val="24"/>
        </w:rPr>
        <w:t>.gadā -</w:t>
      </w:r>
      <w:r>
        <w:rPr>
          <w:rFonts w:ascii="Times New Roman" w:eastAsia="Calibri" w:hAnsi="Times New Roman" w:cs="Times New Roman"/>
          <w:b/>
          <w:color w:val="000000"/>
          <w:sz w:val="24"/>
          <w:szCs w:val="24"/>
        </w:rPr>
        <w:t>0</w:t>
      </w:r>
      <w:r w:rsidRPr="0009609E">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5% no IKP.</w:t>
      </w:r>
    </w:p>
    <w:p w14:paraId="265CFFA7" w14:textId="77777777" w:rsidR="0077183B" w:rsidRDefault="0077183B" w:rsidP="0077183B">
      <w:pPr>
        <w:spacing w:after="0" w:line="240" w:lineRule="auto"/>
        <w:ind w:firstLine="720"/>
        <w:jc w:val="both"/>
        <w:rPr>
          <w:rFonts w:ascii="Times New Roman" w:eastAsia="Calibri" w:hAnsi="Times New Roman" w:cs="Times New Roman"/>
          <w:b/>
          <w:color w:val="000000"/>
          <w:sz w:val="24"/>
          <w:szCs w:val="24"/>
        </w:rPr>
      </w:pPr>
    </w:p>
    <w:p w14:paraId="1ED74A7F" w14:textId="043E9022" w:rsidR="0077183B" w:rsidRDefault="0077183B" w:rsidP="00E20DFB">
      <w:pPr>
        <w:spacing w:after="0" w:line="240" w:lineRule="auto"/>
        <w:ind w:left="7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Bilances mērķi </w:t>
      </w:r>
      <w:r w:rsidR="00E20DFB">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tālāka pārbaude atbilstoši </w:t>
      </w:r>
      <w:r w:rsidRPr="00001E6C">
        <w:rPr>
          <w:rFonts w:ascii="Times New Roman" w:eastAsia="Calibri" w:hAnsi="Times New Roman" w:cs="Times New Roman"/>
          <w:b/>
          <w:color w:val="000000"/>
          <w:sz w:val="24"/>
          <w:szCs w:val="24"/>
        </w:rPr>
        <w:t>izdevumu pieauguma</w:t>
      </w:r>
      <w:r w:rsidRPr="00001E6C">
        <w:rPr>
          <w:rFonts w:ascii="Times New Roman" w:eastAsia="Calibri" w:hAnsi="Times New Roman" w:cs="Times New Roman"/>
          <w:color w:val="000000"/>
          <w:sz w:val="24"/>
          <w:szCs w:val="24"/>
        </w:rPr>
        <w:t xml:space="preserve"> </w:t>
      </w:r>
      <w:r w:rsidRPr="00001E6C">
        <w:rPr>
          <w:rFonts w:ascii="Times New Roman" w:eastAsia="Calibri" w:hAnsi="Times New Roman" w:cs="Times New Roman"/>
          <w:b/>
          <w:color w:val="000000"/>
          <w:sz w:val="24"/>
          <w:szCs w:val="24"/>
        </w:rPr>
        <w:t>nosacījuma</w:t>
      </w:r>
      <w:r>
        <w:rPr>
          <w:rFonts w:ascii="Times New Roman" w:eastAsia="Calibri" w:hAnsi="Times New Roman" w:cs="Times New Roman"/>
          <w:b/>
          <w:color w:val="000000"/>
          <w:sz w:val="24"/>
          <w:szCs w:val="24"/>
        </w:rPr>
        <w:t>m</w:t>
      </w:r>
      <w:r w:rsidRPr="00001E6C">
        <w:rPr>
          <w:rFonts w:ascii="Times New Roman" w:eastAsia="Calibri" w:hAnsi="Times New Roman" w:cs="Times New Roman"/>
          <w:b/>
          <w:color w:val="000000"/>
          <w:sz w:val="24"/>
          <w:szCs w:val="24"/>
        </w:rPr>
        <w:t xml:space="preserve"> </w:t>
      </w:r>
      <w:r w:rsidRPr="000D51B9">
        <w:rPr>
          <w:rFonts w:ascii="Times New Roman" w:eastAsia="Calibri" w:hAnsi="Times New Roman" w:cs="Times New Roman"/>
          <w:color w:val="000000"/>
          <w:sz w:val="24"/>
          <w:szCs w:val="24"/>
        </w:rPr>
        <w:t>un</w:t>
      </w:r>
      <w:r w:rsidRPr="00001E6C">
        <w:rPr>
          <w:rFonts w:ascii="Times New Roman" w:eastAsia="Calibri" w:hAnsi="Times New Roman" w:cs="Times New Roman"/>
          <w:b/>
          <w:color w:val="000000"/>
          <w:sz w:val="24"/>
          <w:szCs w:val="24"/>
        </w:rPr>
        <w:t xml:space="preserve"> izd</w:t>
      </w:r>
      <w:r>
        <w:rPr>
          <w:rFonts w:ascii="Times New Roman" w:eastAsia="Calibri" w:hAnsi="Times New Roman" w:cs="Times New Roman"/>
          <w:b/>
          <w:color w:val="000000"/>
          <w:sz w:val="24"/>
          <w:szCs w:val="24"/>
        </w:rPr>
        <w:t>evumu pārmantojamības nosacījumam</w:t>
      </w:r>
    </w:p>
    <w:p w14:paraId="0CC762CD" w14:textId="77777777" w:rsidR="0077183B" w:rsidRDefault="0077183B" w:rsidP="00E20DFB">
      <w:pPr>
        <w:spacing w:before="120" w:after="0" w:line="240" w:lineRule="auto"/>
        <w:ind w:firstLine="720"/>
        <w:jc w:val="both"/>
        <w:rPr>
          <w:rFonts w:ascii="Times New Roman" w:eastAsia="Calibri" w:hAnsi="Times New Roman" w:cs="Times New Roman"/>
          <w:color w:val="000000"/>
          <w:sz w:val="24"/>
          <w:szCs w:val="24"/>
        </w:rPr>
      </w:pPr>
      <w:r w:rsidRPr="00001E6C">
        <w:rPr>
          <w:rFonts w:ascii="Times New Roman" w:eastAsia="Calibri" w:hAnsi="Times New Roman" w:cs="Times New Roman"/>
          <w:color w:val="000000"/>
          <w:sz w:val="24"/>
          <w:szCs w:val="24"/>
        </w:rPr>
        <w:t xml:space="preserve">Tālāk iegūtie rezultāti tiek testēti, lai nodrošinātu arī </w:t>
      </w:r>
      <w:r w:rsidRPr="00001E6C">
        <w:rPr>
          <w:rFonts w:ascii="Times New Roman" w:eastAsia="Calibri" w:hAnsi="Times New Roman" w:cs="Times New Roman"/>
          <w:b/>
          <w:color w:val="000000"/>
          <w:sz w:val="24"/>
          <w:szCs w:val="24"/>
        </w:rPr>
        <w:t>izdevumu pieauguma</w:t>
      </w:r>
      <w:r w:rsidRPr="00001E6C">
        <w:rPr>
          <w:rFonts w:ascii="Times New Roman" w:eastAsia="Calibri" w:hAnsi="Times New Roman" w:cs="Times New Roman"/>
          <w:color w:val="000000"/>
          <w:sz w:val="24"/>
          <w:szCs w:val="24"/>
        </w:rPr>
        <w:t xml:space="preserve"> </w:t>
      </w:r>
      <w:r w:rsidRPr="00001E6C">
        <w:rPr>
          <w:rFonts w:ascii="Times New Roman" w:eastAsia="Calibri" w:hAnsi="Times New Roman" w:cs="Times New Roman"/>
          <w:b/>
          <w:color w:val="000000"/>
          <w:sz w:val="24"/>
          <w:szCs w:val="24"/>
        </w:rPr>
        <w:t xml:space="preserve">nosacījuma </w:t>
      </w:r>
      <w:r w:rsidRPr="000D51B9">
        <w:rPr>
          <w:rFonts w:ascii="Times New Roman" w:eastAsia="Calibri" w:hAnsi="Times New Roman" w:cs="Times New Roman"/>
          <w:color w:val="000000"/>
          <w:sz w:val="24"/>
          <w:szCs w:val="24"/>
        </w:rPr>
        <w:t>un</w:t>
      </w:r>
      <w:r w:rsidRPr="00001E6C">
        <w:rPr>
          <w:rFonts w:ascii="Times New Roman" w:eastAsia="Calibri" w:hAnsi="Times New Roman" w:cs="Times New Roman"/>
          <w:b/>
          <w:color w:val="000000"/>
          <w:sz w:val="24"/>
          <w:szCs w:val="24"/>
        </w:rPr>
        <w:t xml:space="preserve"> izdevumu pārmantojamības nosacījumu </w:t>
      </w:r>
      <w:r w:rsidRPr="000D51B9">
        <w:rPr>
          <w:rFonts w:ascii="Times New Roman" w:eastAsia="Calibri" w:hAnsi="Times New Roman" w:cs="Times New Roman"/>
          <w:color w:val="000000"/>
          <w:sz w:val="24"/>
          <w:szCs w:val="24"/>
        </w:rPr>
        <w:t>izpildi.</w:t>
      </w:r>
      <w:r w:rsidRPr="00001E6C">
        <w:rPr>
          <w:rFonts w:ascii="Times New Roman" w:eastAsia="Calibri" w:hAnsi="Times New Roman" w:cs="Times New Roman"/>
          <w:color w:val="000000"/>
          <w:sz w:val="24"/>
          <w:szCs w:val="24"/>
        </w:rPr>
        <w:t xml:space="preserve"> </w:t>
      </w:r>
    </w:p>
    <w:p w14:paraId="478DD821" w14:textId="365E39F6" w:rsidR="0077183B" w:rsidRPr="00AA034A" w:rsidRDefault="0077183B" w:rsidP="0077183B">
      <w:pPr>
        <w:spacing w:after="0" w:line="240" w:lineRule="auto"/>
        <w:ind w:firstLine="720"/>
        <w:jc w:val="both"/>
        <w:rPr>
          <w:rFonts w:ascii="Times New Roman" w:eastAsia="Calibri" w:hAnsi="Times New Roman" w:cs="Times New Roman"/>
          <w:color w:val="000000"/>
          <w:sz w:val="24"/>
          <w:szCs w:val="24"/>
          <w:highlight w:val="yellow"/>
        </w:rPr>
      </w:pPr>
      <w:r w:rsidRPr="00732AC2">
        <w:rPr>
          <w:rFonts w:ascii="Times New Roman" w:eastAsia="Calibri" w:hAnsi="Times New Roman" w:cs="Times New Roman"/>
          <w:color w:val="000000"/>
          <w:sz w:val="24"/>
          <w:szCs w:val="24"/>
        </w:rPr>
        <w:t xml:space="preserve">Jāatzīmē, ka veicot vispārējās valdības budžeta </w:t>
      </w:r>
      <w:r w:rsidR="00DA1222" w:rsidRPr="00732AC2">
        <w:rPr>
          <w:rFonts w:ascii="Times New Roman" w:eastAsia="Calibri" w:hAnsi="Times New Roman" w:cs="Times New Roman"/>
          <w:color w:val="000000"/>
          <w:sz w:val="24"/>
          <w:szCs w:val="24"/>
        </w:rPr>
        <w:t xml:space="preserve">strukturālās </w:t>
      </w:r>
      <w:r w:rsidRPr="00732AC2">
        <w:rPr>
          <w:rFonts w:ascii="Times New Roman" w:eastAsia="Calibri" w:hAnsi="Times New Roman" w:cs="Times New Roman"/>
          <w:color w:val="000000"/>
          <w:sz w:val="24"/>
          <w:szCs w:val="24"/>
        </w:rPr>
        <w:t xml:space="preserve">bilances mērķu pārbaudi atbilstoši izdevumu </w:t>
      </w:r>
      <w:r w:rsidRPr="00732AC2">
        <w:rPr>
          <w:rFonts w:ascii="Times New Roman" w:eastAsia="Calibri" w:hAnsi="Times New Roman" w:cs="Times New Roman"/>
          <w:b/>
          <w:color w:val="000000"/>
          <w:sz w:val="24"/>
          <w:szCs w:val="24"/>
        </w:rPr>
        <w:t>pieauguma nosacījumam</w:t>
      </w:r>
      <w:r w:rsidRPr="00732AC2">
        <w:rPr>
          <w:rFonts w:ascii="Times New Roman" w:eastAsia="Calibri" w:hAnsi="Times New Roman" w:cs="Times New Roman"/>
          <w:color w:val="000000"/>
          <w:sz w:val="24"/>
          <w:szCs w:val="24"/>
        </w:rPr>
        <w:t>, nominālo izdevumu korekcijām tiek piemērotas FM veiktās prognozes attiecībā uz valsts parāda apkalpošanas izdevumiem, investīciju izdevumiem, izdevumiem ārvalstu finanšu palīdzības projektiem, kas atbilst saņemtajiem ārvalstu finanšu palīdzības ieņēmumiem, diskrecionāraji</w:t>
      </w:r>
      <w:r>
        <w:rPr>
          <w:rFonts w:ascii="Times New Roman" w:eastAsia="Calibri" w:hAnsi="Times New Roman" w:cs="Times New Roman"/>
          <w:color w:val="000000"/>
          <w:sz w:val="24"/>
          <w:szCs w:val="24"/>
        </w:rPr>
        <w:t>em ieņēmumiem, kā arī IKP deflatoru</w:t>
      </w:r>
      <w:r w:rsidRPr="00732AC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8B5BEC">
        <w:rPr>
          <w:rFonts w:ascii="Times New Roman" w:eastAsia="Calibri" w:hAnsi="Times New Roman" w:cs="Times New Roman"/>
          <w:color w:val="000000"/>
          <w:sz w:val="24"/>
          <w:szCs w:val="24"/>
        </w:rPr>
        <w:t>Savukārt pieļaujamais izdevumu palielinājums tiek aprēķinā</w:t>
      </w:r>
      <w:r w:rsidR="00E20DFB">
        <w:rPr>
          <w:rFonts w:ascii="Times New Roman" w:eastAsia="Calibri" w:hAnsi="Times New Roman" w:cs="Times New Roman"/>
          <w:color w:val="000000"/>
          <w:sz w:val="24"/>
          <w:szCs w:val="24"/>
        </w:rPr>
        <w:t>t</w:t>
      </w:r>
      <w:r w:rsidRPr="008B5BEC">
        <w:rPr>
          <w:rFonts w:ascii="Times New Roman" w:eastAsia="Calibri" w:hAnsi="Times New Roman" w:cs="Times New Roman"/>
          <w:color w:val="000000"/>
          <w:sz w:val="24"/>
          <w:szCs w:val="24"/>
        </w:rPr>
        <w:t xml:space="preserve">s pielietojot </w:t>
      </w:r>
      <w:r>
        <w:rPr>
          <w:rFonts w:ascii="Times New Roman" w:eastAsia="Calibri" w:hAnsi="Times New Roman" w:cs="Times New Roman"/>
          <w:color w:val="000000"/>
          <w:sz w:val="24"/>
          <w:szCs w:val="24"/>
        </w:rPr>
        <w:t>kombinētu pieeju</w:t>
      </w:r>
      <w:r w:rsidRPr="008B5BEC">
        <w:rPr>
          <w:rFonts w:ascii="Times New Roman" w:eastAsia="Calibri" w:hAnsi="Times New Roman" w:cs="Times New Roman"/>
          <w:color w:val="000000"/>
          <w:sz w:val="24"/>
          <w:szCs w:val="24"/>
        </w:rPr>
        <w:t>, proti, sākotnējai</w:t>
      </w:r>
      <w:r>
        <w:rPr>
          <w:rFonts w:ascii="Times New Roman" w:eastAsia="Calibri" w:hAnsi="Times New Roman" w:cs="Times New Roman"/>
          <w:color w:val="000000"/>
          <w:sz w:val="24"/>
          <w:szCs w:val="24"/>
        </w:rPr>
        <w:t xml:space="preserve">s </w:t>
      </w:r>
      <w:r w:rsidRPr="008B5BEC">
        <w:rPr>
          <w:rFonts w:ascii="Times New Roman" w:eastAsia="Calibri" w:hAnsi="Times New Roman" w:cs="Times New Roman"/>
          <w:color w:val="000000"/>
          <w:sz w:val="24"/>
          <w:szCs w:val="24"/>
        </w:rPr>
        <w:t xml:space="preserve">pieļaujamais izdevumu palielinājums, kas atbilst 10 gadu vidējā potenciālā IKP pieaugumam atbilstoši </w:t>
      </w:r>
      <w:r>
        <w:rPr>
          <w:rFonts w:ascii="Times New Roman" w:eastAsia="Calibri" w:hAnsi="Times New Roman" w:cs="Times New Roman"/>
          <w:color w:val="000000"/>
          <w:sz w:val="24"/>
          <w:szCs w:val="24"/>
        </w:rPr>
        <w:t>FM</w:t>
      </w:r>
      <w:r w:rsidRPr="008B5BEC">
        <w:rPr>
          <w:rFonts w:ascii="Times New Roman" w:eastAsia="Calibri" w:hAnsi="Times New Roman" w:cs="Times New Roman"/>
          <w:color w:val="000000"/>
          <w:sz w:val="24"/>
          <w:szCs w:val="24"/>
        </w:rPr>
        <w:t xml:space="preserve"> prognozēm</w:t>
      </w:r>
      <w:r>
        <w:rPr>
          <w:rFonts w:ascii="Times New Roman" w:eastAsia="Calibri" w:hAnsi="Times New Roman" w:cs="Times New Roman"/>
          <w:color w:val="000000"/>
          <w:sz w:val="24"/>
          <w:szCs w:val="24"/>
        </w:rPr>
        <w:t>, pielietojot EK pieeju</w:t>
      </w:r>
      <w:r w:rsidRPr="008B5BEC">
        <w:rPr>
          <w:rFonts w:ascii="Times New Roman" w:eastAsia="Calibri" w:hAnsi="Times New Roman" w:cs="Times New Roman"/>
          <w:color w:val="000000"/>
          <w:sz w:val="24"/>
          <w:szCs w:val="24"/>
        </w:rPr>
        <w:t xml:space="preserve"> tiek papildus koriģēts ar iemaksu 2.pensiju līmenī palielinājumu, atkāpi no VTM sakarā ar īstenotajām reformām veselības nozarē</w:t>
      </w:r>
      <w:r w:rsidR="00E20DFB">
        <w:rPr>
          <w:rFonts w:ascii="Times New Roman" w:eastAsia="Calibri" w:hAnsi="Times New Roman" w:cs="Times New Roman"/>
          <w:color w:val="000000"/>
          <w:sz w:val="24"/>
          <w:szCs w:val="24"/>
        </w:rPr>
        <w:t>,</w:t>
      </w:r>
      <w:r w:rsidRPr="008B5BEC">
        <w:rPr>
          <w:rFonts w:ascii="Times New Roman" w:eastAsia="Calibri" w:hAnsi="Times New Roman" w:cs="Times New Roman"/>
          <w:color w:val="000000"/>
          <w:sz w:val="24"/>
          <w:szCs w:val="24"/>
        </w:rPr>
        <w:t xml:space="preserve"> kā arī izmaiņām, kas rodas pielietojot izlaižu starpības novērtējumu, kas ir atšķirīgs no EK kopējās metodoloģijas rezultāta.</w:t>
      </w:r>
      <w:r>
        <w:rPr>
          <w:rFonts w:ascii="Times New Roman" w:eastAsia="Calibri" w:hAnsi="Times New Roman" w:cs="Times New Roman"/>
          <w:color w:val="000000"/>
          <w:sz w:val="24"/>
          <w:szCs w:val="24"/>
        </w:rPr>
        <w:t xml:space="preserve"> </w:t>
      </w:r>
      <w:r w:rsidRPr="008B5BEC">
        <w:rPr>
          <w:rFonts w:ascii="Times New Roman" w:eastAsia="Calibri" w:hAnsi="Times New Roman" w:cs="Times New Roman"/>
          <w:color w:val="000000"/>
          <w:sz w:val="24"/>
          <w:szCs w:val="24"/>
        </w:rPr>
        <w:t>Šie apstākļi ir būtiski, lai izdevumu pieauguma nosacījums pareizi ņemtu vērā pieļaujamās atkāpes no VTM.</w:t>
      </w:r>
    </w:p>
    <w:p w14:paraId="27A93811" w14:textId="74E59926" w:rsidR="0077183B" w:rsidRPr="00DD2EAA" w:rsidRDefault="0077183B" w:rsidP="0077183B">
      <w:pPr>
        <w:spacing w:after="0" w:line="240" w:lineRule="auto"/>
        <w:ind w:firstLine="720"/>
        <w:jc w:val="both"/>
        <w:rPr>
          <w:rFonts w:ascii="Times New Roman" w:eastAsia="Calibri" w:hAnsi="Times New Roman" w:cs="Times New Roman"/>
          <w:color w:val="000000"/>
          <w:sz w:val="24"/>
          <w:szCs w:val="24"/>
          <w:highlight w:val="yellow"/>
        </w:rPr>
      </w:pPr>
      <w:r w:rsidRPr="005869B4">
        <w:rPr>
          <w:rFonts w:ascii="Times New Roman" w:eastAsia="Calibri" w:hAnsi="Times New Roman" w:cs="Times New Roman"/>
          <w:color w:val="000000"/>
          <w:sz w:val="24"/>
          <w:szCs w:val="24"/>
        </w:rPr>
        <w:t xml:space="preserve">Veicot iegūto </w:t>
      </w:r>
      <w:r w:rsidR="00DA1222" w:rsidRPr="00186DFB">
        <w:rPr>
          <w:rFonts w:ascii="Times New Roman" w:eastAsia="Calibri" w:hAnsi="Times New Roman" w:cs="Times New Roman"/>
          <w:color w:val="000000"/>
          <w:sz w:val="24"/>
          <w:szCs w:val="24"/>
        </w:rPr>
        <w:t xml:space="preserve">vispārējās valdības budžeta </w:t>
      </w:r>
      <w:r w:rsidRPr="005869B4">
        <w:rPr>
          <w:rFonts w:ascii="Times New Roman" w:eastAsia="Calibri" w:hAnsi="Times New Roman" w:cs="Times New Roman"/>
          <w:color w:val="000000"/>
          <w:sz w:val="24"/>
          <w:szCs w:val="24"/>
        </w:rPr>
        <w:t xml:space="preserve">strukturālās bilances mērķu pārbaudi atbilstoši izdevumu pieauguma nosacījumam, iegūstam, ka 2018.gadā izdevumu pieaugums, ko pieļauj izdevumu pieauguma nosacījums ir 4,83%, savukārt pirmīt noteiktais </w:t>
      </w:r>
      <w:r w:rsidR="00DA1222" w:rsidRPr="00186DFB">
        <w:rPr>
          <w:rFonts w:ascii="Times New Roman" w:eastAsia="Calibri" w:hAnsi="Times New Roman" w:cs="Times New Roman"/>
          <w:color w:val="000000"/>
          <w:sz w:val="24"/>
          <w:szCs w:val="24"/>
        </w:rPr>
        <w:t xml:space="preserve">vispārējās valdības budžeta </w:t>
      </w:r>
      <w:r w:rsidRPr="005869B4">
        <w:rPr>
          <w:rFonts w:ascii="Times New Roman" w:eastAsia="Calibri" w:hAnsi="Times New Roman" w:cs="Times New Roman"/>
          <w:color w:val="000000"/>
          <w:sz w:val="24"/>
          <w:szCs w:val="24"/>
        </w:rPr>
        <w:t xml:space="preserve">strukturālās bilances mērķis nosaka, ka reālie koriģētie izdevumi drīkst palielināties par </w:t>
      </w:r>
      <w:r>
        <w:rPr>
          <w:rFonts w:ascii="Times New Roman" w:eastAsia="Calibri" w:hAnsi="Times New Roman" w:cs="Times New Roman"/>
          <w:color w:val="000000"/>
          <w:sz w:val="24"/>
          <w:szCs w:val="24"/>
        </w:rPr>
        <w:t>4,71</w:t>
      </w:r>
      <w:r w:rsidRPr="005869B4">
        <w:rPr>
          <w:rFonts w:ascii="Times New Roman" w:eastAsia="Calibri" w:hAnsi="Times New Roman" w:cs="Times New Roman"/>
          <w:color w:val="000000"/>
          <w:sz w:val="24"/>
          <w:szCs w:val="24"/>
        </w:rPr>
        <w:t xml:space="preserve">%. Līdz ar to 2018.gadā tiek saglabāts sākotnēji noteiktais </w:t>
      </w:r>
      <w:r w:rsidR="00DA1222" w:rsidRPr="00186DFB">
        <w:rPr>
          <w:rFonts w:ascii="Times New Roman" w:eastAsia="Calibri" w:hAnsi="Times New Roman" w:cs="Times New Roman"/>
          <w:color w:val="000000"/>
          <w:sz w:val="24"/>
          <w:szCs w:val="24"/>
        </w:rPr>
        <w:t xml:space="preserve">vispārējās valdības budžeta </w:t>
      </w:r>
      <w:r w:rsidRPr="005869B4">
        <w:rPr>
          <w:rFonts w:ascii="Times New Roman" w:eastAsia="Calibri" w:hAnsi="Times New Roman" w:cs="Times New Roman"/>
          <w:color w:val="000000"/>
          <w:sz w:val="24"/>
          <w:szCs w:val="24"/>
        </w:rPr>
        <w:t xml:space="preserve">strukturālās bilances mērķis -1,0% no IKP. </w:t>
      </w:r>
    </w:p>
    <w:p w14:paraId="21D8A1FE" w14:textId="7F6EA70E" w:rsidR="0077183B" w:rsidRPr="00DC02C6" w:rsidRDefault="0077183B" w:rsidP="0077183B">
      <w:pPr>
        <w:spacing w:after="0" w:line="240" w:lineRule="auto"/>
        <w:ind w:firstLine="720"/>
        <w:jc w:val="both"/>
        <w:rPr>
          <w:rFonts w:ascii="Times New Roman" w:eastAsia="Calibri" w:hAnsi="Times New Roman" w:cs="Times New Roman"/>
          <w:color w:val="000000"/>
          <w:sz w:val="24"/>
          <w:szCs w:val="24"/>
        </w:rPr>
      </w:pPr>
      <w:r w:rsidRPr="00DC02C6">
        <w:rPr>
          <w:rFonts w:ascii="Times New Roman" w:eastAsia="Calibri" w:hAnsi="Times New Roman" w:cs="Times New Roman"/>
          <w:color w:val="000000"/>
          <w:sz w:val="24"/>
          <w:szCs w:val="24"/>
        </w:rPr>
        <w:t xml:space="preserve">2019.gadā izdevumu pieaugums, ko pieļauj izdevumu pieauguma nosacījums ir 3,76%, savukārt reālais koriģēto izdevumu pieaugums, ko pieļauj pirmīt noteiktais </w:t>
      </w:r>
      <w:r w:rsidR="00DA1222" w:rsidRPr="00186DFB">
        <w:rPr>
          <w:rFonts w:ascii="Times New Roman" w:eastAsia="Calibri" w:hAnsi="Times New Roman" w:cs="Times New Roman"/>
          <w:color w:val="000000"/>
          <w:sz w:val="24"/>
          <w:szCs w:val="24"/>
        </w:rPr>
        <w:t xml:space="preserve">vispārējās valdības budžeta </w:t>
      </w:r>
      <w:r w:rsidRPr="00DC02C6">
        <w:rPr>
          <w:rFonts w:ascii="Times New Roman" w:eastAsia="Calibri" w:hAnsi="Times New Roman" w:cs="Times New Roman"/>
          <w:color w:val="000000"/>
          <w:sz w:val="24"/>
          <w:szCs w:val="24"/>
        </w:rPr>
        <w:t>str</w:t>
      </w:r>
      <w:r w:rsidR="00AF7D1C">
        <w:rPr>
          <w:rFonts w:ascii="Times New Roman" w:eastAsia="Calibri" w:hAnsi="Times New Roman" w:cs="Times New Roman"/>
          <w:color w:val="000000"/>
          <w:sz w:val="24"/>
          <w:szCs w:val="24"/>
        </w:rPr>
        <w:t>ukturālās bilances mērķis ir 0,8</w:t>
      </w:r>
      <w:r w:rsidRPr="00DC02C6">
        <w:rPr>
          <w:rFonts w:ascii="Times New Roman" w:eastAsia="Calibri" w:hAnsi="Times New Roman" w:cs="Times New Roman"/>
          <w:color w:val="000000"/>
          <w:sz w:val="24"/>
          <w:szCs w:val="24"/>
        </w:rPr>
        <w:t>7%. Līdz ar to 2019.gadā tiek saglabāts sākotnēji noteiktais</w:t>
      </w:r>
      <w:r w:rsidR="00DA1222" w:rsidRPr="00DA1222">
        <w:rPr>
          <w:rFonts w:ascii="Times New Roman" w:eastAsia="Calibri" w:hAnsi="Times New Roman" w:cs="Times New Roman"/>
          <w:color w:val="000000"/>
          <w:sz w:val="24"/>
          <w:szCs w:val="24"/>
        </w:rPr>
        <w:t xml:space="preserve"> </w:t>
      </w:r>
      <w:r w:rsidR="00DA1222" w:rsidRPr="00186DFB">
        <w:rPr>
          <w:rFonts w:ascii="Times New Roman" w:eastAsia="Calibri" w:hAnsi="Times New Roman" w:cs="Times New Roman"/>
          <w:color w:val="000000"/>
          <w:sz w:val="24"/>
          <w:szCs w:val="24"/>
        </w:rPr>
        <w:t>vispārējās valdības budžeta</w:t>
      </w:r>
      <w:r w:rsidRPr="00DC02C6">
        <w:rPr>
          <w:rFonts w:ascii="Times New Roman" w:eastAsia="Calibri" w:hAnsi="Times New Roman" w:cs="Times New Roman"/>
          <w:color w:val="000000"/>
          <w:sz w:val="24"/>
          <w:szCs w:val="24"/>
        </w:rPr>
        <w:t xml:space="preserve"> strukturālās bilances mērķis -1,0% no IKP. </w:t>
      </w:r>
    </w:p>
    <w:p w14:paraId="0ECB617F" w14:textId="51D07135" w:rsidR="0077183B" w:rsidRPr="008B5BEC" w:rsidRDefault="0077183B" w:rsidP="0077183B">
      <w:pPr>
        <w:spacing w:after="0" w:line="240" w:lineRule="auto"/>
        <w:ind w:firstLine="720"/>
        <w:jc w:val="both"/>
        <w:rPr>
          <w:rFonts w:ascii="Times New Roman" w:eastAsia="Calibri" w:hAnsi="Times New Roman" w:cs="Times New Roman"/>
          <w:color w:val="000000"/>
          <w:sz w:val="24"/>
          <w:szCs w:val="24"/>
        </w:rPr>
      </w:pPr>
      <w:r w:rsidRPr="004B3305">
        <w:rPr>
          <w:rFonts w:ascii="Times New Roman" w:eastAsia="Calibri" w:hAnsi="Times New Roman" w:cs="Times New Roman"/>
          <w:color w:val="000000"/>
          <w:sz w:val="24"/>
          <w:szCs w:val="24"/>
        </w:rPr>
        <w:t xml:space="preserve">2020.gadā izdevumu pieaugums, ko pieļauj izdevumu pieauguma nosacījums ir 1,98%, savukārt reālais koriģēto izdevumu pieaugums atbilstoši pirmīt noteiktajam </w:t>
      </w:r>
      <w:r w:rsidR="00DA1222" w:rsidRPr="00186DFB">
        <w:rPr>
          <w:rFonts w:ascii="Times New Roman" w:eastAsia="Calibri" w:hAnsi="Times New Roman" w:cs="Times New Roman"/>
          <w:color w:val="000000"/>
          <w:sz w:val="24"/>
          <w:szCs w:val="24"/>
        </w:rPr>
        <w:t xml:space="preserve">vispārējās valdības budžeta </w:t>
      </w:r>
      <w:r w:rsidRPr="004B3305">
        <w:rPr>
          <w:rFonts w:ascii="Times New Roman" w:eastAsia="Calibri" w:hAnsi="Times New Roman" w:cs="Times New Roman"/>
          <w:color w:val="000000"/>
          <w:sz w:val="24"/>
          <w:szCs w:val="24"/>
        </w:rPr>
        <w:t>strukturālās bilances mērķim ir 0,</w:t>
      </w:r>
      <w:r w:rsidR="0027783C">
        <w:rPr>
          <w:rFonts w:ascii="Times New Roman" w:eastAsia="Calibri" w:hAnsi="Times New Roman" w:cs="Times New Roman"/>
          <w:color w:val="000000"/>
          <w:sz w:val="24"/>
          <w:szCs w:val="24"/>
        </w:rPr>
        <w:t>69</w:t>
      </w:r>
      <w:r w:rsidRPr="004B3305">
        <w:rPr>
          <w:rFonts w:ascii="Times New Roman" w:eastAsia="Calibri" w:hAnsi="Times New Roman" w:cs="Times New Roman"/>
          <w:color w:val="000000"/>
          <w:sz w:val="24"/>
          <w:szCs w:val="24"/>
        </w:rPr>
        <w:t xml:space="preserve">%. Līdz ar to 2020.gadā tiek saglabāts sākotnēji noteiktais </w:t>
      </w:r>
      <w:r w:rsidR="00DA1222" w:rsidRPr="00186DFB">
        <w:rPr>
          <w:rFonts w:ascii="Times New Roman" w:eastAsia="Calibri" w:hAnsi="Times New Roman" w:cs="Times New Roman"/>
          <w:color w:val="000000"/>
          <w:sz w:val="24"/>
          <w:szCs w:val="24"/>
        </w:rPr>
        <w:t xml:space="preserve">vispārējās valdības budžeta </w:t>
      </w:r>
      <w:r w:rsidRPr="004B3305">
        <w:rPr>
          <w:rFonts w:ascii="Times New Roman" w:eastAsia="Calibri" w:hAnsi="Times New Roman" w:cs="Times New Roman"/>
          <w:color w:val="000000"/>
          <w:sz w:val="24"/>
          <w:szCs w:val="24"/>
        </w:rPr>
        <w:t>strukturālās bilances mērķis -0,5% no IKP.</w:t>
      </w:r>
      <w:r w:rsidRPr="008B5BEC">
        <w:rPr>
          <w:rFonts w:ascii="Times New Roman" w:eastAsia="Calibri" w:hAnsi="Times New Roman" w:cs="Times New Roman"/>
          <w:color w:val="000000"/>
          <w:sz w:val="24"/>
          <w:szCs w:val="24"/>
        </w:rPr>
        <w:t xml:space="preserve"> </w:t>
      </w:r>
    </w:p>
    <w:p w14:paraId="2B67FEE8" w14:textId="30A4E18A" w:rsidR="0077183B" w:rsidRPr="008B5BEC" w:rsidRDefault="0077183B" w:rsidP="0077183B">
      <w:pPr>
        <w:spacing w:after="0" w:line="240" w:lineRule="auto"/>
        <w:ind w:firstLine="720"/>
        <w:jc w:val="both"/>
        <w:rPr>
          <w:rFonts w:ascii="Times New Roman" w:eastAsia="Calibri" w:hAnsi="Times New Roman" w:cs="Times New Roman"/>
          <w:color w:val="000000"/>
          <w:sz w:val="24"/>
          <w:szCs w:val="24"/>
        </w:rPr>
      </w:pPr>
      <w:r w:rsidRPr="008B5BEC">
        <w:rPr>
          <w:rFonts w:ascii="Times New Roman" w:eastAsia="Calibri" w:hAnsi="Times New Roman" w:cs="Times New Roman"/>
          <w:color w:val="000000"/>
          <w:sz w:val="24"/>
          <w:szCs w:val="24"/>
        </w:rPr>
        <w:lastRenderedPageBreak/>
        <w:t>Veicot pārmantojamības nosacījuma pārbaudi, tika konstatēts, ka</w:t>
      </w:r>
      <w:r>
        <w:rPr>
          <w:rFonts w:ascii="Times New Roman" w:eastAsia="Calibri" w:hAnsi="Times New Roman" w:cs="Times New Roman"/>
          <w:color w:val="000000"/>
          <w:sz w:val="24"/>
          <w:szCs w:val="24"/>
        </w:rPr>
        <w:t xml:space="preserve"> nevienā gadā</w:t>
      </w:r>
      <w:r w:rsidR="008F38D4">
        <w:rPr>
          <w:rFonts w:ascii="Times New Roman" w:eastAsia="Calibri" w:hAnsi="Times New Roman" w:cs="Times New Roman"/>
          <w:color w:val="000000"/>
          <w:sz w:val="24"/>
          <w:szCs w:val="24"/>
        </w:rPr>
        <w:t xml:space="preserve"> nav nepieciešam</w:t>
      </w:r>
      <w:r w:rsidRPr="008B5BEC">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 mainīt sākotnēji noteikto </w:t>
      </w:r>
      <w:r w:rsidR="00DA1222" w:rsidRPr="00186DFB">
        <w:rPr>
          <w:rFonts w:ascii="Times New Roman" w:eastAsia="Calibri" w:hAnsi="Times New Roman" w:cs="Times New Roman"/>
          <w:color w:val="000000"/>
          <w:sz w:val="24"/>
          <w:szCs w:val="24"/>
        </w:rPr>
        <w:t xml:space="preserve">vispārējās valdības budžeta </w:t>
      </w:r>
      <w:r>
        <w:rPr>
          <w:rFonts w:ascii="Times New Roman" w:eastAsia="Calibri" w:hAnsi="Times New Roman" w:cs="Times New Roman"/>
          <w:color w:val="000000"/>
          <w:sz w:val="24"/>
          <w:szCs w:val="24"/>
        </w:rPr>
        <w:t>strukturālās bilances mērķi, kas tika iegūts pielietojot bilances nosacījumu</w:t>
      </w:r>
      <w:r w:rsidRPr="008B5BEC">
        <w:rPr>
          <w:rFonts w:ascii="Times New Roman" w:eastAsia="Calibri" w:hAnsi="Times New Roman" w:cs="Times New Roman"/>
          <w:color w:val="000000"/>
          <w:sz w:val="24"/>
          <w:szCs w:val="24"/>
        </w:rPr>
        <w:t xml:space="preserve">. </w:t>
      </w:r>
    </w:p>
    <w:p w14:paraId="4FAAE5D8" w14:textId="2C2CE1B6" w:rsidR="0077183B" w:rsidRPr="00612F17" w:rsidRDefault="0077183B" w:rsidP="0077183B">
      <w:pPr>
        <w:spacing w:after="0" w:line="240" w:lineRule="auto"/>
        <w:ind w:firstLine="720"/>
        <w:jc w:val="both"/>
        <w:rPr>
          <w:rFonts w:ascii="Times New Roman" w:eastAsia="Calibri" w:hAnsi="Times New Roman" w:cs="Times New Roman"/>
          <w:color w:val="000000"/>
          <w:sz w:val="24"/>
          <w:szCs w:val="24"/>
        </w:rPr>
      </w:pPr>
      <w:r w:rsidRPr="00186DFB">
        <w:rPr>
          <w:rFonts w:ascii="Times New Roman" w:eastAsia="Calibri" w:hAnsi="Times New Roman" w:cs="Times New Roman"/>
          <w:color w:val="000000"/>
          <w:sz w:val="24"/>
          <w:szCs w:val="24"/>
        </w:rPr>
        <w:t xml:space="preserve">Līdz ar to ir noteikti kvantitatīvie fiskālie mērķi turpmākajiem trīs gadiem, t.i. nodrošināt vispārējās valdības budžeta </w:t>
      </w:r>
      <w:r w:rsidR="00E20DFB" w:rsidRPr="00186DFB">
        <w:rPr>
          <w:rFonts w:ascii="Times New Roman" w:eastAsia="Calibri" w:hAnsi="Times New Roman" w:cs="Times New Roman"/>
          <w:color w:val="000000"/>
          <w:sz w:val="24"/>
          <w:szCs w:val="24"/>
        </w:rPr>
        <w:t xml:space="preserve">strukturālo </w:t>
      </w:r>
      <w:r w:rsidRPr="00186DFB">
        <w:rPr>
          <w:rFonts w:ascii="Times New Roman" w:eastAsia="Calibri" w:hAnsi="Times New Roman" w:cs="Times New Roman"/>
          <w:color w:val="000000"/>
          <w:sz w:val="24"/>
          <w:szCs w:val="24"/>
        </w:rPr>
        <w:t>bilanci</w:t>
      </w:r>
      <w:r w:rsidRPr="00186DFB">
        <w:rPr>
          <w:rFonts w:ascii="Garamond" w:eastAsia="Times New Roman" w:hAnsi="Garamond" w:cs="Times New Roman"/>
          <w:color w:val="000000"/>
          <w:sz w:val="24"/>
          <w:szCs w:val="24"/>
        </w:rPr>
        <w:t xml:space="preserve"> </w:t>
      </w:r>
      <w:r w:rsidRPr="00186DFB">
        <w:rPr>
          <w:rFonts w:ascii="Times New Roman" w:eastAsia="Calibri" w:hAnsi="Times New Roman" w:cs="Times New Roman"/>
          <w:b/>
          <w:color w:val="000000"/>
          <w:sz w:val="24"/>
          <w:szCs w:val="24"/>
        </w:rPr>
        <w:t>2018.gadā ir -1,0% no IKP, 2019.gadā ir -1,0% no IKP un 2020.gadā ir -0,5% no IKP.</w:t>
      </w:r>
    </w:p>
    <w:p w14:paraId="6A4067F5" w14:textId="77777777" w:rsidR="0077183B" w:rsidRDefault="0077183B" w:rsidP="0077183B">
      <w:pPr>
        <w:spacing w:after="0" w:line="240" w:lineRule="auto"/>
        <w:ind w:firstLine="720"/>
        <w:jc w:val="both"/>
        <w:rPr>
          <w:rFonts w:ascii="Times New Roman" w:eastAsia="Calibri" w:hAnsi="Times New Roman" w:cs="Times New Roman"/>
          <w:b/>
          <w:color w:val="000000"/>
          <w:sz w:val="24"/>
          <w:szCs w:val="24"/>
        </w:rPr>
      </w:pPr>
    </w:p>
    <w:p w14:paraId="2C241CDF" w14:textId="77777777" w:rsidR="0077183B" w:rsidRPr="00AE365C" w:rsidRDefault="0077183B" w:rsidP="00E20DFB">
      <w:pPr>
        <w:pStyle w:val="Heading2"/>
        <w:numPr>
          <w:ilvl w:val="2"/>
          <w:numId w:val="1"/>
        </w:numPr>
        <w:spacing w:before="240" w:after="120"/>
        <w:ind w:left="1418"/>
        <w:rPr>
          <w:rFonts w:ascii="Times New Roman" w:eastAsia="Calibri" w:hAnsi="Times New Roman" w:cs="Times New Roman"/>
          <w:b w:val="0"/>
          <w:color w:val="000000"/>
          <w:sz w:val="24"/>
          <w:szCs w:val="24"/>
        </w:rPr>
      </w:pPr>
      <w:bookmarkStart w:id="9" w:name="_Toc479331089"/>
      <w:r w:rsidRPr="00865ACA">
        <w:rPr>
          <w:rFonts w:ascii="Times New Roman" w:eastAsia="Calibri" w:hAnsi="Times New Roman" w:cs="Times New Roman"/>
          <w:color w:val="000000"/>
          <w:sz w:val="24"/>
          <w:szCs w:val="24"/>
        </w:rPr>
        <w:t>Ticamības tests un argumentēto lēmumu procedūra</w:t>
      </w:r>
      <w:bookmarkEnd w:id="9"/>
    </w:p>
    <w:p w14:paraId="0B59EC8E" w14:textId="57025E39" w:rsidR="0077183B" w:rsidRDefault="00E20DF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Saskaņā ar EK 2017.</w:t>
      </w:r>
      <w:r w:rsidR="0077183B">
        <w:rPr>
          <w:rFonts w:ascii="Times New Roman" w:eastAsia="Calibri" w:hAnsi="Times New Roman" w:cs="Times New Roman"/>
          <w:color w:val="000000"/>
          <w:sz w:val="24"/>
          <w:szCs w:val="24"/>
        </w:rPr>
        <w:t>gada ziemas prognozēm Latvijai izpildās nosacījumi, lai EK</w:t>
      </w:r>
      <w:r w:rsidR="0077183B" w:rsidRPr="00396863">
        <w:rPr>
          <w:rFonts w:ascii="Times New Roman" w:eastAsia="Calibri" w:hAnsi="Times New Roman" w:cs="Times New Roman"/>
          <w:color w:val="000000"/>
          <w:sz w:val="24"/>
          <w:szCs w:val="24"/>
        </w:rPr>
        <w:t xml:space="preserve"> metodoloģija</w:t>
      </w:r>
      <w:r w:rsidR="0077183B">
        <w:rPr>
          <w:rFonts w:ascii="Times New Roman" w:eastAsia="Calibri" w:hAnsi="Times New Roman" w:cs="Times New Roman"/>
          <w:color w:val="000000"/>
          <w:sz w:val="24"/>
          <w:szCs w:val="24"/>
        </w:rPr>
        <w:t>s izlaižu starpī</w:t>
      </w:r>
      <w:r>
        <w:rPr>
          <w:rFonts w:ascii="Times New Roman" w:eastAsia="Calibri" w:hAnsi="Times New Roman" w:cs="Times New Roman"/>
          <w:color w:val="000000"/>
          <w:sz w:val="24"/>
          <w:szCs w:val="24"/>
        </w:rPr>
        <w:t>bu 2016.</w:t>
      </w:r>
      <w:r w:rsidR="0077183B">
        <w:rPr>
          <w:rFonts w:ascii="Times New Roman" w:eastAsia="Calibri" w:hAnsi="Times New Roman" w:cs="Times New Roman"/>
          <w:color w:val="000000"/>
          <w:sz w:val="24"/>
          <w:szCs w:val="24"/>
        </w:rPr>
        <w:t xml:space="preserve">gadam uzskatītu par ekonomiski nepamatotu. </w:t>
      </w:r>
      <w:r w:rsidR="0077183B" w:rsidRPr="008A6B0B">
        <w:rPr>
          <w:rFonts w:ascii="Times New Roman" w:eastAsia="Calibri" w:hAnsi="Times New Roman" w:cs="Times New Roman"/>
          <w:b/>
          <w:color w:val="000000"/>
          <w:sz w:val="24"/>
          <w:szCs w:val="24"/>
        </w:rPr>
        <w:t>Šajā Stabilitātes programmā tiek pieņemts, ka arī EK 2017.gada pavasara prognozes uzrādīs, ka EK metod</w:t>
      </w:r>
      <w:r>
        <w:rPr>
          <w:rFonts w:ascii="Times New Roman" w:eastAsia="Calibri" w:hAnsi="Times New Roman" w:cs="Times New Roman"/>
          <w:b/>
          <w:color w:val="000000"/>
          <w:sz w:val="24"/>
          <w:szCs w:val="24"/>
        </w:rPr>
        <w:t>oloģijas izlaižu starpība 2016.</w:t>
      </w:r>
      <w:r w:rsidR="0077183B" w:rsidRPr="008A6B0B">
        <w:rPr>
          <w:rFonts w:ascii="Times New Roman" w:eastAsia="Calibri" w:hAnsi="Times New Roman" w:cs="Times New Roman"/>
          <w:b/>
          <w:color w:val="000000"/>
          <w:sz w:val="24"/>
          <w:szCs w:val="24"/>
        </w:rPr>
        <w:t>gadam ir ekonomiski nepamatota un tāpēc Latvijas gadījumā ir piemērojam</w:t>
      </w:r>
      <w:r w:rsidR="0077183B">
        <w:rPr>
          <w:rFonts w:ascii="Times New Roman" w:eastAsia="Calibri" w:hAnsi="Times New Roman" w:cs="Times New Roman"/>
          <w:b/>
          <w:color w:val="000000"/>
          <w:sz w:val="24"/>
          <w:szCs w:val="24"/>
        </w:rPr>
        <w:t>a</w:t>
      </w:r>
      <w:r w:rsidR="0077183B" w:rsidRPr="008A6B0B">
        <w:rPr>
          <w:rFonts w:ascii="Times New Roman" w:eastAsia="Calibri" w:hAnsi="Times New Roman" w:cs="Times New Roman"/>
          <w:b/>
          <w:color w:val="000000"/>
          <w:sz w:val="24"/>
          <w:szCs w:val="24"/>
        </w:rPr>
        <w:t xml:space="preserve"> </w:t>
      </w:r>
      <w:r w:rsidR="0077183B">
        <w:rPr>
          <w:rFonts w:ascii="Times New Roman" w:eastAsia="Calibri" w:hAnsi="Times New Roman" w:cs="Times New Roman"/>
          <w:b/>
          <w:color w:val="000000"/>
          <w:sz w:val="24"/>
          <w:szCs w:val="24"/>
        </w:rPr>
        <w:t>argumentēto lēmumu procedūra</w:t>
      </w:r>
      <w:r w:rsidR="0077183B" w:rsidRPr="008A6B0B">
        <w:rPr>
          <w:rFonts w:ascii="Times New Roman" w:eastAsia="Calibri" w:hAnsi="Times New Roman" w:cs="Times New Roman"/>
          <w:b/>
          <w:color w:val="000000"/>
          <w:sz w:val="24"/>
          <w:szCs w:val="24"/>
        </w:rPr>
        <w:t xml:space="preserve"> (</w:t>
      </w:r>
      <w:r w:rsidR="0077183B" w:rsidRPr="008A6B0B">
        <w:rPr>
          <w:rFonts w:ascii="Times New Roman" w:eastAsia="Calibri" w:hAnsi="Times New Roman" w:cs="Times New Roman"/>
          <w:b/>
          <w:i/>
          <w:color w:val="000000"/>
          <w:sz w:val="24"/>
          <w:szCs w:val="24"/>
        </w:rPr>
        <w:t>constrain judgement)</w:t>
      </w:r>
      <w:r w:rsidR="0077183B" w:rsidRPr="008A6B0B">
        <w:rPr>
          <w:rFonts w:ascii="Times New Roman" w:eastAsia="Calibri" w:hAnsi="Times New Roman" w:cs="Times New Roman"/>
          <w:b/>
          <w:color w:val="000000"/>
          <w:sz w:val="24"/>
          <w:szCs w:val="24"/>
        </w:rPr>
        <w:t>.</w:t>
      </w:r>
    </w:p>
    <w:p w14:paraId="13D4C2D4" w14:textId="23032908"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Šāda pieeja nodrošina, ka sākotnējās </w:t>
      </w:r>
      <w:r w:rsidR="00DA1222" w:rsidRPr="00186DFB">
        <w:rPr>
          <w:rFonts w:ascii="Times New Roman" w:eastAsia="Calibri" w:hAnsi="Times New Roman" w:cs="Times New Roman"/>
          <w:color w:val="000000"/>
          <w:sz w:val="24"/>
          <w:szCs w:val="24"/>
        </w:rPr>
        <w:t xml:space="preserve">vispārējās valdības budžeta </w:t>
      </w:r>
      <w:r>
        <w:rPr>
          <w:rFonts w:ascii="Times New Roman" w:eastAsia="Calibri" w:hAnsi="Times New Roman" w:cs="Times New Roman"/>
          <w:color w:val="000000"/>
          <w:sz w:val="24"/>
          <w:szCs w:val="24"/>
        </w:rPr>
        <w:t>strukturālās bilances definēšanā joprojām tiek saglabāti iepriekšējie principi, kas ir saskaņā ar SIP nosacījumiem. Papildus ieguvums ir iespēja noteikt mazāk ambiciozu nominālās bilances mērķa līmeni un tādējādi definēt lielāku sākotnējo fiskālo telpu valdības prioritāšu finansēšanai. Jāatzīmē gan, ka galīgais bilances mērķa lielums un fiskālās telpas apmērs ir atkarīgs arī no nacionālā VTM scenārija rezultāta, kā arī no pārējo fiskālo nosacījumu testēšanas rezultāta. Izlaižu starpības novērtējuma rezultāti ir sniegti zemāk esošajā tabulā.</w:t>
      </w:r>
    </w:p>
    <w:p w14:paraId="7AD7456A" w14:textId="21224857" w:rsidR="0077183B" w:rsidRPr="00C83EAD" w:rsidRDefault="00E20DFB" w:rsidP="00B77AD2">
      <w:pPr>
        <w:spacing w:before="120" w:after="60" w:line="240" w:lineRule="auto"/>
        <w:ind w:firstLine="720"/>
        <w:jc w:val="right"/>
        <w:rPr>
          <w:rFonts w:ascii="Times New Roman" w:eastAsia="Calibri" w:hAnsi="Times New Roman" w:cs="Times New Roman"/>
          <w:b/>
          <w:color w:val="000000"/>
          <w:sz w:val="24"/>
          <w:szCs w:val="24"/>
        </w:rPr>
      </w:pPr>
      <w:r w:rsidRPr="00C83EAD">
        <w:rPr>
          <w:rFonts w:ascii="Times New Roman" w:eastAsia="Calibri" w:hAnsi="Times New Roman" w:cs="Times New Roman"/>
          <w:b/>
          <w:color w:val="000000"/>
          <w:sz w:val="24"/>
          <w:szCs w:val="24"/>
        </w:rPr>
        <w:t xml:space="preserve">3.4.tabula. </w:t>
      </w:r>
      <w:r w:rsidR="0077183B" w:rsidRPr="00C83EAD">
        <w:rPr>
          <w:rFonts w:ascii="Times New Roman" w:eastAsia="Calibri" w:hAnsi="Times New Roman" w:cs="Times New Roman"/>
          <w:b/>
          <w:color w:val="000000"/>
          <w:sz w:val="24"/>
          <w:szCs w:val="24"/>
        </w:rPr>
        <w:t>Izlaižu starpības novērtējums Stabilitātes programmas vajadzībām</w:t>
      </w:r>
    </w:p>
    <w:tbl>
      <w:tblPr>
        <w:tblStyle w:val="GridTable6Colorful-Accent1"/>
        <w:tblW w:w="7747" w:type="dxa"/>
        <w:jc w:val="center"/>
        <w:tblLook w:val="04A0" w:firstRow="1" w:lastRow="0" w:firstColumn="1" w:lastColumn="0" w:noHBand="0" w:noVBand="1"/>
      </w:tblPr>
      <w:tblGrid>
        <w:gridCol w:w="1701"/>
        <w:gridCol w:w="1418"/>
        <w:gridCol w:w="1574"/>
        <w:gridCol w:w="1494"/>
        <w:gridCol w:w="1560"/>
      </w:tblGrid>
      <w:tr w:rsidR="006B6037" w:rsidRPr="00C83EAD" w14:paraId="7B0E5F30" w14:textId="77777777" w:rsidTr="006C67E6">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B89EF09" w14:textId="5F7E730D" w:rsidR="006B6037" w:rsidRPr="00C83EAD" w:rsidRDefault="006B6037" w:rsidP="00C83EAD">
            <w:pPr>
              <w:jc w:val="center"/>
              <w:rPr>
                <w:rFonts w:ascii="Times New Roman" w:eastAsia="Times New Roman" w:hAnsi="Times New Roman" w:cs="Times New Roman"/>
                <w:color w:val="auto"/>
                <w:sz w:val="20"/>
                <w:szCs w:val="24"/>
                <w:lang w:eastAsia="lv-LV"/>
              </w:rPr>
            </w:pPr>
          </w:p>
        </w:tc>
        <w:tc>
          <w:tcPr>
            <w:tcW w:w="1418" w:type="dxa"/>
            <w:noWrap/>
            <w:vAlign w:val="center"/>
            <w:hideMark/>
          </w:tcPr>
          <w:p w14:paraId="15A3E511" w14:textId="77777777" w:rsidR="006B6037" w:rsidRPr="00C83EAD"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EK kopējā metodoloģija</w:t>
            </w:r>
          </w:p>
          <w:p w14:paraId="4B978AE0" w14:textId="77777777" w:rsidR="006B6037" w:rsidRPr="00C83EAD"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(1)</w:t>
            </w:r>
          </w:p>
        </w:tc>
        <w:tc>
          <w:tcPr>
            <w:tcW w:w="1574" w:type="dxa"/>
            <w:noWrap/>
            <w:vAlign w:val="center"/>
            <w:hideMark/>
          </w:tcPr>
          <w:p w14:paraId="0FB79B14" w14:textId="77777777" w:rsidR="006B6037" w:rsidRPr="00C83EAD"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Ticamības tests</w:t>
            </w:r>
          </w:p>
          <w:p w14:paraId="11C510BB" w14:textId="77777777" w:rsidR="006B6037" w:rsidRPr="00C83EAD"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(2)</w:t>
            </w:r>
          </w:p>
        </w:tc>
        <w:tc>
          <w:tcPr>
            <w:tcW w:w="1494" w:type="dxa"/>
            <w:vAlign w:val="center"/>
          </w:tcPr>
          <w:p w14:paraId="501F8DD4" w14:textId="77777777" w:rsidR="006B6037" w:rsidRPr="00C83EAD"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Robežattālums</w:t>
            </w:r>
          </w:p>
          <w:p w14:paraId="6590EB2F" w14:textId="77777777" w:rsidR="006B6037" w:rsidRPr="00C83EAD"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(3)=(1)-(2)</w:t>
            </w:r>
          </w:p>
        </w:tc>
        <w:tc>
          <w:tcPr>
            <w:tcW w:w="1560" w:type="dxa"/>
            <w:vAlign w:val="center"/>
            <w:hideMark/>
          </w:tcPr>
          <w:p w14:paraId="039B5CDE" w14:textId="77777777" w:rsidR="006B6037" w:rsidRPr="00C83EAD"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FM prognoze (FDP apstiprināta)</w:t>
            </w:r>
          </w:p>
        </w:tc>
      </w:tr>
      <w:tr w:rsidR="006B6037" w:rsidRPr="00C83EAD" w14:paraId="7FEBE2B2" w14:textId="77777777" w:rsidTr="006C67E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166B2D7" w14:textId="77777777" w:rsidR="006B6037" w:rsidRPr="00C83EAD" w:rsidRDefault="006B6037" w:rsidP="006C67E6">
            <w:pPr>
              <w:jc w:val="center"/>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2016</w:t>
            </w:r>
          </w:p>
        </w:tc>
        <w:tc>
          <w:tcPr>
            <w:tcW w:w="1418" w:type="dxa"/>
            <w:noWrap/>
            <w:vAlign w:val="center"/>
            <w:hideMark/>
          </w:tcPr>
          <w:p w14:paraId="0BE7CC6F" w14:textId="5E9DCD0B"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auto"/>
                <w:sz w:val="20"/>
                <w:szCs w:val="24"/>
                <w:u w:val="single"/>
                <w:lang w:eastAsia="lv-LV"/>
              </w:rPr>
            </w:pPr>
            <w:r w:rsidRPr="00C83EAD">
              <w:rPr>
                <w:rFonts w:ascii="Times New Roman" w:eastAsia="Times New Roman" w:hAnsi="Times New Roman" w:cs="Times New Roman"/>
                <w:b/>
                <w:i/>
                <w:iCs/>
                <w:color w:val="auto"/>
                <w:sz w:val="20"/>
                <w:szCs w:val="24"/>
                <w:u w:val="single"/>
                <w:lang w:eastAsia="lv-LV"/>
              </w:rPr>
              <w:t>1</w:t>
            </w:r>
            <w:r>
              <w:rPr>
                <w:rFonts w:ascii="Times New Roman" w:eastAsia="Times New Roman" w:hAnsi="Times New Roman" w:cs="Times New Roman"/>
                <w:b/>
                <w:i/>
                <w:iCs/>
                <w:color w:val="auto"/>
                <w:sz w:val="20"/>
                <w:szCs w:val="24"/>
                <w:u w:val="single"/>
                <w:lang w:eastAsia="lv-LV"/>
              </w:rPr>
              <w:t>,</w:t>
            </w:r>
            <w:r w:rsidRPr="00C83EAD">
              <w:rPr>
                <w:rFonts w:ascii="Times New Roman" w:eastAsia="Times New Roman" w:hAnsi="Times New Roman" w:cs="Times New Roman"/>
                <w:b/>
                <w:i/>
                <w:iCs/>
                <w:color w:val="auto"/>
                <w:sz w:val="20"/>
                <w:szCs w:val="24"/>
                <w:u w:val="single"/>
                <w:lang w:eastAsia="lv-LV"/>
              </w:rPr>
              <w:t>4</w:t>
            </w:r>
          </w:p>
        </w:tc>
        <w:tc>
          <w:tcPr>
            <w:tcW w:w="1574" w:type="dxa"/>
            <w:noWrap/>
            <w:vAlign w:val="center"/>
            <w:hideMark/>
          </w:tcPr>
          <w:p w14:paraId="569A6835" w14:textId="6C77E3C0"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auto"/>
                <w:sz w:val="20"/>
                <w:szCs w:val="24"/>
                <w:u w:val="single"/>
                <w:lang w:eastAsia="lv-LV"/>
              </w:rPr>
            </w:pPr>
            <w:r w:rsidRPr="00C83EAD">
              <w:rPr>
                <w:rFonts w:ascii="Times New Roman" w:eastAsia="Times New Roman" w:hAnsi="Times New Roman" w:cs="Times New Roman"/>
                <w:b/>
                <w:i/>
                <w:iCs/>
                <w:color w:val="auto"/>
                <w:sz w:val="20"/>
                <w:szCs w:val="24"/>
                <w:u w:val="single"/>
                <w:lang w:eastAsia="lv-LV"/>
              </w:rPr>
              <w:t>-0</w:t>
            </w:r>
            <w:r>
              <w:rPr>
                <w:rFonts w:ascii="Times New Roman" w:eastAsia="Times New Roman" w:hAnsi="Times New Roman" w:cs="Times New Roman"/>
                <w:b/>
                <w:i/>
                <w:iCs/>
                <w:color w:val="auto"/>
                <w:sz w:val="20"/>
                <w:szCs w:val="24"/>
                <w:u w:val="single"/>
                <w:lang w:eastAsia="lv-LV"/>
              </w:rPr>
              <w:t>,</w:t>
            </w:r>
            <w:r w:rsidRPr="00C83EAD">
              <w:rPr>
                <w:rFonts w:ascii="Times New Roman" w:eastAsia="Times New Roman" w:hAnsi="Times New Roman" w:cs="Times New Roman"/>
                <w:b/>
                <w:i/>
                <w:iCs/>
                <w:color w:val="auto"/>
                <w:sz w:val="20"/>
                <w:szCs w:val="24"/>
                <w:u w:val="single"/>
                <w:lang w:eastAsia="lv-LV"/>
              </w:rPr>
              <w:t>4</w:t>
            </w:r>
          </w:p>
        </w:tc>
        <w:tc>
          <w:tcPr>
            <w:tcW w:w="1494" w:type="dxa"/>
            <w:vAlign w:val="center"/>
          </w:tcPr>
          <w:p w14:paraId="7C9CA7B2" w14:textId="2A099313"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auto"/>
                <w:sz w:val="20"/>
                <w:szCs w:val="24"/>
                <w:u w:val="single"/>
                <w:lang w:eastAsia="lv-LV"/>
              </w:rPr>
            </w:pPr>
            <w:r w:rsidRPr="00C83EAD">
              <w:rPr>
                <w:rFonts w:ascii="Times New Roman" w:eastAsia="Times New Roman" w:hAnsi="Times New Roman" w:cs="Times New Roman"/>
                <w:b/>
                <w:i/>
                <w:iCs/>
                <w:color w:val="auto"/>
                <w:sz w:val="20"/>
                <w:szCs w:val="24"/>
                <w:u w:val="single"/>
                <w:lang w:eastAsia="lv-LV"/>
              </w:rPr>
              <w:t>1</w:t>
            </w:r>
            <w:r>
              <w:rPr>
                <w:rFonts w:ascii="Times New Roman" w:eastAsia="Times New Roman" w:hAnsi="Times New Roman" w:cs="Times New Roman"/>
                <w:b/>
                <w:i/>
                <w:iCs/>
                <w:color w:val="auto"/>
                <w:sz w:val="20"/>
                <w:szCs w:val="24"/>
                <w:u w:val="single"/>
                <w:lang w:eastAsia="lv-LV"/>
              </w:rPr>
              <w:t>,</w:t>
            </w:r>
            <w:r w:rsidRPr="00C83EAD">
              <w:rPr>
                <w:rFonts w:ascii="Times New Roman" w:eastAsia="Times New Roman" w:hAnsi="Times New Roman" w:cs="Times New Roman"/>
                <w:b/>
                <w:i/>
                <w:iCs/>
                <w:color w:val="auto"/>
                <w:sz w:val="20"/>
                <w:szCs w:val="24"/>
                <w:u w:val="single"/>
                <w:lang w:eastAsia="lv-LV"/>
              </w:rPr>
              <w:t>8</w:t>
            </w:r>
          </w:p>
        </w:tc>
        <w:tc>
          <w:tcPr>
            <w:tcW w:w="1560" w:type="dxa"/>
            <w:noWrap/>
            <w:vAlign w:val="center"/>
            <w:hideMark/>
          </w:tcPr>
          <w:p w14:paraId="20DA4DD4" w14:textId="0DE18012"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Pr>
                <w:rFonts w:ascii="Times New Roman" w:eastAsia="Times New Roman" w:hAnsi="Times New Roman" w:cs="Times New Roman"/>
                <w:iCs/>
                <w:color w:val="auto"/>
                <w:sz w:val="20"/>
                <w:szCs w:val="24"/>
                <w:lang w:eastAsia="lv-LV"/>
              </w:rPr>
              <w:t>-0,2</w:t>
            </w:r>
          </w:p>
        </w:tc>
      </w:tr>
      <w:tr w:rsidR="006B6037" w:rsidRPr="00C83EAD" w14:paraId="13A72D14" w14:textId="77777777" w:rsidTr="006C67E6">
        <w:trPr>
          <w:trHeight w:val="31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764D1A9" w14:textId="77777777" w:rsidR="006B6037" w:rsidRPr="00C83EAD" w:rsidRDefault="006B6037" w:rsidP="006C67E6">
            <w:pPr>
              <w:jc w:val="center"/>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2017</w:t>
            </w:r>
          </w:p>
        </w:tc>
        <w:tc>
          <w:tcPr>
            <w:tcW w:w="1418" w:type="dxa"/>
            <w:noWrap/>
            <w:vAlign w:val="center"/>
            <w:hideMark/>
          </w:tcPr>
          <w:p w14:paraId="11CBF1C7" w14:textId="44BBA3A8"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6</w:t>
            </w:r>
          </w:p>
        </w:tc>
        <w:tc>
          <w:tcPr>
            <w:tcW w:w="1574" w:type="dxa"/>
            <w:noWrap/>
            <w:vAlign w:val="center"/>
            <w:hideMark/>
          </w:tcPr>
          <w:p w14:paraId="5807074E" w14:textId="4A32EAA4"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-0</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2</w:t>
            </w:r>
          </w:p>
        </w:tc>
        <w:tc>
          <w:tcPr>
            <w:tcW w:w="1494" w:type="dxa"/>
            <w:vAlign w:val="center"/>
          </w:tcPr>
          <w:p w14:paraId="20B01507" w14:textId="00212AE5"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8</w:t>
            </w:r>
          </w:p>
        </w:tc>
        <w:tc>
          <w:tcPr>
            <w:tcW w:w="1560" w:type="dxa"/>
            <w:noWrap/>
            <w:vAlign w:val="center"/>
            <w:hideMark/>
          </w:tcPr>
          <w:p w14:paraId="1E237148" w14:textId="04D2FD40"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Pr>
                <w:rFonts w:ascii="Times New Roman" w:eastAsia="Times New Roman" w:hAnsi="Times New Roman" w:cs="Times New Roman"/>
                <w:iCs/>
                <w:color w:val="auto"/>
                <w:sz w:val="20"/>
                <w:szCs w:val="24"/>
                <w:lang w:eastAsia="lv-LV"/>
              </w:rPr>
              <w:t>-0,1</w:t>
            </w:r>
          </w:p>
        </w:tc>
      </w:tr>
      <w:tr w:rsidR="006B6037" w:rsidRPr="00C83EAD" w14:paraId="5846FF48" w14:textId="77777777" w:rsidTr="006C67E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F7904B4" w14:textId="77777777" w:rsidR="006B6037" w:rsidRPr="00C83EAD" w:rsidRDefault="006B6037" w:rsidP="006C67E6">
            <w:pPr>
              <w:jc w:val="center"/>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2018</w:t>
            </w:r>
          </w:p>
        </w:tc>
        <w:tc>
          <w:tcPr>
            <w:tcW w:w="1418" w:type="dxa"/>
            <w:noWrap/>
            <w:vAlign w:val="center"/>
            <w:hideMark/>
          </w:tcPr>
          <w:p w14:paraId="30B615DA" w14:textId="7684CD92"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4</w:t>
            </w:r>
          </w:p>
        </w:tc>
        <w:tc>
          <w:tcPr>
            <w:tcW w:w="1574" w:type="dxa"/>
            <w:noWrap/>
            <w:vAlign w:val="center"/>
            <w:hideMark/>
          </w:tcPr>
          <w:p w14:paraId="54712955" w14:textId="62F05FA7"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-0</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4</w:t>
            </w:r>
          </w:p>
        </w:tc>
        <w:tc>
          <w:tcPr>
            <w:tcW w:w="1494" w:type="dxa"/>
            <w:vAlign w:val="center"/>
          </w:tcPr>
          <w:p w14:paraId="144B7341" w14:textId="56E5F9AA"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8</w:t>
            </w:r>
          </w:p>
        </w:tc>
        <w:tc>
          <w:tcPr>
            <w:tcW w:w="1560" w:type="dxa"/>
            <w:noWrap/>
            <w:vAlign w:val="center"/>
            <w:hideMark/>
          </w:tcPr>
          <w:p w14:paraId="2D914222" w14:textId="6565433B"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0</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3</w:t>
            </w:r>
          </w:p>
        </w:tc>
      </w:tr>
      <w:tr w:rsidR="006B6037" w:rsidRPr="00C83EAD" w14:paraId="059E733B" w14:textId="77777777" w:rsidTr="006C67E6">
        <w:trPr>
          <w:trHeight w:val="31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6BC4739" w14:textId="77777777" w:rsidR="006B6037" w:rsidRPr="00C83EAD" w:rsidRDefault="006B6037" w:rsidP="006C67E6">
            <w:pPr>
              <w:jc w:val="center"/>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2019</w:t>
            </w:r>
          </w:p>
        </w:tc>
        <w:tc>
          <w:tcPr>
            <w:tcW w:w="1418" w:type="dxa"/>
            <w:noWrap/>
            <w:vAlign w:val="center"/>
            <w:hideMark/>
          </w:tcPr>
          <w:p w14:paraId="700515EB" w14:textId="2E745F10"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4</w:t>
            </w:r>
          </w:p>
        </w:tc>
        <w:tc>
          <w:tcPr>
            <w:tcW w:w="1574" w:type="dxa"/>
            <w:noWrap/>
            <w:vAlign w:val="center"/>
            <w:hideMark/>
          </w:tcPr>
          <w:p w14:paraId="0E26CBC4" w14:textId="1C45CE9B"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-0</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4</w:t>
            </w:r>
          </w:p>
        </w:tc>
        <w:tc>
          <w:tcPr>
            <w:tcW w:w="1494" w:type="dxa"/>
            <w:vAlign w:val="center"/>
          </w:tcPr>
          <w:p w14:paraId="0163C731" w14:textId="1B821FEC"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8</w:t>
            </w:r>
          </w:p>
        </w:tc>
        <w:tc>
          <w:tcPr>
            <w:tcW w:w="1560" w:type="dxa"/>
            <w:noWrap/>
            <w:vAlign w:val="center"/>
            <w:hideMark/>
          </w:tcPr>
          <w:p w14:paraId="6BDD63FC" w14:textId="76300CD1" w:rsidR="006B6037" w:rsidRPr="00C83EAD"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0</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7</w:t>
            </w:r>
          </w:p>
        </w:tc>
      </w:tr>
      <w:tr w:rsidR="006B6037" w:rsidRPr="00C83EAD" w14:paraId="125B3B2C" w14:textId="77777777" w:rsidTr="006C67E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AB7440D" w14:textId="77777777" w:rsidR="006B6037" w:rsidRPr="00C83EAD" w:rsidRDefault="006B6037" w:rsidP="006C67E6">
            <w:pPr>
              <w:jc w:val="center"/>
              <w:rPr>
                <w:rFonts w:ascii="Times New Roman" w:eastAsia="Times New Roman" w:hAnsi="Times New Roman" w:cs="Times New Roman"/>
                <w:color w:val="auto"/>
                <w:sz w:val="20"/>
                <w:szCs w:val="24"/>
                <w:lang w:eastAsia="lv-LV"/>
              </w:rPr>
            </w:pPr>
            <w:r w:rsidRPr="00C83EAD">
              <w:rPr>
                <w:rFonts w:ascii="Times New Roman" w:eastAsia="Times New Roman" w:hAnsi="Times New Roman" w:cs="Times New Roman"/>
                <w:color w:val="auto"/>
                <w:sz w:val="20"/>
                <w:szCs w:val="24"/>
                <w:lang w:eastAsia="lv-LV"/>
              </w:rPr>
              <w:t>2020</w:t>
            </w:r>
          </w:p>
        </w:tc>
        <w:tc>
          <w:tcPr>
            <w:tcW w:w="1418" w:type="dxa"/>
            <w:noWrap/>
            <w:vAlign w:val="center"/>
            <w:hideMark/>
          </w:tcPr>
          <w:p w14:paraId="53BA613E" w14:textId="57C1D7E6"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4</w:t>
            </w:r>
          </w:p>
        </w:tc>
        <w:tc>
          <w:tcPr>
            <w:tcW w:w="1574" w:type="dxa"/>
            <w:noWrap/>
            <w:vAlign w:val="center"/>
            <w:hideMark/>
          </w:tcPr>
          <w:p w14:paraId="30315C0B" w14:textId="57A737D6"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-0</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4</w:t>
            </w:r>
          </w:p>
        </w:tc>
        <w:tc>
          <w:tcPr>
            <w:tcW w:w="1494" w:type="dxa"/>
            <w:vAlign w:val="center"/>
          </w:tcPr>
          <w:p w14:paraId="70A4E7A3" w14:textId="59A5DB5D"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1</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8</w:t>
            </w:r>
          </w:p>
        </w:tc>
        <w:tc>
          <w:tcPr>
            <w:tcW w:w="1560" w:type="dxa"/>
            <w:noWrap/>
            <w:vAlign w:val="center"/>
            <w:hideMark/>
          </w:tcPr>
          <w:p w14:paraId="015749A9" w14:textId="4EE64112" w:rsidR="006B6037" w:rsidRPr="00C83EAD"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4"/>
                <w:lang w:eastAsia="lv-LV"/>
              </w:rPr>
            </w:pPr>
            <w:r w:rsidRPr="00C83EAD">
              <w:rPr>
                <w:rFonts w:ascii="Times New Roman" w:eastAsia="Times New Roman" w:hAnsi="Times New Roman" w:cs="Times New Roman"/>
                <w:iCs/>
                <w:color w:val="auto"/>
                <w:sz w:val="20"/>
                <w:szCs w:val="24"/>
                <w:lang w:eastAsia="lv-LV"/>
              </w:rPr>
              <w:t>0</w:t>
            </w:r>
            <w:r>
              <w:rPr>
                <w:rFonts w:ascii="Times New Roman" w:eastAsia="Times New Roman" w:hAnsi="Times New Roman" w:cs="Times New Roman"/>
                <w:iCs/>
                <w:color w:val="auto"/>
                <w:sz w:val="20"/>
                <w:szCs w:val="24"/>
                <w:lang w:eastAsia="lv-LV"/>
              </w:rPr>
              <w:t>,</w:t>
            </w:r>
            <w:r w:rsidRPr="00C83EAD">
              <w:rPr>
                <w:rFonts w:ascii="Times New Roman" w:eastAsia="Times New Roman" w:hAnsi="Times New Roman" w:cs="Times New Roman"/>
                <w:iCs/>
                <w:color w:val="auto"/>
                <w:sz w:val="20"/>
                <w:szCs w:val="24"/>
                <w:lang w:eastAsia="lv-LV"/>
              </w:rPr>
              <w:t>7</w:t>
            </w:r>
          </w:p>
        </w:tc>
      </w:tr>
    </w:tbl>
    <w:p w14:paraId="16A2ABEB" w14:textId="576BB64C" w:rsidR="0077183B" w:rsidRDefault="0077183B" w:rsidP="00B77AD2">
      <w:pPr>
        <w:spacing w:before="120"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Lai veiktu izlaižu starpības novērtējumu bilances mērķa gadiem, 2018., 2019. un 2020.gadam, ir nepieciešams iegūt pēc EK kopējās metodoloģijas aprēķinātas izlaižu starpības prognozes</w:t>
      </w:r>
      <w:r w:rsidR="00C83EAD">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kā arī ticamības testa izlaižu starpības vērtējumus attiecīgajiem gadiem.</w:t>
      </w:r>
    </w:p>
    <w:p w14:paraId="79AA1469" w14:textId="7A8A32CC"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Tā kā EK 2017.gada </w:t>
      </w:r>
      <w:r w:rsidR="00A46C6A">
        <w:rPr>
          <w:rFonts w:ascii="Times New Roman" w:eastAsia="Calibri" w:hAnsi="Times New Roman" w:cs="Times New Roman"/>
          <w:color w:val="000000"/>
          <w:sz w:val="24"/>
          <w:szCs w:val="24"/>
        </w:rPr>
        <w:t>z</w:t>
      </w:r>
      <w:r>
        <w:rPr>
          <w:rFonts w:ascii="Times New Roman" w:eastAsia="Calibri" w:hAnsi="Times New Roman" w:cs="Times New Roman"/>
          <w:color w:val="000000"/>
          <w:sz w:val="24"/>
          <w:szCs w:val="24"/>
        </w:rPr>
        <w:t>iemas prognozēs nav pieejamas atbilstoši kopējai metodoloģijai aprēķinātās izlaižu starpības prognozes 2019. un 2020.gadam, aprēķinu vajadzībām tiek pieņemts, ka šajos gados izlaižu starpība saglabājās 2018.gada līmenī, kas ir 1,4% no potenciālā IKP.</w:t>
      </w:r>
    </w:p>
    <w:p w14:paraId="0CDDE946" w14:textId="13107CF8"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Savukārt, ticamības testa izlaižu starpības novērtējums turpmākajiem gadiem tiek ekstrapolēts balstoties uz EK piedāvāto risinājumu, kas paredz, ka konkrētā gada izlaižu starpības prognozei, kas iegūta izmantojot EK kopējo metodoloģiju tiek piemērots konstants robežattālums, kas ir aprēķināts 2016.gadā un ir starpība starp izlaižu starpības novērtējumu, ko sniedz EK kopējā metodoloģija un ar ticamības testu iegūtā izlaižu starpības ticamo vērtību intervāla centrālo vērtību. Šī starpība ir 1,8</w:t>
      </w:r>
      <w:r w:rsidR="00B77AD2">
        <w:rPr>
          <w:rFonts w:ascii="Times New Roman" w:eastAsia="Calibri" w:hAnsi="Times New Roman" w:cs="Times New Roman"/>
          <w:color w:val="000000"/>
          <w:sz w:val="24"/>
          <w:szCs w:val="24"/>
        </w:rPr>
        <w:t xml:space="preserve"> procent</w:t>
      </w:r>
      <w:r>
        <w:rPr>
          <w:rFonts w:ascii="Times New Roman" w:eastAsia="Calibri" w:hAnsi="Times New Roman" w:cs="Times New Roman"/>
          <w:color w:val="000000"/>
          <w:sz w:val="24"/>
          <w:szCs w:val="24"/>
        </w:rPr>
        <w:t>punkti.</w:t>
      </w:r>
    </w:p>
    <w:p w14:paraId="384ACFE9" w14:textId="09091CF4" w:rsidR="0077183B" w:rsidRDefault="0077183B" w:rsidP="0077183B">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Tādējādi pēc abām iepriekšminētajām metodēm tiek veikti novērtējumi izlaižu starpībai 2018., 2019. un 2020.gadam. Rezultātā katram gadam tiek nodefinēts jauns izlaižu starpības ticamības intervāls, kura augšējā robeža 2018., 2019. un 2020.gadam ir 1,4</w:t>
      </w:r>
      <w:r w:rsidR="00B77AD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00B77AD2">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avukārt apakšējā </w:t>
      </w:r>
      <w:r>
        <w:rPr>
          <w:rFonts w:ascii="Times New Roman" w:eastAsia="Calibri" w:hAnsi="Times New Roman" w:cs="Times New Roman"/>
          <w:color w:val="000000"/>
          <w:sz w:val="24"/>
          <w:szCs w:val="24"/>
        </w:rPr>
        <w:lastRenderedPageBreak/>
        <w:t>robeža ir -0,4. Šī intervāla ietvaros, izmantojot argumentētu lēmumu pieeju (</w:t>
      </w:r>
      <w:r w:rsidRPr="00B77AD2">
        <w:rPr>
          <w:rFonts w:ascii="Times New Roman" w:eastAsia="Calibri" w:hAnsi="Times New Roman" w:cs="Times New Roman"/>
          <w:i/>
          <w:color w:val="000000"/>
          <w:sz w:val="24"/>
          <w:szCs w:val="24"/>
        </w:rPr>
        <w:t>constrain judgement</w:t>
      </w:r>
      <w:r>
        <w:rPr>
          <w:rFonts w:ascii="Times New Roman" w:eastAsia="Calibri" w:hAnsi="Times New Roman" w:cs="Times New Roman"/>
          <w:color w:val="000000"/>
          <w:sz w:val="24"/>
          <w:szCs w:val="24"/>
        </w:rPr>
        <w:t>), pastāv iespēja novērtēt atbilstošāko izlaižu starpības lielumu.</w:t>
      </w:r>
    </w:p>
    <w:p w14:paraId="701003B3" w14:textId="7BD43593" w:rsidR="006B6037" w:rsidRPr="006B6037" w:rsidRDefault="0077183B" w:rsidP="006B6037">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Argumentēto lēmumu procedūra dod iespēju EK ekspertiem pieņemt lēmumu par izlaižu starpības lielum</w:t>
      </w:r>
      <w:r w:rsidR="00B77AD2">
        <w:rPr>
          <w:rFonts w:ascii="Times New Roman" w:eastAsia="Calibri" w:hAnsi="Times New Roman" w:cs="Times New Roman"/>
          <w:color w:val="000000"/>
          <w:sz w:val="24"/>
          <w:szCs w:val="24"/>
        </w:rPr>
        <w:t>u, kas var atrasties intervāla (</w:t>
      </w:r>
      <w:r>
        <w:rPr>
          <w:rFonts w:ascii="Times New Roman" w:eastAsia="Calibri" w:hAnsi="Times New Roman" w:cs="Times New Roman"/>
          <w:color w:val="000000"/>
          <w:sz w:val="24"/>
          <w:szCs w:val="24"/>
        </w:rPr>
        <w:t>ticamības testa izlaižu starpība; kopējās</w:t>
      </w:r>
      <w:r w:rsidR="00B77AD2">
        <w:rPr>
          <w:rFonts w:ascii="Times New Roman" w:eastAsia="Calibri" w:hAnsi="Times New Roman" w:cs="Times New Roman"/>
          <w:color w:val="000000"/>
          <w:sz w:val="24"/>
          <w:szCs w:val="24"/>
        </w:rPr>
        <w:t xml:space="preserve"> metodoloģijas izlaižu starpība)</w:t>
      </w:r>
      <w:r>
        <w:rPr>
          <w:rFonts w:ascii="Times New Roman" w:eastAsia="Calibri" w:hAnsi="Times New Roman" w:cs="Times New Roman"/>
          <w:color w:val="000000"/>
          <w:sz w:val="24"/>
          <w:szCs w:val="24"/>
        </w:rPr>
        <w:t xml:space="preserve"> jebkurā punktā, tātad eksperts var noteikt jebkuru vērtību robežās no -0,4 līdz 1,4. </w:t>
      </w:r>
      <w:r w:rsidRPr="00C01696">
        <w:rPr>
          <w:rFonts w:ascii="Times New Roman" w:eastAsia="Calibri" w:hAnsi="Times New Roman" w:cs="Times New Roman"/>
          <w:b/>
          <w:color w:val="000000"/>
          <w:sz w:val="24"/>
          <w:szCs w:val="24"/>
        </w:rPr>
        <w:t>Šī Stabilitātes programma ir sagatavota, pieņemot, ka argumentētā lēmuma procedūrā eksperta viedoklis sakritīs ar FM pašas novērtēto</w:t>
      </w:r>
      <w:r>
        <w:rPr>
          <w:rFonts w:ascii="Times New Roman" w:eastAsia="Calibri" w:hAnsi="Times New Roman" w:cs="Times New Roman"/>
          <w:b/>
          <w:color w:val="000000"/>
          <w:sz w:val="24"/>
          <w:szCs w:val="24"/>
        </w:rPr>
        <w:t xml:space="preserve"> un Fiskālās disciplīnas padomes apstiprināto</w:t>
      </w:r>
      <w:r w:rsidRPr="00C01696">
        <w:rPr>
          <w:rFonts w:ascii="Times New Roman" w:eastAsia="Calibri" w:hAnsi="Times New Roman" w:cs="Times New Roman"/>
          <w:b/>
          <w:color w:val="000000"/>
          <w:sz w:val="24"/>
          <w:szCs w:val="24"/>
        </w:rPr>
        <w:t xml:space="preserve"> izlaižu starpību kas 2018.gadā i</w:t>
      </w:r>
      <w:r w:rsidR="00B77AD2">
        <w:rPr>
          <w:rFonts w:ascii="Times New Roman" w:eastAsia="Calibri" w:hAnsi="Times New Roman" w:cs="Times New Roman"/>
          <w:b/>
          <w:color w:val="000000"/>
          <w:sz w:val="24"/>
          <w:szCs w:val="24"/>
        </w:rPr>
        <w:t>r 0,3% no potenciālā IKP, 2019.</w:t>
      </w:r>
      <w:r w:rsidRPr="00C01696">
        <w:rPr>
          <w:rFonts w:ascii="Times New Roman" w:eastAsia="Calibri" w:hAnsi="Times New Roman" w:cs="Times New Roman"/>
          <w:b/>
          <w:color w:val="000000"/>
          <w:sz w:val="24"/>
          <w:szCs w:val="24"/>
        </w:rPr>
        <w:t>gadā ir 0,7% no potenciālā IKP un 2020.gadā ir 0,7% no potenciālā IKP.</w:t>
      </w:r>
      <w:r>
        <w:rPr>
          <w:rFonts w:ascii="Times New Roman" w:eastAsia="Calibri" w:hAnsi="Times New Roman" w:cs="Times New Roman"/>
          <w:color w:val="000000"/>
          <w:sz w:val="24"/>
          <w:szCs w:val="24"/>
        </w:rPr>
        <w:t xml:space="preserve"> </w:t>
      </w:r>
      <w:r w:rsidR="006B6037" w:rsidRPr="006B6037">
        <w:rPr>
          <w:rFonts w:ascii="Times New Roman" w:eastAsia="Calibri" w:hAnsi="Times New Roman" w:cs="Times New Roman"/>
          <w:color w:val="000000"/>
          <w:sz w:val="24"/>
          <w:szCs w:val="24"/>
        </w:rPr>
        <w:t xml:space="preserve">Detalizētāku informāciju par FM veikto izlaižu starpības novērtējumu skatīt </w:t>
      </w:r>
      <w:r w:rsidR="006B6037">
        <w:rPr>
          <w:rFonts w:ascii="Times New Roman" w:eastAsia="Calibri" w:hAnsi="Times New Roman" w:cs="Times New Roman"/>
          <w:color w:val="000000"/>
          <w:sz w:val="24"/>
          <w:szCs w:val="24"/>
        </w:rPr>
        <w:t>2.3.s</w:t>
      </w:r>
      <w:r w:rsidR="006B6037" w:rsidRPr="006B6037">
        <w:rPr>
          <w:rFonts w:ascii="Times New Roman" w:eastAsia="Calibri" w:hAnsi="Times New Roman" w:cs="Times New Roman"/>
          <w:color w:val="000000"/>
          <w:sz w:val="24"/>
          <w:szCs w:val="24"/>
        </w:rPr>
        <w:t>adaļā.</w:t>
      </w:r>
    </w:p>
    <w:p w14:paraId="6C91D7CC" w14:textId="4134C2F8" w:rsidR="006B6037" w:rsidRPr="006B6037" w:rsidRDefault="00492A61" w:rsidP="006B6037">
      <w:pPr>
        <w:spacing w:after="0" w:line="240" w:lineRule="auto"/>
        <w:ind w:firstLine="720"/>
        <w:jc w:val="both"/>
        <w:rPr>
          <w:rFonts w:ascii="Times New Roman" w:eastAsia="Calibri" w:hAnsi="Times New Roman" w:cs="Times New Roman"/>
          <w:color w:val="000000"/>
          <w:sz w:val="24"/>
          <w:szCs w:val="24"/>
        </w:rPr>
      </w:pPr>
      <w:r w:rsidRPr="00036AF9">
        <w:rPr>
          <w:noProof/>
          <w:highlight w:val="yellow"/>
          <w:lang w:eastAsia="lv-LV"/>
        </w:rPr>
        <w:drawing>
          <wp:anchor distT="0" distB="0" distL="114300" distR="114300" simplePos="0" relativeHeight="251681792" behindDoc="0" locked="0" layoutInCell="1" allowOverlap="1" wp14:anchorId="4B834A38" wp14:editId="6A09241E">
            <wp:simplePos x="0" y="0"/>
            <wp:positionH relativeFrom="margin">
              <wp:align>left</wp:align>
            </wp:positionH>
            <wp:positionV relativeFrom="paragraph">
              <wp:posOffset>434202</wp:posOffset>
            </wp:positionV>
            <wp:extent cx="5863590" cy="100901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3590" cy="1009015"/>
                    </a:xfrm>
                    <a:prstGeom prst="rect">
                      <a:avLst/>
                    </a:prstGeom>
                    <a:noFill/>
                  </pic:spPr>
                </pic:pic>
              </a:graphicData>
            </a:graphic>
            <wp14:sizeRelH relativeFrom="margin">
              <wp14:pctWidth>0</wp14:pctWidth>
            </wp14:sizeRelH>
            <wp14:sizeRelV relativeFrom="margin">
              <wp14:pctHeight>0</wp14:pctHeight>
            </wp14:sizeRelV>
          </wp:anchor>
        </w:drawing>
      </w:r>
      <w:r w:rsidR="006B6037" w:rsidRPr="006B6037">
        <w:rPr>
          <w:rFonts w:ascii="Times New Roman" w:eastAsia="Calibri" w:hAnsi="Times New Roman" w:cs="Times New Roman"/>
          <w:color w:val="000000"/>
          <w:sz w:val="24"/>
          <w:szCs w:val="24"/>
        </w:rPr>
        <w:t xml:space="preserve">Jāatzīmē, ka OECD vērtējumā </w:t>
      </w:r>
      <w:r w:rsidR="006B6037">
        <w:rPr>
          <w:rFonts w:ascii="Times New Roman" w:eastAsia="Calibri" w:hAnsi="Times New Roman" w:cs="Times New Roman"/>
          <w:color w:val="000000"/>
          <w:sz w:val="24"/>
          <w:szCs w:val="24"/>
        </w:rPr>
        <w:t>Latvijas izlaižu starpība</w:t>
      </w:r>
      <w:r w:rsidR="006B6037" w:rsidRPr="006B6037">
        <w:rPr>
          <w:rFonts w:ascii="Times New Roman" w:eastAsia="Calibri" w:hAnsi="Times New Roman" w:cs="Times New Roman"/>
          <w:color w:val="000000"/>
          <w:sz w:val="24"/>
          <w:szCs w:val="24"/>
        </w:rPr>
        <w:t xml:space="preserve"> 2016.gadā ir -4,1% no IKP un 20</w:t>
      </w:r>
      <w:r w:rsidR="006B6037">
        <w:rPr>
          <w:rFonts w:ascii="Times New Roman" w:eastAsia="Calibri" w:hAnsi="Times New Roman" w:cs="Times New Roman"/>
          <w:color w:val="000000"/>
          <w:sz w:val="24"/>
          <w:szCs w:val="24"/>
        </w:rPr>
        <w:t>17. un 2018</w:t>
      </w:r>
      <w:r w:rsidR="00B63BC3">
        <w:rPr>
          <w:rFonts w:ascii="Times New Roman" w:eastAsia="Calibri" w:hAnsi="Times New Roman" w:cs="Times New Roman"/>
          <w:color w:val="000000"/>
          <w:sz w:val="24"/>
          <w:szCs w:val="24"/>
        </w:rPr>
        <w:t>.</w:t>
      </w:r>
      <w:r w:rsidR="006B6037" w:rsidRPr="006B6037">
        <w:rPr>
          <w:rFonts w:ascii="Times New Roman" w:eastAsia="Calibri" w:hAnsi="Times New Roman" w:cs="Times New Roman"/>
          <w:color w:val="000000"/>
          <w:sz w:val="24"/>
          <w:szCs w:val="24"/>
        </w:rPr>
        <w:t>gad</w:t>
      </w:r>
      <w:r w:rsidR="006B6037">
        <w:rPr>
          <w:rFonts w:ascii="Times New Roman" w:eastAsia="Calibri" w:hAnsi="Times New Roman" w:cs="Times New Roman"/>
          <w:color w:val="000000"/>
          <w:sz w:val="24"/>
          <w:szCs w:val="24"/>
        </w:rPr>
        <w:t>ā attiecīgi</w:t>
      </w:r>
      <w:r w:rsidR="006B6037" w:rsidRPr="006B6037">
        <w:rPr>
          <w:rFonts w:ascii="Times New Roman" w:eastAsia="Calibri" w:hAnsi="Times New Roman" w:cs="Times New Roman"/>
          <w:color w:val="000000"/>
          <w:sz w:val="24"/>
          <w:szCs w:val="24"/>
        </w:rPr>
        <w:t xml:space="preserve"> -3,4 un -2,5 % no IKP</w:t>
      </w:r>
      <w:r w:rsidR="006B6037" w:rsidRPr="006B6037">
        <w:rPr>
          <w:rStyle w:val="FootnoteReference"/>
          <w:rFonts w:ascii="Times New Roman" w:eastAsia="Calibri" w:hAnsi="Times New Roman" w:cs="Times New Roman"/>
          <w:color w:val="000000"/>
          <w:sz w:val="24"/>
          <w:szCs w:val="24"/>
        </w:rPr>
        <w:footnoteReference w:id="11"/>
      </w:r>
      <w:r w:rsidR="006B6037" w:rsidRPr="006B6037">
        <w:rPr>
          <w:rFonts w:ascii="Times New Roman" w:eastAsia="Calibri" w:hAnsi="Times New Roman" w:cs="Times New Roman"/>
          <w:color w:val="000000"/>
          <w:sz w:val="24"/>
          <w:szCs w:val="24"/>
        </w:rPr>
        <w:t xml:space="preserve"> </w:t>
      </w:r>
      <w:r w:rsidR="006B6037" w:rsidRPr="006B6037">
        <w:rPr>
          <w:rStyle w:val="FootnoteReference"/>
          <w:rFonts w:ascii="Times New Roman" w:eastAsia="Calibri" w:hAnsi="Times New Roman" w:cs="Times New Roman"/>
          <w:color w:val="000000"/>
          <w:sz w:val="24"/>
          <w:szCs w:val="24"/>
        </w:rPr>
        <w:footnoteReference w:id="12"/>
      </w:r>
      <w:r w:rsidR="006B6037" w:rsidRPr="006B6037">
        <w:rPr>
          <w:rFonts w:ascii="Times New Roman" w:eastAsia="Calibri" w:hAnsi="Times New Roman" w:cs="Times New Roman"/>
          <w:color w:val="000000"/>
          <w:sz w:val="24"/>
          <w:szCs w:val="24"/>
        </w:rPr>
        <w:t xml:space="preserve">.   </w:t>
      </w:r>
    </w:p>
    <w:p w14:paraId="43855704" w14:textId="1ABFFCCF" w:rsidR="006B6037" w:rsidRPr="006E5765" w:rsidRDefault="006B6037" w:rsidP="00492A61">
      <w:pPr>
        <w:spacing w:after="0" w:line="240" w:lineRule="auto"/>
        <w:jc w:val="both"/>
        <w:rPr>
          <w:rFonts w:ascii="Times New Roman" w:eastAsia="Calibri" w:hAnsi="Times New Roman" w:cs="Times New Roman"/>
          <w:color w:val="000000"/>
          <w:sz w:val="20"/>
          <w:szCs w:val="24"/>
          <w:highlight w:val="yellow"/>
        </w:rPr>
      </w:pPr>
    </w:p>
    <w:p w14:paraId="6D680B38" w14:textId="57EAE298" w:rsidR="006B6037" w:rsidRDefault="006B6037" w:rsidP="006B6037">
      <w:pPr>
        <w:spacing w:before="60" w:after="12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3.3.</w:t>
      </w:r>
      <w:r w:rsidRPr="006B6037">
        <w:rPr>
          <w:rFonts w:ascii="Times New Roman" w:eastAsia="Calibri" w:hAnsi="Times New Roman" w:cs="Times New Roman"/>
          <w:b/>
          <w:color w:val="000000"/>
          <w:sz w:val="24"/>
          <w:szCs w:val="24"/>
        </w:rPr>
        <w:t>attēls</w:t>
      </w:r>
      <w:r>
        <w:rPr>
          <w:rFonts w:ascii="Times New Roman" w:eastAsia="Calibri" w:hAnsi="Times New Roman" w:cs="Times New Roman"/>
          <w:b/>
          <w:color w:val="000000"/>
          <w:sz w:val="24"/>
          <w:szCs w:val="24"/>
        </w:rPr>
        <w:t>.</w:t>
      </w:r>
      <w:r w:rsidRPr="006B6037">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D</w:t>
      </w:r>
      <w:r w:rsidRPr="006B6037">
        <w:rPr>
          <w:rFonts w:ascii="Times New Roman" w:eastAsia="Calibri" w:hAnsi="Times New Roman" w:cs="Times New Roman"/>
          <w:b/>
          <w:color w:val="000000"/>
          <w:sz w:val="24"/>
          <w:szCs w:val="24"/>
        </w:rPr>
        <w:t>ažādu institūciju un dažādu novērtējuma metožu veiktais 2018. gada izlaižu starpības salīdzinājums</w:t>
      </w:r>
    </w:p>
    <w:p w14:paraId="6903D25C" w14:textId="77777777" w:rsidR="006E5765" w:rsidRPr="00492A61" w:rsidRDefault="006E5765" w:rsidP="006E5765">
      <w:pPr>
        <w:spacing w:after="0" w:line="240" w:lineRule="auto"/>
        <w:jc w:val="center"/>
        <w:rPr>
          <w:rFonts w:ascii="Times New Roman" w:eastAsia="Calibri" w:hAnsi="Times New Roman" w:cs="Times New Roman"/>
          <w:b/>
          <w:color w:val="000000"/>
          <w:sz w:val="20"/>
          <w:szCs w:val="24"/>
        </w:rPr>
      </w:pPr>
    </w:p>
    <w:p w14:paraId="3F5979AB" w14:textId="277853C4" w:rsidR="0077183B" w:rsidRPr="007425BA" w:rsidRDefault="0077183B" w:rsidP="006E5765">
      <w:pPr>
        <w:pStyle w:val="Heading2"/>
        <w:numPr>
          <w:ilvl w:val="2"/>
          <w:numId w:val="1"/>
        </w:numPr>
        <w:spacing w:before="160" w:after="120" w:line="240" w:lineRule="auto"/>
        <w:ind w:left="708" w:hanging="11"/>
        <w:jc w:val="both"/>
        <w:rPr>
          <w:rFonts w:ascii="Times New Roman" w:eastAsia="Calibri" w:hAnsi="Times New Roman" w:cs="Times New Roman"/>
          <w:color w:val="000000"/>
          <w:sz w:val="24"/>
          <w:szCs w:val="24"/>
        </w:rPr>
      </w:pPr>
      <w:bookmarkStart w:id="10" w:name="_Toc479331090"/>
      <w:r w:rsidRPr="007425BA">
        <w:rPr>
          <w:rFonts w:ascii="Times New Roman" w:eastAsia="Calibri" w:hAnsi="Times New Roman" w:cs="Times New Roman"/>
          <w:color w:val="000000"/>
          <w:sz w:val="24"/>
          <w:szCs w:val="24"/>
        </w:rPr>
        <w:t>Vispārējie fiskālās politikas mērķi un prioritārie attīstības virzieni 2017</w:t>
      </w:r>
      <w:r w:rsidR="008F38D4">
        <w:rPr>
          <w:rFonts w:ascii="Times New Roman" w:eastAsia="Calibri" w:hAnsi="Times New Roman" w:cs="Times New Roman"/>
          <w:color w:val="000000"/>
          <w:sz w:val="24"/>
          <w:szCs w:val="24"/>
        </w:rPr>
        <w:t>.</w:t>
      </w:r>
      <w:r w:rsidRPr="007425BA">
        <w:rPr>
          <w:rFonts w:ascii="Times New Roman" w:eastAsia="Calibri" w:hAnsi="Times New Roman" w:cs="Times New Roman"/>
          <w:color w:val="000000"/>
          <w:sz w:val="24"/>
          <w:szCs w:val="24"/>
        </w:rPr>
        <w:t>-2019</w:t>
      </w:r>
      <w:r w:rsidR="008F38D4">
        <w:rPr>
          <w:rFonts w:ascii="Times New Roman" w:eastAsia="Calibri" w:hAnsi="Times New Roman" w:cs="Times New Roman"/>
          <w:color w:val="000000"/>
          <w:sz w:val="24"/>
          <w:szCs w:val="24"/>
        </w:rPr>
        <w:t>.</w:t>
      </w:r>
      <w:r w:rsidR="00531951">
        <w:rPr>
          <w:rFonts w:ascii="Times New Roman" w:eastAsia="Calibri" w:hAnsi="Times New Roman" w:cs="Times New Roman"/>
          <w:color w:val="000000"/>
          <w:sz w:val="24"/>
          <w:szCs w:val="24"/>
        </w:rPr>
        <w:t xml:space="preserve">periodam </w:t>
      </w:r>
      <w:r w:rsidRPr="007425BA">
        <w:rPr>
          <w:rFonts w:ascii="Times New Roman" w:eastAsia="Calibri" w:hAnsi="Times New Roman" w:cs="Times New Roman"/>
          <w:color w:val="000000"/>
          <w:sz w:val="24"/>
          <w:szCs w:val="24"/>
        </w:rPr>
        <w:t>- paveiktais pēc iepriekšējas Stabilitātes programmas</w:t>
      </w:r>
      <w:bookmarkEnd w:id="10"/>
    </w:p>
    <w:p w14:paraId="669D5E79" w14:textId="2250364F" w:rsidR="0077183B" w:rsidRPr="00270D5C" w:rsidRDefault="0077183B" w:rsidP="0077183B">
      <w:pPr>
        <w:spacing w:after="0" w:line="240" w:lineRule="auto"/>
        <w:ind w:firstLine="720"/>
        <w:jc w:val="both"/>
        <w:rPr>
          <w:rFonts w:ascii="Times New Roman" w:eastAsia="Calibri" w:hAnsi="Times New Roman" w:cs="Times New Roman"/>
          <w:color w:val="000000"/>
          <w:sz w:val="24"/>
          <w:szCs w:val="24"/>
        </w:rPr>
      </w:pPr>
      <w:r w:rsidRPr="0021664B">
        <w:rPr>
          <w:rFonts w:ascii="Times New Roman" w:eastAsia="Calibri" w:hAnsi="Times New Roman" w:cs="Times New Roman"/>
          <w:color w:val="000000"/>
          <w:sz w:val="24"/>
          <w:szCs w:val="24"/>
        </w:rPr>
        <w:t>Kā jau iepriekš tika minēts</w:t>
      </w:r>
      <w:r w:rsidR="00B77AD2">
        <w:rPr>
          <w:rFonts w:ascii="Times New Roman" w:eastAsia="Calibri" w:hAnsi="Times New Roman" w:cs="Times New Roman"/>
          <w:color w:val="000000"/>
          <w:sz w:val="24"/>
          <w:szCs w:val="24"/>
        </w:rPr>
        <w:t>,</w:t>
      </w:r>
      <w:r w:rsidRPr="0021664B">
        <w:rPr>
          <w:rFonts w:ascii="Times New Roman" w:eastAsia="Calibri" w:hAnsi="Times New Roman" w:cs="Times New Roman"/>
          <w:color w:val="000000"/>
          <w:sz w:val="24"/>
          <w:szCs w:val="24"/>
        </w:rPr>
        <w:t xml:space="preserve"> Latvijā galvenie budžeta politikas lēmumi par vidēja termiņa izdevumu un ieņēmumu politiku tiek pieņemti nevis pavasarī, bet rudenī kopā ar gadskārtējo valsts budžeta likumu. Līdz ar to tālāk šajā nodaļā ir sniegta informācija par to, kādi fiskālās politikas lēmumi ir tikuši pieņemti, valdībai sagatavojot</w:t>
      </w:r>
      <w:r>
        <w:rPr>
          <w:rFonts w:ascii="Times New Roman" w:eastAsia="Calibri" w:hAnsi="Times New Roman" w:cs="Times New Roman"/>
          <w:color w:val="000000"/>
          <w:sz w:val="24"/>
          <w:szCs w:val="24"/>
        </w:rPr>
        <w:t xml:space="preserve"> 2017.gada</w:t>
      </w:r>
      <w:r w:rsidRPr="0021664B">
        <w:rPr>
          <w:rFonts w:ascii="Times New Roman" w:eastAsia="Calibri" w:hAnsi="Times New Roman" w:cs="Times New Roman"/>
          <w:color w:val="000000"/>
          <w:sz w:val="24"/>
          <w:szCs w:val="24"/>
        </w:rPr>
        <w:t xml:space="preserve"> budžetu un</w:t>
      </w:r>
      <w:r>
        <w:rPr>
          <w:rFonts w:ascii="Times New Roman" w:eastAsia="Calibri" w:hAnsi="Times New Roman" w:cs="Times New Roman"/>
          <w:color w:val="000000"/>
          <w:sz w:val="24"/>
          <w:szCs w:val="24"/>
        </w:rPr>
        <w:t xml:space="preserve"> I</w:t>
      </w:r>
      <w:r w:rsidRPr="0021664B">
        <w:rPr>
          <w:rFonts w:ascii="Times New Roman" w:eastAsia="Calibri" w:hAnsi="Times New Roman" w:cs="Times New Roman"/>
          <w:color w:val="000000"/>
          <w:sz w:val="24"/>
          <w:szCs w:val="24"/>
        </w:rPr>
        <w:t>etvar</w:t>
      </w:r>
      <w:r w:rsidR="00B77AD2">
        <w:rPr>
          <w:rFonts w:ascii="Times New Roman" w:eastAsia="Calibri" w:hAnsi="Times New Roman" w:cs="Times New Roman"/>
          <w:color w:val="000000"/>
          <w:sz w:val="24"/>
          <w:szCs w:val="24"/>
        </w:rPr>
        <w:t>a likumu 2017.-2019.</w:t>
      </w:r>
      <w:r>
        <w:rPr>
          <w:rFonts w:ascii="Times New Roman" w:eastAsia="Calibri" w:hAnsi="Times New Roman" w:cs="Times New Roman"/>
          <w:color w:val="000000"/>
          <w:sz w:val="24"/>
          <w:szCs w:val="24"/>
        </w:rPr>
        <w:t>gadam</w:t>
      </w:r>
      <w:r w:rsidRPr="0021664B">
        <w:rPr>
          <w:rFonts w:ascii="Times New Roman" w:eastAsia="Calibri" w:hAnsi="Times New Roman" w:cs="Times New Roman"/>
          <w:color w:val="000000"/>
          <w:sz w:val="24"/>
          <w:szCs w:val="24"/>
        </w:rPr>
        <w:t xml:space="preserve">. </w:t>
      </w:r>
    </w:p>
    <w:p w14:paraId="75634A13" w14:textId="1DA71AD7" w:rsidR="0077183B" w:rsidRPr="008E5035" w:rsidRDefault="0077183B" w:rsidP="0077183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Ietvara likums</w:t>
      </w:r>
      <w:r w:rsidR="00B77AD2">
        <w:rPr>
          <w:rFonts w:ascii="Times New Roman" w:eastAsia="Calibri" w:hAnsi="Times New Roman" w:cs="Times New Roman"/>
          <w:sz w:val="24"/>
          <w:szCs w:val="24"/>
        </w:rPr>
        <w:t xml:space="preserve"> 2017.-2019.</w:t>
      </w:r>
      <w:r w:rsidRPr="008E5035">
        <w:rPr>
          <w:rFonts w:ascii="Times New Roman" w:eastAsia="Calibri" w:hAnsi="Times New Roman" w:cs="Times New Roman"/>
          <w:sz w:val="24"/>
          <w:szCs w:val="24"/>
        </w:rPr>
        <w:t>gadam vispārējo fiskālās politikas mērķi -</w:t>
      </w:r>
      <w:r w:rsidRPr="008E5035">
        <w:rPr>
          <w:rFonts w:ascii="Times New Roman" w:eastAsia="Times New Roman" w:hAnsi="Times New Roman" w:cs="Times New Roman"/>
          <w:sz w:val="24"/>
          <w:szCs w:val="24"/>
        </w:rPr>
        <w:t xml:space="preserve"> ilgtspējīgi </w:t>
      </w:r>
      <w:r w:rsidRPr="008E5035">
        <w:rPr>
          <w:rFonts w:ascii="Times New Roman" w:eastAsia="Calibri" w:hAnsi="Times New Roman" w:cs="Times New Roman"/>
          <w:sz w:val="24"/>
          <w:szCs w:val="24"/>
        </w:rPr>
        <w:t xml:space="preserve">kāpināt iedzīvotāju dzīves kvalitāti – īsteno ar četriem vidēja termiņa budžeta prioritārajiem attīstības virzieniem: </w:t>
      </w:r>
    </w:p>
    <w:p w14:paraId="7D1DA9CB" w14:textId="77777777" w:rsidR="0077183B" w:rsidRPr="004837C6" w:rsidRDefault="0077183B" w:rsidP="00B77AD2">
      <w:pPr>
        <w:numPr>
          <w:ilvl w:val="0"/>
          <w:numId w:val="26"/>
        </w:numPr>
        <w:spacing w:after="0" w:line="240" w:lineRule="auto"/>
        <w:ind w:left="1276"/>
        <w:jc w:val="both"/>
        <w:rPr>
          <w:rFonts w:ascii="Times New Roman" w:eastAsia="Calibri" w:hAnsi="Times New Roman" w:cs="Times New Roman"/>
          <w:sz w:val="24"/>
          <w:szCs w:val="24"/>
        </w:rPr>
      </w:pPr>
      <w:r w:rsidRPr="004837C6">
        <w:rPr>
          <w:rFonts w:ascii="Times New Roman" w:eastAsia="Calibri" w:hAnsi="Times New Roman" w:cs="Times New Roman"/>
          <w:sz w:val="24"/>
          <w:szCs w:val="24"/>
        </w:rPr>
        <w:t xml:space="preserve">valsts aizsardzības spēju palielināšana, kāpinot valsts aizsardzības finansējumu pret IKP līdz 2% 2018.gadā un nodrošinot finansējuma saglabāšanu sasniegtajā apmērā 2019.gadā; </w:t>
      </w:r>
    </w:p>
    <w:p w14:paraId="7607CA5A" w14:textId="77777777" w:rsidR="0077183B" w:rsidRPr="004837C6" w:rsidRDefault="0077183B" w:rsidP="00B77AD2">
      <w:pPr>
        <w:numPr>
          <w:ilvl w:val="0"/>
          <w:numId w:val="26"/>
        </w:numPr>
        <w:spacing w:after="0" w:line="240" w:lineRule="auto"/>
        <w:ind w:left="1276"/>
        <w:jc w:val="both"/>
        <w:rPr>
          <w:rFonts w:ascii="Times New Roman" w:eastAsia="Calibri" w:hAnsi="Times New Roman" w:cs="Times New Roman"/>
          <w:sz w:val="24"/>
          <w:szCs w:val="24"/>
        </w:rPr>
      </w:pPr>
      <w:r w:rsidRPr="004837C6">
        <w:rPr>
          <w:rFonts w:ascii="Times New Roman" w:eastAsia="Calibri" w:hAnsi="Times New Roman" w:cs="Times New Roman"/>
          <w:sz w:val="24"/>
          <w:szCs w:val="24"/>
        </w:rPr>
        <w:t>ilgtspējīgas un sabalansētas valsts ekonomiskās attīstības veicināšana, valsts budžeta iespēju robežās primāri nodrošinot finansējuma pieaugumu aizsardzībai, iekšējai drošībai, veselībai un izglītībai;</w:t>
      </w:r>
    </w:p>
    <w:p w14:paraId="23EAD768" w14:textId="06255F88" w:rsidR="0077183B" w:rsidRPr="004837C6" w:rsidRDefault="0077183B" w:rsidP="00B77AD2">
      <w:pPr>
        <w:numPr>
          <w:ilvl w:val="0"/>
          <w:numId w:val="26"/>
        </w:numPr>
        <w:spacing w:after="0" w:line="240" w:lineRule="auto"/>
        <w:ind w:left="1276"/>
        <w:jc w:val="both"/>
        <w:rPr>
          <w:rFonts w:ascii="Times New Roman" w:eastAsia="Calibri" w:hAnsi="Times New Roman" w:cs="Times New Roman"/>
          <w:sz w:val="24"/>
          <w:szCs w:val="24"/>
        </w:rPr>
      </w:pPr>
      <w:r w:rsidRPr="004837C6">
        <w:rPr>
          <w:rFonts w:ascii="Times New Roman" w:eastAsia="Calibri" w:hAnsi="Times New Roman" w:cs="Times New Roman"/>
          <w:sz w:val="24"/>
          <w:szCs w:val="24"/>
        </w:rPr>
        <w:t xml:space="preserve">iedzīvotāju ienākumu nevienlīdzības mazināšana, pakāpeniski palielinot minimālo algu un ieviešot progresīvo </w:t>
      </w:r>
      <w:r w:rsidR="005B4791">
        <w:rPr>
          <w:rFonts w:ascii="Times New Roman" w:eastAsia="Calibri" w:hAnsi="Times New Roman" w:cs="Times New Roman"/>
          <w:sz w:val="24"/>
          <w:szCs w:val="24"/>
        </w:rPr>
        <w:t>IIN</w:t>
      </w:r>
      <w:r w:rsidRPr="004837C6">
        <w:rPr>
          <w:rFonts w:ascii="Times New Roman" w:eastAsia="Calibri" w:hAnsi="Times New Roman" w:cs="Times New Roman"/>
          <w:sz w:val="24"/>
          <w:szCs w:val="24"/>
        </w:rPr>
        <w:t xml:space="preserve"> neapliekamo minimumu;</w:t>
      </w:r>
    </w:p>
    <w:p w14:paraId="03567C3D" w14:textId="77777777" w:rsidR="0077183B" w:rsidRPr="004837C6" w:rsidRDefault="0077183B" w:rsidP="00B77AD2">
      <w:pPr>
        <w:numPr>
          <w:ilvl w:val="0"/>
          <w:numId w:val="26"/>
        </w:numPr>
        <w:spacing w:after="0" w:line="240" w:lineRule="auto"/>
        <w:ind w:left="1276"/>
        <w:jc w:val="both"/>
        <w:rPr>
          <w:rFonts w:ascii="Times New Roman" w:eastAsia="Calibri" w:hAnsi="Times New Roman" w:cs="Times New Roman"/>
          <w:sz w:val="24"/>
          <w:szCs w:val="24"/>
        </w:rPr>
      </w:pPr>
      <w:r w:rsidRPr="004837C6">
        <w:rPr>
          <w:rFonts w:ascii="Times New Roman" w:eastAsia="Calibri" w:hAnsi="Times New Roman" w:cs="Times New Roman"/>
          <w:sz w:val="24"/>
          <w:szCs w:val="24"/>
        </w:rPr>
        <w:t>nodokļu ieņēmumu apjoma pret IKP pakāpeniska palielināšana līdz 1/3 no IKP, pamatā uzlabojot nodokļu iekasējamību.</w:t>
      </w:r>
    </w:p>
    <w:p w14:paraId="2BF05BB5" w14:textId="3898B382" w:rsidR="0077183B" w:rsidRPr="008E5035" w:rsidRDefault="0077183B" w:rsidP="0077183B">
      <w:pPr>
        <w:spacing w:after="0" w:line="240" w:lineRule="auto"/>
        <w:ind w:firstLine="709"/>
        <w:jc w:val="both"/>
        <w:rPr>
          <w:rFonts w:ascii="Times New Roman" w:eastAsia="Calibri" w:hAnsi="Times New Roman" w:cs="Times New Roman"/>
          <w:sz w:val="24"/>
          <w:szCs w:val="24"/>
        </w:rPr>
      </w:pPr>
      <w:r w:rsidRPr="008E5035">
        <w:rPr>
          <w:rFonts w:ascii="Times New Roman" w:eastAsia="Calibri" w:hAnsi="Times New Roman" w:cs="Times New Roman"/>
          <w:b/>
          <w:sz w:val="24"/>
          <w:szCs w:val="24"/>
        </w:rPr>
        <w:t xml:space="preserve">Pirmā prioritārā attīstības virziena </w:t>
      </w:r>
      <w:r w:rsidRPr="008E5035">
        <w:rPr>
          <w:rFonts w:ascii="Times New Roman" w:eastAsia="Calibri" w:hAnsi="Times New Roman" w:cs="Times New Roman"/>
          <w:sz w:val="24"/>
          <w:szCs w:val="24"/>
        </w:rPr>
        <w:t>īstenošana tika uzsākta jau 2014.gada 3.jūlijā</w:t>
      </w:r>
      <w:r>
        <w:rPr>
          <w:rFonts w:ascii="Times New Roman" w:eastAsia="Calibri" w:hAnsi="Times New Roman" w:cs="Times New Roman"/>
          <w:sz w:val="24"/>
          <w:szCs w:val="24"/>
        </w:rPr>
        <w:t>,</w:t>
      </w:r>
      <w:r w:rsidR="005B4791">
        <w:rPr>
          <w:rFonts w:ascii="Times New Roman" w:eastAsia="Calibri" w:hAnsi="Times New Roman" w:cs="Times New Roman"/>
          <w:sz w:val="24"/>
          <w:szCs w:val="24"/>
        </w:rPr>
        <w:t xml:space="preserve"> pieņemot jaunu V</w:t>
      </w:r>
      <w:r w:rsidRPr="008E5035">
        <w:rPr>
          <w:rFonts w:ascii="Times New Roman" w:eastAsia="Calibri" w:hAnsi="Times New Roman" w:cs="Times New Roman"/>
          <w:sz w:val="24"/>
          <w:szCs w:val="24"/>
        </w:rPr>
        <w:t xml:space="preserve">alsts aizsardzības finansēšanas likums, kas noteica pakāpenisku valsts aizsardzības finansējuma pret IKP palielinājumu līdz tas 2020.gadā sasniedz 2% no IKP. </w:t>
      </w:r>
      <w:r w:rsidRPr="008E5035">
        <w:rPr>
          <w:rFonts w:ascii="Times New Roman" w:eastAsia="Calibri" w:hAnsi="Times New Roman" w:cs="Times New Roman"/>
          <w:sz w:val="24"/>
          <w:szCs w:val="20"/>
        </w:rPr>
        <w:t xml:space="preserve">Ņemot </w:t>
      </w:r>
      <w:r w:rsidRPr="008E5035">
        <w:rPr>
          <w:rFonts w:ascii="Times New Roman" w:eastAsia="Calibri" w:hAnsi="Times New Roman" w:cs="Times New Roman"/>
          <w:sz w:val="24"/>
          <w:szCs w:val="20"/>
        </w:rPr>
        <w:lastRenderedPageBreak/>
        <w:t>vērā būtiskās izmaiņas ģeopolitiskajos riskos, Latvij</w:t>
      </w:r>
      <w:r w:rsidR="005B4791">
        <w:rPr>
          <w:rFonts w:ascii="Times New Roman" w:eastAsia="Calibri" w:hAnsi="Times New Roman" w:cs="Times New Roman"/>
          <w:sz w:val="24"/>
          <w:szCs w:val="20"/>
        </w:rPr>
        <w:t>as Stabilitātes programmā 2015.–2</w:t>
      </w:r>
      <w:r w:rsidRPr="008E5035">
        <w:rPr>
          <w:rFonts w:ascii="Times New Roman" w:eastAsia="Calibri" w:hAnsi="Times New Roman" w:cs="Times New Roman"/>
          <w:sz w:val="24"/>
          <w:szCs w:val="20"/>
        </w:rPr>
        <w:t xml:space="preserve">018.gadam valdība paredzēja nodrošināt straujāku valsts aizsardzības spēju pieaugumu sasniedzot 2% mērķi jau 2018.gadā. </w:t>
      </w:r>
      <w:r w:rsidR="005B4791">
        <w:rPr>
          <w:rFonts w:ascii="Times New Roman" w:eastAsia="Calibri" w:hAnsi="Times New Roman" w:cs="Times New Roman"/>
          <w:sz w:val="24"/>
          <w:szCs w:val="20"/>
        </w:rPr>
        <w:t>Ietvara likumā 2016.–</w:t>
      </w:r>
      <w:r>
        <w:rPr>
          <w:rFonts w:ascii="Times New Roman" w:eastAsia="Calibri" w:hAnsi="Times New Roman" w:cs="Times New Roman"/>
          <w:sz w:val="24"/>
          <w:szCs w:val="20"/>
        </w:rPr>
        <w:t xml:space="preserve">2018.gadam </w:t>
      </w:r>
      <w:r w:rsidRPr="008E5035">
        <w:rPr>
          <w:rFonts w:ascii="Times New Roman" w:eastAsia="Calibri" w:hAnsi="Times New Roman" w:cs="Times New Roman"/>
          <w:sz w:val="24"/>
          <w:szCs w:val="20"/>
        </w:rPr>
        <w:t xml:space="preserve">valdība apstiprināja tādu papildu pieaugumu aizsardzības izdevumiem, kas 2018.gadā nodrošinātu aizsardzības izdevumu pieaugumu, sasniedzot 2% no IKP. Aktuālais </w:t>
      </w:r>
      <w:r>
        <w:rPr>
          <w:rFonts w:ascii="Times New Roman" w:eastAsia="Calibri" w:hAnsi="Times New Roman" w:cs="Times New Roman"/>
          <w:sz w:val="24"/>
          <w:szCs w:val="20"/>
        </w:rPr>
        <w:t>Ietvara likums</w:t>
      </w:r>
      <w:r w:rsidRPr="008E5035">
        <w:rPr>
          <w:rFonts w:ascii="Times New Roman" w:eastAsia="Calibri" w:hAnsi="Times New Roman" w:cs="Times New Roman"/>
          <w:sz w:val="24"/>
          <w:szCs w:val="20"/>
        </w:rPr>
        <w:t xml:space="preserve"> paredz, ka 2018.gadā noteiktais finansējums aizsardzībai 2% no IKP apmērā tiks saglabāts arī 2019.gadā.</w:t>
      </w:r>
    </w:p>
    <w:p w14:paraId="4CA6E02B" w14:textId="0D351A94" w:rsidR="0077183B" w:rsidRPr="00B77AD2" w:rsidRDefault="006E5765" w:rsidP="00542318">
      <w:pPr>
        <w:spacing w:before="120" w:after="60" w:line="24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sidR="00B77AD2">
        <w:rPr>
          <w:rFonts w:ascii="Times New Roman" w:eastAsia="Times New Roman" w:hAnsi="Times New Roman" w:cs="Times New Roman"/>
          <w:b/>
          <w:sz w:val="24"/>
          <w:szCs w:val="24"/>
        </w:rPr>
        <w:t>.</w:t>
      </w:r>
      <w:r w:rsidR="0077183B" w:rsidRPr="00B77AD2">
        <w:rPr>
          <w:rFonts w:ascii="Times New Roman" w:eastAsia="Times New Roman" w:hAnsi="Times New Roman" w:cs="Times New Roman"/>
          <w:b/>
          <w:sz w:val="24"/>
          <w:szCs w:val="24"/>
        </w:rPr>
        <w:t xml:space="preserve">tabula. Valsts aizsardzības </w:t>
      </w:r>
      <w:r w:rsidR="00542318">
        <w:rPr>
          <w:rFonts w:ascii="Times New Roman" w:eastAsia="Times New Roman" w:hAnsi="Times New Roman" w:cs="Times New Roman"/>
          <w:b/>
          <w:sz w:val="24"/>
          <w:szCs w:val="24"/>
        </w:rPr>
        <w:t xml:space="preserve">finansēšanas likumā noteiktais </w:t>
      </w:r>
      <w:r w:rsidR="0077183B" w:rsidRPr="00B77AD2">
        <w:rPr>
          <w:rFonts w:ascii="Times New Roman" w:eastAsia="Times New Roman" w:hAnsi="Times New Roman" w:cs="Times New Roman"/>
          <w:b/>
          <w:sz w:val="24"/>
          <w:szCs w:val="24"/>
        </w:rPr>
        <w:t>budžeta izdevumu apmērs aizsardzības nozares finansēšanai</w:t>
      </w:r>
    </w:p>
    <w:tbl>
      <w:tblPr>
        <w:tblStyle w:val="GridTable6Colorful-Accent1"/>
        <w:tblW w:w="0" w:type="auto"/>
        <w:jc w:val="center"/>
        <w:tblLayout w:type="fixed"/>
        <w:tblLook w:val="04A0" w:firstRow="1" w:lastRow="0" w:firstColumn="1" w:lastColumn="0" w:noHBand="0" w:noVBand="1"/>
      </w:tblPr>
      <w:tblGrid>
        <w:gridCol w:w="1980"/>
        <w:gridCol w:w="6946"/>
      </w:tblGrid>
      <w:tr w:rsidR="00542318" w:rsidRPr="00542318" w14:paraId="1FEA1109" w14:textId="77777777" w:rsidTr="004D5E99">
        <w:trPr>
          <w:cnfStyle w:val="100000000000" w:firstRow="1" w:lastRow="0" w:firstColumn="0" w:lastColumn="0" w:oddVBand="0" w:evenVBand="0" w:oddHBand="0"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F8EEC36" w14:textId="77777777" w:rsidR="0077183B" w:rsidRPr="00542318" w:rsidRDefault="0077183B" w:rsidP="006C67E6">
            <w:pPr>
              <w:jc w:val="center"/>
              <w:rPr>
                <w:rFonts w:ascii="Times New Roman" w:hAnsi="Times New Roman" w:cs="Times New Roman"/>
                <w:color w:val="auto"/>
                <w:sz w:val="20"/>
                <w:szCs w:val="20"/>
              </w:rPr>
            </w:pPr>
            <w:r w:rsidRPr="00542318">
              <w:rPr>
                <w:rFonts w:ascii="Times New Roman" w:hAnsi="Times New Roman" w:cs="Times New Roman"/>
                <w:color w:val="auto"/>
                <w:sz w:val="20"/>
                <w:szCs w:val="20"/>
              </w:rPr>
              <w:t>Gads</w:t>
            </w:r>
          </w:p>
        </w:tc>
        <w:tc>
          <w:tcPr>
            <w:tcW w:w="6946" w:type="dxa"/>
            <w:vAlign w:val="center"/>
          </w:tcPr>
          <w:p w14:paraId="3908C13D" w14:textId="77777777" w:rsidR="0077183B" w:rsidRPr="00542318" w:rsidRDefault="0077183B" w:rsidP="006C67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2318">
              <w:rPr>
                <w:rFonts w:ascii="Times New Roman" w:hAnsi="Times New Roman" w:cs="Times New Roman"/>
                <w:color w:val="auto"/>
                <w:sz w:val="20"/>
                <w:szCs w:val="20"/>
              </w:rPr>
              <w:t>Likumā „Par valsts budžetu 2017.gadam” un Ietvara likumā 2017. – 2019.gadam paredzētais izdevumu apmērs aizsardzībai, % no IKP</w:t>
            </w:r>
          </w:p>
        </w:tc>
      </w:tr>
      <w:tr w:rsidR="00542318" w:rsidRPr="00542318" w14:paraId="653217A1"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719C51DF" w14:textId="77777777" w:rsidR="0077183B" w:rsidRPr="00542318" w:rsidRDefault="0077183B" w:rsidP="0077183B">
            <w:pPr>
              <w:jc w:val="center"/>
              <w:rPr>
                <w:rFonts w:ascii="Times New Roman" w:hAnsi="Times New Roman" w:cs="Times New Roman"/>
                <w:b w:val="0"/>
                <w:color w:val="auto"/>
                <w:sz w:val="20"/>
                <w:szCs w:val="20"/>
              </w:rPr>
            </w:pPr>
            <w:r w:rsidRPr="00542318">
              <w:rPr>
                <w:rFonts w:ascii="Times New Roman" w:hAnsi="Times New Roman" w:cs="Times New Roman"/>
                <w:b w:val="0"/>
                <w:color w:val="auto"/>
                <w:sz w:val="20"/>
                <w:szCs w:val="20"/>
              </w:rPr>
              <w:t>2017</w:t>
            </w:r>
          </w:p>
        </w:tc>
        <w:tc>
          <w:tcPr>
            <w:tcW w:w="6946" w:type="dxa"/>
          </w:tcPr>
          <w:p w14:paraId="14FDBC6B" w14:textId="77777777" w:rsidR="0077183B" w:rsidRPr="00542318" w:rsidRDefault="0077183B" w:rsidP="00771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42318">
              <w:rPr>
                <w:rFonts w:ascii="Times New Roman" w:hAnsi="Times New Roman" w:cs="Times New Roman"/>
                <w:b/>
                <w:color w:val="auto"/>
                <w:sz w:val="20"/>
                <w:szCs w:val="20"/>
              </w:rPr>
              <w:t>1,7</w:t>
            </w:r>
          </w:p>
        </w:tc>
      </w:tr>
      <w:tr w:rsidR="00542318" w:rsidRPr="00542318" w14:paraId="14D7D6B5"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1980" w:type="dxa"/>
          </w:tcPr>
          <w:p w14:paraId="4DC1759F" w14:textId="77777777" w:rsidR="0077183B" w:rsidRPr="00542318" w:rsidRDefault="0077183B" w:rsidP="0077183B">
            <w:pPr>
              <w:jc w:val="center"/>
              <w:rPr>
                <w:rFonts w:ascii="Times New Roman" w:hAnsi="Times New Roman" w:cs="Times New Roman"/>
                <w:b w:val="0"/>
                <w:color w:val="auto"/>
                <w:sz w:val="20"/>
                <w:szCs w:val="20"/>
              </w:rPr>
            </w:pPr>
            <w:r w:rsidRPr="00542318">
              <w:rPr>
                <w:rFonts w:ascii="Times New Roman" w:hAnsi="Times New Roman" w:cs="Times New Roman"/>
                <w:b w:val="0"/>
                <w:color w:val="auto"/>
                <w:sz w:val="20"/>
                <w:szCs w:val="20"/>
              </w:rPr>
              <w:t>2018</w:t>
            </w:r>
          </w:p>
        </w:tc>
        <w:tc>
          <w:tcPr>
            <w:tcW w:w="6946" w:type="dxa"/>
          </w:tcPr>
          <w:p w14:paraId="11CA3173" w14:textId="77777777" w:rsidR="0077183B" w:rsidRPr="00542318" w:rsidRDefault="0077183B" w:rsidP="00771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542318">
              <w:rPr>
                <w:rFonts w:ascii="Times New Roman" w:hAnsi="Times New Roman" w:cs="Times New Roman"/>
                <w:b/>
                <w:color w:val="auto"/>
                <w:sz w:val="20"/>
                <w:szCs w:val="20"/>
              </w:rPr>
              <w:t>2,0</w:t>
            </w:r>
          </w:p>
        </w:tc>
      </w:tr>
      <w:tr w:rsidR="00542318" w:rsidRPr="00542318" w14:paraId="0B444873"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37548DA2" w14:textId="77777777" w:rsidR="0077183B" w:rsidRPr="00542318" w:rsidRDefault="0077183B" w:rsidP="0077183B">
            <w:pPr>
              <w:jc w:val="center"/>
              <w:rPr>
                <w:rFonts w:ascii="Times New Roman" w:hAnsi="Times New Roman" w:cs="Times New Roman"/>
                <w:b w:val="0"/>
                <w:color w:val="auto"/>
                <w:sz w:val="20"/>
                <w:szCs w:val="20"/>
              </w:rPr>
            </w:pPr>
            <w:r w:rsidRPr="00542318">
              <w:rPr>
                <w:rFonts w:ascii="Times New Roman" w:hAnsi="Times New Roman" w:cs="Times New Roman"/>
                <w:b w:val="0"/>
                <w:color w:val="auto"/>
                <w:sz w:val="20"/>
                <w:szCs w:val="20"/>
              </w:rPr>
              <w:t>2019</w:t>
            </w:r>
          </w:p>
        </w:tc>
        <w:tc>
          <w:tcPr>
            <w:tcW w:w="6946" w:type="dxa"/>
          </w:tcPr>
          <w:p w14:paraId="41CA5C50" w14:textId="77777777" w:rsidR="0077183B" w:rsidRPr="00542318" w:rsidRDefault="0077183B" w:rsidP="00771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42318">
              <w:rPr>
                <w:rFonts w:ascii="Times New Roman" w:hAnsi="Times New Roman" w:cs="Times New Roman"/>
                <w:b/>
                <w:color w:val="auto"/>
                <w:sz w:val="20"/>
                <w:szCs w:val="20"/>
              </w:rPr>
              <w:t>2,0</w:t>
            </w:r>
          </w:p>
        </w:tc>
      </w:tr>
    </w:tbl>
    <w:p w14:paraId="61853B27" w14:textId="5F3ECAC9" w:rsidR="0077183B" w:rsidRPr="008E5035" w:rsidRDefault="0077183B" w:rsidP="00542318">
      <w:pPr>
        <w:spacing w:before="120" w:after="0" w:line="240" w:lineRule="auto"/>
        <w:ind w:firstLine="709"/>
        <w:jc w:val="both"/>
        <w:rPr>
          <w:rFonts w:ascii="Times New Roman" w:eastAsia="Calibri" w:hAnsi="Times New Roman" w:cs="Times New Roman"/>
          <w:sz w:val="24"/>
          <w:szCs w:val="20"/>
        </w:rPr>
      </w:pPr>
      <w:bookmarkStart w:id="11" w:name="_Toc368127484"/>
      <w:bookmarkStart w:id="12" w:name="_Toc368133348"/>
      <w:bookmarkStart w:id="13" w:name="_Toc368144224"/>
      <w:bookmarkStart w:id="14" w:name="_Toc368144410"/>
      <w:bookmarkStart w:id="15" w:name="_Toc431204957"/>
      <w:r w:rsidRPr="008E5035">
        <w:rPr>
          <w:rFonts w:ascii="Times New Roman" w:eastAsia="Calibri" w:hAnsi="Times New Roman" w:cs="Times New Roman"/>
          <w:b/>
          <w:sz w:val="24"/>
          <w:szCs w:val="24"/>
        </w:rPr>
        <w:t xml:space="preserve">Otrā prioritārā attīstības virziena </w:t>
      </w:r>
      <w:r w:rsidRPr="008E5035">
        <w:rPr>
          <w:rFonts w:ascii="Times New Roman" w:eastAsia="Calibri" w:hAnsi="Times New Roman" w:cs="Times New Roman"/>
          <w:sz w:val="24"/>
          <w:szCs w:val="24"/>
        </w:rPr>
        <w:t>īstenošana</w:t>
      </w:r>
      <w:r>
        <w:rPr>
          <w:rFonts w:ascii="Times New Roman" w:eastAsia="Calibri" w:hAnsi="Times New Roman" w:cs="Times New Roman"/>
          <w:sz w:val="24"/>
          <w:szCs w:val="20"/>
        </w:rPr>
        <w:t xml:space="preserve">. </w:t>
      </w:r>
      <w:r w:rsidRPr="008E5035">
        <w:rPr>
          <w:rFonts w:ascii="Times New Roman" w:eastAsia="Calibri" w:hAnsi="Times New Roman" w:cs="Times New Roman"/>
          <w:sz w:val="24"/>
          <w:szCs w:val="24"/>
        </w:rPr>
        <w:t>Ilgtspējīgas un sabalansētas valsts ekonomiskās attīstības veicināšanai šogad papildu finansējums tiek piešķirts</w:t>
      </w:r>
      <w:r>
        <w:rPr>
          <w:rFonts w:ascii="Times New Roman" w:eastAsia="Calibri" w:hAnsi="Times New Roman" w:cs="Times New Roman"/>
          <w:sz w:val="24"/>
          <w:szCs w:val="24"/>
        </w:rPr>
        <w:t xml:space="preserve"> </w:t>
      </w:r>
      <w:r w:rsidRPr="008E5035">
        <w:rPr>
          <w:rFonts w:ascii="Times New Roman" w:eastAsia="Calibri" w:hAnsi="Times New Roman" w:cs="Times New Roman"/>
          <w:sz w:val="24"/>
          <w:szCs w:val="24"/>
        </w:rPr>
        <w:t>veselībai</w:t>
      </w:r>
      <w:r>
        <w:rPr>
          <w:rFonts w:ascii="Times New Roman" w:eastAsia="Calibri" w:hAnsi="Times New Roman" w:cs="Times New Roman"/>
          <w:sz w:val="24"/>
          <w:szCs w:val="24"/>
        </w:rPr>
        <w:t>,</w:t>
      </w:r>
      <w:r w:rsidRPr="008E5035">
        <w:rPr>
          <w:rFonts w:ascii="Times New Roman" w:eastAsia="Calibri" w:hAnsi="Times New Roman" w:cs="Times New Roman"/>
          <w:sz w:val="24"/>
          <w:szCs w:val="24"/>
        </w:rPr>
        <w:t xml:space="preserve"> izglītībai</w:t>
      </w:r>
      <w:r>
        <w:rPr>
          <w:rFonts w:ascii="Times New Roman" w:eastAsia="Calibri" w:hAnsi="Times New Roman" w:cs="Times New Roman"/>
          <w:sz w:val="24"/>
          <w:szCs w:val="24"/>
        </w:rPr>
        <w:t>, kā arī iekšējai drošībai, kas šajos ģeopolitiskajos apstākļos ir uzskatāms par priekšnoteikumu ekonomiskās attīstības veicināšanai.</w:t>
      </w:r>
      <w:r w:rsidRPr="008E5035">
        <w:rPr>
          <w:rFonts w:ascii="Times New Roman" w:eastAsia="Calibri" w:hAnsi="Times New Roman" w:cs="Times New Roman"/>
          <w:sz w:val="24"/>
          <w:szCs w:val="20"/>
        </w:rPr>
        <w:t xml:space="preserve"> </w:t>
      </w:r>
    </w:p>
    <w:p w14:paraId="4F3B311E" w14:textId="123AAD35" w:rsidR="0077183B" w:rsidRPr="008E5035" w:rsidRDefault="0077183B" w:rsidP="0077183B">
      <w:pPr>
        <w:spacing w:after="0" w:line="240" w:lineRule="auto"/>
        <w:ind w:firstLine="709"/>
        <w:jc w:val="both"/>
        <w:rPr>
          <w:rFonts w:ascii="Times New Roman" w:eastAsia="Calibri" w:hAnsi="Times New Roman" w:cs="Times New Roman"/>
          <w:sz w:val="24"/>
          <w:szCs w:val="20"/>
        </w:rPr>
      </w:pPr>
      <w:r w:rsidRPr="008E5035">
        <w:rPr>
          <w:rFonts w:ascii="Times New Roman" w:eastAsia="Calibri" w:hAnsi="Times New Roman" w:cs="Times New Roman"/>
          <w:sz w:val="24"/>
          <w:szCs w:val="20"/>
        </w:rPr>
        <w:t xml:space="preserve">Iedzīvotāju dzīves kvalitāti nosaka gan IKP uz vienu iedzīvotāju, gan ienākumu nevienlīdzība, gan arī citi faktori, tai skaitā sabiedrības </w:t>
      </w:r>
      <w:r w:rsidRPr="003C33C9">
        <w:rPr>
          <w:rFonts w:ascii="Times New Roman" w:eastAsia="Calibri" w:hAnsi="Times New Roman" w:cs="Times New Roman"/>
          <w:b/>
          <w:sz w:val="24"/>
          <w:szCs w:val="20"/>
        </w:rPr>
        <w:t>veselība</w:t>
      </w:r>
      <w:r w:rsidRPr="008E5035">
        <w:rPr>
          <w:rFonts w:ascii="Times New Roman" w:eastAsia="Calibri" w:hAnsi="Times New Roman" w:cs="Times New Roman"/>
          <w:sz w:val="24"/>
          <w:szCs w:val="20"/>
        </w:rPr>
        <w:t xml:space="preserve">, iespējas iegūt atbilstošu izglītību un brīvā laika pavadīšana. Iepriekšējos </w:t>
      </w:r>
      <w:r>
        <w:rPr>
          <w:rFonts w:ascii="Times New Roman" w:eastAsia="Calibri" w:hAnsi="Times New Roman" w:cs="Times New Roman"/>
          <w:sz w:val="24"/>
          <w:szCs w:val="20"/>
        </w:rPr>
        <w:t>Ietvara likumos</w:t>
      </w:r>
      <w:r w:rsidRPr="008E5035">
        <w:rPr>
          <w:rFonts w:ascii="Times New Roman" w:eastAsia="Calibri" w:hAnsi="Times New Roman" w:cs="Times New Roman"/>
          <w:sz w:val="24"/>
          <w:szCs w:val="20"/>
        </w:rPr>
        <w:t xml:space="preserve"> šīm nozarēm tika piešķirts nozīmīgs valsts budžeta līdzekļu apjoms, it īpaši veselībai. Jāatzīmē, ka saskaņā ar valdības izdevumu klasifikāciju atbilstoši funkcionālajām kategorijām (COFOG) valsts funkcijas „veselība” fina</w:t>
      </w:r>
      <w:r>
        <w:rPr>
          <w:rFonts w:ascii="Times New Roman" w:eastAsia="Calibri" w:hAnsi="Times New Roman" w:cs="Times New Roman"/>
          <w:sz w:val="24"/>
          <w:szCs w:val="20"/>
        </w:rPr>
        <w:t xml:space="preserve">nsējums pret IKP atbilstoši </w:t>
      </w:r>
      <w:r w:rsidRPr="008A0BC4">
        <w:rPr>
          <w:rFonts w:ascii="Times New Roman" w:eastAsia="Calibri" w:hAnsi="Times New Roman" w:cs="Times New Roman"/>
          <w:sz w:val="24"/>
          <w:szCs w:val="20"/>
        </w:rPr>
        <w:t xml:space="preserve">2015.gada </w:t>
      </w:r>
      <w:r w:rsidRPr="008A0BC4">
        <w:rPr>
          <w:rFonts w:ascii="Times New Roman" w:eastAsia="Calibri" w:hAnsi="Times New Roman" w:cs="Times New Roman"/>
          <w:i/>
          <w:sz w:val="24"/>
          <w:szCs w:val="20"/>
        </w:rPr>
        <w:t>Eurostat</w:t>
      </w:r>
      <w:r w:rsidRPr="008A0BC4">
        <w:rPr>
          <w:rFonts w:ascii="Times New Roman" w:eastAsia="Calibri" w:hAnsi="Times New Roman" w:cs="Times New Roman"/>
          <w:sz w:val="24"/>
          <w:szCs w:val="20"/>
        </w:rPr>
        <w:t xml:space="preserve"> datiem</w:t>
      </w:r>
      <w:r w:rsidRPr="008E5035">
        <w:rPr>
          <w:rFonts w:ascii="Times New Roman" w:eastAsia="Calibri" w:hAnsi="Times New Roman" w:cs="Times New Roman"/>
          <w:sz w:val="24"/>
          <w:szCs w:val="20"/>
        </w:rPr>
        <w:t xml:space="preserve"> Latvijā ir </w:t>
      </w:r>
      <w:r>
        <w:rPr>
          <w:rFonts w:ascii="Times New Roman" w:eastAsia="Calibri" w:hAnsi="Times New Roman" w:cs="Times New Roman"/>
          <w:sz w:val="24"/>
          <w:szCs w:val="20"/>
        </w:rPr>
        <w:t>otrais</w:t>
      </w:r>
      <w:r w:rsidRPr="008E5035">
        <w:rPr>
          <w:rFonts w:ascii="Times New Roman" w:eastAsia="Calibri" w:hAnsi="Times New Roman" w:cs="Times New Roman"/>
          <w:sz w:val="24"/>
          <w:szCs w:val="20"/>
        </w:rPr>
        <w:t xml:space="preserve"> zemākais starp ES valstīm. Arī EK valstu specifisko rekomendāciju izpildes analīzē ir secinājusi, ka zemais publiskai</w:t>
      </w:r>
      <w:r>
        <w:rPr>
          <w:rFonts w:ascii="Times New Roman" w:eastAsia="Calibri" w:hAnsi="Times New Roman" w:cs="Times New Roman"/>
          <w:sz w:val="24"/>
          <w:szCs w:val="20"/>
        </w:rPr>
        <w:t>s</w:t>
      </w:r>
      <w:r w:rsidRPr="008E5035">
        <w:rPr>
          <w:rFonts w:ascii="Times New Roman" w:eastAsia="Calibri" w:hAnsi="Times New Roman" w:cs="Times New Roman"/>
          <w:sz w:val="24"/>
          <w:szCs w:val="20"/>
        </w:rPr>
        <w:t xml:space="preserve"> finansējums, kā arī augstie pacientu līdzmaksājumi būtiski kavē lielas daļas pacientu veselības vajadzību apmierināšanu. Ņemot vērā esošās problēmas valdība veselības aprūpes jomu ir </w:t>
      </w:r>
      <w:r>
        <w:rPr>
          <w:rFonts w:ascii="Times New Roman" w:eastAsia="Calibri" w:hAnsi="Times New Roman" w:cs="Times New Roman"/>
          <w:sz w:val="24"/>
          <w:szCs w:val="20"/>
        </w:rPr>
        <w:t>izvirzījusi kā vieno no svarīgākajām prioritātēm</w:t>
      </w:r>
      <w:r w:rsidRPr="008E5035">
        <w:rPr>
          <w:rFonts w:ascii="Times New Roman" w:eastAsia="Calibri" w:hAnsi="Times New Roman" w:cs="Times New Roman"/>
          <w:sz w:val="24"/>
          <w:szCs w:val="20"/>
        </w:rPr>
        <w:t xml:space="preserve">. Finansējuma </w:t>
      </w:r>
      <w:r>
        <w:rPr>
          <w:rFonts w:ascii="Times New Roman" w:eastAsia="Calibri" w:hAnsi="Times New Roman" w:cs="Times New Roman"/>
          <w:sz w:val="24"/>
          <w:szCs w:val="20"/>
        </w:rPr>
        <w:t>pieaugumu</w:t>
      </w:r>
      <w:r w:rsidRPr="008E5035">
        <w:rPr>
          <w:rFonts w:ascii="Times New Roman" w:eastAsia="Calibri" w:hAnsi="Times New Roman" w:cs="Times New Roman"/>
          <w:sz w:val="24"/>
          <w:szCs w:val="20"/>
        </w:rPr>
        <w:t xml:space="preserve"> ir paredzēts risināt gan vidējā termiņā, ko nodrošina papildu piešķirtie līdzekļi </w:t>
      </w:r>
      <w:r w:rsidR="008B2FEA">
        <w:rPr>
          <w:rFonts w:ascii="Times New Roman" w:eastAsia="Calibri" w:hAnsi="Times New Roman" w:cs="Times New Roman"/>
          <w:sz w:val="24"/>
          <w:szCs w:val="20"/>
        </w:rPr>
        <w:t>JPI</w:t>
      </w:r>
      <w:r w:rsidRPr="008E5035">
        <w:rPr>
          <w:rFonts w:ascii="Times New Roman" w:eastAsia="Calibri" w:hAnsi="Times New Roman" w:cs="Times New Roman"/>
          <w:sz w:val="24"/>
          <w:szCs w:val="20"/>
        </w:rPr>
        <w:t xml:space="preserve"> ietvaros un atļauja no </w:t>
      </w:r>
      <w:r w:rsidR="00542318">
        <w:rPr>
          <w:rFonts w:ascii="Times New Roman" w:eastAsia="Calibri" w:hAnsi="Times New Roman" w:cs="Times New Roman"/>
          <w:sz w:val="24"/>
          <w:szCs w:val="20"/>
        </w:rPr>
        <w:t>EK</w:t>
      </w:r>
      <w:r w:rsidRPr="008E5035">
        <w:rPr>
          <w:rFonts w:ascii="Times New Roman" w:eastAsia="Calibri" w:hAnsi="Times New Roman" w:cs="Times New Roman"/>
          <w:sz w:val="24"/>
          <w:szCs w:val="20"/>
        </w:rPr>
        <w:t xml:space="preserve"> izmantot </w:t>
      </w:r>
      <w:r w:rsidR="00542318">
        <w:rPr>
          <w:rFonts w:ascii="Times New Roman" w:eastAsia="Calibri" w:hAnsi="Times New Roman" w:cs="Times New Roman"/>
          <w:sz w:val="24"/>
          <w:szCs w:val="20"/>
        </w:rPr>
        <w:t>SIP</w:t>
      </w:r>
      <w:r w:rsidRPr="008E5035">
        <w:rPr>
          <w:rFonts w:ascii="Times New Roman" w:eastAsia="Calibri" w:hAnsi="Times New Roman" w:cs="Times New Roman"/>
          <w:sz w:val="24"/>
          <w:szCs w:val="20"/>
        </w:rPr>
        <w:t xml:space="preserve"> elastības mehānismu attiecībā uz strukturālajām reformām, tādējādi nodrošinot pagaidu papildu finansējumu veselības nozares problēmjautājumu risināšanai, gan arī ilgākā termiņā, izstrādājot ilgtspējīgu veselības finansēšanas modeli. Iepriekšējā </w:t>
      </w:r>
      <w:r>
        <w:rPr>
          <w:rFonts w:ascii="Times New Roman" w:eastAsia="Calibri" w:hAnsi="Times New Roman" w:cs="Times New Roman"/>
          <w:sz w:val="24"/>
          <w:szCs w:val="20"/>
        </w:rPr>
        <w:t>Ietvara likumā</w:t>
      </w:r>
      <w:r w:rsidRPr="008E5035">
        <w:rPr>
          <w:rFonts w:ascii="Times New Roman" w:eastAsia="Calibri" w:hAnsi="Times New Roman" w:cs="Times New Roman"/>
          <w:sz w:val="24"/>
          <w:szCs w:val="20"/>
        </w:rPr>
        <w:t xml:space="preserve"> valdība lēma par papildus finansējuma piešķiršanu veselības nozarei, nodrošinot kompensējamo medikamentu apmaksu un līdzekļus valsts galvoto aizdevumu slimnīcām atmaksai. Arī </w:t>
      </w:r>
      <w:r>
        <w:rPr>
          <w:rFonts w:ascii="Times New Roman" w:eastAsia="Calibri" w:hAnsi="Times New Roman" w:cs="Times New Roman"/>
          <w:sz w:val="24"/>
          <w:szCs w:val="20"/>
        </w:rPr>
        <w:t>aktuālajā</w:t>
      </w:r>
      <w:r w:rsidRPr="008E5035">
        <w:rPr>
          <w:rFonts w:ascii="Times New Roman" w:eastAsia="Calibri" w:hAnsi="Times New Roman" w:cs="Times New Roman"/>
          <w:sz w:val="24"/>
          <w:szCs w:val="20"/>
        </w:rPr>
        <w:t xml:space="preserve"> </w:t>
      </w:r>
      <w:r>
        <w:rPr>
          <w:rFonts w:ascii="Times New Roman" w:eastAsia="Calibri" w:hAnsi="Times New Roman" w:cs="Times New Roman"/>
          <w:sz w:val="24"/>
          <w:szCs w:val="20"/>
        </w:rPr>
        <w:t xml:space="preserve">Ietvara likumā </w:t>
      </w:r>
      <w:r w:rsidRPr="008E5035">
        <w:rPr>
          <w:rFonts w:ascii="Times New Roman" w:eastAsia="Calibri" w:hAnsi="Times New Roman" w:cs="Times New Roman"/>
          <w:sz w:val="24"/>
          <w:szCs w:val="20"/>
        </w:rPr>
        <w:t xml:space="preserve">valdība ir paredzējusi nozīmīgu papildu līdzekļu apjomu veselības nozarei, nodrošinot valsts finansējumu rindu mazināšanai uz speciālistu pakalpojumiem ambulatorajā un stacionārajā veselības aprūpē, kā arī ambulatoro un stacionāro veselības aprūpes pakalpojumu pieejamības nodrošināšanu. </w:t>
      </w:r>
      <w:r w:rsidRPr="007F644C">
        <w:rPr>
          <w:rFonts w:ascii="Times New Roman" w:eastAsia="Calibri" w:hAnsi="Times New Roman" w:cs="Times New Roman"/>
          <w:sz w:val="24"/>
          <w:szCs w:val="20"/>
        </w:rPr>
        <w:t>Deficīta atkāpes finansējums uz valsts budžeta un Ietvara likuma sagatavošanas brīdi tika rezervē</w:t>
      </w:r>
      <w:r>
        <w:rPr>
          <w:rFonts w:ascii="Times New Roman" w:eastAsia="Calibri" w:hAnsi="Times New Roman" w:cs="Times New Roman"/>
          <w:sz w:val="24"/>
          <w:szCs w:val="20"/>
        </w:rPr>
        <w:t>ts atsevišķā budžeta programmā</w:t>
      </w:r>
      <w:r>
        <w:rPr>
          <w:rFonts w:ascii="Times New Roman" w:eastAsia="Calibri" w:hAnsi="Times New Roman" w:cs="Times New Roman"/>
          <w:color w:val="000000"/>
          <w:sz w:val="24"/>
          <w:szCs w:val="24"/>
        </w:rPr>
        <w:t>, kā gadskārtējā valsts budžeta izpildes rezultātā pārdalāmais finansējums</w:t>
      </w:r>
      <w:r>
        <w:rPr>
          <w:rFonts w:ascii="Times New Roman" w:eastAsia="Calibri" w:hAnsi="Times New Roman" w:cs="Times New Roman"/>
          <w:sz w:val="24"/>
          <w:szCs w:val="20"/>
        </w:rPr>
        <w:t xml:space="preserve"> </w:t>
      </w:r>
      <w:r w:rsidRPr="007F644C">
        <w:rPr>
          <w:rFonts w:ascii="Times New Roman" w:eastAsia="Calibri" w:hAnsi="Times New Roman" w:cs="Times New Roman"/>
          <w:sz w:val="24"/>
          <w:szCs w:val="20"/>
        </w:rPr>
        <w:t xml:space="preserve">un to tika paredzēts piešķirt pēc tam, kad no </w:t>
      </w:r>
      <w:r w:rsidRPr="0037493F">
        <w:rPr>
          <w:rFonts w:ascii="Times New Roman" w:eastAsia="Calibri" w:hAnsi="Times New Roman" w:cs="Times New Roman"/>
          <w:sz w:val="24"/>
          <w:szCs w:val="20"/>
        </w:rPr>
        <w:t xml:space="preserve">Veselības ministrijas puses tiks izstrādāti un MK apstiprināti no šī finansējuma īstenojamie pasākumi. Uz pašreizējo brīdi Veselības ministrija ir izstrādājusi un </w:t>
      </w:r>
      <w:r w:rsidR="00542318">
        <w:rPr>
          <w:rFonts w:ascii="Times New Roman" w:eastAsia="Calibri" w:hAnsi="Times New Roman" w:cs="Times New Roman"/>
          <w:sz w:val="24"/>
          <w:szCs w:val="20"/>
        </w:rPr>
        <w:t>MK</w:t>
      </w:r>
      <w:r w:rsidRPr="0037493F">
        <w:rPr>
          <w:rFonts w:ascii="Times New Roman" w:eastAsia="Calibri" w:hAnsi="Times New Roman" w:cs="Times New Roman"/>
          <w:sz w:val="24"/>
          <w:szCs w:val="20"/>
        </w:rPr>
        <w:t xml:space="preserve"> ir izskatījis un apstiprinājis divus informatīvos ziņojumus, kuros ir sniegta informācija par reformu rīcības virzieniem veselības aprūpē, izmantojot atkāpes no VTM, un detalizēti norādīti indikatīvie rādītāji, veicot onkoloģijas jomas reformu, rindu mazināšanu un medi</w:t>
      </w:r>
      <w:r>
        <w:rPr>
          <w:rFonts w:ascii="Times New Roman" w:eastAsia="Calibri" w:hAnsi="Times New Roman" w:cs="Times New Roman"/>
          <w:sz w:val="24"/>
          <w:szCs w:val="20"/>
        </w:rPr>
        <w:t xml:space="preserve">kamentu pieejamības uzlabošanu </w:t>
      </w:r>
      <w:r w:rsidRPr="00193DB5">
        <w:rPr>
          <w:rFonts w:ascii="Times New Roman" w:eastAsia="Calibri" w:hAnsi="Times New Roman" w:cs="Times New Roman"/>
          <w:sz w:val="24"/>
          <w:szCs w:val="20"/>
        </w:rPr>
        <w:t xml:space="preserve">(detalizētāku izklāstu skat. </w:t>
      </w:r>
      <w:r w:rsidR="002861A8">
        <w:rPr>
          <w:rFonts w:ascii="Times New Roman" w:eastAsia="Calibri" w:hAnsi="Times New Roman" w:cs="Times New Roman"/>
          <w:sz w:val="24"/>
          <w:szCs w:val="20"/>
        </w:rPr>
        <w:t>3.2.5.sadaļā</w:t>
      </w:r>
      <w:r w:rsidRPr="00193DB5">
        <w:rPr>
          <w:rFonts w:ascii="Times New Roman" w:eastAsia="Calibri" w:hAnsi="Times New Roman" w:cs="Times New Roman"/>
          <w:sz w:val="24"/>
          <w:szCs w:val="20"/>
        </w:rPr>
        <w:t>).</w:t>
      </w:r>
      <w:r w:rsidRPr="00D56455">
        <w:rPr>
          <w:rFonts w:ascii="Times New Roman" w:eastAsia="Calibri" w:hAnsi="Times New Roman" w:cs="Times New Roman"/>
          <w:sz w:val="24"/>
          <w:szCs w:val="20"/>
        </w:rPr>
        <w:t xml:space="preserve"> </w:t>
      </w:r>
      <w:r>
        <w:rPr>
          <w:rFonts w:ascii="Times New Roman" w:eastAsia="Calibri" w:hAnsi="Times New Roman" w:cs="Times New Roman"/>
          <w:sz w:val="24"/>
          <w:szCs w:val="20"/>
        </w:rPr>
        <w:t>Pēc attiecīgo informatīvo ziņojumu apstiprināšanas Veselības ministrijas rīcībā</w:t>
      </w:r>
      <w:r w:rsidR="00542318">
        <w:rPr>
          <w:rFonts w:ascii="Times New Roman" w:eastAsia="Calibri" w:hAnsi="Times New Roman" w:cs="Times New Roman"/>
          <w:sz w:val="24"/>
          <w:szCs w:val="20"/>
        </w:rPr>
        <w:t xml:space="preserve"> ir nodots papildu finansējums,</w:t>
      </w:r>
      <w:r>
        <w:rPr>
          <w:rFonts w:ascii="Times New Roman" w:eastAsia="Calibri" w:hAnsi="Times New Roman" w:cs="Times New Roman"/>
          <w:sz w:val="24"/>
          <w:szCs w:val="20"/>
        </w:rPr>
        <w:t xml:space="preserve"> kas nodrošināts uz deficīta atkāpes rēķina un izlietojams attiecīgajiem informatīvajos ziņojumos norādītajiem reformu virzieniem.</w:t>
      </w:r>
    </w:p>
    <w:p w14:paraId="2CD81F98" w14:textId="77777777" w:rsidR="0077183B" w:rsidRDefault="0077183B" w:rsidP="0077183B">
      <w:pPr>
        <w:spacing w:after="0" w:line="240" w:lineRule="auto"/>
        <w:ind w:firstLine="709"/>
        <w:jc w:val="both"/>
        <w:rPr>
          <w:rFonts w:ascii="Times New Roman" w:eastAsia="Calibri" w:hAnsi="Times New Roman" w:cs="Times New Roman"/>
          <w:sz w:val="24"/>
          <w:szCs w:val="20"/>
        </w:rPr>
      </w:pPr>
      <w:r w:rsidRPr="008E5035">
        <w:rPr>
          <w:rFonts w:ascii="Times New Roman" w:eastAsia="Calibri" w:hAnsi="Times New Roman" w:cs="Times New Roman"/>
          <w:sz w:val="24"/>
          <w:szCs w:val="20"/>
        </w:rPr>
        <w:lastRenderedPageBreak/>
        <w:t>Savukārt vispārējās valdības izdevumi funkcijas “</w:t>
      </w:r>
      <w:r w:rsidRPr="003C33C9">
        <w:rPr>
          <w:rFonts w:ascii="Times New Roman" w:eastAsia="Calibri" w:hAnsi="Times New Roman" w:cs="Times New Roman"/>
          <w:b/>
          <w:sz w:val="24"/>
          <w:szCs w:val="20"/>
        </w:rPr>
        <w:t>izglītībai</w:t>
      </w:r>
      <w:r w:rsidRPr="008E5035">
        <w:rPr>
          <w:rFonts w:ascii="Times New Roman" w:eastAsia="Calibri" w:hAnsi="Times New Roman" w:cs="Times New Roman"/>
          <w:sz w:val="24"/>
          <w:szCs w:val="20"/>
        </w:rPr>
        <w:t xml:space="preserve">” Latvijā atbilstoši COFOG </w:t>
      </w:r>
      <w:r>
        <w:rPr>
          <w:rFonts w:ascii="Times New Roman" w:eastAsia="Calibri" w:hAnsi="Times New Roman" w:cs="Times New Roman"/>
          <w:sz w:val="24"/>
          <w:szCs w:val="20"/>
        </w:rPr>
        <w:t xml:space="preserve">krietni </w:t>
      </w:r>
      <w:r w:rsidRPr="008E5035">
        <w:rPr>
          <w:rFonts w:ascii="Times New Roman" w:eastAsia="Calibri" w:hAnsi="Times New Roman" w:cs="Times New Roman"/>
          <w:sz w:val="24"/>
          <w:szCs w:val="20"/>
        </w:rPr>
        <w:t>pārsniedz ES vidējos rādītājus. Tas</w:t>
      </w:r>
      <w:r>
        <w:rPr>
          <w:rFonts w:ascii="Times New Roman" w:eastAsia="Calibri" w:hAnsi="Times New Roman" w:cs="Times New Roman"/>
          <w:sz w:val="24"/>
          <w:szCs w:val="20"/>
        </w:rPr>
        <w:t xml:space="preserve"> lielā mērā</w:t>
      </w:r>
      <w:r w:rsidRPr="008E5035">
        <w:rPr>
          <w:rFonts w:ascii="Times New Roman" w:eastAsia="Calibri" w:hAnsi="Times New Roman" w:cs="Times New Roman"/>
          <w:sz w:val="24"/>
          <w:szCs w:val="20"/>
        </w:rPr>
        <w:t xml:space="preserve"> norāda, ka izglītīb</w:t>
      </w:r>
      <w:r>
        <w:rPr>
          <w:rFonts w:ascii="Times New Roman" w:eastAsia="Calibri" w:hAnsi="Times New Roman" w:cs="Times New Roman"/>
          <w:sz w:val="24"/>
          <w:szCs w:val="20"/>
        </w:rPr>
        <w:t xml:space="preserve">as finansējums ir adekvāts, bet nav optimāls izglītības sistēmas tīkls un skolēnu skaits uz vienu pedagogu. Tomēr būtiski palielināt skolēnu skaitu uz vienu pedagogu nav iespējams veikt īsā laikā, neapdraudot izglītības kvalitāti. Tāpēc sistēmā ir nepieciešams ieguldīt papildus līdzekļus, lai celtu pedagogu atalgojumu, pretējā gadījumā, būtiski ciestu izglītības kvalitāte. Līdz ar to valdība aktuālajā Ietvara likumā pieņēma lēmumu reformēt pedagogu atalgojuma modeli. </w:t>
      </w:r>
      <w:r w:rsidRPr="007F644C">
        <w:rPr>
          <w:rFonts w:ascii="Times New Roman" w:eastAsia="Calibri" w:hAnsi="Times New Roman" w:cs="Times New Roman"/>
          <w:sz w:val="24"/>
          <w:szCs w:val="20"/>
        </w:rPr>
        <w:t>Sākotnēji</w:t>
      </w:r>
      <w:r>
        <w:rPr>
          <w:rFonts w:ascii="Times New Roman" w:eastAsia="Calibri" w:hAnsi="Times New Roman" w:cs="Times New Roman"/>
          <w:sz w:val="24"/>
          <w:szCs w:val="20"/>
        </w:rPr>
        <w:t xml:space="preserve"> papildu</w:t>
      </w:r>
      <w:r w:rsidRPr="007F644C">
        <w:rPr>
          <w:rFonts w:ascii="Times New Roman" w:eastAsia="Calibri" w:hAnsi="Times New Roman" w:cs="Times New Roman"/>
          <w:sz w:val="24"/>
          <w:szCs w:val="20"/>
        </w:rPr>
        <w:t xml:space="preserve"> līdzekļi </w:t>
      </w:r>
      <w:r>
        <w:rPr>
          <w:rFonts w:ascii="Times New Roman" w:eastAsia="Calibri" w:hAnsi="Times New Roman" w:cs="Times New Roman"/>
          <w:sz w:val="24"/>
          <w:szCs w:val="20"/>
        </w:rPr>
        <w:t>atalgojuma izmaiņu nodrošināšanai</w:t>
      </w:r>
      <w:r w:rsidRPr="007F644C">
        <w:rPr>
          <w:rFonts w:ascii="Times New Roman" w:eastAsia="Calibri" w:hAnsi="Times New Roman" w:cs="Times New Roman"/>
          <w:sz w:val="24"/>
          <w:szCs w:val="20"/>
        </w:rPr>
        <w:t xml:space="preserve"> tika rezervēti atsevišķā budžeta programmā</w:t>
      </w:r>
      <w:r>
        <w:rPr>
          <w:rFonts w:ascii="Times New Roman" w:eastAsia="Calibri" w:hAnsi="Times New Roman" w:cs="Times New Roman"/>
          <w:sz w:val="24"/>
          <w:szCs w:val="20"/>
        </w:rPr>
        <w:t xml:space="preserve"> </w:t>
      </w:r>
      <w:r w:rsidRPr="007F644C">
        <w:rPr>
          <w:rFonts w:ascii="Times New Roman" w:eastAsia="Calibri" w:hAnsi="Times New Roman" w:cs="Times New Roman"/>
          <w:sz w:val="24"/>
          <w:szCs w:val="20"/>
        </w:rPr>
        <w:t xml:space="preserve">un turpmākajā 2017.gada valsts budžeta likuma un </w:t>
      </w:r>
      <w:r>
        <w:rPr>
          <w:rFonts w:ascii="Times New Roman" w:eastAsia="Calibri" w:hAnsi="Times New Roman" w:cs="Times New Roman"/>
          <w:sz w:val="24"/>
          <w:szCs w:val="20"/>
        </w:rPr>
        <w:t>Ietvara likuma izskatīšanas un apstiprināšanas</w:t>
      </w:r>
      <w:r w:rsidRPr="007F644C">
        <w:rPr>
          <w:rFonts w:ascii="Times New Roman" w:eastAsia="Calibri" w:hAnsi="Times New Roman" w:cs="Times New Roman"/>
          <w:sz w:val="24"/>
          <w:szCs w:val="20"/>
        </w:rPr>
        <w:t xml:space="preserve"> procesā tika veikta līdzekļu pārdale uz attiecīgo ministriju budžetiem.</w:t>
      </w:r>
    </w:p>
    <w:p w14:paraId="25DBCC3C" w14:textId="77777777" w:rsidR="0077183B" w:rsidRPr="008E5035" w:rsidRDefault="0077183B" w:rsidP="0077183B">
      <w:pPr>
        <w:spacing w:after="0" w:line="240" w:lineRule="auto"/>
        <w:ind w:firstLine="709"/>
        <w:jc w:val="both"/>
        <w:rPr>
          <w:rFonts w:ascii="Times New Roman" w:eastAsia="Times New Roman" w:hAnsi="Times New Roman" w:cs="Times New Roman"/>
          <w:sz w:val="24"/>
          <w:szCs w:val="20"/>
        </w:rPr>
      </w:pPr>
      <w:r w:rsidRPr="008E5035">
        <w:rPr>
          <w:rFonts w:ascii="Times New Roman" w:eastAsia="Times New Roman" w:hAnsi="Times New Roman" w:cs="Times New Roman"/>
          <w:sz w:val="24"/>
          <w:szCs w:val="20"/>
        </w:rPr>
        <w:t xml:space="preserve">Vērtējot </w:t>
      </w:r>
      <w:r w:rsidRPr="008E5035">
        <w:rPr>
          <w:rFonts w:ascii="Times New Roman" w:eastAsia="Calibri" w:hAnsi="Times New Roman" w:cs="Times New Roman"/>
          <w:b/>
          <w:sz w:val="24"/>
          <w:szCs w:val="20"/>
        </w:rPr>
        <w:t xml:space="preserve">trešā prioritārā attīstības virziena </w:t>
      </w:r>
      <w:r w:rsidRPr="008E5035">
        <w:rPr>
          <w:rFonts w:ascii="Times New Roman" w:eastAsia="Calibri" w:hAnsi="Times New Roman" w:cs="Times New Roman"/>
          <w:sz w:val="24"/>
          <w:szCs w:val="20"/>
        </w:rPr>
        <w:t>īsten</w:t>
      </w:r>
      <w:r w:rsidRPr="008E5035">
        <w:rPr>
          <w:rFonts w:ascii="Times New Roman" w:eastAsia="Times New Roman" w:hAnsi="Times New Roman" w:cs="Times New Roman"/>
          <w:sz w:val="24"/>
          <w:szCs w:val="20"/>
        </w:rPr>
        <w:t>ošanu, no iedzīvotāju dzīves kvalitātes aspekta ir pamats analizēt vidējo iedzīvotāju dzīves kvalitāti un dzīves kvalitātes atšķirības iedzīvotājiem ar atšķirīgu ieņēmumu lielumu. Būtisks rādītājs, vērtējot vidējo dzīves kvalitāti ir IKP apjoms uz vienu iedzīvotāju, kas Latvijai ir viens no zemākajiem ES</w:t>
      </w:r>
      <w:r>
        <w:rPr>
          <w:rFonts w:ascii="Times New Roman" w:eastAsia="Times New Roman" w:hAnsi="Times New Roman" w:cs="Times New Roman"/>
          <w:sz w:val="24"/>
          <w:szCs w:val="20"/>
        </w:rPr>
        <w:t xml:space="preserve"> (</w:t>
      </w:r>
      <w:r w:rsidRPr="00442566">
        <w:rPr>
          <w:rFonts w:ascii="Times New Roman" w:eastAsia="Times New Roman" w:hAnsi="Times New Roman" w:cs="Times New Roman"/>
          <w:sz w:val="24"/>
          <w:szCs w:val="20"/>
        </w:rPr>
        <w:t xml:space="preserve">IKP uz vienu iedzīvotāju 2015.gadā </w:t>
      </w:r>
      <w:r>
        <w:rPr>
          <w:rFonts w:ascii="Times New Roman" w:eastAsia="Times New Roman" w:hAnsi="Times New Roman" w:cs="Times New Roman"/>
          <w:sz w:val="24"/>
          <w:szCs w:val="20"/>
        </w:rPr>
        <w:t xml:space="preserve">ir </w:t>
      </w:r>
      <w:r w:rsidRPr="00442566">
        <w:rPr>
          <w:rFonts w:ascii="Times New Roman" w:eastAsia="Times New Roman" w:hAnsi="Times New Roman" w:cs="Times New Roman"/>
          <w:sz w:val="24"/>
          <w:szCs w:val="20"/>
        </w:rPr>
        <w:t>12</w:t>
      </w:r>
      <w:r>
        <w:rPr>
          <w:rFonts w:ascii="Times New Roman" w:eastAsia="Times New Roman" w:hAnsi="Times New Roman" w:cs="Times New Roman"/>
          <w:sz w:val="24"/>
          <w:szCs w:val="20"/>
        </w:rPr>
        <w:t> </w:t>
      </w:r>
      <w:r w:rsidRPr="00442566">
        <w:rPr>
          <w:rFonts w:ascii="Times New Roman" w:eastAsia="Times New Roman" w:hAnsi="Times New Roman" w:cs="Times New Roman"/>
          <w:sz w:val="24"/>
          <w:szCs w:val="20"/>
        </w:rPr>
        <w:t xml:space="preserve">300 </w:t>
      </w:r>
      <w:r w:rsidRPr="00442566">
        <w:rPr>
          <w:rFonts w:ascii="Times New Roman" w:eastAsia="Times New Roman" w:hAnsi="Times New Roman" w:cs="Times New Roman"/>
          <w:i/>
          <w:sz w:val="24"/>
          <w:szCs w:val="20"/>
        </w:rPr>
        <w:t>euro</w:t>
      </w:r>
      <w:r>
        <w:rPr>
          <w:rFonts w:ascii="Times New Roman" w:eastAsia="Times New Roman" w:hAnsi="Times New Roman" w:cs="Times New Roman"/>
          <w:i/>
          <w:sz w:val="24"/>
          <w:szCs w:val="20"/>
        </w:rPr>
        <w:t>)</w:t>
      </w:r>
      <w:r w:rsidRPr="008E5035">
        <w:rPr>
          <w:rFonts w:ascii="Times New Roman" w:eastAsia="Times New Roman" w:hAnsi="Times New Roman" w:cs="Times New Roman"/>
          <w:sz w:val="24"/>
          <w:szCs w:val="20"/>
        </w:rPr>
        <w:t>, savukārt, Džinī koeficients, kas raksturo ieņēmumu nevienlīdzību, Latvijā ir viens no augstākajiem ES</w:t>
      </w:r>
      <w:r>
        <w:rPr>
          <w:rFonts w:ascii="Times New Roman" w:eastAsia="Times New Roman" w:hAnsi="Times New Roman" w:cs="Times New Roman"/>
          <w:sz w:val="24"/>
          <w:szCs w:val="20"/>
        </w:rPr>
        <w:t xml:space="preserve"> (</w:t>
      </w:r>
      <w:r w:rsidRPr="00442566">
        <w:rPr>
          <w:rFonts w:ascii="Times New Roman" w:eastAsia="Times New Roman" w:hAnsi="Times New Roman" w:cs="Times New Roman"/>
          <w:sz w:val="24"/>
          <w:szCs w:val="20"/>
        </w:rPr>
        <w:t>35,4%</w:t>
      </w:r>
      <w:r>
        <w:rPr>
          <w:rFonts w:ascii="Times New Roman" w:eastAsia="Times New Roman" w:hAnsi="Times New Roman" w:cs="Times New Roman"/>
          <w:sz w:val="24"/>
          <w:szCs w:val="20"/>
        </w:rPr>
        <w:t>)</w:t>
      </w:r>
      <w:r w:rsidRPr="008E5035">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p>
    <w:p w14:paraId="7C36EFBC" w14:textId="77777777" w:rsidR="0077183B" w:rsidRPr="008E5035" w:rsidRDefault="0077183B" w:rsidP="0077183B">
      <w:pPr>
        <w:spacing w:after="0" w:line="240" w:lineRule="auto"/>
        <w:ind w:firstLine="709"/>
        <w:jc w:val="both"/>
        <w:rPr>
          <w:rFonts w:ascii="Times New Roman" w:eastAsia="Times New Roman" w:hAnsi="Times New Roman" w:cs="Times New Roman"/>
          <w:sz w:val="24"/>
          <w:szCs w:val="20"/>
        </w:rPr>
      </w:pPr>
      <w:r w:rsidRPr="008E5035">
        <w:rPr>
          <w:rFonts w:ascii="Times New Roman" w:eastAsia="Times New Roman" w:hAnsi="Times New Roman" w:cs="Times New Roman"/>
          <w:sz w:val="24"/>
          <w:szCs w:val="20"/>
        </w:rPr>
        <w:t xml:space="preserve">Iepriekšējos </w:t>
      </w:r>
      <w:r>
        <w:rPr>
          <w:rFonts w:ascii="Times New Roman" w:eastAsia="Times New Roman" w:hAnsi="Times New Roman" w:cs="Times New Roman"/>
          <w:sz w:val="24"/>
          <w:szCs w:val="20"/>
        </w:rPr>
        <w:t xml:space="preserve">Ietvara likumos </w:t>
      </w:r>
      <w:r w:rsidRPr="008E5035">
        <w:rPr>
          <w:rFonts w:ascii="Times New Roman" w:eastAsia="Times New Roman" w:hAnsi="Times New Roman" w:cs="Times New Roman"/>
          <w:sz w:val="24"/>
          <w:szCs w:val="20"/>
        </w:rPr>
        <w:t xml:space="preserve">tika iestrādātas vairākas būtiskas normas iedzīvotāju ienākumu nevienlīdzības mazināšanai, proti, IIN neapliekamā minimuma palielināšana, IIN atvieglojumu palielināšana par apgādībā esošajām personām, valsts sociālā atbalsta sistēmas pilnveidošana, atbalsta shēma mājsaimniecībām ar zemiem ienākumiem, lai kompensētu izdevumu kāpumu elektroenerģijai sakarā ar starta tarifa atcelšanu elektroenerģijas tirgus atvēršanas dēļ, minimālās algas palielināšana, kā arī ieviests diferencētais neapliekamais minimums. Pašreizējā valdības politika paredz arī turpināt sniegt atbalstu iedzīvotājiem obligātās iepirkuma komponentes kompensēšanai elektroenerģijas gala tarifā, attiecīgi nodrošinot gan horizontālu atbalstu, gan arī papildus atbalstot aizsargātās iedzīvotāju grupas. </w:t>
      </w:r>
    </w:p>
    <w:p w14:paraId="62980C9C" w14:textId="59DB37EB" w:rsidR="0077183B" w:rsidRPr="008E5035" w:rsidRDefault="0077183B" w:rsidP="0077183B">
      <w:pPr>
        <w:spacing w:after="0" w:line="240" w:lineRule="auto"/>
        <w:ind w:firstLine="709"/>
        <w:jc w:val="both"/>
        <w:rPr>
          <w:rFonts w:ascii="Times New Roman" w:eastAsia="Times New Roman" w:hAnsi="Times New Roman" w:cs="Times New Roman"/>
          <w:sz w:val="24"/>
          <w:szCs w:val="20"/>
        </w:rPr>
      </w:pPr>
      <w:r w:rsidRPr="008E5035">
        <w:rPr>
          <w:rFonts w:ascii="Times New Roman" w:eastAsia="Times New Roman" w:hAnsi="Times New Roman" w:cs="Times New Roman"/>
          <w:sz w:val="24"/>
          <w:szCs w:val="20"/>
        </w:rPr>
        <w:t xml:space="preserve">Aktuālais </w:t>
      </w:r>
      <w:r>
        <w:rPr>
          <w:rFonts w:ascii="Times New Roman" w:eastAsia="Times New Roman" w:hAnsi="Times New Roman" w:cs="Times New Roman"/>
          <w:sz w:val="24"/>
          <w:szCs w:val="20"/>
        </w:rPr>
        <w:t xml:space="preserve">Ietvara likums </w:t>
      </w:r>
      <w:r w:rsidRPr="008E5035">
        <w:rPr>
          <w:rFonts w:ascii="Times New Roman" w:eastAsia="Times New Roman" w:hAnsi="Times New Roman" w:cs="Times New Roman"/>
          <w:sz w:val="24"/>
          <w:szCs w:val="20"/>
        </w:rPr>
        <w:t>paredz iesāktās valdības politikas turpināšanu minimālo algu</w:t>
      </w:r>
      <w:r>
        <w:rPr>
          <w:rFonts w:ascii="Times New Roman" w:eastAsia="Times New Roman" w:hAnsi="Times New Roman" w:cs="Times New Roman"/>
          <w:sz w:val="24"/>
          <w:szCs w:val="20"/>
        </w:rPr>
        <w:t xml:space="preserve"> 2017.gadā palielinot</w:t>
      </w:r>
      <w:r w:rsidRPr="008E5035">
        <w:rPr>
          <w:rFonts w:ascii="Times New Roman" w:eastAsia="Times New Roman" w:hAnsi="Times New Roman" w:cs="Times New Roman"/>
          <w:sz w:val="24"/>
          <w:szCs w:val="20"/>
        </w:rPr>
        <w:t xml:space="preserve"> līdz 380 </w:t>
      </w:r>
      <w:r w:rsidRPr="00442566">
        <w:rPr>
          <w:rFonts w:ascii="Times New Roman" w:eastAsia="Times New Roman" w:hAnsi="Times New Roman" w:cs="Times New Roman"/>
          <w:i/>
          <w:sz w:val="24"/>
          <w:szCs w:val="20"/>
        </w:rPr>
        <w:t>euro</w:t>
      </w:r>
      <w:r w:rsidR="00542318">
        <w:rPr>
          <w:rFonts w:ascii="Times New Roman" w:eastAsia="Times New Roman" w:hAnsi="Times New Roman" w:cs="Times New Roman"/>
          <w:sz w:val="24"/>
          <w:szCs w:val="20"/>
        </w:rPr>
        <w:t>,</w:t>
      </w:r>
      <w:r w:rsidRPr="008E5035">
        <w:rPr>
          <w:rFonts w:ascii="Times New Roman" w:eastAsia="Times New Roman" w:hAnsi="Times New Roman" w:cs="Times New Roman"/>
          <w:sz w:val="24"/>
          <w:szCs w:val="20"/>
        </w:rPr>
        <w:t xml:space="preserve"> kā arī virkni pasākumu demogrāfijas problēmjautājumu risināšanai. </w:t>
      </w:r>
    </w:p>
    <w:p w14:paraId="36F8E084" w14:textId="1EA924F5" w:rsidR="0077183B" w:rsidRPr="00492A61" w:rsidRDefault="0077183B" w:rsidP="00492A61">
      <w:pPr>
        <w:spacing w:after="60" w:line="240" w:lineRule="auto"/>
        <w:ind w:firstLine="709"/>
        <w:jc w:val="both"/>
        <w:rPr>
          <w:rFonts w:ascii="Times New Roman" w:eastAsia="Times New Roman" w:hAnsi="Times New Roman" w:cs="Times New Roman"/>
          <w:sz w:val="24"/>
          <w:szCs w:val="20"/>
        </w:rPr>
      </w:pPr>
      <w:r w:rsidRPr="0069094E">
        <w:rPr>
          <w:rFonts w:ascii="Times New Roman" w:eastAsia="Calibri" w:hAnsi="Times New Roman" w:cs="Times New Roman"/>
          <w:b/>
          <w:sz w:val="24"/>
          <w:szCs w:val="20"/>
        </w:rPr>
        <w:t>Attiecībā uz ceturto prioritāro attīstības virzienu</w:t>
      </w:r>
      <w:r w:rsidRPr="0069094E">
        <w:rPr>
          <w:rFonts w:ascii="Times New Roman" w:eastAsia="Calibri" w:hAnsi="Times New Roman" w:cs="Times New Roman"/>
          <w:sz w:val="24"/>
          <w:szCs w:val="20"/>
        </w:rPr>
        <w:t xml:space="preserve"> </w:t>
      </w:r>
      <w:r w:rsidRPr="0069094E">
        <w:rPr>
          <w:rFonts w:ascii="Times New Roman" w:eastAsia="Times New Roman" w:hAnsi="Times New Roman" w:cs="Times New Roman"/>
          <w:sz w:val="24"/>
          <w:szCs w:val="20"/>
        </w:rPr>
        <w:t>Latvija tradicionāli ir valsts ar relatīvi zemu nodokļu slogu, kas ir arī viens no zemākajiem rādītājiem ES. Aktuālajā Ietvara likumā pieņemtie valdības lēmumi par budžeta ieņēmumu daļas palielināšanu pamatā balstījās nepieciešamībā finansēt valdības prioritātes, tajā pašā laikā nodrošinot to, ka esošā nodokļu politika netiek būtiski mainīta. Tomēr neskatoties uz to, gan aktuālajā, gan arī iepriekšējos budžeta ciklos apstiprinātie</w:t>
      </w:r>
      <w:r>
        <w:rPr>
          <w:rFonts w:ascii="Times New Roman" w:eastAsia="Times New Roman" w:hAnsi="Times New Roman" w:cs="Times New Roman"/>
          <w:sz w:val="24"/>
          <w:szCs w:val="20"/>
        </w:rPr>
        <w:t xml:space="preserve"> nodokļu politikas pasākumi ļāva</w:t>
      </w:r>
      <w:r w:rsidRPr="0069094E">
        <w:rPr>
          <w:rFonts w:ascii="Times New Roman" w:eastAsia="Times New Roman" w:hAnsi="Times New Roman" w:cs="Times New Roman"/>
          <w:sz w:val="24"/>
          <w:szCs w:val="20"/>
        </w:rPr>
        <w:t xml:space="preserve"> nodrošināt, ka turpmākajos gados nodokļu ieņēmumu attiecība pret</w:t>
      </w:r>
      <w:r w:rsidR="00492A61">
        <w:rPr>
          <w:rFonts w:ascii="Times New Roman" w:eastAsia="Times New Roman" w:hAnsi="Times New Roman" w:cs="Times New Roman"/>
          <w:sz w:val="24"/>
          <w:szCs w:val="20"/>
        </w:rPr>
        <w:t xml:space="preserve"> IKP būs ar pieaugošu tendenci.</w:t>
      </w:r>
    </w:p>
    <w:p w14:paraId="6EAF57B2" w14:textId="77777777" w:rsidR="0077183B" w:rsidRPr="0069094E" w:rsidRDefault="0077183B" w:rsidP="0020442A">
      <w:pPr>
        <w:spacing w:after="0" w:line="240" w:lineRule="auto"/>
        <w:ind w:firstLine="709"/>
        <w:jc w:val="both"/>
        <w:rPr>
          <w:rFonts w:ascii="Times New Roman" w:eastAsia="Calibri" w:hAnsi="Times New Roman" w:cs="Times New Roman"/>
          <w:color w:val="000000"/>
          <w:sz w:val="24"/>
          <w:szCs w:val="24"/>
        </w:rPr>
      </w:pPr>
      <w:r w:rsidRPr="0069094E">
        <w:rPr>
          <w:rFonts w:ascii="Times New Roman" w:eastAsia="Calibri" w:hAnsi="Times New Roman" w:cs="Times New Roman"/>
          <w:color w:val="000000"/>
          <w:sz w:val="24"/>
          <w:szCs w:val="24"/>
        </w:rPr>
        <w:t>Situācija uz aktuālā Ietvara likuma sagatavošanas brīdi norādīja uz sekojošo - no 2009.gada nodokļu ieņēmumi pret IKP uzrāda lēnu pieauguma tendenci, savukārt prognozes par 2019.gadu uzrāda nodokļu ieņēmumu pret IKP kritumu. Pamatā kritums skaidrojams ar to, ka:</w:t>
      </w:r>
    </w:p>
    <w:p w14:paraId="57C44192" w14:textId="3DE74929" w:rsidR="0077183B" w:rsidRPr="0069094E" w:rsidRDefault="0020442A" w:rsidP="0024257A">
      <w:pPr>
        <w:pStyle w:val="ListParagraph"/>
        <w:numPr>
          <w:ilvl w:val="0"/>
          <w:numId w:val="27"/>
        </w:num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tiek prognozēti mazāki s</w:t>
      </w:r>
      <w:r w:rsidR="0077183B" w:rsidRPr="0069094E">
        <w:rPr>
          <w:rFonts w:ascii="Times New Roman" w:eastAsia="Calibri" w:hAnsi="Times New Roman" w:cs="Times New Roman"/>
          <w:color w:val="000000"/>
          <w:sz w:val="24"/>
          <w:szCs w:val="24"/>
        </w:rPr>
        <w:t>ubsidētās elektroenerģijas nodokļa ieņēmumi, jo prognozēs ietverts, ka pašlaik nodoklis ir spēkā līdz 2018.gada 31.decembrim. Jāatzīmē, ka uz budžeta 2.lasījumu tiek paredzētas izmaiņas – paredzēts, ka nodoklis pastāvēs tikai līdz 2017.gada 31.decembrim. Līdz</w:t>
      </w:r>
      <w:r>
        <w:rPr>
          <w:rFonts w:ascii="Times New Roman" w:eastAsia="Calibri" w:hAnsi="Times New Roman" w:cs="Times New Roman"/>
          <w:color w:val="000000"/>
          <w:sz w:val="24"/>
          <w:szCs w:val="24"/>
        </w:rPr>
        <w:t xml:space="preserve"> ar to var prognozēt, ka pēc 2.</w:t>
      </w:r>
      <w:r w:rsidR="0077183B" w:rsidRPr="0069094E">
        <w:rPr>
          <w:rFonts w:ascii="Times New Roman" w:eastAsia="Calibri" w:hAnsi="Times New Roman" w:cs="Times New Roman"/>
          <w:color w:val="000000"/>
          <w:sz w:val="24"/>
          <w:szCs w:val="24"/>
        </w:rPr>
        <w:t>lasījuma grozījumiem nodokļu ieņēmumi pret IKP varētu samazināties, vai vismaz nepieaugt jau 2018.</w:t>
      </w:r>
      <w:r>
        <w:rPr>
          <w:rFonts w:ascii="Times New Roman" w:eastAsia="Calibri" w:hAnsi="Times New Roman" w:cs="Times New Roman"/>
          <w:color w:val="000000"/>
          <w:sz w:val="24"/>
          <w:szCs w:val="24"/>
        </w:rPr>
        <w:t>gadā;</w:t>
      </w:r>
    </w:p>
    <w:p w14:paraId="1F146C43" w14:textId="4A684903" w:rsidR="0077183B" w:rsidRPr="0069094E" w:rsidRDefault="0020442A" w:rsidP="0024257A">
      <w:pPr>
        <w:pStyle w:val="ListParagraph"/>
        <w:numPr>
          <w:ilvl w:val="0"/>
          <w:numId w:val="27"/>
        </w:num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tiek prognozēti mazāki t</w:t>
      </w:r>
      <w:r w:rsidR="0077183B" w:rsidRPr="0069094E">
        <w:rPr>
          <w:rFonts w:ascii="Times New Roman" w:eastAsia="Calibri" w:hAnsi="Times New Roman" w:cs="Times New Roman"/>
          <w:color w:val="000000"/>
          <w:sz w:val="24"/>
          <w:szCs w:val="24"/>
        </w:rPr>
        <w:t>ransportlīdzekļu ekspluatācijas nodokļa ieņēmumi, jo valdība atbalstījusi priekšlikumu nodokļa maksāšanas kārtības maiņu – nodokli maksā par faktisko periodu, nevis avansā par kalendāro gadu – ieviest no 2019.gada 1.janvāra.</w:t>
      </w:r>
    </w:p>
    <w:p w14:paraId="6D8A013B" w14:textId="77777777" w:rsidR="0077183B" w:rsidRPr="00A84629" w:rsidRDefault="0077183B" w:rsidP="0077183B">
      <w:pPr>
        <w:spacing w:after="0" w:line="240" w:lineRule="auto"/>
        <w:ind w:firstLine="709"/>
        <w:jc w:val="both"/>
        <w:rPr>
          <w:rFonts w:ascii="Times New Roman" w:eastAsia="Calibri" w:hAnsi="Times New Roman" w:cs="Times New Roman"/>
          <w:color w:val="000000"/>
          <w:sz w:val="24"/>
          <w:szCs w:val="24"/>
        </w:rPr>
      </w:pPr>
      <w:r w:rsidRPr="00A84629">
        <w:rPr>
          <w:rFonts w:ascii="Times New Roman" w:eastAsia="Calibri" w:hAnsi="Times New Roman" w:cs="Times New Roman"/>
          <w:color w:val="000000"/>
          <w:sz w:val="24"/>
          <w:szCs w:val="24"/>
        </w:rPr>
        <w:lastRenderedPageBreak/>
        <w:t xml:space="preserve">Iepriekšējos </w:t>
      </w:r>
      <w:r>
        <w:rPr>
          <w:rFonts w:ascii="Times New Roman" w:eastAsia="Times New Roman" w:hAnsi="Times New Roman" w:cs="Times New Roman"/>
          <w:sz w:val="24"/>
          <w:szCs w:val="20"/>
        </w:rPr>
        <w:t xml:space="preserve">Ietvara likumos </w:t>
      </w:r>
      <w:r w:rsidRPr="00A84629">
        <w:rPr>
          <w:rFonts w:ascii="Times New Roman" w:eastAsia="Calibri" w:hAnsi="Times New Roman" w:cs="Times New Roman"/>
          <w:color w:val="000000"/>
          <w:sz w:val="24"/>
          <w:szCs w:val="24"/>
        </w:rPr>
        <w:t>valdība nodokļu politika pamatā balstījās uz apņemšanos palielināt iemaksas 2.pensiju līmenī atbilstoši iepriekš pieņemtajiem lēmumiem un neveikt būtiskāko nodokļu likmju izmaiņas. Otrs būtisks virziens bija nodrošināt nodokļu ieņēmumu palielinājumu, pastiprināti strādājot pie nodokļu iekasējamības palielināšanas, tai skaitā ieviešot nepieciešamās izmaiņas likumdošanā.</w:t>
      </w:r>
    </w:p>
    <w:p w14:paraId="625E2BCB" w14:textId="2640AF17" w:rsidR="0077183B" w:rsidRPr="00A84629" w:rsidRDefault="0077183B" w:rsidP="0077183B">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Aktuālajā</w:t>
      </w:r>
      <w:r w:rsidRPr="00A84629">
        <w:rPr>
          <w:rFonts w:ascii="Times New Roman" w:eastAsia="Calibri" w:hAnsi="Times New Roman" w:cs="Times New Roman"/>
          <w:color w:val="000000"/>
          <w:sz w:val="24"/>
          <w:szCs w:val="24"/>
        </w:rPr>
        <w:t xml:space="preserve"> </w:t>
      </w:r>
      <w:r>
        <w:rPr>
          <w:rFonts w:ascii="Times New Roman" w:eastAsia="Times New Roman" w:hAnsi="Times New Roman" w:cs="Times New Roman"/>
          <w:sz w:val="24"/>
          <w:szCs w:val="20"/>
        </w:rPr>
        <w:t xml:space="preserve">Ietvara likumā </w:t>
      </w:r>
      <w:r w:rsidRPr="00A84629">
        <w:rPr>
          <w:rFonts w:ascii="Times New Roman" w:eastAsia="Calibri" w:hAnsi="Times New Roman" w:cs="Times New Roman"/>
          <w:color w:val="000000"/>
          <w:sz w:val="24"/>
          <w:szCs w:val="24"/>
        </w:rPr>
        <w:t xml:space="preserve">valdība ir pastiprinājusi apņemšanos neveikt būtiskas izmaiņas nodokļu politikā, atstājot šādus lēmumu pieņemšanu </w:t>
      </w:r>
      <w:r>
        <w:rPr>
          <w:rFonts w:ascii="Times New Roman" w:eastAsia="Calibri" w:hAnsi="Times New Roman" w:cs="Times New Roman"/>
          <w:color w:val="000000"/>
          <w:sz w:val="24"/>
          <w:szCs w:val="24"/>
        </w:rPr>
        <w:t xml:space="preserve">uz </w:t>
      </w:r>
      <w:r w:rsidRPr="00A84629">
        <w:rPr>
          <w:rFonts w:ascii="Times New Roman" w:eastAsia="Calibri" w:hAnsi="Times New Roman" w:cs="Times New Roman"/>
          <w:color w:val="000000"/>
          <w:sz w:val="24"/>
          <w:szCs w:val="24"/>
        </w:rPr>
        <w:t xml:space="preserve">Nodokļu </w:t>
      </w:r>
      <w:r w:rsidR="005B4791">
        <w:rPr>
          <w:rFonts w:ascii="Times New Roman" w:eastAsia="Calibri" w:hAnsi="Times New Roman" w:cs="Times New Roman"/>
          <w:color w:val="000000"/>
          <w:sz w:val="24"/>
          <w:szCs w:val="24"/>
        </w:rPr>
        <w:t>politikas pamatnostādņu 2017.–</w:t>
      </w:r>
      <w:r w:rsidRPr="00A84629">
        <w:rPr>
          <w:rFonts w:ascii="Times New Roman" w:eastAsia="Calibri" w:hAnsi="Times New Roman" w:cs="Times New Roman"/>
          <w:color w:val="000000"/>
          <w:sz w:val="24"/>
          <w:szCs w:val="24"/>
        </w:rPr>
        <w:t>2021.gadam sagatavošanu.</w:t>
      </w:r>
    </w:p>
    <w:p w14:paraId="51C2F239" w14:textId="31B0AD1F" w:rsidR="0077183B" w:rsidRDefault="0077183B" w:rsidP="0077183B">
      <w:pPr>
        <w:spacing w:after="0" w:line="240" w:lineRule="auto"/>
        <w:ind w:firstLine="709"/>
        <w:jc w:val="both"/>
        <w:rPr>
          <w:rFonts w:ascii="Times New Roman" w:eastAsia="Calibri" w:hAnsi="Times New Roman" w:cs="Times New Roman"/>
          <w:sz w:val="24"/>
          <w:szCs w:val="20"/>
        </w:rPr>
      </w:pPr>
      <w:r w:rsidRPr="00A84629">
        <w:rPr>
          <w:rFonts w:ascii="Times New Roman" w:eastAsia="Calibri" w:hAnsi="Times New Roman" w:cs="Times New Roman"/>
          <w:sz w:val="24"/>
          <w:szCs w:val="20"/>
        </w:rPr>
        <w:t xml:space="preserve">Nozīmīgs aspekts ieņēmumu palielināšanai ir </w:t>
      </w:r>
      <w:r w:rsidRPr="007425BA">
        <w:rPr>
          <w:rFonts w:ascii="Times New Roman" w:eastAsia="Calibri" w:hAnsi="Times New Roman" w:cs="Times New Roman"/>
          <w:b/>
          <w:sz w:val="24"/>
          <w:szCs w:val="20"/>
        </w:rPr>
        <w:t>ēnu ekonomikas apkarošana</w:t>
      </w:r>
      <w:r w:rsidRPr="00A84629">
        <w:rPr>
          <w:rFonts w:ascii="Times New Roman" w:eastAsia="Calibri" w:hAnsi="Times New Roman" w:cs="Times New Roman"/>
          <w:sz w:val="24"/>
          <w:szCs w:val="20"/>
        </w:rPr>
        <w:t xml:space="preserve">, kuras samazināšana ļaus nodrošināt godīgākus konkurences apstākļus, kā arī vairos valsts budžeta ieņēmumus. Iepriekšējā </w:t>
      </w:r>
      <w:r>
        <w:rPr>
          <w:rFonts w:ascii="Times New Roman" w:eastAsia="Times New Roman" w:hAnsi="Times New Roman" w:cs="Times New Roman"/>
          <w:sz w:val="24"/>
          <w:szCs w:val="20"/>
        </w:rPr>
        <w:t>Ietvara likumā</w:t>
      </w:r>
      <w:r w:rsidRPr="00A84629">
        <w:rPr>
          <w:rFonts w:ascii="Times New Roman" w:eastAsia="Times New Roman" w:hAnsi="Times New Roman" w:cs="Times New Roman"/>
          <w:sz w:val="24"/>
          <w:szCs w:val="20"/>
        </w:rPr>
        <w:t xml:space="preserve"> </w:t>
      </w:r>
      <w:r w:rsidRPr="00A84629">
        <w:rPr>
          <w:rFonts w:ascii="Times New Roman" w:eastAsia="Calibri" w:hAnsi="Times New Roman" w:cs="Times New Roman"/>
          <w:sz w:val="24"/>
          <w:szCs w:val="20"/>
        </w:rPr>
        <w:t xml:space="preserve">valdība turpināja iepriekš uzsākto ēnu ekonomikas mazināšanas kursu, nodrošinot informācijas apmaiņas procesa uzlabošanu starp finanšu iestādēm un VID, kā arī nodrošinot nepieciešamās izmaiņas normatīvajos aktos, kas kases sistēmām ieviesīs jaunas, stingrākas tehniskās prasības. Aktuālajā </w:t>
      </w:r>
      <w:r>
        <w:rPr>
          <w:rFonts w:ascii="Times New Roman" w:eastAsia="Times New Roman" w:hAnsi="Times New Roman" w:cs="Times New Roman"/>
          <w:sz w:val="24"/>
          <w:szCs w:val="20"/>
        </w:rPr>
        <w:t>Ietvara likumā</w:t>
      </w:r>
      <w:r w:rsidRPr="00A84629">
        <w:rPr>
          <w:rFonts w:ascii="Times New Roman" w:eastAsia="Times New Roman" w:hAnsi="Times New Roman" w:cs="Times New Roman"/>
          <w:sz w:val="24"/>
          <w:szCs w:val="20"/>
        </w:rPr>
        <w:t xml:space="preserve"> </w:t>
      </w:r>
      <w:r w:rsidRPr="00A84629">
        <w:rPr>
          <w:rFonts w:ascii="Times New Roman" w:eastAsia="Calibri" w:hAnsi="Times New Roman" w:cs="Times New Roman"/>
          <w:sz w:val="24"/>
          <w:szCs w:val="20"/>
        </w:rPr>
        <w:t xml:space="preserve">arī ir paredzēta virkne pasākumu ēnu ekonomikas mazināšanai, piemērām, risku vadības sistēmas ieviešana Uzņēmumu reģistrā, solidārās atbildības ieviešana ģenerāluzņēmumam vai apakšuzņēmumam būvniecības nozarē, ātra, ērta un efektīva risinājuma ieviešana piedziņas vēršanai uz naudas līdzekļiem parādnieku banku kontos, nodrošinot </w:t>
      </w:r>
      <w:r w:rsidR="003714DA">
        <w:rPr>
          <w:rFonts w:ascii="Times New Roman" w:eastAsia="Calibri" w:hAnsi="Times New Roman" w:cs="Times New Roman"/>
          <w:sz w:val="24"/>
          <w:szCs w:val="20"/>
        </w:rPr>
        <w:t>VID</w:t>
      </w:r>
      <w:r w:rsidRPr="00A84629">
        <w:rPr>
          <w:rFonts w:ascii="Times New Roman" w:eastAsia="Calibri" w:hAnsi="Times New Roman" w:cs="Times New Roman"/>
          <w:sz w:val="24"/>
          <w:szCs w:val="20"/>
        </w:rPr>
        <w:t xml:space="preserve"> un kredītiestāžu elektronisko datu apmaiņu u.c.</w:t>
      </w:r>
    </w:p>
    <w:bookmarkEnd w:id="11"/>
    <w:bookmarkEnd w:id="12"/>
    <w:bookmarkEnd w:id="13"/>
    <w:bookmarkEnd w:id="14"/>
    <w:bookmarkEnd w:id="15"/>
    <w:p w14:paraId="4A960CBF" w14:textId="2F61FE2E" w:rsidR="0077183B" w:rsidRDefault="0077183B" w:rsidP="0077183B">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Lai varētu piešķirt papildus finansējumu </w:t>
      </w:r>
      <w:r w:rsidRPr="008E5035">
        <w:rPr>
          <w:rFonts w:ascii="Times New Roman" w:eastAsia="Calibri" w:hAnsi="Times New Roman" w:cs="Times New Roman"/>
          <w:sz w:val="24"/>
          <w:szCs w:val="24"/>
        </w:rPr>
        <w:t>vidēja termiņa budžeta prioritārajiem attīstības virzieniem</w:t>
      </w:r>
      <w:r>
        <w:rPr>
          <w:rFonts w:ascii="Times New Roman" w:eastAsia="Calibri" w:hAnsi="Times New Roman" w:cs="Times New Roman"/>
          <w:sz w:val="24"/>
          <w:szCs w:val="24"/>
        </w:rPr>
        <w:t>, kā arī finansēt neatliekamus pasākumus, nepieciešama fiskālā telpa.</w:t>
      </w:r>
    </w:p>
    <w:p w14:paraId="7973E76E" w14:textId="77777777" w:rsidR="0077183B" w:rsidRPr="00623AFE" w:rsidRDefault="0077183B" w:rsidP="0077183B">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Fiskālā telpa </w:t>
      </w:r>
      <w:r w:rsidRPr="00623AFE">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ika aprēķināta un izskatīta 2016.gada 2</w:t>
      </w:r>
      <w:r w:rsidRPr="00623AFE">
        <w:rPr>
          <w:rFonts w:ascii="Times New Roman" w:eastAsia="Calibri" w:hAnsi="Times New Roman" w:cs="Times New Roman"/>
          <w:color w:val="000000"/>
          <w:sz w:val="24"/>
          <w:szCs w:val="24"/>
        </w:rPr>
        <w:t>.augusta MK sēdē, kur tika skatīts informatīvais ziņojums "Par makroekonomisko rādītāju, ieņēmumu un vispārējās valdības</w:t>
      </w:r>
      <w:r>
        <w:rPr>
          <w:rFonts w:ascii="Times New Roman" w:eastAsia="Calibri" w:hAnsi="Times New Roman" w:cs="Times New Roman"/>
          <w:color w:val="000000"/>
          <w:sz w:val="24"/>
          <w:szCs w:val="24"/>
        </w:rPr>
        <w:t xml:space="preserve"> budžeta bilances prognozēm 2017</w:t>
      </w:r>
      <w:r w:rsidRPr="00623AF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-2019</w:t>
      </w:r>
      <w:r w:rsidRPr="00623AFE">
        <w:rPr>
          <w:rFonts w:ascii="Times New Roman" w:eastAsia="Calibri" w:hAnsi="Times New Roman" w:cs="Times New Roman"/>
          <w:color w:val="000000"/>
          <w:sz w:val="24"/>
          <w:szCs w:val="24"/>
        </w:rPr>
        <w:t>.gadā". Attiecīgi aprēķinātais „Fiskālās tel</w:t>
      </w:r>
      <w:r>
        <w:rPr>
          <w:rFonts w:ascii="Times New Roman" w:eastAsia="Calibri" w:hAnsi="Times New Roman" w:cs="Times New Roman"/>
          <w:color w:val="000000"/>
          <w:sz w:val="24"/>
          <w:szCs w:val="24"/>
        </w:rPr>
        <w:t>pas” lielums 2017.gadam bija -4,9</w:t>
      </w:r>
      <w:r w:rsidRPr="00623AFE">
        <w:rPr>
          <w:rFonts w:ascii="Times New Roman" w:eastAsia="Calibri" w:hAnsi="Times New Roman" w:cs="Times New Roman"/>
          <w:color w:val="000000"/>
          <w:sz w:val="24"/>
          <w:szCs w:val="24"/>
        </w:rPr>
        <w:t xml:space="preserve"> milj. </w:t>
      </w:r>
      <w:r w:rsidRPr="00623AFE">
        <w:rPr>
          <w:rFonts w:ascii="Times New Roman" w:eastAsia="Calibri" w:hAnsi="Times New Roman" w:cs="Times New Roman"/>
          <w:i/>
          <w:color w:val="000000"/>
          <w:sz w:val="24"/>
          <w:szCs w:val="24"/>
        </w:rPr>
        <w:t>euro</w:t>
      </w:r>
      <w:r>
        <w:rPr>
          <w:rFonts w:ascii="Times New Roman" w:eastAsia="Calibri" w:hAnsi="Times New Roman" w:cs="Times New Roman"/>
          <w:color w:val="000000"/>
          <w:sz w:val="24"/>
          <w:szCs w:val="24"/>
        </w:rPr>
        <w:t>, 2018.gadam +67,6</w:t>
      </w:r>
      <w:r w:rsidRPr="00623AFE">
        <w:rPr>
          <w:rFonts w:ascii="Times New Roman" w:eastAsia="Calibri" w:hAnsi="Times New Roman" w:cs="Times New Roman"/>
          <w:color w:val="000000"/>
          <w:sz w:val="24"/>
          <w:szCs w:val="24"/>
        </w:rPr>
        <w:t xml:space="preserve"> milj. </w:t>
      </w:r>
      <w:r w:rsidRPr="00623AFE">
        <w:rPr>
          <w:rFonts w:ascii="Times New Roman" w:eastAsia="Calibri" w:hAnsi="Times New Roman" w:cs="Times New Roman"/>
          <w:i/>
          <w:color w:val="000000"/>
          <w:sz w:val="24"/>
          <w:szCs w:val="24"/>
        </w:rPr>
        <w:t>euro</w:t>
      </w:r>
      <w:r>
        <w:rPr>
          <w:rFonts w:ascii="Times New Roman" w:eastAsia="Calibri" w:hAnsi="Times New Roman" w:cs="Times New Roman"/>
          <w:color w:val="000000"/>
          <w:sz w:val="24"/>
          <w:szCs w:val="24"/>
        </w:rPr>
        <w:t xml:space="preserve"> un 2019.gadam +215,6</w:t>
      </w:r>
      <w:r w:rsidRPr="00623AFE">
        <w:rPr>
          <w:rFonts w:ascii="Times New Roman" w:eastAsia="Calibri" w:hAnsi="Times New Roman" w:cs="Times New Roman"/>
          <w:color w:val="000000"/>
          <w:sz w:val="24"/>
          <w:szCs w:val="24"/>
        </w:rPr>
        <w:t xml:space="preserve"> milj. </w:t>
      </w:r>
      <w:r w:rsidRPr="00623AFE">
        <w:rPr>
          <w:rFonts w:ascii="Times New Roman" w:eastAsia="Calibri" w:hAnsi="Times New Roman" w:cs="Times New Roman"/>
          <w:i/>
          <w:color w:val="000000"/>
          <w:sz w:val="24"/>
          <w:szCs w:val="24"/>
        </w:rPr>
        <w:t>euro</w:t>
      </w:r>
      <w:r w:rsidRPr="00623AFE">
        <w:rPr>
          <w:rFonts w:ascii="Times New Roman" w:eastAsia="Calibri" w:hAnsi="Times New Roman" w:cs="Times New Roman"/>
          <w:color w:val="000000"/>
          <w:sz w:val="24"/>
          <w:szCs w:val="24"/>
        </w:rPr>
        <w:t>.</w:t>
      </w:r>
    </w:p>
    <w:p w14:paraId="58EC0606" w14:textId="562299E5" w:rsidR="00A32ACF" w:rsidRDefault="0077183B" w:rsidP="00CE4F37">
      <w:pPr>
        <w:spacing w:after="0" w:line="24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Līdz ar to MK</w:t>
      </w:r>
      <w:r w:rsidRPr="00623AFE">
        <w:rPr>
          <w:rFonts w:ascii="Times New Roman" w:eastAsia="Calibri" w:hAnsi="Times New Roman" w:cs="Times New Roman"/>
          <w:color w:val="000000"/>
          <w:sz w:val="24"/>
          <w:szCs w:val="24"/>
        </w:rPr>
        <w:t xml:space="preserve"> bija jāpieņem lēmumi, </w:t>
      </w:r>
      <w:r>
        <w:rPr>
          <w:rFonts w:ascii="Times New Roman" w:eastAsia="Calibri" w:hAnsi="Times New Roman" w:cs="Times New Roman"/>
          <w:color w:val="000000"/>
          <w:sz w:val="24"/>
          <w:szCs w:val="24"/>
        </w:rPr>
        <w:t>kas</w:t>
      </w:r>
      <w:r w:rsidRPr="00623AFE">
        <w:rPr>
          <w:rFonts w:ascii="Times New Roman" w:eastAsia="Calibri" w:hAnsi="Times New Roman" w:cs="Times New Roman"/>
          <w:color w:val="000000"/>
          <w:sz w:val="24"/>
          <w:szCs w:val="24"/>
        </w:rPr>
        <w:t xml:space="preserve"> ne tikai likvidētu negatīvo </w:t>
      </w:r>
      <w:r>
        <w:rPr>
          <w:rFonts w:ascii="Times New Roman" w:eastAsia="Calibri" w:hAnsi="Times New Roman" w:cs="Times New Roman"/>
          <w:color w:val="000000"/>
          <w:sz w:val="24"/>
          <w:szCs w:val="24"/>
        </w:rPr>
        <w:t>fiskālo telpu 2017</w:t>
      </w:r>
      <w:r w:rsidRPr="00623AFE">
        <w:rPr>
          <w:rFonts w:ascii="Times New Roman" w:eastAsia="Calibri" w:hAnsi="Times New Roman" w:cs="Times New Roman"/>
          <w:color w:val="000000"/>
          <w:sz w:val="24"/>
          <w:szCs w:val="24"/>
        </w:rPr>
        <w:t xml:space="preserve">.gadā, bet arī nodrošinātu </w:t>
      </w:r>
      <w:r>
        <w:rPr>
          <w:rFonts w:ascii="Times New Roman" w:eastAsia="Calibri" w:hAnsi="Times New Roman" w:cs="Times New Roman"/>
          <w:color w:val="000000"/>
          <w:sz w:val="24"/>
          <w:szCs w:val="24"/>
        </w:rPr>
        <w:t>neatliekamo vajadzību</w:t>
      </w:r>
      <w:r w:rsidRPr="00623AFE">
        <w:rPr>
          <w:rFonts w:ascii="Times New Roman" w:eastAsia="Calibri" w:hAnsi="Times New Roman" w:cs="Times New Roman"/>
          <w:color w:val="000000"/>
          <w:sz w:val="24"/>
          <w:szCs w:val="24"/>
        </w:rPr>
        <w:t xml:space="preserve"> finansēšanu. </w:t>
      </w:r>
    </w:p>
    <w:p w14:paraId="32B7CB8A" w14:textId="77777777" w:rsidR="00D47E1F" w:rsidRDefault="00D47E1F">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p>
    <w:p w14:paraId="4FE5717A" w14:textId="4008F550" w:rsidR="0077183B" w:rsidRPr="003714DA" w:rsidRDefault="00E045E3" w:rsidP="003714DA">
      <w:pPr>
        <w:spacing w:before="120" w:after="60" w:line="240" w:lineRule="auto"/>
        <w:ind w:left="1072"/>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3.</w:t>
      </w:r>
      <w:r w:rsidR="006E5765">
        <w:rPr>
          <w:rFonts w:ascii="Times New Roman" w:eastAsia="Calibri" w:hAnsi="Times New Roman" w:cs="Times New Roman"/>
          <w:b/>
          <w:color w:val="000000"/>
          <w:sz w:val="24"/>
          <w:szCs w:val="24"/>
        </w:rPr>
        <w:t>6</w:t>
      </w:r>
      <w:r w:rsidR="0077183B" w:rsidRPr="003714DA">
        <w:rPr>
          <w:rFonts w:ascii="Times New Roman" w:eastAsia="Calibri" w:hAnsi="Times New Roman" w:cs="Times New Roman"/>
          <w:b/>
          <w:color w:val="000000"/>
          <w:sz w:val="24"/>
          <w:szCs w:val="24"/>
        </w:rPr>
        <w:t xml:space="preserve">.tabula. Ieņēmumus palielinoši pasākumi (virs 1 milj. </w:t>
      </w:r>
      <w:r w:rsidR="0077183B" w:rsidRPr="006B0EBB">
        <w:rPr>
          <w:rFonts w:ascii="Times New Roman" w:eastAsia="Calibri" w:hAnsi="Times New Roman" w:cs="Times New Roman"/>
          <w:b/>
          <w:i/>
          <w:color w:val="000000"/>
          <w:sz w:val="24"/>
          <w:szCs w:val="24"/>
        </w:rPr>
        <w:t>euro</w:t>
      </w:r>
      <w:r w:rsidR="0077183B" w:rsidRPr="003714DA">
        <w:rPr>
          <w:rFonts w:ascii="Times New Roman" w:eastAsia="Calibri" w:hAnsi="Times New Roman" w:cs="Times New Roman"/>
          <w:b/>
          <w:color w:val="000000"/>
          <w:sz w:val="24"/>
          <w:szCs w:val="24"/>
        </w:rPr>
        <w:t>)</w:t>
      </w:r>
    </w:p>
    <w:tbl>
      <w:tblPr>
        <w:tblStyle w:val="GridTable6Colorful-Accent1"/>
        <w:tblW w:w="0" w:type="auto"/>
        <w:jc w:val="center"/>
        <w:tblLayout w:type="fixed"/>
        <w:tblLook w:val="04A0" w:firstRow="1" w:lastRow="0" w:firstColumn="1" w:lastColumn="0" w:noHBand="0" w:noVBand="1"/>
      </w:tblPr>
      <w:tblGrid>
        <w:gridCol w:w="6232"/>
        <w:gridCol w:w="993"/>
        <w:gridCol w:w="992"/>
        <w:gridCol w:w="844"/>
      </w:tblGrid>
      <w:tr w:rsidR="003714DA" w:rsidRPr="003714DA" w14:paraId="110D7D98" w14:textId="77777777" w:rsidTr="004D5E99">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6232" w:type="dxa"/>
            <w:noWrap/>
            <w:vAlign w:val="center"/>
            <w:hideMark/>
          </w:tcPr>
          <w:p w14:paraId="303F300F" w14:textId="77777777" w:rsidR="0077183B" w:rsidRPr="003714DA" w:rsidRDefault="0077183B" w:rsidP="006C67E6">
            <w:pPr>
              <w:jc w:val="center"/>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Pasākums</w:t>
            </w:r>
          </w:p>
        </w:tc>
        <w:tc>
          <w:tcPr>
            <w:tcW w:w="993" w:type="dxa"/>
            <w:noWrap/>
            <w:vAlign w:val="center"/>
            <w:hideMark/>
          </w:tcPr>
          <w:p w14:paraId="03238805" w14:textId="77777777" w:rsidR="0077183B" w:rsidRPr="003714DA" w:rsidRDefault="0077183B"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2017</w:t>
            </w:r>
          </w:p>
        </w:tc>
        <w:tc>
          <w:tcPr>
            <w:tcW w:w="992" w:type="dxa"/>
            <w:noWrap/>
            <w:vAlign w:val="center"/>
            <w:hideMark/>
          </w:tcPr>
          <w:p w14:paraId="0525CFC2" w14:textId="77777777" w:rsidR="0077183B" w:rsidRPr="003714DA" w:rsidRDefault="0077183B"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2018</w:t>
            </w:r>
          </w:p>
        </w:tc>
        <w:tc>
          <w:tcPr>
            <w:tcW w:w="844" w:type="dxa"/>
            <w:noWrap/>
            <w:vAlign w:val="center"/>
            <w:hideMark/>
          </w:tcPr>
          <w:p w14:paraId="169FF1D7" w14:textId="77777777" w:rsidR="0077183B" w:rsidRPr="003714DA" w:rsidRDefault="0077183B"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2019</w:t>
            </w:r>
          </w:p>
        </w:tc>
      </w:tr>
      <w:tr w:rsidR="003714DA" w:rsidRPr="003714DA" w14:paraId="37560D2E" w14:textId="77777777" w:rsidTr="004D5E9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D97F929"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Saglabāta šobrīd spēkā esošā transportlīdzekļu ekspluatācijas nodokļa kārtība</w:t>
            </w:r>
          </w:p>
        </w:tc>
        <w:tc>
          <w:tcPr>
            <w:tcW w:w="993" w:type="dxa"/>
            <w:noWrap/>
            <w:vAlign w:val="center"/>
            <w:hideMark/>
          </w:tcPr>
          <w:p w14:paraId="5A3E8048"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34.2 </w:t>
            </w:r>
          </w:p>
        </w:tc>
        <w:tc>
          <w:tcPr>
            <w:tcW w:w="992" w:type="dxa"/>
            <w:noWrap/>
            <w:vAlign w:val="center"/>
            <w:hideMark/>
          </w:tcPr>
          <w:p w14:paraId="2ACC3F59"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0.0 </w:t>
            </w:r>
          </w:p>
        </w:tc>
        <w:tc>
          <w:tcPr>
            <w:tcW w:w="844" w:type="dxa"/>
            <w:noWrap/>
            <w:vAlign w:val="center"/>
            <w:hideMark/>
          </w:tcPr>
          <w:p w14:paraId="78A6F01A"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-43.4 </w:t>
            </w:r>
          </w:p>
        </w:tc>
      </w:tr>
      <w:tr w:rsidR="003714DA" w:rsidRPr="003714DA" w14:paraId="2172E1C7"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B4481BD"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Autoceļu lietošanas nodevas iekasēšanas uzlabošana</w:t>
            </w:r>
          </w:p>
        </w:tc>
        <w:tc>
          <w:tcPr>
            <w:tcW w:w="993" w:type="dxa"/>
            <w:noWrap/>
            <w:vAlign w:val="center"/>
            <w:hideMark/>
          </w:tcPr>
          <w:p w14:paraId="0E321C4F"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7.3 </w:t>
            </w:r>
          </w:p>
        </w:tc>
        <w:tc>
          <w:tcPr>
            <w:tcW w:w="992" w:type="dxa"/>
            <w:noWrap/>
            <w:vAlign w:val="center"/>
            <w:hideMark/>
          </w:tcPr>
          <w:p w14:paraId="3374C4DD"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7.3 </w:t>
            </w:r>
          </w:p>
        </w:tc>
        <w:tc>
          <w:tcPr>
            <w:tcW w:w="844" w:type="dxa"/>
            <w:noWrap/>
            <w:vAlign w:val="center"/>
            <w:hideMark/>
          </w:tcPr>
          <w:p w14:paraId="21B114AC"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7.3 </w:t>
            </w:r>
          </w:p>
        </w:tc>
      </w:tr>
      <w:tr w:rsidR="003714DA" w:rsidRPr="003714DA" w14:paraId="5A3B6706" w14:textId="77777777" w:rsidTr="004D5E99">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F4C5A38"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Nodokļa avansa ieviešana taksometru nozarei</w:t>
            </w:r>
          </w:p>
        </w:tc>
        <w:tc>
          <w:tcPr>
            <w:tcW w:w="993" w:type="dxa"/>
            <w:noWrap/>
            <w:vAlign w:val="center"/>
            <w:hideMark/>
          </w:tcPr>
          <w:p w14:paraId="3F2E08C2"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4.0 </w:t>
            </w:r>
          </w:p>
        </w:tc>
        <w:tc>
          <w:tcPr>
            <w:tcW w:w="992" w:type="dxa"/>
            <w:noWrap/>
            <w:vAlign w:val="center"/>
            <w:hideMark/>
          </w:tcPr>
          <w:p w14:paraId="6412E253"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4.0 </w:t>
            </w:r>
          </w:p>
        </w:tc>
        <w:tc>
          <w:tcPr>
            <w:tcW w:w="844" w:type="dxa"/>
            <w:noWrap/>
            <w:vAlign w:val="center"/>
            <w:hideMark/>
          </w:tcPr>
          <w:p w14:paraId="438180EA"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4.0 </w:t>
            </w:r>
          </w:p>
        </w:tc>
      </w:tr>
      <w:tr w:rsidR="003714DA" w:rsidRPr="003714DA" w14:paraId="54F3E7AB" w14:textId="77777777" w:rsidTr="004D5E99">
        <w:trPr>
          <w:trHeight w:val="315"/>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EC3F1A"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IIN atvieglojuma ieviešana darbinieku ēšanas izdevumiem, ja ir noslēgts koplīgums</w:t>
            </w:r>
          </w:p>
        </w:tc>
        <w:tc>
          <w:tcPr>
            <w:tcW w:w="993" w:type="dxa"/>
            <w:noWrap/>
            <w:vAlign w:val="center"/>
            <w:hideMark/>
          </w:tcPr>
          <w:p w14:paraId="093D8DD5"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-3.9 </w:t>
            </w:r>
          </w:p>
        </w:tc>
        <w:tc>
          <w:tcPr>
            <w:tcW w:w="992" w:type="dxa"/>
            <w:noWrap/>
            <w:vAlign w:val="center"/>
            <w:hideMark/>
          </w:tcPr>
          <w:p w14:paraId="1976DF80"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-7.9 </w:t>
            </w:r>
          </w:p>
        </w:tc>
        <w:tc>
          <w:tcPr>
            <w:tcW w:w="844" w:type="dxa"/>
            <w:noWrap/>
            <w:vAlign w:val="center"/>
            <w:hideMark/>
          </w:tcPr>
          <w:p w14:paraId="0068F10B"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-7.9 </w:t>
            </w:r>
          </w:p>
        </w:tc>
      </w:tr>
      <w:tr w:rsidR="003714DA" w:rsidRPr="003714DA" w14:paraId="7F478474"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C0B7F90"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 xml:space="preserve">Minimālās algas paaugstināšana ( no 370 uz 380 </w:t>
            </w:r>
            <w:r w:rsidRPr="006E5765">
              <w:rPr>
                <w:rFonts w:ascii="Times New Roman" w:eastAsia="Times New Roman" w:hAnsi="Times New Roman" w:cs="Times New Roman"/>
                <w:b w:val="0"/>
                <w:i/>
                <w:color w:val="auto"/>
                <w:sz w:val="20"/>
                <w:szCs w:val="20"/>
                <w:lang w:eastAsia="lv-LV"/>
              </w:rPr>
              <w:t>euro</w:t>
            </w:r>
            <w:r w:rsidRPr="003714DA">
              <w:rPr>
                <w:rFonts w:ascii="Times New Roman" w:eastAsia="Times New Roman" w:hAnsi="Times New Roman" w:cs="Times New Roman"/>
                <w:b w:val="0"/>
                <w:color w:val="auto"/>
                <w:sz w:val="20"/>
                <w:szCs w:val="20"/>
                <w:lang w:eastAsia="lv-LV"/>
              </w:rPr>
              <w:t>)</w:t>
            </w:r>
          </w:p>
        </w:tc>
        <w:tc>
          <w:tcPr>
            <w:tcW w:w="993" w:type="dxa"/>
            <w:noWrap/>
            <w:vAlign w:val="center"/>
            <w:hideMark/>
          </w:tcPr>
          <w:p w14:paraId="50298384"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13.3 </w:t>
            </w:r>
          </w:p>
        </w:tc>
        <w:tc>
          <w:tcPr>
            <w:tcW w:w="992" w:type="dxa"/>
            <w:noWrap/>
            <w:vAlign w:val="center"/>
            <w:hideMark/>
          </w:tcPr>
          <w:p w14:paraId="63A72E60"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13.3 </w:t>
            </w:r>
          </w:p>
        </w:tc>
        <w:tc>
          <w:tcPr>
            <w:tcW w:w="844" w:type="dxa"/>
            <w:noWrap/>
            <w:vAlign w:val="center"/>
            <w:hideMark/>
          </w:tcPr>
          <w:p w14:paraId="1FAB0766"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13.3 </w:t>
            </w:r>
          </w:p>
        </w:tc>
      </w:tr>
      <w:tr w:rsidR="003714DA" w:rsidRPr="003714DA" w14:paraId="39BE50D7"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B16361"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UIN zaudējumu pārnešanas ierobežošana</w:t>
            </w:r>
          </w:p>
        </w:tc>
        <w:tc>
          <w:tcPr>
            <w:tcW w:w="993" w:type="dxa"/>
            <w:noWrap/>
            <w:vAlign w:val="center"/>
            <w:hideMark/>
          </w:tcPr>
          <w:p w14:paraId="313E6937"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0.0 </w:t>
            </w:r>
          </w:p>
        </w:tc>
        <w:tc>
          <w:tcPr>
            <w:tcW w:w="992" w:type="dxa"/>
            <w:noWrap/>
            <w:vAlign w:val="center"/>
            <w:hideMark/>
          </w:tcPr>
          <w:p w14:paraId="425728E4"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12.5 </w:t>
            </w:r>
          </w:p>
        </w:tc>
        <w:tc>
          <w:tcPr>
            <w:tcW w:w="844" w:type="dxa"/>
            <w:noWrap/>
            <w:vAlign w:val="center"/>
            <w:hideMark/>
          </w:tcPr>
          <w:p w14:paraId="24C8785D"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11.3 </w:t>
            </w:r>
          </w:p>
        </w:tc>
      </w:tr>
      <w:tr w:rsidR="003714DA" w:rsidRPr="003714DA" w14:paraId="43934B16"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53025C4"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Elektroenerģijas nodokļa atbrīvojumu atcelšana</w:t>
            </w:r>
          </w:p>
        </w:tc>
        <w:tc>
          <w:tcPr>
            <w:tcW w:w="993" w:type="dxa"/>
            <w:noWrap/>
            <w:vAlign w:val="center"/>
            <w:hideMark/>
          </w:tcPr>
          <w:p w14:paraId="3325ABFE"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5.4 </w:t>
            </w:r>
          </w:p>
        </w:tc>
        <w:tc>
          <w:tcPr>
            <w:tcW w:w="992" w:type="dxa"/>
            <w:noWrap/>
            <w:vAlign w:val="center"/>
            <w:hideMark/>
          </w:tcPr>
          <w:p w14:paraId="4743F64E"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5.4 </w:t>
            </w:r>
          </w:p>
        </w:tc>
        <w:tc>
          <w:tcPr>
            <w:tcW w:w="844" w:type="dxa"/>
            <w:noWrap/>
            <w:vAlign w:val="center"/>
            <w:hideMark/>
          </w:tcPr>
          <w:p w14:paraId="154CEFAC"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5.4 </w:t>
            </w:r>
          </w:p>
        </w:tc>
      </w:tr>
      <w:tr w:rsidR="003714DA" w:rsidRPr="003714DA" w14:paraId="4C765416"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4B46E47"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Dabas resursu nodokļa likmju pārskatīšana un atbrīvojumu atcelšana</w:t>
            </w:r>
          </w:p>
        </w:tc>
        <w:tc>
          <w:tcPr>
            <w:tcW w:w="993" w:type="dxa"/>
            <w:noWrap/>
            <w:vAlign w:val="center"/>
            <w:hideMark/>
          </w:tcPr>
          <w:p w14:paraId="18F740C2"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9.1 </w:t>
            </w:r>
          </w:p>
        </w:tc>
        <w:tc>
          <w:tcPr>
            <w:tcW w:w="992" w:type="dxa"/>
            <w:noWrap/>
            <w:vAlign w:val="center"/>
            <w:hideMark/>
          </w:tcPr>
          <w:p w14:paraId="607C1756"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9.1 </w:t>
            </w:r>
          </w:p>
        </w:tc>
        <w:tc>
          <w:tcPr>
            <w:tcW w:w="844" w:type="dxa"/>
            <w:noWrap/>
            <w:vAlign w:val="center"/>
            <w:hideMark/>
          </w:tcPr>
          <w:p w14:paraId="13981550"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9.1 </w:t>
            </w:r>
          </w:p>
        </w:tc>
      </w:tr>
      <w:tr w:rsidR="003714DA" w:rsidRPr="003714DA" w14:paraId="0C6E167A" w14:textId="77777777" w:rsidTr="004D5E9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284A868"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Solidārās atbildības ieviešana ģenerāluzņēmumam vai apakšuzņēmumam būvniecības nozarē</w:t>
            </w:r>
          </w:p>
        </w:tc>
        <w:tc>
          <w:tcPr>
            <w:tcW w:w="993" w:type="dxa"/>
            <w:noWrap/>
            <w:vAlign w:val="center"/>
            <w:hideMark/>
          </w:tcPr>
          <w:p w14:paraId="663D8482"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2.1 </w:t>
            </w:r>
          </w:p>
        </w:tc>
        <w:tc>
          <w:tcPr>
            <w:tcW w:w="992" w:type="dxa"/>
            <w:noWrap/>
            <w:vAlign w:val="center"/>
            <w:hideMark/>
          </w:tcPr>
          <w:p w14:paraId="61114A43"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2.1 </w:t>
            </w:r>
          </w:p>
        </w:tc>
        <w:tc>
          <w:tcPr>
            <w:tcW w:w="844" w:type="dxa"/>
            <w:noWrap/>
            <w:vAlign w:val="center"/>
            <w:hideMark/>
          </w:tcPr>
          <w:p w14:paraId="6F5AE0C7"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2.1 </w:t>
            </w:r>
          </w:p>
        </w:tc>
      </w:tr>
      <w:tr w:rsidR="003714DA" w:rsidRPr="003714DA" w14:paraId="1F031C68" w14:textId="77777777" w:rsidTr="004D5E99">
        <w:trPr>
          <w:trHeight w:val="315"/>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660F440" w14:textId="7C3997AE" w:rsidR="0077183B" w:rsidRPr="003714DA" w:rsidRDefault="0077183B" w:rsidP="00D04089">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 xml:space="preserve">Ieviest ātru, ērtu un efektīvu risinājumu piedziņas vēršanai uz naudas līdzekļiem parādnieku banku kontos nodrošinot </w:t>
            </w:r>
            <w:r w:rsidR="00D04089">
              <w:rPr>
                <w:rFonts w:ascii="Times New Roman" w:eastAsia="Times New Roman" w:hAnsi="Times New Roman" w:cs="Times New Roman"/>
                <w:b w:val="0"/>
                <w:color w:val="auto"/>
                <w:sz w:val="20"/>
                <w:szCs w:val="20"/>
                <w:lang w:eastAsia="lv-LV"/>
              </w:rPr>
              <w:t>VID</w:t>
            </w:r>
            <w:r w:rsidRPr="003714DA">
              <w:rPr>
                <w:rFonts w:ascii="Times New Roman" w:eastAsia="Times New Roman" w:hAnsi="Times New Roman" w:cs="Times New Roman"/>
                <w:b w:val="0"/>
                <w:color w:val="auto"/>
                <w:sz w:val="20"/>
                <w:szCs w:val="20"/>
                <w:lang w:eastAsia="lv-LV"/>
              </w:rPr>
              <w:t xml:space="preserve"> un kredītiestāžu elektronisko datu apmaiņu</w:t>
            </w:r>
          </w:p>
        </w:tc>
        <w:tc>
          <w:tcPr>
            <w:tcW w:w="993" w:type="dxa"/>
            <w:noWrap/>
            <w:vAlign w:val="center"/>
            <w:hideMark/>
          </w:tcPr>
          <w:p w14:paraId="0087225B"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2.1 </w:t>
            </w:r>
          </w:p>
        </w:tc>
        <w:tc>
          <w:tcPr>
            <w:tcW w:w="992" w:type="dxa"/>
            <w:noWrap/>
            <w:vAlign w:val="center"/>
            <w:hideMark/>
          </w:tcPr>
          <w:p w14:paraId="5B3DAE23"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2.2 </w:t>
            </w:r>
          </w:p>
        </w:tc>
        <w:tc>
          <w:tcPr>
            <w:tcW w:w="844" w:type="dxa"/>
            <w:noWrap/>
            <w:vAlign w:val="center"/>
            <w:hideMark/>
          </w:tcPr>
          <w:p w14:paraId="684E4D94"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2.4 </w:t>
            </w:r>
          </w:p>
        </w:tc>
      </w:tr>
      <w:tr w:rsidR="003714DA" w:rsidRPr="003714DA" w14:paraId="78224ECA"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5657C00"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Ieviest risku vadības sistēmu Uzņēmumu reģistrā</w:t>
            </w:r>
          </w:p>
        </w:tc>
        <w:tc>
          <w:tcPr>
            <w:tcW w:w="993" w:type="dxa"/>
            <w:noWrap/>
            <w:vAlign w:val="center"/>
            <w:hideMark/>
          </w:tcPr>
          <w:p w14:paraId="3152EB03"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3.8 </w:t>
            </w:r>
          </w:p>
        </w:tc>
        <w:tc>
          <w:tcPr>
            <w:tcW w:w="992" w:type="dxa"/>
            <w:noWrap/>
            <w:vAlign w:val="center"/>
            <w:hideMark/>
          </w:tcPr>
          <w:p w14:paraId="550E91DA"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3.8 </w:t>
            </w:r>
          </w:p>
        </w:tc>
        <w:tc>
          <w:tcPr>
            <w:tcW w:w="844" w:type="dxa"/>
            <w:noWrap/>
            <w:vAlign w:val="center"/>
            <w:hideMark/>
          </w:tcPr>
          <w:p w14:paraId="2AFE4824"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3.8 </w:t>
            </w:r>
          </w:p>
        </w:tc>
      </w:tr>
      <w:tr w:rsidR="003714DA" w:rsidRPr="003714DA" w14:paraId="66E3A8B0" w14:textId="77777777" w:rsidTr="004D5E99">
        <w:trPr>
          <w:trHeight w:val="315"/>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73580AF"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Apkarot un ierobežot nelegālā audiovizuālā tirgus (televīzijas programmu un filmu) izplatīšanu</w:t>
            </w:r>
          </w:p>
        </w:tc>
        <w:tc>
          <w:tcPr>
            <w:tcW w:w="993" w:type="dxa"/>
            <w:noWrap/>
            <w:vAlign w:val="center"/>
            <w:hideMark/>
          </w:tcPr>
          <w:p w14:paraId="3A96A998"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1.0 </w:t>
            </w:r>
          </w:p>
        </w:tc>
        <w:tc>
          <w:tcPr>
            <w:tcW w:w="992" w:type="dxa"/>
            <w:noWrap/>
            <w:vAlign w:val="center"/>
            <w:hideMark/>
          </w:tcPr>
          <w:p w14:paraId="40F4F4E6"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1.0 </w:t>
            </w:r>
          </w:p>
        </w:tc>
        <w:tc>
          <w:tcPr>
            <w:tcW w:w="844" w:type="dxa"/>
            <w:noWrap/>
            <w:vAlign w:val="center"/>
            <w:hideMark/>
          </w:tcPr>
          <w:p w14:paraId="1063FCBD"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1.0 </w:t>
            </w:r>
          </w:p>
        </w:tc>
      </w:tr>
      <w:tr w:rsidR="003714DA" w:rsidRPr="003714DA" w14:paraId="1462A9C0"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6CB5376"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Pilnveidot nosacījumus lietotu transportlīdzekļu reģistrācijai</w:t>
            </w:r>
          </w:p>
        </w:tc>
        <w:tc>
          <w:tcPr>
            <w:tcW w:w="993" w:type="dxa"/>
            <w:noWrap/>
            <w:vAlign w:val="center"/>
            <w:hideMark/>
          </w:tcPr>
          <w:p w14:paraId="014DA273"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1.3 </w:t>
            </w:r>
          </w:p>
        </w:tc>
        <w:tc>
          <w:tcPr>
            <w:tcW w:w="992" w:type="dxa"/>
            <w:noWrap/>
            <w:vAlign w:val="center"/>
            <w:hideMark/>
          </w:tcPr>
          <w:p w14:paraId="1A5DBB52"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1.3 </w:t>
            </w:r>
          </w:p>
        </w:tc>
        <w:tc>
          <w:tcPr>
            <w:tcW w:w="844" w:type="dxa"/>
            <w:noWrap/>
            <w:vAlign w:val="center"/>
            <w:hideMark/>
          </w:tcPr>
          <w:p w14:paraId="18E7EC58"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1.3 </w:t>
            </w:r>
          </w:p>
        </w:tc>
      </w:tr>
      <w:tr w:rsidR="003714DA" w:rsidRPr="003714DA" w14:paraId="5E2A392E"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816E84E"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 xml:space="preserve">Valsts kapitālsabiedrībām dividendēs izmaksājamās daļas apmēra noteikšana </w:t>
            </w:r>
          </w:p>
        </w:tc>
        <w:tc>
          <w:tcPr>
            <w:tcW w:w="993" w:type="dxa"/>
            <w:noWrap/>
            <w:vAlign w:val="center"/>
            <w:hideMark/>
          </w:tcPr>
          <w:p w14:paraId="11DAC75A"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7.7 </w:t>
            </w:r>
          </w:p>
        </w:tc>
        <w:tc>
          <w:tcPr>
            <w:tcW w:w="992" w:type="dxa"/>
            <w:noWrap/>
            <w:vAlign w:val="center"/>
            <w:hideMark/>
          </w:tcPr>
          <w:p w14:paraId="111E7CB6"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1.0 </w:t>
            </w:r>
          </w:p>
        </w:tc>
        <w:tc>
          <w:tcPr>
            <w:tcW w:w="844" w:type="dxa"/>
            <w:noWrap/>
            <w:vAlign w:val="center"/>
            <w:hideMark/>
          </w:tcPr>
          <w:p w14:paraId="59A30601"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33.8 </w:t>
            </w:r>
          </w:p>
        </w:tc>
      </w:tr>
      <w:tr w:rsidR="003714DA" w:rsidRPr="003714DA" w14:paraId="0AE3D4C2"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4E06F95"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 xml:space="preserve">Valsts nodeva par naftas produktu drošības rezervju uzturēšanu </w:t>
            </w:r>
          </w:p>
        </w:tc>
        <w:tc>
          <w:tcPr>
            <w:tcW w:w="993" w:type="dxa"/>
            <w:noWrap/>
            <w:vAlign w:val="center"/>
            <w:hideMark/>
          </w:tcPr>
          <w:p w14:paraId="012560C1"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-2.4 </w:t>
            </w:r>
          </w:p>
        </w:tc>
        <w:tc>
          <w:tcPr>
            <w:tcW w:w="992" w:type="dxa"/>
            <w:noWrap/>
            <w:vAlign w:val="center"/>
            <w:hideMark/>
          </w:tcPr>
          <w:p w14:paraId="11FD7361"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-2.4 </w:t>
            </w:r>
          </w:p>
        </w:tc>
        <w:tc>
          <w:tcPr>
            <w:tcW w:w="844" w:type="dxa"/>
            <w:noWrap/>
            <w:vAlign w:val="center"/>
            <w:hideMark/>
          </w:tcPr>
          <w:p w14:paraId="43400A9C"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-1.2 </w:t>
            </w:r>
          </w:p>
        </w:tc>
      </w:tr>
      <w:tr w:rsidR="003714DA" w:rsidRPr="003714DA" w14:paraId="23A0D5C8"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65DC9C"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Valsts nodeva par pasu izsniegšanu</w:t>
            </w:r>
          </w:p>
        </w:tc>
        <w:tc>
          <w:tcPr>
            <w:tcW w:w="993" w:type="dxa"/>
            <w:noWrap/>
            <w:vAlign w:val="center"/>
            <w:hideMark/>
          </w:tcPr>
          <w:p w14:paraId="1BCD271D"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0.0 </w:t>
            </w:r>
          </w:p>
        </w:tc>
        <w:tc>
          <w:tcPr>
            <w:tcW w:w="992" w:type="dxa"/>
            <w:noWrap/>
            <w:vAlign w:val="center"/>
            <w:hideMark/>
          </w:tcPr>
          <w:p w14:paraId="2862403B"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0.0 </w:t>
            </w:r>
          </w:p>
        </w:tc>
        <w:tc>
          <w:tcPr>
            <w:tcW w:w="844" w:type="dxa"/>
            <w:noWrap/>
            <w:vAlign w:val="center"/>
            <w:hideMark/>
          </w:tcPr>
          <w:p w14:paraId="5C46CFDA"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7.3 </w:t>
            </w:r>
          </w:p>
        </w:tc>
      </w:tr>
      <w:tr w:rsidR="003714DA" w:rsidRPr="003714DA" w14:paraId="629066D8" w14:textId="77777777" w:rsidTr="004D5E99">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362F99" w14:textId="6A10EDB4" w:rsidR="0077183B" w:rsidRPr="003714DA" w:rsidRDefault="0077183B" w:rsidP="00D04089">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 xml:space="preserve">Dabas resursu nodokļa ieņēmumu precizēšana saskaņā ar 2016.gada 27.septembra </w:t>
            </w:r>
            <w:r w:rsidR="00D04089">
              <w:rPr>
                <w:rFonts w:ascii="Times New Roman" w:eastAsia="Times New Roman" w:hAnsi="Times New Roman" w:cs="Times New Roman"/>
                <w:b w:val="0"/>
                <w:color w:val="auto"/>
                <w:sz w:val="20"/>
                <w:szCs w:val="20"/>
                <w:lang w:eastAsia="lv-LV"/>
              </w:rPr>
              <w:t>MK</w:t>
            </w:r>
            <w:r w:rsidRPr="003714DA">
              <w:rPr>
                <w:rFonts w:ascii="Times New Roman" w:eastAsia="Times New Roman" w:hAnsi="Times New Roman" w:cs="Times New Roman"/>
                <w:b w:val="0"/>
                <w:color w:val="auto"/>
                <w:sz w:val="20"/>
                <w:szCs w:val="20"/>
                <w:lang w:eastAsia="lv-LV"/>
              </w:rPr>
              <w:t xml:space="preserve"> sēdes protokola Nr.48  91.§ 6.punktu</w:t>
            </w:r>
          </w:p>
        </w:tc>
        <w:tc>
          <w:tcPr>
            <w:tcW w:w="993" w:type="dxa"/>
            <w:noWrap/>
            <w:vAlign w:val="center"/>
            <w:hideMark/>
          </w:tcPr>
          <w:p w14:paraId="75CCE788"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0.7 </w:t>
            </w:r>
          </w:p>
        </w:tc>
        <w:tc>
          <w:tcPr>
            <w:tcW w:w="992" w:type="dxa"/>
            <w:noWrap/>
            <w:vAlign w:val="center"/>
            <w:hideMark/>
          </w:tcPr>
          <w:p w14:paraId="50DB3C6C"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1.1 </w:t>
            </w:r>
          </w:p>
        </w:tc>
        <w:tc>
          <w:tcPr>
            <w:tcW w:w="844" w:type="dxa"/>
            <w:noWrap/>
            <w:vAlign w:val="center"/>
            <w:hideMark/>
          </w:tcPr>
          <w:p w14:paraId="05A9EA5B"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1.5 </w:t>
            </w:r>
          </w:p>
        </w:tc>
      </w:tr>
      <w:tr w:rsidR="003714DA" w:rsidRPr="003714DA" w14:paraId="186C72F8"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8C658BD"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Subsidētās elektroenerģijas nodokļa pārtraukšana ar 2020. gadu</w:t>
            </w:r>
          </w:p>
        </w:tc>
        <w:tc>
          <w:tcPr>
            <w:tcW w:w="993" w:type="dxa"/>
            <w:noWrap/>
            <w:vAlign w:val="center"/>
            <w:hideMark/>
          </w:tcPr>
          <w:p w14:paraId="4C47368E"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-17.9 </w:t>
            </w:r>
          </w:p>
        </w:tc>
        <w:tc>
          <w:tcPr>
            <w:tcW w:w="992" w:type="dxa"/>
            <w:noWrap/>
            <w:vAlign w:val="center"/>
            <w:hideMark/>
          </w:tcPr>
          <w:p w14:paraId="6304D501"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-21.7 </w:t>
            </w:r>
          </w:p>
        </w:tc>
        <w:tc>
          <w:tcPr>
            <w:tcW w:w="844" w:type="dxa"/>
            <w:noWrap/>
            <w:vAlign w:val="center"/>
            <w:hideMark/>
          </w:tcPr>
          <w:p w14:paraId="4B6C6506"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43.3 </w:t>
            </w:r>
          </w:p>
        </w:tc>
      </w:tr>
      <w:tr w:rsidR="003714DA" w:rsidRPr="003714DA" w14:paraId="0D890E34"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3835B21"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Jaunu stacionāro fotoradaru uzstādīšana</w:t>
            </w:r>
          </w:p>
        </w:tc>
        <w:tc>
          <w:tcPr>
            <w:tcW w:w="993" w:type="dxa"/>
            <w:noWrap/>
            <w:vAlign w:val="center"/>
            <w:hideMark/>
          </w:tcPr>
          <w:p w14:paraId="314BBBF5"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0.5 </w:t>
            </w:r>
          </w:p>
        </w:tc>
        <w:tc>
          <w:tcPr>
            <w:tcW w:w="992" w:type="dxa"/>
            <w:noWrap/>
            <w:vAlign w:val="center"/>
            <w:hideMark/>
          </w:tcPr>
          <w:p w14:paraId="41767DF8"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1.9 </w:t>
            </w:r>
          </w:p>
        </w:tc>
        <w:tc>
          <w:tcPr>
            <w:tcW w:w="844" w:type="dxa"/>
            <w:noWrap/>
            <w:vAlign w:val="center"/>
            <w:hideMark/>
          </w:tcPr>
          <w:p w14:paraId="79CB765F"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2.0 </w:t>
            </w:r>
          </w:p>
        </w:tc>
      </w:tr>
      <w:tr w:rsidR="003714DA" w:rsidRPr="003714DA" w14:paraId="79946F0B"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DF2A5C0"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Samazināti ieņēmumi no autoceļu lietošanas nodevas.</w:t>
            </w:r>
          </w:p>
        </w:tc>
        <w:tc>
          <w:tcPr>
            <w:tcW w:w="993" w:type="dxa"/>
            <w:noWrap/>
            <w:vAlign w:val="center"/>
            <w:hideMark/>
          </w:tcPr>
          <w:p w14:paraId="40CD8DD1"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-4.5 </w:t>
            </w:r>
          </w:p>
        </w:tc>
        <w:tc>
          <w:tcPr>
            <w:tcW w:w="992" w:type="dxa"/>
            <w:noWrap/>
            <w:vAlign w:val="center"/>
            <w:hideMark/>
          </w:tcPr>
          <w:p w14:paraId="28C66750"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0.0 </w:t>
            </w:r>
          </w:p>
        </w:tc>
        <w:tc>
          <w:tcPr>
            <w:tcW w:w="844" w:type="dxa"/>
            <w:noWrap/>
            <w:vAlign w:val="center"/>
            <w:hideMark/>
          </w:tcPr>
          <w:p w14:paraId="5E76407A"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0.0 </w:t>
            </w:r>
          </w:p>
        </w:tc>
      </w:tr>
      <w:tr w:rsidR="003714DA" w:rsidRPr="003714DA" w14:paraId="30024505"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E74FA52"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 xml:space="preserve">Akcīzes nodokļa likmes palielināšana cigāriem un cigarillām </w:t>
            </w:r>
          </w:p>
        </w:tc>
        <w:tc>
          <w:tcPr>
            <w:tcW w:w="993" w:type="dxa"/>
            <w:noWrap/>
            <w:vAlign w:val="center"/>
            <w:hideMark/>
          </w:tcPr>
          <w:p w14:paraId="78B40968"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0.6 </w:t>
            </w:r>
          </w:p>
        </w:tc>
        <w:tc>
          <w:tcPr>
            <w:tcW w:w="992" w:type="dxa"/>
            <w:noWrap/>
            <w:vAlign w:val="center"/>
            <w:hideMark/>
          </w:tcPr>
          <w:p w14:paraId="2DD9D105"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0.9 </w:t>
            </w:r>
          </w:p>
        </w:tc>
        <w:tc>
          <w:tcPr>
            <w:tcW w:w="844" w:type="dxa"/>
            <w:noWrap/>
            <w:vAlign w:val="center"/>
            <w:hideMark/>
          </w:tcPr>
          <w:p w14:paraId="18347892"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1.2 </w:t>
            </w:r>
          </w:p>
        </w:tc>
      </w:tr>
      <w:tr w:rsidR="003714DA" w:rsidRPr="003714DA" w14:paraId="2867919E"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21E8B55"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Akcīzes nodokļa likmes palielināšana cigaretēm</w:t>
            </w:r>
          </w:p>
        </w:tc>
        <w:tc>
          <w:tcPr>
            <w:tcW w:w="993" w:type="dxa"/>
            <w:noWrap/>
            <w:vAlign w:val="center"/>
            <w:hideMark/>
          </w:tcPr>
          <w:p w14:paraId="48D436C3"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0.8 </w:t>
            </w:r>
          </w:p>
        </w:tc>
        <w:tc>
          <w:tcPr>
            <w:tcW w:w="992" w:type="dxa"/>
            <w:noWrap/>
            <w:vAlign w:val="center"/>
            <w:hideMark/>
          </w:tcPr>
          <w:p w14:paraId="1045AC7C"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2.5 </w:t>
            </w:r>
          </w:p>
        </w:tc>
        <w:tc>
          <w:tcPr>
            <w:tcW w:w="844" w:type="dxa"/>
            <w:noWrap/>
            <w:vAlign w:val="center"/>
            <w:hideMark/>
          </w:tcPr>
          <w:p w14:paraId="5BF6DC20"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2.3 </w:t>
            </w:r>
          </w:p>
        </w:tc>
      </w:tr>
      <w:tr w:rsidR="003714DA" w:rsidRPr="003714DA" w14:paraId="7ABF89FB"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84A13A5" w14:textId="24D552AA" w:rsidR="0077183B" w:rsidRPr="003714DA" w:rsidRDefault="00D04089" w:rsidP="003714DA">
            <w:pPr>
              <w:rPr>
                <w:rFonts w:ascii="Times New Roman" w:eastAsia="Times New Roman" w:hAnsi="Times New Roman" w:cs="Times New Roman"/>
                <w:b w:val="0"/>
                <w:color w:val="auto"/>
                <w:sz w:val="20"/>
                <w:szCs w:val="20"/>
                <w:lang w:eastAsia="lv-LV"/>
              </w:rPr>
            </w:pPr>
            <w:r>
              <w:rPr>
                <w:rFonts w:ascii="Times New Roman" w:eastAsia="Times New Roman" w:hAnsi="Times New Roman" w:cs="Times New Roman"/>
                <w:b w:val="0"/>
                <w:color w:val="auto"/>
                <w:sz w:val="20"/>
                <w:szCs w:val="20"/>
                <w:lang w:eastAsia="lv-LV"/>
              </w:rPr>
              <w:t>Mikrouzņēmuma nodokļu</w:t>
            </w:r>
            <w:r w:rsidR="0077183B" w:rsidRPr="003714DA">
              <w:rPr>
                <w:rFonts w:ascii="Times New Roman" w:eastAsia="Times New Roman" w:hAnsi="Times New Roman" w:cs="Times New Roman"/>
                <w:b w:val="0"/>
                <w:color w:val="auto"/>
                <w:sz w:val="20"/>
                <w:szCs w:val="20"/>
                <w:lang w:eastAsia="lv-LV"/>
              </w:rPr>
              <w:t xml:space="preserve"> likmes noteikšana 15% apmērā, milj.</w:t>
            </w:r>
            <w:r w:rsidR="0077183B" w:rsidRPr="006C67E6">
              <w:rPr>
                <w:rFonts w:ascii="Times New Roman" w:eastAsia="Times New Roman" w:hAnsi="Times New Roman" w:cs="Times New Roman"/>
                <w:b w:val="0"/>
                <w:i/>
                <w:color w:val="auto"/>
                <w:sz w:val="20"/>
                <w:szCs w:val="20"/>
                <w:lang w:eastAsia="lv-LV"/>
              </w:rPr>
              <w:t>euro</w:t>
            </w:r>
          </w:p>
        </w:tc>
        <w:tc>
          <w:tcPr>
            <w:tcW w:w="993" w:type="dxa"/>
            <w:noWrap/>
            <w:vAlign w:val="center"/>
            <w:hideMark/>
          </w:tcPr>
          <w:p w14:paraId="3CE07217"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78.6 </w:t>
            </w:r>
          </w:p>
        </w:tc>
        <w:tc>
          <w:tcPr>
            <w:tcW w:w="992" w:type="dxa"/>
            <w:noWrap/>
            <w:vAlign w:val="center"/>
            <w:hideMark/>
          </w:tcPr>
          <w:p w14:paraId="0985AB55"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97.8 </w:t>
            </w:r>
          </w:p>
        </w:tc>
        <w:tc>
          <w:tcPr>
            <w:tcW w:w="844" w:type="dxa"/>
            <w:noWrap/>
            <w:vAlign w:val="center"/>
            <w:hideMark/>
          </w:tcPr>
          <w:p w14:paraId="680AA096"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97.8 </w:t>
            </w:r>
          </w:p>
        </w:tc>
      </w:tr>
      <w:tr w:rsidR="003714DA" w:rsidRPr="003714DA" w14:paraId="7F8CF752" w14:textId="77777777" w:rsidTr="004D5E99">
        <w:trPr>
          <w:trHeight w:val="315"/>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11D6D2E" w14:textId="2877A7E9" w:rsidR="0077183B" w:rsidRPr="003714DA" w:rsidRDefault="0077183B" w:rsidP="00F225E9">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 xml:space="preserve">Darba ņēmēja un darba devēja pārskata mēneša minimālā </w:t>
            </w:r>
            <w:r w:rsidR="00F225E9">
              <w:rPr>
                <w:rFonts w:ascii="Times New Roman" w:eastAsia="Times New Roman" w:hAnsi="Times New Roman" w:cs="Times New Roman"/>
                <w:b w:val="0"/>
                <w:color w:val="auto"/>
                <w:sz w:val="20"/>
                <w:szCs w:val="20"/>
                <w:lang w:eastAsia="lv-LV"/>
              </w:rPr>
              <w:t>VSAOI</w:t>
            </w:r>
            <w:r w:rsidRPr="003714DA">
              <w:rPr>
                <w:rFonts w:ascii="Times New Roman" w:eastAsia="Times New Roman" w:hAnsi="Times New Roman" w:cs="Times New Roman"/>
                <w:b w:val="0"/>
                <w:color w:val="auto"/>
                <w:sz w:val="20"/>
                <w:szCs w:val="20"/>
                <w:lang w:eastAsia="lv-LV"/>
              </w:rPr>
              <w:t xml:space="preserve"> objekta</w:t>
            </w:r>
            <w:r w:rsidRPr="003714DA">
              <w:rPr>
                <w:rFonts w:ascii="Times New Roman" w:eastAsia="Times New Roman" w:hAnsi="Times New Roman" w:cs="Times New Roman"/>
                <w:b w:val="0"/>
                <w:i/>
                <w:iCs/>
                <w:color w:val="auto"/>
                <w:sz w:val="20"/>
                <w:szCs w:val="20"/>
                <w:lang w:eastAsia="lv-LV"/>
              </w:rPr>
              <w:t xml:space="preserve"> </w:t>
            </w:r>
            <w:r w:rsidRPr="003714DA">
              <w:rPr>
                <w:rFonts w:ascii="Times New Roman" w:eastAsia="Times New Roman" w:hAnsi="Times New Roman" w:cs="Times New Roman"/>
                <w:b w:val="0"/>
                <w:color w:val="auto"/>
                <w:sz w:val="20"/>
                <w:szCs w:val="20"/>
                <w:lang w:eastAsia="lv-LV"/>
              </w:rPr>
              <w:t>noteikšanas, sākot ar 2017.gadu, atcelšana, milj.</w:t>
            </w:r>
            <w:r w:rsidRPr="006E5765">
              <w:rPr>
                <w:rFonts w:ascii="Times New Roman" w:eastAsia="Times New Roman" w:hAnsi="Times New Roman" w:cs="Times New Roman"/>
                <w:b w:val="0"/>
                <w:i/>
                <w:color w:val="auto"/>
                <w:sz w:val="20"/>
                <w:szCs w:val="20"/>
                <w:lang w:eastAsia="lv-LV"/>
              </w:rPr>
              <w:t>euro</w:t>
            </w:r>
          </w:p>
        </w:tc>
        <w:tc>
          <w:tcPr>
            <w:tcW w:w="993" w:type="dxa"/>
            <w:noWrap/>
            <w:vAlign w:val="center"/>
            <w:hideMark/>
          </w:tcPr>
          <w:p w14:paraId="00F22F18"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-74.2 </w:t>
            </w:r>
          </w:p>
        </w:tc>
        <w:tc>
          <w:tcPr>
            <w:tcW w:w="992" w:type="dxa"/>
            <w:noWrap/>
            <w:vAlign w:val="center"/>
            <w:hideMark/>
          </w:tcPr>
          <w:p w14:paraId="660553BA"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-99.5 </w:t>
            </w:r>
          </w:p>
        </w:tc>
        <w:tc>
          <w:tcPr>
            <w:tcW w:w="844" w:type="dxa"/>
            <w:noWrap/>
            <w:vAlign w:val="center"/>
            <w:hideMark/>
          </w:tcPr>
          <w:p w14:paraId="756A069F"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-99.5 </w:t>
            </w:r>
          </w:p>
        </w:tc>
      </w:tr>
      <w:tr w:rsidR="003714DA" w:rsidRPr="003714DA" w14:paraId="6E6E3587"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DF904D7" w14:textId="77777777" w:rsidR="0077183B" w:rsidRPr="003714DA" w:rsidRDefault="0077183B" w:rsidP="003714DA">
            <w:pPr>
              <w:rPr>
                <w:rFonts w:ascii="Times New Roman" w:eastAsia="Times New Roman" w:hAnsi="Times New Roman" w:cs="Times New Roman"/>
                <w:b w:val="0"/>
                <w:color w:val="auto"/>
                <w:sz w:val="20"/>
                <w:szCs w:val="20"/>
                <w:lang w:eastAsia="lv-LV"/>
              </w:rPr>
            </w:pPr>
            <w:r w:rsidRPr="003714DA">
              <w:rPr>
                <w:rFonts w:ascii="Times New Roman" w:eastAsia="Times New Roman" w:hAnsi="Times New Roman" w:cs="Times New Roman"/>
                <w:b w:val="0"/>
                <w:color w:val="auto"/>
                <w:sz w:val="20"/>
                <w:szCs w:val="20"/>
                <w:lang w:eastAsia="lv-LV"/>
              </w:rPr>
              <w:t>Pārējie kopā</w:t>
            </w:r>
          </w:p>
        </w:tc>
        <w:tc>
          <w:tcPr>
            <w:tcW w:w="993" w:type="dxa"/>
            <w:noWrap/>
            <w:vAlign w:val="center"/>
            <w:hideMark/>
          </w:tcPr>
          <w:p w14:paraId="353B9648"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4.0 </w:t>
            </w:r>
          </w:p>
        </w:tc>
        <w:tc>
          <w:tcPr>
            <w:tcW w:w="992" w:type="dxa"/>
            <w:noWrap/>
            <w:vAlign w:val="center"/>
            <w:hideMark/>
          </w:tcPr>
          <w:p w14:paraId="4A010A64"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5.4 </w:t>
            </w:r>
          </w:p>
        </w:tc>
        <w:tc>
          <w:tcPr>
            <w:tcW w:w="844" w:type="dxa"/>
            <w:noWrap/>
            <w:vAlign w:val="center"/>
            <w:hideMark/>
          </w:tcPr>
          <w:p w14:paraId="24F88E0C" w14:textId="77777777" w:rsidR="0077183B" w:rsidRPr="003714DA"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714DA">
              <w:rPr>
                <w:rFonts w:ascii="Times New Roman" w:eastAsia="Times New Roman" w:hAnsi="Times New Roman" w:cs="Times New Roman"/>
                <w:color w:val="auto"/>
                <w:sz w:val="20"/>
                <w:szCs w:val="20"/>
                <w:lang w:eastAsia="lv-LV"/>
              </w:rPr>
              <w:t xml:space="preserve">4.9 </w:t>
            </w:r>
          </w:p>
        </w:tc>
      </w:tr>
      <w:tr w:rsidR="003714DA" w:rsidRPr="003714DA" w14:paraId="430831D3"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5086DB6" w14:textId="77777777" w:rsidR="0077183B" w:rsidRPr="003714DA" w:rsidRDefault="0077183B" w:rsidP="003714DA">
            <w:pPr>
              <w:rPr>
                <w:rFonts w:ascii="Times New Roman" w:eastAsia="Times New Roman" w:hAnsi="Times New Roman" w:cs="Times New Roman"/>
                <w:b w:val="0"/>
                <w:i/>
                <w:color w:val="auto"/>
                <w:sz w:val="20"/>
                <w:szCs w:val="20"/>
                <w:lang w:eastAsia="lv-LV"/>
              </w:rPr>
            </w:pPr>
            <w:r w:rsidRPr="003714DA">
              <w:rPr>
                <w:rFonts w:ascii="Times New Roman" w:eastAsia="Times New Roman" w:hAnsi="Times New Roman" w:cs="Times New Roman"/>
                <w:b w:val="0"/>
                <w:i/>
                <w:color w:val="auto"/>
                <w:sz w:val="20"/>
                <w:szCs w:val="20"/>
                <w:lang w:eastAsia="lv-LV"/>
              </w:rPr>
              <w:t>(-) iemaksas 2.pensiju pensiju līmenī</w:t>
            </w:r>
          </w:p>
        </w:tc>
        <w:tc>
          <w:tcPr>
            <w:tcW w:w="993" w:type="dxa"/>
            <w:noWrap/>
            <w:vAlign w:val="center"/>
            <w:hideMark/>
          </w:tcPr>
          <w:p w14:paraId="7F65A7B8"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lang w:eastAsia="lv-LV"/>
              </w:rPr>
            </w:pPr>
            <w:r w:rsidRPr="003714DA">
              <w:rPr>
                <w:rFonts w:ascii="Times New Roman" w:eastAsia="Times New Roman" w:hAnsi="Times New Roman" w:cs="Times New Roman"/>
                <w:i/>
                <w:color w:val="auto"/>
                <w:sz w:val="20"/>
                <w:szCs w:val="20"/>
                <w:lang w:eastAsia="lv-LV"/>
              </w:rPr>
              <w:t>2.5</w:t>
            </w:r>
          </w:p>
        </w:tc>
        <w:tc>
          <w:tcPr>
            <w:tcW w:w="992" w:type="dxa"/>
            <w:noWrap/>
            <w:vAlign w:val="center"/>
            <w:hideMark/>
          </w:tcPr>
          <w:p w14:paraId="79E03E6B"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lang w:eastAsia="lv-LV"/>
              </w:rPr>
            </w:pPr>
            <w:r w:rsidRPr="003714DA">
              <w:rPr>
                <w:rFonts w:ascii="Times New Roman" w:eastAsia="Times New Roman" w:hAnsi="Times New Roman" w:cs="Times New Roman"/>
                <w:i/>
                <w:color w:val="auto"/>
                <w:sz w:val="20"/>
                <w:szCs w:val="20"/>
                <w:lang w:eastAsia="lv-LV"/>
              </w:rPr>
              <w:t>2.1</w:t>
            </w:r>
          </w:p>
        </w:tc>
        <w:tc>
          <w:tcPr>
            <w:tcW w:w="844" w:type="dxa"/>
            <w:noWrap/>
            <w:vAlign w:val="center"/>
            <w:hideMark/>
          </w:tcPr>
          <w:p w14:paraId="2AC78363" w14:textId="77777777" w:rsidR="0077183B" w:rsidRPr="003714DA"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lang w:eastAsia="lv-LV"/>
              </w:rPr>
            </w:pPr>
            <w:r w:rsidRPr="003714DA">
              <w:rPr>
                <w:rFonts w:ascii="Times New Roman" w:eastAsia="Times New Roman" w:hAnsi="Times New Roman" w:cs="Times New Roman"/>
                <w:i/>
                <w:color w:val="auto"/>
                <w:sz w:val="20"/>
                <w:szCs w:val="20"/>
                <w:lang w:eastAsia="lv-LV"/>
              </w:rPr>
              <w:t>2.1</w:t>
            </w:r>
          </w:p>
        </w:tc>
      </w:tr>
    </w:tbl>
    <w:p w14:paraId="5048693B" w14:textId="77777777" w:rsidR="0077183B" w:rsidRPr="00141C80" w:rsidRDefault="0077183B" w:rsidP="00D04089">
      <w:pPr>
        <w:spacing w:before="120" w:after="0" w:line="240" w:lineRule="auto"/>
        <w:ind w:firstLine="709"/>
        <w:jc w:val="both"/>
        <w:rPr>
          <w:rFonts w:ascii="Times New Roman" w:eastAsia="Calibri" w:hAnsi="Times New Roman" w:cs="Times New Roman"/>
          <w:color w:val="000000"/>
          <w:sz w:val="24"/>
          <w:szCs w:val="24"/>
        </w:rPr>
      </w:pPr>
      <w:r w:rsidRPr="00EA17A5">
        <w:rPr>
          <w:rFonts w:ascii="Times New Roman" w:eastAsia="Calibri" w:hAnsi="Times New Roman" w:cs="Times New Roman"/>
          <w:color w:val="000000"/>
          <w:sz w:val="24"/>
          <w:szCs w:val="24"/>
        </w:rPr>
        <w:t>Kopumā valdības pieņemtie ieņēmumus palielinošie pasākumi ļauj palielināt nodokļu ieņēmumus pret IKP 2017.gadā par 0,3% no IKP, 2018.gadā par 0,1% no IKP un 2019.gadā par 0,3% no IKP.</w:t>
      </w:r>
    </w:p>
    <w:p w14:paraId="04F9D4DA" w14:textId="6FAE6A68" w:rsidR="0077183B" w:rsidRDefault="0077183B" w:rsidP="0077183B">
      <w:pPr>
        <w:spacing w:after="0" w:line="240" w:lineRule="auto"/>
        <w:ind w:firstLine="709"/>
        <w:jc w:val="both"/>
        <w:rPr>
          <w:rFonts w:ascii="Times New Roman" w:eastAsia="Calibri" w:hAnsi="Times New Roman" w:cs="Times New Roman"/>
          <w:color w:val="000000"/>
          <w:sz w:val="24"/>
          <w:szCs w:val="24"/>
        </w:rPr>
      </w:pPr>
      <w:r w:rsidRPr="002B3BF8">
        <w:rPr>
          <w:rFonts w:ascii="Times New Roman" w:eastAsia="Calibri" w:hAnsi="Times New Roman" w:cs="Times New Roman"/>
          <w:color w:val="000000"/>
          <w:sz w:val="24"/>
          <w:szCs w:val="24"/>
        </w:rPr>
        <w:t>Negatīvās fiskālās telpas 2017.gadā samazināšanas nolūkā, papildus lēmumiem par ieņēmumu palielināšanu, valdība lēma arī par valsts budžeta izdevumu pārskatīšanu, kas ļāva nodrošināt papildu līdzekļu</w:t>
      </w:r>
      <w:r w:rsidR="005B4791">
        <w:rPr>
          <w:rFonts w:ascii="Times New Roman" w:eastAsia="Calibri" w:hAnsi="Times New Roman" w:cs="Times New Roman"/>
          <w:color w:val="000000"/>
          <w:sz w:val="24"/>
          <w:szCs w:val="24"/>
        </w:rPr>
        <w:t>s</w:t>
      </w:r>
      <w:r w:rsidRPr="002B3BF8">
        <w:rPr>
          <w:rFonts w:ascii="Times New Roman" w:eastAsia="Calibri" w:hAnsi="Times New Roman" w:cs="Times New Roman"/>
          <w:color w:val="000000"/>
          <w:sz w:val="24"/>
          <w:szCs w:val="24"/>
        </w:rPr>
        <w:t xml:space="preserve"> gan pašu nozaru prioritāšu finansēšanai, gan arī kopējo valdības prioritāšu finansēšanai.</w:t>
      </w:r>
      <w:r>
        <w:rPr>
          <w:rFonts w:ascii="Times New Roman" w:eastAsia="Calibri" w:hAnsi="Times New Roman" w:cs="Times New Roman"/>
          <w:color w:val="000000"/>
          <w:sz w:val="24"/>
          <w:szCs w:val="24"/>
        </w:rPr>
        <w:t xml:space="preserve"> Valsts budžeta izdevumu pārskatīšana turpmāk tiks veikta regulāri un to nosaka </w:t>
      </w:r>
      <w:r w:rsidRPr="00FA5CBF">
        <w:rPr>
          <w:rFonts w:ascii="Times New Roman" w:eastAsia="Calibri" w:hAnsi="Times New Roman" w:cs="Times New Roman"/>
          <w:color w:val="000000"/>
          <w:sz w:val="24"/>
          <w:szCs w:val="24"/>
        </w:rPr>
        <w:t xml:space="preserve">grozījumi </w:t>
      </w:r>
      <w:r w:rsidR="00D04089">
        <w:rPr>
          <w:rFonts w:ascii="Times New Roman" w:eastAsia="Calibri" w:hAnsi="Times New Roman" w:cs="Times New Roman"/>
          <w:color w:val="000000"/>
          <w:sz w:val="24"/>
          <w:szCs w:val="24"/>
        </w:rPr>
        <w:t>LBFV</w:t>
      </w:r>
      <w:r w:rsidRPr="00FA5CBF">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kas stājās spēkā </w:t>
      </w:r>
      <w:r w:rsidRPr="00FA5CBF">
        <w:rPr>
          <w:rFonts w:ascii="Times New Roman" w:eastAsia="Calibri" w:hAnsi="Times New Roman" w:cs="Times New Roman"/>
          <w:color w:val="000000"/>
          <w:sz w:val="24"/>
          <w:szCs w:val="24"/>
        </w:rPr>
        <w:t>2016.gada 1.janvārī</w:t>
      </w:r>
      <w:r>
        <w:rPr>
          <w:rFonts w:ascii="Times New Roman" w:eastAsia="Calibri" w:hAnsi="Times New Roman" w:cs="Times New Roman"/>
          <w:color w:val="000000"/>
          <w:sz w:val="24"/>
          <w:szCs w:val="24"/>
        </w:rPr>
        <w:t>.</w:t>
      </w:r>
      <w:r w:rsidRPr="00FA5CBF">
        <w:rPr>
          <w:rFonts w:ascii="Times New Roman" w:eastAsia="Calibri" w:hAnsi="Times New Roman" w:cs="Times New Roman"/>
          <w:color w:val="000000"/>
          <w:sz w:val="24"/>
          <w:szCs w:val="24"/>
        </w:rPr>
        <w:t xml:space="preserve"> </w:t>
      </w:r>
    </w:p>
    <w:p w14:paraId="41CB9C86" w14:textId="594FF884" w:rsidR="00A32ACF" w:rsidRDefault="0077183B" w:rsidP="00CE4F37">
      <w:pPr>
        <w:spacing w:after="0" w:line="240" w:lineRule="auto"/>
        <w:ind w:firstLine="709"/>
        <w:jc w:val="both"/>
        <w:rPr>
          <w:rFonts w:ascii="Times New Roman" w:eastAsia="Calibri" w:hAnsi="Times New Roman" w:cs="Times New Roman"/>
          <w:b/>
          <w:color w:val="000000"/>
          <w:sz w:val="24"/>
          <w:szCs w:val="24"/>
        </w:rPr>
      </w:pPr>
      <w:r w:rsidRPr="002B3BF8">
        <w:rPr>
          <w:rFonts w:ascii="Times New Roman" w:eastAsia="Calibri" w:hAnsi="Times New Roman" w:cs="Times New Roman"/>
          <w:color w:val="000000"/>
          <w:sz w:val="24"/>
          <w:szCs w:val="24"/>
        </w:rPr>
        <w:t xml:space="preserve">Būtiskākais finansējuma palielinājums ir īstenots nozarēs, ko valdība ir definējusi kā prioritāras, proti, </w:t>
      </w:r>
      <w:r w:rsidRPr="004D7C7D">
        <w:rPr>
          <w:rFonts w:ascii="Times New Roman" w:eastAsia="Calibri" w:hAnsi="Times New Roman" w:cs="Times New Roman"/>
          <w:color w:val="000000"/>
          <w:sz w:val="24"/>
          <w:szCs w:val="24"/>
        </w:rPr>
        <w:t>iekšējā un ārējā drošība, veselība un izglītība,</w:t>
      </w:r>
      <w:r w:rsidRPr="002B3BF8">
        <w:rPr>
          <w:rFonts w:ascii="Times New Roman" w:eastAsia="Calibri" w:hAnsi="Times New Roman" w:cs="Times New Roman"/>
          <w:color w:val="000000"/>
          <w:sz w:val="24"/>
          <w:szCs w:val="24"/>
        </w:rPr>
        <w:t xml:space="preserve"> tomēr papildus resursi ir nodrošināti arī citās nozīmīgās jomās (skat. </w:t>
      </w:r>
      <w:r w:rsidR="004D5E99">
        <w:rPr>
          <w:rFonts w:ascii="Times New Roman" w:eastAsia="Calibri" w:hAnsi="Times New Roman" w:cs="Times New Roman"/>
          <w:color w:val="000000"/>
          <w:sz w:val="24"/>
          <w:szCs w:val="24"/>
        </w:rPr>
        <w:t>3.7</w:t>
      </w:r>
      <w:r w:rsidRPr="002B3BF8">
        <w:rPr>
          <w:rFonts w:ascii="Times New Roman" w:eastAsia="Calibri" w:hAnsi="Times New Roman" w:cs="Times New Roman"/>
          <w:color w:val="000000"/>
          <w:sz w:val="24"/>
          <w:szCs w:val="24"/>
        </w:rPr>
        <w:t>.tabulu).</w:t>
      </w:r>
    </w:p>
    <w:p w14:paraId="5344E418" w14:textId="77777777" w:rsidR="00D47E1F" w:rsidRDefault="00D47E1F">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p>
    <w:p w14:paraId="33582B94" w14:textId="05561A8A" w:rsidR="0077183B" w:rsidRPr="00D04089" w:rsidRDefault="00E045E3" w:rsidP="00D04089">
      <w:pPr>
        <w:spacing w:before="120" w:after="60" w:line="240" w:lineRule="auto"/>
        <w:ind w:firstLine="709"/>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3.</w:t>
      </w:r>
      <w:r w:rsidR="006E5765">
        <w:rPr>
          <w:rFonts w:ascii="Times New Roman" w:eastAsia="Calibri" w:hAnsi="Times New Roman" w:cs="Times New Roman"/>
          <w:b/>
          <w:color w:val="000000"/>
          <w:sz w:val="24"/>
          <w:szCs w:val="24"/>
        </w:rPr>
        <w:t>7</w:t>
      </w:r>
      <w:r>
        <w:rPr>
          <w:rFonts w:ascii="Times New Roman" w:eastAsia="Calibri" w:hAnsi="Times New Roman" w:cs="Times New Roman"/>
          <w:b/>
          <w:color w:val="000000"/>
          <w:sz w:val="24"/>
          <w:szCs w:val="24"/>
        </w:rPr>
        <w:t>.</w:t>
      </w:r>
      <w:r w:rsidR="0077183B" w:rsidRPr="00D04089">
        <w:rPr>
          <w:rFonts w:ascii="Times New Roman" w:eastAsia="Calibri" w:hAnsi="Times New Roman" w:cs="Times New Roman"/>
          <w:b/>
          <w:color w:val="000000"/>
          <w:sz w:val="24"/>
          <w:szCs w:val="24"/>
        </w:rPr>
        <w:t xml:space="preserve">tabula. Jomas, kurām visbūtiskāk palielināts finansējuma (virs 1 milj. </w:t>
      </w:r>
      <w:r w:rsidR="0077183B" w:rsidRPr="006B0EBB">
        <w:rPr>
          <w:rFonts w:ascii="Times New Roman" w:eastAsia="Calibri" w:hAnsi="Times New Roman" w:cs="Times New Roman"/>
          <w:b/>
          <w:i/>
          <w:color w:val="000000"/>
          <w:sz w:val="24"/>
          <w:szCs w:val="24"/>
        </w:rPr>
        <w:t>euro</w:t>
      </w:r>
      <w:r w:rsidR="0077183B" w:rsidRPr="00D04089">
        <w:rPr>
          <w:rFonts w:ascii="Times New Roman" w:eastAsia="Calibri" w:hAnsi="Times New Roman" w:cs="Times New Roman"/>
          <w:b/>
          <w:color w:val="000000"/>
          <w:sz w:val="24"/>
          <w:szCs w:val="24"/>
        </w:rPr>
        <w:t>) un būtiskākie izdevumus palielinoši pasākumi</w:t>
      </w:r>
    </w:p>
    <w:tbl>
      <w:tblPr>
        <w:tblStyle w:val="GridTable6Colorful-Accent1"/>
        <w:tblW w:w="9062" w:type="dxa"/>
        <w:jc w:val="center"/>
        <w:tblLook w:val="04A0" w:firstRow="1" w:lastRow="0" w:firstColumn="1" w:lastColumn="0" w:noHBand="0" w:noVBand="1"/>
      </w:tblPr>
      <w:tblGrid>
        <w:gridCol w:w="6227"/>
        <w:gridCol w:w="993"/>
        <w:gridCol w:w="992"/>
        <w:gridCol w:w="850"/>
      </w:tblGrid>
      <w:tr w:rsidR="0077183B" w:rsidRPr="00AA3933" w14:paraId="3FB0D822" w14:textId="77777777" w:rsidTr="004D5E9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27" w:type="dxa"/>
            <w:noWrap/>
            <w:vAlign w:val="center"/>
            <w:hideMark/>
          </w:tcPr>
          <w:p w14:paraId="588C985E" w14:textId="77777777" w:rsidR="0077183B" w:rsidRPr="00AA3933" w:rsidRDefault="0077183B" w:rsidP="006C67E6">
            <w:pPr>
              <w:jc w:val="center"/>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Pasākuma nosaukums</w:t>
            </w:r>
          </w:p>
        </w:tc>
        <w:tc>
          <w:tcPr>
            <w:tcW w:w="993" w:type="dxa"/>
            <w:noWrap/>
            <w:vAlign w:val="center"/>
            <w:hideMark/>
          </w:tcPr>
          <w:p w14:paraId="24BE328E" w14:textId="77777777" w:rsidR="0077183B" w:rsidRPr="00AA3933" w:rsidRDefault="0077183B"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2017</w:t>
            </w:r>
          </w:p>
        </w:tc>
        <w:tc>
          <w:tcPr>
            <w:tcW w:w="992" w:type="dxa"/>
            <w:noWrap/>
            <w:vAlign w:val="center"/>
            <w:hideMark/>
          </w:tcPr>
          <w:p w14:paraId="2FA63459" w14:textId="77777777" w:rsidR="0077183B" w:rsidRPr="00AA3933" w:rsidRDefault="0077183B"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2018</w:t>
            </w:r>
          </w:p>
        </w:tc>
        <w:tc>
          <w:tcPr>
            <w:tcW w:w="850" w:type="dxa"/>
            <w:noWrap/>
            <w:vAlign w:val="center"/>
            <w:hideMark/>
          </w:tcPr>
          <w:p w14:paraId="16330E1B" w14:textId="77777777" w:rsidR="0077183B" w:rsidRPr="00AA3933" w:rsidRDefault="0077183B"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2019</w:t>
            </w:r>
          </w:p>
        </w:tc>
      </w:tr>
      <w:tr w:rsidR="0077183B" w:rsidRPr="00AA3933" w14:paraId="5EC55E12"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7E605E46"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Aizsardzības ministrija</w:t>
            </w:r>
          </w:p>
        </w:tc>
        <w:tc>
          <w:tcPr>
            <w:tcW w:w="993" w:type="dxa"/>
            <w:noWrap/>
            <w:vAlign w:val="center"/>
            <w:hideMark/>
          </w:tcPr>
          <w:p w14:paraId="520DA00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-8.9</w:t>
            </w:r>
          </w:p>
        </w:tc>
        <w:tc>
          <w:tcPr>
            <w:tcW w:w="992" w:type="dxa"/>
            <w:noWrap/>
            <w:vAlign w:val="center"/>
            <w:hideMark/>
          </w:tcPr>
          <w:p w14:paraId="6FC155CE"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-14.0</w:t>
            </w:r>
          </w:p>
        </w:tc>
        <w:tc>
          <w:tcPr>
            <w:tcW w:w="850" w:type="dxa"/>
            <w:noWrap/>
            <w:vAlign w:val="center"/>
            <w:hideMark/>
          </w:tcPr>
          <w:p w14:paraId="6705A63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-16.1</w:t>
            </w:r>
          </w:p>
        </w:tc>
      </w:tr>
      <w:tr w:rsidR="0077183B" w:rsidRPr="00AA3933" w14:paraId="567290C0"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54B6C230"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024489A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0.2</w:t>
            </w:r>
          </w:p>
        </w:tc>
        <w:tc>
          <w:tcPr>
            <w:tcW w:w="992" w:type="dxa"/>
            <w:noWrap/>
            <w:vAlign w:val="center"/>
            <w:hideMark/>
          </w:tcPr>
          <w:p w14:paraId="1A607EF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0.1</w:t>
            </w:r>
          </w:p>
        </w:tc>
        <w:tc>
          <w:tcPr>
            <w:tcW w:w="850" w:type="dxa"/>
            <w:noWrap/>
            <w:vAlign w:val="center"/>
            <w:hideMark/>
          </w:tcPr>
          <w:p w14:paraId="02F39A49"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0.1</w:t>
            </w:r>
          </w:p>
        </w:tc>
      </w:tr>
      <w:tr w:rsidR="0077183B" w:rsidRPr="00AA3933" w14:paraId="6677F8E0" w14:textId="77777777" w:rsidTr="004D5E99">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0427F25E"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MK pieņemtie lēmumi (izdevumu samazinājums, lai nodrošinātu nemainīgu aizsardzības izdevumu proporciju pret IKP)</w:t>
            </w:r>
          </w:p>
        </w:tc>
        <w:tc>
          <w:tcPr>
            <w:tcW w:w="993" w:type="dxa"/>
            <w:noWrap/>
            <w:vAlign w:val="center"/>
            <w:hideMark/>
          </w:tcPr>
          <w:p w14:paraId="0B89B7C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-9.1</w:t>
            </w:r>
          </w:p>
        </w:tc>
        <w:tc>
          <w:tcPr>
            <w:tcW w:w="992" w:type="dxa"/>
            <w:noWrap/>
            <w:vAlign w:val="center"/>
            <w:hideMark/>
          </w:tcPr>
          <w:p w14:paraId="3D5AEBA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-14.1</w:t>
            </w:r>
          </w:p>
        </w:tc>
        <w:tc>
          <w:tcPr>
            <w:tcW w:w="850" w:type="dxa"/>
            <w:noWrap/>
            <w:vAlign w:val="center"/>
            <w:hideMark/>
          </w:tcPr>
          <w:p w14:paraId="6410757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-16.3</w:t>
            </w:r>
          </w:p>
        </w:tc>
      </w:tr>
      <w:tr w:rsidR="0077183B" w:rsidRPr="00AA3933" w14:paraId="6DC91B01" w14:textId="77777777" w:rsidTr="004D5E99">
        <w:trPr>
          <w:trHeight w:val="67"/>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2393999F"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Ārlietu ministrija</w:t>
            </w:r>
          </w:p>
        </w:tc>
        <w:tc>
          <w:tcPr>
            <w:tcW w:w="993" w:type="dxa"/>
            <w:noWrap/>
            <w:vAlign w:val="center"/>
            <w:hideMark/>
          </w:tcPr>
          <w:p w14:paraId="70791FF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2.1</w:t>
            </w:r>
          </w:p>
        </w:tc>
        <w:tc>
          <w:tcPr>
            <w:tcW w:w="992" w:type="dxa"/>
            <w:noWrap/>
            <w:vAlign w:val="center"/>
            <w:hideMark/>
          </w:tcPr>
          <w:p w14:paraId="71CCDB5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4.9</w:t>
            </w:r>
          </w:p>
        </w:tc>
        <w:tc>
          <w:tcPr>
            <w:tcW w:w="850" w:type="dxa"/>
            <w:noWrap/>
            <w:vAlign w:val="center"/>
            <w:hideMark/>
          </w:tcPr>
          <w:p w14:paraId="5B08704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4.9</w:t>
            </w:r>
          </w:p>
        </w:tc>
      </w:tr>
      <w:tr w:rsidR="0077183B" w:rsidRPr="00AA3933" w14:paraId="1F61C3FE"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571DD7D1"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Iemaksu veikšanai OECD</w:t>
            </w:r>
          </w:p>
        </w:tc>
        <w:tc>
          <w:tcPr>
            <w:tcW w:w="993" w:type="dxa"/>
            <w:noWrap/>
            <w:vAlign w:val="center"/>
            <w:hideMark/>
          </w:tcPr>
          <w:p w14:paraId="2EED60D7"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992" w:type="dxa"/>
            <w:noWrap/>
            <w:vAlign w:val="center"/>
            <w:hideMark/>
          </w:tcPr>
          <w:p w14:paraId="63A8F1DE"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2.9</w:t>
            </w:r>
          </w:p>
        </w:tc>
        <w:tc>
          <w:tcPr>
            <w:tcW w:w="850" w:type="dxa"/>
            <w:noWrap/>
            <w:vAlign w:val="center"/>
            <w:hideMark/>
          </w:tcPr>
          <w:p w14:paraId="6353C2B7"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2.9</w:t>
            </w:r>
          </w:p>
        </w:tc>
      </w:tr>
      <w:tr w:rsidR="0077183B" w:rsidRPr="00AA3933" w14:paraId="19660756"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04A8B521"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Ekonomikas ministrija</w:t>
            </w:r>
          </w:p>
        </w:tc>
        <w:tc>
          <w:tcPr>
            <w:tcW w:w="993" w:type="dxa"/>
            <w:noWrap/>
            <w:vAlign w:val="center"/>
            <w:hideMark/>
          </w:tcPr>
          <w:p w14:paraId="57395BE6"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1.4</w:t>
            </w:r>
          </w:p>
        </w:tc>
        <w:tc>
          <w:tcPr>
            <w:tcW w:w="992" w:type="dxa"/>
            <w:noWrap/>
            <w:vAlign w:val="center"/>
            <w:hideMark/>
          </w:tcPr>
          <w:p w14:paraId="4E876723"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-1.5</w:t>
            </w:r>
          </w:p>
        </w:tc>
        <w:tc>
          <w:tcPr>
            <w:tcW w:w="850" w:type="dxa"/>
            <w:noWrap/>
            <w:vAlign w:val="center"/>
            <w:hideMark/>
          </w:tcPr>
          <w:p w14:paraId="3B8C88B9"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-0.1</w:t>
            </w:r>
          </w:p>
        </w:tc>
      </w:tr>
      <w:tr w:rsidR="0077183B" w:rsidRPr="00AA3933" w14:paraId="431375A9"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A3437D2"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404E5B5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c>
          <w:tcPr>
            <w:tcW w:w="992" w:type="dxa"/>
            <w:noWrap/>
            <w:vAlign w:val="center"/>
            <w:hideMark/>
          </w:tcPr>
          <w:p w14:paraId="1913E42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0.9</w:t>
            </w:r>
          </w:p>
        </w:tc>
        <w:tc>
          <w:tcPr>
            <w:tcW w:w="850" w:type="dxa"/>
            <w:noWrap/>
            <w:vAlign w:val="center"/>
            <w:hideMark/>
          </w:tcPr>
          <w:p w14:paraId="2B24EFE2"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r>
      <w:tr w:rsidR="0077183B" w:rsidRPr="00AA3933" w14:paraId="1FD858B1" w14:textId="77777777" w:rsidTr="004D5E99">
        <w:trPr>
          <w:trHeight w:val="95"/>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5C95B5F3"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Valsts galvojums hipotekārajiem kredītiem dzīvojamās telpas iegādei vai būvniecībai ģimenēm ar bērniem (mājokļu programmas nodrošināšana)</w:t>
            </w:r>
          </w:p>
        </w:tc>
        <w:tc>
          <w:tcPr>
            <w:tcW w:w="993" w:type="dxa"/>
            <w:noWrap/>
            <w:vAlign w:val="center"/>
            <w:hideMark/>
          </w:tcPr>
          <w:p w14:paraId="76721825"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2.8</w:t>
            </w:r>
          </w:p>
        </w:tc>
        <w:tc>
          <w:tcPr>
            <w:tcW w:w="992" w:type="dxa"/>
            <w:noWrap/>
            <w:vAlign w:val="center"/>
            <w:hideMark/>
          </w:tcPr>
          <w:p w14:paraId="121540BA"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850" w:type="dxa"/>
            <w:noWrap/>
            <w:vAlign w:val="center"/>
            <w:hideMark/>
          </w:tcPr>
          <w:p w14:paraId="5460C7A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r>
      <w:tr w:rsidR="0077183B" w:rsidRPr="00AA3933" w14:paraId="35AB4CF1"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9CF3DEA"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MK pieņemtie lēmumi (t.sk. samazināti izdevumi naftas produktu rezervju uzturēšanai)</w:t>
            </w:r>
          </w:p>
        </w:tc>
        <w:tc>
          <w:tcPr>
            <w:tcW w:w="993" w:type="dxa"/>
            <w:noWrap/>
            <w:vAlign w:val="center"/>
            <w:hideMark/>
          </w:tcPr>
          <w:p w14:paraId="2E871C0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-2.4</w:t>
            </w:r>
          </w:p>
        </w:tc>
        <w:tc>
          <w:tcPr>
            <w:tcW w:w="992" w:type="dxa"/>
            <w:noWrap/>
            <w:vAlign w:val="center"/>
            <w:hideMark/>
          </w:tcPr>
          <w:p w14:paraId="104A8F6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-2.4</w:t>
            </w:r>
          </w:p>
        </w:tc>
        <w:tc>
          <w:tcPr>
            <w:tcW w:w="850" w:type="dxa"/>
            <w:noWrap/>
            <w:vAlign w:val="center"/>
            <w:hideMark/>
          </w:tcPr>
          <w:p w14:paraId="176C6D56"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-1.1</w:t>
            </w:r>
          </w:p>
        </w:tc>
      </w:tr>
      <w:tr w:rsidR="0077183B" w:rsidRPr="00AA3933" w14:paraId="36BC2FDC"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07B38515"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Finanšu ministrija</w:t>
            </w:r>
          </w:p>
        </w:tc>
        <w:tc>
          <w:tcPr>
            <w:tcW w:w="993" w:type="dxa"/>
            <w:noWrap/>
            <w:vAlign w:val="center"/>
            <w:hideMark/>
          </w:tcPr>
          <w:p w14:paraId="0D052DB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5.8</w:t>
            </w:r>
          </w:p>
        </w:tc>
        <w:tc>
          <w:tcPr>
            <w:tcW w:w="992" w:type="dxa"/>
            <w:noWrap/>
            <w:vAlign w:val="center"/>
            <w:hideMark/>
          </w:tcPr>
          <w:p w14:paraId="1AB7194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18.6</w:t>
            </w:r>
          </w:p>
        </w:tc>
        <w:tc>
          <w:tcPr>
            <w:tcW w:w="850" w:type="dxa"/>
            <w:noWrap/>
            <w:vAlign w:val="center"/>
            <w:hideMark/>
          </w:tcPr>
          <w:p w14:paraId="7D5165D2"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7.4</w:t>
            </w:r>
          </w:p>
        </w:tc>
      </w:tr>
      <w:tr w:rsidR="0077183B" w:rsidRPr="00AA3933" w14:paraId="502BF17B"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6C84ED73"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42964F8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0.5</w:t>
            </w:r>
          </w:p>
        </w:tc>
        <w:tc>
          <w:tcPr>
            <w:tcW w:w="992" w:type="dxa"/>
            <w:noWrap/>
            <w:vAlign w:val="center"/>
            <w:hideMark/>
          </w:tcPr>
          <w:p w14:paraId="1B751C7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0.5</w:t>
            </w:r>
          </w:p>
        </w:tc>
        <w:tc>
          <w:tcPr>
            <w:tcW w:w="850" w:type="dxa"/>
            <w:noWrap/>
            <w:vAlign w:val="center"/>
            <w:hideMark/>
          </w:tcPr>
          <w:p w14:paraId="76D122A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0.6</w:t>
            </w:r>
          </w:p>
        </w:tc>
      </w:tr>
      <w:tr w:rsidR="0077183B" w:rsidRPr="00AA3933" w14:paraId="40CFA841"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0DBE329" w14:textId="7C28BEAC" w:rsidR="0077183B" w:rsidRPr="00AA3933" w:rsidRDefault="00D04089" w:rsidP="0077183B">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VID</w:t>
            </w:r>
            <w:r w:rsidR="0077183B" w:rsidRPr="00AA3933">
              <w:rPr>
                <w:rFonts w:ascii="Times New Roman" w:eastAsia="Times New Roman" w:hAnsi="Times New Roman" w:cs="Times New Roman"/>
                <w:b w:val="0"/>
                <w:color w:val="000000"/>
                <w:sz w:val="20"/>
                <w:szCs w:val="20"/>
                <w:lang w:eastAsia="lv-LV"/>
              </w:rPr>
              <w:t xml:space="preserve"> profesionālāko paaugstināta riska struktūrvienību ierēdņu un darbinieku motivēšana</w:t>
            </w:r>
          </w:p>
        </w:tc>
        <w:tc>
          <w:tcPr>
            <w:tcW w:w="993" w:type="dxa"/>
            <w:noWrap/>
            <w:vAlign w:val="center"/>
            <w:hideMark/>
          </w:tcPr>
          <w:p w14:paraId="4EA66FD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992" w:type="dxa"/>
            <w:noWrap/>
            <w:vAlign w:val="center"/>
            <w:hideMark/>
          </w:tcPr>
          <w:p w14:paraId="621C692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850" w:type="dxa"/>
            <w:noWrap/>
            <w:vAlign w:val="center"/>
            <w:hideMark/>
          </w:tcPr>
          <w:p w14:paraId="76FC1C1E"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r>
      <w:tr w:rsidR="0077183B" w:rsidRPr="00AA3933" w14:paraId="0C635D01"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9769B1A" w14:textId="21BE2EE0" w:rsidR="0077183B" w:rsidRPr="00AA3933" w:rsidRDefault="00D04089" w:rsidP="0077183B">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VID</w:t>
            </w:r>
            <w:r w:rsidR="0077183B" w:rsidRPr="00AA3933">
              <w:rPr>
                <w:rFonts w:ascii="Times New Roman" w:eastAsia="Times New Roman" w:hAnsi="Times New Roman" w:cs="Times New Roman"/>
                <w:b w:val="0"/>
                <w:color w:val="000000"/>
                <w:sz w:val="20"/>
                <w:szCs w:val="20"/>
                <w:lang w:eastAsia="lv-LV"/>
              </w:rPr>
              <w:t xml:space="preserve"> kapacitātes stiprināšana</w:t>
            </w:r>
          </w:p>
        </w:tc>
        <w:tc>
          <w:tcPr>
            <w:tcW w:w="993" w:type="dxa"/>
            <w:noWrap/>
            <w:vAlign w:val="center"/>
            <w:hideMark/>
          </w:tcPr>
          <w:p w14:paraId="56293E5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1.3</w:t>
            </w:r>
          </w:p>
        </w:tc>
        <w:tc>
          <w:tcPr>
            <w:tcW w:w="992" w:type="dxa"/>
            <w:noWrap/>
            <w:vAlign w:val="center"/>
            <w:hideMark/>
          </w:tcPr>
          <w:p w14:paraId="0748654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1.3</w:t>
            </w:r>
          </w:p>
        </w:tc>
        <w:tc>
          <w:tcPr>
            <w:tcW w:w="850" w:type="dxa"/>
            <w:noWrap/>
            <w:vAlign w:val="center"/>
            <w:hideMark/>
          </w:tcPr>
          <w:p w14:paraId="7F62CD1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1.3</w:t>
            </w:r>
          </w:p>
        </w:tc>
      </w:tr>
      <w:tr w:rsidR="0077183B" w:rsidRPr="00AA3933" w14:paraId="1787941D"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5AF39AE5" w14:textId="5B520EF7" w:rsidR="0077183B" w:rsidRPr="00AA3933" w:rsidRDefault="00D04089" w:rsidP="0077183B">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VID</w:t>
            </w:r>
            <w:r w:rsidR="0077183B" w:rsidRPr="00AA3933">
              <w:rPr>
                <w:rFonts w:ascii="Times New Roman" w:eastAsia="Times New Roman" w:hAnsi="Times New Roman" w:cs="Times New Roman"/>
                <w:b w:val="0"/>
                <w:color w:val="000000"/>
                <w:sz w:val="20"/>
                <w:szCs w:val="20"/>
                <w:lang w:eastAsia="lv-LV"/>
              </w:rPr>
              <w:t xml:space="preserve"> atalgojuma sistēmas pilnveidošana</w:t>
            </w:r>
          </w:p>
        </w:tc>
        <w:tc>
          <w:tcPr>
            <w:tcW w:w="993" w:type="dxa"/>
            <w:noWrap/>
            <w:vAlign w:val="center"/>
            <w:hideMark/>
          </w:tcPr>
          <w:p w14:paraId="4E8A317C"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992" w:type="dxa"/>
            <w:noWrap/>
            <w:vAlign w:val="center"/>
            <w:hideMark/>
          </w:tcPr>
          <w:p w14:paraId="26994A46"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850" w:type="dxa"/>
            <w:noWrap/>
            <w:vAlign w:val="center"/>
            <w:hideMark/>
          </w:tcPr>
          <w:p w14:paraId="61C32C4E"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r>
      <w:tr w:rsidR="0077183B" w:rsidRPr="00AA3933" w14:paraId="66449501"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749E5F7"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Valsts vārdā galvoto ārstniecības iestāžu saistību pārņemšana</w:t>
            </w:r>
          </w:p>
        </w:tc>
        <w:tc>
          <w:tcPr>
            <w:tcW w:w="993" w:type="dxa"/>
            <w:noWrap/>
            <w:vAlign w:val="center"/>
            <w:hideMark/>
          </w:tcPr>
          <w:p w14:paraId="79080EDE"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992" w:type="dxa"/>
            <w:noWrap/>
            <w:vAlign w:val="center"/>
            <w:hideMark/>
          </w:tcPr>
          <w:p w14:paraId="452F4832"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850" w:type="dxa"/>
            <w:noWrap/>
            <w:vAlign w:val="center"/>
            <w:hideMark/>
          </w:tcPr>
          <w:p w14:paraId="41F16F38"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r>
      <w:tr w:rsidR="0077183B" w:rsidRPr="00AA3933" w14:paraId="6EC915B0"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0152326"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MK pieņemtie lēmumi (t.sk. palielināti izdevumi JPI "Radikāla rīcība ēnu ekonomikas apakarošanai nodokļu administrēšanas un muitas lietu jomā" īstenošanai 2018. un 2019. gadā)</w:t>
            </w:r>
          </w:p>
        </w:tc>
        <w:tc>
          <w:tcPr>
            <w:tcW w:w="993" w:type="dxa"/>
            <w:noWrap/>
            <w:vAlign w:val="center"/>
            <w:hideMark/>
          </w:tcPr>
          <w:p w14:paraId="75F25632"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0.4</w:t>
            </w:r>
          </w:p>
        </w:tc>
        <w:tc>
          <w:tcPr>
            <w:tcW w:w="992" w:type="dxa"/>
            <w:noWrap/>
            <w:vAlign w:val="center"/>
            <w:hideMark/>
          </w:tcPr>
          <w:p w14:paraId="6CE1C3D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13.2</w:t>
            </w:r>
          </w:p>
        </w:tc>
        <w:tc>
          <w:tcPr>
            <w:tcW w:w="850" w:type="dxa"/>
            <w:noWrap/>
            <w:vAlign w:val="center"/>
            <w:hideMark/>
          </w:tcPr>
          <w:p w14:paraId="2C23A6F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0.4</w:t>
            </w:r>
          </w:p>
        </w:tc>
      </w:tr>
      <w:tr w:rsidR="0077183B" w:rsidRPr="00AA3933" w14:paraId="4AC8D2E5"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351F77A"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Iekšlietu ministrija</w:t>
            </w:r>
          </w:p>
        </w:tc>
        <w:tc>
          <w:tcPr>
            <w:tcW w:w="993" w:type="dxa"/>
            <w:noWrap/>
            <w:vAlign w:val="center"/>
            <w:hideMark/>
          </w:tcPr>
          <w:p w14:paraId="6A8FC495"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37.4</w:t>
            </w:r>
          </w:p>
        </w:tc>
        <w:tc>
          <w:tcPr>
            <w:tcW w:w="992" w:type="dxa"/>
            <w:noWrap/>
            <w:vAlign w:val="center"/>
            <w:hideMark/>
          </w:tcPr>
          <w:p w14:paraId="287569F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37.3</w:t>
            </w:r>
          </w:p>
        </w:tc>
        <w:tc>
          <w:tcPr>
            <w:tcW w:w="850" w:type="dxa"/>
            <w:noWrap/>
            <w:vAlign w:val="center"/>
            <w:hideMark/>
          </w:tcPr>
          <w:p w14:paraId="3B6FCAEE"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40.9</w:t>
            </w:r>
          </w:p>
        </w:tc>
      </w:tr>
      <w:tr w:rsidR="0077183B" w:rsidRPr="00AA3933" w14:paraId="785A0585"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54F6B25"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22CE16A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1.2</w:t>
            </w:r>
          </w:p>
        </w:tc>
        <w:tc>
          <w:tcPr>
            <w:tcW w:w="992" w:type="dxa"/>
            <w:noWrap/>
            <w:vAlign w:val="center"/>
            <w:hideMark/>
          </w:tcPr>
          <w:p w14:paraId="5747BE96"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1.1</w:t>
            </w:r>
          </w:p>
        </w:tc>
        <w:tc>
          <w:tcPr>
            <w:tcW w:w="850" w:type="dxa"/>
            <w:noWrap/>
            <w:vAlign w:val="center"/>
            <w:hideMark/>
          </w:tcPr>
          <w:p w14:paraId="766769F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1.1</w:t>
            </w:r>
          </w:p>
        </w:tc>
      </w:tr>
      <w:tr w:rsidR="0077183B" w:rsidRPr="00AA3933" w14:paraId="6556F266"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3092ADD6"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Latvijas Republikas un Krievijas Federācijas valsts robežas joslas iekārtošana un uzturēšana</w:t>
            </w:r>
          </w:p>
        </w:tc>
        <w:tc>
          <w:tcPr>
            <w:tcW w:w="993" w:type="dxa"/>
            <w:noWrap/>
            <w:vAlign w:val="center"/>
            <w:hideMark/>
          </w:tcPr>
          <w:p w14:paraId="0623C197"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2.9</w:t>
            </w:r>
          </w:p>
        </w:tc>
        <w:tc>
          <w:tcPr>
            <w:tcW w:w="992" w:type="dxa"/>
            <w:noWrap/>
            <w:vAlign w:val="center"/>
            <w:hideMark/>
          </w:tcPr>
          <w:p w14:paraId="24C65EF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2.7</w:t>
            </w:r>
          </w:p>
        </w:tc>
        <w:tc>
          <w:tcPr>
            <w:tcW w:w="850" w:type="dxa"/>
            <w:noWrap/>
            <w:vAlign w:val="center"/>
            <w:hideMark/>
          </w:tcPr>
          <w:p w14:paraId="69365B3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2.6</w:t>
            </w:r>
          </w:p>
        </w:tc>
      </w:tr>
      <w:tr w:rsidR="0077183B" w:rsidRPr="00AA3933" w14:paraId="0CB3162B"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539E1895"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Valsts robežas joslas gar Latvijas Republikas un Baltkrievijas Republikas robežu izbūve</w:t>
            </w:r>
          </w:p>
        </w:tc>
        <w:tc>
          <w:tcPr>
            <w:tcW w:w="993" w:type="dxa"/>
            <w:noWrap/>
            <w:vAlign w:val="center"/>
            <w:hideMark/>
          </w:tcPr>
          <w:p w14:paraId="7321EAB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0.5</w:t>
            </w:r>
          </w:p>
        </w:tc>
        <w:tc>
          <w:tcPr>
            <w:tcW w:w="992" w:type="dxa"/>
            <w:noWrap/>
            <w:vAlign w:val="center"/>
            <w:hideMark/>
          </w:tcPr>
          <w:p w14:paraId="7735449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0.9</w:t>
            </w:r>
          </w:p>
        </w:tc>
        <w:tc>
          <w:tcPr>
            <w:tcW w:w="850" w:type="dxa"/>
            <w:noWrap/>
            <w:vAlign w:val="center"/>
            <w:hideMark/>
          </w:tcPr>
          <w:p w14:paraId="519643C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r>
      <w:tr w:rsidR="0077183B" w:rsidRPr="00AA3933" w14:paraId="2DF535B8"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D66202D"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Plānveida gaisa kuģu parka atjaunošana (divu vieglās klases viendzinēja helikopteru iegāde), personāla apmācība un uzturēšana</w:t>
            </w:r>
          </w:p>
        </w:tc>
        <w:tc>
          <w:tcPr>
            <w:tcW w:w="993" w:type="dxa"/>
            <w:noWrap/>
            <w:vAlign w:val="center"/>
            <w:hideMark/>
          </w:tcPr>
          <w:p w14:paraId="61ED2CC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3.0</w:t>
            </w:r>
          </w:p>
        </w:tc>
        <w:tc>
          <w:tcPr>
            <w:tcW w:w="992" w:type="dxa"/>
            <w:noWrap/>
            <w:vAlign w:val="center"/>
            <w:hideMark/>
          </w:tcPr>
          <w:p w14:paraId="62DC6EC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2.9</w:t>
            </w:r>
          </w:p>
        </w:tc>
        <w:tc>
          <w:tcPr>
            <w:tcW w:w="850" w:type="dxa"/>
            <w:noWrap/>
            <w:vAlign w:val="center"/>
            <w:hideMark/>
          </w:tcPr>
          <w:p w14:paraId="3D923B2E"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2.9</w:t>
            </w:r>
          </w:p>
        </w:tc>
      </w:tr>
      <w:tr w:rsidR="0077183B" w:rsidRPr="00AA3933" w14:paraId="0D2B2958"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31A9DCD"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Kapacitātes paaugstināšana Drošības policijā (informācija klasificēta)</w:t>
            </w:r>
          </w:p>
        </w:tc>
        <w:tc>
          <w:tcPr>
            <w:tcW w:w="993" w:type="dxa"/>
            <w:noWrap/>
            <w:vAlign w:val="center"/>
            <w:hideMark/>
          </w:tcPr>
          <w:p w14:paraId="1F247FAA"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3.0</w:t>
            </w:r>
          </w:p>
        </w:tc>
        <w:tc>
          <w:tcPr>
            <w:tcW w:w="992" w:type="dxa"/>
            <w:noWrap/>
            <w:vAlign w:val="center"/>
            <w:hideMark/>
          </w:tcPr>
          <w:p w14:paraId="56426D7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3.0</w:t>
            </w:r>
          </w:p>
        </w:tc>
        <w:tc>
          <w:tcPr>
            <w:tcW w:w="850" w:type="dxa"/>
            <w:noWrap/>
            <w:vAlign w:val="center"/>
            <w:hideMark/>
          </w:tcPr>
          <w:p w14:paraId="4D6DED0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3.0</w:t>
            </w:r>
          </w:p>
        </w:tc>
      </w:tr>
      <w:tr w:rsidR="0077183B" w:rsidRPr="00AA3933" w14:paraId="7804B669" w14:textId="77777777" w:rsidTr="004D5E99">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BDDDBDA"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Jaunas darba samaksas sistēmas ieviešana Iekšlietu ministrijas sistēmas iestāžu un Ieslodzījuma vietu pārvaldes amatpersonām ar speciālajām dienesta pakāpēm</w:t>
            </w:r>
          </w:p>
        </w:tc>
        <w:tc>
          <w:tcPr>
            <w:tcW w:w="993" w:type="dxa"/>
            <w:noWrap/>
            <w:vAlign w:val="center"/>
            <w:hideMark/>
          </w:tcPr>
          <w:p w14:paraId="19480D98"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26.0</w:t>
            </w:r>
          </w:p>
        </w:tc>
        <w:tc>
          <w:tcPr>
            <w:tcW w:w="992" w:type="dxa"/>
            <w:noWrap/>
            <w:vAlign w:val="center"/>
            <w:hideMark/>
          </w:tcPr>
          <w:p w14:paraId="7C3E3A0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26.0</w:t>
            </w:r>
          </w:p>
        </w:tc>
        <w:tc>
          <w:tcPr>
            <w:tcW w:w="850" w:type="dxa"/>
            <w:noWrap/>
            <w:vAlign w:val="center"/>
            <w:hideMark/>
          </w:tcPr>
          <w:p w14:paraId="7A465A57"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26.0</w:t>
            </w:r>
          </w:p>
        </w:tc>
      </w:tr>
      <w:tr w:rsidR="0077183B" w:rsidRPr="00AA3933" w14:paraId="56862DF3" w14:textId="77777777" w:rsidTr="004D5E99">
        <w:trPr>
          <w:trHeight w:val="703"/>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67D6CF41" w14:textId="3141D907" w:rsidR="0077183B" w:rsidRPr="00AA3933" w:rsidRDefault="0077183B" w:rsidP="00D04089">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MK pieņemtie lēmumi (t.sk. izdevumu palielinājums ilgtermiņa saistību pasākuma “</w:t>
            </w:r>
            <w:r w:rsidR="00D04089">
              <w:rPr>
                <w:rFonts w:ascii="Times New Roman" w:eastAsia="Times New Roman" w:hAnsi="Times New Roman" w:cs="Times New Roman"/>
                <w:b w:val="0"/>
                <w:color w:val="000000"/>
                <w:sz w:val="20"/>
                <w:szCs w:val="20"/>
                <w:lang w:eastAsia="lv-LV"/>
              </w:rPr>
              <w:t>ES</w:t>
            </w:r>
            <w:r w:rsidRPr="00AA3933">
              <w:rPr>
                <w:rFonts w:ascii="Times New Roman" w:eastAsia="Times New Roman" w:hAnsi="Times New Roman" w:cs="Times New Roman"/>
                <w:b w:val="0"/>
                <w:color w:val="000000"/>
                <w:sz w:val="20"/>
                <w:szCs w:val="20"/>
                <w:lang w:eastAsia="lv-LV"/>
              </w:rPr>
              <w:t xml:space="preserve"> prasībām atbilstošu pasu, elektronisko identifikācijas karšu un uzturēšanās atļauju izsniegšana” nodrošināšanai 2019.gadā)</w:t>
            </w:r>
          </w:p>
        </w:tc>
        <w:tc>
          <w:tcPr>
            <w:tcW w:w="993" w:type="dxa"/>
            <w:noWrap/>
            <w:vAlign w:val="center"/>
            <w:hideMark/>
          </w:tcPr>
          <w:p w14:paraId="36D9ED3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0.8</w:t>
            </w:r>
          </w:p>
        </w:tc>
        <w:tc>
          <w:tcPr>
            <w:tcW w:w="992" w:type="dxa"/>
            <w:noWrap/>
            <w:vAlign w:val="center"/>
            <w:hideMark/>
          </w:tcPr>
          <w:p w14:paraId="616E59CE"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0.7</w:t>
            </w:r>
          </w:p>
        </w:tc>
        <w:tc>
          <w:tcPr>
            <w:tcW w:w="850" w:type="dxa"/>
            <w:noWrap/>
            <w:vAlign w:val="center"/>
            <w:hideMark/>
          </w:tcPr>
          <w:p w14:paraId="6178133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4.3</w:t>
            </w:r>
          </w:p>
        </w:tc>
      </w:tr>
      <w:tr w:rsidR="0077183B" w:rsidRPr="00AA3933" w14:paraId="23164D5A"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749D9E9D"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Izglītības un zinātnes ministrija</w:t>
            </w:r>
          </w:p>
        </w:tc>
        <w:tc>
          <w:tcPr>
            <w:tcW w:w="993" w:type="dxa"/>
            <w:noWrap/>
            <w:vAlign w:val="center"/>
            <w:hideMark/>
          </w:tcPr>
          <w:p w14:paraId="5DDAD6F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16.0</w:t>
            </w:r>
          </w:p>
        </w:tc>
        <w:tc>
          <w:tcPr>
            <w:tcW w:w="992" w:type="dxa"/>
            <w:noWrap/>
            <w:vAlign w:val="center"/>
            <w:hideMark/>
          </w:tcPr>
          <w:p w14:paraId="2F765565"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19.9</w:t>
            </w:r>
          </w:p>
        </w:tc>
        <w:tc>
          <w:tcPr>
            <w:tcW w:w="850" w:type="dxa"/>
            <w:noWrap/>
            <w:vAlign w:val="center"/>
            <w:hideMark/>
          </w:tcPr>
          <w:p w14:paraId="69B6C0F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18.9</w:t>
            </w:r>
          </w:p>
        </w:tc>
      </w:tr>
      <w:tr w:rsidR="0077183B" w:rsidRPr="00AA3933" w14:paraId="5C732FAD"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9A24C50"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5256720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4.6</w:t>
            </w:r>
          </w:p>
        </w:tc>
        <w:tc>
          <w:tcPr>
            <w:tcW w:w="992" w:type="dxa"/>
            <w:noWrap/>
            <w:vAlign w:val="center"/>
            <w:hideMark/>
          </w:tcPr>
          <w:p w14:paraId="59605B2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850" w:type="dxa"/>
            <w:noWrap/>
            <w:vAlign w:val="center"/>
            <w:hideMark/>
          </w:tcPr>
          <w:p w14:paraId="6095588E"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r>
      <w:tr w:rsidR="0077183B" w:rsidRPr="00AA3933" w14:paraId="6E530A12"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9F8F5DC"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2016.gada 1.septembrī uzsāktās pedagogu darba samaksas reformas nodrošināšana</w:t>
            </w:r>
          </w:p>
        </w:tc>
        <w:tc>
          <w:tcPr>
            <w:tcW w:w="993" w:type="dxa"/>
            <w:noWrap/>
            <w:vAlign w:val="center"/>
            <w:hideMark/>
          </w:tcPr>
          <w:p w14:paraId="6EFCD5F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6.2</w:t>
            </w:r>
          </w:p>
        </w:tc>
        <w:tc>
          <w:tcPr>
            <w:tcW w:w="992" w:type="dxa"/>
            <w:noWrap/>
            <w:vAlign w:val="center"/>
            <w:hideMark/>
          </w:tcPr>
          <w:p w14:paraId="74A9EEF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10.9</w:t>
            </w:r>
          </w:p>
        </w:tc>
        <w:tc>
          <w:tcPr>
            <w:tcW w:w="850" w:type="dxa"/>
            <w:noWrap/>
            <w:vAlign w:val="center"/>
            <w:hideMark/>
          </w:tcPr>
          <w:p w14:paraId="3640C85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10.9</w:t>
            </w:r>
          </w:p>
        </w:tc>
      </w:tr>
      <w:tr w:rsidR="0077183B" w:rsidRPr="00AA3933" w14:paraId="4E32EDBA"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02B64B87"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Liepājas slēgto tenisa kortu celtniecībai</w:t>
            </w:r>
          </w:p>
        </w:tc>
        <w:tc>
          <w:tcPr>
            <w:tcW w:w="993" w:type="dxa"/>
            <w:noWrap/>
            <w:vAlign w:val="center"/>
            <w:hideMark/>
          </w:tcPr>
          <w:p w14:paraId="267C3E9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c>
          <w:tcPr>
            <w:tcW w:w="992" w:type="dxa"/>
            <w:noWrap/>
            <w:vAlign w:val="center"/>
            <w:hideMark/>
          </w:tcPr>
          <w:p w14:paraId="077A7B82"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c>
          <w:tcPr>
            <w:tcW w:w="850" w:type="dxa"/>
            <w:noWrap/>
            <w:vAlign w:val="center"/>
            <w:hideMark/>
          </w:tcPr>
          <w:p w14:paraId="00E0E161"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r>
      <w:tr w:rsidR="0077183B" w:rsidRPr="00AA3933" w14:paraId="1C03A56B"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2D6C7D9"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Olimpiskā centra "Ventspils" sporta infrastruktūras attīstības projekta īstenošanai</w:t>
            </w:r>
          </w:p>
        </w:tc>
        <w:tc>
          <w:tcPr>
            <w:tcW w:w="993" w:type="dxa"/>
            <w:noWrap/>
            <w:vAlign w:val="center"/>
            <w:hideMark/>
          </w:tcPr>
          <w:p w14:paraId="54BD958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c>
          <w:tcPr>
            <w:tcW w:w="992" w:type="dxa"/>
            <w:noWrap/>
            <w:vAlign w:val="center"/>
            <w:hideMark/>
          </w:tcPr>
          <w:p w14:paraId="081DBFF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c>
          <w:tcPr>
            <w:tcW w:w="850" w:type="dxa"/>
            <w:noWrap/>
            <w:vAlign w:val="center"/>
            <w:hideMark/>
          </w:tcPr>
          <w:p w14:paraId="78597C5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r>
      <w:tr w:rsidR="0077183B" w:rsidRPr="00AA3933" w14:paraId="7E4AF959"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52EDB9EF"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Valmieras J.Daliņa stadiona rekonstrukcijai un vieglatlētikas manēžas celtniecībai</w:t>
            </w:r>
          </w:p>
        </w:tc>
        <w:tc>
          <w:tcPr>
            <w:tcW w:w="993" w:type="dxa"/>
            <w:noWrap/>
            <w:vAlign w:val="center"/>
            <w:hideMark/>
          </w:tcPr>
          <w:p w14:paraId="0502EB4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1.1</w:t>
            </w:r>
          </w:p>
        </w:tc>
        <w:tc>
          <w:tcPr>
            <w:tcW w:w="992" w:type="dxa"/>
            <w:noWrap/>
            <w:vAlign w:val="center"/>
            <w:hideMark/>
          </w:tcPr>
          <w:p w14:paraId="5C08DA62"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2.1</w:t>
            </w:r>
          </w:p>
        </w:tc>
        <w:tc>
          <w:tcPr>
            <w:tcW w:w="850" w:type="dxa"/>
            <w:noWrap/>
            <w:vAlign w:val="center"/>
            <w:hideMark/>
          </w:tcPr>
          <w:p w14:paraId="5AAEC86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2.1</w:t>
            </w:r>
          </w:p>
        </w:tc>
      </w:tr>
      <w:tr w:rsidR="0077183B" w:rsidRPr="00AA3933" w14:paraId="2082A169"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D4CB4AF"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Ventspils Starptautiskā radioastronomijas centra attīstības projektam “Jaunās paaudzes sensoru programmējamo antenu lauka radioteleskopa stacijas “LOFAR” izveide”</w:t>
            </w:r>
          </w:p>
        </w:tc>
        <w:tc>
          <w:tcPr>
            <w:tcW w:w="993" w:type="dxa"/>
            <w:noWrap/>
            <w:vAlign w:val="center"/>
            <w:hideMark/>
          </w:tcPr>
          <w:p w14:paraId="22BC600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c>
          <w:tcPr>
            <w:tcW w:w="992" w:type="dxa"/>
            <w:noWrap/>
            <w:vAlign w:val="center"/>
            <w:hideMark/>
          </w:tcPr>
          <w:p w14:paraId="2FBD1788"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2.0</w:t>
            </w:r>
          </w:p>
        </w:tc>
        <w:tc>
          <w:tcPr>
            <w:tcW w:w="850" w:type="dxa"/>
            <w:noWrap/>
            <w:vAlign w:val="center"/>
            <w:hideMark/>
          </w:tcPr>
          <w:p w14:paraId="043C8338"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r>
      <w:tr w:rsidR="0077183B" w:rsidRPr="00AA3933" w14:paraId="73F53D2A"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4E76F71C"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Zemkopības ministrija</w:t>
            </w:r>
          </w:p>
        </w:tc>
        <w:tc>
          <w:tcPr>
            <w:tcW w:w="993" w:type="dxa"/>
            <w:noWrap/>
            <w:vAlign w:val="center"/>
            <w:hideMark/>
          </w:tcPr>
          <w:p w14:paraId="44F2CF5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13.6</w:t>
            </w:r>
          </w:p>
        </w:tc>
        <w:tc>
          <w:tcPr>
            <w:tcW w:w="992" w:type="dxa"/>
            <w:noWrap/>
            <w:vAlign w:val="center"/>
            <w:hideMark/>
          </w:tcPr>
          <w:p w14:paraId="3208A16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13.5</w:t>
            </w:r>
          </w:p>
        </w:tc>
        <w:tc>
          <w:tcPr>
            <w:tcW w:w="850" w:type="dxa"/>
            <w:noWrap/>
            <w:vAlign w:val="center"/>
            <w:hideMark/>
          </w:tcPr>
          <w:p w14:paraId="1024EF19"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13.5</w:t>
            </w:r>
          </w:p>
        </w:tc>
      </w:tr>
      <w:tr w:rsidR="0077183B" w:rsidRPr="00AA3933" w14:paraId="468FB947"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2385F1C"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67A5698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0.6</w:t>
            </w:r>
          </w:p>
        </w:tc>
        <w:tc>
          <w:tcPr>
            <w:tcW w:w="992" w:type="dxa"/>
            <w:noWrap/>
            <w:vAlign w:val="center"/>
            <w:hideMark/>
          </w:tcPr>
          <w:p w14:paraId="4FCEF86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0.5</w:t>
            </w:r>
          </w:p>
        </w:tc>
        <w:tc>
          <w:tcPr>
            <w:tcW w:w="850" w:type="dxa"/>
            <w:noWrap/>
            <w:vAlign w:val="center"/>
            <w:hideMark/>
          </w:tcPr>
          <w:p w14:paraId="521D3BE6"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0.6</w:t>
            </w:r>
          </w:p>
        </w:tc>
      </w:tr>
      <w:tr w:rsidR="0077183B" w:rsidRPr="00AA3933" w14:paraId="4D714A44"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2C3A0A7"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 xml:space="preserve">Ārkārtas valsts atbalsts piena ražotājiem </w:t>
            </w:r>
          </w:p>
        </w:tc>
        <w:tc>
          <w:tcPr>
            <w:tcW w:w="993" w:type="dxa"/>
            <w:noWrap/>
            <w:vAlign w:val="center"/>
            <w:hideMark/>
          </w:tcPr>
          <w:p w14:paraId="75F6E18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7.0</w:t>
            </w:r>
          </w:p>
        </w:tc>
        <w:tc>
          <w:tcPr>
            <w:tcW w:w="992" w:type="dxa"/>
            <w:noWrap/>
            <w:vAlign w:val="center"/>
            <w:hideMark/>
          </w:tcPr>
          <w:p w14:paraId="1B38225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7.0</w:t>
            </w:r>
          </w:p>
        </w:tc>
        <w:tc>
          <w:tcPr>
            <w:tcW w:w="850" w:type="dxa"/>
            <w:noWrap/>
            <w:vAlign w:val="center"/>
            <w:hideMark/>
          </w:tcPr>
          <w:p w14:paraId="5389182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7.0</w:t>
            </w:r>
          </w:p>
        </w:tc>
      </w:tr>
      <w:tr w:rsidR="0077183B" w:rsidRPr="00AA3933" w14:paraId="1F37CBD6"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0E3AFD54"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Valsts meža dienesta kapacitātes stiprināšana</w:t>
            </w:r>
          </w:p>
        </w:tc>
        <w:tc>
          <w:tcPr>
            <w:tcW w:w="993" w:type="dxa"/>
            <w:noWrap/>
            <w:vAlign w:val="center"/>
            <w:hideMark/>
          </w:tcPr>
          <w:p w14:paraId="0815453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2.7</w:t>
            </w:r>
          </w:p>
        </w:tc>
        <w:tc>
          <w:tcPr>
            <w:tcW w:w="992" w:type="dxa"/>
            <w:noWrap/>
            <w:vAlign w:val="center"/>
            <w:hideMark/>
          </w:tcPr>
          <w:p w14:paraId="330C8C85"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2.7</w:t>
            </w:r>
          </w:p>
        </w:tc>
        <w:tc>
          <w:tcPr>
            <w:tcW w:w="850" w:type="dxa"/>
            <w:noWrap/>
            <w:vAlign w:val="center"/>
            <w:hideMark/>
          </w:tcPr>
          <w:p w14:paraId="03779FB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2.7</w:t>
            </w:r>
          </w:p>
        </w:tc>
      </w:tr>
      <w:tr w:rsidR="0077183B" w:rsidRPr="00AA3933" w14:paraId="02E2470B" w14:textId="77777777" w:rsidTr="004D5E99">
        <w:trPr>
          <w:trHeight w:val="330"/>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3A9390BB"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2016.gada 1.septembrī uzsāktās pedagogu darba samaksas reformas nodrošināšana</w:t>
            </w:r>
          </w:p>
        </w:tc>
        <w:tc>
          <w:tcPr>
            <w:tcW w:w="993" w:type="dxa"/>
            <w:noWrap/>
            <w:vAlign w:val="center"/>
            <w:hideMark/>
          </w:tcPr>
          <w:p w14:paraId="4A24346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1.5</w:t>
            </w:r>
          </w:p>
        </w:tc>
        <w:tc>
          <w:tcPr>
            <w:tcW w:w="992" w:type="dxa"/>
            <w:noWrap/>
            <w:vAlign w:val="center"/>
            <w:hideMark/>
          </w:tcPr>
          <w:p w14:paraId="69FBC895"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1.5</w:t>
            </w:r>
          </w:p>
        </w:tc>
        <w:tc>
          <w:tcPr>
            <w:tcW w:w="850" w:type="dxa"/>
            <w:noWrap/>
            <w:vAlign w:val="center"/>
            <w:hideMark/>
          </w:tcPr>
          <w:p w14:paraId="7B4AE28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1.5</w:t>
            </w:r>
          </w:p>
        </w:tc>
      </w:tr>
      <w:tr w:rsidR="0077183B" w:rsidRPr="00AA3933" w14:paraId="5F243295"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3DCC2260" w14:textId="3713F053" w:rsidR="0077183B" w:rsidRPr="00AA3933" w:rsidRDefault="0077183B" w:rsidP="006E5765">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lastRenderedPageBreak/>
              <w:t xml:space="preserve">MK pieņemtie lēmumi (t.sk. </w:t>
            </w:r>
            <w:r w:rsidR="006E5765">
              <w:rPr>
                <w:rFonts w:ascii="Times New Roman" w:eastAsia="Times New Roman" w:hAnsi="Times New Roman" w:cs="Times New Roman"/>
                <w:b w:val="0"/>
                <w:color w:val="000000"/>
                <w:sz w:val="20"/>
                <w:szCs w:val="20"/>
                <w:lang w:eastAsia="lv-LV"/>
              </w:rPr>
              <w:t>Hidroelektrostacijas</w:t>
            </w:r>
            <w:r w:rsidRPr="00AA3933">
              <w:rPr>
                <w:rFonts w:ascii="Times New Roman" w:eastAsia="Times New Roman" w:hAnsi="Times New Roman" w:cs="Times New Roman"/>
                <w:b w:val="0"/>
                <w:color w:val="000000"/>
                <w:sz w:val="20"/>
                <w:szCs w:val="20"/>
                <w:lang w:eastAsia="lv-LV"/>
              </w:rPr>
              <w:t xml:space="preserve"> kompensācija par zivju resursiem nodarītiem kaitējumiem)</w:t>
            </w:r>
          </w:p>
        </w:tc>
        <w:tc>
          <w:tcPr>
            <w:tcW w:w="993" w:type="dxa"/>
            <w:noWrap/>
            <w:vAlign w:val="center"/>
            <w:hideMark/>
          </w:tcPr>
          <w:p w14:paraId="5B4F8B4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992" w:type="dxa"/>
            <w:noWrap/>
            <w:vAlign w:val="center"/>
            <w:hideMark/>
          </w:tcPr>
          <w:p w14:paraId="159E06F2"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850" w:type="dxa"/>
            <w:noWrap/>
            <w:vAlign w:val="center"/>
            <w:hideMark/>
          </w:tcPr>
          <w:p w14:paraId="6A7D2C95"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r>
      <w:tr w:rsidR="0077183B" w:rsidRPr="00AA3933" w14:paraId="052BDDB7"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0AB571E6"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Satiksmes ministrija</w:t>
            </w:r>
          </w:p>
        </w:tc>
        <w:tc>
          <w:tcPr>
            <w:tcW w:w="993" w:type="dxa"/>
            <w:noWrap/>
            <w:vAlign w:val="center"/>
            <w:hideMark/>
          </w:tcPr>
          <w:p w14:paraId="6DDF2A0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11.7</w:t>
            </w:r>
          </w:p>
        </w:tc>
        <w:tc>
          <w:tcPr>
            <w:tcW w:w="992" w:type="dxa"/>
            <w:noWrap/>
            <w:vAlign w:val="center"/>
            <w:hideMark/>
          </w:tcPr>
          <w:p w14:paraId="255BD4C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13.4</w:t>
            </w:r>
          </w:p>
        </w:tc>
        <w:tc>
          <w:tcPr>
            <w:tcW w:w="850" w:type="dxa"/>
            <w:noWrap/>
            <w:vAlign w:val="center"/>
            <w:hideMark/>
          </w:tcPr>
          <w:p w14:paraId="4EFE19A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13.4</w:t>
            </w:r>
          </w:p>
        </w:tc>
      </w:tr>
      <w:tr w:rsidR="0077183B" w:rsidRPr="00AA3933" w14:paraId="00B4A56C"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EE55D1D"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4032251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0.4</w:t>
            </w:r>
          </w:p>
        </w:tc>
        <w:tc>
          <w:tcPr>
            <w:tcW w:w="992" w:type="dxa"/>
            <w:noWrap/>
            <w:vAlign w:val="center"/>
            <w:hideMark/>
          </w:tcPr>
          <w:p w14:paraId="5EC67B8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0.4</w:t>
            </w:r>
          </w:p>
        </w:tc>
        <w:tc>
          <w:tcPr>
            <w:tcW w:w="850" w:type="dxa"/>
            <w:noWrap/>
            <w:vAlign w:val="center"/>
            <w:hideMark/>
          </w:tcPr>
          <w:p w14:paraId="7F7D3058"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0.4</w:t>
            </w:r>
          </w:p>
        </w:tc>
      </w:tr>
      <w:tr w:rsidR="0077183B" w:rsidRPr="00AA3933" w14:paraId="25ED9EB7"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D3AC0AE"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Autoceļu sakārtošanas programma 2014.-2020.gadam</w:t>
            </w:r>
          </w:p>
        </w:tc>
        <w:tc>
          <w:tcPr>
            <w:tcW w:w="993" w:type="dxa"/>
            <w:noWrap/>
            <w:vAlign w:val="center"/>
            <w:hideMark/>
          </w:tcPr>
          <w:p w14:paraId="41FE9FA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9.6</w:t>
            </w:r>
          </w:p>
        </w:tc>
        <w:tc>
          <w:tcPr>
            <w:tcW w:w="992" w:type="dxa"/>
            <w:noWrap/>
            <w:vAlign w:val="center"/>
            <w:hideMark/>
          </w:tcPr>
          <w:p w14:paraId="603F200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9.6</w:t>
            </w:r>
          </w:p>
        </w:tc>
        <w:tc>
          <w:tcPr>
            <w:tcW w:w="850" w:type="dxa"/>
            <w:noWrap/>
            <w:vAlign w:val="center"/>
            <w:hideMark/>
          </w:tcPr>
          <w:p w14:paraId="70BD36D6"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9.6</w:t>
            </w:r>
          </w:p>
        </w:tc>
      </w:tr>
      <w:tr w:rsidR="0077183B" w:rsidRPr="00AA3933" w14:paraId="0ADA4AEF" w14:textId="77777777" w:rsidTr="004D5E9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7EE8668"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Daudzbērnu ģimenes kā jauna pasažieru kategorija, kas ir tiesīga izmantot braukšanas maksas atvieglojumus starppilsētu sabiedriskajā transportā</w:t>
            </w:r>
          </w:p>
        </w:tc>
        <w:tc>
          <w:tcPr>
            <w:tcW w:w="993" w:type="dxa"/>
            <w:noWrap/>
            <w:vAlign w:val="center"/>
            <w:hideMark/>
          </w:tcPr>
          <w:p w14:paraId="04A718E7"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1.7</w:t>
            </w:r>
          </w:p>
        </w:tc>
        <w:tc>
          <w:tcPr>
            <w:tcW w:w="992" w:type="dxa"/>
            <w:noWrap/>
            <w:vAlign w:val="center"/>
            <w:hideMark/>
          </w:tcPr>
          <w:p w14:paraId="19731695"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3.4</w:t>
            </w:r>
          </w:p>
        </w:tc>
        <w:tc>
          <w:tcPr>
            <w:tcW w:w="850" w:type="dxa"/>
            <w:noWrap/>
            <w:vAlign w:val="center"/>
            <w:hideMark/>
          </w:tcPr>
          <w:p w14:paraId="6F36229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3.4</w:t>
            </w:r>
          </w:p>
        </w:tc>
      </w:tr>
      <w:tr w:rsidR="0077183B" w:rsidRPr="00AA3933" w14:paraId="712DD786"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73797655"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Labklājības ministrija</w:t>
            </w:r>
          </w:p>
        </w:tc>
        <w:tc>
          <w:tcPr>
            <w:tcW w:w="993" w:type="dxa"/>
            <w:noWrap/>
            <w:vAlign w:val="center"/>
            <w:hideMark/>
          </w:tcPr>
          <w:p w14:paraId="15BD8DF9"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14.6</w:t>
            </w:r>
          </w:p>
        </w:tc>
        <w:tc>
          <w:tcPr>
            <w:tcW w:w="992" w:type="dxa"/>
            <w:noWrap/>
            <w:vAlign w:val="center"/>
            <w:hideMark/>
          </w:tcPr>
          <w:p w14:paraId="23FC3CE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14.5</w:t>
            </w:r>
          </w:p>
        </w:tc>
        <w:tc>
          <w:tcPr>
            <w:tcW w:w="850" w:type="dxa"/>
            <w:noWrap/>
            <w:vAlign w:val="center"/>
            <w:hideMark/>
          </w:tcPr>
          <w:p w14:paraId="1EBA6E8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14.7</w:t>
            </w:r>
          </w:p>
        </w:tc>
      </w:tr>
      <w:tr w:rsidR="0077183B" w:rsidRPr="00AA3933" w14:paraId="62F4ADC0"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06B22446"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7B2636D1"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2.2</w:t>
            </w:r>
          </w:p>
        </w:tc>
        <w:tc>
          <w:tcPr>
            <w:tcW w:w="992" w:type="dxa"/>
            <w:noWrap/>
            <w:vAlign w:val="center"/>
            <w:hideMark/>
          </w:tcPr>
          <w:p w14:paraId="0411E245"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2.2</w:t>
            </w:r>
          </w:p>
        </w:tc>
        <w:tc>
          <w:tcPr>
            <w:tcW w:w="850" w:type="dxa"/>
            <w:noWrap/>
            <w:vAlign w:val="center"/>
            <w:hideMark/>
          </w:tcPr>
          <w:p w14:paraId="3D222BB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2.4</w:t>
            </w:r>
          </w:p>
        </w:tc>
      </w:tr>
      <w:tr w:rsidR="0077183B" w:rsidRPr="00AA3933" w14:paraId="49D898A6"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5FBA9283"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Alternatīvo ģimenes aprūpes formu attīstība</w:t>
            </w:r>
          </w:p>
        </w:tc>
        <w:tc>
          <w:tcPr>
            <w:tcW w:w="993" w:type="dxa"/>
            <w:noWrap/>
            <w:vAlign w:val="center"/>
            <w:hideMark/>
          </w:tcPr>
          <w:p w14:paraId="13939DC9"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4.9</w:t>
            </w:r>
          </w:p>
        </w:tc>
        <w:tc>
          <w:tcPr>
            <w:tcW w:w="992" w:type="dxa"/>
            <w:noWrap/>
            <w:vAlign w:val="center"/>
            <w:hideMark/>
          </w:tcPr>
          <w:p w14:paraId="2118D49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4.9</w:t>
            </w:r>
          </w:p>
        </w:tc>
        <w:tc>
          <w:tcPr>
            <w:tcW w:w="850" w:type="dxa"/>
            <w:noWrap/>
            <w:vAlign w:val="center"/>
            <w:hideMark/>
          </w:tcPr>
          <w:p w14:paraId="50A0F4B5"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4.9</w:t>
            </w:r>
          </w:p>
        </w:tc>
      </w:tr>
      <w:tr w:rsidR="0077183B" w:rsidRPr="00AA3933" w14:paraId="59943AE6"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564EA6E"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Atbalsta palielināšana apgādnieka zaudējuma pensijas saņēmējiem</w:t>
            </w:r>
          </w:p>
        </w:tc>
        <w:tc>
          <w:tcPr>
            <w:tcW w:w="993" w:type="dxa"/>
            <w:noWrap/>
            <w:vAlign w:val="center"/>
            <w:hideMark/>
          </w:tcPr>
          <w:p w14:paraId="5B82346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4.0</w:t>
            </w:r>
          </w:p>
        </w:tc>
        <w:tc>
          <w:tcPr>
            <w:tcW w:w="992" w:type="dxa"/>
            <w:noWrap/>
            <w:vAlign w:val="center"/>
            <w:hideMark/>
          </w:tcPr>
          <w:p w14:paraId="2D22623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4.0</w:t>
            </w:r>
          </w:p>
        </w:tc>
        <w:tc>
          <w:tcPr>
            <w:tcW w:w="850" w:type="dxa"/>
            <w:noWrap/>
            <w:vAlign w:val="center"/>
            <w:hideMark/>
          </w:tcPr>
          <w:p w14:paraId="1B1D9971"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4.0</w:t>
            </w:r>
          </w:p>
        </w:tc>
      </w:tr>
      <w:tr w:rsidR="0077183B" w:rsidRPr="00AA3933" w14:paraId="631643C6"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6A461E6"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Ģimenes valsts pabalsta palielināšana, sākot no 4.bērna</w:t>
            </w:r>
          </w:p>
        </w:tc>
        <w:tc>
          <w:tcPr>
            <w:tcW w:w="993" w:type="dxa"/>
            <w:noWrap/>
            <w:vAlign w:val="center"/>
            <w:hideMark/>
          </w:tcPr>
          <w:p w14:paraId="0B4C6DF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3.5</w:t>
            </w:r>
          </w:p>
        </w:tc>
        <w:tc>
          <w:tcPr>
            <w:tcW w:w="992" w:type="dxa"/>
            <w:noWrap/>
            <w:vAlign w:val="center"/>
            <w:hideMark/>
          </w:tcPr>
          <w:p w14:paraId="0E22E25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3.5</w:t>
            </w:r>
          </w:p>
        </w:tc>
        <w:tc>
          <w:tcPr>
            <w:tcW w:w="850" w:type="dxa"/>
            <w:noWrap/>
            <w:vAlign w:val="center"/>
            <w:hideMark/>
          </w:tcPr>
          <w:p w14:paraId="6B52D08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3.5</w:t>
            </w:r>
          </w:p>
        </w:tc>
      </w:tr>
      <w:tr w:rsidR="0077183B" w:rsidRPr="00AA3933" w14:paraId="2EF2B2DB"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6832EB74"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Tieslietu ministrija</w:t>
            </w:r>
          </w:p>
        </w:tc>
        <w:tc>
          <w:tcPr>
            <w:tcW w:w="993" w:type="dxa"/>
            <w:noWrap/>
            <w:vAlign w:val="center"/>
            <w:hideMark/>
          </w:tcPr>
          <w:p w14:paraId="047FA9E5"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-14.7</w:t>
            </w:r>
          </w:p>
        </w:tc>
        <w:tc>
          <w:tcPr>
            <w:tcW w:w="992" w:type="dxa"/>
            <w:noWrap/>
            <w:vAlign w:val="center"/>
            <w:hideMark/>
          </w:tcPr>
          <w:p w14:paraId="30A5671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18.6</w:t>
            </w:r>
          </w:p>
        </w:tc>
        <w:tc>
          <w:tcPr>
            <w:tcW w:w="850" w:type="dxa"/>
            <w:noWrap/>
            <w:vAlign w:val="center"/>
            <w:hideMark/>
          </w:tcPr>
          <w:p w14:paraId="5471DB3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44.0</w:t>
            </w:r>
          </w:p>
        </w:tc>
      </w:tr>
      <w:tr w:rsidR="0077183B" w:rsidRPr="00AA3933" w14:paraId="2388A620"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FC43D0C"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1666C5C3"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3.7</w:t>
            </w:r>
          </w:p>
        </w:tc>
        <w:tc>
          <w:tcPr>
            <w:tcW w:w="992" w:type="dxa"/>
            <w:noWrap/>
            <w:vAlign w:val="center"/>
            <w:hideMark/>
          </w:tcPr>
          <w:p w14:paraId="7FBD797E"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2.7</w:t>
            </w:r>
          </w:p>
        </w:tc>
        <w:tc>
          <w:tcPr>
            <w:tcW w:w="850" w:type="dxa"/>
            <w:noWrap/>
            <w:vAlign w:val="center"/>
            <w:hideMark/>
          </w:tcPr>
          <w:p w14:paraId="22EAC4B2"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3.4</w:t>
            </w:r>
          </w:p>
        </w:tc>
      </w:tr>
      <w:tr w:rsidR="0077183B" w:rsidRPr="00AA3933" w14:paraId="43EE43E1" w14:textId="77777777" w:rsidTr="004D5E99">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C59DBB6"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Jaunas darba samaksas sistēmas ieviešana Iekšlietu ministrijas sistēmas iestāžu un Ieslodzījuma vietu pārvaldes amatpersonām ar speciālajām dienesta pakāpēm</w:t>
            </w:r>
          </w:p>
        </w:tc>
        <w:tc>
          <w:tcPr>
            <w:tcW w:w="993" w:type="dxa"/>
            <w:noWrap/>
            <w:vAlign w:val="center"/>
            <w:hideMark/>
          </w:tcPr>
          <w:p w14:paraId="2E4EB6E6"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4.3</w:t>
            </w:r>
          </w:p>
        </w:tc>
        <w:tc>
          <w:tcPr>
            <w:tcW w:w="992" w:type="dxa"/>
            <w:noWrap/>
            <w:vAlign w:val="center"/>
            <w:hideMark/>
          </w:tcPr>
          <w:p w14:paraId="1CCB70F8"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4.3</w:t>
            </w:r>
          </w:p>
        </w:tc>
        <w:tc>
          <w:tcPr>
            <w:tcW w:w="850" w:type="dxa"/>
            <w:noWrap/>
            <w:vAlign w:val="center"/>
            <w:hideMark/>
          </w:tcPr>
          <w:p w14:paraId="43B9A4A6"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4.3</w:t>
            </w:r>
          </w:p>
        </w:tc>
      </w:tr>
      <w:tr w:rsidR="0077183B" w:rsidRPr="00AA3933" w14:paraId="05C9AB14"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6AEE4D5"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Satversmes aizsardzības biroja darbības nodrošināšana (klasificēta informācija)</w:t>
            </w:r>
          </w:p>
        </w:tc>
        <w:tc>
          <w:tcPr>
            <w:tcW w:w="993" w:type="dxa"/>
            <w:noWrap/>
            <w:vAlign w:val="center"/>
            <w:hideMark/>
          </w:tcPr>
          <w:p w14:paraId="1E8D8DE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2.5</w:t>
            </w:r>
          </w:p>
        </w:tc>
        <w:tc>
          <w:tcPr>
            <w:tcW w:w="992" w:type="dxa"/>
            <w:noWrap/>
            <w:vAlign w:val="center"/>
            <w:hideMark/>
          </w:tcPr>
          <w:p w14:paraId="3789BE8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2.4</w:t>
            </w:r>
          </w:p>
        </w:tc>
        <w:tc>
          <w:tcPr>
            <w:tcW w:w="850" w:type="dxa"/>
            <w:noWrap/>
            <w:vAlign w:val="center"/>
            <w:hideMark/>
          </w:tcPr>
          <w:p w14:paraId="3A5FBC5A"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2.5</w:t>
            </w:r>
          </w:p>
        </w:tc>
      </w:tr>
      <w:tr w:rsidR="0077183B" w:rsidRPr="00AA3933" w14:paraId="4C0BD52C"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4B4E4B3"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Tiesu sistēmas darbinieku mēnešalgu paaugstināšana</w:t>
            </w:r>
          </w:p>
        </w:tc>
        <w:tc>
          <w:tcPr>
            <w:tcW w:w="993" w:type="dxa"/>
            <w:noWrap/>
            <w:vAlign w:val="center"/>
            <w:hideMark/>
          </w:tcPr>
          <w:p w14:paraId="4AB676F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3.8</w:t>
            </w:r>
          </w:p>
        </w:tc>
        <w:tc>
          <w:tcPr>
            <w:tcW w:w="992" w:type="dxa"/>
            <w:noWrap/>
            <w:vAlign w:val="center"/>
            <w:hideMark/>
          </w:tcPr>
          <w:p w14:paraId="54FF276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3.8</w:t>
            </w:r>
          </w:p>
        </w:tc>
        <w:tc>
          <w:tcPr>
            <w:tcW w:w="850" w:type="dxa"/>
            <w:noWrap/>
            <w:vAlign w:val="center"/>
            <w:hideMark/>
          </w:tcPr>
          <w:p w14:paraId="5B97079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3.8</w:t>
            </w:r>
          </w:p>
        </w:tc>
      </w:tr>
      <w:tr w:rsidR="0077183B" w:rsidRPr="00AA3933" w14:paraId="63617682"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CFDC93B"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Tiesnešu un prokuroru atalgojuma palielināšana</w:t>
            </w:r>
          </w:p>
        </w:tc>
        <w:tc>
          <w:tcPr>
            <w:tcW w:w="993" w:type="dxa"/>
            <w:noWrap/>
            <w:vAlign w:val="center"/>
            <w:hideMark/>
          </w:tcPr>
          <w:p w14:paraId="2F1DCAE1"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992" w:type="dxa"/>
            <w:noWrap/>
            <w:vAlign w:val="center"/>
            <w:hideMark/>
          </w:tcPr>
          <w:p w14:paraId="24FCE9B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3.6</w:t>
            </w:r>
          </w:p>
        </w:tc>
        <w:tc>
          <w:tcPr>
            <w:tcW w:w="850" w:type="dxa"/>
            <w:noWrap/>
            <w:vAlign w:val="center"/>
            <w:hideMark/>
          </w:tcPr>
          <w:p w14:paraId="159DD783"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3.6</w:t>
            </w:r>
          </w:p>
        </w:tc>
      </w:tr>
      <w:tr w:rsidR="0077183B" w:rsidRPr="00AA3933" w14:paraId="3BC5AAB3"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D0C42BA"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MK pieņemtie lēmumi (t.sk. finansējuma izmaiņas ilgtermiņa saistību pasākumam "Jauna cietuma būvniecība Liepājā")</w:t>
            </w:r>
          </w:p>
        </w:tc>
        <w:tc>
          <w:tcPr>
            <w:tcW w:w="993" w:type="dxa"/>
            <w:noWrap/>
            <w:vAlign w:val="center"/>
            <w:hideMark/>
          </w:tcPr>
          <w:p w14:paraId="4A68A9D1"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-28.9</w:t>
            </w:r>
          </w:p>
        </w:tc>
        <w:tc>
          <w:tcPr>
            <w:tcW w:w="992" w:type="dxa"/>
            <w:noWrap/>
            <w:vAlign w:val="center"/>
            <w:hideMark/>
          </w:tcPr>
          <w:p w14:paraId="2C47A55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1.9</w:t>
            </w:r>
          </w:p>
        </w:tc>
        <w:tc>
          <w:tcPr>
            <w:tcW w:w="850" w:type="dxa"/>
            <w:noWrap/>
            <w:vAlign w:val="center"/>
            <w:hideMark/>
          </w:tcPr>
          <w:p w14:paraId="539FFD4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26.5</w:t>
            </w:r>
          </w:p>
        </w:tc>
      </w:tr>
      <w:tr w:rsidR="0077183B" w:rsidRPr="00AA3933" w14:paraId="79524B56"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29325731"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Vides aizsardzības un reģionālās attīstības ministrija</w:t>
            </w:r>
          </w:p>
        </w:tc>
        <w:tc>
          <w:tcPr>
            <w:tcW w:w="993" w:type="dxa"/>
            <w:noWrap/>
            <w:vAlign w:val="center"/>
            <w:hideMark/>
          </w:tcPr>
          <w:p w14:paraId="0B47B531"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3.1</w:t>
            </w:r>
          </w:p>
        </w:tc>
        <w:tc>
          <w:tcPr>
            <w:tcW w:w="992" w:type="dxa"/>
            <w:noWrap/>
            <w:vAlign w:val="center"/>
            <w:hideMark/>
          </w:tcPr>
          <w:p w14:paraId="58FEC9BA"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2.8</w:t>
            </w:r>
          </w:p>
        </w:tc>
        <w:tc>
          <w:tcPr>
            <w:tcW w:w="850" w:type="dxa"/>
            <w:noWrap/>
            <w:vAlign w:val="center"/>
            <w:hideMark/>
          </w:tcPr>
          <w:p w14:paraId="418DD5D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3.1</w:t>
            </w:r>
          </w:p>
        </w:tc>
      </w:tr>
      <w:tr w:rsidR="0077183B" w:rsidRPr="00AA3933" w14:paraId="58E48140"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65210A17"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3F8D0B4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0.3</w:t>
            </w:r>
          </w:p>
        </w:tc>
        <w:tc>
          <w:tcPr>
            <w:tcW w:w="992" w:type="dxa"/>
            <w:noWrap/>
            <w:vAlign w:val="center"/>
            <w:hideMark/>
          </w:tcPr>
          <w:p w14:paraId="20F613A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0.1</w:t>
            </w:r>
          </w:p>
        </w:tc>
        <w:tc>
          <w:tcPr>
            <w:tcW w:w="850" w:type="dxa"/>
            <w:noWrap/>
            <w:vAlign w:val="center"/>
            <w:hideMark/>
          </w:tcPr>
          <w:p w14:paraId="1B5CF9B6"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0.1</w:t>
            </w:r>
          </w:p>
        </w:tc>
      </w:tr>
      <w:tr w:rsidR="0077183B" w:rsidRPr="00AA3933" w14:paraId="18D50B6E" w14:textId="77777777" w:rsidTr="004D5E99">
        <w:trPr>
          <w:trHeight w:val="645"/>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513F4EB0" w14:textId="0332DB28" w:rsidR="0077183B" w:rsidRPr="00AA3933" w:rsidRDefault="008B2FEA" w:rsidP="0077183B">
            <w:pPr>
              <w:jc w:val="both"/>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ES</w:t>
            </w:r>
            <w:r w:rsidR="0077183B" w:rsidRPr="00AA3933">
              <w:rPr>
                <w:rFonts w:ascii="Times New Roman" w:eastAsia="Times New Roman" w:hAnsi="Times New Roman" w:cs="Times New Roman"/>
                <w:b w:val="0"/>
                <w:color w:val="000000"/>
                <w:sz w:val="20"/>
                <w:szCs w:val="20"/>
                <w:lang w:eastAsia="lv-LV"/>
              </w:rPr>
              <w:t xml:space="preserve"> politiku instrumentu un pārējo ārvalstu finanšu palīdzības līdzekļu ietvaros izveidoto informācijas un komunikācijas tehnoloģiju sistēmu uzturēšana</w:t>
            </w:r>
          </w:p>
        </w:tc>
        <w:tc>
          <w:tcPr>
            <w:tcW w:w="993" w:type="dxa"/>
            <w:noWrap/>
            <w:vAlign w:val="center"/>
            <w:hideMark/>
          </w:tcPr>
          <w:p w14:paraId="04BA98F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1.2</w:t>
            </w:r>
          </w:p>
        </w:tc>
        <w:tc>
          <w:tcPr>
            <w:tcW w:w="992" w:type="dxa"/>
            <w:noWrap/>
            <w:vAlign w:val="center"/>
            <w:hideMark/>
          </w:tcPr>
          <w:p w14:paraId="058C271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1.2</w:t>
            </w:r>
          </w:p>
        </w:tc>
        <w:tc>
          <w:tcPr>
            <w:tcW w:w="850" w:type="dxa"/>
            <w:noWrap/>
            <w:vAlign w:val="center"/>
            <w:hideMark/>
          </w:tcPr>
          <w:p w14:paraId="6CC33BA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1.5</w:t>
            </w:r>
          </w:p>
        </w:tc>
      </w:tr>
      <w:tr w:rsidR="0077183B" w:rsidRPr="00AA3933" w14:paraId="21215915"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40243BA0"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Valsts Ventspils Mūzikas vidusskolas infrastruktūras attīstības nodrošināšanai</w:t>
            </w:r>
          </w:p>
        </w:tc>
        <w:tc>
          <w:tcPr>
            <w:tcW w:w="993" w:type="dxa"/>
            <w:noWrap/>
            <w:vAlign w:val="center"/>
            <w:hideMark/>
          </w:tcPr>
          <w:p w14:paraId="4910399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c>
          <w:tcPr>
            <w:tcW w:w="992" w:type="dxa"/>
            <w:noWrap/>
            <w:vAlign w:val="center"/>
            <w:hideMark/>
          </w:tcPr>
          <w:p w14:paraId="0E7E7F92"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c>
          <w:tcPr>
            <w:tcW w:w="850" w:type="dxa"/>
            <w:noWrap/>
            <w:vAlign w:val="center"/>
            <w:hideMark/>
          </w:tcPr>
          <w:p w14:paraId="25F0C77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w:t>
            </w:r>
          </w:p>
        </w:tc>
      </w:tr>
      <w:tr w:rsidR="0077183B" w:rsidRPr="00AA3933" w14:paraId="65481509"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1763323A"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Kultūras ministrija</w:t>
            </w:r>
          </w:p>
        </w:tc>
        <w:tc>
          <w:tcPr>
            <w:tcW w:w="993" w:type="dxa"/>
            <w:noWrap/>
            <w:vAlign w:val="center"/>
            <w:hideMark/>
          </w:tcPr>
          <w:p w14:paraId="538AAC5E"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20.1</w:t>
            </w:r>
          </w:p>
        </w:tc>
        <w:tc>
          <w:tcPr>
            <w:tcW w:w="992" w:type="dxa"/>
            <w:noWrap/>
            <w:vAlign w:val="center"/>
            <w:hideMark/>
          </w:tcPr>
          <w:p w14:paraId="0A036F1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23.6</w:t>
            </w:r>
          </w:p>
        </w:tc>
        <w:tc>
          <w:tcPr>
            <w:tcW w:w="850" w:type="dxa"/>
            <w:noWrap/>
            <w:vAlign w:val="center"/>
            <w:hideMark/>
          </w:tcPr>
          <w:p w14:paraId="40C8754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20.2</w:t>
            </w:r>
          </w:p>
        </w:tc>
      </w:tr>
      <w:tr w:rsidR="0077183B" w:rsidRPr="00AA3933" w14:paraId="4390ADE1"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95BD7DC"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7374C16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5.4</w:t>
            </w:r>
          </w:p>
        </w:tc>
        <w:tc>
          <w:tcPr>
            <w:tcW w:w="992" w:type="dxa"/>
            <w:noWrap/>
            <w:vAlign w:val="center"/>
            <w:hideMark/>
          </w:tcPr>
          <w:p w14:paraId="612B716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3.3</w:t>
            </w:r>
          </w:p>
        </w:tc>
        <w:tc>
          <w:tcPr>
            <w:tcW w:w="850" w:type="dxa"/>
            <w:noWrap/>
            <w:vAlign w:val="center"/>
            <w:hideMark/>
          </w:tcPr>
          <w:p w14:paraId="5AA9EA5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3.8</w:t>
            </w:r>
          </w:p>
        </w:tc>
      </w:tr>
      <w:tr w:rsidR="0077183B" w:rsidRPr="00AA3933" w14:paraId="001C366D"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06B5E24"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Latvijas mediju politikas īstenošana (mediju atbalsta fonds un medijpratība)</w:t>
            </w:r>
          </w:p>
        </w:tc>
        <w:tc>
          <w:tcPr>
            <w:tcW w:w="993" w:type="dxa"/>
            <w:noWrap/>
            <w:vAlign w:val="center"/>
            <w:hideMark/>
          </w:tcPr>
          <w:p w14:paraId="520756E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1.1</w:t>
            </w:r>
          </w:p>
        </w:tc>
        <w:tc>
          <w:tcPr>
            <w:tcW w:w="992" w:type="dxa"/>
            <w:noWrap/>
            <w:vAlign w:val="center"/>
            <w:hideMark/>
          </w:tcPr>
          <w:p w14:paraId="7E9DD539"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c>
          <w:tcPr>
            <w:tcW w:w="850" w:type="dxa"/>
            <w:noWrap/>
            <w:vAlign w:val="center"/>
            <w:hideMark/>
          </w:tcPr>
          <w:p w14:paraId="0809EED6"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r>
      <w:tr w:rsidR="0077183B" w:rsidRPr="00AA3933" w14:paraId="464A98D8"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5560AD4B"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Latvijas Valsts Simtgades programma</w:t>
            </w:r>
          </w:p>
        </w:tc>
        <w:tc>
          <w:tcPr>
            <w:tcW w:w="993" w:type="dxa"/>
            <w:noWrap/>
            <w:vAlign w:val="center"/>
            <w:hideMark/>
          </w:tcPr>
          <w:p w14:paraId="78E4EAD7"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5.0</w:t>
            </w:r>
          </w:p>
        </w:tc>
        <w:tc>
          <w:tcPr>
            <w:tcW w:w="992" w:type="dxa"/>
            <w:noWrap/>
            <w:vAlign w:val="center"/>
            <w:hideMark/>
          </w:tcPr>
          <w:p w14:paraId="0112251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10.6</w:t>
            </w:r>
          </w:p>
        </w:tc>
        <w:tc>
          <w:tcPr>
            <w:tcW w:w="850" w:type="dxa"/>
            <w:noWrap/>
            <w:vAlign w:val="center"/>
            <w:hideMark/>
          </w:tcPr>
          <w:p w14:paraId="30263EF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6.7</w:t>
            </w:r>
          </w:p>
        </w:tc>
      </w:tr>
      <w:tr w:rsidR="0077183B" w:rsidRPr="00AA3933" w14:paraId="1FB078E4"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6D67943"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2016.gada 1.septembrī uzsāktās pedagogu darba samaksas reformas nodrošināšana</w:t>
            </w:r>
          </w:p>
        </w:tc>
        <w:tc>
          <w:tcPr>
            <w:tcW w:w="993" w:type="dxa"/>
            <w:noWrap/>
            <w:vAlign w:val="center"/>
            <w:hideMark/>
          </w:tcPr>
          <w:p w14:paraId="5CF6D8F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8.7</w:t>
            </w:r>
          </w:p>
        </w:tc>
        <w:tc>
          <w:tcPr>
            <w:tcW w:w="992" w:type="dxa"/>
            <w:noWrap/>
            <w:vAlign w:val="center"/>
            <w:hideMark/>
          </w:tcPr>
          <w:p w14:paraId="04EDEBC6"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8.7</w:t>
            </w:r>
          </w:p>
        </w:tc>
        <w:tc>
          <w:tcPr>
            <w:tcW w:w="850" w:type="dxa"/>
            <w:noWrap/>
            <w:vAlign w:val="center"/>
            <w:hideMark/>
          </w:tcPr>
          <w:p w14:paraId="367ACA52"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8.7</w:t>
            </w:r>
          </w:p>
        </w:tc>
      </w:tr>
      <w:tr w:rsidR="0077183B" w:rsidRPr="00AA3933" w14:paraId="766F78F5"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501A9925"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Veselības ministrija</w:t>
            </w:r>
          </w:p>
        </w:tc>
        <w:tc>
          <w:tcPr>
            <w:tcW w:w="993" w:type="dxa"/>
            <w:noWrap/>
            <w:vAlign w:val="center"/>
            <w:hideMark/>
          </w:tcPr>
          <w:p w14:paraId="277203E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10.8</w:t>
            </w:r>
          </w:p>
        </w:tc>
        <w:tc>
          <w:tcPr>
            <w:tcW w:w="992" w:type="dxa"/>
            <w:noWrap/>
            <w:vAlign w:val="center"/>
            <w:hideMark/>
          </w:tcPr>
          <w:p w14:paraId="5C0B5D46"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8.9</w:t>
            </w:r>
          </w:p>
        </w:tc>
        <w:tc>
          <w:tcPr>
            <w:tcW w:w="850" w:type="dxa"/>
            <w:noWrap/>
            <w:vAlign w:val="center"/>
            <w:hideMark/>
          </w:tcPr>
          <w:p w14:paraId="3B06296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17.1</w:t>
            </w:r>
          </w:p>
        </w:tc>
      </w:tr>
      <w:tr w:rsidR="0077183B" w:rsidRPr="00AA3933" w14:paraId="54AD2208"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D804AB6"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2DBEFDC3"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1.5</w:t>
            </w:r>
          </w:p>
        </w:tc>
        <w:tc>
          <w:tcPr>
            <w:tcW w:w="992" w:type="dxa"/>
            <w:noWrap/>
            <w:vAlign w:val="center"/>
            <w:hideMark/>
          </w:tcPr>
          <w:p w14:paraId="1319ECEC"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0.8</w:t>
            </w:r>
          </w:p>
        </w:tc>
        <w:tc>
          <w:tcPr>
            <w:tcW w:w="850" w:type="dxa"/>
            <w:noWrap/>
            <w:vAlign w:val="center"/>
            <w:hideMark/>
          </w:tcPr>
          <w:p w14:paraId="64A2CD5C"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0.8</w:t>
            </w:r>
          </w:p>
        </w:tc>
      </w:tr>
      <w:tr w:rsidR="0077183B" w:rsidRPr="00AA3933" w14:paraId="61AC72D4" w14:textId="77777777" w:rsidTr="004D5E9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0FF5E0F"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Rindu mazināšana uz speciālistu pakalpojumiem ambulatorajā veselības aprūpē</w:t>
            </w:r>
          </w:p>
        </w:tc>
        <w:tc>
          <w:tcPr>
            <w:tcW w:w="993" w:type="dxa"/>
            <w:noWrap/>
            <w:vAlign w:val="center"/>
            <w:hideMark/>
          </w:tcPr>
          <w:p w14:paraId="2FC80E1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2.0</w:t>
            </w:r>
          </w:p>
        </w:tc>
        <w:tc>
          <w:tcPr>
            <w:tcW w:w="992" w:type="dxa"/>
            <w:noWrap/>
            <w:vAlign w:val="center"/>
            <w:hideMark/>
          </w:tcPr>
          <w:p w14:paraId="28D04086"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2.0</w:t>
            </w:r>
          </w:p>
        </w:tc>
        <w:tc>
          <w:tcPr>
            <w:tcW w:w="850" w:type="dxa"/>
            <w:noWrap/>
            <w:vAlign w:val="center"/>
            <w:hideMark/>
          </w:tcPr>
          <w:p w14:paraId="58481DC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2.0</w:t>
            </w:r>
          </w:p>
        </w:tc>
      </w:tr>
      <w:tr w:rsidR="0077183B" w:rsidRPr="00AA3933" w14:paraId="60B140CA"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FBE06AF"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Gaidīšanas rindu mazināšana plānveida stacionārajā veselības aprūpē</w:t>
            </w:r>
          </w:p>
        </w:tc>
        <w:tc>
          <w:tcPr>
            <w:tcW w:w="993" w:type="dxa"/>
            <w:noWrap/>
            <w:vAlign w:val="center"/>
            <w:hideMark/>
          </w:tcPr>
          <w:p w14:paraId="28132EFC"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c>
          <w:tcPr>
            <w:tcW w:w="992" w:type="dxa"/>
            <w:noWrap/>
            <w:vAlign w:val="center"/>
            <w:hideMark/>
          </w:tcPr>
          <w:p w14:paraId="02FE30F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c>
          <w:tcPr>
            <w:tcW w:w="850" w:type="dxa"/>
            <w:noWrap/>
            <w:vAlign w:val="center"/>
            <w:hideMark/>
          </w:tcPr>
          <w:p w14:paraId="6CAA69F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1.0</w:t>
            </w:r>
          </w:p>
        </w:tc>
      </w:tr>
      <w:tr w:rsidR="0077183B" w:rsidRPr="00AA3933" w14:paraId="05738359" w14:textId="77777777" w:rsidTr="004D5E9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0B0F7E8C"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 xml:space="preserve">Minimālās mēneša darba algas paaugstināšana līdz 380 </w:t>
            </w:r>
            <w:r w:rsidRPr="006E5765">
              <w:rPr>
                <w:rFonts w:ascii="Times New Roman" w:eastAsia="Times New Roman" w:hAnsi="Times New Roman" w:cs="Times New Roman"/>
                <w:b w:val="0"/>
                <w:i/>
                <w:color w:val="000000"/>
                <w:sz w:val="20"/>
                <w:szCs w:val="20"/>
                <w:lang w:eastAsia="lv-LV"/>
              </w:rPr>
              <w:t>euro</w:t>
            </w:r>
            <w:r w:rsidRPr="00AA3933">
              <w:rPr>
                <w:rFonts w:ascii="Times New Roman" w:eastAsia="Times New Roman" w:hAnsi="Times New Roman" w:cs="Times New Roman"/>
                <w:b w:val="0"/>
                <w:color w:val="000000"/>
                <w:sz w:val="20"/>
                <w:szCs w:val="20"/>
                <w:lang w:eastAsia="lv-LV"/>
              </w:rPr>
              <w:t xml:space="preserve"> ar 2017.gada 1.janvāri</w:t>
            </w:r>
          </w:p>
        </w:tc>
        <w:tc>
          <w:tcPr>
            <w:tcW w:w="993" w:type="dxa"/>
            <w:noWrap/>
            <w:vAlign w:val="center"/>
            <w:hideMark/>
          </w:tcPr>
          <w:p w14:paraId="6C766951"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5.1</w:t>
            </w:r>
          </w:p>
        </w:tc>
        <w:tc>
          <w:tcPr>
            <w:tcW w:w="992" w:type="dxa"/>
            <w:noWrap/>
            <w:vAlign w:val="center"/>
            <w:hideMark/>
          </w:tcPr>
          <w:p w14:paraId="15B34BEE"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5.1</w:t>
            </w:r>
          </w:p>
        </w:tc>
        <w:tc>
          <w:tcPr>
            <w:tcW w:w="850" w:type="dxa"/>
            <w:noWrap/>
            <w:vAlign w:val="center"/>
            <w:hideMark/>
          </w:tcPr>
          <w:p w14:paraId="1A74948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5.1</w:t>
            </w:r>
          </w:p>
        </w:tc>
      </w:tr>
      <w:tr w:rsidR="0077183B" w:rsidRPr="00AA3933" w14:paraId="70554A62" w14:textId="77777777" w:rsidTr="004D5E99">
        <w:trPr>
          <w:trHeight w:val="330"/>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B82A18F"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Ambulatoro un stacionāro veselības aprūpes pakalpojumu pieejamības nodrošināšana</w:t>
            </w:r>
          </w:p>
        </w:tc>
        <w:tc>
          <w:tcPr>
            <w:tcW w:w="993" w:type="dxa"/>
            <w:noWrap/>
            <w:vAlign w:val="center"/>
            <w:hideMark/>
          </w:tcPr>
          <w:p w14:paraId="1D7CB595"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7.0</w:t>
            </w:r>
          </w:p>
        </w:tc>
        <w:tc>
          <w:tcPr>
            <w:tcW w:w="992" w:type="dxa"/>
            <w:noWrap/>
            <w:vAlign w:val="center"/>
            <w:hideMark/>
          </w:tcPr>
          <w:p w14:paraId="544EC54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7.0</w:t>
            </w:r>
          </w:p>
        </w:tc>
        <w:tc>
          <w:tcPr>
            <w:tcW w:w="850" w:type="dxa"/>
            <w:noWrap/>
            <w:vAlign w:val="center"/>
            <w:hideMark/>
          </w:tcPr>
          <w:p w14:paraId="6CF439AB"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7.0</w:t>
            </w:r>
          </w:p>
        </w:tc>
      </w:tr>
      <w:tr w:rsidR="0077183B" w:rsidRPr="00AA3933" w14:paraId="5809E626" w14:textId="77777777" w:rsidTr="004D5E9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131375C9"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2016.gada 1.septembrī uzsāktās pedagogu darba samaksas reformas nodrošināšana</w:t>
            </w:r>
          </w:p>
        </w:tc>
        <w:tc>
          <w:tcPr>
            <w:tcW w:w="993" w:type="dxa"/>
            <w:noWrap/>
            <w:vAlign w:val="center"/>
            <w:hideMark/>
          </w:tcPr>
          <w:p w14:paraId="6C9A4DF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1.2</w:t>
            </w:r>
          </w:p>
        </w:tc>
        <w:tc>
          <w:tcPr>
            <w:tcW w:w="992" w:type="dxa"/>
            <w:noWrap/>
            <w:vAlign w:val="center"/>
            <w:hideMark/>
          </w:tcPr>
          <w:p w14:paraId="76AD4A6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1.2</w:t>
            </w:r>
          </w:p>
        </w:tc>
        <w:tc>
          <w:tcPr>
            <w:tcW w:w="850" w:type="dxa"/>
            <w:noWrap/>
            <w:vAlign w:val="center"/>
            <w:hideMark/>
          </w:tcPr>
          <w:p w14:paraId="710B42A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1.2</w:t>
            </w:r>
          </w:p>
        </w:tc>
      </w:tr>
      <w:tr w:rsidR="0077183B" w:rsidRPr="00AA3933" w14:paraId="1DE01C89" w14:textId="77777777" w:rsidTr="004D5E99">
        <w:trPr>
          <w:trHeight w:val="463"/>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0ECF3106" w14:textId="3AD2465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 xml:space="preserve">MK pieņemtie lēmumi (t.sk. samazināti resursi un izdevumi 2017. un 2018.gadam dotācijai slimnīcu </w:t>
            </w:r>
            <w:r w:rsidR="006E5765" w:rsidRPr="00AA3933">
              <w:rPr>
                <w:rFonts w:ascii="Times New Roman" w:eastAsia="Times New Roman" w:hAnsi="Times New Roman" w:cs="Times New Roman"/>
                <w:b w:val="0"/>
                <w:color w:val="000000"/>
                <w:sz w:val="20"/>
                <w:szCs w:val="20"/>
                <w:lang w:eastAsia="lv-LV"/>
              </w:rPr>
              <w:t>saistību</w:t>
            </w:r>
            <w:r w:rsidRPr="00AA3933">
              <w:rPr>
                <w:rFonts w:ascii="Times New Roman" w:eastAsia="Times New Roman" w:hAnsi="Times New Roman" w:cs="Times New Roman"/>
                <w:b w:val="0"/>
                <w:color w:val="000000"/>
                <w:sz w:val="20"/>
                <w:szCs w:val="20"/>
                <w:lang w:eastAsia="lv-LV"/>
              </w:rPr>
              <w:t xml:space="preserve"> segšanai ik gadu 7 000 000 </w:t>
            </w:r>
            <w:r w:rsidRPr="006E5765">
              <w:rPr>
                <w:rFonts w:ascii="Times New Roman" w:eastAsia="Times New Roman" w:hAnsi="Times New Roman" w:cs="Times New Roman"/>
                <w:b w:val="0"/>
                <w:i/>
                <w:color w:val="000000"/>
                <w:sz w:val="20"/>
                <w:szCs w:val="20"/>
                <w:lang w:eastAsia="lv-LV"/>
              </w:rPr>
              <w:t>euro</w:t>
            </w:r>
            <w:r w:rsidRPr="00AA3933">
              <w:rPr>
                <w:rFonts w:ascii="Times New Roman" w:eastAsia="Times New Roman" w:hAnsi="Times New Roman" w:cs="Times New Roman"/>
                <w:b w:val="0"/>
                <w:color w:val="000000"/>
                <w:sz w:val="20"/>
                <w:szCs w:val="20"/>
                <w:lang w:eastAsia="lv-LV"/>
              </w:rPr>
              <w:t xml:space="preserve"> apmērā, pārdalot finansējumu ambulatoro un stacionāro veselības aprūpes pakalpojumu pieejamības nodrošināšanai)</w:t>
            </w:r>
          </w:p>
        </w:tc>
        <w:tc>
          <w:tcPr>
            <w:tcW w:w="993" w:type="dxa"/>
            <w:noWrap/>
            <w:vAlign w:val="center"/>
            <w:hideMark/>
          </w:tcPr>
          <w:p w14:paraId="3D98784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-7.0</w:t>
            </w:r>
          </w:p>
        </w:tc>
        <w:tc>
          <w:tcPr>
            <w:tcW w:w="992" w:type="dxa"/>
            <w:noWrap/>
            <w:vAlign w:val="center"/>
            <w:hideMark/>
          </w:tcPr>
          <w:p w14:paraId="1D4A8E50"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-8.2</w:t>
            </w:r>
          </w:p>
        </w:tc>
        <w:tc>
          <w:tcPr>
            <w:tcW w:w="850" w:type="dxa"/>
            <w:noWrap/>
            <w:vAlign w:val="center"/>
            <w:hideMark/>
          </w:tcPr>
          <w:p w14:paraId="50426316"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r>
      <w:tr w:rsidR="0077183B" w:rsidRPr="00AA3933" w14:paraId="27300692"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9B36992"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Prokuratūra</w:t>
            </w:r>
          </w:p>
        </w:tc>
        <w:tc>
          <w:tcPr>
            <w:tcW w:w="993" w:type="dxa"/>
            <w:noWrap/>
            <w:vAlign w:val="center"/>
            <w:hideMark/>
          </w:tcPr>
          <w:p w14:paraId="32E5C98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1.8</w:t>
            </w:r>
          </w:p>
        </w:tc>
        <w:tc>
          <w:tcPr>
            <w:tcW w:w="992" w:type="dxa"/>
            <w:noWrap/>
            <w:vAlign w:val="center"/>
            <w:hideMark/>
          </w:tcPr>
          <w:p w14:paraId="3471F2F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4.1</w:t>
            </w:r>
          </w:p>
        </w:tc>
        <w:tc>
          <w:tcPr>
            <w:tcW w:w="850" w:type="dxa"/>
            <w:noWrap/>
            <w:vAlign w:val="center"/>
            <w:hideMark/>
          </w:tcPr>
          <w:p w14:paraId="12822E1F"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4.0</w:t>
            </w:r>
          </w:p>
        </w:tc>
      </w:tr>
      <w:tr w:rsidR="0077183B" w:rsidRPr="00AA3933" w14:paraId="1D97E92D"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878E86D"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noWrap/>
            <w:vAlign w:val="center"/>
            <w:hideMark/>
          </w:tcPr>
          <w:p w14:paraId="5179922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1.8</w:t>
            </w:r>
          </w:p>
        </w:tc>
        <w:tc>
          <w:tcPr>
            <w:tcW w:w="992" w:type="dxa"/>
            <w:noWrap/>
            <w:vAlign w:val="center"/>
            <w:hideMark/>
          </w:tcPr>
          <w:p w14:paraId="3FEA0731"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0.9</w:t>
            </w:r>
          </w:p>
        </w:tc>
        <w:tc>
          <w:tcPr>
            <w:tcW w:w="850" w:type="dxa"/>
            <w:noWrap/>
            <w:vAlign w:val="center"/>
            <w:hideMark/>
          </w:tcPr>
          <w:p w14:paraId="1022AEC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0.8</w:t>
            </w:r>
          </w:p>
        </w:tc>
      </w:tr>
      <w:tr w:rsidR="0077183B" w:rsidRPr="00AA3933" w14:paraId="37B1D7B0"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67D937DD" w14:textId="77777777" w:rsidR="0077183B" w:rsidRPr="00AA3933" w:rsidRDefault="0077183B" w:rsidP="0077183B">
            <w:pPr>
              <w:jc w:val="both"/>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Tiesnešu un prokuroru atalgojuma palielināšana</w:t>
            </w:r>
          </w:p>
        </w:tc>
        <w:tc>
          <w:tcPr>
            <w:tcW w:w="993" w:type="dxa"/>
            <w:noWrap/>
            <w:vAlign w:val="center"/>
            <w:hideMark/>
          </w:tcPr>
          <w:p w14:paraId="1341154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992" w:type="dxa"/>
            <w:noWrap/>
            <w:vAlign w:val="center"/>
            <w:hideMark/>
          </w:tcPr>
          <w:p w14:paraId="42DAA95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3.2</w:t>
            </w:r>
          </w:p>
        </w:tc>
        <w:tc>
          <w:tcPr>
            <w:tcW w:w="850" w:type="dxa"/>
            <w:noWrap/>
            <w:vAlign w:val="center"/>
            <w:hideMark/>
          </w:tcPr>
          <w:p w14:paraId="599EAF24"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3.2</w:t>
            </w:r>
          </w:p>
        </w:tc>
      </w:tr>
      <w:tr w:rsidR="0077183B" w:rsidRPr="00AA3933" w14:paraId="229FFF5C"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CAC4C16"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62.resors "Mērķdotācijas pašvaldībām"</w:t>
            </w:r>
          </w:p>
        </w:tc>
        <w:tc>
          <w:tcPr>
            <w:tcW w:w="993" w:type="dxa"/>
            <w:noWrap/>
            <w:vAlign w:val="center"/>
            <w:hideMark/>
          </w:tcPr>
          <w:p w14:paraId="38EFB6F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25.5</w:t>
            </w:r>
          </w:p>
        </w:tc>
        <w:tc>
          <w:tcPr>
            <w:tcW w:w="992" w:type="dxa"/>
            <w:noWrap/>
            <w:vAlign w:val="center"/>
            <w:hideMark/>
          </w:tcPr>
          <w:p w14:paraId="5F4B0CCD"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9.4</w:t>
            </w:r>
          </w:p>
        </w:tc>
        <w:tc>
          <w:tcPr>
            <w:tcW w:w="850" w:type="dxa"/>
            <w:noWrap/>
            <w:vAlign w:val="center"/>
            <w:hideMark/>
          </w:tcPr>
          <w:p w14:paraId="5D3703F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9.4</w:t>
            </w:r>
          </w:p>
        </w:tc>
      </w:tr>
      <w:tr w:rsidR="0077183B" w:rsidRPr="00AA3933" w14:paraId="58178475"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6F144416"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Pārējie JPI</w:t>
            </w:r>
          </w:p>
        </w:tc>
        <w:tc>
          <w:tcPr>
            <w:tcW w:w="993" w:type="dxa"/>
            <w:vAlign w:val="center"/>
            <w:hideMark/>
          </w:tcPr>
          <w:p w14:paraId="7784EDC2"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0.2</w:t>
            </w:r>
          </w:p>
        </w:tc>
        <w:tc>
          <w:tcPr>
            <w:tcW w:w="992" w:type="dxa"/>
            <w:vAlign w:val="center"/>
            <w:hideMark/>
          </w:tcPr>
          <w:p w14:paraId="41A22FB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0.2</w:t>
            </w:r>
          </w:p>
        </w:tc>
        <w:tc>
          <w:tcPr>
            <w:tcW w:w="850" w:type="dxa"/>
            <w:vAlign w:val="center"/>
            <w:hideMark/>
          </w:tcPr>
          <w:p w14:paraId="060DBCF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0.2</w:t>
            </w:r>
          </w:p>
        </w:tc>
      </w:tr>
      <w:tr w:rsidR="0077183B" w:rsidRPr="00AA3933" w14:paraId="4D1E8E8D" w14:textId="77777777" w:rsidTr="004D5E99">
        <w:trPr>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9415AD7"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2016.gada 1.septembrī uzsāktās pedagogu darba samaksas reformas nodrošināšana</w:t>
            </w:r>
          </w:p>
        </w:tc>
        <w:tc>
          <w:tcPr>
            <w:tcW w:w="993" w:type="dxa"/>
            <w:vAlign w:val="center"/>
            <w:hideMark/>
          </w:tcPr>
          <w:p w14:paraId="7B46B7E1"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13.8</w:t>
            </w:r>
          </w:p>
        </w:tc>
        <w:tc>
          <w:tcPr>
            <w:tcW w:w="992" w:type="dxa"/>
            <w:vAlign w:val="center"/>
            <w:hideMark/>
          </w:tcPr>
          <w:p w14:paraId="63092168"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9.2</w:t>
            </w:r>
          </w:p>
        </w:tc>
        <w:tc>
          <w:tcPr>
            <w:tcW w:w="850" w:type="dxa"/>
            <w:vAlign w:val="center"/>
            <w:hideMark/>
          </w:tcPr>
          <w:p w14:paraId="7053778F"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9.2</w:t>
            </w:r>
          </w:p>
        </w:tc>
      </w:tr>
      <w:tr w:rsidR="0077183B" w:rsidRPr="00AA3933" w14:paraId="40AA6A53" w14:textId="77777777" w:rsidTr="004D5E99">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284F9CC1"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lastRenderedPageBreak/>
              <w:t xml:space="preserve">Pašvaldībām nozīmīgu pasākumu īstenošanai </w:t>
            </w:r>
          </w:p>
        </w:tc>
        <w:tc>
          <w:tcPr>
            <w:tcW w:w="993" w:type="dxa"/>
            <w:vAlign w:val="center"/>
            <w:hideMark/>
          </w:tcPr>
          <w:p w14:paraId="113D505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11.5</w:t>
            </w:r>
          </w:p>
        </w:tc>
        <w:tc>
          <w:tcPr>
            <w:tcW w:w="992" w:type="dxa"/>
            <w:vAlign w:val="center"/>
            <w:hideMark/>
          </w:tcPr>
          <w:p w14:paraId="783EC960"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850" w:type="dxa"/>
            <w:vAlign w:val="center"/>
            <w:hideMark/>
          </w:tcPr>
          <w:p w14:paraId="1BC0708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r>
      <w:tr w:rsidR="0077183B" w:rsidRPr="00AA3933" w14:paraId="0CBA43A8" w14:textId="77777777" w:rsidTr="004D5E99">
        <w:trPr>
          <w:trHeight w:val="330"/>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64BDC638"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74.resors "Gadskārtējā valsts budžeta izpildes procesā pārdalāmais finansējums"</w:t>
            </w:r>
          </w:p>
        </w:tc>
        <w:tc>
          <w:tcPr>
            <w:tcW w:w="993" w:type="dxa"/>
            <w:noWrap/>
            <w:vAlign w:val="center"/>
            <w:hideMark/>
          </w:tcPr>
          <w:p w14:paraId="5F6A4AE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44.0</w:t>
            </w:r>
          </w:p>
        </w:tc>
        <w:tc>
          <w:tcPr>
            <w:tcW w:w="992" w:type="dxa"/>
            <w:noWrap/>
            <w:vAlign w:val="center"/>
            <w:hideMark/>
          </w:tcPr>
          <w:p w14:paraId="0BC863BA"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-27.4</w:t>
            </w:r>
          </w:p>
        </w:tc>
        <w:tc>
          <w:tcPr>
            <w:tcW w:w="850" w:type="dxa"/>
            <w:noWrap/>
            <w:vAlign w:val="center"/>
            <w:hideMark/>
          </w:tcPr>
          <w:p w14:paraId="21A687F3"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-7.8</w:t>
            </w:r>
          </w:p>
        </w:tc>
      </w:tr>
      <w:tr w:rsidR="0077183B" w:rsidRPr="00AA3933" w14:paraId="17373F18" w14:textId="77777777" w:rsidTr="004D5E9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60C2375B"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 xml:space="preserve">MK pieņemtie lēmumi  </w:t>
            </w:r>
          </w:p>
        </w:tc>
        <w:tc>
          <w:tcPr>
            <w:tcW w:w="993" w:type="dxa"/>
            <w:noWrap/>
            <w:vAlign w:val="center"/>
            <w:hideMark/>
          </w:tcPr>
          <w:p w14:paraId="15D28829"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44.0</w:t>
            </w:r>
          </w:p>
        </w:tc>
        <w:tc>
          <w:tcPr>
            <w:tcW w:w="992" w:type="dxa"/>
            <w:noWrap/>
            <w:vAlign w:val="center"/>
            <w:hideMark/>
          </w:tcPr>
          <w:p w14:paraId="48BE482A"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-27.4</w:t>
            </w:r>
          </w:p>
        </w:tc>
        <w:tc>
          <w:tcPr>
            <w:tcW w:w="850" w:type="dxa"/>
            <w:noWrap/>
            <w:vAlign w:val="center"/>
            <w:hideMark/>
          </w:tcPr>
          <w:p w14:paraId="46E340BC"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-7.8</w:t>
            </w:r>
          </w:p>
        </w:tc>
      </w:tr>
      <w:tr w:rsidR="0077183B" w:rsidRPr="00AA3933" w14:paraId="6C470633"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3D7C4A8B" w14:textId="62BE824D" w:rsidR="0077183B" w:rsidRPr="00AA3933" w:rsidRDefault="0077183B" w:rsidP="006E5765">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 xml:space="preserve">t.sk. korekcijas atbilstoši </w:t>
            </w:r>
            <w:r w:rsidR="006E5765">
              <w:rPr>
                <w:rFonts w:ascii="Times New Roman" w:eastAsia="Times New Roman" w:hAnsi="Times New Roman" w:cs="Times New Roman"/>
                <w:b w:val="0"/>
                <w:color w:val="000000"/>
                <w:sz w:val="20"/>
                <w:szCs w:val="20"/>
                <w:lang w:eastAsia="lv-LV"/>
              </w:rPr>
              <w:t>MK</w:t>
            </w:r>
            <w:r w:rsidRPr="00AA3933">
              <w:rPr>
                <w:rFonts w:ascii="Times New Roman" w:eastAsia="Times New Roman" w:hAnsi="Times New Roman" w:cs="Times New Roman"/>
                <w:b w:val="0"/>
                <w:color w:val="000000"/>
                <w:sz w:val="20"/>
                <w:szCs w:val="20"/>
                <w:lang w:eastAsia="lv-LV"/>
              </w:rPr>
              <w:t xml:space="preserve"> atbalstītajiem priekšlikumiem</w:t>
            </w:r>
          </w:p>
        </w:tc>
        <w:tc>
          <w:tcPr>
            <w:tcW w:w="993" w:type="dxa"/>
            <w:noWrap/>
            <w:vAlign w:val="center"/>
            <w:hideMark/>
          </w:tcPr>
          <w:p w14:paraId="644493A1"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-19.3</w:t>
            </w:r>
          </w:p>
        </w:tc>
        <w:tc>
          <w:tcPr>
            <w:tcW w:w="992" w:type="dxa"/>
            <w:noWrap/>
            <w:vAlign w:val="center"/>
            <w:hideMark/>
          </w:tcPr>
          <w:p w14:paraId="35E07F3A"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-27.4</w:t>
            </w:r>
          </w:p>
        </w:tc>
        <w:tc>
          <w:tcPr>
            <w:tcW w:w="850" w:type="dxa"/>
            <w:noWrap/>
            <w:vAlign w:val="center"/>
            <w:hideMark/>
          </w:tcPr>
          <w:p w14:paraId="007D9197"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-7.8</w:t>
            </w:r>
          </w:p>
        </w:tc>
      </w:tr>
      <w:tr w:rsidR="0077183B" w:rsidRPr="00AA3933" w14:paraId="0C4D72CF" w14:textId="77777777" w:rsidTr="004D5E99">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BC5C324" w14:textId="77777777" w:rsidR="0077183B" w:rsidRPr="00AA3933" w:rsidRDefault="0077183B" w:rsidP="0077183B">
            <w:pPr>
              <w:rPr>
                <w:rFonts w:ascii="Times New Roman" w:eastAsia="Times New Roman" w:hAnsi="Times New Roman" w:cs="Times New Roman"/>
                <w:b w:val="0"/>
                <w:color w:val="000000"/>
                <w:sz w:val="20"/>
                <w:szCs w:val="20"/>
                <w:lang w:eastAsia="lv-LV"/>
              </w:rPr>
            </w:pPr>
            <w:r w:rsidRPr="00AA3933">
              <w:rPr>
                <w:rFonts w:ascii="Times New Roman" w:eastAsia="Times New Roman" w:hAnsi="Times New Roman" w:cs="Times New Roman"/>
                <w:b w:val="0"/>
                <w:color w:val="000000"/>
                <w:sz w:val="20"/>
                <w:szCs w:val="20"/>
                <w:lang w:eastAsia="lv-LV"/>
              </w:rPr>
              <w:t>kompensāciju izmaksu veikšanai par dienesta pienākumu pildīšanu virs noteiktā dienesta pienākumu izpildes laika Iekšlietu ministrijas sistēmas iestāžu un Ieslodzījuma vietu pārvaldes amatpersonām ar speciālajām dienesta pakāpēm</w:t>
            </w:r>
          </w:p>
        </w:tc>
        <w:tc>
          <w:tcPr>
            <w:tcW w:w="993" w:type="dxa"/>
            <w:noWrap/>
            <w:vAlign w:val="center"/>
            <w:hideMark/>
          </w:tcPr>
          <w:p w14:paraId="6CDC481E"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16.0</w:t>
            </w:r>
          </w:p>
        </w:tc>
        <w:tc>
          <w:tcPr>
            <w:tcW w:w="992" w:type="dxa"/>
            <w:noWrap/>
            <w:vAlign w:val="center"/>
            <w:hideMark/>
          </w:tcPr>
          <w:p w14:paraId="59C79378"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850" w:type="dxa"/>
            <w:noWrap/>
            <w:vAlign w:val="center"/>
            <w:hideMark/>
          </w:tcPr>
          <w:p w14:paraId="58714413"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r>
      <w:tr w:rsidR="0077183B" w:rsidRPr="00AA3933" w14:paraId="33EBAED7"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123A23E0" w14:textId="7ACAFC38" w:rsidR="0077183B" w:rsidRPr="00AA3933" w:rsidRDefault="00D04089" w:rsidP="0077183B">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V</w:t>
            </w:r>
            <w:r w:rsidR="0077183B" w:rsidRPr="00AA3933">
              <w:rPr>
                <w:rFonts w:ascii="Times New Roman" w:eastAsia="Times New Roman" w:hAnsi="Times New Roman" w:cs="Times New Roman"/>
                <w:b w:val="0"/>
                <w:color w:val="000000"/>
                <w:sz w:val="20"/>
                <w:szCs w:val="20"/>
                <w:lang w:eastAsia="lv-LV"/>
              </w:rPr>
              <w:t>eselības aprūpes sistēmas reformas ieviešanas finansējums</w:t>
            </w:r>
          </w:p>
        </w:tc>
        <w:tc>
          <w:tcPr>
            <w:tcW w:w="993" w:type="dxa"/>
            <w:noWrap/>
            <w:vAlign w:val="center"/>
            <w:hideMark/>
          </w:tcPr>
          <w:p w14:paraId="5B7F1673"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34.3</w:t>
            </w:r>
          </w:p>
        </w:tc>
        <w:tc>
          <w:tcPr>
            <w:tcW w:w="992" w:type="dxa"/>
            <w:noWrap/>
            <w:vAlign w:val="center"/>
            <w:hideMark/>
          </w:tcPr>
          <w:p w14:paraId="358D1DF5"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850" w:type="dxa"/>
            <w:noWrap/>
            <w:vAlign w:val="center"/>
            <w:hideMark/>
          </w:tcPr>
          <w:p w14:paraId="01C3143A"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r>
      <w:tr w:rsidR="0077183B" w:rsidRPr="00AA3933" w14:paraId="4F87F101" w14:textId="77777777" w:rsidTr="004D5E9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6227" w:type="dxa"/>
            <w:hideMark/>
          </w:tcPr>
          <w:p w14:paraId="739F49AB" w14:textId="44850D41" w:rsidR="0077183B" w:rsidRPr="00AA3933" w:rsidRDefault="00D04089" w:rsidP="0077183B">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P</w:t>
            </w:r>
            <w:r w:rsidR="0077183B" w:rsidRPr="00AA3933">
              <w:rPr>
                <w:rFonts w:ascii="Times New Roman" w:eastAsia="Times New Roman" w:hAnsi="Times New Roman" w:cs="Times New Roman"/>
                <w:b w:val="0"/>
                <w:color w:val="000000"/>
                <w:sz w:val="20"/>
                <w:szCs w:val="20"/>
                <w:lang w:eastAsia="lv-LV"/>
              </w:rPr>
              <w:t>ārejas posma valsts atbalsta izlīdzināšanas pasākumiem</w:t>
            </w:r>
          </w:p>
        </w:tc>
        <w:tc>
          <w:tcPr>
            <w:tcW w:w="993" w:type="dxa"/>
            <w:noWrap/>
            <w:vAlign w:val="center"/>
            <w:hideMark/>
          </w:tcPr>
          <w:p w14:paraId="40DA149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13.0</w:t>
            </w:r>
          </w:p>
        </w:tc>
        <w:tc>
          <w:tcPr>
            <w:tcW w:w="992" w:type="dxa"/>
            <w:noWrap/>
            <w:vAlign w:val="center"/>
            <w:hideMark/>
          </w:tcPr>
          <w:p w14:paraId="0955AFAB"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c>
          <w:tcPr>
            <w:tcW w:w="850" w:type="dxa"/>
            <w:noWrap/>
            <w:vAlign w:val="center"/>
            <w:hideMark/>
          </w:tcPr>
          <w:p w14:paraId="3740E46D" w14:textId="77777777" w:rsidR="0077183B" w:rsidRPr="00AA3933" w:rsidRDefault="0077183B"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A3933">
              <w:rPr>
                <w:rFonts w:ascii="Times New Roman" w:eastAsia="Times New Roman" w:hAnsi="Times New Roman" w:cs="Times New Roman"/>
                <w:color w:val="000000"/>
                <w:sz w:val="20"/>
                <w:szCs w:val="20"/>
                <w:lang w:eastAsia="lv-LV"/>
              </w:rPr>
              <w:t>0.0</w:t>
            </w:r>
          </w:p>
        </w:tc>
      </w:tr>
      <w:tr w:rsidR="0077183B" w:rsidRPr="00AA3933" w14:paraId="14AED874" w14:textId="77777777" w:rsidTr="004D5E99">
        <w:trPr>
          <w:trHeight w:val="56"/>
          <w:jc w:val="center"/>
        </w:trPr>
        <w:tc>
          <w:tcPr>
            <w:cnfStyle w:val="001000000000" w:firstRow="0" w:lastRow="0" w:firstColumn="1" w:lastColumn="0" w:oddVBand="0" w:evenVBand="0" w:oddHBand="0" w:evenHBand="0" w:firstRowFirstColumn="0" w:firstRowLastColumn="0" w:lastRowFirstColumn="0" w:lastRowLastColumn="0"/>
            <w:tcW w:w="6227" w:type="dxa"/>
            <w:noWrap/>
            <w:hideMark/>
          </w:tcPr>
          <w:p w14:paraId="2D35912D" w14:textId="77777777" w:rsidR="0077183B" w:rsidRPr="00AA3933" w:rsidRDefault="0077183B" w:rsidP="0077183B">
            <w:pPr>
              <w:jc w:val="right"/>
              <w:rPr>
                <w:rFonts w:ascii="Times New Roman" w:eastAsia="Times New Roman" w:hAnsi="Times New Roman" w:cs="Times New Roman"/>
                <w:bCs w:val="0"/>
                <w:color w:val="000000"/>
                <w:sz w:val="20"/>
                <w:szCs w:val="20"/>
                <w:lang w:eastAsia="lv-LV"/>
              </w:rPr>
            </w:pPr>
            <w:r w:rsidRPr="00AA3933">
              <w:rPr>
                <w:rFonts w:ascii="Times New Roman" w:eastAsia="Times New Roman" w:hAnsi="Times New Roman" w:cs="Times New Roman"/>
                <w:bCs w:val="0"/>
                <w:color w:val="000000"/>
                <w:sz w:val="20"/>
                <w:szCs w:val="20"/>
                <w:lang w:eastAsia="lv-LV"/>
              </w:rPr>
              <w:t>Pārējie kopā</w:t>
            </w:r>
          </w:p>
        </w:tc>
        <w:tc>
          <w:tcPr>
            <w:tcW w:w="993" w:type="dxa"/>
            <w:noWrap/>
            <w:vAlign w:val="center"/>
            <w:hideMark/>
          </w:tcPr>
          <w:p w14:paraId="7B0F2EB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4.1</w:t>
            </w:r>
          </w:p>
        </w:tc>
        <w:tc>
          <w:tcPr>
            <w:tcW w:w="992" w:type="dxa"/>
            <w:noWrap/>
            <w:vAlign w:val="center"/>
            <w:hideMark/>
          </w:tcPr>
          <w:p w14:paraId="107FBAE9"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3.1</w:t>
            </w:r>
          </w:p>
        </w:tc>
        <w:tc>
          <w:tcPr>
            <w:tcW w:w="850" w:type="dxa"/>
            <w:noWrap/>
            <w:vAlign w:val="center"/>
            <w:hideMark/>
          </w:tcPr>
          <w:p w14:paraId="0F323884" w14:textId="77777777" w:rsidR="0077183B" w:rsidRPr="00AA3933" w:rsidRDefault="0077183B"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A3933">
              <w:rPr>
                <w:rFonts w:ascii="Times New Roman" w:eastAsia="Times New Roman" w:hAnsi="Times New Roman" w:cs="Times New Roman"/>
                <w:b/>
                <w:bCs/>
                <w:color w:val="000000"/>
                <w:sz w:val="20"/>
                <w:szCs w:val="20"/>
                <w:lang w:eastAsia="lv-LV"/>
              </w:rPr>
              <w:t>2.9</w:t>
            </w:r>
          </w:p>
        </w:tc>
      </w:tr>
    </w:tbl>
    <w:p w14:paraId="2CF7637E" w14:textId="1E3CC5D6" w:rsidR="0077183B" w:rsidRDefault="0077183B" w:rsidP="00313EDD"/>
    <w:p w14:paraId="6FE9940F" w14:textId="67E3772F" w:rsidR="005F4C67" w:rsidRPr="007425BA" w:rsidRDefault="005F4C67" w:rsidP="00342AA7">
      <w:pPr>
        <w:pStyle w:val="Heading2"/>
        <w:numPr>
          <w:ilvl w:val="2"/>
          <w:numId w:val="1"/>
        </w:numPr>
        <w:spacing w:before="240" w:after="120" w:line="240" w:lineRule="auto"/>
        <w:ind w:left="1417"/>
        <w:rPr>
          <w:rFonts w:ascii="Times New Roman" w:eastAsia="Calibri" w:hAnsi="Times New Roman" w:cs="Times New Roman"/>
          <w:sz w:val="24"/>
          <w:szCs w:val="20"/>
        </w:rPr>
      </w:pPr>
      <w:bookmarkStart w:id="16" w:name="_Toc479331091"/>
      <w:r w:rsidRPr="007425BA">
        <w:rPr>
          <w:rFonts w:ascii="Times New Roman" w:eastAsia="Calibri" w:hAnsi="Times New Roman" w:cs="Times New Roman"/>
          <w:sz w:val="24"/>
          <w:szCs w:val="20"/>
        </w:rPr>
        <w:t>Nodokļu pamatnostādnes 2017. – 2021.gadam</w:t>
      </w:r>
      <w:bookmarkEnd w:id="16"/>
    </w:p>
    <w:p w14:paraId="595957F2" w14:textId="3345D30C" w:rsidR="002D4062" w:rsidRDefault="002D4062" w:rsidP="002D4062">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Lai arī ekonomiskās kohēzijas ātrums ir viens no straujākajiem sta</w:t>
      </w:r>
      <w:r w:rsidR="005B4791">
        <w:rPr>
          <w:rFonts w:ascii="Times New Roman" w:eastAsia="Calibri" w:hAnsi="Times New Roman" w:cs="Times New Roman"/>
          <w:sz w:val="24"/>
          <w:szCs w:val="20"/>
        </w:rPr>
        <w:t>rp</w:t>
      </w:r>
      <w:r>
        <w:rPr>
          <w:rFonts w:ascii="Times New Roman" w:eastAsia="Calibri" w:hAnsi="Times New Roman" w:cs="Times New Roman"/>
          <w:sz w:val="24"/>
          <w:szCs w:val="20"/>
        </w:rPr>
        <w:t xml:space="preserve"> Austrumeiropas valstīm, lai sasniegtu ES vidējo IKP uz vienu iedzīvotāju, Latvijai, attīstoties pašreizējā tempā būtu nepieciešami vēl </w:t>
      </w:r>
      <w:r w:rsidR="006B6037">
        <w:rPr>
          <w:rFonts w:ascii="Times New Roman" w:eastAsia="Calibri" w:hAnsi="Times New Roman" w:cs="Times New Roman"/>
          <w:sz w:val="24"/>
          <w:szCs w:val="20"/>
        </w:rPr>
        <w:t xml:space="preserve">30 </w:t>
      </w:r>
      <w:r>
        <w:rPr>
          <w:rFonts w:ascii="Times New Roman" w:eastAsia="Calibri" w:hAnsi="Times New Roman" w:cs="Times New Roman"/>
          <w:sz w:val="24"/>
          <w:szCs w:val="20"/>
        </w:rPr>
        <w:t>gadi, kas ir neapmierinoši ilgs laika posms.</w:t>
      </w:r>
    </w:p>
    <w:p w14:paraId="538FB382" w14:textId="42047747" w:rsidR="002D4062" w:rsidRDefault="002D4062" w:rsidP="002D4062">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Latvijas potenciālā I</w:t>
      </w:r>
      <w:r w:rsidR="005B4791">
        <w:rPr>
          <w:rFonts w:ascii="Times New Roman" w:eastAsia="Calibri" w:hAnsi="Times New Roman" w:cs="Times New Roman"/>
          <w:sz w:val="24"/>
          <w:szCs w:val="20"/>
        </w:rPr>
        <w:t>KP pieaugums ir ap 3% no IKP. NAP 2020</w:t>
      </w:r>
      <w:r>
        <w:rPr>
          <w:rFonts w:ascii="Times New Roman" w:eastAsia="Calibri" w:hAnsi="Times New Roman" w:cs="Times New Roman"/>
          <w:sz w:val="24"/>
          <w:szCs w:val="20"/>
        </w:rPr>
        <w:t xml:space="preserve"> kā galveno nosacījumu, lai nodrošinātu NAP</w:t>
      </w:r>
      <w:r w:rsidR="008F38D4">
        <w:rPr>
          <w:rFonts w:ascii="Times New Roman" w:eastAsia="Calibri" w:hAnsi="Times New Roman" w:cs="Times New Roman"/>
          <w:sz w:val="24"/>
          <w:szCs w:val="20"/>
        </w:rPr>
        <w:t xml:space="preserve"> </w:t>
      </w:r>
      <w:r>
        <w:rPr>
          <w:rFonts w:ascii="Times New Roman" w:eastAsia="Calibri" w:hAnsi="Times New Roman" w:cs="Times New Roman"/>
          <w:sz w:val="24"/>
          <w:szCs w:val="20"/>
        </w:rPr>
        <w:t>2020 redzējuma</w:t>
      </w:r>
      <w:r w:rsidR="005B4791">
        <w:rPr>
          <w:rFonts w:ascii="Times New Roman" w:eastAsia="Calibri" w:hAnsi="Times New Roman" w:cs="Times New Roman"/>
          <w:sz w:val="24"/>
          <w:szCs w:val="20"/>
        </w:rPr>
        <w:t xml:space="preserve"> par Latviju 2020.</w:t>
      </w:r>
      <w:r w:rsidRPr="00EF70D5">
        <w:rPr>
          <w:rFonts w:ascii="Times New Roman" w:eastAsia="Calibri" w:hAnsi="Times New Roman" w:cs="Times New Roman"/>
          <w:sz w:val="24"/>
          <w:szCs w:val="20"/>
        </w:rPr>
        <w:t>gadā</w:t>
      </w:r>
      <w:r>
        <w:rPr>
          <w:rFonts w:ascii="Times New Roman" w:eastAsia="Calibri" w:hAnsi="Times New Roman" w:cs="Times New Roman"/>
          <w:sz w:val="24"/>
          <w:szCs w:val="20"/>
        </w:rPr>
        <w:t xml:space="preserve"> sasniegšanu nosaka </w:t>
      </w:r>
      <w:r w:rsidRPr="00235400">
        <w:rPr>
          <w:rFonts w:ascii="Times New Roman" w:eastAsia="Calibri" w:hAnsi="Times New Roman" w:cs="Times New Roman"/>
          <w:b/>
          <w:sz w:val="24"/>
          <w:szCs w:val="20"/>
        </w:rPr>
        <w:t>ekonomisko izrāvienu</w:t>
      </w:r>
      <w:r w:rsidR="005B4791">
        <w:rPr>
          <w:rFonts w:ascii="Times New Roman" w:eastAsia="Calibri" w:hAnsi="Times New Roman" w:cs="Times New Roman"/>
          <w:b/>
          <w:sz w:val="24"/>
          <w:szCs w:val="20"/>
        </w:rPr>
        <w:t>,</w:t>
      </w:r>
      <w:r>
        <w:rPr>
          <w:rFonts w:ascii="Times New Roman" w:eastAsia="Calibri" w:hAnsi="Times New Roman" w:cs="Times New Roman"/>
          <w:sz w:val="24"/>
          <w:szCs w:val="20"/>
        </w:rPr>
        <w:t xml:space="preserve"> ar to saprotot vidējo ikgadējo IKP izaugsmi 5% no IKP apmērā.</w:t>
      </w:r>
    </w:p>
    <w:p w14:paraId="4AE65ED6" w14:textId="436F7039" w:rsidR="002D4062" w:rsidRDefault="002D4062" w:rsidP="002D4062">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 xml:space="preserve">Ekonomiskā izrāviena nodrošināšanai svarīga ir gan uzņēmējdarbību regulējošā tiesiskā vide, gan nodokļu politika. </w:t>
      </w:r>
      <w:r w:rsidRPr="004B04C6">
        <w:rPr>
          <w:rFonts w:ascii="Times New Roman" w:eastAsia="Calibri" w:hAnsi="Times New Roman" w:cs="Times New Roman"/>
          <w:sz w:val="24"/>
          <w:szCs w:val="20"/>
        </w:rPr>
        <w:t xml:space="preserve">Pasaules Bankas </w:t>
      </w:r>
      <w:r>
        <w:rPr>
          <w:rFonts w:ascii="Times New Roman" w:eastAsia="Calibri" w:hAnsi="Times New Roman" w:cs="Times New Roman"/>
          <w:i/>
          <w:sz w:val="24"/>
          <w:szCs w:val="20"/>
        </w:rPr>
        <w:t xml:space="preserve">Doing Business </w:t>
      </w:r>
      <w:r w:rsidRPr="002D4062">
        <w:rPr>
          <w:rFonts w:ascii="Times New Roman" w:eastAsia="Calibri" w:hAnsi="Times New Roman" w:cs="Times New Roman"/>
          <w:i/>
          <w:sz w:val="24"/>
          <w:szCs w:val="20"/>
        </w:rPr>
        <w:t>2017</w:t>
      </w:r>
      <w:r w:rsidRPr="004B04C6">
        <w:rPr>
          <w:rFonts w:ascii="Times New Roman" w:eastAsia="Calibri" w:hAnsi="Times New Roman" w:cs="Times New Roman"/>
          <w:sz w:val="24"/>
          <w:szCs w:val="20"/>
        </w:rPr>
        <w:t> pētījumā 190 valstu konkurencē Latvija ierindota 14.vietā</w:t>
      </w:r>
      <w:r>
        <w:rPr>
          <w:rFonts w:ascii="Times New Roman" w:eastAsia="Calibri" w:hAnsi="Times New Roman" w:cs="Times New Roman"/>
          <w:sz w:val="24"/>
          <w:szCs w:val="20"/>
        </w:rPr>
        <w:t>. Tas pamatā norāda uz uzņēmējiem draudzīgām prasībām, lai uzsāktu biznesu un pieņemamu slogu, lai nokārtotu saistības ar valsti. Būtisks faktors uzņēmējdarbībai ir nodokļu politika. Tas īpaši</w:t>
      </w:r>
      <w:r w:rsidR="005B4791">
        <w:rPr>
          <w:rFonts w:ascii="Times New Roman" w:eastAsia="Calibri" w:hAnsi="Times New Roman" w:cs="Times New Roman"/>
          <w:sz w:val="24"/>
          <w:szCs w:val="20"/>
        </w:rPr>
        <w:t xml:space="preserve"> svarīgi mazai atvērtai ekonomi</w:t>
      </w:r>
      <w:r>
        <w:rPr>
          <w:rFonts w:ascii="Times New Roman" w:eastAsia="Calibri" w:hAnsi="Times New Roman" w:cs="Times New Roman"/>
          <w:sz w:val="24"/>
          <w:szCs w:val="20"/>
        </w:rPr>
        <w:t>kai, kas funkcionē brīvā kapitāla un darba spēka kustības apstākļos.</w:t>
      </w:r>
    </w:p>
    <w:p w14:paraId="02D12511" w14:textId="37019E6D" w:rsidR="002D4062" w:rsidRDefault="002D4062" w:rsidP="002D4062">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Stabilitātes programmas sagatavošanas laikā tiek izstrādāta nodokļu reforma, kas paredz IIN likmes samazināšanu no 23% un 20% un UIN 0% nesadalītai peļņai un 20% sadalītai peļņai sākot no 2018.gada. Reforma ietver arī citus pasākumus. Pašlaik ir panākta vienošanās par būtiskākajiem reformas pasākumiem ar sociālajiem partneriem un reformu atbalsta Latvijas Banka. Plānots, ka Latvijas valdība to izskata un atbalsta šī gada aprīļa beigās un reforma tiek pieņemta ar grozījumiem likumos šī gada jūlijā.</w:t>
      </w:r>
    </w:p>
    <w:p w14:paraId="2C87B12D" w14:textId="32E62693" w:rsidR="002D4062" w:rsidRDefault="002D4062" w:rsidP="002D4062">
      <w:pPr>
        <w:spacing w:after="0" w:line="240" w:lineRule="auto"/>
        <w:ind w:firstLine="720"/>
        <w:jc w:val="both"/>
        <w:rPr>
          <w:rFonts w:ascii="Times New Roman" w:eastAsia="Calibri" w:hAnsi="Times New Roman" w:cs="Times New Roman"/>
          <w:b/>
          <w:sz w:val="24"/>
          <w:szCs w:val="20"/>
        </w:rPr>
      </w:pPr>
      <w:r>
        <w:rPr>
          <w:rFonts w:ascii="Times New Roman" w:eastAsia="Calibri" w:hAnsi="Times New Roman" w:cs="Times New Roman"/>
          <w:sz w:val="24"/>
          <w:szCs w:val="20"/>
        </w:rPr>
        <w:t xml:space="preserve">Ņemot vērā reformas nozīmīgumu un fiskālo ietekmi, tā ir iekļauta šajā Stabilitātes programmā pirms galīgo lēmumu pieņemšanas. </w:t>
      </w:r>
      <w:r w:rsidRPr="006B6037">
        <w:rPr>
          <w:rFonts w:ascii="Times New Roman" w:eastAsia="Calibri" w:hAnsi="Times New Roman" w:cs="Times New Roman"/>
          <w:b/>
          <w:sz w:val="24"/>
          <w:szCs w:val="20"/>
        </w:rPr>
        <w:t>Šeit sniegtā informācija ietver nodokļu reformas priekšlikumus un fiskālos aprēķinus, kas sagat</w:t>
      </w:r>
      <w:r w:rsidR="006B6037">
        <w:rPr>
          <w:rFonts w:ascii="Times New Roman" w:eastAsia="Calibri" w:hAnsi="Times New Roman" w:cs="Times New Roman"/>
          <w:b/>
          <w:sz w:val="24"/>
          <w:szCs w:val="20"/>
        </w:rPr>
        <w:t xml:space="preserve">avoti un nofiksēti </w:t>
      </w:r>
      <w:r w:rsidR="00EC7FD3">
        <w:rPr>
          <w:rFonts w:ascii="Times New Roman" w:eastAsia="Calibri" w:hAnsi="Times New Roman" w:cs="Times New Roman"/>
          <w:b/>
          <w:sz w:val="24"/>
          <w:szCs w:val="20"/>
        </w:rPr>
        <w:t xml:space="preserve">Stabilitātes programmas sagatavošanas brīdī - </w:t>
      </w:r>
      <w:r w:rsidR="006B6037">
        <w:rPr>
          <w:rFonts w:ascii="Times New Roman" w:eastAsia="Calibri" w:hAnsi="Times New Roman" w:cs="Times New Roman"/>
          <w:b/>
          <w:sz w:val="24"/>
          <w:szCs w:val="20"/>
        </w:rPr>
        <w:t>2017.gada 3.</w:t>
      </w:r>
      <w:r w:rsidRPr="006B6037">
        <w:rPr>
          <w:rFonts w:ascii="Times New Roman" w:eastAsia="Calibri" w:hAnsi="Times New Roman" w:cs="Times New Roman"/>
          <w:b/>
          <w:sz w:val="24"/>
          <w:szCs w:val="20"/>
        </w:rPr>
        <w:t>aprīlī.</w:t>
      </w:r>
    </w:p>
    <w:p w14:paraId="65F61FE0" w14:textId="3A5E58E1" w:rsidR="006B6037" w:rsidRDefault="006B6037" w:rsidP="002D4062">
      <w:pPr>
        <w:spacing w:after="0" w:line="240" w:lineRule="auto"/>
        <w:ind w:firstLine="720"/>
        <w:jc w:val="both"/>
        <w:rPr>
          <w:rFonts w:ascii="Times New Roman" w:eastAsia="Calibri" w:hAnsi="Times New Roman" w:cs="Times New Roman"/>
          <w:b/>
          <w:sz w:val="24"/>
          <w:szCs w:val="20"/>
        </w:rPr>
      </w:pPr>
    </w:p>
    <w:p w14:paraId="2AFB0DEA" w14:textId="77777777" w:rsidR="006B6037" w:rsidRPr="004D5E99" w:rsidRDefault="006B6037" w:rsidP="006B6037">
      <w:pPr>
        <w:shd w:val="clear" w:color="auto" w:fill="FFFFFF"/>
        <w:spacing w:after="120" w:line="240" w:lineRule="auto"/>
        <w:rPr>
          <w:rFonts w:ascii="Times New Roman" w:eastAsia="Times New Roman" w:hAnsi="Times New Roman" w:cs="Times New Roman"/>
          <w:sz w:val="24"/>
          <w:szCs w:val="24"/>
          <w:lang w:eastAsia="lv-LV"/>
        </w:rPr>
      </w:pPr>
      <w:r w:rsidRPr="004D5E99">
        <w:rPr>
          <w:rFonts w:ascii="Times New Roman" w:eastAsia="Times New Roman" w:hAnsi="Times New Roman" w:cs="Times New Roman"/>
          <w:b/>
          <w:sz w:val="24"/>
          <w:szCs w:val="24"/>
          <w:lang w:eastAsia="lv-LV"/>
        </w:rPr>
        <w:t>Galvenie nodokļu politikas pamatnostādnēs piedāvātie</w:t>
      </w:r>
      <w:r w:rsidRPr="004D5E99">
        <w:rPr>
          <w:rFonts w:ascii="Times New Roman" w:eastAsia="Times New Roman" w:hAnsi="Times New Roman" w:cs="Times New Roman"/>
          <w:sz w:val="24"/>
          <w:szCs w:val="24"/>
          <w:lang w:eastAsia="lv-LV"/>
        </w:rPr>
        <w:t xml:space="preserve"> </w:t>
      </w:r>
      <w:r w:rsidRPr="004D5E99">
        <w:rPr>
          <w:rFonts w:ascii="Times New Roman" w:eastAsia="Times New Roman" w:hAnsi="Times New Roman" w:cs="Times New Roman"/>
          <w:b/>
          <w:sz w:val="24"/>
          <w:szCs w:val="24"/>
          <w:lang w:eastAsia="lv-LV"/>
        </w:rPr>
        <w:t>risinājumi</w:t>
      </w:r>
      <w:r w:rsidRPr="004D5E99">
        <w:rPr>
          <w:rFonts w:ascii="Times New Roman" w:eastAsia="Times New Roman" w:hAnsi="Times New Roman" w:cs="Times New Roman"/>
          <w:sz w:val="24"/>
          <w:szCs w:val="24"/>
          <w:lang w:eastAsia="lv-LV"/>
        </w:rPr>
        <w:t>:</w:t>
      </w:r>
    </w:p>
    <w:p w14:paraId="7C518100" w14:textId="77777777" w:rsidR="006B6037" w:rsidRPr="006B6037" w:rsidRDefault="006B6037" w:rsidP="001E5D9F">
      <w:pPr>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reformēt UIN sistēmu</w:t>
      </w:r>
      <w:r w:rsidRPr="006B6037">
        <w:rPr>
          <w:rFonts w:ascii="Times New Roman" w:eastAsia="Times New Roman" w:hAnsi="Times New Roman" w:cs="Times New Roman"/>
          <w:sz w:val="24"/>
          <w:szCs w:val="24"/>
          <w:lang w:eastAsia="lv-LV"/>
        </w:rPr>
        <w:t>, nosakot divas UIN likmes (pašreiz likme ir 15%, ko piemēro ar nodokli apliekamajam ienākumam):</w:t>
      </w:r>
    </w:p>
    <w:p w14:paraId="5DCEE9A4" w14:textId="7C43A8F1"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0% likme</w:t>
      </w:r>
      <w:r w:rsidRPr="006B6037">
        <w:rPr>
          <w:rFonts w:ascii="Times New Roman" w:eastAsia="Times New Roman" w:hAnsi="Times New Roman" w:cs="Times New Roman"/>
          <w:sz w:val="24"/>
          <w:szCs w:val="24"/>
          <w:lang w:eastAsia="lv-LV"/>
        </w:rPr>
        <w:t xml:space="preserve"> – nesadalītajai peļņai; </w:t>
      </w:r>
    </w:p>
    <w:p w14:paraId="65E6102B"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20% likme</w:t>
      </w:r>
      <w:r w:rsidRPr="006B6037">
        <w:rPr>
          <w:rFonts w:ascii="Times New Roman" w:eastAsia="Times New Roman" w:hAnsi="Times New Roman" w:cs="Times New Roman"/>
          <w:sz w:val="24"/>
          <w:szCs w:val="24"/>
          <w:lang w:eastAsia="lv-LV"/>
        </w:rPr>
        <w:t xml:space="preserve"> – peļņas sadales brīdī  (t.i. izmaksām, kas netiek investētas uzņēmuma attīstībā, t.sk. dividendēm, reprezentācijas izmaksām, kas pārsniedz noteiktus griestus,  uzņēmuma likvidācijas kvotām) (līdzīgi kā Igaunijā);</w:t>
      </w:r>
    </w:p>
    <w:p w14:paraId="4607286C"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noteikt pārejas periodu iepriekš piešķirto atlaižu saņēmējiem: lielajiem investīciju projektiem (ar īpašu MK lēmumu);</w:t>
      </w:r>
    </w:p>
    <w:p w14:paraId="1BA6992B" w14:textId="2BACF153"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saglabāt iespējas sabiedriskā labuma organizāciju finansēšanai</w:t>
      </w:r>
      <w:r w:rsidR="00EC7FD3">
        <w:rPr>
          <w:rFonts w:ascii="Times New Roman" w:eastAsia="Times New Roman" w:hAnsi="Times New Roman" w:cs="Times New Roman"/>
          <w:sz w:val="24"/>
          <w:szCs w:val="24"/>
          <w:lang w:eastAsia="lv-LV"/>
        </w:rPr>
        <w:t xml:space="preserve"> 10% apmērā no uzņēmuma peļņas, neapliekot ziedojumu ar nodokli</w:t>
      </w:r>
      <w:r w:rsidRPr="006B6037">
        <w:rPr>
          <w:rFonts w:ascii="Times New Roman" w:eastAsia="Times New Roman" w:hAnsi="Times New Roman" w:cs="Times New Roman"/>
          <w:sz w:val="24"/>
          <w:szCs w:val="24"/>
          <w:lang w:eastAsia="lv-LV"/>
        </w:rPr>
        <w:t>: identiski Igaunijas sistēmai.</w:t>
      </w:r>
      <w:r w:rsidRPr="006B6037">
        <w:rPr>
          <w:rFonts w:ascii="Times New Roman" w:eastAsia="Times New Roman" w:hAnsi="Times New Roman" w:cs="Times New Roman"/>
          <w:color w:val="FFFFFF"/>
          <w:sz w:val="24"/>
          <w:szCs w:val="24"/>
          <w:lang w:eastAsia="lv-LV"/>
        </w:rPr>
        <w:t xml:space="preserve"> </w:t>
      </w:r>
    </w:p>
    <w:p w14:paraId="614EC99B" w14:textId="77777777" w:rsidR="006B6037" w:rsidRPr="006B6037" w:rsidRDefault="006B6037" w:rsidP="001E5D9F">
      <w:pPr>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reformēt darbaspēka nodokļu sistēmu</w:t>
      </w:r>
      <w:r w:rsidRPr="006B6037">
        <w:rPr>
          <w:rFonts w:ascii="Times New Roman" w:eastAsia="Times New Roman" w:hAnsi="Times New Roman" w:cs="Times New Roman"/>
          <w:sz w:val="24"/>
          <w:szCs w:val="24"/>
          <w:lang w:eastAsia="lv-LV"/>
        </w:rPr>
        <w:t>:</w:t>
      </w:r>
    </w:p>
    <w:p w14:paraId="269927FC" w14:textId="4439AF02" w:rsidR="006B6037" w:rsidRPr="006B6037" w:rsidRDefault="006B6037" w:rsidP="001E5D9F">
      <w:pPr>
        <w:pStyle w:val="ListParagraph"/>
        <w:numPr>
          <w:ilvl w:val="0"/>
          <w:numId w:val="39"/>
        </w:numPr>
        <w:shd w:val="clear" w:color="auto" w:fill="FFFFFF"/>
        <w:tabs>
          <w:tab w:val="left" w:pos="1276"/>
        </w:tabs>
        <w:spacing w:after="0" w:line="240" w:lineRule="auto"/>
        <w:ind w:left="1276"/>
        <w:contextualSpacing w:val="0"/>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i/>
          <w:sz w:val="24"/>
          <w:szCs w:val="24"/>
          <w:lang w:eastAsia="lv-LV"/>
        </w:rPr>
        <w:t>ieviešot divas</w:t>
      </w:r>
      <w:r w:rsidRPr="006B6037">
        <w:rPr>
          <w:rFonts w:ascii="Times New Roman" w:eastAsia="Times New Roman" w:hAnsi="Times New Roman" w:cs="Times New Roman"/>
          <w:sz w:val="24"/>
          <w:szCs w:val="24"/>
          <w:lang w:eastAsia="lv-LV"/>
        </w:rPr>
        <w:t xml:space="preserve"> </w:t>
      </w:r>
      <w:r w:rsidRPr="006B6037">
        <w:rPr>
          <w:rFonts w:ascii="Times New Roman" w:eastAsia="Times New Roman" w:hAnsi="Times New Roman" w:cs="Times New Roman"/>
          <w:i/>
          <w:sz w:val="24"/>
          <w:szCs w:val="24"/>
          <w:lang w:eastAsia="lv-LV"/>
        </w:rPr>
        <w:t>IIN likmes</w:t>
      </w:r>
      <w:r w:rsidRPr="006B6037">
        <w:rPr>
          <w:rFonts w:ascii="Times New Roman" w:eastAsia="Times New Roman" w:hAnsi="Times New Roman" w:cs="Times New Roman"/>
          <w:sz w:val="24"/>
          <w:szCs w:val="24"/>
          <w:lang w:eastAsia="lv-LV"/>
        </w:rPr>
        <w:t xml:space="preserve"> (pašreiz pamatlikme ir 23%):</w:t>
      </w:r>
    </w:p>
    <w:p w14:paraId="5C9FBEDE" w14:textId="56A2F263" w:rsidR="006B6037" w:rsidRPr="006B6037" w:rsidRDefault="006B6037" w:rsidP="001E5D9F">
      <w:pPr>
        <w:numPr>
          <w:ilvl w:val="0"/>
          <w:numId w:val="40"/>
        </w:numPr>
        <w:shd w:val="clear" w:color="auto" w:fill="FFFFFF"/>
        <w:tabs>
          <w:tab w:val="left" w:pos="1701"/>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lastRenderedPageBreak/>
        <w:t xml:space="preserve">20% </w:t>
      </w:r>
      <w:r w:rsidRPr="006B6037">
        <w:rPr>
          <w:rFonts w:ascii="Times New Roman" w:eastAsia="Times New Roman" w:hAnsi="Times New Roman" w:cs="Times New Roman"/>
          <w:sz w:val="24"/>
          <w:szCs w:val="24"/>
          <w:lang w:eastAsia="lv-LV"/>
        </w:rPr>
        <w:t xml:space="preserve">IIN likme  – ienākumiem līdz 45 000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gadā; </w:t>
      </w:r>
    </w:p>
    <w:p w14:paraId="776A400F" w14:textId="77777777" w:rsidR="006B6037" w:rsidRPr="006B6037" w:rsidRDefault="006B6037" w:rsidP="001E5D9F">
      <w:pPr>
        <w:numPr>
          <w:ilvl w:val="0"/>
          <w:numId w:val="40"/>
        </w:numPr>
        <w:shd w:val="clear" w:color="auto" w:fill="FFFFFF"/>
        <w:tabs>
          <w:tab w:val="left" w:pos="1701"/>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 xml:space="preserve">23% </w:t>
      </w:r>
      <w:r w:rsidRPr="006B6037">
        <w:rPr>
          <w:rFonts w:ascii="Times New Roman" w:eastAsia="Times New Roman" w:hAnsi="Times New Roman" w:cs="Times New Roman"/>
          <w:sz w:val="24"/>
          <w:szCs w:val="24"/>
          <w:lang w:eastAsia="lv-LV"/>
        </w:rPr>
        <w:t>IIN likme</w:t>
      </w:r>
      <w:r w:rsidRPr="006B6037">
        <w:rPr>
          <w:rFonts w:ascii="Times New Roman" w:eastAsia="Times New Roman" w:hAnsi="Times New Roman" w:cs="Times New Roman"/>
          <w:b/>
          <w:sz w:val="24"/>
          <w:szCs w:val="24"/>
          <w:lang w:eastAsia="lv-LV"/>
        </w:rPr>
        <w:t xml:space="preserve"> </w:t>
      </w:r>
      <w:r w:rsidRPr="006B6037">
        <w:rPr>
          <w:rFonts w:ascii="Times New Roman" w:eastAsia="Times New Roman" w:hAnsi="Times New Roman" w:cs="Times New Roman"/>
          <w:sz w:val="24"/>
          <w:szCs w:val="24"/>
          <w:lang w:eastAsia="lv-LV"/>
        </w:rPr>
        <w:t xml:space="preserve">– ienākumiem virs 45 000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gadā ;</w:t>
      </w:r>
    </w:p>
    <w:p w14:paraId="4228717E" w14:textId="77777777" w:rsidR="006B6037" w:rsidRPr="006B6037" w:rsidRDefault="006B6037" w:rsidP="001E5D9F">
      <w:pPr>
        <w:pStyle w:val="ListParagraph"/>
        <w:numPr>
          <w:ilvl w:val="0"/>
          <w:numId w:val="39"/>
        </w:numPr>
        <w:shd w:val="clear" w:color="auto" w:fill="FFFFFF"/>
        <w:tabs>
          <w:tab w:val="left" w:pos="1276"/>
        </w:tabs>
        <w:spacing w:after="0" w:line="240" w:lineRule="auto"/>
        <w:ind w:left="1276"/>
        <w:contextualSpacing w:val="0"/>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i/>
          <w:sz w:val="24"/>
          <w:szCs w:val="24"/>
          <w:lang w:eastAsia="lv-LV"/>
        </w:rPr>
        <w:t>būtiski</w:t>
      </w:r>
      <w:r w:rsidRPr="006B6037">
        <w:rPr>
          <w:rFonts w:ascii="Times New Roman" w:eastAsia="Times New Roman" w:hAnsi="Times New Roman" w:cs="Times New Roman"/>
          <w:sz w:val="24"/>
          <w:szCs w:val="24"/>
          <w:lang w:eastAsia="lv-LV"/>
        </w:rPr>
        <w:t xml:space="preserve"> </w:t>
      </w:r>
      <w:r w:rsidRPr="006B6037">
        <w:rPr>
          <w:rFonts w:ascii="Times New Roman" w:eastAsia="Times New Roman" w:hAnsi="Times New Roman" w:cs="Times New Roman"/>
          <w:i/>
          <w:sz w:val="24"/>
          <w:szCs w:val="24"/>
          <w:lang w:eastAsia="lv-LV"/>
        </w:rPr>
        <w:t>paaugstinot ar iedzīvotāju ienākuma nodokli neapliekamo diferencēto minimumu,</w:t>
      </w:r>
      <w:r w:rsidRPr="006B6037">
        <w:rPr>
          <w:rFonts w:ascii="Times New Roman" w:eastAsia="Times New Roman" w:hAnsi="Times New Roman" w:cs="Times New Roman"/>
          <w:sz w:val="24"/>
          <w:szCs w:val="24"/>
          <w:lang w:eastAsia="lv-LV"/>
        </w:rPr>
        <w:t xml:space="preserve"> (atsakoties no diferencētā neapliekamā minimuma piemērošanas rezumējošā kārtība, piemērojot to pilnā apmērā jau taksācijas gada laikā):</w:t>
      </w:r>
    </w:p>
    <w:p w14:paraId="2496B3EF" w14:textId="77777777" w:rsidR="006B6037" w:rsidRPr="006B6037" w:rsidRDefault="006B6037" w:rsidP="001E5D9F">
      <w:pPr>
        <w:numPr>
          <w:ilvl w:val="0"/>
          <w:numId w:val="40"/>
        </w:numPr>
        <w:shd w:val="clear" w:color="auto" w:fill="FFFFFF"/>
        <w:tabs>
          <w:tab w:val="left" w:pos="1701"/>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 xml:space="preserve">0-250 </w:t>
      </w:r>
      <w:r w:rsidRPr="006B6037">
        <w:rPr>
          <w:rFonts w:ascii="Times New Roman" w:eastAsia="Times New Roman" w:hAnsi="Times New Roman" w:cs="Times New Roman"/>
          <w:b/>
          <w:i/>
          <w:sz w:val="24"/>
          <w:szCs w:val="24"/>
          <w:lang w:eastAsia="lv-LV"/>
        </w:rPr>
        <w:t>euro</w:t>
      </w:r>
      <w:r w:rsidRPr="006B6037">
        <w:rPr>
          <w:rFonts w:ascii="Times New Roman" w:eastAsia="Times New Roman" w:hAnsi="Times New Roman" w:cs="Times New Roman"/>
          <w:b/>
          <w:sz w:val="24"/>
          <w:szCs w:val="24"/>
          <w:lang w:eastAsia="lv-LV"/>
        </w:rPr>
        <w:t xml:space="preserve"> mēnesī</w:t>
      </w:r>
      <w:r w:rsidRPr="006B6037">
        <w:rPr>
          <w:rFonts w:ascii="Times New Roman" w:eastAsia="Times New Roman" w:hAnsi="Times New Roman" w:cs="Times New Roman"/>
          <w:sz w:val="24"/>
          <w:szCs w:val="24"/>
          <w:lang w:eastAsia="lv-LV"/>
        </w:rPr>
        <w:t xml:space="preserve"> ieviešanas gadā (250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ienākumiem līdz 440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ienākumiem no 440 līdz 1 350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 neapliekamais minimums atbilstoši formulai pakāpeniski samazinās, līdz pie ienākuma virs 1 350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 tas sasniedz 0);</w:t>
      </w:r>
    </w:p>
    <w:p w14:paraId="4481A467" w14:textId="77777777" w:rsidR="006B6037" w:rsidRPr="006B6037" w:rsidRDefault="006B6037" w:rsidP="001E5D9F">
      <w:pPr>
        <w:numPr>
          <w:ilvl w:val="0"/>
          <w:numId w:val="40"/>
        </w:numPr>
        <w:shd w:val="clear" w:color="auto" w:fill="FFFFFF"/>
        <w:tabs>
          <w:tab w:val="left" w:pos="1701"/>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 xml:space="preserve">0-300 </w:t>
      </w:r>
      <w:r w:rsidRPr="006B6037">
        <w:rPr>
          <w:rFonts w:ascii="Times New Roman" w:eastAsia="Times New Roman" w:hAnsi="Times New Roman" w:cs="Times New Roman"/>
          <w:b/>
          <w:i/>
          <w:sz w:val="24"/>
          <w:szCs w:val="24"/>
          <w:lang w:eastAsia="lv-LV"/>
        </w:rPr>
        <w:t>euro</w:t>
      </w:r>
      <w:r w:rsidRPr="006B6037">
        <w:rPr>
          <w:rFonts w:ascii="Times New Roman" w:eastAsia="Times New Roman" w:hAnsi="Times New Roman" w:cs="Times New Roman"/>
          <w:b/>
          <w:sz w:val="24"/>
          <w:szCs w:val="24"/>
          <w:lang w:eastAsia="lv-LV"/>
        </w:rPr>
        <w:t xml:space="preserve"> mēnesī</w:t>
      </w:r>
      <w:r w:rsidRPr="006B6037">
        <w:rPr>
          <w:rFonts w:ascii="Times New Roman" w:eastAsia="Times New Roman" w:hAnsi="Times New Roman" w:cs="Times New Roman"/>
          <w:sz w:val="24"/>
          <w:szCs w:val="24"/>
          <w:lang w:eastAsia="lv-LV"/>
        </w:rPr>
        <w:t xml:space="preserve"> nākamajā gadā (300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ienākumiem līdz 440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ienākumiem no 440 līdz 1 350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 neapliekamais minimums atbilstoši formulai pakāpeniski samazinās, līdz pie ienākuma virs 1 350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 tas sasniedz 0);</w:t>
      </w:r>
    </w:p>
    <w:p w14:paraId="3C8CCF52" w14:textId="77777777" w:rsidR="006B6037" w:rsidRPr="006B6037" w:rsidRDefault="006B6037" w:rsidP="001E5D9F">
      <w:pPr>
        <w:pStyle w:val="ListParagraph"/>
        <w:numPr>
          <w:ilvl w:val="0"/>
          <w:numId w:val="39"/>
        </w:numPr>
        <w:shd w:val="clear" w:color="auto" w:fill="FFFFFF"/>
        <w:tabs>
          <w:tab w:val="left" w:pos="1276"/>
        </w:tabs>
        <w:spacing w:after="0" w:line="240" w:lineRule="auto"/>
        <w:ind w:left="1276"/>
        <w:contextualSpacing w:val="0"/>
        <w:jc w:val="both"/>
        <w:rPr>
          <w:rFonts w:ascii="Times New Roman" w:eastAsia="Times New Roman" w:hAnsi="Times New Roman" w:cs="Times New Roman"/>
          <w:sz w:val="24"/>
          <w:szCs w:val="24"/>
          <w:u w:val="single"/>
          <w:lang w:eastAsia="lv-LV"/>
        </w:rPr>
      </w:pPr>
      <w:r w:rsidRPr="006B6037">
        <w:rPr>
          <w:rFonts w:ascii="Times New Roman" w:eastAsia="Times New Roman" w:hAnsi="Times New Roman" w:cs="Times New Roman"/>
          <w:i/>
          <w:sz w:val="24"/>
          <w:szCs w:val="24"/>
          <w:lang w:eastAsia="lv-LV"/>
        </w:rPr>
        <w:t>atceļot solidaritātes nodokli un ieviešot VSAOI objekta maksimālā apmēra otrā līmeņa griestus 85 400 euro gadā</w:t>
      </w:r>
      <w:r w:rsidRPr="006B6037">
        <w:rPr>
          <w:rFonts w:ascii="Times New Roman" w:eastAsia="Times New Roman" w:hAnsi="Times New Roman" w:cs="Times New Roman"/>
          <w:sz w:val="24"/>
          <w:szCs w:val="24"/>
          <w:lang w:eastAsia="lv-LV"/>
        </w:rPr>
        <w:t>:</w:t>
      </w:r>
    </w:p>
    <w:p w14:paraId="00FA56B5" w14:textId="77777777" w:rsidR="006B6037" w:rsidRPr="006B6037" w:rsidRDefault="006B6037" w:rsidP="001E5D9F">
      <w:pPr>
        <w:numPr>
          <w:ilvl w:val="0"/>
          <w:numId w:val="40"/>
        </w:numPr>
        <w:shd w:val="clear" w:color="auto" w:fill="FFFFFF"/>
        <w:tabs>
          <w:tab w:val="left" w:pos="1701"/>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ienākumiem no 52 400 līdz 85 400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gadā – netiek piešķirti īstermiņa sociālos pabalsti;</w:t>
      </w:r>
    </w:p>
    <w:p w14:paraId="1EDD1008" w14:textId="77777777" w:rsidR="006B6037" w:rsidRPr="006B6037" w:rsidRDefault="006B6037" w:rsidP="001E5D9F">
      <w:pPr>
        <w:numPr>
          <w:ilvl w:val="0"/>
          <w:numId w:val="40"/>
        </w:numPr>
        <w:shd w:val="clear" w:color="auto" w:fill="FFFFFF"/>
        <w:tabs>
          <w:tab w:val="left" w:pos="1701"/>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no ienākumiem virs 85 400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gadā – sociālās apdrošināšanas iemaksas nav jāmaksā;</w:t>
      </w:r>
    </w:p>
    <w:p w14:paraId="21BCD82E" w14:textId="77777777" w:rsidR="006B6037" w:rsidRPr="006B6037" w:rsidRDefault="006B6037" w:rsidP="001E5D9F">
      <w:pPr>
        <w:pStyle w:val="ListParagraph"/>
        <w:numPr>
          <w:ilvl w:val="0"/>
          <w:numId w:val="39"/>
        </w:numPr>
        <w:shd w:val="clear" w:color="auto" w:fill="FFFFFF"/>
        <w:tabs>
          <w:tab w:val="left" w:pos="1276"/>
        </w:tabs>
        <w:spacing w:after="0" w:line="240" w:lineRule="auto"/>
        <w:ind w:left="1276"/>
        <w:contextualSpacing w:val="0"/>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i/>
          <w:sz w:val="24"/>
          <w:szCs w:val="24"/>
          <w:lang w:eastAsia="lv-LV"/>
        </w:rPr>
        <w:t>paaugstinot minimālo mēneša darba algu</w:t>
      </w:r>
      <w:r w:rsidRPr="006B6037">
        <w:rPr>
          <w:rFonts w:ascii="Times New Roman" w:eastAsia="Times New Roman" w:hAnsi="Times New Roman" w:cs="Times New Roman"/>
          <w:sz w:val="24"/>
          <w:szCs w:val="24"/>
          <w:lang w:eastAsia="lv-LV"/>
        </w:rPr>
        <w:t xml:space="preserve"> līdz </w:t>
      </w:r>
      <w:r w:rsidRPr="006B6037">
        <w:rPr>
          <w:rFonts w:ascii="Times New Roman" w:eastAsia="Times New Roman" w:hAnsi="Times New Roman" w:cs="Times New Roman"/>
          <w:b/>
          <w:sz w:val="24"/>
          <w:szCs w:val="24"/>
          <w:lang w:eastAsia="lv-LV"/>
        </w:rPr>
        <w:t xml:space="preserve">430 </w:t>
      </w:r>
      <w:r w:rsidRPr="006B6037">
        <w:rPr>
          <w:rFonts w:ascii="Times New Roman" w:eastAsia="Times New Roman" w:hAnsi="Times New Roman" w:cs="Times New Roman"/>
          <w:b/>
          <w:i/>
          <w:sz w:val="24"/>
          <w:szCs w:val="24"/>
          <w:lang w:eastAsia="lv-LV"/>
        </w:rPr>
        <w:t>euro</w:t>
      </w:r>
      <w:r w:rsidRPr="006B6037">
        <w:rPr>
          <w:rFonts w:ascii="Times New Roman" w:eastAsia="Times New Roman" w:hAnsi="Times New Roman" w:cs="Times New Roman"/>
          <w:sz w:val="24"/>
          <w:szCs w:val="24"/>
          <w:lang w:eastAsia="lv-LV"/>
        </w:rPr>
        <w:t xml:space="preserve"> (pašlaik 380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w:t>
      </w:r>
    </w:p>
    <w:p w14:paraId="64BE1072" w14:textId="77777777" w:rsidR="006B6037" w:rsidRPr="006B6037" w:rsidRDefault="006B6037" w:rsidP="001E5D9F">
      <w:pPr>
        <w:pStyle w:val="ListParagraph"/>
        <w:numPr>
          <w:ilvl w:val="0"/>
          <w:numId w:val="39"/>
        </w:numPr>
        <w:shd w:val="clear" w:color="auto" w:fill="FFFFFF"/>
        <w:tabs>
          <w:tab w:val="left" w:pos="1276"/>
        </w:tabs>
        <w:spacing w:after="0" w:line="240" w:lineRule="auto"/>
        <w:ind w:left="1276"/>
        <w:contextualSpacing w:val="0"/>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i/>
          <w:sz w:val="24"/>
          <w:szCs w:val="24"/>
          <w:lang w:eastAsia="lv-LV"/>
        </w:rPr>
        <w:t>paaugstinot neapliekamo minimumu pensionāriem</w:t>
      </w:r>
      <w:r w:rsidRPr="006B6037">
        <w:rPr>
          <w:rFonts w:ascii="Times New Roman" w:eastAsia="Times New Roman" w:hAnsi="Times New Roman" w:cs="Times New Roman"/>
          <w:sz w:val="24"/>
          <w:szCs w:val="24"/>
          <w:lang w:eastAsia="lv-LV"/>
        </w:rPr>
        <w:t xml:space="preserve"> līdz </w:t>
      </w:r>
      <w:r w:rsidRPr="006B6037">
        <w:rPr>
          <w:rFonts w:ascii="Times New Roman" w:eastAsia="Times New Roman" w:hAnsi="Times New Roman" w:cs="Times New Roman"/>
          <w:b/>
          <w:sz w:val="24"/>
          <w:szCs w:val="24"/>
          <w:lang w:eastAsia="lv-LV"/>
        </w:rPr>
        <w:t xml:space="preserve">300 </w:t>
      </w:r>
      <w:r w:rsidRPr="006B6037">
        <w:rPr>
          <w:rFonts w:ascii="Times New Roman" w:eastAsia="Times New Roman" w:hAnsi="Times New Roman" w:cs="Times New Roman"/>
          <w:b/>
          <w:i/>
          <w:sz w:val="24"/>
          <w:szCs w:val="24"/>
          <w:lang w:eastAsia="lv-LV"/>
        </w:rPr>
        <w:t>euro</w:t>
      </w:r>
      <w:r w:rsidRPr="006B6037">
        <w:rPr>
          <w:rFonts w:ascii="Times New Roman" w:eastAsia="Times New Roman" w:hAnsi="Times New Roman" w:cs="Times New Roman"/>
          <w:b/>
          <w:sz w:val="24"/>
          <w:szCs w:val="24"/>
          <w:lang w:eastAsia="lv-LV"/>
        </w:rPr>
        <w:t xml:space="preserve"> mēnesī</w:t>
      </w:r>
      <w:r w:rsidRPr="006B6037">
        <w:rPr>
          <w:rFonts w:ascii="Times New Roman" w:eastAsia="Times New Roman" w:hAnsi="Times New Roman" w:cs="Times New Roman"/>
          <w:sz w:val="24"/>
          <w:szCs w:val="24"/>
          <w:lang w:eastAsia="lv-LV"/>
        </w:rPr>
        <w:t xml:space="preserve"> (pašlaik 235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w:t>
      </w:r>
    </w:p>
    <w:p w14:paraId="6A89E2A8" w14:textId="77777777" w:rsidR="006B6037" w:rsidRPr="006B6037" w:rsidRDefault="006B6037" w:rsidP="001E5D9F">
      <w:pPr>
        <w:pStyle w:val="ListParagraph"/>
        <w:numPr>
          <w:ilvl w:val="0"/>
          <w:numId w:val="39"/>
        </w:numPr>
        <w:shd w:val="clear" w:color="auto" w:fill="FFFFFF"/>
        <w:tabs>
          <w:tab w:val="left" w:pos="1276"/>
        </w:tabs>
        <w:spacing w:after="0" w:line="240" w:lineRule="auto"/>
        <w:ind w:left="1276"/>
        <w:contextualSpacing w:val="0"/>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i/>
          <w:sz w:val="24"/>
          <w:szCs w:val="24"/>
          <w:lang w:eastAsia="lv-LV"/>
        </w:rPr>
        <w:t xml:space="preserve"> novirzot 1% no sociālajām iemaksām veselības finansēšanai</w:t>
      </w:r>
      <w:r w:rsidRPr="006B6037">
        <w:rPr>
          <w:rFonts w:ascii="Times New Roman" w:eastAsia="Times New Roman" w:hAnsi="Times New Roman" w:cs="Times New Roman"/>
          <w:sz w:val="24"/>
          <w:szCs w:val="24"/>
          <w:lang w:eastAsia="lv-LV"/>
        </w:rPr>
        <w:t>.</w:t>
      </w:r>
    </w:p>
    <w:p w14:paraId="2DA2B550" w14:textId="77777777" w:rsidR="006B6037" w:rsidRPr="006B6037" w:rsidRDefault="006B6037" w:rsidP="001E5D9F">
      <w:pPr>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vienādot IIN likmes dažādiem ienākumu veidiem, nosakot tās 20%/23% apmērā:</w:t>
      </w:r>
    </w:p>
    <w:p w14:paraId="561292BB"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 xml:space="preserve">20% </w:t>
      </w:r>
      <w:r w:rsidRPr="006B6037">
        <w:rPr>
          <w:rFonts w:ascii="Times New Roman" w:eastAsia="Times New Roman" w:hAnsi="Times New Roman" w:cs="Times New Roman"/>
          <w:sz w:val="24"/>
          <w:szCs w:val="24"/>
          <w:lang w:eastAsia="lv-LV"/>
        </w:rPr>
        <w:t xml:space="preserve">IIN likme  – ienākumam no </w:t>
      </w:r>
      <w:r w:rsidRPr="006B6037">
        <w:rPr>
          <w:rFonts w:ascii="Times New Roman" w:eastAsia="Times New Roman" w:hAnsi="Times New Roman" w:cs="Times New Roman"/>
          <w:i/>
          <w:sz w:val="24"/>
          <w:szCs w:val="24"/>
          <w:lang w:eastAsia="lv-LV"/>
        </w:rPr>
        <w:t>kapitāla un kapitāla pieaugumam</w:t>
      </w:r>
      <w:r w:rsidRPr="006B6037">
        <w:rPr>
          <w:rFonts w:ascii="Times New Roman" w:eastAsia="Times New Roman" w:hAnsi="Times New Roman" w:cs="Times New Roman"/>
          <w:sz w:val="24"/>
          <w:szCs w:val="24"/>
          <w:lang w:eastAsia="lv-LV"/>
        </w:rPr>
        <w:t xml:space="preserve"> (pašreiz IIN likme ienākumam </w:t>
      </w:r>
      <w:r w:rsidRPr="006B6037">
        <w:rPr>
          <w:rFonts w:ascii="Times New Roman" w:eastAsia="Times New Roman" w:hAnsi="Times New Roman" w:cs="Times New Roman"/>
          <w:spacing w:val="5"/>
          <w:sz w:val="24"/>
          <w:szCs w:val="24"/>
          <w:lang w:eastAsia="lv-LV"/>
        </w:rPr>
        <w:t xml:space="preserve">no kapitāla, kas nav kapitāla pieaugums (piemēram, dividendēm, procentu ienākumam) ir 10%, bet ienākumam no kapitāla pieauguma – 15%). Izņēmums ir dividendes (tad 0% likme), ja tās jau ir apliktas ar </w:t>
      </w:r>
      <w:r w:rsidRPr="006B6037">
        <w:rPr>
          <w:rFonts w:ascii="Times New Roman" w:eastAsia="Times New Roman" w:hAnsi="Times New Roman" w:cs="Times New Roman"/>
          <w:sz w:val="24"/>
          <w:szCs w:val="24"/>
          <w:lang w:eastAsia="lv-LV"/>
        </w:rPr>
        <w:t>20% ienākuma nodokļa likmi uzņēmuma līmenī peļņas sadales brīdī;</w:t>
      </w:r>
    </w:p>
    <w:p w14:paraId="2193F384"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 xml:space="preserve">20/23% </w:t>
      </w:r>
      <w:r w:rsidRPr="006B6037">
        <w:rPr>
          <w:rFonts w:ascii="Times New Roman" w:eastAsia="Times New Roman" w:hAnsi="Times New Roman" w:cs="Times New Roman"/>
          <w:sz w:val="24"/>
          <w:szCs w:val="24"/>
          <w:lang w:eastAsia="lv-LV"/>
        </w:rPr>
        <w:t xml:space="preserve">IIN likme – </w:t>
      </w:r>
      <w:r w:rsidRPr="006B6037">
        <w:rPr>
          <w:rFonts w:ascii="Times New Roman" w:eastAsia="Times New Roman" w:hAnsi="Times New Roman" w:cs="Times New Roman"/>
          <w:i/>
          <w:sz w:val="24"/>
          <w:szCs w:val="24"/>
          <w:lang w:eastAsia="lv-LV"/>
        </w:rPr>
        <w:t xml:space="preserve">saimnieciskās darbības veicējiem </w:t>
      </w:r>
      <w:r w:rsidRPr="006B6037">
        <w:rPr>
          <w:rFonts w:ascii="Times New Roman" w:eastAsia="Times New Roman" w:hAnsi="Times New Roman" w:cs="Times New Roman"/>
          <w:sz w:val="24"/>
          <w:szCs w:val="24"/>
          <w:lang w:eastAsia="lv-LV"/>
        </w:rPr>
        <w:t>(pašreiz 23% likme)</w:t>
      </w:r>
      <w:r w:rsidRPr="006B6037">
        <w:rPr>
          <w:rFonts w:ascii="Times New Roman" w:eastAsia="Times New Roman" w:hAnsi="Times New Roman" w:cs="Times New Roman"/>
          <w:i/>
          <w:sz w:val="24"/>
          <w:szCs w:val="24"/>
          <w:lang w:eastAsia="lv-LV"/>
        </w:rPr>
        <w:t>:</w:t>
      </w:r>
    </w:p>
    <w:p w14:paraId="43F1D1CA"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20% IIN likme – apliekamajam ienākumam līdz 45 000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gadā;</w:t>
      </w:r>
    </w:p>
    <w:p w14:paraId="2F0A0D1F"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23% IIN likme – apliekamajam ienākumam virs 45 000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gadā;</w:t>
      </w:r>
    </w:p>
    <w:p w14:paraId="2FA636D4"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VSAOI objekts – apliekamajam ienākumam, ja tas nesasniedz 430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netiek piemērotas VSAOI. Ja apliekamais ienākums sasniedz 430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tad VSAOI objekts tiek noteikts faktisko ienākumu apmērā (samazināta VSAOI likme un samazināts sociālo garantiju apjoms, piemēram, tikai pensijas apdrošināšana). Apliekamajam ienākumam, kas pārsniedz 430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mēnesī – līdzšinējā kārtība, t.i., brīvi noteikts iemaksu objekts, bet ne mazāks kā vismaz minimālās algas apmērā, likme par 430 </w:t>
      </w:r>
      <w:r w:rsidRPr="006B6037">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 līdzšinējā (atkarībā no pašnodarbinātās personas statusa), pārsniegumam 5%; </w:t>
      </w:r>
    </w:p>
    <w:p w14:paraId="16923152"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izmaiņas apliekamā ienākuma no saimnieciskās darbības noteikšanas kārtībā, nosakot ierobežojumu saimnieciskās darbības izdevumiem – līdz 80% no saimnieciskās darbības ieņēmumiem (attiecīgi jāatsakās arī no pirmstaksācijas gadu zaudējumu pārnešanas, nosakot pārejas periodu iepriekš uzkrātajiem zaudējumiem). Minēto ierobežojumu nepiemēro, ja izdevumu limita pārsniegumu rada algota darba izmaksas; </w:t>
      </w:r>
    </w:p>
    <w:p w14:paraId="017AC327"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pamatlīdzekļu nolietojuma norakstīšana saskaņā ar saimnieciskās darbības noteikto kārtību, taču šo kārtību var mainīt tikai pie noteiktiem nosacījumiem (piemēram, pēc 5 gadiem, ar īpašu pamatojumu u.tml.); </w:t>
      </w:r>
    </w:p>
    <w:p w14:paraId="5D9D50A9"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lastRenderedPageBreak/>
        <w:t>20/23%</w:t>
      </w:r>
      <w:r w:rsidRPr="006B6037">
        <w:rPr>
          <w:rFonts w:ascii="Times New Roman" w:eastAsia="Times New Roman" w:hAnsi="Times New Roman" w:cs="Times New Roman"/>
          <w:sz w:val="24"/>
          <w:szCs w:val="24"/>
          <w:lang w:eastAsia="lv-LV"/>
        </w:rPr>
        <w:t xml:space="preserve"> IIN likme – </w:t>
      </w:r>
      <w:r w:rsidRPr="006B6037">
        <w:rPr>
          <w:rFonts w:ascii="Times New Roman" w:eastAsia="Times New Roman" w:hAnsi="Times New Roman" w:cs="Times New Roman"/>
          <w:i/>
          <w:sz w:val="24"/>
          <w:szCs w:val="24"/>
          <w:lang w:eastAsia="lv-LV"/>
        </w:rPr>
        <w:t xml:space="preserve">maksātājiem, kas gūst ienākumus uz uzņēmumu līguma pamata, bet nav reģistrējuši saimniecisko darbību </w:t>
      </w:r>
      <w:r w:rsidRPr="006B6037">
        <w:rPr>
          <w:rFonts w:ascii="Times New Roman" w:eastAsia="Times New Roman" w:hAnsi="Times New Roman" w:cs="Times New Roman"/>
          <w:sz w:val="24"/>
          <w:szCs w:val="24"/>
          <w:lang w:eastAsia="lv-LV"/>
        </w:rPr>
        <w:t>(pašreiz 23% likme), saglabājot iepriekšējo nodokļu piemērošanas kārtību:</w:t>
      </w:r>
    </w:p>
    <w:p w14:paraId="772C44A6"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20% IIN likme – apliekamajam ienākumam līdz 45 000 </w:t>
      </w:r>
      <w:r w:rsidRPr="00B63BC3">
        <w:rPr>
          <w:rFonts w:ascii="Times New Roman" w:eastAsia="Times New Roman" w:hAnsi="Times New Roman" w:cs="Times New Roman"/>
          <w:i/>
          <w:sz w:val="24"/>
          <w:szCs w:val="24"/>
          <w:lang w:eastAsia="lv-LV"/>
        </w:rPr>
        <w:t>euro</w:t>
      </w:r>
      <w:r w:rsidRPr="006B6037">
        <w:rPr>
          <w:rFonts w:ascii="Times New Roman" w:eastAsia="Times New Roman" w:hAnsi="Times New Roman" w:cs="Times New Roman"/>
          <w:sz w:val="24"/>
          <w:szCs w:val="24"/>
          <w:lang w:eastAsia="lv-LV"/>
        </w:rPr>
        <w:t xml:space="preserve"> gadā;</w:t>
      </w:r>
    </w:p>
    <w:p w14:paraId="78529720" w14:textId="187EEF1D"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23% IIN likme – apliekamajam ienākumam virs 45 000 </w:t>
      </w:r>
      <w:r w:rsidR="00B63BC3" w:rsidRPr="00B63BC3">
        <w:rPr>
          <w:rFonts w:ascii="Times New Roman" w:eastAsia="Times New Roman" w:hAnsi="Times New Roman" w:cs="Times New Roman"/>
          <w:i/>
          <w:sz w:val="24"/>
          <w:szCs w:val="24"/>
          <w:lang w:eastAsia="lv-LV"/>
        </w:rPr>
        <w:t>euro</w:t>
      </w:r>
      <w:r w:rsidR="00B63BC3" w:rsidRPr="006B6037">
        <w:rPr>
          <w:rFonts w:ascii="Times New Roman" w:eastAsia="Times New Roman" w:hAnsi="Times New Roman" w:cs="Times New Roman"/>
          <w:sz w:val="24"/>
          <w:szCs w:val="24"/>
          <w:lang w:eastAsia="lv-LV"/>
        </w:rPr>
        <w:t xml:space="preserve"> </w:t>
      </w:r>
      <w:r w:rsidRPr="006B6037">
        <w:rPr>
          <w:rFonts w:ascii="Times New Roman" w:eastAsia="Times New Roman" w:hAnsi="Times New Roman" w:cs="Times New Roman"/>
          <w:sz w:val="24"/>
          <w:szCs w:val="24"/>
          <w:lang w:eastAsia="lv-LV"/>
        </w:rPr>
        <w:t>gadā;</w:t>
      </w:r>
    </w:p>
    <w:p w14:paraId="137CAC86"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VSAOI – tāpat kā algas nodokļa maksātājiem;</w:t>
      </w:r>
    </w:p>
    <w:p w14:paraId="30F35AEF"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20/23%</w:t>
      </w:r>
      <w:r w:rsidRPr="006B6037">
        <w:rPr>
          <w:rFonts w:ascii="Times New Roman" w:eastAsia="Times New Roman" w:hAnsi="Times New Roman" w:cs="Times New Roman"/>
          <w:sz w:val="24"/>
          <w:szCs w:val="24"/>
          <w:lang w:eastAsia="lv-LV"/>
        </w:rPr>
        <w:t xml:space="preserve"> IIN likme – </w:t>
      </w:r>
      <w:r w:rsidRPr="006B6037">
        <w:rPr>
          <w:rFonts w:ascii="Times New Roman" w:eastAsia="Times New Roman" w:hAnsi="Times New Roman" w:cs="Times New Roman"/>
          <w:i/>
          <w:sz w:val="24"/>
          <w:szCs w:val="24"/>
          <w:lang w:eastAsia="lv-LV"/>
        </w:rPr>
        <w:t>autoratlīdzību saņēmējiem</w:t>
      </w:r>
      <w:r w:rsidRPr="006B6037">
        <w:rPr>
          <w:rFonts w:ascii="Times New Roman" w:eastAsia="Times New Roman" w:hAnsi="Times New Roman" w:cs="Times New Roman"/>
          <w:sz w:val="24"/>
          <w:szCs w:val="24"/>
          <w:lang w:eastAsia="lv-LV"/>
        </w:rPr>
        <w:t>, saglabājot līdzšinējās izdevumu normas (15 - 40% apmērā atkarībā no radītā darba veida; nepiemēro autortiesību mantiniekiem):</w:t>
      </w:r>
    </w:p>
    <w:p w14:paraId="02F45CE4" w14:textId="790FA3B6"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20% IIN likme – apliekamajam ienākumam līdz 45 000 </w:t>
      </w:r>
      <w:r w:rsidR="00B63BC3" w:rsidRPr="00B63BC3">
        <w:rPr>
          <w:rFonts w:ascii="Times New Roman" w:eastAsia="Times New Roman" w:hAnsi="Times New Roman" w:cs="Times New Roman"/>
          <w:i/>
          <w:sz w:val="24"/>
          <w:szCs w:val="24"/>
          <w:lang w:eastAsia="lv-LV"/>
        </w:rPr>
        <w:t>euro</w:t>
      </w:r>
      <w:r w:rsidR="00B63BC3" w:rsidRPr="006B6037">
        <w:rPr>
          <w:rFonts w:ascii="Times New Roman" w:eastAsia="Times New Roman" w:hAnsi="Times New Roman" w:cs="Times New Roman"/>
          <w:sz w:val="24"/>
          <w:szCs w:val="24"/>
          <w:lang w:eastAsia="lv-LV"/>
        </w:rPr>
        <w:t xml:space="preserve"> </w:t>
      </w:r>
      <w:r w:rsidRPr="006B6037">
        <w:rPr>
          <w:rFonts w:ascii="Times New Roman" w:eastAsia="Times New Roman" w:hAnsi="Times New Roman" w:cs="Times New Roman"/>
          <w:sz w:val="24"/>
          <w:szCs w:val="24"/>
          <w:lang w:eastAsia="lv-LV"/>
        </w:rPr>
        <w:t>gadā;</w:t>
      </w:r>
    </w:p>
    <w:p w14:paraId="739C570A" w14:textId="32E6FFB3"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23% IIN likme – apliekamajam ienākumam virs 45 000 </w:t>
      </w:r>
      <w:r w:rsidR="00B63BC3" w:rsidRPr="00B63BC3">
        <w:rPr>
          <w:rFonts w:ascii="Times New Roman" w:eastAsia="Times New Roman" w:hAnsi="Times New Roman" w:cs="Times New Roman"/>
          <w:i/>
          <w:sz w:val="24"/>
          <w:szCs w:val="24"/>
          <w:lang w:eastAsia="lv-LV"/>
        </w:rPr>
        <w:t>euro</w:t>
      </w:r>
      <w:r w:rsidR="00B63BC3" w:rsidRPr="006B6037">
        <w:rPr>
          <w:rFonts w:ascii="Times New Roman" w:eastAsia="Times New Roman" w:hAnsi="Times New Roman" w:cs="Times New Roman"/>
          <w:sz w:val="24"/>
          <w:szCs w:val="24"/>
          <w:lang w:eastAsia="lv-LV"/>
        </w:rPr>
        <w:t xml:space="preserve"> </w:t>
      </w:r>
      <w:r w:rsidRPr="006B6037">
        <w:rPr>
          <w:rFonts w:ascii="Times New Roman" w:eastAsia="Times New Roman" w:hAnsi="Times New Roman" w:cs="Times New Roman"/>
          <w:sz w:val="24"/>
          <w:szCs w:val="24"/>
          <w:lang w:eastAsia="lv-LV"/>
        </w:rPr>
        <w:t>gadā;</w:t>
      </w:r>
    </w:p>
    <w:p w14:paraId="4FC40E06"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noteikt 5% VSAOI papildu likmi iemaksām sociālajā budžetā – pensijas apdrošināšanai;</w:t>
      </w:r>
    </w:p>
    <w:p w14:paraId="2F5AE29C"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 xml:space="preserve">nav jāreģistrē saimnieciskā darbība. Ja nav darba ņēmēja statuss – regulējums kā pašnodarbinātajiem. </w:t>
      </w:r>
    </w:p>
    <w:p w14:paraId="4CB439C3" w14:textId="77777777" w:rsidR="006B6037" w:rsidRPr="006B6037" w:rsidRDefault="006B6037" w:rsidP="001E5D9F">
      <w:pPr>
        <w:numPr>
          <w:ilvl w:val="0"/>
          <w:numId w:val="40"/>
        </w:numPr>
        <w:shd w:val="clear" w:color="auto" w:fill="FFFFFF"/>
        <w:tabs>
          <w:tab w:val="left" w:pos="1418"/>
        </w:tabs>
        <w:spacing w:after="0" w:line="240" w:lineRule="auto"/>
        <w:ind w:left="1701"/>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sz w:val="24"/>
          <w:szCs w:val="24"/>
          <w:lang w:eastAsia="lv-LV"/>
        </w:rPr>
        <w:t>autortiesību mantiniekiem – saglabājas līdzšinējā kārtība, t.i., VSAOI iemaksas nav jāveic;</w:t>
      </w:r>
    </w:p>
    <w:p w14:paraId="3918C56F"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20%</w:t>
      </w:r>
      <w:r w:rsidRPr="006B6037">
        <w:rPr>
          <w:rFonts w:ascii="Times New Roman" w:eastAsia="Times New Roman" w:hAnsi="Times New Roman" w:cs="Times New Roman"/>
          <w:sz w:val="24"/>
          <w:szCs w:val="24"/>
          <w:lang w:eastAsia="lv-LV"/>
        </w:rPr>
        <w:t xml:space="preserve"> IIN likme – </w:t>
      </w:r>
      <w:r w:rsidRPr="006B6037">
        <w:rPr>
          <w:rFonts w:ascii="Times New Roman" w:eastAsia="Times New Roman" w:hAnsi="Times New Roman" w:cs="Times New Roman"/>
          <w:i/>
          <w:sz w:val="24"/>
          <w:szCs w:val="24"/>
          <w:lang w:eastAsia="lv-LV"/>
        </w:rPr>
        <w:t>ienākumam no nomas/īres, nereģistrējot saimniecisko darbību</w:t>
      </w:r>
      <w:r w:rsidRPr="006B6037">
        <w:rPr>
          <w:rFonts w:ascii="Times New Roman" w:eastAsia="Times New Roman" w:hAnsi="Times New Roman" w:cs="Times New Roman"/>
          <w:sz w:val="24"/>
          <w:szCs w:val="24"/>
          <w:lang w:eastAsia="lv-LV"/>
        </w:rPr>
        <w:t xml:space="preserve">   (pašreiz IIN likme 10%), nosakot </w:t>
      </w:r>
      <w:r w:rsidRPr="006B6037">
        <w:rPr>
          <w:rFonts w:ascii="Times New Roman" w:eastAsia="Times New Roman" w:hAnsi="Times New Roman" w:cs="Times New Roman"/>
          <w:sz w:val="24"/>
          <w:szCs w:val="24"/>
          <w:u w:val="single"/>
          <w:lang w:eastAsia="lv-LV"/>
        </w:rPr>
        <w:t>50% izdevumu normu</w:t>
      </w:r>
      <w:r w:rsidRPr="006B6037">
        <w:rPr>
          <w:rFonts w:ascii="Times New Roman" w:eastAsia="Times New Roman" w:hAnsi="Times New Roman" w:cs="Times New Roman"/>
          <w:sz w:val="24"/>
          <w:szCs w:val="24"/>
          <w:lang w:eastAsia="lv-LV"/>
        </w:rPr>
        <w:t xml:space="preserve"> (bez attaisnojuma dokumentiem, neņemot vērā faktiskos izdevumus) (pašreiz nav, ir tikai NĪN par nekustamo īpašumu);</w:t>
      </w:r>
    </w:p>
    <w:p w14:paraId="065AF3C4"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20%</w:t>
      </w:r>
      <w:r w:rsidRPr="006B6037">
        <w:rPr>
          <w:rFonts w:ascii="Times New Roman" w:eastAsia="Times New Roman" w:hAnsi="Times New Roman" w:cs="Times New Roman"/>
          <w:sz w:val="24"/>
          <w:szCs w:val="24"/>
          <w:lang w:eastAsia="lv-LV"/>
        </w:rPr>
        <w:t xml:space="preserve"> IIN likme – </w:t>
      </w:r>
      <w:r w:rsidRPr="006B6037">
        <w:rPr>
          <w:rFonts w:ascii="Times New Roman" w:eastAsia="Times New Roman" w:hAnsi="Times New Roman" w:cs="Times New Roman"/>
          <w:i/>
          <w:sz w:val="24"/>
          <w:szCs w:val="24"/>
          <w:lang w:eastAsia="lv-LV"/>
        </w:rPr>
        <w:t>ienākumam no augoša meža/kokmateriālu pārdošanas</w:t>
      </w:r>
      <w:r w:rsidRPr="006B6037">
        <w:rPr>
          <w:rFonts w:ascii="Times New Roman" w:eastAsia="Times New Roman" w:hAnsi="Times New Roman" w:cs="Times New Roman"/>
          <w:sz w:val="24"/>
          <w:szCs w:val="24"/>
          <w:lang w:eastAsia="lv-LV"/>
        </w:rPr>
        <w:t xml:space="preserve"> (pašreiz IIN likme 10%), nosakot </w:t>
      </w:r>
      <w:r w:rsidRPr="006B6037">
        <w:rPr>
          <w:rFonts w:ascii="Times New Roman" w:eastAsia="Times New Roman" w:hAnsi="Times New Roman" w:cs="Times New Roman"/>
          <w:sz w:val="24"/>
          <w:szCs w:val="24"/>
          <w:u w:val="single"/>
          <w:lang w:eastAsia="lv-LV"/>
        </w:rPr>
        <w:t>50% izdevumu normu</w:t>
      </w:r>
      <w:r w:rsidRPr="006B6037">
        <w:rPr>
          <w:rFonts w:ascii="Times New Roman" w:eastAsia="Times New Roman" w:hAnsi="Times New Roman" w:cs="Times New Roman"/>
          <w:sz w:val="24"/>
          <w:szCs w:val="24"/>
          <w:lang w:eastAsia="lv-LV"/>
        </w:rPr>
        <w:t xml:space="preserve"> (bez attaisnojuma dokumentiem, neņemot vērā faktiskos izdevumus) (pašreiz izdevumu norma ir 25% no augoša meža pārdošanas (ar meža atjaunošanu saistītie izdevumi) un 50% no kokmateriālu pārdošanas ienākuma (ar kokmateriālu sagatavošanu/pārdošanu saistītie izdevumi));</w:t>
      </w:r>
    </w:p>
    <w:p w14:paraId="6A4661C5" w14:textId="77777777" w:rsidR="006B6037" w:rsidRPr="006B6037" w:rsidRDefault="006B6037" w:rsidP="001E5D9F">
      <w:pPr>
        <w:numPr>
          <w:ilvl w:val="0"/>
          <w:numId w:val="38"/>
        </w:numPr>
        <w:shd w:val="clear" w:color="auto" w:fill="FFFFFF"/>
        <w:spacing w:after="0" w:line="240" w:lineRule="auto"/>
        <w:ind w:left="1276"/>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sz w:val="24"/>
          <w:szCs w:val="24"/>
          <w:lang w:eastAsia="lv-LV"/>
        </w:rPr>
        <w:t xml:space="preserve">20% </w:t>
      </w:r>
      <w:r w:rsidRPr="006B6037">
        <w:rPr>
          <w:rFonts w:ascii="Times New Roman" w:eastAsia="Times New Roman" w:hAnsi="Times New Roman" w:cs="Times New Roman"/>
          <w:sz w:val="24"/>
          <w:szCs w:val="24"/>
          <w:lang w:eastAsia="lv-LV"/>
        </w:rPr>
        <w:t>IIN likme</w:t>
      </w:r>
      <w:r w:rsidRPr="006B6037">
        <w:rPr>
          <w:rFonts w:ascii="Times New Roman" w:eastAsia="Times New Roman" w:hAnsi="Times New Roman" w:cs="Times New Roman"/>
          <w:b/>
          <w:sz w:val="24"/>
          <w:szCs w:val="24"/>
          <w:lang w:eastAsia="lv-LV"/>
        </w:rPr>
        <w:t xml:space="preserve"> – </w:t>
      </w:r>
      <w:r w:rsidRPr="006B6037">
        <w:rPr>
          <w:rFonts w:ascii="Times New Roman" w:eastAsia="Times New Roman" w:hAnsi="Times New Roman" w:cs="Times New Roman"/>
          <w:i/>
          <w:sz w:val="24"/>
          <w:szCs w:val="24"/>
          <w:lang w:eastAsia="lv-LV"/>
        </w:rPr>
        <w:t>ienākumam no metāllūžņu pārdošanas</w:t>
      </w:r>
      <w:r w:rsidRPr="006B6037">
        <w:rPr>
          <w:rFonts w:ascii="Times New Roman" w:eastAsia="Times New Roman" w:hAnsi="Times New Roman" w:cs="Times New Roman"/>
          <w:b/>
          <w:sz w:val="24"/>
          <w:szCs w:val="24"/>
          <w:lang w:eastAsia="lv-LV"/>
        </w:rPr>
        <w:t xml:space="preserve"> </w:t>
      </w:r>
      <w:r w:rsidRPr="006B6037">
        <w:rPr>
          <w:rFonts w:ascii="Times New Roman" w:eastAsia="Times New Roman" w:hAnsi="Times New Roman" w:cs="Times New Roman"/>
          <w:sz w:val="24"/>
          <w:szCs w:val="24"/>
          <w:lang w:eastAsia="lv-LV"/>
        </w:rPr>
        <w:t xml:space="preserve">(pašreiz IIN likme 10%), nosakot </w:t>
      </w:r>
      <w:r w:rsidRPr="006B6037">
        <w:rPr>
          <w:rFonts w:ascii="Times New Roman" w:eastAsia="Times New Roman" w:hAnsi="Times New Roman" w:cs="Times New Roman"/>
          <w:sz w:val="24"/>
          <w:szCs w:val="24"/>
          <w:u w:val="single"/>
          <w:lang w:eastAsia="lv-LV"/>
        </w:rPr>
        <w:t>50% izdevumu normu</w:t>
      </w:r>
      <w:r w:rsidRPr="006B6037">
        <w:rPr>
          <w:rFonts w:ascii="Times New Roman" w:eastAsia="Times New Roman" w:hAnsi="Times New Roman" w:cs="Times New Roman"/>
          <w:sz w:val="24"/>
          <w:szCs w:val="24"/>
          <w:lang w:eastAsia="lv-LV"/>
        </w:rPr>
        <w:t xml:space="preserve"> (bez attaisnojuma dokumentiem, neņemot vērā faktiskos izdevumus (pašreiz faktiskie izdevumi netiek ņemti vērā)).</w:t>
      </w:r>
    </w:p>
    <w:p w14:paraId="2921ABEB" w14:textId="7B76B1FC" w:rsidR="006B6037" w:rsidRPr="006B6037" w:rsidRDefault="006B6037" w:rsidP="001E5D9F">
      <w:pPr>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color w:val="000000"/>
          <w:sz w:val="24"/>
          <w:szCs w:val="24"/>
          <w:lang w:eastAsia="lv-LV"/>
        </w:rPr>
        <w:t xml:space="preserve">samazināt mikrouzņēmumu nodokļa maksātāju apgrozījuma slieksni līdz 40 000 </w:t>
      </w:r>
      <w:r w:rsidRPr="006B6037">
        <w:rPr>
          <w:rFonts w:ascii="Times New Roman" w:eastAsia="Times New Roman" w:hAnsi="Times New Roman" w:cs="Times New Roman"/>
          <w:b/>
          <w:i/>
          <w:color w:val="000000"/>
          <w:sz w:val="24"/>
          <w:szCs w:val="24"/>
          <w:lang w:eastAsia="lv-LV"/>
        </w:rPr>
        <w:t>euro</w:t>
      </w:r>
      <w:r w:rsidRPr="006B6037">
        <w:rPr>
          <w:rFonts w:ascii="Times New Roman" w:eastAsia="Times New Roman" w:hAnsi="Times New Roman" w:cs="Times New Roman"/>
          <w:b/>
          <w:color w:val="000000"/>
          <w:sz w:val="24"/>
          <w:szCs w:val="24"/>
          <w:lang w:eastAsia="lv-LV"/>
        </w:rPr>
        <w:t xml:space="preserve"> gadā</w:t>
      </w:r>
      <w:r w:rsidRPr="006B6037">
        <w:rPr>
          <w:rFonts w:ascii="Times New Roman" w:eastAsia="Times New Roman" w:hAnsi="Times New Roman" w:cs="Times New Roman"/>
          <w:color w:val="000000"/>
          <w:sz w:val="24"/>
          <w:szCs w:val="24"/>
          <w:lang w:eastAsia="lv-LV"/>
        </w:rPr>
        <w:t xml:space="preserve"> (pašreiz 100 000 </w:t>
      </w:r>
      <w:r w:rsidRPr="006B6037">
        <w:rPr>
          <w:rFonts w:ascii="Times New Roman" w:eastAsia="Times New Roman" w:hAnsi="Times New Roman" w:cs="Times New Roman"/>
          <w:i/>
          <w:color w:val="000000"/>
          <w:sz w:val="24"/>
          <w:szCs w:val="24"/>
          <w:lang w:eastAsia="lv-LV"/>
        </w:rPr>
        <w:t>euro</w:t>
      </w:r>
      <w:r w:rsidRPr="006B6037">
        <w:rPr>
          <w:rFonts w:ascii="Times New Roman" w:eastAsia="Times New Roman" w:hAnsi="Times New Roman" w:cs="Times New Roman"/>
          <w:color w:val="000000"/>
          <w:sz w:val="24"/>
          <w:szCs w:val="24"/>
          <w:lang w:eastAsia="lv-LV"/>
        </w:rPr>
        <w:t xml:space="preserve"> gadā), vienādojot to</w:t>
      </w:r>
      <w:r w:rsidR="0054118E">
        <w:rPr>
          <w:rFonts w:ascii="Times New Roman" w:eastAsia="Times New Roman" w:hAnsi="Times New Roman" w:cs="Times New Roman"/>
          <w:color w:val="000000"/>
          <w:sz w:val="24"/>
          <w:szCs w:val="24"/>
          <w:lang w:eastAsia="lv-LV"/>
        </w:rPr>
        <w:t xml:space="preserve"> reģistrācijas VID PVN maksātāju reģistrā</w:t>
      </w:r>
      <w:r w:rsidRPr="006B6037">
        <w:rPr>
          <w:rFonts w:ascii="Times New Roman" w:eastAsia="Times New Roman" w:hAnsi="Times New Roman" w:cs="Times New Roman"/>
          <w:color w:val="000000"/>
          <w:sz w:val="24"/>
          <w:szCs w:val="24"/>
          <w:lang w:eastAsia="lv-LV"/>
        </w:rPr>
        <w:t xml:space="preserve"> slieksni, kā arī noteikt mikrouzņēmumu nodokļa dividendēm 20% IIN likmi, palielināt maksimālās darba algas ierobežojumus no 720 </w:t>
      </w:r>
      <w:r w:rsidRPr="006B6037">
        <w:rPr>
          <w:rFonts w:ascii="Times New Roman" w:eastAsia="Times New Roman" w:hAnsi="Times New Roman" w:cs="Times New Roman"/>
          <w:i/>
          <w:color w:val="000000"/>
          <w:sz w:val="24"/>
          <w:szCs w:val="24"/>
          <w:lang w:eastAsia="lv-LV"/>
        </w:rPr>
        <w:t>euro</w:t>
      </w:r>
      <w:r w:rsidRPr="006B6037">
        <w:rPr>
          <w:rFonts w:ascii="Times New Roman" w:eastAsia="Times New Roman" w:hAnsi="Times New Roman" w:cs="Times New Roman"/>
          <w:color w:val="000000"/>
          <w:sz w:val="24"/>
          <w:szCs w:val="24"/>
          <w:lang w:eastAsia="lv-LV"/>
        </w:rPr>
        <w:t xml:space="preserve"> mēnesī līdz 900 </w:t>
      </w:r>
      <w:r w:rsidRPr="006B6037">
        <w:rPr>
          <w:rFonts w:ascii="Times New Roman" w:eastAsia="Times New Roman" w:hAnsi="Times New Roman" w:cs="Times New Roman"/>
          <w:i/>
          <w:color w:val="000000"/>
          <w:sz w:val="24"/>
          <w:szCs w:val="24"/>
          <w:lang w:eastAsia="lv-LV"/>
        </w:rPr>
        <w:t xml:space="preserve">euro </w:t>
      </w:r>
      <w:r w:rsidRPr="006B6037">
        <w:rPr>
          <w:rFonts w:ascii="Times New Roman" w:eastAsia="Times New Roman" w:hAnsi="Times New Roman" w:cs="Times New Roman"/>
          <w:color w:val="000000"/>
          <w:sz w:val="24"/>
          <w:szCs w:val="24"/>
          <w:lang w:eastAsia="lv-LV"/>
        </w:rPr>
        <w:t>mēnesī, saglabāt līdzšinējos ierobežojumus un uzlabot VID kontroli attiecībā uz mikrouzņēmumiem;</w:t>
      </w:r>
    </w:p>
    <w:p w14:paraId="0BCD18B0" w14:textId="77777777" w:rsidR="006B6037" w:rsidRPr="006B6037" w:rsidRDefault="006B6037" w:rsidP="001E5D9F">
      <w:pPr>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B6037">
        <w:rPr>
          <w:rFonts w:ascii="Times New Roman" w:eastAsia="Times New Roman" w:hAnsi="Times New Roman" w:cs="Times New Roman"/>
          <w:b/>
          <w:color w:val="000000"/>
          <w:sz w:val="24"/>
          <w:szCs w:val="24"/>
          <w:lang w:eastAsia="lv-LV"/>
        </w:rPr>
        <w:t>uzlabot patentu maksas režīmu</w:t>
      </w:r>
      <w:r w:rsidRPr="006B6037">
        <w:rPr>
          <w:rFonts w:ascii="Times New Roman" w:eastAsia="Times New Roman" w:hAnsi="Times New Roman" w:cs="Times New Roman"/>
          <w:color w:val="000000"/>
          <w:sz w:val="24"/>
          <w:szCs w:val="24"/>
          <w:lang w:eastAsia="lv-LV"/>
        </w:rPr>
        <w:t xml:space="preserve"> </w:t>
      </w:r>
      <w:r w:rsidRPr="006B6037">
        <w:rPr>
          <w:rFonts w:ascii="Times New Roman" w:eastAsia="Times New Roman" w:hAnsi="Times New Roman" w:cs="Times New Roman"/>
          <w:b/>
          <w:color w:val="000000"/>
          <w:sz w:val="24"/>
          <w:szCs w:val="24"/>
          <w:lang w:eastAsia="lv-LV"/>
        </w:rPr>
        <w:t>mazajiem jeb “dzīvesstila” uzņēmējiem, vienādojot likmes</w:t>
      </w:r>
      <w:r w:rsidRPr="006B6037">
        <w:rPr>
          <w:rFonts w:ascii="Times New Roman" w:eastAsia="Times New Roman" w:hAnsi="Times New Roman" w:cs="Times New Roman"/>
          <w:color w:val="000000"/>
          <w:sz w:val="24"/>
          <w:szCs w:val="24"/>
          <w:lang w:eastAsia="lv-LV"/>
        </w:rPr>
        <w:t xml:space="preserve"> (pašreiz patentmaksas ir noteiktas no 43 līdz 100 </w:t>
      </w:r>
      <w:r w:rsidRPr="006B6037">
        <w:rPr>
          <w:rFonts w:ascii="Times New Roman" w:eastAsia="Times New Roman" w:hAnsi="Times New Roman" w:cs="Times New Roman"/>
          <w:i/>
          <w:color w:val="000000"/>
          <w:sz w:val="24"/>
          <w:szCs w:val="24"/>
          <w:lang w:eastAsia="lv-LV"/>
        </w:rPr>
        <w:t>euro</w:t>
      </w:r>
      <w:r w:rsidRPr="006B6037">
        <w:rPr>
          <w:rFonts w:ascii="Times New Roman" w:eastAsia="Times New Roman" w:hAnsi="Times New Roman" w:cs="Times New Roman"/>
          <w:color w:val="000000"/>
          <w:sz w:val="24"/>
          <w:szCs w:val="24"/>
          <w:lang w:eastAsia="lv-LV"/>
        </w:rPr>
        <w:t xml:space="preserve"> atkarībā no sadalījuma pa reģioniem un profesijām), vienkāršojot to samaksu un administrēšanu, bet saglabājot līdzšinējos ierobežojumus, kā arī ieviest brīvprātīgu risinājumu visiem, kuri maksā nodokli no apgrozījuma</w:t>
      </w:r>
      <w:r w:rsidRPr="006B6037">
        <w:rPr>
          <w:rFonts w:ascii="Times New Roman" w:eastAsia="Times New Roman" w:hAnsi="Times New Roman" w:cs="Times New Roman"/>
          <w:b/>
          <w:color w:val="000000"/>
          <w:sz w:val="24"/>
          <w:szCs w:val="24"/>
          <w:lang w:eastAsia="lv-LV"/>
        </w:rPr>
        <w:t xml:space="preserve"> – saimnieciskās darbības ieņēmumu kontu</w:t>
      </w:r>
      <w:r w:rsidRPr="006B6037">
        <w:rPr>
          <w:rFonts w:ascii="Times New Roman" w:eastAsia="Times New Roman" w:hAnsi="Times New Roman" w:cs="Times New Roman"/>
          <w:color w:val="000000"/>
          <w:sz w:val="24"/>
          <w:szCs w:val="24"/>
          <w:lang w:eastAsia="lv-LV"/>
        </w:rPr>
        <w:t>.</w:t>
      </w:r>
    </w:p>
    <w:p w14:paraId="5638C1E5" w14:textId="77777777" w:rsidR="006B6037" w:rsidRPr="006B6037" w:rsidRDefault="006B6037" w:rsidP="006B6037">
      <w:pPr>
        <w:spacing w:after="0" w:line="240" w:lineRule="auto"/>
        <w:jc w:val="both"/>
        <w:rPr>
          <w:rFonts w:ascii="Times New Roman" w:eastAsia="Calibri" w:hAnsi="Times New Roman" w:cs="Times New Roman"/>
          <w:sz w:val="24"/>
          <w:szCs w:val="24"/>
        </w:rPr>
      </w:pPr>
    </w:p>
    <w:p w14:paraId="5A73639A" w14:textId="07C9E019" w:rsidR="006B6037" w:rsidRPr="004D5E99" w:rsidRDefault="004C01D6" w:rsidP="006B6037">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Citi </w:t>
      </w:r>
      <w:r w:rsidR="006B6037" w:rsidRPr="004D5E99">
        <w:rPr>
          <w:rFonts w:ascii="Times New Roman" w:eastAsia="Calibri" w:hAnsi="Times New Roman" w:cs="Times New Roman"/>
          <w:b/>
          <w:sz w:val="24"/>
          <w:szCs w:val="24"/>
        </w:rPr>
        <w:t>pasākumi:</w:t>
      </w:r>
    </w:p>
    <w:p w14:paraId="17C0FCFD" w14:textId="77777777" w:rsidR="006B6037" w:rsidRPr="006B6037" w:rsidRDefault="006B6037" w:rsidP="006B6037">
      <w:pPr>
        <w:tabs>
          <w:tab w:val="left" w:pos="851"/>
        </w:tabs>
        <w:spacing w:after="0" w:line="240" w:lineRule="auto"/>
        <w:ind w:left="851" w:hanging="425"/>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1)</w:t>
      </w:r>
      <w:r w:rsidRPr="006B6037">
        <w:rPr>
          <w:rFonts w:ascii="Times New Roman" w:eastAsia="Calibri" w:hAnsi="Times New Roman" w:cs="Times New Roman"/>
          <w:b/>
          <w:sz w:val="24"/>
          <w:szCs w:val="24"/>
        </w:rPr>
        <w:t xml:space="preserve"> </w:t>
      </w:r>
      <w:r w:rsidRPr="006B6037">
        <w:rPr>
          <w:rFonts w:ascii="Times New Roman" w:eastAsia="Calibri" w:hAnsi="Times New Roman" w:cs="Times New Roman"/>
          <w:b/>
          <w:sz w:val="24"/>
          <w:szCs w:val="24"/>
        </w:rPr>
        <w:tab/>
        <w:t>sakārtot nekustamā īpašuma</w:t>
      </w:r>
      <w:r w:rsidRPr="006B6037">
        <w:rPr>
          <w:rFonts w:ascii="Times New Roman" w:eastAsia="Calibri" w:hAnsi="Times New Roman" w:cs="Times New Roman"/>
          <w:sz w:val="24"/>
          <w:szCs w:val="24"/>
        </w:rPr>
        <w:t xml:space="preserve"> </w:t>
      </w:r>
      <w:r w:rsidRPr="006B6037">
        <w:rPr>
          <w:rFonts w:ascii="Times New Roman" w:eastAsia="Calibri" w:hAnsi="Times New Roman" w:cs="Times New Roman"/>
          <w:b/>
          <w:sz w:val="24"/>
          <w:szCs w:val="24"/>
        </w:rPr>
        <w:t xml:space="preserve">kadastrālās vērtības </w:t>
      </w:r>
      <w:r w:rsidRPr="006B6037">
        <w:rPr>
          <w:rFonts w:ascii="Times New Roman" w:eastAsia="Calibri" w:hAnsi="Times New Roman" w:cs="Times New Roman"/>
          <w:sz w:val="24"/>
          <w:szCs w:val="24"/>
        </w:rPr>
        <w:t>un pārskatīt atsevišķu nekustamo īpašumu pielietojuma kategorijas;</w:t>
      </w:r>
    </w:p>
    <w:p w14:paraId="61B63AEB" w14:textId="77777777" w:rsidR="006B6037" w:rsidRPr="006B6037" w:rsidRDefault="006B6037" w:rsidP="006B6037">
      <w:pPr>
        <w:tabs>
          <w:tab w:val="left" w:pos="851"/>
        </w:tabs>
        <w:spacing w:after="0" w:line="240" w:lineRule="auto"/>
        <w:ind w:left="851" w:hanging="425"/>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2) </w:t>
      </w:r>
      <w:r w:rsidRPr="006B6037">
        <w:rPr>
          <w:rFonts w:ascii="Times New Roman" w:eastAsia="Calibri" w:hAnsi="Times New Roman" w:cs="Times New Roman"/>
          <w:sz w:val="24"/>
          <w:szCs w:val="24"/>
        </w:rPr>
        <w:tab/>
      </w:r>
      <w:r w:rsidRPr="006B6037">
        <w:rPr>
          <w:rFonts w:ascii="Times New Roman" w:eastAsia="Calibri" w:hAnsi="Times New Roman" w:cs="Times New Roman"/>
          <w:b/>
          <w:sz w:val="24"/>
          <w:szCs w:val="24"/>
        </w:rPr>
        <w:t xml:space="preserve">paaugstināt azartspēļu nodokļa likmes </w:t>
      </w:r>
      <w:r w:rsidRPr="006B6037">
        <w:rPr>
          <w:rFonts w:ascii="Times New Roman" w:eastAsia="Calibri" w:hAnsi="Times New Roman" w:cs="Times New Roman"/>
          <w:sz w:val="24"/>
          <w:szCs w:val="24"/>
        </w:rPr>
        <w:t>automātiem un spēļu galdiem par 30%</w:t>
      </w:r>
    </w:p>
    <w:p w14:paraId="26FF2E60" w14:textId="3E81A964" w:rsidR="006B6037" w:rsidRPr="006B6037" w:rsidRDefault="006B6037" w:rsidP="006B6037">
      <w:pPr>
        <w:tabs>
          <w:tab w:val="left" w:pos="851"/>
        </w:tabs>
        <w:spacing w:after="0" w:line="240" w:lineRule="auto"/>
        <w:ind w:left="851" w:hanging="425"/>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3) </w:t>
      </w:r>
      <w:r w:rsidRPr="006B6037">
        <w:rPr>
          <w:rFonts w:ascii="Times New Roman" w:eastAsia="Calibri" w:hAnsi="Times New Roman" w:cs="Times New Roman"/>
          <w:sz w:val="24"/>
          <w:szCs w:val="24"/>
        </w:rPr>
        <w:tab/>
        <w:t xml:space="preserve">saglabāt PVN </w:t>
      </w:r>
      <w:r w:rsidR="00F225E9">
        <w:rPr>
          <w:rFonts w:ascii="Times New Roman" w:eastAsia="Calibri" w:hAnsi="Times New Roman" w:cs="Times New Roman"/>
          <w:sz w:val="24"/>
          <w:szCs w:val="24"/>
        </w:rPr>
        <w:t>standartlikmi</w:t>
      </w:r>
      <w:r w:rsidRPr="006B6037">
        <w:rPr>
          <w:rFonts w:ascii="Times New Roman" w:eastAsia="Calibri" w:hAnsi="Times New Roman" w:cs="Times New Roman"/>
          <w:sz w:val="24"/>
          <w:szCs w:val="24"/>
        </w:rPr>
        <w:t xml:space="preserve"> 21% apmērā, </w:t>
      </w:r>
      <w:r w:rsidRPr="006B6037">
        <w:rPr>
          <w:rFonts w:ascii="Times New Roman" w:eastAsia="Calibri" w:hAnsi="Times New Roman" w:cs="Times New Roman"/>
          <w:b/>
          <w:sz w:val="24"/>
          <w:szCs w:val="24"/>
        </w:rPr>
        <w:t>atcelt samazināto PVN likmi</w:t>
      </w:r>
      <w:r w:rsidRPr="006B6037">
        <w:rPr>
          <w:rFonts w:ascii="Times New Roman" w:eastAsia="Calibri" w:hAnsi="Times New Roman" w:cs="Times New Roman"/>
          <w:sz w:val="24"/>
          <w:szCs w:val="24"/>
        </w:rPr>
        <w:t xml:space="preserve"> </w:t>
      </w:r>
      <w:r w:rsidRPr="006B6037">
        <w:rPr>
          <w:rFonts w:ascii="Times New Roman" w:eastAsia="Calibri" w:hAnsi="Times New Roman" w:cs="Times New Roman"/>
          <w:b/>
          <w:sz w:val="24"/>
          <w:szCs w:val="24"/>
        </w:rPr>
        <w:t>izmitināšanas pakalpojumiem tūristu mītnēs</w:t>
      </w:r>
      <w:r w:rsidRPr="006B6037">
        <w:rPr>
          <w:rFonts w:ascii="Times New Roman" w:eastAsia="Calibri" w:hAnsi="Times New Roman" w:cs="Times New Roman"/>
          <w:sz w:val="24"/>
          <w:szCs w:val="24"/>
        </w:rPr>
        <w:t xml:space="preserve"> un piemērot standartlikmi 21% apmērā. </w:t>
      </w:r>
    </w:p>
    <w:p w14:paraId="26A2ED05" w14:textId="77777777" w:rsidR="006B6037" w:rsidRPr="006B6037" w:rsidRDefault="006B6037" w:rsidP="001E5D9F">
      <w:pPr>
        <w:numPr>
          <w:ilvl w:val="0"/>
          <w:numId w:val="35"/>
        </w:numPr>
        <w:spacing w:after="0" w:line="240" w:lineRule="auto"/>
        <w:ind w:left="851" w:hanging="425"/>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lastRenderedPageBreak/>
        <w:t xml:space="preserve">pakāpeniski </w:t>
      </w:r>
      <w:r w:rsidRPr="006B6037">
        <w:rPr>
          <w:rFonts w:ascii="Times New Roman" w:eastAsia="Calibri" w:hAnsi="Times New Roman" w:cs="Times New Roman"/>
          <w:b/>
          <w:sz w:val="24"/>
          <w:szCs w:val="24"/>
        </w:rPr>
        <w:t>paaugstināt akcīzes nodokļu likmes</w:t>
      </w:r>
      <w:r w:rsidRPr="006B6037">
        <w:rPr>
          <w:rFonts w:ascii="Times New Roman" w:eastAsia="Calibri" w:hAnsi="Times New Roman" w:cs="Times New Roman"/>
          <w:sz w:val="24"/>
          <w:szCs w:val="24"/>
        </w:rPr>
        <w:t>, saskaņojot tās ar nozares organizācijām un ņemot vērā akcīzes nodokļa likmju izmaiņas pārējās Baltijas valstīs;</w:t>
      </w:r>
    </w:p>
    <w:p w14:paraId="56C9D4DA" w14:textId="77777777" w:rsidR="007A24F9" w:rsidRDefault="007A24F9" w:rsidP="00A1520A">
      <w:pPr>
        <w:spacing w:before="120" w:after="60"/>
        <w:jc w:val="right"/>
        <w:rPr>
          <w:rFonts w:ascii="Times New Roman" w:eastAsia="Calibri" w:hAnsi="Times New Roman" w:cs="Times New Roman"/>
          <w:b/>
          <w:sz w:val="24"/>
          <w:szCs w:val="24"/>
        </w:rPr>
      </w:pPr>
    </w:p>
    <w:p w14:paraId="6597C9DD" w14:textId="45047358" w:rsidR="006B6037" w:rsidRPr="006B6037" w:rsidRDefault="006E5765" w:rsidP="00A1520A">
      <w:pPr>
        <w:spacing w:before="120" w:after="60"/>
        <w:jc w:val="right"/>
        <w:rPr>
          <w:rFonts w:ascii="Times New Roman" w:eastAsia="Calibri" w:hAnsi="Times New Roman" w:cs="Times New Roman"/>
          <w:b/>
          <w:sz w:val="24"/>
          <w:szCs w:val="24"/>
        </w:rPr>
      </w:pPr>
      <w:r>
        <w:rPr>
          <w:rFonts w:ascii="Times New Roman" w:eastAsia="Calibri" w:hAnsi="Times New Roman" w:cs="Times New Roman"/>
          <w:b/>
          <w:sz w:val="24"/>
          <w:szCs w:val="24"/>
        </w:rPr>
        <w:t>3.8</w:t>
      </w:r>
      <w:r w:rsidR="006B6037" w:rsidRPr="006B6037">
        <w:rPr>
          <w:rFonts w:ascii="Times New Roman" w:eastAsia="Calibri" w:hAnsi="Times New Roman" w:cs="Times New Roman"/>
          <w:b/>
          <w:sz w:val="24"/>
          <w:szCs w:val="24"/>
        </w:rPr>
        <w:t>.tab</w:t>
      </w:r>
      <w:r w:rsidR="00A32ACF">
        <w:rPr>
          <w:rFonts w:ascii="Times New Roman" w:eastAsia="Calibri" w:hAnsi="Times New Roman" w:cs="Times New Roman"/>
          <w:b/>
          <w:sz w:val="24"/>
          <w:szCs w:val="24"/>
        </w:rPr>
        <w:t>ula</w:t>
      </w:r>
      <w:r w:rsidR="006B6037" w:rsidRPr="006B6037">
        <w:rPr>
          <w:rFonts w:ascii="Times New Roman" w:eastAsia="Calibri" w:hAnsi="Times New Roman" w:cs="Times New Roman"/>
          <w:b/>
          <w:sz w:val="24"/>
          <w:szCs w:val="24"/>
        </w:rPr>
        <w:t>. Plānotās akcīzes nodokļa likmju izmaiņas naftas produktiem</w:t>
      </w:r>
    </w:p>
    <w:tbl>
      <w:tblPr>
        <w:tblStyle w:val="GridTable6Colorful-Accent1"/>
        <w:tblW w:w="9133" w:type="dxa"/>
        <w:jc w:val="center"/>
        <w:tblLook w:val="04A0" w:firstRow="1" w:lastRow="0" w:firstColumn="1" w:lastColumn="0" w:noHBand="0" w:noVBand="1"/>
      </w:tblPr>
      <w:tblGrid>
        <w:gridCol w:w="3838"/>
        <w:gridCol w:w="1271"/>
        <w:gridCol w:w="1276"/>
        <w:gridCol w:w="1417"/>
        <w:gridCol w:w="1331"/>
      </w:tblGrid>
      <w:tr w:rsidR="00A32ACF" w:rsidRPr="00A32ACF" w14:paraId="065A98E2" w14:textId="77777777" w:rsidTr="006C67E6">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838" w:type="dxa"/>
            <w:noWrap/>
            <w:vAlign w:val="center"/>
            <w:hideMark/>
          </w:tcPr>
          <w:p w14:paraId="0B2821C5" w14:textId="77777777" w:rsidR="006B6037" w:rsidRPr="00A32ACF" w:rsidRDefault="006B6037" w:rsidP="006C67E6">
            <w:pPr>
              <w:jc w:val="center"/>
              <w:rPr>
                <w:rFonts w:ascii="Times New Roman" w:eastAsia="Times New Roman" w:hAnsi="Times New Roman" w:cs="Times New Roman"/>
                <w:bCs w:val="0"/>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Naftas produkti</w:t>
            </w:r>
          </w:p>
        </w:tc>
        <w:tc>
          <w:tcPr>
            <w:tcW w:w="1271" w:type="dxa"/>
            <w:noWrap/>
            <w:vAlign w:val="center"/>
            <w:hideMark/>
          </w:tcPr>
          <w:p w14:paraId="1DA4270F" w14:textId="77777777" w:rsidR="006B6037" w:rsidRPr="00A32ACF"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01.01.2015.</w:t>
            </w:r>
          </w:p>
        </w:tc>
        <w:tc>
          <w:tcPr>
            <w:tcW w:w="1276" w:type="dxa"/>
            <w:noWrap/>
            <w:vAlign w:val="center"/>
            <w:hideMark/>
          </w:tcPr>
          <w:p w14:paraId="3D7B2F89" w14:textId="77777777" w:rsidR="006B6037" w:rsidRPr="00A32ACF"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01.01.2016.</w:t>
            </w:r>
          </w:p>
        </w:tc>
        <w:tc>
          <w:tcPr>
            <w:tcW w:w="1417" w:type="dxa"/>
            <w:noWrap/>
            <w:vAlign w:val="center"/>
            <w:hideMark/>
          </w:tcPr>
          <w:p w14:paraId="39DB6061" w14:textId="77777777" w:rsidR="006B6037" w:rsidRPr="00A32ACF"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iCs/>
                <w:color w:val="000000" w:themeColor="text1"/>
                <w:sz w:val="20"/>
                <w:szCs w:val="20"/>
                <w:lang w:eastAsia="lv-LV"/>
              </w:rPr>
            </w:pPr>
            <w:r w:rsidRPr="00A32ACF">
              <w:rPr>
                <w:rFonts w:ascii="Times New Roman" w:eastAsia="Times New Roman" w:hAnsi="Times New Roman" w:cs="Times New Roman"/>
                <w:bCs w:val="0"/>
                <w:i/>
                <w:iCs/>
                <w:color w:val="000000" w:themeColor="text1"/>
                <w:sz w:val="20"/>
                <w:szCs w:val="20"/>
                <w:lang w:eastAsia="lv-LV"/>
              </w:rPr>
              <w:t>01.01.2018.</w:t>
            </w:r>
            <w:r w:rsidRPr="00A32ACF">
              <w:rPr>
                <w:rFonts w:ascii="Times New Roman" w:eastAsia="Times New Roman" w:hAnsi="Times New Roman" w:cs="Times New Roman"/>
                <w:bCs w:val="0"/>
                <w:i/>
                <w:iCs/>
                <w:color w:val="000000" w:themeColor="text1"/>
                <w:sz w:val="20"/>
                <w:szCs w:val="20"/>
                <w:vertAlign w:val="superscript"/>
                <w:lang w:eastAsia="lv-LV"/>
              </w:rPr>
              <w:t>*</w:t>
            </w:r>
          </w:p>
        </w:tc>
        <w:tc>
          <w:tcPr>
            <w:tcW w:w="1331" w:type="dxa"/>
            <w:noWrap/>
            <w:vAlign w:val="center"/>
            <w:hideMark/>
          </w:tcPr>
          <w:p w14:paraId="300D3943" w14:textId="77777777" w:rsidR="006B6037" w:rsidRPr="00A32ACF"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iCs/>
                <w:color w:val="000000" w:themeColor="text1"/>
                <w:sz w:val="20"/>
                <w:szCs w:val="20"/>
                <w:lang w:eastAsia="lv-LV"/>
              </w:rPr>
            </w:pPr>
            <w:r w:rsidRPr="00A32ACF">
              <w:rPr>
                <w:rFonts w:ascii="Times New Roman" w:eastAsia="Times New Roman" w:hAnsi="Times New Roman" w:cs="Times New Roman"/>
                <w:bCs w:val="0"/>
                <w:i/>
                <w:iCs/>
                <w:color w:val="000000" w:themeColor="text1"/>
                <w:sz w:val="20"/>
                <w:szCs w:val="20"/>
                <w:lang w:eastAsia="lv-LV"/>
              </w:rPr>
              <w:t>01.01.2020.</w:t>
            </w:r>
            <w:r w:rsidRPr="00A32ACF">
              <w:rPr>
                <w:rFonts w:ascii="Times New Roman" w:eastAsia="Times New Roman" w:hAnsi="Times New Roman" w:cs="Times New Roman"/>
                <w:bCs w:val="0"/>
                <w:i/>
                <w:iCs/>
                <w:color w:val="000000" w:themeColor="text1"/>
                <w:sz w:val="20"/>
                <w:szCs w:val="20"/>
                <w:vertAlign w:val="superscript"/>
                <w:lang w:eastAsia="lv-LV"/>
              </w:rPr>
              <w:t>*</w:t>
            </w:r>
          </w:p>
        </w:tc>
      </w:tr>
      <w:tr w:rsidR="00A32ACF" w:rsidRPr="00A32ACF" w14:paraId="37B45D1F" w14:textId="77777777" w:rsidTr="006C67E6">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14:paraId="5CA7CBE6" w14:textId="77777777" w:rsidR="006B6037" w:rsidRPr="00A32ACF" w:rsidRDefault="006B6037" w:rsidP="006C67E6">
            <w:pPr>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Svinu nesaturošs benzīns, </w:t>
            </w:r>
            <w:r w:rsidRPr="00A32ACF">
              <w:rPr>
                <w:rFonts w:ascii="Times New Roman" w:eastAsia="Times New Roman" w:hAnsi="Times New Roman" w:cs="Times New Roman"/>
                <w:b w:val="0"/>
                <w:i/>
                <w:color w:val="000000" w:themeColor="text1"/>
                <w:sz w:val="20"/>
                <w:szCs w:val="20"/>
                <w:lang w:eastAsia="lv-LV"/>
              </w:rPr>
              <w:t>euro</w:t>
            </w:r>
            <w:r w:rsidRPr="00A32ACF">
              <w:rPr>
                <w:rFonts w:ascii="Times New Roman" w:eastAsia="Times New Roman" w:hAnsi="Times New Roman" w:cs="Times New Roman"/>
                <w:b w:val="0"/>
                <w:color w:val="000000" w:themeColor="text1"/>
                <w:sz w:val="20"/>
                <w:szCs w:val="20"/>
                <w:lang w:eastAsia="lv-LV"/>
              </w:rPr>
              <w:t xml:space="preserve"> par 1000 l</w:t>
            </w:r>
          </w:p>
        </w:tc>
        <w:tc>
          <w:tcPr>
            <w:tcW w:w="1271" w:type="dxa"/>
            <w:noWrap/>
            <w:vAlign w:val="center"/>
            <w:hideMark/>
          </w:tcPr>
          <w:p w14:paraId="2C46206E"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411,21</w:t>
            </w:r>
          </w:p>
        </w:tc>
        <w:tc>
          <w:tcPr>
            <w:tcW w:w="1276" w:type="dxa"/>
            <w:noWrap/>
            <w:vAlign w:val="center"/>
            <w:hideMark/>
          </w:tcPr>
          <w:p w14:paraId="1956E8B1"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sidRPr="00A32ACF">
              <w:rPr>
                <w:rFonts w:ascii="Times New Roman" w:eastAsia="Times New Roman" w:hAnsi="Times New Roman" w:cs="Times New Roman"/>
                <w:bCs/>
                <w:color w:val="000000" w:themeColor="text1"/>
                <w:sz w:val="20"/>
                <w:szCs w:val="20"/>
                <w:lang w:eastAsia="lv-LV"/>
              </w:rPr>
              <w:t>436,0</w:t>
            </w:r>
          </w:p>
        </w:tc>
        <w:tc>
          <w:tcPr>
            <w:tcW w:w="1417" w:type="dxa"/>
            <w:noWrap/>
            <w:vAlign w:val="center"/>
            <w:hideMark/>
          </w:tcPr>
          <w:p w14:paraId="362981C7"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470,0</w:t>
            </w:r>
          </w:p>
        </w:tc>
        <w:tc>
          <w:tcPr>
            <w:tcW w:w="1331" w:type="dxa"/>
            <w:noWrap/>
            <w:vAlign w:val="center"/>
            <w:hideMark/>
          </w:tcPr>
          <w:p w14:paraId="716480F6"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495,0</w:t>
            </w:r>
          </w:p>
        </w:tc>
      </w:tr>
      <w:tr w:rsidR="00A32ACF" w:rsidRPr="00A32ACF" w14:paraId="033A8D7D" w14:textId="77777777" w:rsidTr="006C67E6">
        <w:trPr>
          <w:trHeight w:val="322"/>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14:paraId="1D653C90" w14:textId="77777777" w:rsidR="006B6037" w:rsidRPr="00A32ACF" w:rsidRDefault="006B6037" w:rsidP="006C67E6">
            <w:pPr>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Svinu saturošs benzīns, </w:t>
            </w:r>
            <w:r w:rsidRPr="00A32ACF">
              <w:rPr>
                <w:rFonts w:ascii="Times New Roman" w:eastAsia="Times New Roman" w:hAnsi="Times New Roman" w:cs="Times New Roman"/>
                <w:b w:val="0"/>
                <w:i/>
                <w:color w:val="000000" w:themeColor="text1"/>
                <w:sz w:val="20"/>
                <w:szCs w:val="20"/>
                <w:lang w:eastAsia="lv-LV"/>
              </w:rPr>
              <w:t>euro</w:t>
            </w:r>
            <w:r w:rsidRPr="00A32ACF">
              <w:rPr>
                <w:rFonts w:ascii="Times New Roman" w:eastAsia="Times New Roman" w:hAnsi="Times New Roman" w:cs="Times New Roman"/>
                <w:b w:val="0"/>
                <w:color w:val="000000" w:themeColor="text1"/>
                <w:sz w:val="20"/>
                <w:szCs w:val="20"/>
                <w:lang w:eastAsia="lv-LV"/>
              </w:rPr>
              <w:t xml:space="preserve"> par 1000 l</w:t>
            </w:r>
          </w:p>
        </w:tc>
        <w:tc>
          <w:tcPr>
            <w:tcW w:w="1271" w:type="dxa"/>
            <w:noWrap/>
            <w:vAlign w:val="center"/>
            <w:hideMark/>
          </w:tcPr>
          <w:p w14:paraId="4FD13308"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455,32</w:t>
            </w:r>
          </w:p>
        </w:tc>
        <w:tc>
          <w:tcPr>
            <w:tcW w:w="1276" w:type="dxa"/>
            <w:noWrap/>
            <w:vAlign w:val="center"/>
            <w:hideMark/>
          </w:tcPr>
          <w:p w14:paraId="279FA821"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sidRPr="00A32ACF">
              <w:rPr>
                <w:rFonts w:ascii="Times New Roman" w:eastAsia="Times New Roman" w:hAnsi="Times New Roman" w:cs="Times New Roman"/>
                <w:bCs/>
                <w:color w:val="000000" w:themeColor="text1"/>
                <w:sz w:val="20"/>
                <w:szCs w:val="20"/>
                <w:lang w:eastAsia="lv-LV"/>
              </w:rPr>
              <w:t>455,3</w:t>
            </w:r>
          </w:p>
        </w:tc>
        <w:tc>
          <w:tcPr>
            <w:tcW w:w="1417" w:type="dxa"/>
            <w:noWrap/>
            <w:vAlign w:val="center"/>
            <w:hideMark/>
          </w:tcPr>
          <w:p w14:paraId="3301B4E2"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564,0</w:t>
            </w:r>
          </w:p>
        </w:tc>
        <w:tc>
          <w:tcPr>
            <w:tcW w:w="1331" w:type="dxa"/>
            <w:noWrap/>
            <w:vAlign w:val="center"/>
            <w:hideMark/>
          </w:tcPr>
          <w:p w14:paraId="63851319"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594,0</w:t>
            </w:r>
          </w:p>
        </w:tc>
      </w:tr>
      <w:tr w:rsidR="00A32ACF" w:rsidRPr="00A32ACF" w14:paraId="0791A0B4" w14:textId="77777777" w:rsidTr="006C67E6">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14:paraId="78529AFF" w14:textId="77777777" w:rsidR="006B6037" w:rsidRPr="00A32ACF" w:rsidRDefault="006B6037" w:rsidP="006C67E6">
            <w:pPr>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Dīzeļdegviela, petroleja, degviel</w:t>
            </w:r>
            <w:r w:rsidRPr="00A32ACF">
              <w:rPr>
                <w:rFonts w:ascii="Times New Roman" w:eastAsia="Times New Roman" w:hAnsi="Times New Roman" w:cs="Times New Roman"/>
                <w:b w:val="0"/>
                <w:color w:val="000000" w:themeColor="text1"/>
                <w:sz w:val="20"/>
                <w:szCs w:val="20"/>
                <w:lang w:eastAsia="lv-LV"/>
              </w:rPr>
              <w:softHyphen/>
              <w:t xml:space="preserve">eļļa, </w:t>
            </w:r>
            <w:r w:rsidRPr="00A32ACF">
              <w:rPr>
                <w:rFonts w:ascii="Times New Roman" w:eastAsia="Times New Roman" w:hAnsi="Times New Roman" w:cs="Times New Roman"/>
                <w:b w:val="0"/>
                <w:i/>
                <w:color w:val="000000" w:themeColor="text1"/>
                <w:sz w:val="20"/>
                <w:szCs w:val="20"/>
                <w:lang w:eastAsia="lv-LV"/>
              </w:rPr>
              <w:t>euro</w:t>
            </w:r>
            <w:r w:rsidRPr="00A32ACF">
              <w:rPr>
                <w:rFonts w:ascii="Times New Roman" w:eastAsia="Times New Roman" w:hAnsi="Times New Roman" w:cs="Times New Roman"/>
                <w:b w:val="0"/>
                <w:color w:val="000000" w:themeColor="text1"/>
                <w:sz w:val="20"/>
                <w:szCs w:val="20"/>
                <w:lang w:eastAsia="lv-LV"/>
              </w:rPr>
              <w:t xml:space="preserve"> par 1000 l</w:t>
            </w:r>
          </w:p>
        </w:tc>
        <w:tc>
          <w:tcPr>
            <w:tcW w:w="1271" w:type="dxa"/>
            <w:noWrap/>
            <w:vAlign w:val="center"/>
            <w:hideMark/>
          </w:tcPr>
          <w:p w14:paraId="14111763"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33,95</w:t>
            </w:r>
          </w:p>
        </w:tc>
        <w:tc>
          <w:tcPr>
            <w:tcW w:w="1276" w:type="dxa"/>
            <w:noWrap/>
            <w:vAlign w:val="center"/>
            <w:hideMark/>
          </w:tcPr>
          <w:p w14:paraId="6EBAE6FC"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sidRPr="00A32ACF">
              <w:rPr>
                <w:rFonts w:ascii="Times New Roman" w:eastAsia="Times New Roman" w:hAnsi="Times New Roman" w:cs="Times New Roman"/>
                <w:bCs/>
                <w:color w:val="000000" w:themeColor="text1"/>
                <w:sz w:val="20"/>
                <w:szCs w:val="20"/>
                <w:lang w:eastAsia="lv-LV"/>
              </w:rPr>
              <w:t>341,0</w:t>
            </w:r>
          </w:p>
        </w:tc>
        <w:tc>
          <w:tcPr>
            <w:tcW w:w="1417" w:type="dxa"/>
            <w:vAlign w:val="center"/>
            <w:hideMark/>
          </w:tcPr>
          <w:p w14:paraId="133C5054"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378,0</w:t>
            </w:r>
          </w:p>
        </w:tc>
        <w:tc>
          <w:tcPr>
            <w:tcW w:w="1331" w:type="dxa"/>
            <w:vAlign w:val="center"/>
            <w:hideMark/>
          </w:tcPr>
          <w:p w14:paraId="0BE266E2"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425,0</w:t>
            </w:r>
          </w:p>
        </w:tc>
      </w:tr>
      <w:tr w:rsidR="00A32ACF" w:rsidRPr="00A32ACF" w14:paraId="48CF2004" w14:textId="77777777" w:rsidTr="006C67E6">
        <w:trPr>
          <w:trHeight w:val="537"/>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14:paraId="78CEE07F" w14:textId="77777777" w:rsidR="006B6037" w:rsidRPr="00A32ACF" w:rsidRDefault="006B6037" w:rsidP="006C67E6">
            <w:pPr>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Sašķidrinātā naftas gāze, </w:t>
            </w:r>
            <w:r w:rsidRPr="00A32ACF">
              <w:rPr>
                <w:rFonts w:ascii="Times New Roman" w:eastAsia="Times New Roman" w:hAnsi="Times New Roman" w:cs="Times New Roman"/>
                <w:b w:val="0"/>
                <w:i/>
                <w:color w:val="000000" w:themeColor="text1"/>
                <w:sz w:val="20"/>
                <w:szCs w:val="20"/>
                <w:lang w:eastAsia="lv-LV"/>
              </w:rPr>
              <w:t>euro</w:t>
            </w:r>
            <w:r w:rsidRPr="00A32ACF">
              <w:rPr>
                <w:rFonts w:ascii="Times New Roman" w:eastAsia="Times New Roman" w:hAnsi="Times New Roman" w:cs="Times New Roman"/>
                <w:b w:val="0"/>
                <w:color w:val="000000" w:themeColor="text1"/>
                <w:sz w:val="20"/>
                <w:szCs w:val="20"/>
                <w:lang w:eastAsia="lv-LV"/>
              </w:rPr>
              <w:t xml:space="preserve"> par 1000 kg</w:t>
            </w:r>
          </w:p>
        </w:tc>
        <w:tc>
          <w:tcPr>
            <w:tcW w:w="1271" w:type="dxa"/>
            <w:noWrap/>
            <w:vAlign w:val="center"/>
            <w:hideMark/>
          </w:tcPr>
          <w:p w14:paraId="33875070"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161,00</w:t>
            </w:r>
          </w:p>
        </w:tc>
        <w:tc>
          <w:tcPr>
            <w:tcW w:w="1276" w:type="dxa"/>
            <w:noWrap/>
            <w:vAlign w:val="center"/>
            <w:hideMark/>
          </w:tcPr>
          <w:p w14:paraId="6925AC88"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sidRPr="00A32ACF">
              <w:rPr>
                <w:rFonts w:ascii="Times New Roman" w:eastAsia="Times New Roman" w:hAnsi="Times New Roman" w:cs="Times New Roman"/>
                <w:bCs/>
                <w:color w:val="000000" w:themeColor="text1"/>
                <w:sz w:val="20"/>
                <w:szCs w:val="20"/>
                <w:lang w:eastAsia="lv-LV"/>
              </w:rPr>
              <w:t>206,0</w:t>
            </w:r>
          </w:p>
        </w:tc>
        <w:tc>
          <w:tcPr>
            <w:tcW w:w="1417" w:type="dxa"/>
            <w:vAlign w:val="center"/>
            <w:hideMark/>
          </w:tcPr>
          <w:p w14:paraId="6558C10F"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231,0</w:t>
            </w:r>
          </w:p>
        </w:tc>
        <w:tc>
          <w:tcPr>
            <w:tcW w:w="1331" w:type="dxa"/>
            <w:vAlign w:val="center"/>
            <w:hideMark/>
          </w:tcPr>
          <w:p w14:paraId="18F34C9F"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color w:val="000000" w:themeColor="text1"/>
                <w:sz w:val="20"/>
                <w:szCs w:val="20"/>
                <w:lang w:eastAsia="lv-LV"/>
              </w:rPr>
            </w:pPr>
            <w:r w:rsidRPr="00A32ACF">
              <w:rPr>
                <w:rFonts w:ascii="Times New Roman" w:eastAsia="Times New Roman" w:hAnsi="Times New Roman" w:cs="Times New Roman"/>
                <w:bCs/>
                <w:i/>
                <w:iCs/>
                <w:color w:val="000000" w:themeColor="text1"/>
                <w:sz w:val="20"/>
                <w:szCs w:val="20"/>
                <w:lang w:eastAsia="lv-LV"/>
              </w:rPr>
              <w:t>278,0</w:t>
            </w:r>
          </w:p>
        </w:tc>
      </w:tr>
    </w:tbl>
    <w:p w14:paraId="53F1A2C4" w14:textId="77777777" w:rsidR="00D47E1F" w:rsidRDefault="00D47E1F" w:rsidP="00A32ACF">
      <w:pPr>
        <w:spacing w:before="120" w:after="60" w:line="240" w:lineRule="auto"/>
        <w:ind w:left="425"/>
        <w:jc w:val="right"/>
        <w:rPr>
          <w:rFonts w:ascii="Times New Roman" w:eastAsia="Calibri" w:hAnsi="Times New Roman" w:cs="Times New Roman"/>
          <w:b/>
          <w:sz w:val="24"/>
          <w:szCs w:val="24"/>
        </w:rPr>
      </w:pPr>
    </w:p>
    <w:p w14:paraId="632A7778" w14:textId="4D050084" w:rsidR="006B6037" w:rsidRPr="006B6037" w:rsidRDefault="006E5765" w:rsidP="00A32ACF">
      <w:pPr>
        <w:spacing w:before="120" w:after="60" w:line="240" w:lineRule="auto"/>
        <w:ind w:left="425"/>
        <w:jc w:val="right"/>
        <w:rPr>
          <w:rFonts w:ascii="Times New Roman" w:eastAsia="Calibri" w:hAnsi="Times New Roman" w:cs="Times New Roman"/>
          <w:b/>
          <w:sz w:val="24"/>
          <w:szCs w:val="24"/>
        </w:rPr>
      </w:pPr>
      <w:r>
        <w:rPr>
          <w:rFonts w:ascii="Times New Roman" w:eastAsia="Calibri" w:hAnsi="Times New Roman" w:cs="Times New Roman"/>
          <w:b/>
          <w:sz w:val="24"/>
          <w:szCs w:val="24"/>
        </w:rPr>
        <w:t>3.9</w:t>
      </w:r>
      <w:r w:rsidR="006B6037" w:rsidRPr="006B6037">
        <w:rPr>
          <w:rFonts w:ascii="Times New Roman" w:eastAsia="Calibri" w:hAnsi="Times New Roman" w:cs="Times New Roman"/>
          <w:b/>
          <w:sz w:val="24"/>
          <w:szCs w:val="24"/>
        </w:rPr>
        <w:t>.tab</w:t>
      </w:r>
      <w:r w:rsidR="00A32ACF">
        <w:rPr>
          <w:rFonts w:ascii="Times New Roman" w:eastAsia="Calibri" w:hAnsi="Times New Roman" w:cs="Times New Roman"/>
          <w:b/>
          <w:sz w:val="24"/>
          <w:szCs w:val="24"/>
        </w:rPr>
        <w:t>ula</w:t>
      </w:r>
      <w:r w:rsidR="006B6037" w:rsidRPr="006B6037">
        <w:rPr>
          <w:rFonts w:ascii="Times New Roman" w:eastAsia="Calibri" w:hAnsi="Times New Roman" w:cs="Times New Roman"/>
          <w:b/>
          <w:sz w:val="24"/>
          <w:szCs w:val="24"/>
        </w:rPr>
        <w:t>. Plānotās akcīzes nodokļa likmju izmaiņas tabakas izstrādājumiem</w:t>
      </w:r>
    </w:p>
    <w:tbl>
      <w:tblPr>
        <w:tblStyle w:val="GridTable6Colorful-Accent1"/>
        <w:tblW w:w="9039" w:type="dxa"/>
        <w:jc w:val="center"/>
        <w:tblLook w:val="04A0" w:firstRow="1" w:lastRow="0" w:firstColumn="1" w:lastColumn="0" w:noHBand="0" w:noVBand="1"/>
      </w:tblPr>
      <w:tblGrid>
        <w:gridCol w:w="2505"/>
        <w:gridCol w:w="1268"/>
        <w:gridCol w:w="1265"/>
        <w:gridCol w:w="1343"/>
        <w:gridCol w:w="1343"/>
        <w:gridCol w:w="1315"/>
      </w:tblGrid>
      <w:tr w:rsidR="00A32ACF" w:rsidRPr="00A32ACF" w14:paraId="38A26905" w14:textId="77777777" w:rsidTr="004D5E99">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14:paraId="6F361B12" w14:textId="77777777" w:rsidR="006B6037" w:rsidRPr="00A32ACF" w:rsidRDefault="006B6037" w:rsidP="00D51057">
            <w:pPr>
              <w:jc w:val="both"/>
              <w:rPr>
                <w:rFonts w:ascii="Times New Roman" w:eastAsia="Times New Roman" w:hAnsi="Times New Roman" w:cs="Times New Roman"/>
                <w:b w:val="0"/>
                <w:bCs w:val="0"/>
                <w:color w:val="000000" w:themeColor="text1"/>
                <w:sz w:val="20"/>
                <w:szCs w:val="20"/>
                <w:lang w:eastAsia="lv-LV"/>
              </w:rPr>
            </w:pPr>
          </w:p>
        </w:tc>
        <w:tc>
          <w:tcPr>
            <w:tcW w:w="1268" w:type="dxa"/>
            <w:noWrap/>
            <w:hideMark/>
          </w:tcPr>
          <w:p w14:paraId="09B971A3" w14:textId="77777777" w:rsidR="006B6037" w:rsidRPr="00A32ACF" w:rsidRDefault="006B6037" w:rsidP="00A32A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01.01.2016.</w:t>
            </w:r>
          </w:p>
        </w:tc>
        <w:tc>
          <w:tcPr>
            <w:tcW w:w="1265" w:type="dxa"/>
            <w:noWrap/>
            <w:hideMark/>
          </w:tcPr>
          <w:p w14:paraId="2A492381" w14:textId="77777777" w:rsidR="006B6037" w:rsidRPr="00A32ACF" w:rsidRDefault="006B6037" w:rsidP="00A32A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01.01.2017.</w:t>
            </w:r>
          </w:p>
        </w:tc>
        <w:tc>
          <w:tcPr>
            <w:tcW w:w="1343" w:type="dxa"/>
            <w:noWrap/>
            <w:hideMark/>
          </w:tcPr>
          <w:p w14:paraId="52E3C28F" w14:textId="77777777" w:rsidR="006B6037" w:rsidRPr="00A32ACF" w:rsidRDefault="006B6037" w:rsidP="00A32A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themeColor="text1"/>
                <w:sz w:val="20"/>
                <w:szCs w:val="20"/>
                <w:lang w:eastAsia="lv-LV"/>
              </w:rPr>
            </w:pPr>
            <w:r w:rsidRPr="00A32ACF">
              <w:rPr>
                <w:rFonts w:ascii="Times New Roman" w:eastAsia="Times New Roman" w:hAnsi="Times New Roman" w:cs="Times New Roman"/>
                <w:b w:val="0"/>
                <w:bCs w:val="0"/>
                <w:i/>
                <w:iCs/>
                <w:color w:val="000000" w:themeColor="text1"/>
                <w:sz w:val="20"/>
                <w:szCs w:val="20"/>
                <w:lang w:eastAsia="lv-LV"/>
              </w:rPr>
              <w:t>01.01.2018.</w:t>
            </w:r>
          </w:p>
        </w:tc>
        <w:tc>
          <w:tcPr>
            <w:tcW w:w="1343" w:type="dxa"/>
            <w:noWrap/>
            <w:hideMark/>
          </w:tcPr>
          <w:p w14:paraId="06ABD8B8" w14:textId="77777777" w:rsidR="006B6037" w:rsidRPr="00A32ACF" w:rsidRDefault="006B6037" w:rsidP="00A32A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themeColor="text1"/>
                <w:sz w:val="20"/>
                <w:szCs w:val="20"/>
                <w:lang w:eastAsia="lv-LV"/>
              </w:rPr>
            </w:pPr>
            <w:r w:rsidRPr="00A32ACF">
              <w:rPr>
                <w:rFonts w:ascii="Times New Roman" w:eastAsia="Times New Roman" w:hAnsi="Times New Roman" w:cs="Times New Roman"/>
                <w:b w:val="0"/>
                <w:bCs w:val="0"/>
                <w:i/>
                <w:iCs/>
                <w:color w:val="000000" w:themeColor="text1"/>
                <w:sz w:val="20"/>
                <w:szCs w:val="20"/>
                <w:lang w:eastAsia="lv-LV"/>
              </w:rPr>
              <w:t>01.01.2019.</w:t>
            </w:r>
          </w:p>
        </w:tc>
        <w:tc>
          <w:tcPr>
            <w:tcW w:w="1315" w:type="dxa"/>
            <w:noWrap/>
            <w:hideMark/>
          </w:tcPr>
          <w:p w14:paraId="09A5CC7C" w14:textId="77777777" w:rsidR="006B6037" w:rsidRPr="00A32ACF" w:rsidRDefault="006B6037" w:rsidP="00A32A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themeColor="text1"/>
                <w:sz w:val="20"/>
                <w:szCs w:val="20"/>
                <w:lang w:eastAsia="lv-LV"/>
              </w:rPr>
            </w:pPr>
            <w:r w:rsidRPr="00A32ACF">
              <w:rPr>
                <w:rFonts w:ascii="Times New Roman" w:eastAsia="Times New Roman" w:hAnsi="Times New Roman" w:cs="Times New Roman"/>
                <w:b w:val="0"/>
                <w:bCs w:val="0"/>
                <w:i/>
                <w:iCs/>
                <w:color w:val="000000" w:themeColor="text1"/>
                <w:sz w:val="20"/>
                <w:szCs w:val="20"/>
                <w:lang w:eastAsia="lv-LV"/>
              </w:rPr>
              <w:t>01.01.2020.</w:t>
            </w:r>
          </w:p>
        </w:tc>
      </w:tr>
      <w:tr w:rsidR="00A32ACF" w:rsidRPr="00A32ACF" w14:paraId="3836AE62" w14:textId="77777777" w:rsidTr="004D5E9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tcPr>
          <w:p w14:paraId="49A3B297" w14:textId="77777777" w:rsidR="006B6037" w:rsidRPr="00A32ACF" w:rsidRDefault="006B6037" w:rsidP="00D51057">
            <w:pPr>
              <w:jc w:val="both"/>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Cigaretēm</w:t>
            </w:r>
          </w:p>
        </w:tc>
        <w:tc>
          <w:tcPr>
            <w:tcW w:w="6534" w:type="dxa"/>
            <w:gridSpan w:val="5"/>
            <w:noWrap/>
          </w:tcPr>
          <w:p w14:paraId="28073987" w14:textId="77777777" w:rsidR="006B6037" w:rsidRPr="00A32ACF" w:rsidRDefault="006B6037" w:rsidP="00A32A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No 01.07.</w:t>
            </w:r>
          </w:p>
        </w:tc>
      </w:tr>
      <w:tr w:rsidR="00A32ACF" w:rsidRPr="00A32ACF" w14:paraId="6645741C" w14:textId="77777777" w:rsidTr="004D5E99">
        <w:trPr>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14:paraId="24CCC43D" w14:textId="77777777" w:rsidR="006B6037" w:rsidRPr="00A32ACF" w:rsidRDefault="006B6037" w:rsidP="00D51057">
            <w:pPr>
              <w:ind w:left="279"/>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Specifiskā likme, </w:t>
            </w:r>
            <w:r w:rsidRPr="00A32ACF">
              <w:rPr>
                <w:rFonts w:ascii="Times New Roman" w:eastAsia="Times New Roman" w:hAnsi="Times New Roman" w:cs="Times New Roman"/>
                <w:b w:val="0"/>
                <w:i/>
                <w:color w:val="000000" w:themeColor="text1"/>
                <w:sz w:val="20"/>
                <w:szCs w:val="20"/>
                <w:lang w:eastAsia="lv-LV"/>
              </w:rPr>
              <w:t>euro</w:t>
            </w:r>
          </w:p>
        </w:tc>
        <w:tc>
          <w:tcPr>
            <w:tcW w:w="1268" w:type="dxa"/>
            <w:noWrap/>
            <w:vAlign w:val="center"/>
            <w:hideMark/>
          </w:tcPr>
          <w:p w14:paraId="5E911B72"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56,20</w:t>
            </w:r>
          </w:p>
        </w:tc>
        <w:tc>
          <w:tcPr>
            <w:tcW w:w="1265" w:type="dxa"/>
            <w:noWrap/>
            <w:vAlign w:val="center"/>
            <w:hideMark/>
          </w:tcPr>
          <w:p w14:paraId="7FD6C298"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67,00</w:t>
            </w:r>
          </w:p>
        </w:tc>
        <w:tc>
          <w:tcPr>
            <w:tcW w:w="1343" w:type="dxa"/>
            <w:noWrap/>
            <w:vAlign w:val="center"/>
            <w:hideMark/>
          </w:tcPr>
          <w:p w14:paraId="6CF44DC8"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70,70</w:t>
            </w:r>
          </w:p>
        </w:tc>
        <w:tc>
          <w:tcPr>
            <w:tcW w:w="1343" w:type="dxa"/>
            <w:noWrap/>
            <w:vAlign w:val="center"/>
            <w:hideMark/>
          </w:tcPr>
          <w:p w14:paraId="7358E891"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74,60</w:t>
            </w:r>
          </w:p>
        </w:tc>
        <w:tc>
          <w:tcPr>
            <w:tcW w:w="1315" w:type="dxa"/>
            <w:noWrap/>
            <w:vAlign w:val="center"/>
            <w:hideMark/>
          </w:tcPr>
          <w:p w14:paraId="34DEE6B5"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78,70</w:t>
            </w:r>
          </w:p>
        </w:tc>
      </w:tr>
      <w:tr w:rsidR="00A32ACF" w:rsidRPr="00A32ACF" w14:paraId="1A9094DF" w14:textId="77777777" w:rsidTr="004D5E9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14:paraId="11844585" w14:textId="77777777" w:rsidR="006B6037" w:rsidRPr="00A32ACF" w:rsidRDefault="006B6037" w:rsidP="00D51057">
            <w:pPr>
              <w:ind w:left="279"/>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Ad Valorem</w:t>
            </w:r>
          </w:p>
        </w:tc>
        <w:tc>
          <w:tcPr>
            <w:tcW w:w="1268" w:type="dxa"/>
            <w:noWrap/>
            <w:vAlign w:val="center"/>
            <w:hideMark/>
          </w:tcPr>
          <w:p w14:paraId="1A6BAFA6"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25%</w:t>
            </w:r>
          </w:p>
        </w:tc>
        <w:tc>
          <w:tcPr>
            <w:tcW w:w="1265" w:type="dxa"/>
            <w:noWrap/>
            <w:vAlign w:val="center"/>
            <w:hideMark/>
          </w:tcPr>
          <w:p w14:paraId="303E2CDA"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20%</w:t>
            </w:r>
          </w:p>
        </w:tc>
        <w:tc>
          <w:tcPr>
            <w:tcW w:w="1343" w:type="dxa"/>
            <w:noWrap/>
            <w:vAlign w:val="center"/>
            <w:hideMark/>
          </w:tcPr>
          <w:p w14:paraId="5C4B6DDA"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20%</w:t>
            </w:r>
          </w:p>
        </w:tc>
        <w:tc>
          <w:tcPr>
            <w:tcW w:w="1343" w:type="dxa"/>
            <w:noWrap/>
            <w:vAlign w:val="center"/>
            <w:hideMark/>
          </w:tcPr>
          <w:p w14:paraId="54C2290C"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20%</w:t>
            </w:r>
          </w:p>
        </w:tc>
        <w:tc>
          <w:tcPr>
            <w:tcW w:w="1315" w:type="dxa"/>
            <w:noWrap/>
            <w:vAlign w:val="center"/>
            <w:hideMark/>
          </w:tcPr>
          <w:p w14:paraId="37AD9DEE"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20%</w:t>
            </w:r>
          </w:p>
        </w:tc>
      </w:tr>
      <w:tr w:rsidR="00A32ACF" w:rsidRPr="00A32ACF" w14:paraId="3C15C0F5" w14:textId="77777777" w:rsidTr="004D5E99">
        <w:trPr>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hideMark/>
          </w:tcPr>
          <w:p w14:paraId="37ABE795" w14:textId="77777777" w:rsidR="006B6037" w:rsidRPr="00A32ACF" w:rsidRDefault="006B6037" w:rsidP="00D51057">
            <w:pPr>
              <w:ind w:left="279"/>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Minimālais līmenis, </w:t>
            </w:r>
            <w:r w:rsidRPr="00A32ACF">
              <w:rPr>
                <w:rFonts w:ascii="Times New Roman" w:eastAsia="Times New Roman" w:hAnsi="Times New Roman" w:cs="Times New Roman"/>
                <w:b w:val="0"/>
                <w:i/>
                <w:color w:val="000000" w:themeColor="text1"/>
                <w:sz w:val="20"/>
                <w:szCs w:val="20"/>
                <w:lang w:eastAsia="lv-LV"/>
              </w:rPr>
              <w:t>euro</w:t>
            </w:r>
          </w:p>
        </w:tc>
        <w:tc>
          <w:tcPr>
            <w:tcW w:w="1268" w:type="dxa"/>
            <w:noWrap/>
            <w:vAlign w:val="center"/>
            <w:hideMark/>
          </w:tcPr>
          <w:p w14:paraId="58E01E49"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93,70</w:t>
            </w:r>
          </w:p>
        </w:tc>
        <w:tc>
          <w:tcPr>
            <w:tcW w:w="1265" w:type="dxa"/>
            <w:noWrap/>
            <w:vAlign w:val="center"/>
            <w:hideMark/>
          </w:tcPr>
          <w:p w14:paraId="28F6CA96"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99,00</w:t>
            </w:r>
          </w:p>
        </w:tc>
        <w:tc>
          <w:tcPr>
            <w:tcW w:w="1343" w:type="dxa"/>
            <w:noWrap/>
            <w:vAlign w:val="center"/>
            <w:hideMark/>
          </w:tcPr>
          <w:p w14:paraId="1EC69DD5"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104,00</w:t>
            </w:r>
          </w:p>
        </w:tc>
        <w:tc>
          <w:tcPr>
            <w:tcW w:w="1343" w:type="dxa"/>
            <w:noWrap/>
            <w:vAlign w:val="center"/>
            <w:hideMark/>
          </w:tcPr>
          <w:p w14:paraId="44A1B6D7"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109,20</w:t>
            </w:r>
          </w:p>
        </w:tc>
        <w:tc>
          <w:tcPr>
            <w:tcW w:w="1315" w:type="dxa"/>
            <w:noWrap/>
            <w:vAlign w:val="center"/>
            <w:hideMark/>
          </w:tcPr>
          <w:p w14:paraId="0AF0345E"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114,70</w:t>
            </w:r>
          </w:p>
        </w:tc>
      </w:tr>
      <w:tr w:rsidR="00A32ACF" w:rsidRPr="00A32ACF" w14:paraId="0E1811B2" w14:textId="77777777" w:rsidTr="004D5E9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tcPr>
          <w:p w14:paraId="2998436F" w14:textId="77777777" w:rsidR="006B6037" w:rsidRPr="00A32ACF" w:rsidRDefault="006B6037" w:rsidP="00D51057">
            <w:pPr>
              <w:ind w:left="-5"/>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Cigāriem un cigarellām,</w:t>
            </w:r>
            <w:r w:rsidRPr="00A32ACF">
              <w:rPr>
                <w:rFonts w:ascii="Times New Roman" w:eastAsia="Times New Roman" w:hAnsi="Times New Roman" w:cs="Times New Roman"/>
                <w:i/>
                <w:color w:val="000000" w:themeColor="text1"/>
                <w:sz w:val="20"/>
                <w:szCs w:val="20"/>
                <w:lang w:eastAsia="lv-LV"/>
              </w:rPr>
              <w:t xml:space="preserve"> euro</w:t>
            </w:r>
          </w:p>
        </w:tc>
        <w:tc>
          <w:tcPr>
            <w:tcW w:w="1268" w:type="dxa"/>
            <w:noWrap/>
            <w:vAlign w:val="center"/>
          </w:tcPr>
          <w:p w14:paraId="515FB74A"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1265" w:type="dxa"/>
            <w:noWrap/>
            <w:vAlign w:val="center"/>
          </w:tcPr>
          <w:p w14:paraId="6007740A"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58,0</w:t>
            </w:r>
          </w:p>
        </w:tc>
        <w:tc>
          <w:tcPr>
            <w:tcW w:w="1343" w:type="dxa"/>
            <w:noWrap/>
            <w:vAlign w:val="center"/>
          </w:tcPr>
          <w:p w14:paraId="18FB7B87"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73,00</w:t>
            </w:r>
          </w:p>
        </w:tc>
        <w:tc>
          <w:tcPr>
            <w:tcW w:w="1343" w:type="dxa"/>
            <w:noWrap/>
            <w:vAlign w:val="center"/>
          </w:tcPr>
          <w:p w14:paraId="02BE9FFF"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88,00</w:t>
            </w:r>
          </w:p>
        </w:tc>
        <w:tc>
          <w:tcPr>
            <w:tcW w:w="1315" w:type="dxa"/>
            <w:noWrap/>
            <w:vAlign w:val="center"/>
          </w:tcPr>
          <w:p w14:paraId="660CA4B8"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color w:val="000000" w:themeColor="text1"/>
                <w:sz w:val="20"/>
                <w:szCs w:val="20"/>
                <w:lang w:eastAsia="lv-LV"/>
              </w:rPr>
              <w:t>95,20</w:t>
            </w:r>
          </w:p>
        </w:tc>
      </w:tr>
      <w:tr w:rsidR="00A32ACF" w:rsidRPr="00A32ACF" w14:paraId="716701B9" w14:textId="77777777" w:rsidTr="004D5E99">
        <w:trPr>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tcPr>
          <w:p w14:paraId="4C6BA4E4" w14:textId="77777777" w:rsidR="006B6037" w:rsidRPr="00A32ACF" w:rsidRDefault="006B6037" w:rsidP="00D51057">
            <w:pPr>
              <w:ind w:left="-5"/>
              <w:jc w:val="both"/>
              <w:rPr>
                <w:rFonts w:ascii="Times New Roman" w:eastAsia="Times New Roman" w:hAnsi="Times New Roman" w:cs="Times New Roman"/>
                <w:b w:val="0"/>
                <w:bCs w:val="0"/>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Smēķējamai tabakai</w:t>
            </w:r>
            <w:r w:rsidRPr="00A32ACF">
              <w:rPr>
                <w:rFonts w:ascii="Times New Roman" w:eastAsia="Times New Roman" w:hAnsi="Times New Roman" w:cs="Times New Roman"/>
                <w:i/>
                <w:color w:val="000000" w:themeColor="text1"/>
                <w:sz w:val="20"/>
                <w:szCs w:val="20"/>
                <w:lang w:eastAsia="lv-LV"/>
              </w:rPr>
              <w:t xml:space="preserve"> euro</w:t>
            </w:r>
            <w:r w:rsidRPr="00A32ACF">
              <w:rPr>
                <w:rFonts w:ascii="Times New Roman" w:eastAsia="Times New Roman" w:hAnsi="Times New Roman" w:cs="Times New Roman"/>
                <w:color w:val="000000" w:themeColor="text1"/>
                <w:sz w:val="20"/>
                <w:szCs w:val="20"/>
                <w:lang w:eastAsia="lv-LV"/>
              </w:rPr>
              <w:t xml:space="preserve"> </w:t>
            </w:r>
            <w:r w:rsidRPr="00A32ACF">
              <w:rPr>
                <w:rFonts w:ascii="Times New Roman" w:eastAsia="Times New Roman" w:hAnsi="Times New Roman" w:cs="Times New Roman"/>
                <w:i/>
                <w:color w:val="000000" w:themeColor="text1"/>
                <w:sz w:val="20"/>
                <w:szCs w:val="20"/>
                <w:lang w:eastAsia="lv-LV"/>
              </w:rPr>
              <w:t>par 1000 g</w:t>
            </w:r>
            <w:r w:rsidRPr="00A32ACF">
              <w:rPr>
                <w:rFonts w:ascii="Times New Roman" w:eastAsia="Times New Roman" w:hAnsi="Times New Roman" w:cs="Times New Roman"/>
                <w:bCs w:val="0"/>
                <w:color w:val="000000" w:themeColor="text1"/>
                <w:sz w:val="20"/>
                <w:szCs w:val="20"/>
                <w:lang w:eastAsia="lv-LV"/>
              </w:rPr>
              <w:t xml:space="preserve">, </w:t>
            </w:r>
            <w:r w:rsidRPr="00A32ACF">
              <w:rPr>
                <w:rFonts w:ascii="Times New Roman" w:eastAsia="Times New Roman" w:hAnsi="Times New Roman" w:cs="Times New Roman"/>
                <w:bCs w:val="0"/>
                <w:i/>
                <w:color w:val="000000" w:themeColor="text1"/>
                <w:sz w:val="20"/>
                <w:szCs w:val="20"/>
                <w:lang w:eastAsia="lv-LV"/>
              </w:rPr>
              <w:t>tai skaitā:</w:t>
            </w:r>
          </w:p>
        </w:tc>
        <w:tc>
          <w:tcPr>
            <w:tcW w:w="1268" w:type="dxa"/>
            <w:noWrap/>
            <w:vAlign w:val="center"/>
          </w:tcPr>
          <w:p w14:paraId="58A1A6C1"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1265" w:type="dxa"/>
            <w:noWrap/>
            <w:vAlign w:val="center"/>
          </w:tcPr>
          <w:p w14:paraId="4C87117B"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1343" w:type="dxa"/>
            <w:noWrap/>
            <w:vAlign w:val="center"/>
          </w:tcPr>
          <w:p w14:paraId="74B66D94"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1343" w:type="dxa"/>
            <w:noWrap/>
            <w:vAlign w:val="center"/>
          </w:tcPr>
          <w:p w14:paraId="1596B510"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color w:val="000000" w:themeColor="text1"/>
                <w:sz w:val="20"/>
                <w:szCs w:val="20"/>
                <w:lang w:eastAsia="lv-LV"/>
              </w:rPr>
            </w:pPr>
          </w:p>
        </w:tc>
        <w:tc>
          <w:tcPr>
            <w:tcW w:w="1315" w:type="dxa"/>
            <w:noWrap/>
            <w:vAlign w:val="center"/>
          </w:tcPr>
          <w:p w14:paraId="51ACE8AC"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p>
        </w:tc>
      </w:tr>
      <w:tr w:rsidR="00A32ACF" w:rsidRPr="00A32ACF" w14:paraId="0BBB190E" w14:textId="77777777" w:rsidTr="004D5E9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tcPr>
          <w:p w14:paraId="17B9FDFC" w14:textId="77777777" w:rsidR="006B6037" w:rsidRPr="00A32ACF" w:rsidRDefault="006B6037" w:rsidP="00D51057">
            <w:pPr>
              <w:ind w:left="279"/>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Smalki sagriezta tabaka</w:t>
            </w:r>
          </w:p>
        </w:tc>
        <w:tc>
          <w:tcPr>
            <w:tcW w:w="1268" w:type="dxa"/>
            <w:noWrap/>
            <w:vAlign w:val="center"/>
          </w:tcPr>
          <w:p w14:paraId="5551760D"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1265" w:type="dxa"/>
            <w:noWrap/>
            <w:vAlign w:val="center"/>
          </w:tcPr>
          <w:p w14:paraId="312AB1D5"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62,00</w:t>
            </w:r>
          </w:p>
        </w:tc>
        <w:tc>
          <w:tcPr>
            <w:tcW w:w="1343" w:type="dxa"/>
            <w:noWrap/>
            <w:vAlign w:val="center"/>
          </w:tcPr>
          <w:p w14:paraId="4DF4FB70"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66,0</w:t>
            </w:r>
          </w:p>
        </w:tc>
        <w:tc>
          <w:tcPr>
            <w:tcW w:w="1343" w:type="dxa"/>
            <w:noWrap/>
            <w:vAlign w:val="center"/>
          </w:tcPr>
          <w:p w14:paraId="4A5EE755"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70,0</w:t>
            </w:r>
          </w:p>
        </w:tc>
        <w:tc>
          <w:tcPr>
            <w:tcW w:w="1315" w:type="dxa"/>
            <w:noWrap/>
            <w:vAlign w:val="center"/>
          </w:tcPr>
          <w:p w14:paraId="35DD7415"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75,0</w:t>
            </w:r>
          </w:p>
        </w:tc>
      </w:tr>
      <w:tr w:rsidR="00A32ACF" w:rsidRPr="00A32ACF" w14:paraId="42B93A17" w14:textId="77777777" w:rsidTr="004D5E99">
        <w:trPr>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tcPr>
          <w:p w14:paraId="23BCF63E" w14:textId="77777777" w:rsidR="006B6037" w:rsidRPr="00A32ACF" w:rsidRDefault="006B6037" w:rsidP="00D51057">
            <w:pPr>
              <w:ind w:left="279"/>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Cita smēķējamā tabaka, tabakas lapas</w:t>
            </w:r>
          </w:p>
        </w:tc>
        <w:tc>
          <w:tcPr>
            <w:tcW w:w="1268" w:type="dxa"/>
            <w:noWrap/>
            <w:vAlign w:val="center"/>
          </w:tcPr>
          <w:p w14:paraId="233F7F4B"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1265" w:type="dxa"/>
            <w:noWrap/>
            <w:vAlign w:val="center"/>
          </w:tcPr>
          <w:p w14:paraId="560320C2"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62,00</w:t>
            </w:r>
          </w:p>
        </w:tc>
        <w:tc>
          <w:tcPr>
            <w:tcW w:w="1343" w:type="dxa"/>
            <w:noWrap/>
            <w:vAlign w:val="center"/>
          </w:tcPr>
          <w:p w14:paraId="510C9B60"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66,0</w:t>
            </w:r>
          </w:p>
        </w:tc>
        <w:tc>
          <w:tcPr>
            <w:tcW w:w="1343" w:type="dxa"/>
            <w:noWrap/>
            <w:vAlign w:val="center"/>
          </w:tcPr>
          <w:p w14:paraId="6BB1971A"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70,0</w:t>
            </w:r>
          </w:p>
        </w:tc>
        <w:tc>
          <w:tcPr>
            <w:tcW w:w="1315" w:type="dxa"/>
            <w:noWrap/>
            <w:vAlign w:val="center"/>
          </w:tcPr>
          <w:p w14:paraId="16FEA97F"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75,0</w:t>
            </w:r>
          </w:p>
        </w:tc>
      </w:tr>
      <w:tr w:rsidR="00A32ACF" w:rsidRPr="00A32ACF" w14:paraId="1887B6E2" w14:textId="77777777" w:rsidTr="004D5E9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505" w:type="dxa"/>
            <w:noWrap/>
          </w:tcPr>
          <w:p w14:paraId="56F64CBC" w14:textId="77777777" w:rsidR="006B6037" w:rsidRPr="00A32ACF" w:rsidRDefault="006B6037" w:rsidP="00D51057">
            <w:pPr>
              <w:ind w:left="279"/>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Karsējamā tabaka</w:t>
            </w:r>
          </w:p>
        </w:tc>
        <w:tc>
          <w:tcPr>
            <w:tcW w:w="1268" w:type="dxa"/>
            <w:noWrap/>
            <w:vAlign w:val="center"/>
          </w:tcPr>
          <w:p w14:paraId="41EAB3F8"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
        </w:tc>
        <w:tc>
          <w:tcPr>
            <w:tcW w:w="1265" w:type="dxa"/>
            <w:noWrap/>
            <w:vAlign w:val="center"/>
          </w:tcPr>
          <w:p w14:paraId="64070B9B"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62,00</w:t>
            </w:r>
          </w:p>
        </w:tc>
        <w:tc>
          <w:tcPr>
            <w:tcW w:w="1343" w:type="dxa"/>
            <w:noWrap/>
            <w:vAlign w:val="center"/>
          </w:tcPr>
          <w:p w14:paraId="7D552354"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66,0</w:t>
            </w:r>
          </w:p>
        </w:tc>
        <w:tc>
          <w:tcPr>
            <w:tcW w:w="1343" w:type="dxa"/>
            <w:noWrap/>
            <w:vAlign w:val="center"/>
          </w:tcPr>
          <w:p w14:paraId="46394E8B"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70,0</w:t>
            </w:r>
          </w:p>
        </w:tc>
        <w:tc>
          <w:tcPr>
            <w:tcW w:w="1315" w:type="dxa"/>
            <w:noWrap/>
            <w:vAlign w:val="center"/>
          </w:tcPr>
          <w:p w14:paraId="1F86FC3F"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75,0</w:t>
            </w:r>
          </w:p>
        </w:tc>
      </w:tr>
    </w:tbl>
    <w:p w14:paraId="3F3F67AC" w14:textId="77777777" w:rsidR="00D47E1F" w:rsidRDefault="00D47E1F" w:rsidP="00A32ACF">
      <w:pPr>
        <w:spacing w:before="120" w:after="60" w:line="240" w:lineRule="auto"/>
        <w:jc w:val="right"/>
        <w:rPr>
          <w:rFonts w:ascii="Times New Roman" w:eastAsia="Calibri" w:hAnsi="Times New Roman" w:cs="Times New Roman"/>
          <w:b/>
          <w:sz w:val="24"/>
          <w:szCs w:val="24"/>
        </w:rPr>
      </w:pPr>
    </w:p>
    <w:p w14:paraId="2A32970F" w14:textId="5A3F08BF" w:rsidR="006B6037" w:rsidRPr="006B6037" w:rsidRDefault="006E5765" w:rsidP="00A32ACF">
      <w:pPr>
        <w:spacing w:before="120" w:after="6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3.10</w:t>
      </w:r>
      <w:r w:rsidR="006B6037" w:rsidRPr="006B6037">
        <w:rPr>
          <w:rFonts w:ascii="Times New Roman" w:eastAsia="Calibri" w:hAnsi="Times New Roman" w:cs="Times New Roman"/>
          <w:b/>
          <w:sz w:val="24"/>
          <w:szCs w:val="24"/>
        </w:rPr>
        <w:t>.tab</w:t>
      </w:r>
      <w:r w:rsidR="00A32ACF">
        <w:rPr>
          <w:rFonts w:ascii="Times New Roman" w:eastAsia="Calibri" w:hAnsi="Times New Roman" w:cs="Times New Roman"/>
          <w:b/>
          <w:sz w:val="24"/>
          <w:szCs w:val="24"/>
        </w:rPr>
        <w:t>ula</w:t>
      </w:r>
      <w:r w:rsidR="006B6037" w:rsidRPr="006B6037">
        <w:rPr>
          <w:rFonts w:ascii="Times New Roman" w:eastAsia="Calibri" w:hAnsi="Times New Roman" w:cs="Times New Roman"/>
          <w:b/>
          <w:sz w:val="24"/>
          <w:szCs w:val="24"/>
        </w:rPr>
        <w:t>. Plānotās akcīzes nodokļa likmju izmaiņas alkoholiskajiem dzērieniem un alum</w:t>
      </w:r>
    </w:p>
    <w:tbl>
      <w:tblPr>
        <w:tblStyle w:val="GridTable6Colorful-Accent1"/>
        <w:tblW w:w="9141" w:type="dxa"/>
        <w:jc w:val="center"/>
        <w:tblLook w:val="04A0" w:firstRow="1" w:lastRow="0" w:firstColumn="1" w:lastColumn="0" w:noHBand="0" w:noVBand="1"/>
      </w:tblPr>
      <w:tblGrid>
        <w:gridCol w:w="2131"/>
        <w:gridCol w:w="1166"/>
        <w:gridCol w:w="1166"/>
        <w:gridCol w:w="1166"/>
        <w:gridCol w:w="1180"/>
        <w:gridCol w:w="1166"/>
        <w:gridCol w:w="1166"/>
      </w:tblGrid>
      <w:tr w:rsidR="00A32ACF" w:rsidRPr="00A32ACF" w14:paraId="5254FC37" w14:textId="77777777" w:rsidTr="004D5E99">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131" w:type="dxa"/>
            <w:vMerge w:val="restart"/>
            <w:noWrap/>
            <w:vAlign w:val="center"/>
            <w:hideMark/>
          </w:tcPr>
          <w:p w14:paraId="71D9E6B9" w14:textId="77777777" w:rsidR="006B6037" w:rsidRPr="00A32ACF" w:rsidRDefault="006B6037" w:rsidP="006C67E6">
            <w:pPr>
              <w:jc w:val="center"/>
              <w:rPr>
                <w:rFonts w:ascii="Times New Roman" w:eastAsia="Times New Roman" w:hAnsi="Times New Roman" w:cs="Times New Roman"/>
                <w:bCs w:val="0"/>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 xml:space="preserve">Alkoholiskie dzērieni un alus, </w:t>
            </w:r>
            <w:r w:rsidRPr="00A32ACF">
              <w:rPr>
                <w:rFonts w:ascii="Times New Roman" w:eastAsia="Times New Roman" w:hAnsi="Times New Roman" w:cs="Times New Roman"/>
                <w:bCs w:val="0"/>
                <w:i/>
                <w:color w:val="000000" w:themeColor="text1"/>
                <w:sz w:val="20"/>
                <w:szCs w:val="20"/>
                <w:lang w:eastAsia="lv-LV"/>
              </w:rPr>
              <w:t>euro</w:t>
            </w:r>
            <w:r w:rsidRPr="00A32ACF">
              <w:rPr>
                <w:rFonts w:ascii="Times New Roman" w:eastAsia="Times New Roman" w:hAnsi="Times New Roman" w:cs="Times New Roman"/>
                <w:bCs w:val="0"/>
                <w:color w:val="000000" w:themeColor="text1"/>
                <w:sz w:val="20"/>
                <w:szCs w:val="20"/>
                <w:lang w:eastAsia="lv-LV"/>
              </w:rPr>
              <w:t xml:space="preserve"> par 100 l</w:t>
            </w:r>
          </w:p>
        </w:tc>
        <w:tc>
          <w:tcPr>
            <w:tcW w:w="3498" w:type="dxa"/>
            <w:gridSpan w:val="3"/>
            <w:noWrap/>
            <w:vAlign w:val="center"/>
            <w:hideMark/>
          </w:tcPr>
          <w:p w14:paraId="4F7543F6" w14:textId="77777777" w:rsidR="006B6037" w:rsidRPr="00A32ACF"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Plānotais</w:t>
            </w:r>
          </w:p>
        </w:tc>
        <w:tc>
          <w:tcPr>
            <w:tcW w:w="3512" w:type="dxa"/>
            <w:gridSpan w:val="3"/>
            <w:noWrap/>
            <w:vAlign w:val="center"/>
            <w:hideMark/>
          </w:tcPr>
          <w:p w14:paraId="60BD1ED7" w14:textId="77777777" w:rsidR="006B6037" w:rsidRPr="00A32ACF" w:rsidRDefault="006B6037"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lang w:eastAsia="lv-LV"/>
              </w:rPr>
            </w:pPr>
            <w:r w:rsidRPr="00A32ACF">
              <w:rPr>
                <w:rFonts w:ascii="Times New Roman" w:eastAsia="Times New Roman" w:hAnsi="Times New Roman" w:cs="Times New Roman"/>
                <w:bCs w:val="0"/>
                <w:color w:val="000000" w:themeColor="text1"/>
                <w:sz w:val="20"/>
                <w:szCs w:val="20"/>
                <w:lang w:eastAsia="lv-LV"/>
              </w:rPr>
              <w:t>Priekšlikums</w:t>
            </w:r>
          </w:p>
        </w:tc>
      </w:tr>
      <w:tr w:rsidR="00A32ACF" w:rsidRPr="00A32ACF" w14:paraId="5B20E577" w14:textId="77777777" w:rsidTr="004D5E99">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14:paraId="215CA937" w14:textId="77777777" w:rsidR="006B6037" w:rsidRPr="00A32ACF" w:rsidRDefault="006B6037" w:rsidP="006C67E6">
            <w:pPr>
              <w:jc w:val="center"/>
              <w:rPr>
                <w:rFonts w:ascii="Times New Roman" w:eastAsia="Times New Roman" w:hAnsi="Times New Roman" w:cs="Times New Roman"/>
                <w:b w:val="0"/>
                <w:bCs w:val="0"/>
                <w:color w:val="000000" w:themeColor="text1"/>
                <w:sz w:val="20"/>
                <w:szCs w:val="20"/>
                <w:lang w:eastAsia="lv-LV"/>
              </w:rPr>
            </w:pPr>
          </w:p>
        </w:tc>
        <w:tc>
          <w:tcPr>
            <w:tcW w:w="1166" w:type="dxa"/>
            <w:noWrap/>
            <w:vAlign w:val="center"/>
            <w:hideMark/>
          </w:tcPr>
          <w:p w14:paraId="7AD477A5" w14:textId="77777777" w:rsidR="006B6037" w:rsidRPr="00A32ACF" w:rsidRDefault="006B6037"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A32ACF">
              <w:rPr>
                <w:rFonts w:ascii="Times New Roman" w:eastAsia="Times New Roman" w:hAnsi="Times New Roman" w:cs="Times New Roman"/>
                <w:b/>
                <w:color w:val="000000" w:themeColor="text1"/>
                <w:sz w:val="20"/>
                <w:szCs w:val="20"/>
                <w:lang w:eastAsia="lv-LV"/>
              </w:rPr>
              <w:t>01.03.2016.</w:t>
            </w:r>
          </w:p>
        </w:tc>
        <w:tc>
          <w:tcPr>
            <w:tcW w:w="1166" w:type="dxa"/>
            <w:noWrap/>
            <w:vAlign w:val="center"/>
            <w:hideMark/>
          </w:tcPr>
          <w:p w14:paraId="43FEFEE2" w14:textId="77777777" w:rsidR="006B6037" w:rsidRPr="00A32ACF" w:rsidRDefault="006B6037"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A32ACF">
              <w:rPr>
                <w:rFonts w:ascii="Times New Roman" w:eastAsia="Times New Roman" w:hAnsi="Times New Roman" w:cs="Times New Roman"/>
                <w:b/>
                <w:color w:val="000000" w:themeColor="text1"/>
                <w:sz w:val="20"/>
                <w:szCs w:val="20"/>
                <w:lang w:eastAsia="lv-LV"/>
              </w:rPr>
              <w:t>01.03.2017.</w:t>
            </w:r>
          </w:p>
        </w:tc>
        <w:tc>
          <w:tcPr>
            <w:tcW w:w="1166" w:type="dxa"/>
            <w:noWrap/>
            <w:vAlign w:val="center"/>
            <w:hideMark/>
          </w:tcPr>
          <w:p w14:paraId="28850D61" w14:textId="77777777" w:rsidR="006B6037" w:rsidRPr="00A32ACF" w:rsidRDefault="006B6037"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lang w:eastAsia="lv-LV"/>
              </w:rPr>
            </w:pPr>
            <w:r w:rsidRPr="00A32ACF">
              <w:rPr>
                <w:rFonts w:ascii="Times New Roman" w:eastAsia="Times New Roman" w:hAnsi="Times New Roman" w:cs="Times New Roman"/>
                <w:b/>
                <w:color w:val="000000" w:themeColor="text1"/>
                <w:sz w:val="20"/>
                <w:szCs w:val="20"/>
                <w:lang w:eastAsia="lv-LV"/>
              </w:rPr>
              <w:t>01.03.2018.</w:t>
            </w:r>
          </w:p>
        </w:tc>
        <w:tc>
          <w:tcPr>
            <w:tcW w:w="1180" w:type="dxa"/>
            <w:noWrap/>
            <w:vAlign w:val="center"/>
            <w:hideMark/>
          </w:tcPr>
          <w:p w14:paraId="135EFD96" w14:textId="77777777" w:rsidR="006B6037" w:rsidRPr="00A32ACF" w:rsidRDefault="006B6037"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themeColor="text1"/>
                <w:sz w:val="20"/>
                <w:szCs w:val="20"/>
                <w:lang w:eastAsia="lv-LV"/>
              </w:rPr>
            </w:pPr>
            <w:r w:rsidRPr="00A32ACF">
              <w:rPr>
                <w:rFonts w:ascii="Times New Roman" w:eastAsia="Times New Roman" w:hAnsi="Times New Roman" w:cs="Times New Roman"/>
                <w:b/>
                <w:bCs/>
                <w:iCs/>
                <w:color w:val="000000" w:themeColor="text1"/>
                <w:sz w:val="20"/>
                <w:szCs w:val="20"/>
                <w:lang w:eastAsia="lv-LV"/>
              </w:rPr>
              <w:t>01.03.2018.</w:t>
            </w:r>
          </w:p>
        </w:tc>
        <w:tc>
          <w:tcPr>
            <w:tcW w:w="1166" w:type="dxa"/>
            <w:noWrap/>
            <w:vAlign w:val="center"/>
            <w:hideMark/>
          </w:tcPr>
          <w:p w14:paraId="3E331193" w14:textId="77777777" w:rsidR="006B6037" w:rsidRPr="00A32ACF" w:rsidRDefault="006B6037"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themeColor="text1"/>
                <w:sz w:val="20"/>
                <w:szCs w:val="20"/>
                <w:lang w:eastAsia="lv-LV"/>
              </w:rPr>
            </w:pPr>
            <w:r w:rsidRPr="00A32ACF">
              <w:rPr>
                <w:rFonts w:ascii="Times New Roman" w:eastAsia="Times New Roman" w:hAnsi="Times New Roman" w:cs="Times New Roman"/>
                <w:b/>
                <w:bCs/>
                <w:iCs/>
                <w:color w:val="000000" w:themeColor="text1"/>
                <w:sz w:val="20"/>
                <w:szCs w:val="20"/>
                <w:lang w:eastAsia="lv-LV"/>
              </w:rPr>
              <w:t>01.03.2019.</w:t>
            </w:r>
          </w:p>
        </w:tc>
        <w:tc>
          <w:tcPr>
            <w:tcW w:w="1166" w:type="dxa"/>
            <w:noWrap/>
            <w:vAlign w:val="center"/>
            <w:hideMark/>
          </w:tcPr>
          <w:p w14:paraId="48360314" w14:textId="77777777" w:rsidR="006B6037" w:rsidRPr="00A32ACF" w:rsidRDefault="006B6037"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themeColor="text1"/>
                <w:sz w:val="20"/>
                <w:szCs w:val="20"/>
                <w:lang w:eastAsia="lv-LV"/>
              </w:rPr>
            </w:pPr>
            <w:r w:rsidRPr="00A32ACF">
              <w:rPr>
                <w:rFonts w:ascii="Times New Roman" w:eastAsia="Times New Roman" w:hAnsi="Times New Roman" w:cs="Times New Roman"/>
                <w:b/>
                <w:bCs/>
                <w:iCs/>
                <w:color w:val="000000" w:themeColor="text1"/>
                <w:sz w:val="20"/>
                <w:szCs w:val="20"/>
                <w:lang w:eastAsia="lv-LV"/>
              </w:rPr>
              <w:t>01.03.2020.</w:t>
            </w:r>
          </w:p>
        </w:tc>
      </w:tr>
      <w:tr w:rsidR="00A32ACF" w:rsidRPr="00A32ACF" w14:paraId="4334161D" w14:textId="77777777" w:rsidTr="004D5E99">
        <w:trPr>
          <w:trHeight w:val="406"/>
          <w:jc w:val="center"/>
        </w:trPr>
        <w:tc>
          <w:tcPr>
            <w:cnfStyle w:val="001000000000" w:firstRow="0" w:lastRow="0" w:firstColumn="1" w:lastColumn="0" w:oddVBand="0" w:evenVBand="0" w:oddHBand="0" w:evenHBand="0" w:firstRowFirstColumn="0" w:firstRowLastColumn="0" w:lastRowFirstColumn="0" w:lastRowLastColumn="0"/>
            <w:tcW w:w="2131" w:type="dxa"/>
            <w:hideMark/>
          </w:tcPr>
          <w:p w14:paraId="180FDFD9" w14:textId="77777777" w:rsidR="006B6037" w:rsidRPr="00A32ACF" w:rsidRDefault="006B6037" w:rsidP="00D51057">
            <w:pPr>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Vīns, raudzētie dzērieni (virs 6%), starpprodukti līdz 15 tilpumprocentiem</w:t>
            </w:r>
          </w:p>
        </w:tc>
        <w:tc>
          <w:tcPr>
            <w:tcW w:w="1166" w:type="dxa"/>
            <w:noWrap/>
            <w:vAlign w:val="center"/>
            <w:hideMark/>
          </w:tcPr>
          <w:p w14:paraId="340B449A"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74,0</w:t>
            </w:r>
          </w:p>
        </w:tc>
        <w:tc>
          <w:tcPr>
            <w:tcW w:w="1166" w:type="dxa"/>
            <w:noWrap/>
            <w:vAlign w:val="center"/>
            <w:hideMark/>
          </w:tcPr>
          <w:p w14:paraId="2F538756"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78,0</w:t>
            </w:r>
          </w:p>
        </w:tc>
        <w:tc>
          <w:tcPr>
            <w:tcW w:w="1166" w:type="dxa"/>
            <w:noWrap/>
            <w:vAlign w:val="center"/>
            <w:hideMark/>
          </w:tcPr>
          <w:p w14:paraId="327BBB58"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82,0</w:t>
            </w:r>
          </w:p>
        </w:tc>
        <w:tc>
          <w:tcPr>
            <w:tcW w:w="1180" w:type="dxa"/>
            <w:noWrap/>
            <w:vAlign w:val="center"/>
            <w:hideMark/>
          </w:tcPr>
          <w:p w14:paraId="4FCEF549"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92,0</w:t>
            </w:r>
          </w:p>
        </w:tc>
        <w:tc>
          <w:tcPr>
            <w:tcW w:w="1166" w:type="dxa"/>
            <w:noWrap/>
            <w:vAlign w:val="center"/>
            <w:hideMark/>
          </w:tcPr>
          <w:p w14:paraId="51A4D4F3"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101,0</w:t>
            </w:r>
          </w:p>
        </w:tc>
        <w:tc>
          <w:tcPr>
            <w:tcW w:w="1166" w:type="dxa"/>
            <w:noWrap/>
            <w:vAlign w:val="center"/>
            <w:hideMark/>
          </w:tcPr>
          <w:p w14:paraId="3B8A498A"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111,0</w:t>
            </w:r>
          </w:p>
        </w:tc>
      </w:tr>
      <w:tr w:rsidR="00A32ACF" w:rsidRPr="00A32ACF" w14:paraId="628F885B" w14:textId="77777777" w:rsidTr="004D5E99">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131" w:type="dxa"/>
            <w:noWrap/>
            <w:hideMark/>
          </w:tcPr>
          <w:p w14:paraId="40412E5A" w14:textId="77777777" w:rsidR="006B6037" w:rsidRPr="00A32ACF" w:rsidRDefault="006B6037" w:rsidP="00D51057">
            <w:pPr>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Starpprodukti no 15 līdz 22 tilpumprocentiem</w:t>
            </w:r>
          </w:p>
        </w:tc>
        <w:tc>
          <w:tcPr>
            <w:tcW w:w="1166" w:type="dxa"/>
            <w:noWrap/>
            <w:vAlign w:val="center"/>
            <w:hideMark/>
          </w:tcPr>
          <w:p w14:paraId="1F9C080A"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120,0</w:t>
            </w:r>
          </w:p>
        </w:tc>
        <w:tc>
          <w:tcPr>
            <w:tcW w:w="1166" w:type="dxa"/>
            <w:noWrap/>
            <w:vAlign w:val="center"/>
            <w:hideMark/>
          </w:tcPr>
          <w:p w14:paraId="3FED3D34"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130,0</w:t>
            </w:r>
          </w:p>
        </w:tc>
        <w:tc>
          <w:tcPr>
            <w:tcW w:w="1166" w:type="dxa"/>
            <w:noWrap/>
            <w:vAlign w:val="center"/>
            <w:hideMark/>
          </w:tcPr>
          <w:p w14:paraId="0B51B801"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135,0</w:t>
            </w:r>
          </w:p>
        </w:tc>
        <w:tc>
          <w:tcPr>
            <w:tcW w:w="1180" w:type="dxa"/>
            <w:noWrap/>
            <w:vAlign w:val="center"/>
            <w:hideMark/>
          </w:tcPr>
          <w:p w14:paraId="590CB61C"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150,0</w:t>
            </w:r>
          </w:p>
        </w:tc>
        <w:tc>
          <w:tcPr>
            <w:tcW w:w="1166" w:type="dxa"/>
            <w:noWrap/>
            <w:vAlign w:val="center"/>
            <w:hideMark/>
          </w:tcPr>
          <w:p w14:paraId="57B32F68"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170,0</w:t>
            </w:r>
          </w:p>
        </w:tc>
        <w:tc>
          <w:tcPr>
            <w:tcW w:w="1166" w:type="dxa"/>
            <w:noWrap/>
            <w:vAlign w:val="center"/>
            <w:hideMark/>
          </w:tcPr>
          <w:p w14:paraId="102E7D74"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190,0</w:t>
            </w:r>
          </w:p>
        </w:tc>
      </w:tr>
      <w:tr w:rsidR="00A32ACF" w:rsidRPr="00A32ACF" w14:paraId="033C4762" w14:textId="77777777" w:rsidTr="004D5E99">
        <w:trPr>
          <w:trHeight w:val="274"/>
          <w:jc w:val="center"/>
        </w:trPr>
        <w:tc>
          <w:tcPr>
            <w:cnfStyle w:val="001000000000" w:firstRow="0" w:lastRow="0" w:firstColumn="1" w:lastColumn="0" w:oddVBand="0" w:evenVBand="0" w:oddHBand="0" w:evenHBand="0" w:firstRowFirstColumn="0" w:firstRowLastColumn="0" w:lastRowFirstColumn="0" w:lastRowLastColumn="0"/>
            <w:tcW w:w="2131" w:type="dxa"/>
            <w:noWrap/>
            <w:hideMark/>
          </w:tcPr>
          <w:p w14:paraId="376EF442" w14:textId="77777777" w:rsidR="006B6037" w:rsidRPr="00A32ACF" w:rsidRDefault="006B6037" w:rsidP="00D51057">
            <w:pPr>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Pārējie alkoholiskie dzērieni, </w:t>
            </w:r>
            <w:r w:rsidRPr="00A32ACF">
              <w:rPr>
                <w:rFonts w:ascii="Times New Roman" w:eastAsia="Times New Roman" w:hAnsi="Times New Roman" w:cs="Times New Roman"/>
                <w:b w:val="0"/>
                <w:i/>
                <w:color w:val="000000" w:themeColor="text1"/>
                <w:sz w:val="20"/>
                <w:szCs w:val="20"/>
                <w:lang w:eastAsia="lv-LV"/>
              </w:rPr>
              <w:t>par absolūtā spirta %</w:t>
            </w:r>
          </w:p>
        </w:tc>
        <w:tc>
          <w:tcPr>
            <w:tcW w:w="1166" w:type="dxa"/>
            <w:noWrap/>
            <w:vAlign w:val="center"/>
            <w:hideMark/>
          </w:tcPr>
          <w:p w14:paraId="369D62B7"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1 400,0</w:t>
            </w:r>
          </w:p>
        </w:tc>
        <w:tc>
          <w:tcPr>
            <w:tcW w:w="1166" w:type="dxa"/>
            <w:noWrap/>
            <w:vAlign w:val="center"/>
            <w:hideMark/>
          </w:tcPr>
          <w:p w14:paraId="4EE0DF0C"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1 450,0</w:t>
            </w:r>
          </w:p>
        </w:tc>
        <w:tc>
          <w:tcPr>
            <w:tcW w:w="1166" w:type="dxa"/>
            <w:noWrap/>
            <w:vAlign w:val="center"/>
            <w:hideMark/>
          </w:tcPr>
          <w:p w14:paraId="23D99DA9"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1 500,0</w:t>
            </w:r>
          </w:p>
        </w:tc>
        <w:tc>
          <w:tcPr>
            <w:tcW w:w="1180" w:type="dxa"/>
            <w:noWrap/>
            <w:vAlign w:val="center"/>
            <w:hideMark/>
          </w:tcPr>
          <w:p w14:paraId="6E822F1D"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1 670,0</w:t>
            </w:r>
          </w:p>
        </w:tc>
        <w:tc>
          <w:tcPr>
            <w:tcW w:w="1166" w:type="dxa"/>
            <w:noWrap/>
            <w:vAlign w:val="center"/>
            <w:hideMark/>
          </w:tcPr>
          <w:p w14:paraId="135659C2"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1 840,0</w:t>
            </w:r>
          </w:p>
        </w:tc>
        <w:tc>
          <w:tcPr>
            <w:tcW w:w="1166" w:type="dxa"/>
            <w:noWrap/>
            <w:vAlign w:val="center"/>
            <w:hideMark/>
          </w:tcPr>
          <w:p w14:paraId="72BE2271"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2 025,0</w:t>
            </w:r>
          </w:p>
        </w:tc>
      </w:tr>
      <w:tr w:rsidR="00A32ACF" w:rsidRPr="00A32ACF" w14:paraId="365823AF" w14:textId="77777777" w:rsidTr="004D5E99">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131" w:type="dxa"/>
            <w:noWrap/>
            <w:hideMark/>
          </w:tcPr>
          <w:p w14:paraId="3A8B37AB" w14:textId="77777777" w:rsidR="006B6037" w:rsidRPr="00A32ACF" w:rsidRDefault="006B6037" w:rsidP="00D51057">
            <w:pPr>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Alus, </w:t>
            </w:r>
            <w:r w:rsidRPr="00A32ACF">
              <w:rPr>
                <w:rFonts w:ascii="Times New Roman" w:eastAsia="Times New Roman" w:hAnsi="Times New Roman" w:cs="Times New Roman"/>
                <w:b w:val="0"/>
                <w:i/>
                <w:color w:val="000000" w:themeColor="text1"/>
                <w:sz w:val="20"/>
                <w:szCs w:val="20"/>
                <w:lang w:eastAsia="lv-LV"/>
              </w:rPr>
              <w:t>par katru absolūtā spirta tilpumprocentu</w:t>
            </w:r>
          </w:p>
        </w:tc>
        <w:tc>
          <w:tcPr>
            <w:tcW w:w="1166" w:type="dxa"/>
            <w:noWrap/>
            <w:vAlign w:val="center"/>
            <w:hideMark/>
          </w:tcPr>
          <w:p w14:paraId="09E37664"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4,2</w:t>
            </w:r>
          </w:p>
        </w:tc>
        <w:tc>
          <w:tcPr>
            <w:tcW w:w="1166" w:type="dxa"/>
            <w:noWrap/>
            <w:vAlign w:val="center"/>
            <w:hideMark/>
          </w:tcPr>
          <w:p w14:paraId="76418795"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4,5</w:t>
            </w:r>
          </w:p>
        </w:tc>
        <w:tc>
          <w:tcPr>
            <w:tcW w:w="1166" w:type="dxa"/>
            <w:noWrap/>
            <w:vAlign w:val="center"/>
            <w:hideMark/>
          </w:tcPr>
          <w:p w14:paraId="4AFB543E"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4,8</w:t>
            </w:r>
          </w:p>
        </w:tc>
        <w:tc>
          <w:tcPr>
            <w:tcW w:w="1180" w:type="dxa"/>
            <w:noWrap/>
            <w:vAlign w:val="center"/>
            <w:hideMark/>
          </w:tcPr>
          <w:p w14:paraId="26DBA4C5"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5,6</w:t>
            </w:r>
          </w:p>
        </w:tc>
        <w:tc>
          <w:tcPr>
            <w:tcW w:w="1166" w:type="dxa"/>
            <w:noWrap/>
            <w:vAlign w:val="center"/>
            <w:hideMark/>
          </w:tcPr>
          <w:p w14:paraId="534CCFAA"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6,1</w:t>
            </w:r>
          </w:p>
        </w:tc>
        <w:tc>
          <w:tcPr>
            <w:tcW w:w="1166" w:type="dxa"/>
            <w:noWrap/>
            <w:vAlign w:val="center"/>
            <w:hideMark/>
          </w:tcPr>
          <w:p w14:paraId="44C78C24" w14:textId="77777777" w:rsidR="006B6037" w:rsidRPr="00A32ACF" w:rsidRDefault="006B603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6,8</w:t>
            </w:r>
          </w:p>
        </w:tc>
      </w:tr>
      <w:tr w:rsidR="00A32ACF" w:rsidRPr="00A32ACF" w14:paraId="7CB726C7" w14:textId="77777777" w:rsidTr="004D5E99">
        <w:trPr>
          <w:trHeight w:val="274"/>
          <w:jc w:val="center"/>
        </w:trPr>
        <w:tc>
          <w:tcPr>
            <w:cnfStyle w:val="001000000000" w:firstRow="0" w:lastRow="0" w:firstColumn="1" w:lastColumn="0" w:oddVBand="0" w:evenVBand="0" w:oddHBand="0" w:evenHBand="0" w:firstRowFirstColumn="0" w:firstRowLastColumn="0" w:lastRowFirstColumn="0" w:lastRowLastColumn="0"/>
            <w:tcW w:w="2131" w:type="dxa"/>
            <w:noWrap/>
            <w:hideMark/>
          </w:tcPr>
          <w:p w14:paraId="6E5DCBE9" w14:textId="77777777" w:rsidR="006B6037" w:rsidRPr="00A32ACF" w:rsidRDefault="006B6037" w:rsidP="00D51057">
            <w:pPr>
              <w:jc w:val="both"/>
              <w:rPr>
                <w:rFonts w:ascii="Times New Roman" w:eastAsia="Times New Roman" w:hAnsi="Times New Roman" w:cs="Times New Roman"/>
                <w:b w:val="0"/>
                <w:color w:val="000000" w:themeColor="text1"/>
                <w:sz w:val="20"/>
                <w:szCs w:val="20"/>
                <w:lang w:eastAsia="lv-LV"/>
              </w:rPr>
            </w:pPr>
            <w:r w:rsidRPr="00A32ACF">
              <w:rPr>
                <w:rFonts w:ascii="Times New Roman" w:eastAsia="Times New Roman" w:hAnsi="Times New Roman" w:cs="Times New Roman"/>
                <w:b w:val="0"/>
                <w:color w:val="000000" w:themeColor="text1"/>
                <w:sz w:val="20"/>
                <w:szCs w:val="20"/>
                <w:lang w:eastAsia="lv-LV"/>
              </w:rPr>
              <w:t xml:space="preserve">Alus, </w:t>
            </w:r>
            <w:r w:rsidRPr="00A32ACF">
              <w:rPr>
                <w:rFonts w:ascii="Times New Roman" w:eastAsia="Times New Roman" w:hAnsi="Times New Roman" w:cs="Times New Roman"/>
                <w:b w:val="0"/>
                <w:i/>
                <w:color w:val="000000" w:themeColor="text1"/>
                <w:sz w:val="20"/>
                <w:szCs w:val="20"/>
                <w:lang w:eastAsia="lv-LV"/>
              </w:rPr>
              <w:t>minimālā likme</w:t>
            </w:r>
          </w:p>
        </w:tc>
        <w:tc>
          <w:tcPr>
            <w:tcW w:w="1166" w:type="dxa"/>
            <w:noWrap/>
            <w:vAlign w:val="center"/>
            <w:hideMark/>
          </w:tcPr>
          <w:p w14:paraId="1F649398"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7,8</w:t>
            </w:r>
          </w:p>
        </w:tc>
        <w:tc>
          <w:tcPr>
            <w:tcW w:w="1166" w:type="dxa"/>
            <w:noWrap/>
            <w:vAlign w:val="center"/>
            <w:hideMark/>
          </w:tcPr>
          <w:p w14:paraId="707F0210"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8,2</w:t>
            </w:r>
          </w:p>
        </w:tc>
        <w:tc>
          <w:tcPr>
            <w:tcW w:w="1166" w:type="dxa"/>
            <w:noWrap/>
            <w:vAlign w:val="center"/>
            <w:hideMark/>
          </w:tcPr>
          <w:p w14:paraId="537F0377"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8,6</w:t>
            </w:r>
          </w:p>
        </w:tc>
        <w:tc>
          <w:tcPr>
            <w:tcW w:w="1180" w:type="dxa"/>
            <w:noWrap/>
            <w:vAlign w:val="center"/>
            <w:hideMark/>
          </w:tcPr>
          <w:p w14:paraId="4AB4DC8C"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A32ACF">
              <w:rPr>
                <w:rFonts w:ascii="Times New Roman" w:eastAsia="Times New Roman" w:hAnsi="Times New Roman" w:cs="Times New Roman"/>
                <w:color w:val="000000" w:themeColor="text1"/>
                <w:sz w:val="20"/>
                <w:szCs w:val="20"/>
                <w:lang w:eastAsia="lv-LV"/>
              </w:rPr>
              <w:t>10,3</w:t>
            </w:r>
          </w:p>
        </w:tc>
        <w:tc>
          <w:tcPr>
            <w:tcW w:w="1166" w:type="dxa"/>
            <w:noWrap/>
            <w:vAlign w:val="center"/>
            <w:hideMark/>
          </w:tcPr>
          <w:p w14:paraId="177DCB6A"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11,1</w:t>
            </w:r>
          </w:p>
        </w:tc>
        <w:tc>
          <w:tcPr>
            <w:tcW w:w="1166" w:type="dxa"/>
            <w:noWrap/>
            <w:vAlign w:val="center"/>
            <w:hideMark/>
          </w:tcPr>
          <w:p w14:paraId="4FF17234" w14:textId="77777777" w:rsidR="006B6037" w:rsidRPr="00A32ACF" w:rsidRDefault="006B603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themeColor="text1"/>
                <w:sz w:val="20"/>
                <w:szCs w:val="20"/>
                <w:lang w:eastAsia="lv-LV"/>
              </w:rPr>
            </w:pPr>
            <w:r w:rsidRPr="00A32ACF">
              <w:rPr>
                <w:rFonts w:ascii="Times New Roman" w:eastAsia="Times New Roman" w:hAnsi="Times New Roman" w:cs="Times New Roman"/>
                <w:b/>
                <w:bCs/>
                <w:i/>
                <w:iCs/>
                <w:color w:val="000000" w:themeColor="text1"/>
                <w:sz w:val="20"/>
                <w:szCs w:val="20"/>
                <w:lang w:eastAsia="lv-LV"/>
              </w:rPr>
              <w:t>12,5</w:t>
            </w:r>
          </w:p>
        </w:tc>
      </w:tr>
    </w:tbl>
    <w:p w14:paraId="523EF3AD" w14:textId="77777777" w:rsidR="006B6037" w:rsidRPr="006B6037" w:rsidRDefault="006B6037" w:rsidP="00F225E9">
      <w:pPr>
        <w:spacing w:before="240" w:after="0" w:line="240" w:lineRule="auto"/>
        <w:ind w:left="850" w:hanging="425"/>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5)</w:t>
      </w:r>
      <w:r w:rsidRPr="006B6037">
        <w:rPr>
          <w:rFonts w:ascii="Times New Roman" w:eastAsia="Calibri" w:hAnsi="Times New Roman" w:cs="Times New Roman"/>
          <w:b/>
          <w:sz w:val="24"/>
          <w:szCs w:val="24"/>
        </w:rPr>
        <w:t xml:space="preserve"> </w:t>
      </w:r>
      <w:r w:rsidRPr="006B6037">
        <w:rPr>
          <w:rFonts w:ascii="Times New Roman" w:eastAsia="Calibri" w:hAnsi="Times New Roman" w:cs="Times New Roman"/>
          <w:b/>
          <w:sz w:val="24"/>
          <w:szCs w:val="24"/>
        </w:rPr>
        <w:tab/>
        <w:t>noteikt</w:t>
      </w:r>
      <w:r w:rsidRPr="006B6037">
        <w:rPr>
          <w:rFonts w:ascii="Times New Roman" w:eastAsia="Calibri" w:hAnsi="Times New Roman" w:cs="Times New Roman"/>
          <w:sz w:val="24"/>
          <w:szCs w:val="24"/>
        </w:rPr>
        <w:t xml:space="preserve"> </w:t>
      </w:r>
      <w:r w:rsidRPr="006B6037">
        <w:rPr>
          <w:rFonts w:ascii="Times New Roman" w:eastAsia="Calibri" w:hAnsi="Times New Roman" w:cs="Times New Roman"/>
          <w:b/>
          <w:sz w:val="24"/>
          <w:szCs w:val="24"/>
        </w:rPr>
        <w:t>ierobežojumus</w:t>
      </w:r>
      <w:r w:rsidRPr="006B6037">
        <w:rPr>
          <w:rFonts w:ascii="Times New Roman" w:eastAsia="Calibri" w:hAnsi="Times New Roman" w:cs="Times New Roman"/>
          <w:sz w:val="24"/>
          <w:szCs w:val="24"/>
        </w:rPr>
        <w:t xml:space="preserve"> </w:t>
      </w:r>
      <w:r w:rsidRPr="006B6037">
        <w:rPr>
          <w:rFonts w:ascii="Times New Roman" w:eastAsia="Calibri" w:hAnsi="Times New Roman" w:cs="Times New Roman"/>
          <w:b/>
          <w:sz w:val="24"/>
          <w:szCs w:val="24"/>
        </w:rPr>
        <w:t>IIN</w:t>
      </w:r>
      <w:r w:rsidRPr="006B6037">
        <w:rPr>
          <w:rFonts w:ascii="Times New Roman" w:eastAsia="Calibri" w:hAnsi="Times New Roman" w:cs="Times New Roman"/>
          <w:sz w:val="24"/>
          <w:szCs w:val="24"/>
        </w:rPr>
        <w:t xml:space="preserve"> </w:t>
      </w:r>
      <w:r w:rsidRPr="006B6037">
        <w:rPr>
          <w:rFonts w:ascii="Times New Roman" w:eastAsia="Calibri" w:hAnsi="Times New Roman" w:cs="Times New Roman"/>
          <w:b/>
          <w:sz w:val="24"/>
          <w:szCs w:val="24"/>
        </w:rPr>
        <w:t>attaisnotajiem izdevumiem;</w:t>
      </w:r>
      <w:r w:rsidRPr="006B6037">
        <w:rPr>
          <w:rFonts w:ascii="Times New Roman" w:eastAsia="Calibri" w:hAnsi="Times New Roman" w:cs="Times New Roman"/>
          <w:sz w:val="24"/>
          <w:szCs w:val="24"/>
        </w:rPr>
        <w:t xml:space="preserve"> </w:t>
      </w:r>
    </w:p>
    <w:p w14:paraId="54170E36" w14:textId="467DFE23" w:rsidR="006B6037" w:rsidRPr="006B6037" w:rsidRDefault="006B6037" w:rsidP="00A32ACF">
      <w:pPr>
        <w:spacing w:after="0" w:line="240" w:lineRule="auto"/>
        <w:ind w:left="851" w:hanging="425"/>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6)</w:t>
      </w:r>
      <w:r w:rsidRPr="006B6037">
        <w:rPr>
          <w:rFonts w:ascii="Times New Roman" w:eastAsia="Calibri" w:hAnsi="Times New Roman" w:cs="Times New Roman"/>
          <w:b/>
          <w:sz w:val="24"/>
          <w:szCs w:val="24"/>
        </w:rPr>
        <w:t xml:space="preserve"> </w:t>
      </w:r>
      <w:r w:rsidRPr="006B6037">
        <w:rPr>
          <w:rFonts w:ascii="Times New Roman" w:eastAsia="Calibri" w:hAnsi="Times New Roman" w:cs="Times New Roman"/>
          <w:b/>
          <w:sz w:val="24"/>
          <w:szCs w:val="24"/>
        </w:rPr>
        <w:tab/>
        <w:t>saglabāt līdzšinējo</w:t>
      </w:r>
      <w:r w:rsidRPr="006B6037">
        <w:rPr>
          <w:rFonts w:ascii="Times New Roman" w:eastAsia="Calibri" w:hAnsi="Times New Roman" w:cs="Times New Roman"/>
          <w:sz w:val="24"/>
          <w:szCs w:val="24"/>
        </w:rPr>
        <w:t xml:space="preserve"> </w:t>
      </w:r>
      <w:r w:rsidR="00A1520A">
        <w:rPr>
          <w:rFonts w:ascii="Times New Roman" w:eastAsia="Calibri" w:hAnsi="Times New Roman" w:cs="Times New Roman"/>
          <w:b/>
          <w:sz w:val="24"/>
          <w:szCs w:val="24"/>
        </w:rPr>
        <w:t>transportlīdzekļu ekspluatācijas nodokļa</w:t>
      </w:r>
      <w:r w:rsidRPr="006B6037">
        <w:rPr>
          <w:rFonts w:ascii="Times New Roman" w:eastAsia="Calibri" w:hAnsi="Times New Roman" w:cs="Times New Roman"/>
          <w:b/>
          <w:sz w:val="24"/>
          <w:szCs w:val="24"/>
        </w:rPr>
        <w:t xml:space="preserve"> maksāšanas kārtību </w:t>
      </w:r>
      <w:r w:rsidRPr="006B6037">
        <w:rPr>
          <w:rFonts w:ascii="Times New Roman" w:eastAsia="Calibri" w:hAnsi="Times New Roman" w:cs="Times New Roman"/>
          <w:sz w:val="24"/>
          <w:szCs w:val="24"/>
        </w:rPr>
        <w:t>arī 2019.gadā;</w:t>
      </w:r>
    </w:p>
    <w:p w14:paraId="138909B5" w14:textId="77777777" w:rsidR="006B6037" w:rsidRPr="006B6037" w:rsidRDefault="006B6037" w:rsidP="00A32ACF">
      <w:pPr>
        <w:spacing w:after="0" w:line="240" w:lineRule="auto"/>
        <w:ind w:left="850" w:hanging="425"/>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lastRenderedPageBreak/>
        <w:t>7)</w:t>
      </w:r>
      <w:r w:rsidRPr="006B6037">
        <w:rPr>
          <w:rFonts w:ascii="Times New Roman" w:eastAsia="Calibri" w:hAnsi="Times New Roman" w:cs="Times New Roman"/>
          <w:b/>
          <w:sz w:val="24"/>
          <w:szCs w:val="24"/>
        </w:rPr>
        <w:t xml:space="preserve"> </w:t>
      </w:r>
      <w:r w:rsidRPr="006B6037">
        <w:rPr>
          <w:rFonts w:ascii="Times New Roman" w:eastAsia="Calibri" w:hAnsi="Times New Roman" w:cs="Times New Roman"/>
          <w:b/>
          <w:sz w:val="24"/>
          <w:szCs w:val="24"/>
        </w:rPr>
        <w:tab/>
        <w:t>īstenot ēnu ekonomikas apkarošanas pasākumus</w:t>
      </w:r>
      <w:r w:rsidRPr="006B6037">
        <w:rPr>
          <w:rFonts w:ascii="Times New Roman" w:eastAsia="Calibri" w:hAnsi="Times New Roman" w:cs="Times New Roman"/>
          <w:sz w:val="24"/>
          <w:szCs w:val="24"/>
        </w:rPr>
        <w:t>, kuru pamatvirzieni izriet no ēnu ekonomikas apkarošanas plāna. Galvenie virzieni ēnu ekonomikas apkarošanai (2020.gadā, sasniedzot 18,3% no IKP (2016.gadā pēc F.Šneidera pētījuma datiem ēnu ekonomikas īpatsvars Latvijā bija 22,6% no IKP)) ir:</w:t>
      </w:r>
    </w:p>
    <w:p w14:paraId="0B46214D" w14:textId="6C18C855"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PVN reversās </w:t>
      </w:r>
      <w:r w:rsidR="00F225E9">
        <w:rPr>
          <w:rFonts w:ascii="Times New Roman" w:eastAsia="Calibri" w:hAnsi="Times New Roman" w:cs="Times New Roman"/>
          <w:sz w:val="24"/>
          <w:szCs w:val="24"/>
        </w:rPr>
        <w:t xml:space="preserve">maksāšanas </w:t>
      </w:r>
      <w:r w:rsidRPr="006B6037">
        <w:rPr>
          <w:rFonts w:ascii="Times New Roman" w:eastAsia="Calibri" w:hAnsi="Times New Roman" w:cs="Times New Roman"/>
          <w:sz w:val="24"/>
          <w:szCs w:val="24"/>
        </w:rPr>
        <w:t xml:space="preserve">kārtības </w:t>
      </w:r>
      <w:r w:rsidR="00F225E9">
        <w:rPr>
          <w:rFonts w:ascii="Times New Roman" w:eastAsia="Calibri" w:hAnsi="Times New Roman" w:cs="Times New Roman"/>
          <w:sz w:val="24"/>
          <w:szCs w:val="24"/>
        </w:rPr>
        <w:t xml:space="preserve">piemērošanas </w:t>
      </w:r>
      <w:r w:rsidRPr="006B6037">
        <w:rPr>
          <w:rFonts w:ascii="Times New Roman" w:eastAsia="Calibri" w:hAnsi="Times New Roman" w:cs="Times New Roman"/>
          <w:sz w:val="24"/>
          <w:szCs w:val="24"/>
        </w:rPr>
        <w:t>paplašināšana (būvmateriālu, sadzīves tehnikas tirdzniecībā);</w:t>
      </w:r>
    </w:p>
    <w:p w14:paraId="1C783176" w14:textId="1EDB1DEF" w:rsidR="006B6037" w:rsidRPr="006B6037" w:rsidRDefault="00F225E9" w:rsidP="001E5D9F">
      <w:pPr>
        <w:numPr>
          <w:ilvl w:val="0"/>
          <w:numId w:val="41"/>
        </w:numPr>
        <w:spacing w:after="0" w:line="24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Reģistrācijas VID </w:t>
      </w:r>
      <w:r w:rsidR="006B6037" w:rsidRPr="006B6037">
        <w:rPr>
          <w:rFonts w:ascii="Times New Roman" w:eastAsia="Calibri" w:hAnsi="Times New Roman" w:cs="Times New Roman"/>
          <w:sz w:val="24"/>
          <w:szCs w:val="24"/>
        </w:rPr>
        <w:t xml:space="preserve">PVN </w:t>
      </w:r>
      <w:r>
        <w:rPr>
          <w:rFonts w:ascii="Times New Roman" w:eastAsia="Calibri" w:hAnsi="Times New Roman" w:cs="Times New Roman"/>
          <w:sz w:val="24"/>
          <w:szCs w:val="24"/>
        </w:rPr>
        <w:t>maksātāju reģistrā</w:t>
      </w:r>
      <w:r w:rsidR="006B6037" w:rsidRPr="006B6037">
        <w:rPr>
          <w:rFonts w:ascii="Times New Roman" w:eastAsia="Calibri" w:hAnsi="Times New Roman" w:cs="Times New Roman"/>
          <w:sz w:val="24"/>
          <w:szCs w:val="24"/>
        </w:rPr>
        <w:t xml:space="preserve"> sliekšņa samazināšana no 50 000 </w:t>
      </w:r>
      <w:r w:rsidR="006B6037" w:rsidRPr="006B6037">
        <w:rPr>
          <w:rFonts w:ascii="Times New Roman" w:eastAsia="Calibri" w:hAnsi="Times New Roman" w:cs="Times New Roman"/>
          <w:i/>
          <w:sz w:val="24"/>
          <w:szCs w:val="24"/>
        </w:rPr>
        <w:t>euro</w:t>
      </w:r>
      <w:r w:rsidR="006B6037" w:rsidRPr="006B6037">
        <w:rPr>
          <w:rFonts w:ascii="Times New Roman" w:eastAsia="Calibri" w:hAnsi="Times New Roman" w:cs="Times New Roman"/>
          <w:sz w:val="24"/>
          <w:szCs w:val="24"/>
        </w:rPr>
        <w:t xml:space="preserve"> uz 40 000 </w:t>
      </w:r>
      <w:r w:rsidR="006B6037" w:rsidRPr="006B6037">
        <w:rPr>
          <w:rFonts w:ascii="Times New Roman" w:eastAsia="Calibri" w:hAnsi="Times New Roman" w:cs="Times New Roman"/>
          <w:i/>
          <w:sz w:val="24"/>
          <w:szCs w:val="24"/>
        </w:rPr>
        <w:t>euro</w:t>
      </w:r>
      <w:r w:rsidR="006B6037" w:rsidRPr="006B6037">
        <w:rPr>
          <w:rFonts w:ascii="Times New Roman" w:eastAsia="Calibri" w:hAnsi="Times New Roman" w:cs="Times New Roman"/>
          <w:sz w:val="24"/>
          <w:szCs w:val="24"/>
        </w:rPr>
        <w:t>;</w:t>
      </w:r>
    </w:p>
    <w:p w14:paraId="4A0E2EF8" w14:textId="3E0696E5"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PVN </w:t>
      </w:r>
      <w:r w:rsidR="00F225E9">
        <w:rPr>
          <w:rFonts w:ascii="Times New Roman" w:eastAsia="Calibri" w:hAnsi="Times New Roman" w:cs="Times New Roman"/>
          <w:sz w:val="24"/>
          <w:szCs w:val="24"/>
        </w:rPr>
        <w:t xml:space="preserve">deklarācijā atšifrējamo </w:t>
      </w:r>
      <w:r w:rsidRPr="006B6037">
        <w:rPr>
          <w:rFonts w:ascii="Times New Roman" w:eastAsia="Calibri" w:hAnsi="Times New Roman" w:cs="Times New Roman"/>
          <w:sz w:val="24"/>
          <w:szCs w:val="24"/>
        </w:rPr>
        <w:t xml:space="preserve">darījumu sliekšņa samazināšana no 1430 </w:t>
      </w:r>
      <w:r w:rsidRPr="006B6037">
        <w:rPr>
          <w:rFonts w:ascii="Times New Roman" w:eastAsia="Calibri" w:hAnsi="Times New Roman" w:cs="Times New Roman"/>
          <w:i/>
          <w:sz w:val="24"/>
          <w:szCs w:val="24"/>
        </w:rPr>
        <w:t>euro</w:t>
      </w:r>
      <w:r w:rsidRPr="006B6037">
        <w:rPr>
          <w:rFonts w:ascii="Times New Roman" w:eastAsia="Calibri" w:hAnsi="Times New Roman" w:cs="Times New Roman"/>
          <w:sz w:val="24"/>
          <w:szCs w:val="24"/>
        </w:rPr>
        <w:t xml:space="preserve"> uz 150 </w:t>
      </w:r>
      <w:r w:rsidRPr="006B6037">
        <w:rPr>
          <w:rFonts w:ascii="Times New Roman" w:eastAsia="Calibri" w:hAnsi="Times New Roman" w:cs="Times New Roman"/>
          <w:i/>
          <w:sz w:val="24"/>
          <w:szCs w:val="24"/>
        </w:rPr>
        <w:t>euro</w:t>
      </w:r>
      <w:r w:rsidRPr="006B6037">
        <w:rPr>
          <w:rFonts w:ascii="Times New Roman" w:eastAsia="Calibri" w:hAnsi="Times New Roman" w:cs="Times New Roman"/>
          <w:sz w:val="24"/>
          <w:szCs w:val="24"/>
        </w:rPr>
        <w:t>;</w:t>
      </w:r>
    </w:p>
    <w:p w14:paraId="1D2CB54A" w14:textId="77777777"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tiešsaistes tirdzniecības darījumu reģistra ieviešana u.c.; </w:t>
      </w:r>
    </w:p>
    <w:p w14:paraId="57339F83" w14:textId="77777777" w:rsidR="006B6037" w:rsidRPr="006B6037" w:rsidRDefault="006B6037" w:rsidP="001E5D9F">
      <w:pPr>
        <w:numPr>
          <w:ilvl w:val="0"/>
          <w:numId w:val="36"/>
        </w:numPr>
        <w:spacing w:after="0" w:line="240" w:lineRule="auto"/>
        <w:ind w:left="851" w:hanging="425"/>
        <w:jc w:val="both"/>
        <w:rPr>
          <w:rFonts w:ascii="Times New Roman" w:eastAsia="Calibri" w:hAnsi="Times New Roman" w:cs="Times New Roman"/>
          <w:sz w:val="24"/>
          <w:szCs w:val="24"/>
        </w:rPr>
      </w:pPr>
      <w:r w:rsidRPr="006B6037">
        <w:rPr>
          <w:rFonts w:ascii="Times New Roman" w:eastAsia="Calibri" w:hAnsi="Times New Roman" w:cs="Times New Roman"/>
          <w:b/>
          <w:sz w:val="24"/>
          <w:szCs w:val="24"/>
        </w:rPr>
        <w:t>īstenot nodokļu administrēšanas pasākumus</w:t>
      </w:r>
      <w:r w:rsidRPr="006B6037">
        <w:rPr>
          <w:rFonts w:ascii="Times New Roman" w:eastAsia="Calibri" w:hAnsi="Times New Roman" w:cs="Times New Roman"/>
          <w:sz w:val="24"/>
          <w:szCs w:val="24"/>
        </w:rPr>
        <w:t>, galvenie no tiem:</w:t>
      </w:r>
    </w:p>
    <w:p w14:paraId="727B574D" w14:textId="77777777"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vienotā konta un uzkrājuma principa ieviešana; </w:t>
      </w:r>
    </w:p>
    <w:p w14:paraId="00D128B3" w14:textId="77777777"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saimnieciskās darbības ieņēmumu konta ieviešana mazajai uzņēmējdarbībai;</w:t>
      </w:r>
    </w:p>
    <w:p w14:paraId="73131B17" w14:textId="77777777"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VID pakalpojumu pieejamība un kvalitāte; </w:t>
      </w:r>
    </w:p>
    <w:p w14:paraId="3F0326CF" w14:textId="77777777"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padziļinātas sadarbības programmas reforma; </w:t>
      </w:r>
    </w:p>
    <w:p w14:paraId="76F4B654" w14:textId="77777777"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grāmatvedības prasību pārskatīšana atkarībā no apgrozījuma, statusa un darbības veida;</w:t>
      </w:r>
    </w:p>
    <w:p w14:paraId="25039A45" w14:textId="77777777" w:rsidR="006B6037" w:rsidRPr="006B6037" w:rsidRDefault="006B6037" w:rsidP="001E5D9F">
      <w:pPr>
        <w:numPr>
          <w:ilvl w:val="0"/>
          <w:numId w:val="41"/>
        </w:numPr>
        <w:spacing w:after="0" w:line="240" w:lineRule="auto"/>
        <w:ind w:left="1418"/>
        <w:jc w:val="both"/>
        <w:rPr>
          <w:rFonts w:ascii="Times New Roman" w:eastAsia="Calibri" w:hAnsi="Times New Roman" w:cs="Times New Roman"/>
          <w:sz w:val="24"/>
          <w:szCs w:val="24"/>
        </w:rPr>
      </w:pPr>
      <w:r w:rsidRPr="006B6037">
        <w:rPr>
          <w:rFonts w:ascii="Times New Roman" w:eastAsia="Calibri" w:hAnsi="Times New Roman" w:cs="Times New Roman"/>
          <w:sz w:val="24"/>
          <w:szCs w:val="24"/>
        </w:rPr>
        <w:t xml:space="preserve">IIN attaisnoto izmaksu administrēšanas optimizācija.  </w:t>
      </w:r>
    </w:p>
    <w:p w14:paraId="16421652" w14:textId="77777777" w:rsidR="006B6037" w:rsidRPr="006B6037" w:rsidRDefault="006B6037" w:rsidP="001E5D9F">
      <w:pPr>
        <w:numPr>
          <w:ilvl w:val="0"/>
          <w:numId w:val="36"/>
        </w:numPr>
        <w:spacing w:after="0" w:line="240" w:lineRule="auto"/>
        <w:ind w:left="851" w:hanging="425"/>
        <w:jc w:val="both"/>
        <w:rPr>
          <w:rFonts w:ascii="Times New Roman" w:eastAsia="Calibri" w:hAnsi="Times New Roman" w:cs="Times New Roman"/>
          <w:b/>
          <w:sz w:val="24"/>
          <w:szCs w:val="24"/>
        </w:rPr>
      </w:pPr>
      <w:r w:rsidRPr="006B6037">
        <w:rPr>
          <w:rFonts w:ascii="Times New Roman" w:eastAsia="Calibri" w:hAnsi="Times New Roman" w:cs="Times New Roman"/>
          <w:b/>
          <w:sz w:val="24"/>
          <w:szCs w:val="24"/>
        </w:rPr>
        <w:t>pilnveidot piedziņas procesus un sodu politikas.</w:t>
      </w:r>
    </w:p>
    <w:p w14:paraId="005F05AF" w14:textId="77777777" w:rsidR="006B6037" w:rsidRPr="006B6037" w:rsidRDefault="006B6037" w:rsidP="00A32ACF">
      <w:pPr>
        <w:spacing w:after="0" w:line="240" w:lineRule="auto"/>
        <w:ind w:left="360"/>
        <w:jc w:val="both"/>
        <w:rPr>
          <w:rFonts w:ascii="Times New Roman" w:eastAsia="Calibri" w:hAnsi="Times New Roman" w:cs="Times New Roman"/>
          <w:b/>
          <w:sz w:val="24"/>
          <w:szCs w:val="20"/>
        </w:rPr>
      </w:pPr>
    </w:p>
    <w:p w14:paraId="5869BF66" w14:textId="77777777" w:rsidR="006B6037" w:rsidRPr="006B6037" w:rsidRDefault="006B6037" w:rsidP="006B6037">
      <w:pPr>
        <w:spacing w:after="0" w:line="240" w:lineRule="auto"/>
        <w:ind w:left="360"/>
        <w:jc w:val="both"/>
        <w:rPr>
          <w:rFonts w:ascii="Times New Roman" w:eastAsia="Calibri" w:hAnsi="Times New Roman" w:cs="Times New Roman"/>
          <w:b/>
          <w:sz w:val="24"/>
          <w:szCs w:val="20"/>
        </w:rPr>
      </w:pPr>
    </w:p>
    <w:p w14:paraId="4877281E" w14:textId="77777777" w:rsidR="006B6037" w:rsidRPr="004D5E99" w:rsidRDefault="006B6037" w:rsidP="00A32ACF">
      <w:pPr>
        <w:spacing w:after="60" w:line="240" w:lineRule="auto"/>
        <w:ind w:left="357" w:firstLine="357"/>
        <w:jc w:val="both"/>
        <w:rPr>
          <w:rFonts w:ascii="Times New Roman" w:eastAsia="Calibri" w:hAnsi="Times New Roman" w:cs="Times New Roman"/>
          <w:b/>
          <w:sz w:val="24"/>
          <w:szCs w:val="20"/>
        </w:rPr>
      </w:pPr>
      <w:r w:rsidRPr="004D5E99">
        <w:rPr>
          <w:rFonts w:ascii="Times New Roman" w:eastAsia="Calibri" w:hAnsi="Times New Roman" w:cs="Times New Roman"/>
          <w:b/>
          <w:sz w:val="24"/>
          <w:szCs w:val="20"/>
        </w:rPr>
        <w:t>Nodokļu reformas tiešā fiskālā ietekme</w:t>
      </w:r>
    </w:p>
    <w:p w14:paraId="0A95B5AA" w14:textId="68C57409" w:rsidR="002D4062" w:rsidRPr="006B6037" w:rsidRDefault="002D4062" w:rsidP="006B6037">
      <w:pPr>
        <w:spacing w:after="0" w:line="240" w:lineRule="auto"/>
        <w:ind w:firstLine="720"/>
        <w:jc w:val="both"/>
        <w:rPr>
          <w:rFonts w:ascii="Times New Roman" w:eastAsia="Calibri" w:hAnsi="Times New Roman" w:cs="Times New Roman"/>
          <w:b/>
          <w:sz w:val="24"/>
          <w:szCs w:val="20"/>
          <w:u w:val="single"/>
        </w:rPr>
      </w:pPr>
      <w:r>
        <w:rPr>
          <w:rFonts w:ascii="Times New Roman" w:eastAsia="Calibri" w:hAnsi="Times New Roman" w:cs="Times New Roman"/>
          <w:sz w:val="24"/>
          <w:szCs w:val="20"/>
        </w:rPr>
        <w:t xml:space="preserve">Nodokļu reformas </w:t>
      </w:r>
      <w:r w:rsidRPr="0065373A">
        <w:rPr>
          <w:rFonts w:ascii="Times New Roman" w:eastAsia="Calibri" w:hAnsi="Times New Roman" w:cs="Times New Roman"/>
          <w:b/>
          <w:sz w:val="24"/>
          <w:szCs w:val="20"/>
        </w:rPr>
        <w:t>pirmais rīcības virziens</w:t>
      </w:r>
      <w:r>
        <w:rPr>
          <w:rFonts w:ascii="Times New Roman" w:eastAsia="Calibri" w:hAnsi="Times New Roman" w:cs="Times New Roman"/>
          <w:sz w:val="24"/>
          <w:szCs w:val="20"/>
        </w:rPr>
        <w:t xml:space="preserve"> – darbaspēka nodokļu sloga samazināšana rada negatīvu tiešo fiskālo ietekmi uz ieņēmumiem 318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pirmajā reformas gadā un vēl par 41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un par 12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otrajā un trešajā gadā.</w:t>
      </w:r>
    </w:p>
    <w:p w14:paraId="2C66EB8A" w14:textId="030C1C39" w:rsidR="002D4062" w:rsidRDefault="002D4062" w:rsidP="002F7CDB">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 xml:space="preserve">Nodokļi reformas </w:t>
      </w:r>
      <w:r w:rsidRPr="0065373A">
        <w:rPr>
          <w:rFonts w:ascii="Times New Roman" w:eastAsia="Calibri" w:hAnsi="Times New Roman" w:cs="Times New Roman"/>
          <w:b/>
          <w:sz w:val="24"/>
          <w:szCs w:val="20"/>
        </w:rPr>
        <w:t>otrais rīcības virziens</w:t>
      </w:r>
      <w:r>
        <w:rPr>
          <w:rFonts w:ascii="Times New Roman" w:eastAsia="Calibri" w:hAnsi="Times New Roman" w:cs="Times New Roman"/>
          <w:sz w:val="24"/>
          <w:szCs w:val="20"/>
        </w:rPr>
        <w:t xml:space="preserve"> - </w:t>
      </w:r>
      <w:r w:rsidRPr="0065373A">
        <w:rPr>
          <w:rFonts w:ascii="Times New Roman" w:eastAsia="Calibri" w:hAnsi="Times New Roman" w:cs="Times New Roman"/>
          <w:sz w:val="24"/>
          <w:szCs w:val="20"/>
        </w:rPr>
        <w:t>uzņēmumu investīciju stimulēšana un uzņēmumu starptautiskās konkurētspējas paaugstināšana</w:t>
      </w:r>
      <w:r>
        <w:rPr>
          <w:rFonts w:ascii="Times New Roman" w:eastAsia="Calibri" w:hAnsi="Times New Roman" w:cs="Times New Roman"/>
          <w:sz w:val="24"/>
          <w:szCs w:val="20"/>
        </w:rPr>
        <w:t xml:space="preserve"> rada negatīvu tiešo fiskālo ietekmi uz ieņēmumiem 150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reformas pirmajā gadā</w:t>
      </w:r>
      <w:r w:rsidR="004C01D6">
        <w:rPr>
          <w:rFonts w:ascii="Times New Roman" w:eastAsia="Calibri" w:hAnsi="Times New Roman" w:cs="Times New Roman"/>
          <w:sz w:val="24"/>
          <w:szCs w:val="20"/>
        </w:rPr>
        <w:t xml:space="preserve"> (pamatā UIN maksājumu kārtības maiņas dēļ, kas paredz arī atteikšanos no UIN avansa maksājuma)</w:t>
      </w:r>
      <w:r>
        <w:rPr>
          <w:rFonts w:ascii="Times New Roman" w:eastAsia="Calibri" w:hAnsi="Times New Roman" w:cs="Times New Roman"/>
          <w:sz w:val="24"/>
          <w:szCs w:val="20"/>
        </w:rPr>
        <w:t xml:space="preserve"> un vēl par 4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otrajā gadā, bet trešajā gadā negatīvā ietekme samazinās par 4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w:t>
      </w:r>
    </w:p>
    <w:p w14:paraId="0366CA21" w14:textId="0B5F10CD" w:rsidR="002D4062" w:rsidRDefault="002D4062" w:rsidP="002F7CDB">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 xml:space="preserve">Kompensējošie nodokļu reformas pasākumi rada 233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pozitīvu tiešo ietekmi uz ieņēmumiem 2018.gadā un vēl palielina pozitīvo ietekmi 67 </w:t>
      </w:r>
      <w:r w:rsidR="002F7CDB">
        <w:rPr>
          <w:rFonts w:ascii="Times New Roman" w:eastAsia="Calibri" w:hAnsi="Times New Roman" w:cs="Times New Roman"/>
          <w:sz w:val="24"/>
          <w:szCs w:val="20"/>
        </w:rPr>
        <w:t xml:space="preserve">milj. </w:t>
      </w:r>
      <w:proofErr w:type="spellStart"/>
      <w:r w:rsidR="002F7CDB">
        <w:rPr>
          <w:rFonts w:ascii="Times New Roman" w:eastAsia="Calibri" w:hAnsi="Times New Roman" w:cs="Times New Roman"/>
          <w:i/>
          <w:sz w:val="24"/>
          <w:szCs w:val="20"/>
        </w:rPr>
        <w:t>euro</w:t>
      </w:r>
      <w:proofErr w:type="spellEnd"/>
      <w:r w:rsidR="00B672CB">
        <w:rPr>
          <w:rFonts w:ascii="Times New Roman" w:eastAsia="Calibri" w:hAnsi="Times New Roman" w:cs="Times New Roman"/>
          <w:sz w:val="24"/>
          <w:szCs w:val="20"/>
        </w:rPr>
        <w:t xml:space="preserve"> 2018.</w:t>
      </w:r>
      <w:r>
        <w:rPr>
          <w:rFonts w:ascii="Times New Roman" w:eastAsia="Calibri" w:hAnsi="Times New Roman" w:cs="Times New Roman"/>
          <w:sz w:val="24"/>
          <w:szCs w:val="20"/>
        </w:rPr>
        <w:t xml:space="preserve">gadā un tad samazina pozitīvo ietekmi par 9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Pr>
          <w:rFonts w:ascii="Times New Roman" w:eastAsia="Calibri" w:hAnsi="Times New Roman" w:cs="Times New Roman"/>
          <w:sz w:val="24"/>
          <w:szCs w:val="20"/>
        </w:rPr>
        <w:t>.</w:t>
      </w:r>
    </w:p>
    <w:p w14:paraId="556D128E" w14:textId="7B7B89D4" w:rsidR="00A1520A" w:rsidRDefault="002D4062" w:rsidP="00CE4F37">
      <w:pPr>
        <w:spacing w:after="0" w:line="240" w:lineRule="auto"/>
        <w:ind w:firstLine="720"/>
        <w:jc w:val="both"/>
        <w:rPr>
          <w:rFonts w:ascii="Times New Roman" w:eastAsia="Calibri" w:hAnsi="Times New Roman" w:cs="Times New Roman"/>
          <w:b/>
          <w:sz w:val="24"/>
          <w:szCs w:val="20"/>
        </w:rPr>
      </w:pPr>
      <w:r w:rsidRPr="00A6606C">
        <w:rPr>
          <w:rFonts w:ascii="Times New Roman" w:eastAsia="Calibri" w:hAnsi="Times New Roman" w:cs="Times New Roman"/>
          <w:sz w:val="24"/>
          <w:szCs w:val="20"/>
        </w:rPr>
        <w:t xml:space="preserve">Nodokļu reformas </w:t>
      </w:r>
      <w:r w:rsidRPr="0065373A">
        <w:rPr>
          <w:rFonts w:ascii="Times New Roman" w:eastAsia="Calibri" w:hAnsi="Times New Roman" w:cs="Times New Roman"/>
          <w:b/>
          <w:sz w:val="24"/>
          <w:szCs w:val="20"/>
        </w:rPr>
        <w:t>kopējā</w:t>
      </w:r>
      <w:r w:rsidR="002F7CDB">
        <w:rPr>
          <w:rFonts w:ascii="Times New Roman" w:eastAsia="Calibri" w:hAnsi="Times New Roman" w:cs="Times New Roman"/>
          <w:sz w:val="24"/>
          <w:szCs w:val="20"/>
        </w:rPr>
        <w:t xml:space="preserve"> </w:t>
      </w:r>
      <w:r w:rsidR="004C01D6">
        <w:rPr>
          <w:rFonts w:ascii="Times New Roman" w:eastAsia="Calibri" w:hAnsi="Times New Roman" w:cs="Times New Roman"/>
          <w:sz w:val="24"/>
          <w:szCs w:val="20"/>
        </w:rPr>
        <w:t xml:space="preserve">tiešā </w:t>
      </w:r>
      <w:r w:rsidR="002F7CDB">
        <w:rPr>
          <w:rFonts w:ascii="Times New Roman" w:eastAsia="Calibri" w:hAnsi="Times New Roman" w:cs="Times New Roman"/>
          <w:sz w:val="24"/>
          <w:szCs w:val="20"/>
        </w:rPr>
        <w:t>negatīvā ietekme 2018.</w:t>
      </w:r>
      <w:r w:rsidR="001F013A">
        <w:rPr>
          <w:rFonts w:ascii="Times New Roman" w:eastAsia="Calibri" w:hAnsi="Times New Roman" w:cs="Times New Roman"/>
          <w:sz w:val="24"/>
          <w:szCs w:val="20"/>
        </w:rPr>
        <w:t>gadā ir</w:t>
      </w:r>
      <w:r w:rsidRPr="0065373A">
        <w:rPr>
          <w:rFonts w:ascii="Times New Roman" w:eastAsia="Calibri" w:hAnsi="Times New Roman" w:cs="Times New Roman"/>
          <w:b/>
          <w:sz w:val="24"/>
          <w:szCs w:val="20"/>
        </w:rPr>
        <w:t xml:space="preserve"> </w:t>
      </w:r>
      <w:r>
        <w:rPr>
          <w:rFonts w:ascii="Times New Roman" w:eastAsia="Calibri" w:hAnsi="Times New Roman" w:cs="Times New Roman"/>
          <w:b/>
          <w:sz w:val="24"/>
          <w:szCs w:val="20"/>
        </w:rPr>
        <w:t>235</w:t>
      </w:r>
      <w:r w:rsidRPr="0065373A">
        <w:rPr>
          <w:rFonts w:ascii="Times New Roman" w:eastAsia="Calibri" w:hAnsi="Times New Roman" w:cs="Times New Roman"/>
          <w:b/>
          <w:sz w:val="24"/>
          <w:szCs w:val="20"/>
        </w:rPr>
        <w:t xml:space="preserve"> </w:t>
      </w:r>
      <w:r w:rsidR="002F7CDB" w:rsidRPr="002F7CDB">
        <w:rPr>
          <w:rFonts w:ascii="Times New Roman" w:eastAsia="Calibri" w:hAnsi="Times New Roman" w:cs="Times New Roman"/>
          <w:b/>
          <w:sz w:val="24"/>
          <w:szCs w:val="20"/>
        </w:rPr>
        <w:t xml:space="preserve">milj. </w:t>
      </w:r>
      <w:r w:rsidR="002F7CDB" w:rsidRPr="002F7CDB">
        <w:rPr>
          <w:rFonts w:ascii="Times New Roman" w:eastAsia="Calibri" w:hAnsi="Times New Roman" w:cs="Times New Roman"/>
          <w:b/>
          <w:i/>
          <w:sz w:val="24"/>
          <w:szCs w:val="20"/>
        </w:rPr>
        <w:t>euro</w:t>
      </w:r>
      <w:r>
        <w:rPr>
          <w:rFonts w:ascii="Times New Roman" w:eastAsia="Calibri" w:hAnsi="Times New Roman" w:cs="Times New Roman"/>
          <w:sz w:val="24"/>
          <w:szCs w:val="20"/>
        </w:rPr>
        <w:t xml:space="preserve">. 2019.gadā tā samazinās par </w:t>
      </w:r>
      <w:r>
        <w:rPr>
          <w:rFonts w:ascii="Times New Roman" w:eastAsia="Calibri" w:hAnsi="Times New Roman" w:cs="Times New Roman"/>
          <w:b/>
          <w:sz w:val="24"/>
          <w:szCs w:val="20"/>
        </w:rPr>
        <w:t>23</w:t>
      </w:r>
      <w:r w:rsidRPr="0065373A">
        <w:rPr>
          <w:rFonts w:ascii="Times New Roman" w:eastAsia="Calibri" w:hAnsi="Times New Roman" w:cs="Times New Roman"/>
          <w:b/>
          <w:sz w:val="24"/>
          <w:szCs w:val="20"/>
        </w:rPr>
        <w:t xml:space="preserve"> </w:t>
      </w:r>
      <w:r w:rsidR="002F7CDB" w:rsidRPr="002F7CDB">
        <w:rPr>
          <w:rFonts w:ascii="Times New Roman" w:eastAsia="Calibri" w:hAnsi="Times New Roman" w:cs="Times New Roman"/>
          <w:b/>
          <w:sz w:val="24"/>
          <w:szCs w:val="20"/>
        </w:rPr>
        <w:t xml:space="preserve">milj. </w:t>
      </w:r>
      <w:r w:rsidR="002F7CDB" w:rsidRPr="002F7CDB">
        <w:rPr>
          <w:rFonts w:ascii="Times New Roman" w:eastAsia="Calibri" w:hAnsi="Times New Roman" w:cs="Times New Roman"/>
          <w:b/>
          <w:i/>
          <w:sz w:val="24"/>
          <w:szCs w:val="20"/>
        </w:rPr>
        <w:t>euro</w:t>
      </w:r>
      <w:r>
        <w:rPr>
          <w:rFonts w:ascii="Times New Roman" w:eastAsia="Calibri" w:hAnsi="Times New Roman" w:cs="Times New Roman"/>
          <w:sz w:val="24"/>
          <w:szCs w:val="20"/>
        </w:rPr>
        <w:t xml:space="preserve"> un 2020</w:t>
      </w:r>
      <w:r w:rsidR="002F7CDB">
        <w:rPr>
          <w:rFonts w:ascii="Times New Roman" w:eastAsia="Calibri" w:hAnsi="Times New Roman" w:cs="Times New Roman"/>
          <w:sz w:val="24"/>
          <w:szCs w:val="20"/>
        </w:rPr>
        <w:t>.</w:t>
      </w:r>
      <w:r>
        <w:rPr>
          <w:rFonts w:ascii="Times New Roman" w:eastAsia="Calibri" w:hAnsi="Times New Roman" w:cs="Times New Roman"/>
          <w:sz w:val="24"/>
          <w:szCs w:val="20"/>
        </w:rPr>
        <w:t xml:space="preserve">gadā atkal pieaug par 17 </w:t>
      </w:r>
      <w:r w:rsidR="002F7CDB">
        <w:rPr>
          <w:rFonts w:ascii="Times New Roman" w:eastAsia="Calibri" w:hAnsi="Times New Roman" w:cs="Times New Roman"/>
          <w:sz w:val="24"/>
          <w:szCs w:val="20"/>
        </w:rPr>
        <w:t xml:space="preserve">milj. </w:t>
      </w:r>
      <w:r w:rsidR="002F7CDB">
        <w:rPr>
          <w:rFonts w:ascii="Times New Roman" w:eastAsia="Calibri" w:hAnsi="Times New Roman" w:cs="Times New Roman"/>
          <w:i/>
          <w:sz w:val="24"/>
          <w:szCs w:val="20"/>
        </w:rPr>
        <w:t>euro</w:t>
      </w:r>
      <w:r w:rsidRPr="001F013A">
        <w:rPr>
          <w:rFonts w:ascii="Times New Roman" w:eastAsia="Calibri" w:hAnsi="Times New Roman" w:cs="Times New Roman"/>
          <w:sz w:val="24"/>
          <w:szCs w:val="20"/>
        </w:rPr>
        <w:t xml:space="preserve">. Skat </w:t>
      </w:r>
      <w:r w:rsidR="00A1520A">
        <w:rPr>
          <w:rFonts w:ascii="Times New Roman" w:eastAsia="Calibri" w:hAnsi="Times New Roman" w:cs="Times New Roman"/>
          <w:sz w:val="24"/>
          <w:szCs w:val="20"/>
        </w:rPr>
        <w:t>3.11</w:t>
      </w:r>
      <w:r w:rsidR="001F013A" w:rsidRPr="001F013A">
        <w:rPr>
          <w:rFonts w:ascii="Times New Roman" w:eastAsia="Calibri" w:hAnsi="Times New Roman" w:cs="Times New Roman"/>
          <w:sz w:val="24"/>
          <w:szCs w:val="20"/>
        </w:rPr>
        <w:t>.</w:t>
      </w:r>
      <w:r w:rsidRPr="001F013A">
        <w:rPr>
          <w:rFonts w:ascii="Times New Roman" w:eastAsia="Calibri" w:hAnsi="Times New Roman" w:cs="Times New Roman"/>
          <w:sz w:val="24"/>
          <w:szCs w:val="20"/>
        </w:rPr>
        <w:t>tabulu</w:t>
      </w:r>
      <w:r>
        <w:rPr>
          <w:rFonts w:ascii="Times New Roman" w:eastAsia="Calibri" w:hAnsi="Times New Roman" w:cs="Times New Roman"/>
          <w:sz w:val="24"/>
          <w:szCs w:val="20"/>
        </w:rPr>
        <w:t xml:space="preserve">. </w:t>
      </w:r>
    </w:p>
    <w:p w14:paraId="4D528644" w14:textId="77777777" w:rsidR="00D47E1F" w:rsidRDefault="00D47E1F">
      <w:pPr>
        <w:rPr>
          <w:rFonts w:ascii="Times New Roman" w:eastAsia="Calibri" w:hAnsi="Times New Roman" w:cs="Times New Roman"/>
          <w:b/>
          <w:sz w:val="24"/>
          <w:szCs w:val="20"/>
        </w:rPr>
      </w:pPr>
      <w:r>
        <w:rPr>
          <w:rFonts w:ascii="Times New Roman" w:eastAsia="Calibri" w:hAnsi="Times New Roman" w:cs="Times New Roman"/>
          <w:b/>
          <w:sz w:val="24"/>
          <w:szCs w:val="20"/>
        </w:rPr>
        <w:br w:type="page"/>
      </w:r>
    </w:p>
    <w:p w14:paraId="6118A866" w14:textId="04C9D08E" w:rsidR="002D4062" w:rsidRPr="00E27AE3" w:rsidRDefault="006E5765" w:rsidP="001F013A">
      <w:pPr>
        <w:spacing w:before="120" w:after="60" w:line="240" w:lineRule="auto"/>
        <w:jc w:val="right"/>
        <w:rPr>
          <w:rFonts w:ascii="Times New Roman" w:eastAsia="Calibri" w:hAnsi="Times New Roman" w:cs="Times New Roman"/>
          <w:b/>
          <w:sz w:val="24"/>
          <w:szCs w:val="20"/>
        </w:rPr>
      </w:pPr>
      <w:r>
        <w:rPr>
          <w:rFonts w:ascii="Times New Roman" w:eastAsia="Calibri" w:hAnsi="Times New Roman" w:cs="Times New Roman"/>
          <w:b/>
          <w:sz w:val="24"/>
          <w:szCs w:val="20"/>
        </w:rPr>
        <w:lastRenderedPageBreak/>
        <w:t>3.11</w:t>
      </w:r>
      <w:r w:rsidR="002F7CDB">
        <w:rPr>
          <w:rFonts w:ascii="Times New Roman" w:eastAsia="Calibri" w:hAnsi="Times New Roman" w:cs="Times New Roman"/>
          <w:b/>
          <w:sz w:val="24"/>
          <w:szCs w:val="20"/>
        </w:rPr>
        <w:t>.</w:t>
      </w:r>
      <w:r w:rsidR="002D4062" w:rsidRPr="00E27AE3">
        <w:rPr>
          <w:rFonts w:ascii="Times New Roman" w:eastAsia="Calibri" w:hAnsi="Times New Roman" w:cs="Times New Roman"/>
          <w:b/>
          <w:sz w:val="24"/>
          <w:szCs w:val="20"/>
        </w:rPr>
        <w:t xml:space="preserve">tabula: Nodokļu reformas tiešā diskrecionārā </w:t>
      </w:r>
      <w:r w:rsidR="002D4062">
        <w:rPr>
          <w:rFonts w:ascii="Times New Roman" w:eastAsia="Calibri" w:hAnsi="Times New Roman" w:cs="Times New Roman"/>
          <w:b/>
          <w:sz w:val="24"/>
          <w:szCs w:val="20"/>
        </w:rPr>
        <w:t>ietekme uz ieņēmumiem</w:t>
      </w:r>
      <w:r w:rsidR="002D4062" w:rsidRPr="00E27AE3">
        <w:rPr>
          <w:rFonts w:ascii="Times New Roman" w:eastAsia="Calibri" w:hAnsi="Times New Roman" w:cs="Times New Roman"/>
          <w:b/>
          <w:sz w:val="24"/>
          <w:szCs w:val="20"/>
        </w:rPr>
        <w:t xml:space="preserve"> (pēc uzkrājumu metodes)</w:t>
      </w:r>
    </w:p>
    <w:tbl>
      <w:tblPr>
        <w:tblStyle w:val="GridTable6Colorful-Accent1"/>
        <w:tblW w:w="9356" w:type="dxa"/>
        <w:jc w:val="center"/>
        <w:tblLayout w:type="fixed"/>
        <w:tblLook w:val="04A0" w:firstRow="1" w:lastRow="0" w:firstColumn="1" w:lastColumn="0" w:noHBand="0" w:noVBand="1"/>
      </w:tblPr>
      <w:tblGrid>
        <w:gridCol w:w="568"/>
        <w:gridCol w:w="1559"/>
        <w:gridCol w:w="1134"/>
        <w:gridCol w:w="1276"/>
        <w:gridCol w:w="708"/>
        <w:gridCol w:w="709"/>
        <w:gridCol w:w="709"/>
        <w:gridCol w:w="709"/>
        <w:gridCol w:w="1984"/>
      </w:tblGrid>
      <w:tr w:rsidR="002F7CDB" w:rsidRPr="00222DAE" w14:paraId="3B467CD6" w14:textId="77777777" w:rsidTr="004D5E99">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14:paraId="69B2068B"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Nr.p.k.</w:t>
            </w:r>
          </w:p>
        </w:tc>
        <w:tc>
          <w:tcPr>
            <w:tcW w:w="1559" w:type="dxa"/>
            <w:vAlign w:val="center"/>
            <w:hideMark/>
          </w:tcPr>
          <w:p w14:paraId="6DB1EB18" w14:textId="6EA26EDA" w:rsidR="002D4062" w:rsidRPr="002F7CDB" w:rsidRDefault="00CB58D4"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Pr>
                <w:rFonts w:ascii="Times New Roman" w:eastAsia="Times New Roman" w:hAnsi="Times New Roman" w:cs="Times New Roman"/>
                <w:color w:val="000000"/>
                <w:sz w:val="18"/>
                <w:szCs w:val="20"/>
                <w:lang w:eastAsia="lv-LV"/>
              </w:rPr>
              <w:t>Pasākums</w:t>
            </w:r>
          </w:p>
        </w:tc>
        <w:tc>
          <w:tcPr>
            <w:tcW w:w="1134" w:type="dxa"/>
            <w:vAlign w:val="center"/>
            <w:hideMark/>
          </w:tcPr>
          <w:p w14:paraId="5D94E76F" w14:textId="7A7D3567" w:rsidR="002D4062" w:rsidRPr="002F7CDB" w:rsidRDefault="00CB58D4"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Pr>
                <w:rFonts w:ascii="Times New Roman" w:eastAsia="Times New Roman" w:hAnsi="Times New Roman" w:cs="Times New Roman"/>
                <w:color w:val="000000"/>
                <w:sz w:val="18"/>
                <w:szCs w:val="20"/>
                <w:lang w:eastAsia="lv-LV"/>
              </w:rPr>
              <w:t>S</w:t>
            </w:r>
            <w:r w:rsidR="002D4062" w:rsidRPr="002F7CDB">
              <w:rPr>
                <w:rFonts w:ascii="Times New Roman" w:eastAsia="Times New Roman" w:hAnsi="Times New Roman" w:cs="Times New Roman"/>
                <w:color w:val="000000"/>
                <w:sz w:val="18"/>
                <w:szCs w:val="20"/>
                <w:lang w:eastAsia="lv-LV"/>
              </w:rPr>
              <w:t>tatu</w:t>
            </w:r>
            <w:r>
              <w:rPr>
                <w:rFonts w:ascii="Times New Roman" w:eastAsia="Times New Roman" w:hAnsi="Times New Roman" w:cs="Times New Roman"/>
                <w:color w:val="000000"/>
                <w:sz w:val="18"/>
                <w:szCs w:val="20"/>
                <w:lang w:eastAsia="lv-LV"/>
              </w:rPr>
              <w:t>ss</w:t>
            </w:r>
          </w:p>
        </w:tc>
        <w:tc>
          <w:tcPr>
            <w:tcW w:w="1276" w:type="dxa"/>
            <w:vAlign w:val="center"/>
            <w:hideMark/>
          </w:tcPr>
          <w:p w14:paraId="5DE074BC" w14:textId="0D3E3A6F" w:rsidR="002F7CDB" w:rsidRDefault="002F7CDB"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I</w:t>
            </w:r>
            <w:r w:rsidR="002D4062" w:rsidRPr="002F7CDB">
              <w:rPr>
                <w:rFonts w:ascii="Times New Roman" w:eastAsia="Times New Roman" w:hAnsi="Times New Roman" w:cs="Times New Roman"/>
                <w:color w:val="000000"/>
                <w:sz w:val="18"/>
                <w:szCs w:val="20"/>
                <w:lang w:eastAsia="lv-LV"/>
              </w:rPr>
              <w:t>eņēmumi</w:t>
            </w:r>
          </w:p>
          <w:p w14:paraId="347F86EF" w14:textId="591A37ED" w:rsidR="002D4062" w:rsidRPr="002F7CDB"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/izdevumi</w:t>
            </w:r>
          </w:p>
        </w:tc>
        <w:tc>
          <w:tcPr>
            <w:tcW w:w="708" w:type="dxa"/>
            <w:vAlign w:val="center"/>
            <w:hideMark/>
          </w:tcPr>
          <w:p w14:paraId="1B685119" w14:textId="77777777" w:rsidR="002D4062" w:rsidRPr="002F7CDB"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ESA kods</w:t>
            </w:r>
          </w:p>
        </w:tc>
        <w:tc>
          <w:tcPr>
            <w:tcW w:w="709" w:type="dxa"/>
            <w:vAlign w:val="center"/>
            <w:hideMark/>
          </w:tcPr>
          <w:p w14:paraId="0BFBF07F" w14:textId="77777777" w:rsidR="002D4062" w:rsidRPr="002F7CDB"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2018</w:t>
            </w:r>
          </w:p>
        </w:tc>
        <w:tc>
          <w:tcPr>
            <w:tcW w:w="709" w:type="dxa"/>
            <w:vAlign w:val="center"/>
            <w:hideMark/>
          </w:tcPr>
          <w:p w14:paraId="5B45E564" w14:textId="77777777" w:rsidR="002D4062" w:rsidRPr="002F7CDB"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2019</w:t>
            </w:r>
          </w:p>
        </w:tc>
        <w:tc>
          <w:tcPr>
            <w:tcW w:w="709" w:type="dxa"/>
            <w:vAlign w:val="center"/>
            <w:hideMark/>
          </w:tcPr>
          <w:p w14:paraId="237E2271" w14:textId="77777777" w:rsidR="002D4062" w:rsidRPr="002F7CDB"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2020</w:t>
            </w:r>
          </w:p>
        </w:tc>
        <w:tc>
          <w:tcPr>
            <w:tcW w:w="1984" w:type="dxa"/>
            <w:vAlign w:val="center"/>
            <w:hideMark/>
          </w:tcPr>
          <w:p w14:paraId="38FC1F38" w14:textId="35584D10" w:rsidR="002D4062" w:rsidRPr="002F7CDB" w:rsidRDefault="00CB58D4"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Pr>
                <w:rFonts w:ascii="Times New Roman" w:eastAsia="Times New Roman" w:hAnsi="Times New Roman" w:cs="Times New Roman"/>
                <w:color w:val="000000"/>
                <w:sz w:val="18"/>
                <w:szCs w:val="20"/>
                <w:lang w:eastAsia="lv-LV"/>
              </w:rPr>
              <w:t>Novērtējuma apraksts</w:t>
            </w:r>
          </w:p>
        </w:tc>
      </w:tr>
      <w:tr w:rsidR="002D4062" w:rsidRPr="00222DAE" w14:paraId="3EACB01E"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356" w:type="dxa"/>
            <w:gridSpan w:val="9"/>
            <w:vAlign w:val="center"/>
            <w:hideMark/>
          </w:tcPr>
          <w:p w14:paraId="1A300140"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 Rīcības virziens – samazināt darbaspēka nodokļu slogu</w:t>
            </w:r>
          </w:p>
        </w:tc>
      </w:tr>
      <w:tr w:rsidR="002F7CDB" w:rsidRPr="00222DAE" w14:paraId="7D8AEA7D" w14:textId="77777777" w:rsidTr="004D5E99">
        <w:trPr>
          <w:trHeight w:val="298"/>
          <w:jc w:val="center"/>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14:paraId="01ED4DC3"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Align w:val="center"/>
            <w:hideMark/>
          </w:tcPr>
          <w:p w14:paraId="07CCE3AC"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Align w:val="center"/>
            <w:hideMark/>
          </w:tcPr>
          <w:p w14:paraId="5A46E8F2"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vAlign w:val="center"/>
            <w:hideMark/>
          </w:tcPr>
          <w:p w14:paraId="6D6363D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8" w:type="dxa"/>
            <w:vAlign w:val="center"/>
            <w:hideMark/>
          </w:tcPr>
          <w:p w14:paraId="18FB3602"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kopā:</w:t>
            </w:r>
          </w:p>
        </w:tc>
        <w:tc>
          <w:tcPr>
            <w:tcW w:w="709" w:type="dxa"/>
            <w:vAlign w:val="center"/>
            <w:hideMark/>
          </w:tcPr>
          <w:p w14:paraId="7853B607"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20"/>
                <w:lang w:eastAsia="lv-LV"/>
              </w:rPr>
            </w:pPr>
            <w:r w:rsidRPr="002F7CDB">
              <w:rPr>
                <w:rFonts w:ascii="Times New Roman" w:eastAsia="Times New Roman" w:hAnsi="Times New Roman" w:cs="Times New Roman"/>
                <w:b/>
                <w:bCs/>
                <w:color w:val="000000"/>
                <w:sz w:val="18"/>
                <w:szCs w:val="20"/>
                <w:lang w:eastAsia="lv-LV"/>
              </w:rPr>
              <w:t>-318,3</w:t>
            </w:r>
          </w:p>
        </w:tc>
        <w:tc>
          <w:tcPr>
            <w:tcW w:w="709" w:type="dxa"/>
            <w:vAlign w:val="center"/>
            <w:hideMark/>
          </w:tcPr>
          <w:p w14:paraId="3E7B1970"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20"/>
                <w:lang w:eastAsia="lv-LV"/>
              </w:rPr>
            </w:pPr>
            <w:r w:rsidRPr="002F7CDB">
              <w:rPr>
                <w:rFonts w:ascii="Times New Roman" w:eastAsia="Times New Roman" w:hAnsi="Times New Roman" w:cs="Times New Roman"/>
                <w:b/>
                <w:bCs/>
                <w:color w:val="000000"/>
                <w:sz w:val="18"/>
                <w:szCs w:val="20"/>
                <w:lang w:eastAsia="lv-LV"/>
              </w:rPr>
              <w:t>-41,0</w:t>
            </w:r>
          </w:p>
        </w:tc>
        <w:tc>
          <w:tcPr>
            <w:tcW w:w="709" w:type="dxa"/>
            <w:vAlign w:val="center"/>
            <w:hideMark/>
          </w:tcPr>
          <w:p w14:paraId="138BB0F0"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20"/>
                <w:lang w:eastAsia="lv-LV"/>
              </w:rPr>
            </w:pPr>
            <w:r w:rsidRPr="002F7CDB">
              <w:rPr>
                <w:rFonts w:ascii="Times New Roman" w:eastAsia="Times New Roman" w:hAnsi="Times New Roman" w:cs="Times New Roman"/>
                <w:b/>
                <w:bCs/>
                <w:color w:val="000000"/>
                <w:sz w:val="18"/>
                <w:szCs w:val="20"/>
                <w:lang w:eastAsia="lv-LV"/>
              </w:rPr>
              <w:t>-12,1</w:t>
            </w:r>
          </w:p>
        </w:tc>
        <w:tc>
          <w:tcPr>
            <w:tcW w:w="1984" w:type="dxa"/>
            <w:vAlign w:val="center"/>
            <w:hideMark/>
          </w:tcPr>
          <w:p w14:paraId="710F9318"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648E8926" w14:textId="77777777" w:rsidTr="004D5E99">
        <w:trPr>
          <w:cnfStyle w:val="000000100000" w:firstRow="0" w:lastRow="0" w:firstColumn="0" w:lastColumn="0" w:oddVBand="0" w:evenVBand="0" w:oddHBand="1" w:evenHBand="0" w:firstRowFirstColumn="0" w:firstRowLastColumn="0" w:lastRowFirstColumn="0" w:lastRowLastColumn="0"/>
          <w:trHeight w:val="3286"/>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5552B778"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w:t>
            </w:r>
          </w:p>
        </w:tc>
        <w:tc>
          <w:tcPr>
            <w:tcW w:w="1559" w:type="dxa"/>
            <w:vAlign w:val="center"/>
            <w:hideMark/>
          </w:tcPr>
          <w:p w14:paraId="61554C63" w14:textId="4CD4F09E" w:rsidR="002D4062" w:rsidRPr="002F7CDB" w:rsidRDefault="002F7CDB"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Pr>
                <w:rFonts w:ascii="Times New Roman" w:eastAsia="Times New Roman" w:hAnsi="Times New Roman" w:cs="Times New Roman"/>
                <w:color w:val="000000"/>
                <w:sz w:val="18"/>
                <w:szCs w:val="20"/>
                <w:lang w:eastAsia="lv-LV"/>
              </w:rPr>
              <w:t>IIN</w:t>
            </w:r>
            <w:r w:rsidR="002D4062" w:rsidRPr="002F7CDB">
              <w:rPr>
                <w:rFonts w:ascii="Times New Roman" w:eastAsia="Times New Roman" w:hAnsi="Times New Roman" w:cs="Times New Roman"/>
                <w:color w:val="000000"/>
                <w:sz w:val="18"/>
                <w:szCs w:val="20"/>
                <w:lang w:eastAsia="lv-LV"/>
              </w:rPr>
              <w:t xml:space="preserve"> sloga samazināšana</w:t>
            </w:r>
          </w:p>
        </w:tc>
        <w:tc>
          <w:tcPr>
            <w:tcW w:w="1134" w:type="dxa"/>
            <w:vAlign w:val="center"/>
            <w:hideMark/>
          </w:tcPr>
          <w:p w14:paraId="20604AFB"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292950EF"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31129AD2"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31CA3465"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-284,2</w:t>
            </w:r>
          </w:p>
        </w:tc>
        <w:tc>
          <w:tcPr>
            <w:tcW w:w="709" w:type="dxa"/>
            <w:vAlign w:val="center"/>
            <w:hideMark/>
          </w:tcPr>
          <w:p w14:paraId="3548D2D2"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-33,8</w:t>
            </w:r>
          </w:p>
        </w:tc>
        <w:tc>
          <w:tcPr>
            <w:tcW w:w="709" w:type="dxa"/>
            <w:vAlign w:val="center"/>
            <w:hideMark/>
          </w:tcPr>
          <w:p w14:paraId="45CC8ABF"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-11,3</w:t>
            </w:r>
          </w:p>
        </w:tc>
        <w:tc>
          <w:tcPr>
            <w:tcW w:w="1984" w:type="dxa"/>
            <w:vAlign w:val="center"/>
            <w:hideMark/>
          </w:tcPr>
          <w:p w14:paraId="52F38DAA" w14:textId="625C7AAC"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Progresīvās IIN likmes un diferencētā neapliekamā minimuma strādājošajiem ieviešana</w:t>
            </w:r>
            <w:r w:rsidRPr="002F7CDB">
              <w:rPr>
                <w:rFonts w:ascii="Times New Roman" w:eastAsia="Times New Roman" w:hAnsi="Times New Roman" w:cs="Times New Roman"/>
                <w:color w:val="000000"/>
                <w:sz w:val="18"/>
                <w:szCs w:val="20"/>
                <w:lang w:eastAsia="lv-LV"/>
              </w:rPr>
              <w:br/>
            </w:r>
            <w:r w:rsidRPr="002F7CDB">
              <w:rPr>
                <w:rFonts w:ascii="Times New Roman" w:eastAsia="Times New Roman" w:hAnsi="Times New Roman" w:cs="Times New Roman"/>
                <w:color w:val="000000"/>
                <w:sz w:val="18"/>
                <w:szCs w:val="20"/>
                <w:u w:val="single"/>
                <w:lang w:eastAsia="lv-LV"/>
              </w:rPr>
              <w:t>IIN likme</w:t>
            </w:r>
            <w:r w:rsidRPr="002F7CDB">
              <w:rPr>
                <w:rFonts w:ascii="Times New Roman" w:eastAsia="Times New Roman" w:hAnsi="Times New Roman" w:cs="Times New Roman"/>
                <w:color w:val="000000"/>
                <w:sz w:val="18"/>
                <w:szCs w:val="20"/>
                <w:lang w:eastAsia="lv-LV"/>
              </w:rPr>
              <w:br/>
              <w:t xml:space="preserve">- 20% ienākumiem līdz 45'000 </w:t>
            </w:r>
            <w:r w:rsidR="002F7CDB" w:rsidRPr="002F7CDB">
              <w:rPr>
                <w:rFonts w:ascii="Times New Roman" w:eastAsia="Times New Roman" w:hAnsi="Times New Roman" w:cs="Times New Roman"/>
                <w:i/>
                <w:color w:val="000000"/>
                <w:sz w:val="18"/>
                <w:szCs w:val="20"/>
                <w:lang w:eastAsia="lv-LV"/>
              </w:rPr>
              <w:t>euro</w:t>
            </w:r>
            <w:r w:rsidR="002F7CDB" w:rsidRPr="002F7CDB">
              <w:rPr>
                <w:rFonts w:ascii="Times New Roman" w:eastAsia="Times New Roman" w:hAnsi="Times New Roman" w:cs="Times New Roman"/>
                <w:color w:val="000000"/>
                <w:sz w:val="18"/>
                <w:szCs w:val="20"/>
                <w:lang w:eastAsia="lv-LV"/>
              </w:rPr>
              <w:t xml:space="preserve"> </w:t>
            </w:r>
            <w:r w:rsidRPr="002F7CDB">
              <w:rPr>
                <w:rFonts w:ascii="Times New Roman" w:eastAsia="Times New Roman" w:hAnsi="Times New Roman" w:cs="Times New Roman"/>
                <w:color w:val="000000"/>
                <w:sz w:val="18"/>
                <w:szCs w:val="20"/>
                <w:lang w:eastAsia="lv-LV"/>
              </w:rPr>
              <w:t>gadā;</w:t>
            </w:r>
            <w:r w:rsidRPr="002F7CDB">
              <w:rPr>
                <w:rFonts w:ascii="Times New Roman" w:eastAsia="Times New Roman" w:hAnsi="Times New Roman" w:cs="Times New Roman"/>
                <w:color w:val="000000"/>
                <w:sz w:val="18"/>
                <w:szCs w:val="20"/>
                <w:lang w:eastAsia="lv-LV"/>
              </w:rPr>
              <w:br/>
              <w:t xml:space="preserve">- 23% ienākumu daļai, kas pārsniedz 45'000 </w:t>
            </w:r>
            <w:r w:rsidR="002F7CDB" w:rsidRPr="002F7CDB">
              <w:rPr>
                <w:rFonts w:ascii="Times New Roman" w:eastAsia="Times New Roman" w:hAnsi="Times New Roman" w:cs="Times New Roman"/>
                <w:i/>
                <w:color w:val="000000"/>
                <w:sz w:val="18"/>
                <w:szCs w:val="20"/>
                <w:lang w:eastAsia="lv-LV"/>
              </w:rPr>
              <w:t>euro</w:t>
            </w:r>
            <w:r w:rsidR="002F7CDB" w:rsidRPr="002F7CDB">
              <w:rPr>
                <w:rFonts w:ascii="Times New Roman" w:eastAsia="Times New Roman" w:hAnsi="Times New Roman" w:cs="Times New Roman"/>
                <w:color w:val="000000"/>
                <w:sz w:val="18"/>
                <w:szCs w:val="20"/>
                <w:lang w:eastAsia="lv-LV"/>
              </w:rPr>
              <w:t xml:space="preserve"> </w:t>
            </w:r>
            <w:r w:rsidRPr="002F7CDB">
              <w:rPr>
                <w:rFonts w:ascii="Times New Roman" w:eastAsia="Times New Roman" w:hAnsi="Times New Roman" w:cs="Times New Roman"/>
                <w:color w:val="000000"/>
                <w:sz w:val="18"/>
                <w:szCs w:val="20"/>
                <w:lang w:eastAsia="lv-LV"/>
              </w:rPr>
              <w:t>gadā.</w:t>
            </w:r>
            <w:r w:rsidRPr="002F7CDB">
              <w:rPr>
                <w:rFonts w:ascii="Times New Roman" w:eastAsia="Times New Roman" w:hAnsi="Times New Roman" w:cs="Times New Roman"/>
                <w:color w:val="000000"/>
                <w:sz w:val="18"/>
                <w:szCs w:val="20"/>
                <w:lang w:eastAsia="lv-LV"/>
              </w:rPr>
              <w:br/>
            </w:r>
            <w:r w:rsidRPr="002F7CDB">
              <w:rPr>
                <w:rFonts w:ascii="Times New Roman" w:eastAsia="Times New Roman" w:hAnsi="Times New Roman" w:cs="Times New Roman"/>
                <w:color w:val="000000"/>
                <w:sz w:val="18"/>
                <w:szCs w:val="20"/>
                <w:u w:val="single"/>
                <w:lang w:eastAsia="lv-LV"/>
              </w:rPr>
              <w:t>Diferencētais NM</w:t>
            </w:r>
            <w:r w:rsidRPr="002F7CDB">
              <w:rPr>
                <w:rFonts w:ascii="Times New Roman" w:eastAsia="Times New Roman" w:hAnsi="Times New Roman" w:cs="Times New Roman"/>
                <w:color w:val="000000"/>
                <w:sz w:val="18"/>
                <w:szCs w:val="20"/>
                <w:lang w:eastAsia="lv-LV"/>
              </w:rPr>
              <w:br/>
              <w:t xml:space="preserve">0-250 </w:t>
            </w:r>
            <w:r w:rsidR="002F7CDB" w:rsidRPr="002F7CDB">
              <w:rPr>
                <w:rFonts w:ascii="Times New Roman" w:eastAsia="Times New Roman" w:hAnsi="Times New Roman" w:cs="Times New Roman"/>
                <w:i/>
                <w:color w:val="000000"/>
                <w:sz w:val="18"/>
                <w:szCs w:val="20"/>
                <w:lang w:eastAsia="lv-LV"/>
              </w:rPr>
              <w:t>euro</w:t>
            </w:r>
            <w:r w:rsidR="002F7CDB" w:rsidRPr="002F7CDB">
              <w:rPr>
                <w:rFonts w:ascii="Times New Roman" w:eastAsia="Times New Roman" w:hAnsi="Times New Roman" w:cs="Times New Roman"/>
                <w:color w:val="000000"/>
                <w:sz w:val="18"/>
                <w:szCs w:val="20"/>
                <w:lang w:eastAsia="lv-LV"/>
              </w:rPr>
              <w:t xml:space="preserve"> </w:t>
            </w:r>
            <w:r w:rsidRPr="002F7CDB">
              <w:rPr>
                <w:rFonts w:ascii="Times New Roman" w:eastAsia="Times New Roman" w:hAnsi="Times New Roman" w:cs="Times New Roman"/>
                <w:color w:val="000000"/>
                <w:sz w:val="18"/>
                <w:szCs w:val="20"/>
                <w:lang w:eastAsia="lv-LV"/>
              </w:rPr>
              <w:t xml:space="preserve">ieviešanas gadā (min slieksnis 440 </w:t>
            </w:r>
            <w:r w:rsidRPr="002F7CDB">
              <w:rPr>
                <w:rFonts w:ascii="Times New Roman" w:eastAsia="Times New Roman" w:hAnsi="Times New Roman" w:cs="Times New Roman"/>
                <w:i/>
                <w:color w:val="000000"/>
                <w:sz w:val="18"/>
                <w:szCs w:val="20"/>
                <w:lang w:eastAsia="lv-LV"/>
              </w:rPr>
              <w:t>euro</w:t>
            </w:r>
            <w:r w:rsidRPr="002F7CDB">
              <w:rPr>
                <w:rFonts w:ascii="Times New Roman" w:eastAsia="Times New Roman" w:hAnsi="Times New Roman" w:cs="Times New Roman"/>
                <w:color w:val="000000"/>
                <w:sz w:val="18"/>
                <w:szCs w:val="20"/>
                <w:lang w:eastAsia="lv-LV"/>
              </w:rPr>
              <w:t xml:space="preserve">, max slieksnis 1350 </w:t>
            </w:r>
            <w:r w:rsidR="002F7CDB" w:rsidRPr="002F7CDB">
              <w:rPr>
                <w:rFonts w:ascii="Times New Roman" w:eastAsia="Times New Roman" w:hAnsi="Times New Roman" w:cs="Times New Roman"/>
                <w:i/>
                <w:color w:val="000000"/>
                <w:sz w:val="18"/>
                <w:szCs w:val="20"/>
                <w:lang w:eastAsia="lv-LV"/>
              </w:rPr>
              <w:t>euro</w:t>
            </w:r>
            <w:r w:rsidRPr="002F7CDB">
              <w:rPr>
                <w:rFonts w:ascii="Times New Roman" w:eastAsia="Times New Roman" w:hAnsi="Times New Roman" w:cs="Times New Roman"/>
                <w:color w:val="000000"/>
                <w:sz w:val="18"/>
                <w:szCs w:val="20"/>
                <w:lang w:eastAsia="lv-LV"/>
              </w:rPr>
              <w:t>);</w:t>
            </w:r>
            <w:r w:rsidRPr="002F7CDB">
              <w:rPr>
                <w:rFonts w:ascii="Times New Roman" w:eastAsia="Times New Roman" w:hAnsi="Times New Roman" w:cs="Times New Roman"/>
                <w:color w:val="000000"/>
                <w:sz w:val="18"/>
                <w:szCs w:val="20"/>
                <w:lang w:eastAsia="lv-LV"/>
              </w:rPr>
              <w:br/>
              <w:t xml:space="preserve">0-300 </w:t>
            </w:r>
            <w:r w:rsidR="002F7CDB" w:rsidRPr="002F7CDB">
              <w:rPr>
                <w:rFonts w:ascii="Times New Roman" w:eastAsia="Times New Roman" w:hAnsi="Times New Roman" w:cs="Times New Roman"/>
                <w:i/>
                <w:color w:val="000000"/>
                <w:sz w:val="18"/>
                <w:szCs w:val="20"/>
                <w:lang w:eastAsia="lv-LV"/>
              </w:rPr>
              <w:t>euro</w:t>
            </w:r>
            <w:r w:rsidR="002F7CDB" w:rsidRPr="002F7CDB">
              <w:rPr>
                <w:rFonts w:ascii="Times New Roman" w:eastAsia="Times New Roman" w:hAnsi="Times New Roman" w:cs="Times New Roman"/>
                <w:color w:val="000000"/>
                <w:sz w:val="18"/>
                <w:szCs w:val="20"/>
                <w:lang w:eastAsia="lv-LV"/>
              </w:rPr>
              <w:t xml:space="preserve"> </w:t>
            </w:r>
            <w:r w:rsidRPr="002F7CDB">
              <w:rPr>
                <w:rFonts w:ascii="Times New Roman" w:eastAsia="Times New Roman" w:hAnsi="Times New Roman" w:cs="Times New Roman"/>
                <w:color w:val="000000"/>
                <w:sz w:val="18"/>
                <w:szCs w:val="20"/>
                <w:lang w:eastAsia="lv-LV"/>
              </w:rPr>
              <w:t>n+1 gadā</w:t>
            </w:r>
          </w:p>
        </w:tc>
      </w:tr>
      <w:tr w:rsidR="002F7CDB" w:rsidRPr="00222DAE" w14:paraId="392E324F" w14:textId="77777777" w:rsidTr="004D5E99">
        <w:trPr>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4B306134"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w:t>
            </w:r>
          </w:p>
        </w:tc>
        <w:tc>
          <w:tcPr>
            <w:tcW w:w="1559" w:type="dxa"/>
            <w:vMerge w:val="restart"/>
            <w:vAlign w:val="center"/>
            <w:hideMark/>
          </w:tcPr>
          <w:p w14:paraId="1A0DDF09" w14:textId="48C4087D"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Solidaritātes nodokļa atcelšana, ieviešot </w:t>
            </w:r>
            <w:r w:rsidR="00F225E9">
              <w:rPr>
                <w:rFonts w:ascii="Times New Roman" w:eastAsia="Times New Roman" w:hAnsi="Times New Roman" w:cs="Times New Roman"/>
                <w:color w:val="000000"/>
                <w:sz w:val="18"/>
                <w:szCs w:val="20"/>
                <w:lang w:eastAsia="lv-LV"/>
              </w:rPr>
              <w:t>VSAOI</w:t>
            </w:r>
            <w:r w:rsidRPr="002F7CDB">
              <w:rPr>
                <w:rFonts w:ascii="Times New Roman" w:eastAsia="Times New Roman" w:hAnsi="Times New Roman" w:cs="Times New Roman"/>
                <w:color w:val="000000"/>
                <w:sz w:val="18"/>
                <w:szCs w:val="20"/>
                <w:lang w:eastAsia="lv-LV"/>
              </w:rPr>
              <w:t xml:space="preserve"> objekta maksimālā apmēra otrā līmeņa griestus</w:t>
            </w:r>
          </w:p>
        </w:tc>
        <w:tc>
          <w:tcPr>
            <w:tcW w:w="1134" w:type="dxa"/>
            <w:vMerge w:val="restart"/>
            <w:vAlign w:val="center"/>
            <w:hideMark/>
          </w:tcPr>
          <w:p w14:paraId="21321943"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19FFF3A3"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0B3274F5"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29BD8C15"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5,5</w:t>
            </w:r>
          </w:p>
        </w:tc>
        <w:tc>
          <w:tcPr>
            <w:tcW w:w="709" w:type="dxa"/>
            <w:vAlign w:val="center"/>
            <w:hideMark/>
          </w:tcPr>
          <w:p w14:paraId="67B3DA7E"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79D1FDF2"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restart"/>
            <w:vAlign w:val="center"/>
            <w:hideMark/>
          </w:tcPr>
          <w:p w14:paraId="08081585" w14:textId="25F674E5"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Solidaritātes nodokļa atcelšana un vienlaicīgi  palielinot </w:t>
            </w:r>
            <w:r w:rsidR="00F225E9">
              <w:rPr>
                <w:rFonts w:ascii="Times New Roman" w:eastAsia="Times New Roman" w:hAnsi="Times New Roman" w:cs="Times New Roman"/>
                <w:color w:val="000000"/>
                <w:sz w:val="18"/>
                <w:szCs w:val="20"/>
                <w:lang w:eastAsia="lv-LV"/>
              </w:rPr>
              <w:t>VSAOI</w:t>
            </w:r>
            <w:r w:rsidRPr="002F7CDB">
              <w:rPr>
                <w:rFonts w:ascii="Times New Roman" w:eastAsia="Times New Roman" w:hAnsi="Times New Roman" w:cs="Times New Roman"/>
                <w:color w:val="000000"/>
                <w:sz w:val="18"/>
                <w:szCs w:val="20"/>
                <w:lang w:eastAsia="lv-LV"/>
              </w:rPr>
              <w:t xml:space="preserve"> objekta maksimālā apmēru no 52400 līdz 85400 </w:t>
            </w:r>
            <w:r w:rsidRPr="002F7CDB">
              <w:rPr>
                <w:rFonts w:ascii="Times New Roman" w:eastAsia="Times New Roman" w:hAnsi="Times New Roman" w:cs="Times New Roman"/>
                <w:i/>
                <w:color w:val="000000"/>
                <w:sz w:val="18"/>
                <w:szCs w:val="20"/>
                <w:lang w:eastAsia="lv-LV"/>
              </w:rPr>
              <w:t>euro</w:t>
            </w:r>
          </w:p>
        </w:tc>
      </w:tr>
      <w:tr w:rsidR="002F7CDB" w:rsidRPr="00222DAE" w14:paraId="4E9F732D"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3C4CD3DF"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6A68DD50"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53FF34F5"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009F6E41"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VSAOI</w:t>
            </w:r>
          </w:p>
        </w:tc>
        <w:tc>
          <w:tcPr>
            <w:tcW w:w="708" w:type="dxa"/>
            <w:noWrap/>
            <w:vAlign w:val="center"/>
            <w:hideMark/>
          </w:tcPr>
          <w:p w14:paraId="7F555F85"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D61</w:t>
            </w:r>
          </w:p>
        </w:tc>
        <w:tc>
          <w:tcPr>
            <w:tcW w:w="709" w:type="dxa"/>
            <w:vAlign w:val="center"/>
            <w:hideMark/>
          </w:tcPr>
          <w:p w14:paraId="093E5C18"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20,2</w:t>
            </w:r>
          </w:p>
        </w:tc>
        <w:tc>
          <w:tcPr>
            <w:tcW w:w="709" w:type="dxa"/>
            <w:vAlign w:val="center"/>
            <w:hideMark/>
          </w:tcPr>
          <w:p w14:paraId="385FBD97"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4BF91E86"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2F14DE43"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76F8E4D1" w14:textId="77777777" w:rsidTr="004D5E99">
        <w:trPr>
          <w:trHeight w:val="597"/>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56126016"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19FD048F"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1AA4B040"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vAlign w:val="center"/>
            <w:hideMark/>
          </w:tcPr>
          <w:p w14:paraId="5F27DE67" w14:textId="77777777" w:rsid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Solidaritātes</w:t>
            </w:r>
          </w:p>
          <w:p w14:paraId="3B0A59F9" w14:textId="505EC7E8"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nodoklis</w:t>
            </w:r>
          </w:p>
        </w:tc>
        <w:tc>
          <w:tcPr>
            <w:tcW w:w="708" w:type="dxa"/>
            <w:noWrap/>
            <w:vAlign w:val="center"/>
            <w:hideMark/>
          </w:tcPr>
          <w:p w14:paraId="172A6D51"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D51A</w:t>
            </w:r>
          </w:p>
        </w:tc>
        <w:tc>
          <w:tcPr>
            <w:tcW w:w="709" w:type="dxa"/>
            <w:vAlign w:val="center"/>
            <w:hideMark/>
          </w:tcPr>
          <w:p w14:paraId="51B07752"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-44,1</w:t>
            </w:r>
          </w:p>
        </w:tc>
        <w:tc>
          <w:tcPr>
            <w:tcW w:w="709" w:type="dxa"/>
            <w:vAlign w:val="center"/>
            <w:hideMark/>
          </w:tcPr>
          <w:p w14:paraId="79DE55C9"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-7,2</w:t>
            </w:r>
          </w:p>
        </w:tc>
        <w:tc>
          <w:tcPr>
            <w:tcW w:w="709" w:type="dxa"/>
            <w:vAlign w:val="center"/>
            <w:hideMark/>
          </w:tcPr>
          <w:p w14:paraId="618DE76B"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-0,8</w:t>
            </w:r>
          </w:p>
        </w:tc>
        <w:tc>
          <w:tcPr>
            <w:tcW w:w="1984" w:type="dxa"/>
            <w:vMerge/>
            <w:vAlign w:val="center"/>
            <w:hideMark/>
          </w:tcPr>
          <w:p w14:paraId="1BF3E730"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28B4D93C"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456F1199"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3</w:t>
            </w:r>
          </w:p>
        </w:tc>
        <w:tc>
          <w:tcPr>
            <w:tcW w:w="1559" w:type="dxa"/>
            <w:vMerge w:val="restart"/>
            <w:vAlign w:val="center"/>
            <w:hideMark/>
          </w:tcPr>
          <w:p w14:paraId="5102F52B"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Minimālās mēneša darba algas paaugstināšana</w:t>
            </w:r>
          </w:p>
        </w:tc>
        <w:tc>
          <w:tcPr>
            <w:tcW w:w="1134" w:type="dxa"/>
            <w:vMerge w:val="restart"/>
            <w:vAlign w:val="center"/>
            <w:hideMark/>
          </w:tcPr>
          <w:p w14:paraId="7984639C"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66EE5493"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602F83CF"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19E0986F"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7,9</w:t>
            </w:r>
          </w:p>
        </w:tc>
        <w:tc>
          <w:tcPr>
            <w:tcW w:w="709" w:type="dxa"/>
            <w:vAlign w:val="center"/>
            <w:hideMark/>
          </w:tcPr>
          <w:p w14:paraId="584493F1"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59EC788A"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restart"/>
            <w:vAlign w:val="center"/>
            <w:hideMark/>
          </w:tcPr>
          <w:p w14:paraId="5FD926DD" w14:textId="1E1A7F6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Minimālās mēneša darba algas paaugstināšana no 380 līdz 430 </w:t>
            </w:r>
            <w:r w:rsidR="002F7CDB" w:rsidRPr="002F7CDB">
              <w:rPr>
                <w:rFonts w:ascii="Times New Roman" w:eastAsia="Times New Roman" w:hAnsi="Times New Roman" w:cs="Times New Roman"/>
                <w:i/>
                <w:color w:val="000000"/>
                <w:sz w:val="18"/>
                <w:szCs w:val="20"/>
                <w:lang w:eastAsia="lv-LV"/>
              </w:rPr>
              <w:t>euro</w:t>
            </w:r>
          </w:p>
        </w:tc>
      </w:tr>
      <w:tr w:rsidR="002F7CDB" w:rsidRPr="00222DAE" w14:paraId="46CB1C57" w14:textId="77777777" w:rsidTr="004D5E99">
        <w:trPr>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3CFE8A52"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0C0D361F"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71E1FDE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05D775EC"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VSAOI</w:t>
            </w:r>
          </w:p>
        </w:tc>
        <w:tc>
          <w:tcPr>
            <w:tcW w:w="708" w:type="dxa"/>
            <w:noWrap/>
            <w:vAlign w:val="center"/>
            <w:hideMark/>
          </w:tcPr>
          <w:p w14:paraId="35D385EC"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D61</w:t>
            </w:r>
          </w:p>
        </w:tc>
        <w:tc>
          <w:tcPr>
            <w:tcW w:w="709" w:type="dxa"/>
            <w:vAlign w:val="center"/>
            <w:hideMark/>
          </w:tcPr>
          <w:p w14:paraId="0EC58880"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19,5</w:t>
            </w:r>
          </w:p>
        </w:tc>
        <w:tc>
          <w:tcPr>
            <w:tcW w:w="709" w:type="dxa"/>
            <w:vAlign w:val="center"/>
            <w:hideMark/>
          </w:tcPr>
          <w:p w14:paraId="4B126134"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1B27E567"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64986E44"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04A2DC05"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790B162F"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395F0E73"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0EBA118B"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vAlign w:val="center"/>
            <w:hideMark/>
          </w:tcPr>
          <w:p w14:paraId="133FCB14"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p>
        </w:tc>
        <w:tc>
          <w:tcPr>
            <w:tcW w:w="708" w:type="dxa"/>
            <w:noWrap/>
            <w:vAlign w:val="center"/>
            <w:hideMark/>
          </w:tcPr>
          <w:p w14:paraId="115E7FFB"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p>
        </w:tc>
        <w:tc>
          <w:tcPr>
            <w:tcW w:w="709" w:type="dxa"/>
            <w:vAlign w:val="center"/>
            <w:hideMark/>
          </w:tcPr>
          <w:p w14:paraId="71607F1F"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1DF9B848"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101F6AEA"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205554CC"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6DB392DA" w14:textId="77777777" w:rsidTr="004D5E99">
        <w:trPr>
          <w:trHeight w:val="1194"/>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76DF7159"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4</w:t>
            </w:r>
          </w:p>
        </w:tc>
        <w:tc>
          <w:tcPr>
            <w:tcW w:w="1559" w:type="dxa"/>
            <w:vAlign w:val="center"/>
            <w:hideMark/>
          </w:tcPr>
          <w:p w14:paraId="750C52BF"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Neapliekamā minimuma pensionāriem paaugstināšana</w:t>
            </w:r>
          </w:p>
        </w:tc>
        <w:tc>
          <w:tcPr>
            <w:tcW w:w="1134" w:type="dxa"/>
            <w:vAlign w:val="center"/>
            <w:hideMark/>
          </w:tcPr>
          <w:p w14:paraId="74CF6D7B"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54A810E0"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4E9C51B1"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5DF6D7DA"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-43,1</w:t>
            </w:r>
          </w:p>
        </w:tc>
        <w:tc>
          <w:tcPr>
            <w:tcW w:w="709" w:type="dxa"/>
            <w:vAlign w:val="center"/>
            <w:hideMark/>
          </w:tcPr>
          <w:p w14:paraId="61C3BD41"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2D405881"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Align w:val="center"/>
            <w:hideMark/>
          </w:tcPr>
          <w:p w14:paraId="18902A4D" w14:textId="1D7EB6E9"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Pensionāru neapliekamā minimuma paaugstināšana no 235 līdz 300 </w:t>
            </w:r>
            <w:r w:rsidR="002F7CDB" w:rsidRPr="002F7CDB">
              <w:rPr>
                <w:rFonts w:ascii="Times New Roman" w:eastAsia="Times New Roman" w:hAnsi="Times New Roman" w:cs="Times New Roman"/>
                <w:i/>
                <w:color w:val="000000"/>
                <w:sz w:val="18"/>
                <w:szCs w:val="20"/>
                <w:lang w:eastAsia="lv-LV"/>
              </w:rPr>
              <w:t>euro</w:t>
            </w:r>
          </w:p>
        </w:tc>
      </w:tr>
      <w:tr w:rsidR="002D4062" w:rsidRPr="00222DAE" w14:paraId="63E5A6EC"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356" w:type="dxa"/>
            <w:gridSpan w:val="9"/>
            <w:vAlign w:val="center"/>
            <w:hideMark/>
          </w:tcPr>
          <w:p w14:paraId="1D15AEF5"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 Rīcības virziens – uzņēmumu investīciju stimulēšana un uzņēmumu starptautiskās konkurētspējas paaugstināšana</w:t>
            </w:r>
          </w:p>
        </w:tc>
      </w:tr>
      <w:tr w:rsidR="002F7CDB" w:rsidRPr="00222DAE" w14:paraId="749331E3" w14:textId="77777777" w:rsidTr="004D5E99">
        <w:trPr>
          <w:trHeight w:val="298"/>
          <w:jc w:val="center"/>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14:paraId="7C41953B"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Align w:val="center"/>
            <w:hideMark/>
          </w:tcPr>
          <w:p w14:paraId="7B06EF0B"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Align w:val="center"/>
            <w:hideMark/>
          </w:tcPr>
          <w:p w14:paraId="540D6784"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vAlign w:val="center"/>
            <w:hideMark/>
          </w:tcPr>
          <w:p w14:paraId="214909CC"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8" w:type="dxa"/>
            <w:vAlign w:val="center"/>
            <w:hideMark/>
          </w:tcPr>
          <w:p w14:paraId="0A099E98"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kopā:</w:t>
            </w:r>
          </w:p>
        </w:tc>
        <w:tc>
          <w:tcPr>
            <w:tcW w:w="709" w:type="dxa"/>
            <w:vAlign w:val="center"/>
            <w:hideMark/>
          </w:tcPr>
          <w:p w14:paraId="2E15EBA3"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-149,8</w:t>
            </w:r>
          </w:p>
        </w:tc>
        <w:tc>
          <w:tcPr>
            <w:tcW w:w="709" w:type="dxa"/>
            <w:vAlign w:val="center"/>
            <w:hideMark/>
          </w:tcPr>
          <w:p w14:paraId="19FD8B75"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-3,5</w:t>
            </w:r>
          </w:p>
        </w:tc>
        <w:tc>
          <w:tcPr>
            <w:tcW w:w="709" w:type="dxa"/>
            <w:vAlign w:val="center"/>
            <w:hideMark/>
          </w:tcPr>
          <w:p w14:paraId="2EDBC6AB"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4,2</w:t>
            </w:r>
          </w:p>
        </w:tc>
        <w:tc>
          <w:tcPr>
            <w:tcW w:w="1984" w:type="dxa"/>
            <w:vAlign w:val="center"/>
            <w:hideMark/>
          </w:tcPr>
          <w:p w14:paraId="40616CA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1CA5CF2C" w14:textId="77777777" w:rsidTr="004D5E99">
        <w:trPr>
          <w:cnfStyle w:val="000000100000" w:firstRow="0" w:lastRow="0" w:firstColumn="0" w:lastColumn="0" w:oddVBand="0" w:evenVBand="0" w:oddHBand="1" w:evenHBand="0" w:firstRowFirstColumn="0" w:firstRowLastColumn="0" w:lastRowFirstColumn="0" w:lastRowLastColumn="0"/>
          <w:trHeight w:val="919"/>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4DEDDA22"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5</w:t>
            </w:r>
          </w:p>
        </w:tc>
        <w:tc>
          <w:tcPr>
            <w:tcW w:w="1559" w:type="dxa"/>
            <w:vMerge w:val="restart"/>
            <w:vAlign w:val="center"/>
            <w:hideMark/>
          </w:tcPr>
          <w:p w14:paraId="38D6302E"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UIN režīma maiņa</w:t>
            </w:r>
          </w:p>
        </w:tc>
        <w:tc>
          <w:tcPr>
            <w:tcW w:w="1134" w:type="dxa"/>
            <w:vMerge w:val="restart"/>
            <w:vAlign w:val="center"/>
            <w:hideMark/>
          </w:tcPr>
          <w:p w14:paraId="0C0328C9"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704052DA"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UIN</w:t>
            </w:r>
          </w:p>
        </w:tc>
        <w:tc>
          <w:tcPr>
            <w:tcW w:w="708" w:type="dxa"/>
            <w:noWrap/>
            <w:vAlign w:val="center"/>
            <w:hideMark/>
          </w:tcPr>
          <w:p w14:paraId="6EB758FF"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0ADE2CBF"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-322,9</w:t>
            </w:r>
          </w:p>
        </w:tc>
        <w:tc>
          <w:tcPr>
            <w:tcW w:w="709" w:type="dxa"/>
            <w:vAlign w:val="center"/>
            <w:hideMark/>
          </w:tcPr>
          <w:p w14:paraId="0867437A"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173,5</w:t>
            </w:r>
          </w:p>
        </w:tc>
        <w:tc>
          <w:tcPr>
            <w:tcW w:w="709" w:type="dxa"/>
            <w:vAlign w:val="center"/>
            <w:hideMark/>
          </w:tcPr>
          <w:p w14:paraId="7C94599C"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6,3</w:t>
            </w:r>
          </w:p>
        </w:tc>
        <w:tc>
          <w:tcPr>
            <w:tcW w:w="1984" w:type="dxa"/>
            <w:vMerge w:val="restart"/>
            <w:vAlign w:val="center"/>
            <w:hideMark/>
          </w:tcPr>
          <w:p w14:paraId="623EC203" w14:textId="3B2D4E52"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Reinvestētās peļņas modeļa ieviešana attiecībā uz UIN, 0% IIN likmes piemērošana izmaksātajām dividendēm pēc 5 gadu pārejas perioda beigām (izņemot no ārvalstīm saņemtās dividendes un </w:t>
            </w:r>
            <w:r w:rsidR="001F013A">
              <w:rPr>
                <w:rFonts w:ascii="Times New Roman" w:eastAsia="Times New Roman" w:hAnsi="Times New Roman" w:cs="Times New Roman"/>
                <w:color w:val="000000"/>
                <w:sz w:val="18"/>
                <w:szCs w:val="20"/>
                <w:lang w:eastAsia="lv-LV"/>
              </w:rPr>
              <w:t>mikrouzņēmuma</w:t>
            </w:r>
            <w:r w:rsidRPr="002F7CDB">
              <w:rPr>
                <w:rFonts w:ascii="Times New Roman" w:eastAsia="Times New Roman" w:hAnsi="Times New Roman" w:cs="Times New Roman"/>
                <w:color w:val="000000"/>
                <w:sz w:val="18"/>
                <w:szCs w:val="20"/>
                <w:lang w:eastAsia="lv-LV"/>
              </w:rPr>
              <w:t xml:space="preserve"> maksātās dividendes, kam tiek piemērota 20% IIN likme)</w:t>
            </w:r>
          </w:p>
        </w:tc>
      </w:tr>
      <w:tr w:rsidR="002F7CDB" w:rsidRPr="00222DAE" w14:paraId="583C4E09" w14:textId="77777777" w:rsidTr="004D5E99">
        <w:trPr>
          <w:trHeight w:val="919"/>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20099BE9"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2BAEF3B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71C8848D"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34920398"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60A0A71F"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0E38465A"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134,7</w:t>
            </w:r>
          </w:p>
        </w:tc>
        <w:tc>
          <w:tcPr>
            <w:tcW w:w="709" w:type="dxa"/>
            <w:vAlign w:val="center"/>
            <w:hideMark/>
          </w:tcPr>
          <w:p w14:paraId="1FEFA85D"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-177</w:t>
            </w:r>
          </w:p>
        </w:tc>
        <w:tc>
          <w:tcPr>
            <w:tcW w:w="709" w:type="dxa"/>
            <w:vAlign w:val="center"/>
            <w:hideMark/>
          </w:tcPr>
          <w:p w14:paraId="481ABE11"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-2,1</w:t>
            </w:r>
          </w:p>
        </w:tc>
        <w:tc>
          <w:tcPr>
            <w:tcW w:w="1984" w:type="dxa"/>
            <w:vMerge/>
            <w:vAlign w:val="center"/>
            <w:hideMark/>
          </w:tcPr>
          <w:p w14:paraId="44FA7A8D"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038DC30E" w14:textId="77777777" w:rsidTr="004D5E99">
        <w:trPr>
          <w:cnfStyle w:val="000000100000" w:firstRow="0" w:lastRow="0" w:firstColumn="0" w:lastColumn="0" w:oddVBand="0" w:evenVBand="0" w:oddHBand="1" w:evenHBand="0" w:firstRowFirstColumn="0" w:firstRowLastColumn="0" w:lastRowFirstColumn="0" w:lastRowLastColumn="0"/>
          <w:trHeight w:val="1254"/>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1C8A8ECE"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6</w:t>
            </w:r>
          </w:p>
        </w:tc>
        <w:tc>
          <w:tcPr>
            <w:tcW w:w="1559" w:type="dxa"/>
            <w:vMerge w:val="restart"/>
            <w:vAlign w:val="center"/>
            <w:hideMark/>
          </w:tcPr>
          <w:p w14:paraId="0A953F05"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IIN likmju  izlīdzināšana dažādiem ienākuma veidiem</w:t>
            </w:r>
          </w:p>
        </w:tc>
        <w:tc>
          <w:tcPr>
            <w:tcW w:w="1134" w:type="dxa"/>
            <w:vMerge w:val="restart"/>
            <w:vAlign w:val="center"/>
            <w:hideMark/>
          </w:tcPr>
          <w:p w14:paraId="1A9F4F8D"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6CBB988E"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73D87299"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51B150E4"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30,7</w:t>
            </w:r>
          </w:p>
        </w:tc>
        <w:tc>
          <w:tcPr>
            <w:tcW w:w="709" w:type="dxa"/>
            <w:vAlign w:val="center"/>
            <w:hideMark/>
          </w:tcPr>
          <w:p w14:paraId="1A7917AB"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328DB09F"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restart"/>
            <w:vAlign w:val="center"/>
            <w:hideMark/>
          </w:tcPr>
          <w:p w14:paraId="00BD91C4"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T.sk. - IIN likmes palielināšana kapitālam (ienākumiem no procentiem no 10% līdz 20% un ienākumam no kapitāla pieauguma no </w:t>
            </w:r>
            <w:r w:rsidRPr="002F7CDB">
              <w:rPr>
                <w:rFonts w:ascii="Times New Roman" w:eastAsia="Times New Roman" w:hAnsi="Times New Roman" w:cs="Times New Roman"/>
                <w:color w:val="000000"/>
                <w:sz w:val="18"/>
                <w:szCs w:val="20"/>
                <w:lang w:eastAsia="lv-LV"/>
              </w:rPr>
              <w:lastRenderedPageBreak/>
              <w:t>15% līdz 20%), ienākumam no augoša meža/kokmateriālu pārdošanas - izdevumu normas  un ), IIN likmes izmaiņas  20% (IIN likme palielinājums no 10% līdz 20%) u.c. pasākumi</w:t>
            </w:r>
          </w:p>
        </w:tc>
      </w:tr>
      <w:tr w:rsidR="002F7CDB" w:rsidRPr="00222DAE" w14:paraId="745371A4" w14:textId="77777777" w:rsidTr="004D5E99">
        <w:trPr>
          <w:trHeight w:val="1120"/>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7080A210"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11D62B12"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603F114D"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6E87A6EA"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VSAOI</w:t>
            </w:r>
          </w:p>
        </w:tc>
        <w:tc>
          <w:tcPr>
            <w:tcW w:w="708" w:type="dxa"/>
            <w:noWrap/>
            <w:vAlign w:val="center"/>
            <w:hideMark/>
          </w:tcPr>
          <w:p w14:paraId="651B4715"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D61</w:t>
            </w:r>
          </w:p>
        </w:tc>
        <w:tc>
          <w:tcPr>
            <w:tcW w:w="709" w:type="dxa"/>
            <w:vAlign w:val="center"/>
            <w:hideMark/>
          </w:tcPr>
          <w:p w14:paraId="6282D601" w14:textId="77777777" w:rsidR="002D4062" w:rsidRPr="002F7CDB" w:rsidRDefault="002D4062" w:rsidP="00B63B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7,7</w:t>
            </w:r>
          </w:p>
        </w:tc>
        <w:tc>
          <w:tcPr>
            <w:tcW w:w="709" w:type="dxa"/>
            <w:hideMark/>
          </w:tcPr>
          <w:p w14:paraId="5058DB59" w14:textId="77777777" w:rsidR="002D4062" w:rsidRPr="002F7CDB" w:rsidRDefault="002D4062" w:rsidP="002F7C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hideMark/>
          </w:tcPr>
          <w:p w14:paraId="7BE3D040" w14:textId="77777777" w:rsidR="002D4062" w:rsidRPr="002F7CDB" w:rsidRDefault="002D4062" w:rsidP="002F7C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6DB92F2B"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D4062" w:rsidRPr="00222DAE" w14:paraId="467D997A"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9356" w:type="dxa"/>
            <w:gridSpan w:val="9"/>
            <w:vAlign w:val="center"/>
            <w:hideMark/>
          </w:tcPr>
          <w:p w14:paraId="403B8582" w14:textId="4BCC618E" w:rsidR="002D4062" w:rsidRPr="002F7CDB" w:rsidRDefault="004C01D6" w:rsidP="006C67E6">
            <w:pPr>
              <w:jc w:val="center"/>
              <w:rPr>
                <w:rFonts w:ascii="Times New Roman" w:eastAsia="Times New Roman" w:hAnsi="Times New Roman" w:cs="Times New Roman"/>
                <w:color w:val="000000"/>
                <w:sz w:val="18"/>
                <w:szCs w:val="20"/>
                <w:lang w:eastAsia="lv-LV"/>
              </w:rPr>
            </w:pPr>
            <w:r>
              <w:rPr>
                <w:rFonts w:ascii="Times New Roman" w:eastAsia="Times New Roman" w:hAnsi="Times New Roman" w:cs="Times New Roman"/>
                <w:color w:val="000000"/>
                <w:sz w:val="18"/>
                <w:szCs w:val="20"/>
                <w:lang w:eastAsia="lv-LV"/>
              </w:rPr>
              <w:t>Papildu k</w:t>
            </w:r>
            <w:r w:rsidR="002D4062" w:rsidRPr="002F7CDB">
              <w:rPr>
                <w:rFonts w:ascii="Times New Roman" w:eastAsia="Times New Roman" w:hAnsi="Times New Roman" w:cs="Times New Roman"/>
                <w:color w:val="000000"/>
                <w:sz w:val="18"/>
                <w:szCs w:val="20"/>
                <w:lang w:eastAsia="lv-LV"/>
              </w:rPr>
              <w:t>ompensējošie pasākumi</w:t>
            </w:r>
          </w:p>
        </w:tc>
      </w:tr>
      <w:tr w:rsidR="002F7CDB" w:rsidRPr="00222DAE" w14:paraId="123421C8" w14:textId="77777777" w:rsidTr="004D5E99">
        <w:trPr>
          <w:trHeight w:val="298"/>
          <w:jc w:val="center"/>
        </w:trPr>
        <w:tc>
          <w:tcPr>
            <w:cnfStyle w:val="001000000000" w:firstRow="0" w:lastRow="0" w:firstColumn="1" w:lastColumn="0" w:oddVBand="0" w:evenVBand="0" w:oddHBand="0" w:evenHBand="0" w:firstRowFirstColumn="0" w:firstRowLastColumn="0" w:lastRowFirstColumn="0" w:lastRowLastColumn="0"/>
            <w:tcW w:w="568" w:type="dxa"/>
            <w:vAlign w:val="center"/>
            <w:hideMark/>
          </w:tcPr>
          <w:p w14:paraId="5B75C193"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Align w:val="center"/>
            <w:hideMark/>
          </w:tcPr>
          <w:p w14:paraId="4F8FFF9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Align w:val="center"/>
            <w:hideMark/>
          </w:tcPr>
          <w:p w14:paraId="624D1FD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vAlign w:val="center"/>
            <w:hideMark/>
          </w:tcPr>
          <w:p w14:paraId="43CC6396"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8" w:type="dxa"/>
            <w:vAlign w:val="center"/>
            <w:hideMark/>
          </w:tcPr>
          <w:p w14:paraId="1315467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kopā:</w:t>
            </w:r>
          </w:p>
        </w:tc>
        <w:tc>
          <w:tcPr>
            <w:tcW w:w="709" w:type="dxa"/>
            <w:vAlign w:val="center"/>
            <w:hideMark/>
          </w:tcPr>
          <w:p w14:paraId="323CF5F5"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233,4</w:t>
            </w:r>
          </w:p>
        </w:tc>
        <w:tc>
          <w:tcPr>
            <w:tcW w:w="709" w:type="dxa"/>
            <w:vAlign w:val="center"/>
            <w:hideMark/>
          </w:tcPr>
          <w:p w14:paraId="67B490B8"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67,0</w:t>
            </w:r>
          </w:p>
        </w:tc>
        <w:tc>
          <w:tcPr>
            <w:tcW w:w="709" w:type="dxa"/>
            <w:vAlign w:val="center"/>
            <w:hideMark/>
          </w:tcPr>
          <w:p w14:paraId="1520BF15"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20"/>
                <w:lang w:eastAsia="lv-LV"/>
              </w:rPr>
            </w:pPr>
            <w:r w:rsidRPr="002F7CDB">
              <w:rPr>
                <w:rFonts w:ascii="Times New Roman" w:eastAsia="Times New Roman" w:hAnsi="Times New Roman" w:cs="Times New Roman"/>
                <w:b/>
                <w:color w:val="000000"/>
                <w:sz w:val="18"/>
                <w:szCs w:val="20"/>
                <w:lang w:eastAsia="lv-LV"/>
              </w:rPr>
              <w:t>-8,9</w:t>
            </w:r>
          </w:p>
        </w:tc>
        <w:tc>
          <w:tcPr>
            <w:tcW w:w="1984" w:type="dxa"/>
            <w:vAlign w:val="center"/>
            <w:hideMark/>
          </w:tcPr>
          <w:p w14:paraId="244F531C"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622DC593" w14:textId="77777777" w:rsidTr="004D5E99">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7500A981"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7</w:t>
            </w:r>
          </w:p>
        </w:tc>
        <w:tc>
          <w:tcPr>
            <w:tcW w:w="1559" w:type="dxa"/>
            <w:vMerge w:val="restart"/>
            <w:vAlign w:val="center"/>
            <w:hideMark/>
          </w:tcPr>
          <w:p w14:paraId="3573AE61"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PVN iekasēšanas uzlabošana, kā arī mērķtiecīga un efektīva PVN atvieglojumu un samazinātās likmes piemērošana</w:t>
            </w:r>
          </w:p>
        </w:tc>
        <w:tc>
          <w:tcPr>
            <w:tcW w:w="1134" w:type="dxa"/>
            <w:vMerge w:val="restart"/>
            <w:vAlign w:val="center"/>
            <w:hideMark/>
          </w:tcPr>
          <w:p w14:paraId="31F58419"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32D98A26"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PVN</w:t>
            </w:r>
          </w:p>
        </w:tc>
        <w:tc>
          <w:tcPr>
            <w:tcW w:w="708" w:type="dxa"/>
            <w:noWrap/>
            <w:vAlign w:val="center"/>
            <w:hideMark/>
          </w:tcPr>
          <w:p w14:paraId="5E95B031"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D211</w:t>
            </w:r>
          </w:p>
        </w:tc>
        <w:tc>
          <w:tcPr>
            <w:tcW w:w="709" w:type="dxa"/>
            <w:vAlign w:val="center"/>
            <w:hideMark/>
          </w:tcPr>
          <w:p w14:paraId="2F952038"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70,8</w:t>
            </w:r>
          </w:p>
        </w:tc>
        <w:tc>
          <w:tcPr>
            <w:tcW w:w="709" w:type="dxa"/>
            <w:vAlign w:val="center"/>
            <w:hideMark/>
          </w:tcPr>
          <w:p w14:paraId="0701C4B6"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69E42EB7"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restart"/>
            <w:vAlign w:val="center"/>
            <w:hideMark/>
          </w:tcPr>
          <w:p w14:paraId="71E10FF3" w14:textId="4300AC36"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PVN reģistrācijas sliekšņa samazināšana no 50000 </w:t>
            </w:r>
            <w:r w:rsidRPr="001F013A">
              <w:rPr>
                <w:rFonts w:ascii="Times New Roman" w:eastAsia="Times New Roman" w:hAnsi="Times New Roman" w:cs="Times New Roman"/>
                <w:i/>
                <w:color w:val="000000"/>
                <w:sz w:val="18"/>
                <w:szCs w:val="20"/>
                <w:lang w:eastAsia="lv-LV"/>
              </w:rPr>
              <w:t>euro</w:t>
            </w:r>
            <w:r w:rsidRPr="002F7CDB">
              <w:rPr>
                <w:rFonts w:ascii="Times New Roman" w:eastAsia="Times New Roman" w:hAnsi="Times New Roman" w:cs="Times New Roman"/>
                <w:color w:val="000000"/>
                <w:sz w:val="18"/>
                <w:szCs w:val="20"/>
                <w:lang w:eastAsia="lv-LV"/>
              </w:rPr>
              <w:t xml:space="preserve"> līdz 40000 </w:t>
            </w:r>
            <w:r w:rsidR="001F013A" w:rsidRPr="001F013A">
              <w:rPr>
                <w:rFonts w:ascii="Times New Roman" w:eastAsia="Times New Roman" w:hAnsi="Times New Roman" w:cs="Times New Roman"/>
                <w:i/>
                <w:color w:val="000000"/>
                <w:sz w:val="18"/>
                <w:szCs w:val="20"/>
                <w:lang w:eastAsia="lv-LV"/>
              </w:rPr>
              <w:t>euro</w:t>
            </w:r>
            <w:r w:rsidRPr="002F7CDB">
              <w:rPr>
                <w:rFonts w:ascii="Times New Roman" w:eastAsia="Times New Roman" w:hAnsi="Times New Roman" w:cs="Times New Roman"/>
                <w:color w:val="000000"/>
                <w:sz w:val="18"/>
                <w:szCs w:val="20"/>
                <w:lang w:eastAsia="lv-LV"/>
              </w:rPr>
              <w:t>;</w:t>
            </w:r>
            <w:r w:rsidRPr="002F7CDB">
              <w:rPr>
                <w:rFonts w:ascii="Times New Roman" w:eastAsia="Times New Roman" w:hAnsi="Times New Roman" w:cs="Times New Roman"/>
                <w:color w:val="000000"/>
                <w:sz w:val="18"/>
                <w:szCs w:val="20"/>
                <w:lang w:eastAsia="lv-LV"/>
              </w:rPr>
              <w:br/>
              <w:t>Samazinātās PVN likmes atcelšana izmitināšanas pakalpojumiem tūristu mītnēs;</w:t>
            </w:r>
            <w:r w:rsidRPr="002F7CDB">
              <w:rPr>
                <w:rFonts w:ascii="Times New Roman" w:eastAsia="Times New Roman" w:hAnsi="Times New Roman" w:cs="Times New Roman"/>
                <w:color w:val="000000"/>
                <w:sz w:val="18"/>
                <w:szCs w:val="20"/>
                <w:lang w:eastAsia="lv-LV"/>
              </w:rPr>
              <w:br/>
              <w:t>PVN darījumu atšifrēšanas sliekšņa samazināšana PVN deklarācijās;</w:t>
            </w:r>
            <w:r w:rsidRPr="002F7CDB">
              <w:rPr>
                <w:rFonts w:ascii="Times New Roman" w:eastAsia="Times New Roman" w:hAnsi="Times New Roman" w:cs="Times New Roman"/>
                <w:color w:val="000000"/>
                <w:sz w:val="18"/>
                <w:szCs w:val="20"/>
                <w:lang w:eastAsia="lv-LV"/>
              </w:rPr>
              <w:br/>
              <w:t>PVN reversa paplašināšana, ieviešot būvmateriālu un sadzīves tehnikas tirdzniecībā.</w:t>
            </w:r>
          </w:p>
        </w:tc>
      </w:tr>
      <w:tr w:rsidR="002F7CDB" w:rsidRPr="00222DAE" w14:paraId="49ADE1A4" w14:textId="77777777" w:rsidTr="004D5E99">
        <w:trPr>
          <w:trHeight w:val="657"/>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1101929D"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04624E55"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4A63B652"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6E563E6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7DA4F4B8"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3C4D2810"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3,4</w:t>
            </w:r>
          </w:p>
        </w:tc>
        <w:tc>
          <w:tcPr>
            <w:tcW w:w="709" w:type="dxa"/>
            <w:vAlign w:val="center"/>
            <w:hideMark/>
          </w:tcPr>
          <w:p w14:paraId="7706B2F8"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570CC708"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203C7053"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0D584C35" w14:textId="77777777" w:rsidTr="004D5E99">
        <w:trPr>
          <w:cnfStyle w:val="000000100000" w:firstRow="0" w:lastRow="0" w:firstColumn="0" w:lastColumn="0" w:oddVBand="0" w:evenVBand="0" w:oddHBand="1"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2EB620FA"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1C1BECD7"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7659BBA9"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6B812E24"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VSAOI</w:t>
            </w:r>
          </w:p>
        </w:tc>
        <w:tc>
          <w:tcPr>
            <w:tcW w:w="708" w:type="dxa"/>
            <w:noWrap/>
            <w:vAlign w:val="center"/>
            <w:hideMark/>
          </w:tcPr>
          <w:p w14:paraId="55D3FCB5"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D61</w:t>
            </w:r>
          </w:p>
        </w:tc>
        <w:tc>
          <w:tcPr>
            <w:tcW w:w="709" w:type="dxa"/>
            <w:vAlign w:val="center"/>
            <w:hideMark/>
          </w:tcPr>
          <w:p w14:paraId="40929FAB"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4,7</w:t>
            </w:r>
          </w:p>
        </w:tc>
        <w:tc>
          <w:tcPr>
            <w:tcW w:w="709" w:type="dxa"/>
            <w:vAlign w:val="center"/>
            <w:hideMark/>
          </w:tcPr>
          <w:p w14:paraId="54043CE2"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41A09B2B"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496D9E22"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159658F4" w14:textId="77777777" w:rsidTr="004D5E99">
        <w:trPr>
          <w:trHeight w:val="1045"/>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0F70362B"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8</w:t>
            </w:r>
          </w:p>
        </w:tc>
        <w:tc>
          <w:tcPr>
            <w:tcW w:w="1559" w:type="dxa"/>
            <w:vMerge w:val="restart"/>
            <w:vAlign w:val="center"/>
            <w:hideMark/>
          </w:tcPr>
          <w:p w14:paraId="5EDAC9D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Akcīzes nodokļa likmju pārskatīšana, pārnesot nodokļu slogu uz patēriņa un vides nodokļiem</w:t>
            </w:r>
          </w:p>
        </w:tc>
        <w:tc>
          <w:tcPr>
            <w:tcW w:w="1134" w:type="dxa"/>
            <w:vMerge w:val="restart"/>
            <w:vAlign w:val="center"/>
            <w:hideMark/>
          </w:tcPr>
          <w:p w14:paraId="0A7E1C1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23096AAA"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Akcīzes nodoklis</w:t>
            </w:r>
          </w:p>
        </w:tc>
        <w:tc>
          <w:tcPr>
            <w:tcW w:w="708" w:type="dxa"/>
            <w:noWrap/>
            <w:vAlign w:val="center"/>
            <w:hideMark/>
          </w:tcPr>
          <w:p w14:paraId="3B4DC55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D214A</w:t>
            </w:r>
          </w:p>
        </w:tc>
        <w:tc>
          <w:tcPr>
            <w:tcW w:w="709" w:type="dxa"/>
            <w:vAlign w:val="center"/>
            <w:hideMark/>
          </w:tcPr>
          <w:p w14:paraId="31985C52"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41,8</w:t>
            </w:r>
          </w:p>
        </w:tc>
        <w:tc>
          <w:tcPr>
            <w:tcW w:w="709" w:type="dxa"/>
            <w:vAlign w:val="center"/>
            <w:hideMark/>
          </w:tcPr>
          <w:p w14:paraId="3D1A74BB"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15,4</w:t>
            </w:r>
          </w:p>
        </w:tc>
        <w:tc>
          <w:tcPr>
            <w:tcW w:w="709" w:type="dxa"/>
            <w:vAlign w:val="center"/>
            <w:hideMark/>
          </w:tcPr>
          <w:p w14:paraId="3AFCF397"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31,0</w:t>
            </w:r>
          </w:p>
        </w:tc>
        <w:tc>
          <w:tcPr>
            <w:tcW w:w="1984" w:type="dxa"/>
            <w:vMerge w:val="restart"/>
            <w:vAlign w:val="center"/>
            <w:hideMark/>
          </w:tcPr>
          <w:p w14:paraId="1519B08A" w14:textId="76B0D36D"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Akcīzes nodokļa likmju paaugstināšana:</w:t>
            </w:r>
            <w:r w:rsidRPr="002F7CDB">
              <w:rPr>
                <w:rFonts w:ascii="Times New Roman" w:eastAsia="Times New Roman" w:hAnsi="Times New Roman" w:cs="Times New Roman"/>
                <w:color w:val="000000"/>
                <w:sz w:val="18"/>
                <w:szCs w:val="20"/>
                <w:lang w:eastAsia="lv-LV"/>
              </w:rPr>
              <w:br/>
              <w:t>- naftas produktiem, ko izmanto par degvielu, 2018.- 2020.gadā vidēji par 11,5%;</w:t>
            </w:r>
            <w:r w:rsidRPr="002F7CDB">
              <w:rPr>
                <w:rFonts w:ascii="Times New Roman" w:eastAsia="Times New Roman" w:hAnsi="Times New Roman" w:cs="Times New Roman"/>
                <w:color w:val="000000"/>
                <w:sz w:val="18"/>
                <w:szCs w:val="20"/>
                <w:lang w:eastAsia="lv-LV"/>
              </w:rPr>
              <w:br/>
              <w:t>-alkoholiskajiem dzērieniem  2018.-2020.gadā vidēji par 12,6%;</w:t>
            </w:r>
            <w:r w:rsidRPr="002F7CDB">
              <w:rPr>
                <w:rFonts w:ascii="Times New Roman" w:eastAsia="Times New Roman" w:hAnsi="Times New Roman" w:cs="Times New Roman"/>
                <w:color w:val="000000"/>
                <w:sz w:val="18"/>
                <w:szCs w:val="20"/>
                <w:lang w:eastAsia="lv-LV"/>
              </w:rPr>
              <w:br/>
              <w:t>-alum 2018.-2020.gadā vidēji par 14,9%;</w:t>
            </w:r>
            <w:r w:rsidRPr="002F7CDB">
              <w:rPr>
                <w:rFonts w:ascii="Times New Roman" w:eastAsia="Times New Roman" w:hAnsi="Times New Roman" w:cs="Times New Roman"/>
                <w:color w:val="000000"/>
                <w:sz w:val="18"/>
                <w:szCs w:val="20"/>
                <w:lang w:eastAsia="lv-LV"/>
              </w:rPr>
              <w:br/>
              <w:t>-tabakas izstrādāju</w:t>
            </w:r>
            <w:r w:rsidR="001F013A">
              <w:rPr>
                <w:rFonts w:ascii="Times New Roman" w:eastAsia="Times New Roman" w:hAnsi="Times New Roman" w:cs="Times New Roman"/>
                <w:color w:val="000000"/>
                <w:sz w:val="18"/>
                <w:szCs w:val="20"/>
                <w:lang w:eastAsia="lv-LV"/>
              </w:rPr>
              <w:t>miem 2018.-2020.gadā vidēji par</w:t>
            </w:r>
            <w:r w:rsidRPr="002F7CDB">
              <w:rPr>
                <w:rFonts w:ascii="Times New Roman" w:eastAsia="Times New Roman" w:hAnsi="Times New Roman" w:cs="Times New Roman"/>
                <w:color w:val="000000"/>
                <w:sz w:val="18"/>
                <w:szCs w:val="20"/>
                <w:lang w:eastAsia="lv-LV"/>
              </w:rPr>
              <w:t xml:space="preserve"> 6,5%.</w:t>
            </w:r>
          </w:p>
        </w:tc>
      </w:tr>
      <w:tr w:rsidR="002F7CDB" w:rsidRPr="00222DAE" w14:paraId="6109EA6C" w14:textId="77777777" w:rsidTr="004D5E99">
        <w:trPr>
          <w:cnfStyle w:val="000000100000" w:firstRow="0" w:lastRow="0" w:firstColumn="0" w:lastColumn="0" w:oddVBand="0" w:evenVBand="0" w:oddHBand="1" w:evenHBand="0" w:firstRowFirstColumn="0" w:firstRowLastColumn="0" w:lastRowFirstColumn="0" w:lastRowLastColumn="0"/>
          <w:trHeight w:val="113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43DF52AB"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697355A4"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08A96786"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65F52537"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PVN</w:t>
            </w:r>
          </w:p>
        </w:tc>
        <w:tc>
          <w:tcPr>
            <w:tcW w:w="708" w:type="dxa"/>
            <w:noWrap/>
            <w:vAlign w:val="center"/>
            <w:hideMark/>
          </w:tcPr>
          <w:p w14:paraId="08A1AF43"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D211</w:t>
            </w:r>
          </w:p>
        </w:tc>
        <w:tc>
          <w:tcPr>
            <w:tcW w:w="709" w:type="dxa"/>
            <w:vAlign w:val="center"/>
            <w:hideMark/>
          </w:tcPr>
          <w:p w14:paraId="3DCD4F9E"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8,8</w:t>
            </w:r>
          </w:p>
        </w:tc>
        <w:tc>
          <w:tcPr>
            <w:tcW w:w="709" w:type="dxa"/>
            <w:vAlign w:val="center"/>
            <w:hideMark/>
          </w:tcPr>
          <w:p w14:paraId="087435AC"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3,2</w:t>
            </w:r>
          </w:p>
        </w:tc>
        <w:tc>
          <w:tcPr>
            <w:tcW w:w="709" w:type="dxa"/>
            <w:vAlign w:val="center"/>
            <w:hideMark/>
          </w:tcPr>
          <w:p w14:paraId="6D3BAFB8"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6,5</w:t>
            </w:r>
          </w:p>
        </w:tc>
        <w:tc>
          <w:tcPr>
            <w:tcW w:w="1984" w:type="dxa"/>
            <w:vMerge/>
            <w:vAlign w:val="center"/>
            <w:hideMark/>
          </w:tcPr>
          <w:p w14:paraId="25D11471"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2F81546F" w14:textId="77777777" w:rsidTr="004D5E99">
        <w:trPr>
          <w:trHeight w:val="1194"/>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547313FD"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9</w:t>
            </w:r>
          </w:p>
        </w:tc>
        <w:tc>
          <w:tcPr>
            <w:tcW w:w="1559" w:type="dxa"/>
            <w:vAlign w:val="center"/>
            <w:hideMark/>
          </w:tcPr>
          <w:p w14:paraId="5DD2BA2F"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Azartspēļu nodokļa likmju paaugstināšana</w:t>
            </w:r>
          </w:p>
        </w:tc>
        <w:tc>
          <w:tcPr>
            <w:tcW w:w="1134" w:type="dxa"/>
            <w:vAlign w:val="center"/>
            <w:hideMark/>
          </w:tcPr>
          <w:p w14:paraId="783D7EC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6A359319"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Azartspēļu nodoklis</w:t>
            </w:r>
          </w:p>
        </w:tc>
        <w:tc>
          <w:tcPr>
            <w:tcW w:w="708" w:type="dxa"/>
            <w:noWrap/>
            <w:vAlign w:val="center"/>
            <w:hideMark/>
          </w:tcPr>
          <w:p w14:paraId="24591B32"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D214F</w:t>
            </w:r>
          </w:p>
        </w:tc>
        <w:tc>
          <w:tcPr>
            <w:tcW w:w="709" w:type="dxa"/>
            <w:vAlign w:val="center"/>
            <w:hideMark/>
          </w:tcPr>
          <w:p w14:paraId="09752356"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9,0</w:t>
            </w:r>
          </w:p>
        </w:tc>
        <w:tc>
          <w:tcPr>
            <w:tcW w:w="709" w:type="dxa"/>
            <w:vAlign w:val="center"/>
            <w:hideMark/>
          </w:tcPr>
          <w:p w14:paraId="6DD9495F"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43E0A504"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Align w:val="center"/>
            <w:hideMark/>
          </w:tcPr>
          <w:p w14:paraId="1C276CB0"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Azartspēļu nodokļa likmju paaugstināšana par spēļu galdiem un spēļu automātiem par 30%.</w:t>
            </w:r>
          </w:p>
        </w:tc>
      </w:tr>
      <w:tr w:rsidR="002F7CDB" w:rsidRPr="00222DAE" w14:paraId="46748677" w14:textId="77777777" w:rsidTr="004D5E99">
        <w:trPr>
          <w:cnfStyle w:val="000000100000" w:firstRow="0" w:lastRow="0" w:firstColumn="0" w:lastColumn="0" w:oddVBand="0" w:evenVBand="0" w:oddHBand="1"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0F90FE85"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10</w:t>
            </w:r>
          </w:p>
        </w:tc>
        <w:tc>
          <w:tcPr>
            <w:tcW w:w="1559" w:type="dxa"/>
            <w:vAlign w:val="center"/>
            <w:hideMark/>
          </w:tcPr>
          <w:p w14:paraId="4880DFC6"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NĪN nosacījumu pārskatīšana</w:t>
            </w:r>
          </w:p>
        </w:tc>
        <w:tc>
          <w:tcPr>
            <w:tcW w:w="1134" w:type="dxa"/>
            <w:vAlign w:val="center"/>
            <w:hideMark/>
          </w:tcPr>
          <w:p w14:paraId="13159642"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3E3227F6"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NĪN</w:t>
            </w:r>
          </w:p>
        </w:tc>
        <w:tc>
          <w:tcPr>
            <w:tcW w:w="708" w:type="dxa"/>
            <w:noWrap/>
            <w:vAlign w:val="center"/>
            <w:hideMark/>
          </w:tcPr>
          <w:p w14:paraId="2533D4DF"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D29A/D59</w:t>
            </w:r>
          </w:p>
        </w:tc>
        <w:tc>
          <w:tcPr>
            <w:tcW w:w="709" w:type="dxa"/>
            <w:vAlign w:val="center"/>
            <w:hideMark/>
          </w:tcPr>
          <w:p w14:paraId="507A33F2"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7,0</w:t>
            </w:r>
          </w:p>
        </w:tc>
        <w:tc>
          <w:tcPr>
            <w:tcW w:w="709" w:type="dxa"/>
            <w:vAlign w:val="center"/>
            <w:hideMark/>
          </w:tcPr>
          <w:p w14:paraId="7B27A8F2"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2,0</w:t>
            </w:r>
          </w:p>
        </w:tc>
        <w:tc>
          <w:tcPr>
            <w:tcW w:w="709" w:type="dxa"/>
            <w:vAlign w:val="center"/>
            <w:hideMark/>
          </w:tcPr>
          <w:p w14:paraId="3B894A8B"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Align w:val="center"/>
            <w:hideMark/>
          </w:tcPr>
          <w:p w14:paraId="1CFD8F70"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Nekustamā īpašuma kadastrālo vērtību pārskatīšana atsevišķām nekustamā īpašuma pielietojuma kategorijām</w:t>
            </w:r>
          </w:p>
        </w:tc>
      </w:tr>
      <w:tr w:rsidR="002F7CDB" w:rsidRPr="00222DAE" w14:paraId="74DBB957" w14:textId="77777777" w:rsidTr="004D5E99">
        <w:trPr>
          <w:trHeight w:val="1194"/>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7F5767B5"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11</w:t>
            </w:r>
          </w:p>
        </w:tc>
        <w:tc>
          <w:tcPr>
            <w:tcW w:w="1559" w:type="dxa"/>
            <w:vAlign w:val="center"/>
            <w:hideMark/>
          </w:tcPr>
          <w:p w14:paraId="57327AD8" w14:textId="4066E1A8"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Saglabāta līdzšinējā </w:t>
            </w:r>
            <w:r w:rsidR="001F013A">
              <w:rPr>
                <w:rFonts w:ascii="Times New Roman" w:eastAsia="Times New Roman" w:hAnsi="Times New Roman" w:cs="Times New Roman"/>
                <w:color w:val="000000"/>
                <w:sz w:val="18"/>
                <w:szCs w:val="20"/>
                <w:lang w:eastAsia="lv-LV"/>
              </w:rPr>
              <w:t>tra</w:t>
            </w:r>
            <w:r w:rsidR="001F013A" w:rsidRPr="001F013A">
              <w:rPr>
                <w:rFonts w:ascii="Times New Roman" w:eastAsia="Times New Roman" w:hAnsi="Times New Roman" w:cs="Times New Roman"/>
                <w:color w:val="000000"/>
                <w:sz w:val="18"/>
                <w:szCs w:val="20"/>
                <w:lang w:eastAsia="lv-LV"/>
              </w:rPr>
              <w:t>nsportlīdzekļa ekspluatācijas</w:t>
            </w:r>
            <w:r w:rsidR="001F013A">
              <w:rPr>
                <w:rFonts w:ascii="Times New Roman" w:eastAsia="Times New Roman" w:hAnsi="Times New Roman" w:cs="Times New Roman"/>
                <w:color w:val="000000"/>
                <w:sz w:val="18"/>
                <w:szCs w:val="20"/>
                <w:lang w:eastAsia="lv-LV"/>
              </w:rPr>
              <w:t xml:space="preserve"> </w:t>
            </w:r>
            <w:r w:rsidR="001F013A" w:rsidRPr="001F013A">
              <w:rPr>
                <w:rFonts w:ascii="Times New Roman" w:eastAsia="Times New Roman" w:hAnsi="Times New Roman" w:cs="Times New Roman"/>
                <w:color w:val="000000"/>
                <w:sz w:val="18"/>
                <w:szCs w:val="20"/>
                <w:lang w:eastAsia="lv-LV"/>
              </w:rPr>
              <w:t>nodokļa</w:t>
            </w:r>
            <w:r w:rsidRPr="002F7CDB">
              <w:rPr>
                <w:rFonts w:ascii="Times New Roman" w:eastAsia="Times New Roman" w:hAnsi="Times New Roman" w:cs="Times New Roman"/>
                <w:color w:val="000000"/>
                <w:sz w:val="18"/>
                <w:szCs w:val="20"/>
                <w:lang w:eastAsia="lv-LV"/>
              </w:rPr>
              <w:t xml:space="preserve"> maksāšanas kārtība arī 2019.gadā</w:t>
            </w:r>
          </w:p>
        </w:tc>
        <w:tc>
          <w:tcPr>
            <w:tcW w:w="1134" w:type="dxa"/>
            <w:vAlign w:val="center"/>
            <w:hideMark/>
          </w:tcPr>
          <w:p w14:paraId="469FA67B"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konceptuāla vienošanās ar sociālajiem partneriem</w:t>
            </w:r>
          </w:p>
        </w:tc>
        <w:tc>
          <w:tcPr>
            <w:tcW w:w="1276" w:type="dxa"/>
            <w:noWrap/>
            <w:vAlign w:val="center"/>
            <w:hideMark/>
          </w:tcPr>
          <w:p w14:paraId="75C299B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TEN</w:t>
            </w:r>
          </w:p>
        </w:tc>
        <w:tc>
          <w:tcPr>
            <w:tcW w:w="708" w:type="dxa"/>
            <w:noWrap/>
            <w:vAlign w:val="center"/>
            <w:hideMark/>
          </w:tcPr>
          <w:p w14:paraId="4590FECA"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D29/D59</w:t>
            </w:r>
          </w:p>
        </w:tc>
        <w:tc>
          <w:tcPr>
            <w:tcW w:w="709" w:type="dxa"/>
            <w:vAlign w:val="center"/>
            <w:hideMark/>
          </w:tcPr>
          <w:p w14:paraId="668B7375"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0ED934CF"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46,4</w:t>
            </w:r>
          </w:p>
        </w:tc>
        <w:tc>
          <w:tcPr>
            <w:tcW w:w="709" w:type="dxa"/>
            <w:vAlign w:val="center"/>
            <w:hideMark/>
          </w:tcPr>
          <w:p w14:paraId="3DCBB2DB"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-46,4</w:t>
            </w:r>
          </w:p>
        </w:tc>
        <w:tc>
          <w:tcPr>
            <w:tcW w:w="1984" w:type="dxa"/>
            <w:vAlign w:val="center"/>
            <w:hideMark/>
          </w:tcPr>
          <w:p w14:paraId="4A99443D" w14:textId="3C914D4F"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Tiek saglabāta esošā maksāšanas kārtība - </w:t>
            </w:r>
            <w:r w:rsidR="001F013A">
              <w:rPr>
                <w:rFonts w:ascii="Times New Roman" w:eastAsia="Times New Roman" w:hAnsi="Times New Roman" w:cs="Times New Roman"/>
                <w:color w:val="000000"/>
                <w:sz w:val="18"/>
                <w:szCs w:val="20"/>
                <w:lang w:eastAsia="lv-LV"/>
              </w:rPr>
              <w:t>tra</w:t>
            </w:r>
            <w:r w:rsidR="001F013A" w:rsidRPr="001F013A">
              <w:rPr>
                <w:rFonts w:ascii="Times New Roman" w:eastAsia="Times New Roman" w:hAnsi="Times New Roman" w:cs="Times New Roman"/>
                <w:color w:val="000000"/>
                <w:sz w:val="18"/>
                <w:szCs w:val="20"/>
                <w:lang w:eastAsia="lv-LV"/>
              </w:rPr>
              <w:t>nsportlīdzekļa ekspluatācijas</w:t>
            </w:r>
            <w:r w:rsidR="001F013A">
              <w:rPr>
                <w:rFonts w:ascii="Times New Roman" w:eastAsia="Times New Roman" w:hAnsi="Times New Roman" w:cs="Times New Roman"/>
                <w:color w:val="000000"/>
                <w:sz w:val="18"/>
                <w:szCs w:val="20"/>
                <w:lang w:eastAsia="lv-LV"/>
              </w:rPr>
              <w:t xml:space="preserve"> nodoklis</w:t>
            </w:r>
            <w:r w:rsidRPr="002F7CDB">
              <w:rPr>
                <w:rFonts w:ascii="Times New Roman" w:eastAsia="Times New Roman" w:hAnsi="Times New Roman" w:cs="Times New Roman"/>
                <w:color w:val="000000"/>
                <w:sz w:val="18"/>
                <w:szCs w:val="20"/>
                <w:lang w:eastAsia="lv-LV"/>
              </w:rPr>
              <w:t xml:space="preserve"> tiek maksāts avansā par kārtējo gadu</w:t>
            </w:r>
          </w:p>
        </w:tc>
      </w:tr>
      <w:tr w:rsidR="002F7CDB" w:rsidRPr="00222DAE" w14:paraId="06603F63"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2C622F00"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12</w:t>
            </w:r>
          </w:p>
        </w:tc>
        <w:tc>
          <w:tcPr>
            <w:tcW w:w="1559" w:type="dxa"/>
            <w:vMerge w:val="restart"/>
            <w:vAlign w:val="center"/>
            <w:hideMark/>
          </w:tcPr>
          <w:p w14:paraId="4DB1D829" w14:textId="517D4D7F"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 xml:space="preserve">Samazināt </w:t>
            </w:r>
            <w:r w:rsidR="001F013A">
              <w:rPr>
                <w:rFonts w:ascii="Times New Roman" w:eastAsia="Times New Roman" w:hAnsi="Times New Roman" w:cs="Times New Roman"/>
                <w:color w:val="000000"/>
                <w:sz w:val="18"/>
                <w:szCs w:val="20"/>
                <w:lang w:eastAsia="lv-LV"/>
              </w:rPr>
              <w:t>mikrouzņēmuma nodokļu</w:t>
            </w:r>
            <w:r w:rsidRPr="002F7CDB">
              <w:rPr>
                <w:rFonts w:ascii="Times New Roman" w:eastAsia="Times New Roman" w:hAnsi="Times New Roman" w:cs="Times New Roman"/>
                <w:color w:val="000000"/>
                <w:sz w:val="18"/>
                <w:szCs w:val="20"/>
                <w:lang w:eastAsia="lv-LV"/>
              </w:rPr>
              <w:t xml:space="preserve"> maksātāju apgrozījuma slieksni, vienādojot to ar PVN reģistrācijas slieksni</w:t>
            </w:r>
          </w:p>
        </w:tc>
        <w:tc>
          <w:tcPr>
            <w:tcW w:w="1134" w:type="dxa"/>
            <w:vMerge w:val="restart"/>
            <w:vAlign w:val="center"/>
            <w:hideMark/>
          </w:tcPr>
          <w:p w14:paraId="3ABE6979"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35E112DC"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VSAOI</w:t>
            </w:r>
          </w:p>
        </w:tc>
        <w:tc>
          <w:tcPr>
            <w:tcW w:w="708" w:type="dxa"/>
            <w:noWrap/>
            <w:vAlign w:val="center"/>
            <w:hideMark/>
          </w:tcPr>
          <w:p w14:paraId="169D5BD7"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D61</w:t>
            </w:r>
          </w:p>
        </w:tc>
        <w:tc>
          <w:tcPr>
            <w:tcW w:w="709" w:type="dxa"/>
            <w:vAlign w:val="center"/>
            <w:hideMark/>
          </w:tcPr>
          <w:p w14:paraId="2DD8F962"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7,2</w:t>
            </w:r>
          </w:p>
        </w:tc>
        <w:tc>
          <w:tcPr>
            <w:tcW w:w="709" w:type="dxa"/>
            <w:vAlign w:val="center"/>
            <w:hideMark/>
          </w:tcPr>
          <w:p w14:paraId="77E3F9DE"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7FF5AE9C"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restart"/>
            <w:vAlign w:val="center"/>
            <w:hideMark/>
          </w:tcPr>
          <w:p w14:paraId="0F388558" w14:textId="021EF422" w:rsidR="002D4062" w:rsidRPr="002F7CDB" w:rsidRDefault="001F013A"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Pr>
                <w:rFonts w:ascii="Times New Roman" w:eastAsia="Times New Roman" w:hAnsi="Times New Roman" w:cs="Times New Roman"/>
                <w:color w:val="000000"/>
                <w:sz w:val="18"/>
                <w:szCs w:val="20"/>
                <w:lang w:eastAsia="lv-LV"/>
              </w:rPr>
              <w:t>Mikrouzņēmuma</w:t>
            </w:r>
            <w:r w:rsidR="002D4062" w:rsidRPr="002F7CDB">
              <w:rPr>
                <w:rFonts w:ascii="Times New Roman" w:eastAsia="Times New Roman" w:hAnsi="Times New Roman" w:cs="Times New Roman"/>
                <w:color w:val="000000"/>
                <w:sz w:val="18"/>
                <w:szCs w:val="20"/>
                <w:lang w:eastAsia="lv-LV"/>
              </w:rPr>
              <w:t xml:space="preserve"> nodokļu maksātāju slieksnis tiek samazināts no 100 000 līdz 40 000 </w:t>
            </w:r>
            <w:r w:rsidRPr="001F013A">
              <w:rPr>
                <w:rFonts w:ascii="Times New Roman" w:eastAsia="Times New Roman" w:hAnsi="Times New Roman" w:cs="Times New Roman"/>
                <w:i/>
                <w:color w:val="000000"/>
                <w:sz w:val="18"/>
                <w:szCs w:val="20"/>
                <w:lang w:eastAsia="lv-LV"/>
              </w:rPr>
              <w:t>euro</w:t>
            </w:r>
            <w:r w:rsidRPr="002F7CDB">
              <w:rPr>
                <w:rFonts w:ascii="Times New Roman" w:eastAsia="Times New Roman" w:hAnsi="Times New Roman" w:cs="Times New Roman"/>
                <w:color w:val="000000"/>
                <w:sz w:val="18"/>
                <w:szCs w:val="20"/>
                <w:lang w:eastAsia="lv-LV"/>
              </w:rPr>
              <w:t xml:space="preserve"> </w:t>
            </w:r>
            <w:r w:rsidR="002D4062" w:rsidRPr="002F7CDB">
              <w:rPr>
                <w:rFonts w:ascii="Times New Roman" w:eastAsia="Times New Roman" w:hAnsi="Times New Roman" w:cs="Times New Roman"/>
                <w:color w:val="000000"/>
                <w:sz w:val="18"/>
                <w:szCs w:val="20"/>
                <w:lang w:eastAsia="lv-LV"/>
              </w:rPr>
              <w:t>gadā</w:t>
            </w:r>
          </w:p>
        </w:tc>
      </w:tr>
      <w:tr w:rsidR="002F7CDB" w:rsidRPr="00222DAE" w14:paraId="48D9C67E" w14:textId="77777777" w:rsidTr="004D5E99">
        <w:trPr>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356C7835"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1D4C486C"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12830F6F"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48F3D1A4"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UIN</w:t>
            </w:r>
          </w:p>
        </w:tc>
        <w:tc>
          <w:tcPr>
            <w:tcW w:w="708" w:type="dxa"/>
            <w:noWrap/>
            <w:vAlign w:val="center"/>
            <w:hideMark/>
          </w:tcPr>
          <w:p w14:paraId="4CBE62E2"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3EE45DEE"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-0,4</w:t>
            </w:r>
          </w:p>
        </w:tc>
        <w:tc>
          <w:tcPr>
            <w:tcW w:w="709" w:type="dxa"/>
            <w:vAlign w:val="center"/>
            <w:hideMark/>
          </w:tcPr>
          <w:p w14:paraId="59F44787"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0B68FE9B"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55FC3DC0"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68E3B5C6"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65A09E25"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5DDFF17E"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734058DE"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069E44A6"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00BC3B7F"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50432A89"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-2,7</w:t>
            </w:r>
          </w:p>
        </w:tc>
        <w:tc>
          <w:tcPr>
            <w:tcW w:w="709" w:type="dxa"/>
            <w:vAlign w:val="center"/>
            <w:hideMark/>
          </w:tcPr>
          <w:p w14:paraId="3BC3BAD7"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5EE38CB7"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5A9A34AD"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691B4159" w14:textId="77777777" w:rsidTr="004D5E99">
        <w:trPr>
          <w:trHeight w:val="358"/>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hideMark/>
          </w:tcPr>
          <w:p w14:paraId="02C16079"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13</w:t>
            </w:r>
          </w:p>
        </w:tc>
        <w:tc>
          <w:tcPr>
            <w:tcW w:w="1559" w:type="dxa"/>
            <w:vMerge w:val="restart"/>
            <w:vAlign w:val="center"/>
            <w:hideMark/>
          </w:tcPr>
          <w:p w14:paraId="4F9EB8E1"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Nokavējuma naudas un sodas naudas dzēšana parāda nomaksas gadījumā (nodokļu parādu amnestija)</w:t>
            </w:r>
          </w:p>
        </w:tc>
        <w:tc>
          <w:tcPr>
            <w:tcW w:w="1134" w:type="dxa"/>
            <w:vMerge w:val="restart"/>
            <w:vAlign w:val="center"/>
            <w:hideMark/>
          </w:tcPr>
          <w:p w14:paraId="17276F0D"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5EDC1200"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PVN</w:t>
            </w:r>
          </w:p>
        </w:tc>
        <w:tc>
          <w:tcPr>
            <w:tcW w:w="708" w:type="dxa"/>
            <w:noWrap/>
            <w:vAlign w:val="center"/>
            <w:hideMark/>
          </w:tcPr>
          <w:p w14:paraId="3BAB6065"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D211</w:t>
            </w:r>
          </w:p>
        </w:tc>
        <w:tc>
          <w:tcPr>
            <w:tcW w:w="709" w:type="dxa"/>
            <w:vAlign w:val="center"/>
            <w:hideMark/>
          </w:tcPr>
          <w:p w14:paraId="389DC6BA"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12,0</w:t>
            </w:r>
          </w:p>
        </w:tc>
        <w:tc>
          <w:tcPr>
            <w:tcW w:w="709" w:type="dxa"/>
            <w:vAlign w:val="center"/>
            <w:hideMark/>
          </w:tcPr>
          <w:p w14:paraId="17DDA4B7"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2D04BD79"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restart"/>
            <w:vAlign w:val="center"/>
            <w:hideMark/>
          </w:tcPr>
          <w:p w14:paraId="29E59F41"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bez papildus kvalificējošiem kritērijiem dos iespēju laikā līdz 3 gadiem nomaksāt parādu, rezultātā dzēšot nokavējuma naudu un soda naudu</w:t>
            </w:r>
          </w:p>
        </w:tc>
      </w:tr>
      <w:tr w:rsidR="002F7CDB" w:rsidRPr="00222DAE" w14:paraId="51EA46F3" w14:textId="77777777" w:rsidTr="004D5E99">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55A6F123"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007DA496"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6F1FABF0"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2D13FECA"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UIN</w:t>
            </w:r>
          </w:p>
        </w:tc>
        <w:tc>
          <w:tcPr>
            <w:tcW w:w="708" w:type="dxa"/>
            <w:noWrap/>
            <w:vAlign w:val="center"/>
            <w:hideMark/>
          </w:tcPr>
          <w:p w14:paraId="73226046"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08D455EB"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2,0</w:t>
            </w:r>
          </w:p>
        </w:tc>
        <w:tc>
          <w:tcPr>
            <w:tcW w:w="709" w:type="dxa"/>
            <w:vAlign w:val="center"/>
            <w:hideMark/>
          </w:tcPr>
          <w:p w14:paraId="54F0CED8"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353C1055"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5C4B5AE1"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2A5DC439" w14:textId="77777777" w:rsidTr="004D5E99">
        <w:trPr>
          <w:trHeight w:val="35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23B0B09F"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4C747D28"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2BF2469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088BE222"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VSAOI</w:t>
            </w:r>
          </w:p>
        </w:tc>
        <w:tc>
          <w:tcPr>
            <w:tcW w:w="708" w:type="dxa"/>
            <w:noWrap/>
            <w:vAlign w:val="center"/>
            <w:hideMark/>
          </w:tcPr>
          <w:p w14:paraId="796EF7CF"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D61</w:t>
            </w:r>
          </w:p>
        </w:tc>
        <w:tc>
          <w:tcPr>
            <w:tcW w:w="709" w:type="dxa"/>
            <w:vAlign w:val="center"/>
            <w:hideMark/>
          </w:tcPr>
          <w:p w14:paraId="3125A8A7"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13,6</w:t>
            </w:r>
          </w:p>
        </w:tc>
        <w:tc>
          <w:tcPr>
            <w:tcW w:w="709" w:type="dxa"/>
            <w:vAlign w:val="center"/>
            <w:hideMark/>
          </w:tcPr>
          <w:p w14:paraId="0CC3CA3D"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4E324925"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7A2CF91D"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7B5397DF" w14:textId="77777777" w:rsidTr="004D5E99">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14:paraId="6A3D8DC1"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Merge/>
            <w:vAlign w:val="center"/>
            <w:hideMark/>
          </w:tcPr>
          <w:p w14:paraId="56741727"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134" w:type="dxa"/>
            <w:vMerge/>
            <w:vAlign w:val="center"/>
            <w:hideMark/>
          </w:tcPr>
          <w:p w14:paraId="3EA91E8A"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79057922"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IIN</w:t>
            </w:r>
          </w:p>
        </w:tc>
        <w:tc>
          <w:tcPr>
            <w:tcW w:w="708" w:type="dxa"/>
            <w:noWrap/>
            <w:vAlign w:val="center"/>
            <w:hideMark/>
          </w:tcPr>
          <w:p w14:paraId="620507DC"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r w:rsidRPr="002F7CDB">
              <w:rPr>
                <w:rFonts w:ascii="Times New Roman" w:eastAsia="Times New Roman" w:hAnsi="Times New Roman" w:cs="Times New Roman"/>
                <w:i/>
                <w:iCs/>
                <w:color w:val="000000"/>
                <w:sz w:val="18"/>
                <w:szCs w:val="20"/>
                <w:lang w:eastAsia="lv-LV"/>
              </w:rPr>
              <w:t>D51</w:t>
            </w:r>
          </w:p>
        </w:tc>
        <w:tc>
          <w:tcPr>
            <w:tcW w:w="709" w:type="dxa"/>
            <w:vAlign w:val="center"/>
            <w:hideMark/>
          </w:tcPr>
          <w:p w14:paraId="760B5C29"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2,5</w:t>
            </w:r>
          </w:p>
        </w:tc>
        <w:tc>
          <w:tcPr>
            <w:tcW w:w="709" w:type="dxa"/>
            <w:vAlign w:val="center"/>
            <w:hideMark/>
          </w:tcPr>
          <w:p w14:paraId="2CDB778C"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7A860A00"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Merge/>
            <w:vAlign w:val="center"/>
            <w:hideMark/>
          </w:tcPr>
          <w:p w14:paraId="033AA188"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0166D0A1" w14:textId="77777777" w:rsidTr="004D5E99">
        <w:trPr>
          <w:trHeight w:val="298"/>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50F6526E"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14</w:t>
            </w:r>
          </w:p>
        </w:tc>
        <w:tc>
          <w:tcPr>
            <w:tcW w:w="1559" w:type="dxa"/>
            <w:vAlign w:val="center"/>
            <w:hideMark/>
          </w:tcPr>
          <w:p w14:paraId="14C51FA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Ēnu ekonomiku mazinošie pasākumi</w:t>
            </w:r>
          </w:p>
        </w:tc>
        <w:tc>
          <w:tcPr>
            <w:tcW w:w="1134" w:type="dxa"/>
            <w:vAlign w:val="center"/>
            <w:hideMark/>
          </w:tcPr>
          <w:p w14:paraId="695C0D67"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0B7B0A0E"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p>
        </w:tc>
        <w:tc>
          <w:tcPr>
            <w:tcW w:w="708" w:type="dxa"/>
            <w:noWrap/>
            <w:vAlign w:val="center"/>
            <w:hideMark/>
          </w:tcPr>
          <w:p w14:paraId="0A3D6234"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20"/>
                <w:lang w:eastAsia="lv-LV"/>
              </w:rPr>
            </w:pPr>
          </w:p>
        </w:tc>
        <w:tc>
          <w:tcPr>
            <w:tcW w:w="709" w:type="dxa"/>
            <w:vAlign w:val="center"/>
            <w:hideMark/>
          </w:tcPr>
          <w:p w14:paraId="6FED1152"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53,7</w:t>
            </w:r>
          </w:p>
        </w:tc>
        <w:tc>
          <w:tcPr>
            <w:tcW w:w="709" w:type="dxa"/>
            <w:vAlign w:val="center"/>
            <w:hideMark/>
          </w:tcPr>
          <w:p w14:paraId="74BE6BF9"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709" w:type="dxa"/>
            <w:vAlign w:val="center"/>
            <w:hideMark/>
          </w:tcPr>
          <w:p w14:paraId="484132F5" w14:textId="77777777" w:rsidR="002D4062" w:rsidRPr="002F7CDB"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984" w:type="dxa"/>
            <w:vAlign w:val="center"/>
            <w:hideMark/>
          </w:tcPr>
          <w:p w14:paraId="084CB274" w14:textId="77777777" w:rsidR="002D4062" w:rsidRPr="002F7CDB"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r w:rsidR="002F7CDB" w:rsidRPr="00222DAE" w14:paraId="4E612245" w14:textId="77777777" w:rsidTr="004D5E99">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605E64B6" w14:textId="77777777" w:rsidR="002D4062" w:rsidRPr="002F7CDB" w:rsidRDefault="002D4062" w:rsidP="006C67E6">
            <w:pPr>
              <w:jc w:val="center"/>
              <w:rPr>
                <w:rFonts w:ascii="Times New Roman" w:eastAsia="Times New Roman" w:hAnsi="Times New Roman" w:cs="Times New Roman"/>
                <w:color w:val="000000"/>
                <w:sz w:val="18"/>
                <w:szCs w:val="20"/>
                <w:lang w:eastAsia="lv-LV"/>
              </w:rPr>
            </w:pPr>
          </w:p>
        </w:tc>
        <w:tc>
          <w:tcPr>
            <w:tcW w:w="1559" w:type="dxa"/>
            <w:vAlign w:val="center"/>
            <w:hideMark/>
          </w:tcPr>
          <w:p w14:paraId="204A8B1D"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r w:rsidRPr="002F7CDB">
              <w:rPr>
                <w:rFonts w:ascii="Times New Roman" w:eastAsia="Times New Roman" w:hAnsi="Times New Roman" w:cs="Times New Roman"/>
                <w:color w:val="000000"/>
                <w:sz w:val="18"/>
                <w:szCs w:val="20"/>
                <w:lang w:eastAsia="lv-LV"/>
              </w:rPr>
              <w:t>Kopējā tiešā ietekme</w:t>
            </w:r>
          </w:p>
        </w:tc>
        <w:tc>
          <w:tcPr>
            <w:tcW w:w="1134" w:type="dxa"/>
            <w:vAlign w:val="center"/>
            <w:hideMark/>
          </w:tcPr>
          <w:p w14:paraId="66C7932D"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c>
          <w:tcPr>
            <w:tcW w:w="1276" w:type="dxa"/>
            <w:noWrap/>
            <w:vAlign w:val="center"/>
            <w:hideMark/>
          </w:tcPr>
          <w:p w14:paraId="116615AB"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p>
        </w:tc>
        <w:tc>
          <w:tcPr>
            <w:tcW w:w="708" w:type="dxa"/>
            <w:noWrap/>
            <w:vAlign w:val="center"/>
            <w:hideMark/>
          </w:tcPr>
          <w:p w14:paraId="1459FF51"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18"/>
                <w:szCs w:val="20"/>
                <w:lang w:eastAsia="lv-LV"/>
              </w:rPr>
            </w:pPr>
          </w:p>
        </w:tc>
        <w:tc>
          <w:tcPr>
            <w:tcW w:w="709" w:type="dxa"/>
            <w:vAlign w:val="center"/>
            <w:hideMark/>
          </w:tcPr>
          <w:p w14:paraId="5BA470C2"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lv-LV"/>
              </w:rPr>
            </w:pPr>
            <w:r w:rsidRPr="002F7CDB">
              <w:rPr>
                <w:rFonts w:ascii="Times New Roman" w:eastAsia="Times New Roman" w:hAnsi="Times New Roman" w:cs="Times New Roman"/>
                <w:b/>
                <w:bCs/>
                <w:color w:val="000000"/>
                <w:sz w:val="18"/>
                <w:szCs w:val="20"/>
                <w:lang w:eastAsia="lv-LV"/>
              </w:rPr>
              <w:t>-234,7</w:t>
            </w:r>
          </w:p>
        </w:tc>
        <w:tc>
          <w:tcPr>
            <w:tcW w:w="709" w:type="dxa"/>
            <w:vAlign w:val="center"/>
            <w:hideMark/>
          </w:tcPr>
          <w:p w14:paraId="4E86B45E"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lv-LV"/>
              </w:rPr>
            </w:pPr>
            <w:r w:rsidRPr="002F7CDB">
              <w:rPr>
                <w:rFonts w:ascii="Times New Roman" w:eastAsia="Times New Roman" w:hAnsi="Times New Roman" w:cs="Times New Roman"/>
                <w:b/>
                <w:bCs/>
                <w:color w:val="000000"/>
                <w:sz w:val="18"/>
                <w:szCs w:val="20"/>
                <w:lang w:eastAsia="lv-LV"/>
              </w:rPr>
              <w:t>22,5</w:t>
            </w:r>
          </w:p>
        </w:tc>
        <w:tc>
          <w:tcPr>
            <w:tcW w:w="709" w:type="dxa"/>
            <w:vAlign w:val="center"/>
            <w:hideMark/>
          </w:tcPr>
          <w:p w14:paraId="20C25796" w14:textId="77777777" w:rsidR="002D4062" w:rsidRPr="002F7CDB"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20"/>
                <w:lang w:eastAsia="lv-LV"/>
              </w:rPr>
            </w:pPr>
            <w:r w:rsidRPr="002F7CDB">
              <w:rPr>
                <w:rFonts w:ascii="Times New Roman" w:eastAsia="Times New Roman" w:hAnsi="Times New Roman" w:cs="Times New Roman"/>
                <w:b/>
                <w:bCs/>
                <w:color w:val="000000"/>
                <w:sz w:val="18"/>
                <w:szCs w:val="20"/>
                <w:lang w:eastAsia="lv-LV"/>
              </w:rPr>
              <w:t>-16,8</w:t>
            </w:r>
          </w:p>
        </w:tc>
        <w:tc>
          <w:tcPr>
            <w:tcW w:w="1984" w:type="dxa"/>
            <w:vAlign w:val="center"/>
            <w:hideMark/>
          </w:tcPr>
          <w:p w14:paraId="5AA6DC60" w14:textId="77777777" w:rsidR="002D4062" w:rsidRPr="002F7CDB"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lv-LV"/>
              </w:rPr>
            </w:pPr>
          </w:p>
        </w:tc>
      </w:tr>
    </w:tbl>
    <w:p w14:paraId="4D140DD0" w14:textId="77777777" w:rsidR="002D4062" w:rsidRPr="00DC608B" w:rsidRDefault="002D4062" w:rsidP="002D4062">
      <w:pPr>
        <w:spacing w:after="0" w:line="240" w:lineRule="auto"/>
        <w:ind w:left="360"/>
        <w:jc w:val="both"/>
        <w:rPr>
          <w:rFonts w:ascii="Times New Roman" w:eastAsia="Calibri" w:hAnsi="Times New Roman" w:cs="Times New Roman"/>
          <w:b/>
          <w:sz w:val="24"/>
          <w:szCs w:val="20"/>
        </w:rPr>
      </w:pPr>
    </w:p>
    <w:p w14:paraId="1562B33E" w14:textId="77777777" w:rsidR="002D4062" w:rsidRPr="004D5E99" w:rsidRDefault="002D4062" w:rsidP="001F013A">
      <w:pPr>
        <w:spacing w:before="120" w:after="60" w:line="240" w:lineRule="auto"/>
        <w:ind w:left="357" w:firstLine="357"/>
        <w:jc w:val="both"/>
        <w:rPr>
          <w:rFonts w:ascii="Times New Roman" w:eastAsia="Calibri" w:hAnsi="Times New Roman" w:cs="Times New Roman"/>
          <w:b/>
          <w:sz w:val="24"/>
          <w:szCs w:val="20"/>
        </w:rPr>
      </w:pPr>
      <w:r w:rsidRPr="004D5E99">
        <w:rPr>
          <w:rFonts w:ascii="Times New Roman" w:eastAsia="Calibri" w:hAnsi="Times New Roman" w:cs="Times New Roman"/>
          <w:b/>
          <w:sz w:val="24"/>
          <w:szCs w:val="20"/>
        </w:rPr>
        <w:t xml:space="preserve">Nodokļu reformas makroekonomiskā ietekme </w:t>
      </w:r>
    </w:p>
    <w:p w14:paraId="545FF44D" w14:textId="77777777" w:rsidR="00BF324A" w:rsidRDefault="00BF324A" w:rsidP="00BF324A">
      <w:pPr>
        <w:spacing w:after="0" w:line="240" w:lineRule="auto"/>
        <w:ind w:firstLine="720"/>
        <w:jc w:val="both"/>
        <w:rPr>
          <w:rFonts w:ascii="Times New Roman" w:eastAsia="Calibri" w:hAnsi="Times New Roman" w:cs="Times New Roman"/>
          <w:sz w:val="24"/>
          <w:szCs w:val="20"/>
        </w:rPr>
      </w:pPr>
      <w:r w:rsidRPr="00BF324A">
        <w:rPr>
          <w:rFonts w:ascii="Times New Roman" w:eastAsia="Calibri" w:hAnsi="Times New Roman" w:cs="Times New Roman"/>
          <w:sz w:val="24"/>
          <w:szCs w:val="20"/>
        </w:rPr>
        <w:t>FM nodokļu reformas ietekmes novērtējums uz tautsaimniecību balstīts uz detalizētu iedzīvotāju un uzņēmumu datu analīzi un FM makroekonomisko modeli.</w:t>
      </w:r>
    </w:p>
    <w:p w14:paraId="7BC6B9D4" w14:textId="1921C95F"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 xml:space="preserve">Nodokļu </w:t>
      </w:r>
      <w:r w:rsidR="001F013A">
        <w:rPr>
          <w:rFonts w:ascii="Times New Roman" w:eastAsia="Calibri" w:hAnsi="Times New Roman" w:cs="Times New Roman"/>
          <w:sz w:val="24"/>
          <w:szCs w:val="20"/>
        </w:rPr>
        <w:t>p</w:t>
      </w:r>
      <w:r w:rsidRPr="00DC608B">
        <w:rPr>
          <w:rFonts w:ascii="Times New Roman" w:eastAsia="Calibri" w:hAnsi="Times New Roman" w:cs="Times New Roman"/>
          <w:sz w:val="24"/>
          <w:szCs w:val="20"/>
        </w:rPr>
        <w:t xml:space="preserve">olitikas reforma, samazinot darbaspēka nodokļu slogu, kā arī stimulējot uzņēmumu investīcijas un paaugstinot uzņēmumu starptautisko konkurētspēju, pozitīvi ietekmēs Latvijas ekonomikas izaugsmi. Reformas pakete aptver plašu darbaspēka nodokļu klāstu ar mērķi samazināt </w:t>
      </w:r>
      <w:r w:rsidR="001F013A">
        <w:rPr>
          <w:rFonts w:ascii="Times New Roman" w:eastAsia="Calibri" w:hAnsi="Times New Roman" w:cs="Times New Roman"/>
          <w:sz w:val="24"/>
          <w:szCs w:val="20"/>
        </w:rPr>
        <w:t>IIN</w:t>
      </w:r>
      <w:r w:rsidRPr="00DC608B">
        <w:rPr>
          <w:rFonts w:ascii="Times New Roman" w:eastAsia="Calibri" w:hAnsi="Times New Roman" w:cs="Times New Roman"/>
          <w:sz w:val="24"/>
          <w:szCs w:val="20"/>
        </w:rPr>
        <w:t xml:space="preserve"> slogu un palielināt strādājošo iedzīvotāju ienākumus. Izanalizējot VID datus par iedzīvotāju ienākumiem no darba samaksas un nomaksāto </w:t>
      </w:r>
      <w:r w:rsidR="001F013A">
        <w:rPr>
          <w:rFonts w:ascii="Times New Roman" w:eastAsia="Calibri" w:hAnsi="Times New Roman" w:cs="Times New Roman"/>
          <w:sz w:val="24"/>
          <w:szCs w:val="20"/>
        </w:rPr>
        <w:t>IIN</w:t>
      </w:r>
      <w:r w:rsidRPr="00DC608B">
        <w:rPr>
          <w:rFonts w:ascii="Times New Roman" w:eastAsia="Calibri" w:hAnsi="Times New Roman" w:cs="Times New Roman"/>
          <w:sz w:val="24"/>
          <w:szCs w:val="20"/>
        </w:rPr>
        <w:t xml:space="preserve"> apmēru, var konstatēt, ka nodokļu sloga uz darbaspēka ienākumiem samazinājumu izjutīs praktiski visi valsts iedzīvotāji. 2016.gadā 72% nodarbināto saņēma vidējo vai mazāku darba algu un kopā 99% nodarbināto gada ienākumi no darba algas nepārsniedza 40000 </w:t>
      </w:r>
      <w:r w:rsidR="001F013A">
        <w:rPr>
          <w:rFonts w:ascii="Times New Roman" w:eastAsia="Calibri" w:hAnsi="Times New Roman" w:cs="Times New Roman"/>
          <w:i/>
          <w:sz w:val="24"/>
          <w:szCs w:val="20"/>
        </w:rPr>
        <w:t>euro</w:t>
      </w:r>
      <w:r w:rsidRPr="00DC608B">
        <w:rPr>
          <w:rFonts w:ascii="Times New Roman" w:eastAsia="Calibri" w:hAnsi="Times New Roman" w:cs="Times New Roman"/>
          <w:sz w:val="24"/>
          <w:szCs w:val="20"/>
        </w:rPr>
        <w:t xml:space="preserve"> – līmeni, līdz kuram ir paredzēts piemērot samazināto IIN likmi pirmajā gadā. Attiecīgi </w:t>
      </w:r>
      <w:r w:rsidR="001F013A">
        <w:rPr>
          <w:rFonts w:ascii="Times New Roman" w:eastAsia="Calibri" w:hAnsi="Times New Roman" w:cs="Times New Roman"/>
          <w:sz w:val="24"/>
          <w:szCs w:val="20"/>
        </w:rPr>
        <w:t>IIN</w:t>
      </w:r>
      <w:r w:rsidRPr="00DC608B">
        <w:rPr>
          <w:rFonts w:ascii="Times New Roman" w:eastAsia="Calibri" w:hAnsi="Times New Roman" w:cs="Times New Roman"/>
          <w:sz w:val="24"/>
          <w:szCs w:val="20"/>
        </w:rPr>
        <w:t xml:space="preserve"> likmes samazinājums no 23% līdz 20% skars visus šos strādājošos, palielinot to rīcībā esošo ienākumus, kurus varēs izmantot patēriņam, investīcijām vai uzkrājumiem.</w:t>
      </w:r>
      <w:r w:rsidR="00BF324A" w:rsidRPr="00BF324A">
        <w:rPr>
          <w:rFonts w:ascii="Times New Roman" w:eastAsia="Calibri" w:hAnsi="Times New Roman" w:cs="Times New Roman"/>
          <w:sz w:val="24"/>
          <w:szCs w:val="20"/>
        </w:rPr>
        <w:t xml:space="preserve"> FM scenārijs paredz, ka IIN reformas rezultātā uzņēmumi neoptimizēs savus ieņēmumus uz darba samaksas rēķina.</w:t>
      </w:r>
      <w:r w:rsidR="00C03F0F">
        <w:rPr>
          <w:rFonts w:ascii="Times New Roman" w:eastAsia="Calibri" w:hAnsi="Times New Roman" w:cs="Times New Roman"/>
          <w:sz w:val="24"/>
          <w:szCs w:val="20"/>
        </w:rPr>
        <w:t xml:space="preserve"> </w:t>
      </w:r>
      <w:r w:rsidR="00C03F0F" w:rsidRPr="00C03F0F">
        <w:rPr>
          <w:rFonts w:ascii="Times New Roman" w:eastAsia="Calibri" w:hAnsi="Times New Roman" w:cs="Times New Roman"/>
          <w:color w:val="FFFFFF" w:themeColor="background1"/>
          <w:sz w:val="24"/>
          <w:szCs w:val="20"/>
        </w:rPr>
        <w:t>d</w:t>
      </w:r>
    </w:p>
    <w:p w14:paraId="11D40636" w14:textId="1C39F5F6"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Papildus pozitīva ietekme uz strādājošo iedzīvotāju ienākumiem būs IIN neapliekamā minimuma paaugstināšanai, kas visbūtiskāk ietekmēs tieši zemāk</w:t>
      </w:r>
      <w:r w:rsidR="001F013A">
        <w:rPr>
          <w:rFonts w:ascii="Times New Roman" w:eastAsia="Calibri" w:hAnsi="Times New Roman" w:cs="Times New Roman"/>
          <w:sz w:val="24"/>
          <w:szCs w:val="20"/>
        </w:rPr>
        <w:t xml:space="preserve"> </w:t>
      </w:r>
      <w:r w:rsidRPr="00DC608B">
        <w:rPr>
          <w:rFonts w:ascii="Times New Roman" w:eastAsia="Calibri" w:hAnsi="Times New Roman" w:cs="Times New Roman"/>
          <w:sz w:val="24"/>
          <w:szCs w:val="20"/>
        </w:rPr>
        <w:t>atalgoto iedzīvotāju ienākumus, vienlaikus ar diferencētās IIN likmes ieviešanu mazinot ienākumu nevienlīdzību. Ņemot vērā, ka vairums nodarbināto iedzīvotāju gūst ienākumus, kas mazāki par vidējo algu, visticamāk, IIN samazināšanas rezultātā iegūtais ienākumu pieaugums t</w:t>
      </w:r>
      <w:r w:rsidR="001F013A">
        <w:rPr>
          <w:rFonts w:ascii="Times New Roman" w:eastAsia="Calibri" w:hAnsi="Times New Roman" w:cs="Times New Roman"/>
          <w:sz w:val="24"/>
          <w:szCs w:val="20"/>
        </w:rPr>
        <w:t xml:space="preserve">iks izmantots tieši patēriņam, </w:t>
      </w:r>
      <w:r w:rsidRPr="00DC608B">
        <w:rPr>
          <w:rFonts w:ascii="Times New Roman" w:eastAsia="Calibri" w:hAnsi="Times New Roman" w:cs="Times New Roman"/>
          <w:sz w:val="24"/>
          <w:szCs w:val="20"/>
        </w:rPr>
        <w:t>tādējādi ar privātā patēriņa pieaugumu veicinot kopējo ekonomikas izaugsmi.</w:t>
      </w:r>
    </w:p>
    <w:p w14:paraId="0DFEF367" w14:textId="325DCEE4"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Pieaugot iedzīvotāju ienākumiem, varētu tikt veicināts arī papildus pieprasījums pēc kredītiem. Jau 2015. un 2016.gadā no jauna izsniegto kredītu apjoms pieauga ļoti strauji – attie</w:t>
      </w:r>
      <w:r w:rsidR="001F013A">
        <w:rPr>
          <w:rFonts w:ascii="Times New Roman" w:eastAsia="Calibri" w:hAnsi="Times New Roman" w:cs="Times New Roman"/>
          <w:sz w:val="24"/>
          <w:szCs w:val="20"/>
        </w:rPr>
        <w:t>cīgi par 20% un 29%. Realizējot</w:t>
      </w:r>
      <w:r w:rsidRPr="00DC608B">
        <w:rPr>
          <w:rFonts w:ascii="Times New Roman" w:eastAsia="Calibri" w:hAnsi="Times New Roman" w:cs="Times New Roman"/>
          <w:sz w:val="24"/>
          <w:szCs w:val="20"/>
        </w:rPr>
        <w:t xml:space="preserve"> nodokļu samazināšanas pasākumus, no jauna izsniegto kredītu apjoms turpmākajos trijos gados </w:t>
      </w:r>
      <w:r w:rsidR="004C01D6">
        <w:rPr>
          <w:rFonts w:ascii="Times New Roman" w:eastAsia="Calibri" w:hAnsi="Times New Roman" w:cs="Times New Roman"/>
          <w:sz w:val="24"/>
          <w:szCs w:val="20"/>
        </w:rPr>
        <w:t>pieaugtu par papildu</w:t>
      </w:r>
      <w:r w:rsidRPr="00DC608B">
        <w:rPr>
          <w:rFonts w:ascii="Times New Roman" w:eastAsia="Calibri" w:hAnsi="Times New Roman" w:cs="Times New Roman"/>
          <w:sz w:val="24"/>
          <w:szCs w:val="20"/>
        </w:rPr>
        <w:t xml:space="preserve"> 5 procentpunktiem, attiecīgi stimulējot privāto patēriņu.</w:t>
      </w:r>
    </w:p>
    <w:p w14:paraId="08CC6939" w14:textId="77777777"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 xml:space="preserve">Darbaspēka nodokļu sloga samazināšana, vienlaikus ar pozitīvu ietekmi uz privāto patēriņu, samazinās arī </w:t>
      </w:r>
      <w:r w:rsidRPr="00DC608B">
        <w:rPr>
          <w:rFonts w:ascii="Times New Roman" w:eastAsia="Calibri" w:hAnsi="Times New Roman" w:cs="Times New Roman"/>
          <w:b/>
          <w:sz w:val="24"/>
          <w:szCs w:val="20"/>
        </w:rPr>
        <w:t>uzņēmumu izmaksas</w:t>
      </w:r>
      <w:r w:rsidRPr="00DC608B">
        <w:rPr>
          <w:rFonts w:ascii="Times New Roman" w:eastAsia="Calibri" w:hAnsi="Times New Roman" w:cs="Times New Roman"/>
          <w:sz w:val="24"/>
          <w:szCs w:val="20"/>
        </w:rPr>
        <w:t xml:space="preserve">, palielinot to konkurētspēju un uzlabojot darbaspēka piesaistes iespējas. Tāpat arī darbaspēka izdevumu mazināšanās var stimulēt uzņēmumu investīcijas, atbrīvojot tam papildus pašu līdzekļus. </w:t>
      </w:r>
    </w:p>
    <w:p w14:paraId="24ED6907" w14:textId="288B29A2"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 xml:space="preserve">Iedzīvotāju ienākumus palielinās, vienlaikus mazinot strādājošo nevienlīdzību, arī paredzētais minimālās darba algas palielinājums no pašreizējiem 380 </w:t>
      </w:r>
      <w:r w:rsidR="001F013A">
        <w:rPr>
          <w:rFonts w:ascii="Times New Roman" w:eastAsia="Calibri" w:hAnsi="Times New Roman" w:cs="Times New Roman"/>
          <w:i/>
          <w:sz w:val="24"/>
          <w:szCs w:val="20"/>
        </w:rPr>
        <w:t>euro</w:t>
      </w:r>
      <w:r w:rsidRPr="00DC608B">
        <w:rPr>
          <w:rFonts w:ascii="Times New Roman" w:eastAsia="Calibri" w:hAnsi="Times New Roman" w:cs="Times New Roman"/>
          <w:sz w:val="24"/>
          <w:szCs w:val="20"/>
        </w:rPr>
        <w:t xml:space="preserve"> līdz 430 </w:t>
      </w:r>
      <w:r w:rsidR="001F013A">
        <w:rPr>
          <w:rFonts w:ascii="Times New Roman" w:eastAsia="Calibri" w:hAnsi="Times New Roman" w:cs="Times New Roman"/>
          <w:i/>
          <w:sz w:val="24"/>
          <w:szCs w:val="20"/>
        </w:rPr>
        <w:t>euro</w:t>
      </w:r>
      <w:r w:rsidRPr="00DC608B">
        <w:rPr>
          <w:rFonts w:ascii="Times New Roman" w:eastAsia="Calibri" w:hAnsi="Times New Roman" w:cs="Times New Roman"/>
          <w:sz w:val="24"/>
          <w:szCs w:val="20"/>
        </w:rPr>
        <w:t xml:space="preserve">. Tiešā </w:t>
      </w:r>
      <w:r w:rsidRPr="00DC608B">
        <w:rPr>
          <w:rFonts w:ascii="Times New Roman" w:eastAsia="Calibri" w:hAnsi="Times New Roman" w:cs="Times New Roman"/>
          <w:sz w:val="24"/>
          <w:szCs w:val="20"/>
        </w:rPr>
        <w:lastRenderedPageBreak/>
        <w:t>ietekme uz privātā patēriņa pieaugumu šim minimālās algas palielinājumam ir nenozīmīga, taču tas mazinās ēnu ekonomikas daļu, kas daļēji jau tiek ietverta IKP aprēķinos. Vienlaikus arī jāatzīmē, ka minimālās algas paaugstinājums šādā apmērā, ja tas tiek realizēts vienlaikus ar būtisku darbaspēka nodokļu sloga samazinājumu, nepalielinās uzņēmumu darbaspēka izmaksas un nemazinās to ārējo konkurētspēju, kā arī nepasliktinās uzņēmumu finansiālo situāciju, kas īpaši aktuāli ir Latvijas reģionos, kur kopējais darba samaksas līmenis ir ievērojami zemāks.</w:t>
      </w:r>
    </w:p>
    <w:p w14:paraId="42E309A9" w14:textId="589511C5"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Arī patēriņa nodokļu, tajā skaitā akcīzes</w:t>
      </w:r>
      <w:r w:rsidR="004C01D6">
        <w:rPr>
          <w:rFonts w:ascii="Times New Roman" w:eastAsia="Calibri" w:hAnsi="Times New Roman" w:cs="Times New Roman"/>
          <w:sz w:val="24"/>
          <w:szCs w:val="20"/>
        </w:rPr>
        <w:t xml:space="preserve"> pieauguma</w:t>
      </w:r>
      <w:r w:rsidRPr="00DC608B">
        <w:rPr>
          <w:rFonts w:ascii="Times New Roman" w:eastAsia="Calibri" w:hAnsi="Times New Roman" w:cs="Times New Roman"/>
          <w:sz w:val="24"/>
          <w:szCs w:val="20"/>
        </w:rPr>
        <w:t xml:space="preserve">, PVN </w:t>
      </w:r>
      <w:r w:rsidR="004C01D6">
        <w:rPr>
          <w:rFonts w:ascii="Times New Roman" w:eastAsia="Calibri" w:hAnsi="Times New Roman" w:cs="Times New Roman"/>
          <w:sz w:val="24"/>
          <w:szCs w:val="20"/>
        </w:rPr>
        <w:t>izmaiņu</w:t>
      </w:r>
      <w:r w:rsidRPr="00DC608B">
        <w:rPr>
          <w:rFonts w:ascii="Times New Roman" w:eastAsia="Calibri" w:hAnsi="Times New Roman" w:cs="Times New Roman"/>
          <w:sz w:val="24"/>
          <w:szCs w:val="20"/>
        </w:rPr>
        <w:t xml:space="preserve"> ietekme uz nominālo patēriņu ir neitrāla, tas ir, tā nesamazinās iedzīvotāju kopējos izdevumus konkrēto akcīzes preču iegādei, taču var samazināt atsevišķu akcīzes preču patēriņa apjomus.</w:t>
      </w:r>
    </w:p>
    <w:p w14:paraId="1AF66340" w14:textId="77777777"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Nodokļu reformas pakete paredz arī IIN likmju vienādošanu dažādiem ienākumu veidiem. Šie pasākumi, tāpat kā minimālās darba algas paaugstināšana, neatstāj tiešu nozīmīgu ietekmi uz patēriņa pieaugumu, taču tiem ir būtiska loma ēnu ekonomikas mazināšanas kontekstā, novēršot iespējas optimizēt nodokļu maksājumus, uzrādot atšķirīgus ienākumu veidus. Nodokļu likmju vienādošana arī mazina pašreizējo nevienlīdzību, kad turīgāko iedzīvotāju daļai, kas gūst ienākumus no sava kapitāla pieauguma, nodokļa likme ir zemāka nekā tā ir strādājošajiem iedzīvotājiem par ienākumiem no darbaspēka.</w:t>
      </w:r>
    </w:p>
    <w:p w14:paraId="32AD1B8E" w14:textId="0D95329E" w:rsidR="001F013A"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 xml:space="preserve">Savukārt </w:t>
      </w:r>
      <w:r w:rsidR="001F013A">
        <w:rPr>
          <w:rFonts w:ascii="Times New Roman" w:eastAsia="Calibri" w:hAnsi="Times New Roman" w:cs="Times New Roman"/>
          <w:sz w:val="24"/>
          <w:szCs w:val="20"/>
        </w:rPr>
        <w:t>UIN</w:t>
      </w:r>
      <w:r w:rsidRPr="00DC608B">
        <w:rPr>
          <w:rFonts w:ascii="Times New Roman" w:eastAsia="Calibri" w:hAnsi="Times New Roman" w:cs="Times New Roman"/>
          <w:sz w:val="24"/>
          <w:szCs w:val="20"/>
        </w:rPr>
        <w:t xml:space="preserve"> reformas priekšlikuma mērķis ir veicināt tautsaimniecības attīstību, stimulējot uzņēmumus lielāku peļņas daļu atstāt uzņēmumā un veicinot investīciju pieaugumu. Ieviešot 0% likmi nesadalītajai peļņ</w:t>
      </w:r>
      <w:r w:rsidR="004C01D6">
        <w:rPr>
          <w:rFonts w:ascii="Times New Roman" w:eastAsia="Calibri" w:hAnsi="Times New Roman" w:cs="Times New Roman"/>
          <w:sz w:val="24"/>
          <w:szCs w:val="20"/>
        </w:rPr>
        <w:t>ai, uzņēmumiem radīsies papildu</w:t>
      </w:r>
      <w:r w:rsidRPr="00DC608B">
        <w:rPr>
          <w:rFonts w:ascii="Times New Roman" w:eastAsia="Calibri" w:hAnsi="Times New Roman" w:cs="Times New Roman"/>
          <w:sz w:val="24"/>
          <w:szCs w:val="20"/>
        </w:rPr>
        <w:t xml:space="preserve"> motivācija un iespēja veikt investīcijas, piemēram, palielināt ražošanas vai pakalpojumu jaudu, mainīt ražošanas procesu.</w:t>
      </w:r>
    </w:p>
    <w:p w14:paraId="336BCFDA" w14:textId="71227588" w:rsidR="002D4062" w:rsidRPr="00DC608B" w:rsidRDefault="002D4062" w:rsidP="001F013A">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Tāpat peļņa, kas tiks atstāta uzņēmumā, palielinās pamatkapitāla apjomu un uzlabos uzņēmuma bilanci kopumā. Dati par uzņēmumu pašu kapitālu Igaunijā apliecina, ka Igaunijas uzņēmumi kopumā ir krietni labāk kapitalizēti salīdzinājumā ar Latvijas uzņēmumiem. Tāpēc ir pamats uzskatīt, ka uzlabosies arī Latvijas uzņēmumu kapitalizācija, turklāt tiem mazināsies motivācija slēpt īsto peļņas apmēru. Tādējādi lielāks pamatkapitāls kopā ar citiem uzņēmējdarbības rādītājiem (apgrozījums, peļņa) uzlabos uzņēmumu pieeju kredī</w:t>
      </w:r>
      <w:r w:rsidR="001F013A">
        <w:rPr>
          <w:rFonts w:ascii="Times New Roman" w:eastAsia="Calibri" w:hAnsi="Times New Roman" w:cs="Times New Roman"/>
          <w:sz w:val="24"/>
          <w:szCs w:val="20"/>
        </w:rPr>
        <w:t xml:space="preserve">tresursiem. 2015. un 2016.gadā </w:t>
      </w:r>
      <w:r w:rsidRPr="00DC608B">
        <w:rPr>
          <w:rFonts w:ascii="Times New Roman" w:eastAsia="Calibri" w:hAnsi="Times New Roman" w:cs="Times New Roman"/>
          <w:sz w:val="24"/>
          <w:szCs w:val="20"/>
        </w:rPr>
        <w:t>no jauna izsniegto kredītu apjoms uzņēmumiem pieauga attiecīgi par 21% un 33%. Realizējot UIN reformu, no jauna izsniegto kredītu apjoms turpmākajos trijos gados varētu pieaugt par 5 procentpunktiem straujāk nekā bāzes scenārijā, dodot papildus stimulu uzņēmumu investīcijām.</w:t>
      </w:r>
    </w:p>
    <w:p w14:paraId="4A11AE4B" w14:textId="4A447F70" w:rsidR="002D4062" w:rsidRPr="00DC608B" w:rsidRDefault="002D4062" w:rsidP="00BA3B19">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 xml:space="preserve">Uzlabojoties uzņēmumu bilancēm, kā papildus investīcijas stimulējošs faktors varētu būt </w:t>
      </w:r>
      <w:r w:rsidR="00BA3B19">
        <w:rPr>
          <w:rFonts w:ascii="Times New Roman" w:eastAsia="Calibri" w:hAnsi="Times New Roman" w:cs="Times New Roman"/>
          <w:sz w:val="24"/>
          <w:szCs w:val="20"/>
        </w:rPr>
        <w:t>ES</w:t>
      </w:r>
      <w:r w:rsidRPr="00DC608B">
        <w:rPr>
          <w:rFonts w:ascii="Times New Roman" w:eastAsia="Calibri" w:hAnsi="Times New Roman" w:cs="Times New Roman"/>
          <w:sz w:val="24"/>
          <w:szCs w:val="20"/>
        </w:rPr>
        <w:t xml:space="preserve"> fondu investīciju plūsmas paātrināšanās vidēji par 50 milj. </w:t>
      </w:r>
      <w:r w:rsidR="00BA3B19">
        <w:rPr>
          <w:rFonts w:ascii="Times New Roman" w:eastAsia="Calibri" w:hAnsi="Times New Roman" w:cs="Times New Roman"/>
          <w:i/>
          <w:sz w:val="24"/>
          <w:szCs w:val="20"/>
        </w:rPr>
        <w:t>euro</w:t>
      </w:r>
      <w:r w:rsidRPr="00DC608B">
        <w:rPr>
          <w:rFonts w:ascii="Times New Roman" w:eastAsia="Calibri" w:hAnsi="Times New Roman" w:cs="Times New Roman"/>
          <w:sz w:val="24"/>
          <w:szCs w:val="20"/>
        </w:rPr>
        <w:t xml:space="preserve"> gadā, tāpat palielinot uzņēmumu investīcijas salīdzinājumā ar bāzes scenāriju.</w:t>
      </w:r>
    </w:p>
    <w:p w14:paraId="235853C1" w14:textId="595FE72A" w:rsidR="002D4062" w:rsidRPr="00DC608B" w:rsidRDefault="002D4062" w:rsidP="00BA3B19">
      <w:pPr>
        <w:spacing w:after="0" w:line="240" w:lineRule="auto"/>
        <w:ind w:firstLine="720"/>
        <w:jc w:val="both"/>
        <w:rPr>
          <w:rFonts w:ascii="Times New Roman" w:eastAsia="Calibri" w:hAnsi="Times New Roman" w:cs="Times New Roman"/>
          <w:sz w:val="24"/>
          <w:szCs w:val="20"/>
        </w:rPr>
      </w:pPr>
      <w:r w:rsidRPr="00DC608B">
        <w:rPr>
          <w:rFonts w:ascii="Times New Roman" w:eastAsia="Calibri" w:hAnsi="Times New Roman" w:cs="Times New Roman"/>
          <w:sz w:val="24"/>
          <w:szCs w:val="20"/>
        </w:rPr>
        <w:t xml:space="preserve">Īstenojot nodokļu politikas reformā paredzētos pasākumus, kā arī saglabājoties pozitīvai attīstībai galvenajās Latvijas galvenajās ārējās tirdzniecības partnervalstīs un paātrinoties ES fondu līdzekļu ieplūdei, Latvijas </w:t>
      </w:r>
      <w:r w:rsidR="00BA3B19">
        <w:rPr>
          <w:rFonts w:ascii="Times New Roman" w:eastAsia="Calibri" w:hAnsi="Times New Roman" w:cs="Times New Roman"/>
          <w:sz w:val="24"/>
          <w:szCs w:val="20"/>
        </w:rPr>
        <w:t>IKP</w:t>
      </w:r>
      <w:r w:rsidRPr="00DC608B">
        <w:rPr>
          <w:rFonts w:ascii="Times New Roman" w:eastAsia="Calibri" w:hAnsi="Times New Roman" w:cs="Times New Roman"/>
          <w:sz w:val="24"/>
          <w:szCs w:val="20"/>
        </w:rPr>
        <w:t xml:space="preserve"> reālais pieaugums reformas realizācijas periodā laikā līdz 2020.gadam var sasniegt 5%, salī</w:t>
      </w:r>
      <w:r w:rsidR="00BA3B19">
        <w:rPr>
          <w:rFonts w:ascii="Times New Roman" w:eastAsia="Calibri" w:hAnsi="Times New Roman" w:cs="Times New Roman"/>
          <w:sz w:val="24"/>
          <w:szCs w:val="20"/>
        </w:rPr>
        <w:t>dzinot ar pašreizējā  Latvijas S</w:t>
      </w:r>
      <w:r w:rsidRPr="00DC608B">
        <w:rPr>
          <w:rFonts w:ascii="Times New Roman" w:eastAsia="Calibri" w:hAnsi="Times New Roman" w:cs="Times New Roman"/>
          <w:sz w:val="24"/>
          <w:szCs w:val="20"/>
        </w:rPr>
        <w:t>tabilitātes programmas 2017.-2020.gadam scenārijā paredzēto 3% izaugsmi.</w:t>
      </w:r>
    </w:p>
    <w:p w14:paraId="0E19F781" w14:textId="6D33ABA9" w:rsidR="002D4062" w:rsidRDefault="002D4062" w:rsidP="00BA3B19">
      <w:pPr>
        <w:spacing w:after="0" w:line="240" w:lineRule="auto"/>
        <w:ind w:firstLine="720"/>
        <w:jc w:val="both"/>
        <w:rPr>
          <w:rFonts w:ascii="Times New Roman" w:eastAsia="Calibri" w:hAnsi="Times New Roman" w:cs="Times New Roman"/>
          <w:sz w:val="24"/>
          <w:szCs w:val="20"/>
        </w:rPr>
      </w:pPr>
      <w:r w:rsidRPr="00DA2131">
        <w:rPr>
          <w:rFonts w:ascii="Times New Roman" w:eastAsia="Calibri" w:hAnsi="Times New Roman" w:cs="Times New Roman"/>
          <w:sz w:val="24"/>
          <w:szCs w:val="20"/>
          <w:u w:val="single"/>
        </w:rPr>
        <w:t>Latvijas Bankas</w:t>
      </w:r>
      <w:r>
        <w:rPr>
          <w:rFonts w:ascii="Times New Roman" w:eastAsia="Calibri" w:hAnsi="Times New Roman" w:cs="Times New Roman"/>
          <w:sz w:val="24"/>
          <w:szCs w:val="20"/>
        </w:rPr>
        <w:t xml:space="preserve"> ir veikusi nodokļu reformas </w:t>
      </w:r>
      <w:r w:rsidR="00DA2131" w:rsidRPr="00DA2131">
        <w:rPr>
          <w:rFonts w:ascii="Times New Roman" w:eastAsia="Calibri" w:hAnsi="Times New Roman" w:cs="Times New Roman"/>
          <w:sz w:val="24"/>
          <w:szCs w:val="20"/>
          <w:u w:val="single"/>
        </w:rPr>
        <w:t xml:space="preserve">dažu </w:t>
      </w:r>
      <w:r w:rsidRPr="00DA2131">
        <w:rPr>
          <w:rFonts w:ascii="Times New Roman" w:eastAsia="Calibri" w:hAnsi="Times New Roman" w:cs="Times New Roman"/>
          <w:sz w:val="24"/>
          <w:szCs w:val="20"/>
          <w:u w:val="single"/>
        </w:rPr>
        <w:t>galveno pasākumu</w:t>
      </w:r>
      <w:r w:rsidR="00DA2131" w:rsidRPr="00DA2131">
        <w:rPr>
          <w:rFonts w:ascii="Times New Roman" w:eastAsia="Calibri" w:hAnsi="Times New Roman" w:cs="Times New Roman"/>
          <w:sz w:val="24"/>
          <w:szCs w:val="20"/>
          <w:u w:val="single"/>
        </w:rPr>
        <w:t xml:space="preserve"> (IIN un UIN likmju izlīdzināšanas)</w:t>
      </w:r>
      <w:r w:rsidRPr="00DA2131">
        <w:rPr>
          <w:rFonts w:ascii="Times New Roman" w:eastAsia="Calibri" w:hAnsi="Times New Roman" w:cs="Times New Roman"/>
          <w:sz w:val="24"/>
          <w:szCs w:val="20"/>
          <w:u w:val="single"/>
        </w:rPr>
        <w:t xml:space="preserve"> ietekmes modelēšanu</w:t>
      </w:r>
      <w:r w:rsidR="00DA2131">
        <w:rPr>
          <w:rFonts w:ascii="Times New Roman" w:eastAsia="Calibri" w:hAnsi="Times New Roman" w:cs="Times New Roman"/>
          <w:sz w:val="24"/>
          <w:szCs w:val="20"/>
        </w:rPr>
        <w:t>,</w:t>
      </w:r>
      <w:r w:rsidRPr="007133F3">
        <w:rPr>
          <w:rFonts w:ascii="Times New Roman" w:eastAsia="Calibri" w:hAnsi="Times New Roman" w:cs="Times New Roman"/>
          <w:sz w:val="24"/>
          <w:szCs w:val="20"/>
        </w:rPr>
        <w:t xml:space="preserve"> izmantojot vispārējā līdzsvara aprēķina modeli, kas ietver 32 nozares, 55 preču grupas un septiņas galapatērētāju kategorijas. No fiskālās puses tas iekļauj piecus valdības izdevumu veidus un piecus ieņēmumu avotus, t.sk. četrus nozīmīgākos nodokļus – IIN, </w:t>
      </w:r>
      <w:r w:rsidR="00F225E9">
        <w:rPr>
          <w:rFonts w:ascii="Times New Roman" w:eastAsia="Calibri" w:hAnsi="Times New Roman" w:cs="Times New Roman"/>
          <w:sz w:val="24"/>
          <w:szCs w:val="20"/>
        </w:rPr>
        <w:t>VSAOI</w:t>
      </w:r>
      <w:r w:rsidRPr="007133F3">
        <w:rPr>
          <w:rFonts w:ascii="Times New Roman" w:eastAsia="Calibri" w:hAnsi="Times New Roman" w:cs="Times New Roman"/>
          <w:sz w:val="24"/>
          <w:szCs w:val="20"/>
        </w:rPr>
        <w:t xml:space="preserve">, PVN un akcīzes nodokli. UIN pārmaiņu ietekme modelēta, izmantojot novērtēto Latvijas dinamisko stohastisko vispārējā līdzsvara (DSGE) modeli ar finanšu frikcijām un modelī ietverot bezdarba </w:t>
      </w:r>
      <w:r w:rsidRPr="00BA3B19">
        <w:rPr>
          <w:rFonts w:ascii="Times New Roman" w:eastAsia="Calibri" w:hAnsi="Times New Roman" w:cs="Times New Roman"/>
          <w:sz w:val="24"/>
          <w:szCs w:val="24"/>
        </w:rPr>
        <w:t>parametru</w:t>
      </w:r>
      <w:r w:rsidRPr="00BA3B19">
        <w:rPr>
          <w:rStyle w:val="FootnoteReference"/>
          <w:rFonts w:ascii="Times New Roman" w:eastAsia="Calibri" w:hAnsi="Times New Roman" w:cs="Times New Roman"/>
          <w:sz w:val="24"/>
          <w:szCs w:val="24"/>
        </w:rPr>
        <w:footnoteReference w:id="13"/>
      </w:r>
      <w:r w:rsidRPr="00BA3B19">
        <w:rPr>
          <w:rFonts w:ascii="Times New Roman" w:eastAsia="Calibri" w:hAnsi="Times New Roman" w:cs="Times New Roman"/>
          <w:sz w:val="24"/>
          <w:szCs w:val="24"/>
        </w:rPr>
        <w:t>.</w:t>
      </w:r>
      <w:r w:rsidRPr="007133F3">
        <w:rPr>
          <w:rFonts w:ascii="Times New Roman" w:eastAsia="Calibri" w:hAnsi="Times New Roman" w:cs="Times New Roman"/>
          <w:sz w:val="24"/>
          <w:szCs w:val="20"/>
        </w:rPr>
        <w:t xml:space="preserve"> </w:t>
      </w:r>
      <w:r>
        <w:rPr>
          <w:rFonts w:ascii="Times New Roman" w:eastAsia="Calibri" w:hAnsi="Times New Roman" w:cs="Times New Roman"/>
          <w:sz w:val="24"/>
          <w:szCs w:val="20"/>
        </w:rPr>
        <w:t xml:space="preserve">Reformas pasākumu kumulatīvā ietekme salīdzinot ar pašreizējo situāciju dota </w:t>
      </w:r>
      <w:r w:rsidR="00D759FF">
        <w:rPr>
          <w:rFonts w:ascii="Times New Roman" w:eastAsia="Calibri" w:hAnsi="Times New Roman" w:cs="Times New Roman"/>
          <w:sz w:val="24"/>
          <w:szCs w:val="20"/>
        </w:rPr>
        <w:t>3.4</w:t>
      </w:r>
      <w:r w:rsidR="0040143C" w:rsidRPr="006E5765">
        <w:rPr>
          <w:rFonts w:ascii="Times New Roman" w:eastAsia="Calibri" w:hAnsi="Times New Roman" w:cs="Times New Roman"/>
          <w:sz w:val="24"/>
          <w:szCs w:val="20"/>
        </w:rPr>
        <w:t>.</w:t>
      </w:r>
      <w:r w:rsidRPr="006E5765">
        <w:rPr>
          <w:rFonts w:ascii="Times New Roman" w:eastAsia="Calibri" w:hAnsi="Times New Roman" w:cs="Times New Roman"/>
          <w:sz w:val="24"/>
          <w:szCs w:val="20"/>
        </w:rPr>
        <w:t>attēlā:</w:t>
      </w:r>
    </w:p>
    <w:p w14:paraId="1538BD0C" w14:textId="77777777" w:rsidR="002D4062" w:rsidRPr="007133F3" w:rsidRDefault="002D4062" w:rsidP="002D4062">
      <w:pPr>
        <w:autoSpaceDE w:val="0"/>
        <w:autoSpaceDN w:val="0"/>
        <w:adjustRightInd w:val="0"/>
        <w:spacing w:after="0" w:line="240" w:lineRule="auto"/>
        <w:jc w:val="both"/>
        <w:rPr>
          <w:rFonts w:ascii="Times New Roman" w:eastAsia="Calibri" w:hAnsi="Times New Roman" w:cs="Times New Roman"/>
          <w:sz w:val="24"/>
          <w:szCs w:val="20"/>
        </w:rPr>
      </w:pPr>
    </w:p>
    <w:p w14:paraId="3CB93D24" w14:textId="77777777" w:rsidR="002D4062" w:rsidRPr="007133F3" w:rsidRDefault="002D4062" w:rsidP="00CE4F37">
      <w:pPr>
        <w:spacing w:after="0" w:line="240" w:lineRule="auto"/>
        <w:jc w:val="both"/>
        <w:rPr>
          <w:rFonts w:ascii="Times New Roman" w:eastAsia="Calibri" w:hAnsi="Times New Roman" w:cs="Times New Roman"/>
          <w:sz w:val="24"/>
          <w:szCs w:val="20"/>
        </w:rPr>
      </w:pPr>
      <w:r w:rsidRPr="006B601D">
        <w:rPr>
          <w:rFonts w:ascii="Times New Roman" w:eastAsia="Calibri" w:hAnsi="Times New Roman" w:cs="Times New Roman"/>
          <w:noProof/>
          <w:sz w:val="24"/>
          <w:szCs w:val="20"/>
          <w:lang w:eastAsia="lv-LV"/>
        </w:rPr>
        <w:lastRenderedPageBreak/>
        <w:drawing>
          <wp:inline distT="0" distB="0" distL="0" distR="0" wp14:anchorId="2B6F140B" wp14:editId="15FC4F4D">
            <wp:extent cx="5773420" cy="190322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3309" cy="1919674"/>
                    </a:xfrm>
                    <a:prstGeom prst="rect">
                      <a:avLst/>
                    </a:prstGeom>
                    <a:noFill/>
                    <a:ln>
                      <a:noFill/>
                    </a:ln>
                  </pic:spPr>
                </pic:pic>
              </a:graphicData>
            </a:graphic>
          </wp:inline>
        </w:drawing>
      </w:r>
    </w:p>
    <w:p w14:paraId="296B685E" w14:textId="270C10F1" w:rsidR="002D4062" w:rsidRDefault="00C12F8D" w:rsidP="00BA3B19">
      <w:pPr>
        <w:spacing w:before="60" w:after="120" w:line="240" w:lineRule="auto"/>
        <w:ind w:left="357"/>
        <w:jc w:val="center"/>
        <w:rPr>
          <w:rFonts w:ascii="Times New Roman" w:eastAsia="Calibri" w:hAnsi="Times New Roman" w:cs="Times New Roman"/>
          <w:b/>
          <w:sz w:val="24"/>
          <w:szCs w:val="20"/>
        </w:rPr>
      </w:pPr>
      <w:r>
        <w:rPr>
          <w:rFonts w:ascii="Times New Roman" w:eastAsia="Calibri" w:hAnsi="Times New Roman" w:cs="Times New Roman"/>
          <w:b/>
          <w:sz w:val="24"/>
          <w:szCs w:val="20"/>
        </w:rPr>
        <w:t>3.4</w:t>
      </w:r>
      <w:r w:rsidR="00BA3B19">
        <w:rPr>
          <w:rFonts w:ascii="Times New Roman" w:eastAsia="Calibri" w:hAnsi="Times New Roman" w:cs="Times New Roman"/>
          <w:b/>
          <w:sz w:val="24"/>
          <w:szCs w:val="20"/>
        </w:rPr>
        <w:t>.attēls.</w:t>
      </w:r>
      <w:r w:rsidR="002D4062" w:rsidRPr="006B601D">
        <w:rPr>
          <w:rFonts w:ascii="Times New Roman" w:eastAsia="Calibri" w:hAnsi="Times New Roman" w:cs="Times New Roman"/>
          <w:b/>
          <w:sz w:val="24"/>
          <w:szCs w:val="20"/>
        </w:rPr>
        <w:t xml:space="preserve"> </w:t>
      </w:r>
      <w:r w:rsidR="00A507C8">
        <w:rPr>
          <w:rFonts w:ascii="Times New Roman" w:eastAsia="Calibri" w:hAnsi="Times New Roman" w:cs="Times New Roman"/>
          <w:b/>
          <w:sz w:val="24"/>
          <w:szCs w:val="20"/>
        </w:rPr>
        <w:t>Latvijas Bankas</w:t>
      </w:r>
      <w:r w:rsidR="002D4062" w:rsidRPr="006B601D">
        <w:rPr>
          <w:rFonts w:ascii="Times New Roman" w:eastAsia="Calibri" w:hAnsi="Times New Roman" w:cs="Times New Roman"/>
          <w:b/>
          <w:sz w:val="24"/>
          <w:szCs w:val="20"/>
        </w:rPr>
        <w:t xml:space="preserve"> modelētā reformas pasākumu kumulatīvā ietekme uz IKP, sal</w:t>
      </w:r>
      <w:r w:rsidR="00A507C8">
        <w:rPr>
          <w:rFonts w:ascii="Times New Roman" w:eastAsia="Calibri" w:hAnsi="Times New Roman" w:cs="Times New Roman"/>
          <w:b/>
          <w:sz w:val="24"/>
          <w:szCs w:val="20"/>
        </w:rPr>
        <w:t>īdzinot ar pašreizējo situāciju</w:t>
      </w:r>
    </w:p>
    <w:p w14:paraId="5BDD1EBA" w14:textId="5B1E8A59" w:rsidR="002D4062" w:rsidRDefault="00BA3B19" w:rsidP="00492A61">
      <w:pPr>
        <w:spacing w:after="0" w:line="240" w:lineRule="auto"/>
        <w:jc w:val="both"/>
        <w:rPr>
          <w:rFonts w:ascii="Times New Roman" w:eastAsia="Calibri" w:hAnsi="Times New Roman" w:cs="Times New Roman"/>
          <w:sz w:val="24"/>
          <w:szCs w:val="20"/>
        </w:rPr>
      </w:pPr>
      <w:r w:rsidRPr="00DA2131">
        <w:rPr>
          <w:rFonts w:ascii="Times New Roman" w:eastAsia="Calibri" w:hAnsi="Times New Roman" w:cs="Times New Roman"/>
          <w:sz w:val="24"/>
          <w:szCs w:val="20"/>
          <w:u w:val="single"/>
        </w:rPr>
        <w:t>FM</w:t>
      </w:r>
      <w:r w:rsidR="00DA2131" w:rsidRPr="00DA2131">
        <w:rPr>
          <w:rFonts w:ascii="Times New Roman" w:eastAsia="Calibri" w:hAnsi="Times New Roman" w:cs="Times New Roman"/>
          <w:sz w:val="24"/>
          <w:szCs w:val="20"/>
          <w:u w:val="single"/>
        </w:rPr>
        <w:t xml:space="preserve"> novērtējums</w:t>
      </w:r>
      <w:r w:rsidR="00DA2131">
        <w:rPr>
          <w:rFonts w:ascii="Times New Roman" w:eastAsia="Calibri" w:hAnsi="Times New Roman" w:cs="Times New Roman"/>
          <w:sz w:val="24"/>
          <w:szCs w:val="20"/>
        </w:rPr>
        <w:t xml:space="preserve"> veikts</w:t>
      </w:r>
      <w:r w:rsidR="002D4062">
        <w:rPr>
          <w:rFonts w:ascii="Times New Roman" w:eastAsia="Calibri" w:hAnsi="Times New Roman" w:cs="Times New Roman"/>
          <w:sz w:val="24"/>
          <w:szCs w:val="20"/>
        </w:rPr>
        <w:t xml:space="preserve">, ņemot vērā </w:t>
      </w:r>
      <w:r w:rsidR="002D4062" w:rsidRPr="00DA2131">
        <w:rPr>
          <w:rFonts w:ascii="Times New Roman" w:eastAsia="Calibri" w:hAnsi="Times New Roman" w:cs="Times New Roman"/>
          <w:sz w:val="24"/>
          <w:szCs w:val="20"/>
          <w:u w:val="single"/>
        </w:rPr>
        <w:t>visus reformas pasākumus</w:t>
      </w:r>
      <w:r w:rsidR="002D4062" w:rsidRPr="00492A61">
        <w:rPr>
          <w:rFonts w:ascii="Times New Roman" w:eastAsia="Calibri" w:hAnsi="Times New Roman" w:cs="Times New Roman"/>
          <w:sz w:val="24"/>
          <w:szCs w:val="20"/>
        </w:rPr>
        <w:t xml:space="preserve"> </w:t>
      </w:r>
      <w:r w:rsidRPr="00492A61">
        <w:rPr>
          <w:rFonts w:ascii="Times New Roman" w:eastAsia="Calibri" w:hAnsi="Times New Roman" w:cs="Times New Roman"/>
          <w:sz w:val="24"/>
          <w:szCs w:val="20"/>
        </w:rPr>
        <w:t>dots</w:t>
      </w:r>
      <w:r w:rsidR="002D4062" w:rsidRPr="00492A61">
        <w:rPr>
          <w:rFonts w:ascii="Times New Roman" w:eastAsia="Calibri" w:hAnsi="Times New Roman" w:cs="Times New Roman"/>
          <w:sz w:val="24"/>
          <w:szCs w:val="20"/>
        </w:rPr>
        <w:t xml:space="preserve"> </w:t>
      </w:r>
      <w:r w:rsidR="00C12F8D">
        <w:rPr>
          <w:rFonts w:ascii="Times New Roman" w:eastAsia="Calibri" w:hAnsi="Times New Roman" w:cs="Times New Roman"/>
          <w:sz w:val="24"/>
          <w:szCs w:val="20"/>
        </w:rPr>
        <w:t>3.5</w:t>
      </w:r>
      <w:r w:rsidRPr="00492A61">
        <w:rPr>
          <w:rFonts w:ascii="Times New Roman" w:eastAsia="Calibri" w:hAnsi="Times New Roman" w:cs="Times New Roman"/>
          <w:sz w:val="24"/>
          <w:szCs w:val="20"/>
        </w:rPr>
        <w:t>.</w:t>
      </w:r>
      <w:r w:rsidR="002D4062" w:rsidRPr="00492A61">
        <w:rPr>
          <w:rFonts w:ascii="Times New Roman" w:eastAsia="Calibri" w:hAnsi="Times New Roman" w:cs="Times New Roman"/>
          <w:sz w:val="24"/>
          <w:szCs w:val="20"/>
        </w:rPr>
        <w:t xml:space="preserve">attēlā un </w:t>
      </w:r>
      <w:r w:rsidR="006E5765" w:rsidRPr="00492A61">
        <w:rPr>
          <w:rFonts w:ascii="Times New Roman" w:eastAsia="Calibri" w:hAnsi="Times New Roman" w:cs="Times New Roman"/>
          <w:sz w:val="24"/>
          <w:szCs w:val="20"/>
        </w:rPr>
        <w:t>3.12</w:t>
      </w:r>
      <w:r w:rsidRPr="00492A61">
        <w:rPr>
          <w:rFonts w:ascii="Times New Roman" w:eastAsia="Calibri" w:hAnsi="Times New Roman" w:cs="Times New Roman"/>
          <w:sz w:val="24"/>
          <w:szCs w:val="20"/>
        </w:rPr>
        <w:t>.</w:t>
      </w:r>
      <w:r w:rsidR="002D4062" w:rsidRPr="00492A61">
        <w:rPr>
          <w:rFonts w:ascii="Times New Roman" w:eastAsia="Calibri" w:hAnsi="Times New Roman" w:cs="Times New Roman"/>
          <w:sz w:val="24"/>
          <w:szCs w:val="20"/>
        </w:rPr>
        <w:t>tabulā</w:t>
      </w:r>
      <w:r w:rsidR="002D4062">
        <w:rPr>
          <w:rFonts w:ascii="Times New Roman" w:eastAsia="Calibri" w:hAnsi="Times New Roman" w:cs="Times New Roman"/>
          <w:sz w:val="24"/>
          <w:szCs w:val="20"/>
        </w:rPr>
        <w:t>:</w:t>
      </w:r>
    </w:p>
    <w:p w14:paraId="701429A9" w14:textId="77777777" w:rsidR="00492A61" w:rsidRPr="006B601D" w:rsidRDefault="00492A61" w:rsidP="00CE4F37">
      <w:pPr>
        <w:spacing w:after="0" w:line="240" w:lineRule="auto"/>
        <w:jc w:val="center"/>
        <w:rPr>
          <w:rFonts w:ascii="Times New Roman" w:eastAsia="Calibri" w:hAnsi="Times New Roman" w:cs="Times New Roman"/>
          <w:sz w:val="24"/>
          <w:szCs w:val="20"/>
        </w:rPr>
      </w:pPr>
      <w:r>
        <w:rPr>
          <w:noProof/>
          <w:lang w:eastAsia="lv-LV"/>
        </w:rPr>
        <w:drawing>
          <wp:inline distT="0" distB="0" distL="0" distR="0" wp14:anchorId="0C7C2D64" wp14:editId="0D4E46CC">
            <wp:extent cx="5633263" cy="2052084"/>
            <wp:effectExtent l="0" t="0" r="571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98AB10" w14:textId="69BBD881" w:rsidR="00CE4F37" w:rsidRDefault="00C12F8D" w:rsidP="00502AB5">
      <w:pPr>
        <w:spacing w:before="60" w:after="120" w:line="240" w:lineRule="auto"/>
        <w:ind w:left="357"/>
        <w:jc w:val="center"/>
        <w:rPr>
          <w:rFonts w:ascii="Times New Roman" w:eastAsia="Calibri" w:hAnsi="Times New Roman" w:cs="Times New Roman"/>
          <w:b/>
          <w:sz w:val="24"/>
          <w:szCs w:val="20"/>
        </w:rPr>
      </w:pPr>
      <w:r>
        <w:rPr>
          <w:rFonts w:ascii="Times New Roman" w:eastAsia="Calibri" w:hAnsi="Times New Roman" w:cs="Times New Roman"/>
          <w:b/>
          <w:sz w:val="24"/>
          <w:szCs w:val="20"/>
        </w:rPr>
        <w:t>3.5</w:t>
      </w:r>
      <w:r w:rsidR="00492A61">
        <w:rPr>
          <w:rFonts w:ascii="Times New Roman" w:eastAsia="Calibri" w:hAnsi="Times New Roman" w:cs="Times New Roman"/>
          <w:b/>
          <w:sz w:val="24"/>
          <w:szCs w:val="20"/>
        </w:rPr>
        <w:t>.attēls.</w:t>
      </w:r>
      <w:r w:rsidR="00492A61" w:rsidRPr="006B601D">
        <w:rPr>
          <w:rFonts w:ascii="Times New Roman" w:eastAsia="Calibri" w:hAnsi="Times New Roman" w:cs="Times New Roman"/>
          <w:b/>
          <w:sz w:val="24"/>
          <w:szCs w:val="20"/>
        </w:rPr>
        <w:t xml:space="preserve"> </w:t>
      </w:r>
      <w:r w:rsidR="00492A61">
        <w:rPr>
          <w:rFonts w:ascii="Times New Roman" w:eastAsia="Calibri" w:hAnsi="Times New Roman" w:cs="Times New Roman"/>
          <w:b/>
          <w:sz w:val="24"/>
          <w:szCs w:val="20"/>
        </w:rPr>
        <w:t>FM</w:t>
      </w:r>
      <w:r w:rsidR="00492A61" w:rsidRPr="006B601D">
        <w:rPr>
          <w:rFonts w:ascii="Times New Roman" w:eastAsia="Calibri" w:hAnsi="Times New Roman" w:cs="Times New Roman"/>
          <w:b/>
          <w:sz w:val="24"/>
          <w:szCs w:val="20"/>
        </w:rPr>
        <w:t xml:space="preserve"> modelētā reformas pasākumu kumulatīvā ietekme uz IKP, sal</w:t>
      </w:r>
      <w:r w:rsidR="00492A61">
        <w:rPr>
          <w:rFonts w:ascii="Times New Roman" w:eastAsia="Calibri" w:hAnsi="Times New Roman" w:cs="Times New Roman"/>
          <w:b/>
          <w:sz w:val="24"/>
          <w:szCs w:val="20"/>
        </w:rPr>
        <w:t>īdzinot ar pašreizējo situāciju</w:t>
      </w:r>
    </w:p>
    <w:p w14:paraId="666DB3F6" w14:textId="77777777" w:rsidR="00502AB5" w:rsidRDefault="00502AB5" w:rsidP="00502AB5">
      <w:pPr>
        <w:spacing w:before="60" w:after="120" w:line="240" w:lineRule="auto"/>
        <w:ind w:left="357"/>
        <w:jc w:val="center"/>
        <w:rPr>
          <w:rFonts w:ascii="Times New Roman" w:eastAsia="Calibri" w:hAnsi="Times New Roman" w:cs="Times New Roman"/>
          <w:b/>
          <w:sz w:val="24"/>
          <w:szCs w:val="20"/>
        </w:rPr>
      </w:pPr>
    </w:p>
    <w:p w14:paraId="3FAF4639" w14:textId="19729A5D" w:rsidR="002D4062" w:rsidRDefault="006E5765" w:rsidP="00BA3B19">
      <w:pPr>
        <w:spacing w:before="120" w:after="60" w:line="240" w:lineRule="auto"/>
        <w:ind w:left="357"/>
        <w:jc w:val="right"/>
        <w:rPr>
          <w:rFonts w:ascii="Times New Roman" w:eastAsia="Calibri" w:hAnsi="Times New Roman" w:cs="Times New Roman"/>
          <w:b/>
          <w:sz w:val="24"/>
          <w:szCs w:val="20"/>
        </w:rPr>
      </w:pPr>
      <w:r>
        <w:rPr>
          <w:rFonts w:ascii="Times New Roman" w:eastAsia="Calibri" w:hAnsi="Times New Roman" w:cs="Times New Roman"/>
          <w:b/>
          <w:sz w:val="24"/>
          <w:szCs w:val="20"/>
        </w:rPr>
        <w:t>3.12</w:t>
      </w:r>
      <w:r w:rsidR="00BA3B19">
        <w:rPr>
          <w:rFonts w:ascii="Times New Roman" w:eastAsia="Calibri" w:hAnsi="Times New Roman" w:cs="Times New Roman"/>
          <w:b/>
          <w:sz w:val="24"/>
          <w:szCs w:val="20"/>
        </w:rPr>
        <w:t>.tabula. N</w:t>
      </w:r>
      <w:r w:rsidR="002D4062">
        <w:rPr>
          <w:rFonts w:ascii="Times New Roman" w:eastAsia="Calibri" w:hAnsi="Times New Roman" w:cs="Times New Roman"/>
          <w:b/>
          <w:sz w:val="24"/>
          <w:szCs w:val="20"/>
        </w:rPr>
        <w:t>odokļu reformas makroekonomiskā ietekme</w:t>
      </w:r>
    </w:p>
    <w:p w14:paraId="3EC36546" w14:textId="77777777" w:rsidR="002D4062" w:rsidRDefault="002D4062" w:rsidP="00BA3B19">
      <w:pPr>
        <w:spacing w:after="0" w:line="240" w:lineRule="auto"/>
        <w:jc w:val="both"/>
        <w:rPr>
          <w:rFonts w:ascii="Times New Roman" w:eastAsia="Calibri" w:hAnsi="Times New Roman" w:cs="Times New Roman"/>
          <w:b/>
          <w:sz w:val="24"/>
          <w:szCs w:val="20"/>
        </w:rPr>
      </w:pPr>
      <w:r w:rsidRPr="000501B5">
        <w:rPr>
          <w:noProof/>
          <w:lang w:eastAsia="lv-LV"/>
        </w:rPr>
        <w:drawing>
          <wp:inline distT="0" distB="0" distL="0" distR="0" wp14:anchorId="1C3D71D3" wp14:editId="41FB3C77">
            <wp:extent cx="5853749" cy="33156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2692" cy="3320760"/>
                    </a:xfrm>
                    <a:prstGeom prst="rect">
                      <a:avLst/>
                    </a:prstGeom>
                    <a:noFill/>
                    <a:ln>
                      <a:noFill/>
                    </a:ln>
                  </pic:spPr>
                </pic:pic>
              </a:graphicData>
            </a:graphic>
          </wp:inline>
        </w:drawing>
      </w:r>
    </w:p>
    <w:p w14:paraId="1CCB9EEF" w14:textId="68AFFBC1" w:rsidR="002D4062" w:rsidRPr="004D5E99" w:rsidRDefault="002D4062" w:rsidP="00BA3B19">
      <w:pPr>
        <w:spacing w:before="120" w:after="60" w:line="240" w:lineRule="auto"/>
        <w:ind w:firstLine="720"/>
        <w:jc w:val="both"/>
        <w:rPr>
          <w:rFonts w:ascii="Times New Roman" w:eastAsia="Calibri" w:hAnsi="Times New Roman" w:cs="Times New Roman"/>
          <w:b/>
          <w:sz w:val="24"/>
          <w:szCs w:val="20"/>
        </w:rPr>
      </w:pPr>
      <w:r w:rsidRPr="004D5E99">
        <w:rPr>
          <w:rFonts w:ascii="Times New Roman" w:eastAsia="Calibri" w:hAnsi="Times New Roman" w:cs="Times New Roman"/>
          <w:b/>
          <w:sz w:val="24"/>
          <w:szCs w:val="20"/>
        </w:rPr>
        <w:lastRenderedPageBreak/>
        <w:t>Nodokļu reformas netiešā fiskālā ietekme</w:t>
      </w:r>
    </w:p>
    <w:p w14:paraId="0014C650" w14:textId="17EC15E5" w:rsidR="002D4062" w:rsidRDefault="002D4062" w:rsidP="00BA3B19">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Nodo</w:t>
      </w:r>
      <w:r w:rsidR="00DA2131">
        <w:rPr>
          <w:rFonts w:ascii="Times New Roman" w:eastAsia="Calibri" w:hAnsi="Times New Roman" w:cs="Times New Roman"/>
          <w:sz w:val="24"/>
          <w:szCs w:val="20"/>
        </w:rPr>
        <w:t>kļu reformas izsauktā papildu</w:t>
      </w:r>
      <w:r>
        <w:rPr>
          <w:rFonts w:ascii="Times New Roman" w:eastAsia="Calibri" w:hAnsi="Times New Roman" w:cs="Times New Roman"/>
          <w:sz w:val="24"/>
          <w:szCs w:val="20"/>
        </w:rPr>
        <w:t xml:space="preserve"> ekonomiskā izaugsme rada pozitīvu fiskālo ietekmi (netiešā fiskālā ietekme) </w:t>
      </w:r>
      <w:r w:rsidRPr="00A07203">
        <w:rPr>
          <w:rFonts w:ascii="Times New Roman" w:eastAsia="Calibri" w:hAnsi="Times New Roman" w:cs="Times New Roman"/>
          <w:b/>
          <w:sz w:val="24"/>
          <w:szCs w:val="20"/>
        </w:rPr>
        <w:t xml:space="preserve">89 </w:t>
      </w:r>
      <w:r w:rsidR="00BA3B19">
        <w:rPr>
          <w:rFonts w:ascii="Times New Roman" w:eastAsia="Calibri" w:hAnsi="Times New Roman" w:cs="Times New Roman"/>
          <w:b/>
          <w:sz w:val="24"/>
          <w:szCs w:val="20"/>
        </w:rPr>
        <w:t xml:space="preserve">milj. </w:t>
      </w:r>
      <w:r w:rsidR="00BA3B19">
        <w:rPr>
          <w:rFonts w:ascii="Times New Roman" w:eastAsia="Calibri" w:hAnsi="Times New Roman" w:cs="Times New Roman"/>
          <w:b/>
          <w:i/>
          <w:sz w:val="24"/>
          <w:szCs w:val="20"/>
        </w:rPr>
        <w:t>euro</w:t>
      </w:r>
      <w:r w:rsidR="00B672CB">
        <w:rPr>
          <w:rFonts w:ascii="Times New Roman" w:eastAsia="Calibri" w:hAnsi="Times New Roman" w:cs="Times New Roman"/>
          <w:sz w:val="24"/>
          <w:szCs w:val="20"/>
        </w:rPr>
        <w:t xml:space="preserve"> pirmajā reformas gadā, 2019.</w:t>
      </w:r>
      <w:r>
        <w:rPr>
          <w:rFonts w:ascii="Times New Roman" w:eastAsia="Calibri" w:hAnsi="Times New Roman" w:cs="Times New Roman"/>
          <w:sz w:val="24"/>
          <w:szCs w:val="20"/>
        </w:rPr>
        <w:t xml:space="preserve">gadā tā palielinās vēl par </w:t>
      </w:r>
      <w:r w:rsidRPr="00A07203">
        <w:rPr>
          <w:rFonts w:ascii="Times New Roman" w:eastAsia="Calibri" w:hAnsi="Times New Roman" w:cs="Times New Roman"/>
          <w:b/>
          <w:sz w:val="24"/>
          <w:szCs w:val="20"/>
        </w:rPr>
        <w:t xml:space="preserve">41 </w:t>
      </w:r>
      <w:r w:rsidR="00BA3B19">
        <w:rPr>
          <w:rFonts w:ascii="Times New Roman" w:eastAsia="Calibri" w:hAnsi="Times New Roman" w:cs="Times New Roman"/>
          <w:b/>
          <w:sz w:val="24"/>
          <w:szCs w:val="20"/>
        </w:rPr>
        <w:t xml:space="preserve">milj. </w:t>
      </w:r>
      <w:r w:rsidR="00BA3B19">
        <w:rPr>
          <w:rFonts w:ascii="Times New Roman" w:eastAsia="Calibri" w:hAnsi="Times New Roman" w:cs="Times New Roman"/>
          <w:b/>
          <w:i/>
          <w:sz w:val="24"/>
          <w:szCs w:val="20"/>
        </w:rPr>
        <w:t>euro</w:t>
      </w:r>
      <w:r>
        <w:rPr>
          <w:rFonts w:ascii="Times New Roman" w:eastAsia="Calibri" w:hAnsi="Times New Roman" w:cs="Times New Roman"/>
          <w:sz w:val="24"/>
          <w:szCs w:val="20"/>
        </w:rPr>
        <w:t xml:space="preserve"> un 2020.gadā vēl par </w:t>
      </w:r>
      <w:r w:rsidRPr="00A07203">
        <w:rPr>
          <w:rFonts w:ascii="Times New Roman" w:eastAsia="Calibri" w:hAnsi="Times New Roman" w:cs="Times New Roman"/>
          <w:b/>
          <w:sz w:val="24"/>
          <w:szCs w:val="20"/>
        </w:rPr>
        <w:t xml:space="preserve">107 </w:t>
      </w:r>
      <w:r w:rsidR="00BA3B19">
        <w:rPr>
          <w:rFonts w:ascii="Times New Roman" w:eastAsia="Calibri" w:hAnsi="Times New Roman" w:cs="Times New Roman"/>
          <w:b/>
          <w:sz w:val="24"/>
          <w:szCs w:val="20"/>
        </w:rPr>
        <w:t xml:space="preserve">milj. </w:t>
      </w:r>
      <w:r w:rsidR="00BA3B19">
        <w:rPr>
          <w:rFonts w:ascii="Times New Roman" w:eastAsia="Calibri" w:hAnsi="Times New Roman" w:cs="Times New Roman"/>
          <w:b/>
          <w:i/>
          <w:sz w:val="24"/>
          <w:szCs w:val="20"/>
        </w:rPr>
        <w:t>euro</w:t>
      </w:r>
      <w:r w:rsidR="00BA3B19">
        <w:rPr>
          <w:rFonts w:ascii="Times New Roman" w:eastAsia="Calibri" w:hAnsi="Times New Roman" w:cs="Times New Roman"/>
          <w:sz w:val="24"/>
          <w:szCs w:val="20"/>
        </w:rPr>
        <w:t xml:space="preserve">. </w:t>
      </w:r>
      <w:r>
        <w:rPr>
          <w:rFonts w:ascii="Times New Roman" w:eastAsia="Calibri" w:hAnsi="Times New Roman" w:cs="Times New Roman"/>
          <w:sz w:val="24"/>
          <w:szCs w:val="20"/>
        </w:rPr>
        <w:t xml:space="preserve">Skat </w:t>
      </w:r>
      <w:r w:rsidR="00B63BC3">
        <w:rPr>
          <w:rFonts w:ascii="Times New Roman" w:eastAsia="Calibri" w:hAnsi="Times New Roman" w:cs="Times New Roman"/>
          <w:sz w:val="24"/>
          <w:szCs w:val="20"/>
        </w:rPr>
        <w:t>3.13</w:t>
      </w:r>
      <w:r w:rsidR="0040143C">
        <w:rPr>
          <w:rFonts w:ascii="Times New Roman" w:eastAsia="Calibri" w:hAnsi="Times New Roman" w:cs="Times New Roman"/>
          <w:sz w:val="24"/>
          <w:szCs w:val="20"/>
        </w:rPr>
        <w:t>.</w:t>
      </w:r>
      <w:r>
        <w:rPr>
          <w:rFonts w:ascii="Times New Roman" w:eastAsia="Calibri" w:hAnsi="Times New Roman" w:cs="Times New Roman"/>
          <w:sz w:val="24"/>
          <w:szCs w:val="20"/>
        </w:rPr>
        <w:t>tabulu.</w:t>
      </w:r>
    </w:p>
    <w:p w14:paraId="3EC7F985" w14:textId="3D6E51F2" w:rsidR="002D4062" w:rsidRPr="00A07203" w:rsidRDefault="006E5765" w:rsidP="0040143C">
      <w:pPr>
        <w:spacing w:before="120" w:after="60" w:line="240" w:lineRule="auto"/>
        <w:jc w:val="right"/>
        <w:rPr>
          <w:rFonts w:ascii="Times New Roman" w:eastAsia="Calibri" w:hAnsi="Times New Roman" w:cs="Times New Roman"/>
          <w:b/>
          <w:sz w:val="24"/>
          <w:szCs w:val="20"/>
        </w:rPr>
      </w:pPr>
      <w:r>
        <w:rPr>
          <w:rFonts w:ascii="Times New Roman" w:eastAsia="Calibri" w:hAnsi="Times New Roman" w:cs="Times New Roman"/>
          <w:b/>
          <w:sz w:val="24"/>
          <w:szCs w:val="20"/>
        </w:rPr>
        <w:t>3.13</w:t>
      </w:r>
      <w:r w:rsidR="0040143C">
        <w:rPr>
          <w:rFonts w:ascii="Times New Roman" w:eastAsia="Calibri" w:hAnsi="Times New Roman" w:cs="Times New Roman"/>
          <w:b/>
          <w:sz w:val="24"/>
          <w:szCs w:val="20"/>
        </w:rPr>
        <w:t>.</w:t>
      </w:r>
      <w:r w:rsidR="002D4062" w:rsidRPr="00A07203">
        <w:rPr>
          <w:rFonts w:ascii="Times New Roman" w:eastAsia="Calibri" w:hAnsi="Times New Roman" w:cs="Times New Roman"/>
          <w:b/>
          <w:sz w:val="24"/>
          <w:szCs w:val="20"/>
        </w:rPr>
        <w:t xml:space="preserve">tabula. Nodokļu reformas netiešā (makroekonomiskā) diskrecionārā ietekme </w:t>
      </w:r>
      <w:r w:rsidR="002D4062">
        <w:rPr>
          <w:rFonts w:ascii="Times New Roman" w:eastAsia="Calibri" w:hAnsi="Times New Roman" w:cs="Times New Roman"/>
          <w:b/>
          <w:sz w:val="24"/>
          <w:szCs w:val="20"/>
        </w:rPr>
        <w:t xml:space="preserve">uz ieņēmumiem </w:t>
      </w:r>
      <w:r w:rsidR="002D4062" w:rsidRPr="00A07203">
        <w:rPr>
          <w:rFonts w:ascii="Times New Roman" w:eastAsia="Calibri" w:hAnsi="Times New Roman" w:cs="Times New Roman"/>
          <w:b/>
          <w:sz w:val="24"/>
          <w:szCs w:val="20"/>
        </w:rPr>
        <w:t>(pēc uzkrājumu metodes)</w:t>
      </w:r>
    </w:p>
    <w:tbl>
      <w:tblPr>
        <w:tblStyle w:val="GridTable6Colorful-Accent1"/>
        <w:tblW w:w="9351" w:type="dxa"/>
        <w:jc w:val="center"/>
        <w:tblLook w:val="04A0" w:firstRow="1" w:lastRow="0" w:firstColumn="1" w:lastColumn="0" w:noHBand="0" w:noVBand="1"/>
      </w:tblPr>
      <w:tblGrid>
        <w:gridCol w:w="2858"/>
        <w:gridCol w:w="1105"/>
        <w:gridCol w:w="720"/>
        <w:gridCol w:w="687"/>
        <w:gridCol w:w="742"/>
        <w:gridCol w:w="3276"/>
      </w:tblGrid>
      <w:tr w:rsidR="002D4062" w:rsidRPr="0040143C" w14:paraId="506ECC1E" w14:textId="77777777" w:rsidTr="004D5E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noWrap/>
            <w:hideMark/>
          </w:tcPr>
          <w:p w14:paraId="18BC427A" w14:textId="44C0CCE1" w:rsidR="002D4062" w:rsidRPr="0040143C" w:rsidRDefault="001A0D9C" w:rsidP="001A0D9C">
            <w:pPr>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I</w:t>
            </w:r>
            <w:r w:rsidR="002D4062" w:rsidRPr="0040143C">
              <w:rPr>
                <w:rFonts w:ascii="Times New Roman" w:eastAsia="Times New Roman" w:hAnsi="Times New Roman" w:cs="Times New Roman"/>
                <w:color w:val="000000"/>
                <w:sz w:val="20"/>
                <w:szCs w:val="20"/>
                <w:lang w:eastAsia="lv-LV"/>
              </w:rPr>
              <w:t>eņēmumi/izdevumi</w:t>
            </w:r>
          </w:p>
        </w:tc>
        <w:tc>
          <w:tcPr>
            <w:tcW w:w="1068" w:type="dxa"/>
            <w:noWrap/>
            <w:hideMark/>
          </w:tcPr>
          <w:p w14:paraId="094F1006" w14:textId="77777777" w:rsidR="002D4062" w:rsidRPr="0040143C" w:rsidRDefault="002D4062" w:rsidP="003D2C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ESA kods</w:t>
            </w:r>
          </w:p>
        </w:tc>
        <w:tc>
          <w:tcPr>
            <w:tcW w:w="720" w:type="dxa"/>
            <w:noWrap/>
            <w:hideMark/>
          </w:tcPr>
          <w:p w14:paraId="39267785" w14:textId="77777777" w:rsidR="002D4062" w:rsidRPr="0040143C" w:rsidRDefault="002D4062" w:rsidP="003D2C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2018</w:t>
            </w:r>
          </w:p>
        </w:tc>
        <w:tc>
          <w:tcPr>
            <w:tcW w:w="687" w:type="dxa"/>
            <w:noWrap/>
            <w:hideMark/>
          </w:tcPr>
          <w:p w14:paraId="13C3EBC8" w14:textId="77777777" w:rsidR="002D4062" w:rsidRPr="0040143C" w:rsidRDefault="002D4062" w:rsidP="003D2C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2019</w:t>
            </w:r>
          </w:p>
        </w:tc>
        <w:tc>
          <w:tcPr>
            <w:tcW w:w="742" w:type="dxa"/>
            <w:noWrap/>
            <w:hideMark/>
          </w:tcPr>
          <w:p w14:paraId="5E390F8D" w14:textId="77777777" w:rsidR="002D4062" w:rsidRPr="0040143C" w:rsidRDefault="002D4062" w:rsidP="003D2C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2020</w:t>
            </w:r>
          </w:p>
        </w:tc>
        <w:tc>
          <w:tcPr>
            <w:tcW w:w="3276" w:type="dxa"/>
            <w:hideMark/>
          </w:tcPr>
          <w:p w14:paraId="4E168165" w14:textId="33D81F59" w:rsidR="002D4062" w:rsidRPr="0040143C" w:rsidRDefault="002D4062" w:rsidP="003D2C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inform</w:t>
            </w:r>
            <w:r w:rsidR="00CB58D4">
              <w:rPr>
                <w:rFonts w:ascii="Times New Roman" w:eastAsia="Times New Roman" w:hAnsi="Times New Roman" w:cs="Times New Roman"/>
                <w:color w:val="000000"/>
                <w:sz w:val="20"/>
                <w:szCs w:val="20"/>
                <w:lang w:eastAsia="lv-LV"/>
              </w:rPr>
              <w:t>ācija par novērtējumu</w:t>
            </w:r>
          </w:p>
        </w:tc>
      </w:tr>
      <w:tr w:rsidR="001A0D9C" w:rsidRPr="0040143C" w14:paraId="3835F446"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45997F3A" w14:textId="77777777" w:rsidR="002D4062" w:rsidRPr="0040143C" w:rsidRDefault="002D4062" w:rsidP="006C67E6">
            <w:pPr>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IIN</w:t>
            </w:r>
          </w:p>
        </w:tc>
        <w:tc>
          <w:tcPr>
            <w:tcW w:w="1068" w:type="dxa"/>
            <w:noWrap/>
            <w:vAlign w:val="center"/>
            <w:hideMark/>
          </w:tcPr>
          <w:p w14:paraId="2CB2B63A" w14:textId="77777777" w:rsidR="002D4062" w:rsidRPr="0040143C"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D51</w:t>
            </w:r>
          </w:p>
        </w:tc>
        <w:tc>
          <w:tcPr>
            <w:tcW w:w="720" w:type="dxa"/>
            <w:noWrap/>
            <w:vAlign w:val="center"/>
            <w:hideMark/>
          </w:tcPr>
          <w:p w14:paraId="5F05A6F6"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20,0</w:t>
            </w:r>
          </w:p>
        </w:tc>
        <w:tc>
          <w:tcPr>
            <w:tcW w:w="687" w:type="dxa"/>
            <w:noWrap/>
            <w:vAlign w:val="center"/>
            <w:hideMark/>
          </w:tcPr>
          <w:p w14:paraId="76E307AD"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7,0</w:t>
            </w:r>
          </w:p>
        </w:tc>
        <w:tc>
          <w:tcPr>
            <w:tcW w:w="742" w:type="dxa"/>
            <w:noWrap/>
            <w:vAlign w:val="center"/>
            <w:hideMark/>
          </w:tcPr>
          <w:p w14:paraId="7EAA6FA8"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23,0</w:t>
            </w:r>
          </w:p>
        </w:tc>
        <w:tc>
          <w:tcPr>
            <w:tcW w:w="3276" w:type="dxa"/>
            <w:vMerge w:val="restart"/>
            <w:hideMark/>
          </w:tcPr>
          <w:p w14:paraId="6B8A6AF4" w14:textId="10ED02F4" w:rsidR="002D4062" w:rsidRPr="0040143C" w:rsidRDefault="002D4062" w:rsidP="003D2C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Ietekmes novērtējums veikts atbilstoši nodokļu scenārija makro</w:t>
            </w:r>
            <w:r w:rsidR="001A0D9C">
              <w:rPr>
                <w:rFonts w:ascii="Times New Roman" w:eastAsia="Times New Roman" w:hAnsi="Times New Roman" w:cs="Times New Roman"/>
                <w:color w:val="000000"/>
                <w:sz w:val="20"/>
                <w:szCs w:val="20"/>
                <w:lang w:eastAsia="lv-LV"/>
              </w:rPr>
              <w:t xml:space="preserve"> </w:t>
            </w:r>
            <w:r w:rsidRPr="0040143C">
              <w:rPr>
                <w:rFonts w:ascii="Times New Roman" w:eastAsia="Times New Roman" w:hAnsi="Times New Roman" w:cs="Times New Roman"/>
                <w:color w:val="000000"/>
                <w:sz w:val="20"/>
                <w:szCs w:val="20"/>
                <w:lang w:eastAsia="lv-LV"/>
              </w:rPr>
              <w:t>attīstības rādītājiem. UIN un IIN reformas rezultātā tiek vērtēts, ka pieaugs gan uzņēmumu, gan iedzīvotāju rīcībā esošie naudas resursi, tādejādi palielinot investīcijas un patēriņu.</w:t>
            </w:r>
            <w:r w:rsidRPr="0040143C">
              <w:rPr>
                <w:rFonts w:ascii="Times New Roman" w:eastAsia="Times New Roman" w:hAnsi="Times New Roman" w:cs="Times New Roman"/>
                <w:color w:val="000000"/>
                <w:sz w:val="20"/>
                <w:szCs w:val="20"/>
                <w:lang w:eastAsia="lv-LV"/>
              </w:rPr>
              <w:br/>
              <w:t>Darbaspēka nodokļu sloga samazināšana, vienlaikus ar pozitīvu ietekmi uz privāto patēriņu, samazinās arī uzņēmumu izmaksas, palielinot to konkurētspēju un uzlabojot darbaspēka piesaistes iespējas. Tāpat arī darbaspēka izdevumu mazināšanās var stimulēt uzņēmumu investīcijas, atbrīvojot tam papildus pašu līdzekļus.</w:t>
            </w:r>
            <w:r w:rsidRPr="0040143C">
              <w:rPr>
                <w:rFonts w:ascii="Times New Roman" w:eastAsia="Times New Roman" w:hAnsi="Times New Roman" w:cs="Times New Roman"/>
                <w:color w:val="000000"/>
                <w:sz w:val="20"/>
                <w:szCs w:val="20"/>
                <w:lang w:eastAsia="lv-LV"/>
              </w:rPr>
              <w:br/>
              <w:t>UIN reforma radītu vairākus pozitīvus efektus uz tautsaimniecību, kas savukārt palielinātu nodokļu ieņēmumus valsts budžetā.</w:t>
            </w:r>
          </w:p>
        </w:tc>
      </w:tr>
      <w:tr w:rsidR="002D4062" w:rsidRPr="0040143C" w14:paraId="0B085128"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08E8EEFC" w14:textId="7E1732AB" w:rsidR="002D4062" w:rsidRPr="0040143C" w:rsidRDefault="00F225E9" w:rsidP="006C67E6">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VSAOI</w:t>
            </w:r>
          </w:p>
        </w:tc>
        <w:tc>
          <w:tcPr>
            <w:tcW w:w="1068" w:type="dxa"/>
            <w:noWrap/>
            <w:vAlign w:val="center"/>
            <w:hideMark/>
          </w:tcPr>
          <w:p w14:paraId="6B24ECF2" w14:textId="77777777" w:rsidR="002D4062" w:rsidRPr="0040143C"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D61</w:t>
            </w:r>
          </w:p>
        </w:tc>
        <w:tc>
          <w:tcPr>
            <w:tcW w:w="720" w:type="dxa"/>
            <w:noWrap/>
            <w:vAlign w:val="center"/>
            <w:hideMark/>
          </w:tcPr>
          <w:p w14:paraId="02A2F0FC"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30,2</w:t>
            </w:r>
          </w:p>
        </w:tc>
        <w:tc>
          <w:tcPr>
            <w:tcW w:w="687" w:type="dxa"/>
            <w:noWrap/>
            <w:vAlign w:val="center"/>
            <w:hideMark/>
          </w:tcPr>
          <w:p w14:paraId="4003AAC5"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10,5</w:t>
            </w:r>
          </w:p>
        </w:tc>
        <w:tc>
          <w:tcPr>
            <w:tcW w:w="742" w:type="dxa"/>
            <w:noWrap/>
            <w:vAlign w:val="center"/>
            <w:hideMark/>
          </w:tcPr>
          <w:p w14:paraId="67BB1C63"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34,7</w:t>
            </w:r>
          </w:p>
        </w:tc>
        <w:tc>
          <w:tcPr>
            <w:tcW w:w="3276" w:type="dxa"/>
            <w:vMerge/>
            <w:hideMark/>
          </w:tcPr>
          <w:p w14:paraId="103CE420" w14:textId="77777777" w:rsidR="002D4062" w:rsidRPr="0040143C" w:rsidRDefault="002D4062" w:rsidP="003D2C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1A0D9C" w:rsidRPr="0040143C" w14:paraId="5F8B7EFB"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591E217A" w14:textId="77777777" w:rsidR="002D4062" w:rsidRPr="0040143C" w:rsidRDefault="002D4062" w:rsidP="006C67E6">
            <w:pPr>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PVN</w:t>
            </w:r>
          </w:p>
        </w:tc>
        <w:tc>
          <w:tcPr>
            <w:tcW w:w="1068" w:type="dxa"/>
            <w:noWrap/>
            <w:vAlign w:val="center"/>
            <w:hideMark/>
          </w:tcPr>
          <w:p w14:paraId="73F73D21" w14:textId="77777777" w:rsidR="002D4062" w:rsidRPr="0040143C"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D211</w:t>
            </w:r>
          </w:p>
        </w:tc>
        <w:tc>
          <w:tcPr>
            <w:tcW w:w="720" w:type="dxa"/>
            <w:noWrap/>
            <w:vAlign w:val="center"/>
            <w:hideMark/>
          </w:tcPr>
          <w:p w14:paraId="6EF105D5"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35,0</w:t>
            </w:r>
          </w:p>
        </w:tc>
        <w:tc>
          <w:tcPr>
            <w:tcW w:w="687" w:type="dxa"/>
            <w:noWrap/>
            <w:vAlign w:val="center"/>
            <w:hideMark/>
          </w:tcPr>
          <w:p w14:paraId="2F79BD7B"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10,0</w:t>
            </w:r>
          </w:p>
        </w:tc>
        <w:tc>
          <w:tcPr>
            <w:tcW w:w="742" w:type="dxa"/>
            <w:noWrap/>
            <w:vAlign w:val="center"/>
            <w:hideMark/>
          </w:tcPr>
          <w:p w14:paraId="6C66F052"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30,0</w:t>
            </w:r>
          </w:p>
        </w:tc>
        <w:tc>
          <w:tcPr>
            <w:tcW w:w="3276" w:type="dxa"/>
            <w:vMerge/>
            <w:hideMark/>
          </w:tcPr>
          <w:p w14:paraId="441E756C" w14:textId="77777777" w:rsidR="002D4062" w:rsidRPr="0040143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40143C" w14:paraId="2541ED06"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05935FB8" w14:textId="7C015AE2" w:rsidR="002D4062" w:rsidRPr="0040143C" w:rsidRDefault="002D4062" w:rsidP="006C67E6">
            <w:pPr>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Akcīzes nod</w:t>
            </w:r>
            <w:r w:rsidR="001A0D9C">
              <w:rPr>
                <w:rFonts w:ascii="Times New Roman" w:eastAsia="Times New Roman" w:hAnsi="Times New Roman" w:cs="Times New Roman"/>
                <w:color w:val="000000"/>
                <w:sz w:val="20"/>
                <w:szCs w:val="20"/>
                <w:lang w:eastAsia="lv-LV"/>
              </w:rPr>
              <w:t>oklis</w:t>
            </w:r>
          </w:p>
        </w:tc>
        <w:tc>
          <w:tcPr>
            <w:tcW w:w="1068" w:type="dxa"/>
            <w:noWrap/>
            <w:vAlign w:val="center"/>
            <w:hideMark/>
          </w:tcPr>
          <w:p w14:paraId="01CBC4FA" w14:textId="77777777" w:rsidR="002D4062" w:rsidRPr="0040143C"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D214A</w:t>
            </w:r>
          </w:p>
        </w:tc>
        <w:tc>
          <w:tcPr>
            <w:tcW w:w="720" w:type="dxa"/>
            <w:noWrap/>
            <w:vAlign w:val="center"/>
            <w:hideMark/>
          </w:tcPr>
          <w:p w14:paraId="015067F7"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2,4</w:t>
            </w:r>
          </w:p>
        </w:tc>
        <w:tc>
          <w:tcPr>
            <w:tcW w:w="687" w:type="dxa"/>
            <w:noWrap/>
            <w:vAlign w:val="center"/>
            <w:hideMark/>
          </w:tcPr>
          <w:p w14:paraId="04B12A9B"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1,2</w:t>
            </w:r>
          </w:p>
        </w:tc>
        <w:tc>
          <w:tcPr>
            <w:tcW w:w="742" w:type="dxa"/>
            <w:noWrap/>
            <w:vAlign w:val="center"/>
            <w:hideMark/>
          </w:tcPr>
          <w:p w14:paraId="1BBC2571"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2,4</w:t>
            </w:r>
          </w:p>
        </w:tc>
        <w:tc>
          <w:tcPr>
            <w:tcW w:w="3276" w:type="dxa"/>
            <w:vMerge/>
            <w:hideMark/>
          </w:tcPr>
          <w:p w14:paraId="1BF51C0D" w14:textId="77777777" w:rsidR="002D4062" w:rsidRPr="0040143C" w:rsidRDefault="002D4062" w:rsidP="003D2C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1A0D9C" w:rsidRPr="0040143C" w14:paraId="7B43B24C"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6D2ED1E6" w14:textId="77777777" w:rsidR="002D4062" w:rsidRPr="0040143C" w:rsidRDefault="002D4062" w:rsidP="006C67E6">
            <w:pPr>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UIN</w:t>
            </w:r>
          </w:p>
        </w:tc>
        <w:tc>
          <w:tcPr>
            <w:tcW w:w="1068" w:type="dxa"/>
            <w:noWrap/>
            <w:vAlign w:val="center"/>
            <w:hideMark/>
          </w:tcPr>
          <w:p w14:paraId="383752C6" w14:textId="77777777" w:rsidR="002D4062" w:rsidRPr="0040143C"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D51</w:t>
            </w:r>
          </w:p>
        </w:tc>
        <w:tc>
          <w:tcPr>
            <w:tcW w:w="720" w:type="dxa"/>
            <w:noWrap/>
            <w:vAlign w:val="center"/>
            <w:hideMark/>
          </w:tcPr>
          <w:p w14:paraId="3D6F5743"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0,0</w:t>
            </w:r>
          </w:p>
        </w:tc>
        <w:tc>
          <w:tcPr>
            <w:tcW w:w="687" w:type="dxa"/>
            <w:noWrap/>
            <w:vAlign w:val="center"/>
            <w:hideMark/>
          </w:tcPr>
          <w:p w14:paraId="73737D4E"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10,0</w:t>
            </w:r>
          </w:p>
        </w:tc>
        <w:tc>
          <w:tcPr>
            <w:tcW w:w="742" w:type="dxa"/>
            <w:noWrap/>
            <w:vAlign w:val="center"/>
            <w:hideMark/>
          </w:tcPr>
          <w:p w14:paraId="309AFC9E"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15,0</w:t>
            </w:r>
          </w:p>
        </w:tc>
        <w:tc>
          <w:tcPr>
            <w:tcW w:w="3276" w:type="dxa"/>
            <w:vMerge/>
            <w:hideMark/>
          </w:tcPr>
          <w:p w14:paraId="44DA06CD" w14:textId="77777777" w:rsidR="002D4062" w:rsidRPr="0040143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40143C" w14:paraId="516B6D9F"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6F1C06EA" w14:textId="39FAF8D4" w:rsidR="002D4062" w:rsidRPr="0040143C" w:rsidRDefault="002D4062" w:rsidP="006C67E6">
            <w:pPr>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Azartspēļu nod</w:t>
            </w:r>
            <w:r w:rsidR="001A0D9C">
              <w:rPr>
                <w:rFonts w:ascii="Times New Roman" w:eastAsia="Times New Roman" w:hAnsi="Times New Roman" w:cs="Times New Roman"/>
                <w:color w:val="000000"/>
                <w:sz w:val="20"/>
                <w:szCs w:val="20"/>
                <w:lang w:eastAsia="lv-LV"/>
              </w:rPr>
              <w:t>oklis</w:t>
            </w:r>
          </w:p>
        </w:tc>
        <w:tc>
          <w:tcPr>
            <w:tcW w:w="1068" w:type="dxa"/>
            <w:noWrap/>
            <w:vAlign w:val="center"/>
            <w:hideMark/>
          </w:tcPr>
          <w:p w14:paraId="21424236" w14:textId="77777777" w:rsidR="002D4062" w:rsidRPr="0040143C"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D214F</w:t>
            </w:r>
          </w:p>
        </w:tc>
        <w:tc>
          <w:tcPr>
            <w:tcW w:w="720" w:type="dxa"/>
            <w:noWrap/>
            <w:vAlign w:val="center"/>
            <w:hideMark/>
          </w:tcPr>
          <w:p w14:paraId="05F2C732"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0,4</w:t>
            </w:r>
          </w:p>
        </w:tc>
        <w:tc>
          <w:tcPr>
            <w:tcW w:w="687" w:type="dxa"/>
            <w:noWrap/>
            <w:vAlign w:val="center"/>
            <w:hideMark/>
          </w:tcPr>
          <w:p w14:paraId="4DD077C5"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0,3</w:t>
            </w:r>
          </w:p>
        </w:tc>
        <w:tc>
          <w:tcPr>
            <w:tcW w:w="742" w:type="dxa"/>
            <w:noWrap/>
            <w:vAlign w:val="center"/>
            <w:hideMark/>
          </w:tcPr>
          <w:p w14:paraId="518F99A8"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0,3</w:t>
            </w:r>
          </w:p>
        </w:tc>
        <w:tc>
          <w:tcPr>
            <w:tcW w:w="3276" w:type="dxa"/>
            <w:vMerge/>
            <w:hideMark/>
          </w:tcPr>
          <w:p w14:paraId="0D069AC0" w14:textId="77777777" w:rsidR="002D4062" w:rsidRPr="0040143C" w:rsidRDefault="002D4062" w:rsidP="003D2C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1A0D9C" w:rsidRPr="0040143C" w14:paraId="76CC7CB3"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21595D9B" w14:textId="77777777" w:rsidR="002D4062" w:rsidRPr="0040143C" w:rsidRDefault="002D4062" w:rsidP="006C67E6">
            <w:pPr>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NĪN</w:t>
            </w:r>
          </w:p>
        </w:tc>
        <w:tc>
          <w:tcPr>
            <w:tcW w:w="1068" w:type="dxa"/>
            <w:noWrap/>
            <w:vAlign w:val="center"/>
            <w:hideMark/>
          </w:tcPr>
          <w:p w14:paraId="7C68CBE9" w14:textId="77777777" w:rsidR="002D4062" w:rsidRPr="0040143C"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D29A/D59</w:t>
            </w:r>
          </w:p>
        </w:tc>
        <w:tc>
          <w:tcPr>
            <w:tcW w:w="720" w:type="dxa"/>
            <w:noWrap/>
            <w:vAlign w:val="center"/>
            <w:hideMark/>
          </w:tcPr>
          <w:p w14:paraId="5B63AA38"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0,0</w:t>
            </w:r>
          </w:p>
        </w:tc>
        <w:tc>
          <w:tcPr>
            <w:tcW w:w="687" w:type="dxa"/>
            <w:noWrap/>
            <w:vAlign w:val="center"/>
            <w:hideMark/>
          </w:tcPr>
          <w:p w14:paraId="19861ADC"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1,0</w:t>
            </w:r>
          </w:p>
        </w:tc>
        <w:tc>
          <w:tcPr>
            <w:tcW w:w="742" w:type="dxa"/>
            <w:noWrap/>
            <w:vAlign w:val="center"/>
            <w:hideMark/>
          </w:tcPr>
          <w:p w14:paraId="48C12EB5"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0,0</w:t>
            </w:r>
          </w:p>
        </w:tc>
        <w:tc>
          <w:tcPr>
            <w:tcW w:w="3276" w:type="dxa"/>
            <w:vMerge/>
            <w:hideMark/>
          </w:tcPr>
          <w:p w14:paraId="3629A5DA" w14:textId="77777777" w:rsidR="002D4062" w:rsidRPr="0040143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40143C" w14:paraId="077C0436"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1DD8DD6F" w14:textId="4265E4A4" w:rsidR="002D4062" w:rsidRPr="0040143C" w:rsidRDefault="001A0D9C" w:rsidP="006C67E6">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Transportlīdzekļu ekspluatācijas nodoklis</w:t>
            </w:r>
          </w:p>
        </w:tc>
        <w:tc>
          <w:tcPr>
            <w:tcW w:w="1068" w:type="dxa"/>
            <w:noWrap/>
            <w:vAlign w:val="center"/>
            <w:hideMark/>
          </w:tcPr>
          <w:p w14:paraId="23B3AF49" w14:textId="77777777" w:rsidR="002D4062" w:rsidRPr="0040143C"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D29/D59</w:t>
            </w:r>
          </w:p>
        </w:tc>
        <w:tc>
          <w:tcPr>
            <w:tcW w:w="720" w:type="dxa"/>
            <w:noWrap/>
            <w:vAlign w:val="center"/>
            <w:hideMark/>
          </w:tcPr>
          <w:p w14:paraId="3F5853B1"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0,2</w:t>
            </w:r>
          </w:p>
        </w:tc>
        <w:tc>
          <w:tcPr>
            <w:tcW w:w="687" w:type="dxa"/>
            <w:noWrap/>
            <w:vAlign w:val="center"/>
            <w:hideMark/>
          </w:tcPr>
          <w:p w14:paraId="3A8F94C7"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0,2</w:t>
            </w:r>
          </w:p>
        </w:tc>
        <w:tc>
          <w:tcPr>
            <w:tcW w:w="742" w:type="dxa"/>
            <w:noWrap/>
            <w:vAlign w:val="center"/>
            <w:hideMark/>
          </w:tcPr>
          <w:p w14:paraId="314B6A37"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0,2</w:t>
            </w:r>
          </w:p>
        </w:tc>
        <w:tc>
          <w:tcPr>
            <w:tcW w:w="3276" w:type="dxa"/>
            <w:vMerge/>
            <w:hideMark/>
          </w:tcPr>
          <w:p w14:paraId="3536843E" w14:textId="77777777" w:rsidR="002D4062" w:rsidRPr="0040143C" w:rsidRDefault="002D4062" w:rsidP="003D2C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1A0D9C" w:rsidRPr="0040143C" w14:paraId="79F67BEB"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3BBA3C3F" w14:textId="3F32F0A0" w:rsidR="002D4062" w:rsidRPr="0040143C" w:rsidRDefault="002D4062" w:rsidP="006C67E6">
            <w:pPr>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Muitas nod</w:t>
            </w:r>
            <w:r w:rsidR="001A0D9C">
              <w:rPr>
                <w:rFonts w:ascii="Times New Roman" w:eastAsia="Times New Roman" w:hAnsi="Times New Roman" w:cs="Times New Roman"/>
                <w:color w:val="000000"/>
                <w:sz w:val="20"/>
                <w:szCs w:val="20"/>
                <w:lang w:eastAsia="lv-LV"/>
              </w:rPr>
              <w:t>oklis</w:t>
            </w:r>
          </w:p>
        </w:tc>
        <w:tc>
          <w:tcPr>
            <w:tcW w:w="1068" w:type="dxa"/>
            <w:noWrap/>
            <w:vAlign w:val="center"/>
            <w:hideMark/>
          </w:tcPr>
          <w:p w14:paraId="72A6124D" w14:textId="77777777" w:rsidR="002D4062" w:rsidRPr="0040143C"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D212</w:t>
            </w:r>
          </w:p>
        </w:tc>
        <w:tc>
          <w:tcPr>
            <w:tcW w:w="720" w:type="dxa"/>
            <w:noWrap/>
            <w:vAlign w:val="center"/>
            <w:hideMark/>
          </w:tcPr>
          <w:p w14:paraId="681916DF"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0,4</w:t>
            </w:r>
          </w:p>
        </w:tc>
        <w:tc>
          <w:tcPr>
            <w:tcW w:w="687" w:type="dxa"/>
            <w:noWrap/>
            <w:vAlign w:val="center"/>
            <w:hideMark/>
          </w:tcPr>
          <w:p w14:paraId="258F4F71"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0,2</w:t>
            </w:r>
          </w:p>
        </w:tc>
        <w:tc>
          <w:tcPr>
            <w:tcW w:w="742" w:type="dxa"/>
            <w:noWrap/>
            <w:vAlign w:val="center"/>
            <w:hideMark/>
          </w:tcPr>
          <w:p w14:paraId="05E76125"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1,2</w:t>
            </w:r>
          </w:p>
        </w:tc>
        <w:tc>
          <w:tcPr>
            <w:tcW w:w="3276" w:type="dxa"/>
            <w:vMerge/>
            <w:hideMark/>
          </w:tcPr>
          <w:p w14:paraId="188679AC" w14:textId="77777777" w:rsidR="002D4062" w:rsidRPr="0040143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40143C" w14:paraId="2D90FB7E"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7FFCEEA9" w14:textId="7B5DC692" w:rsidR="002D4062" w:rsidRPr="0040143C" w:rsidRDefault="001A0D9C" w:rsidP="006C67E6">
            <w:pPr>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Uzņēmumu vieglo transportlīdzekļu nodokli</w:t>
            </w:r>
            <w:r>
              <w:rPr>
                <w:rFonts w:ascii="Times New Roman" w:eastAsia="Times New Roman" w:hAnsi="Times New Roman" w:cs="Times New Roman"/>
                <w:color w:val="000000"/>
                <w:sz w:val="20"/>
                <w:szCs w:val="20"/>
                <w:lang w:eastAsia="lv-LV"/>
              </w:rPr>
              <w:t>s</w:t>
            </w:r>
          </w:p>
        </w:tc>
        <w:tc>
          <w:tcPr>
            <w:tcW w:w="1068" w:type="dxa"/>
            <w:noWrap/>
            <w:vAlign w:val="center"/>
            <w:hideMark/>
          </w:tcPr>
          <w:p w14:paraId="255CD92F" w14:textId="77777777" w:rsidR="002D4062" w:rsidRPr="0040143C" w:rsidRDefault="002D4062"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D29</w:t>
            </w:r>
          </w:p>
        </w:tc>
        <w:tc>
          <w:tcPr>
            <w:tcW w:w="720" w:type="dxa"/>
            <w:noWrap/>
            <w:vAlign w:val="center"/>
            <w:hideMark/>
          </w:tcPr>
          <w:p w14:paraId="7604A96D"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0,1</w:t>
            </w:r>
          </w:p>
        </w:tc>
        <w:tc>
          <w:tcPr>
            <w:tcW w:w="687" w:type="dxa"/>
            <w:noWrap/>
            <w:vAlign w:val="center"/>
            <w:hideMark/>
          </w:tcPr>
          <w:p w14:paraId="2BE4B422"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0,1</w:t>
            </w:r>
          </w:p>
        </w:tc>
        <w:tc>
          <w:tcPr>
            <w:tcW w:w="742" w:type="dxa"/>
            <w:noWrap/>
            <w:vAlign w:val="center"/>
            <w:hideMark/>
          </w:tcPr>
          <w:p w14:paraId="7FDF47CD" w14:textId="77777777" w:rsidR="002D4062" w:rsidRPr="0040143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0,1</w:t>
            </w:r>
          </w:p>
        </w:tc>
        <w:tc>
          <w:tcPr>
            <w:tcW w:w="3276" w:type="dxa"/>
            <w:vMerge/>
            <w:hideMark/>
          </w:tcPr>
          <w:p w14:paraId="33D2804E" w14:textId="77777777" w:rsidR="002D4062" w:rsidRPr="0040143C" w:rsidRDefault="002D4062" w:rsidP="003D2C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1A0D9C" w:rsidRPr="0040143C" w14:paraId="2FEBF978"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2E0CCB5E" w14:textId="19805151" w:rsidR="002D4062" w:rsidRPr="0040143C" w:rsidRDefault="001A0D9C" w:rsidP="006C67E6">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Dabas resursu nodoklis</w:t>
            </w:r>
          </w:p>
        </w:tc>
        <w:tc>
          <w:tcPr>
            <w:tcW w:w="1068" w:type="dxa"/>
            <w:noWrap/>
            <w:vAlign w:val="center"/>
            <w:hideMark/>
          </w:tcPr>
          <w:p w14:paraId="3BE2B0A3" w14:textId="77777777" w:rsidR="002D4062" w:rsidRPr="0040143C"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D29</w:t>
            </w:r>
          </w:p>
        </w:tc>
        <w:tc>
          <w:tcPr>
            <w:tcW w:w="720" w:type="dxa"/>
            <w:noWrap/>
            <w:vAlign w:val="center"/>
            <w:hideMark/>
          </w:tcPr>
          <w:p w14:paraId="029F2EBE"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0,4</w:t>
            </w:r>
          </w:p>
        </w:tc>
        <w:tc>
          <w:tcPr>
            <w:tcW w:w="687" w:type="dxa"/>
            <w:noWrap/>
            <w:vAlign w:val="center"/>
            <w:hideMark/>
          </w:tcPr>
          <w:p w14:paraId="2FD0D41D"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0,3</w:t>
            </w:r>
          </w:p>
        </w:tc>
        <w:tc>
          <w:tcPr>
            <w:tcW w:w="742" w:type="dxa"/>
            <w:noWrap/>
            <w:vAlign w:val="center"/>
            <w:hideMark/>
          </w:tcPr>
          <w:p w14:paraId="79663300" w14:textId="77777777" w:rsidR="002D4062" w:rsidRPr="0040143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0143C">
              <w:rPr>
                <w:rFonts w:ascii="Times New Roman" w:eastAsia="Times New Roman" w:hAnsi="Times New Roman" w:cs="Times New Roman"/>
                <w:color w:val="000000"/>
                <w:sz w:val="20"/>
                <w:szCs w:val="20"/>
                <w:lang w:eastAsia="lv-LV"/>
              </w:rPr>
              <w:t>0,3</w:t>
            </w:r>
          </w:p>
        </w:tc>
        <w:tc>
          <w:tcPr>
            <w:tcW w:w="3276" w:type="dxa"/>
            <w:vMerge/>
            <w:hideMark/>
          </w:tcPr>
          <w:p w14:paraId="60BF8F5E" w14:textId="77777777" w:rsidR="002D4062" w:rsidRPr="0040143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40143C" w14:paraId="0D349B19"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2858" w:type="dxa"/>
            <w:noWrap/>
            <w:hideMark/>
          </w:tcPr>
          <w:p w14:paraId="0ACE2ECA" w14:textId="3A99D9C7" w:rsidR="002D4062" w:rsidRPr="001A0D9C" w:rsidRDefault="001A0D9C" w:rsidP="001A0D9C">
            <w:pPr>
              <w:jc w:val="right"/>
              <w:rPr>
                <w:rFonts w:ascii="Times New Roman" w:eastAsia="Times New Roman" w:hAnsi="Times New Roman" w:cs="Times New Roman"/>
                <w:bCs w:val="0"/>
                <w:color w:val="000000"/>
                <w:sz w:val="20"/>
                <w:szCs w:val="20"/>
                <w:lang w:eastAsia="lv-LV"/>
              </w:rPr>
            </w:pPr>
            <w:r w:rsidRPr="001A0D9C">
              <w:rPr>
                <w:rFonts w:ascii="Times New Roman" w:eastAsia="Times New Roman" w:hAnsi="Times New Roman" w:cs="Times New Roman"/>
                <w:bCs w:val="0"/>
                <w:color w:val="000000"/>
                <w:sz w:val="20"/>
                <w:szCs w:val="20"/>
                <w:lang w:eastAsia="lv-LV"/>
              </w:rPr>
              <w:t>K</w:t>
            </w:r>
            <w:r w:rsidR="002D4062" w:rsidRPr="001A0D9C">
              <w:rPr>
                <w:rFonts w:ascii="Times New Roman" w:eastAsia="Times New Roman" w:hAnsi="Times New Roman" w:cs="Times New Roman"/>
                <w:bCs w:val="0"/>
                <w:color w:val="000000"/>
                <w:sz w:val="20"/>
                <w:szCs w:val="20"/>
                <w:lang w:eastAsia="lv-LV"/>
              </w:rPr>
              <w:t>opā:</w:t>
            </w:r>
          </w:p>
        </w:tc>
        <w:tc>
          <w:tcPr>
            <w:tcW w:w="1068" w:type="dxa"/>
            <w:noWrap/>
            <w:hideMark/>
          </w:tcPr>
          <w:p w14:paraId="22E5A5B8"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 </w:t>
            </w:r>
          </w:p>
        </w:tc>
        <w:tc>
          <w:tcPr>
            <w:tcW w:w="720" w:type="dxa"/>
            <w:noWrap/>
            <w:vAlign w:val="center"/>
            <w:hideMark/>
          </w:tcPr>
          <w:p w14:paraId="5F134F5F"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89,1</w:t>
            </w:r>
          </w:p>
        </w:tc>
        <w:tc>
          <w:tcPr>
            <w:tcW w:w="687" w:type="dxa"/>
            <w:noWrap/>
            <w:vAlign w:val="center"/>
            <w:hideMark/>
          </w:tcPr>
          <w:p w14:paraId="02D8CCF4"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40,8</w:t>
            </w:r>
          </w:p>
        </w:tc>
        <w:tc>
          <w:tcPr>
            <w:tcW w:w="742" w:type="dxa"/>
            <w:noWrap/>
            <w:vAlign w:val="center"/>
            <w:hideMark/>
          </w:tcPr>
          <w:p w14:paraId="523B4D29"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107,2</w:t>
            </w:r>
          </w:p>
        </w:tc>
        <w:tc>
          <w:tcPr>
            <w:tcW w:w="3276" w:type="dxa"/>
            <w:noWrap/>
            <w:hideMark/>
          </w:tcPr>
          <w:p w14:paraId="480BF14B" w14:textId="77777777" w:rsidR="002D4062" w:rsidRPr="0040143C" w:rsidRDefault="002D4062" w:rsidP="003D2C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40143C">
              <w:rPr>
                <w:rFonts w:ascii="Times New Roman" w:eastAsia="Times New Roman" w:hAnsi="Times New Roman" w:cs="Times New Roman"/>
                <w:b/>
                <w:bCs/>
                <w:color w:val="000000"/>
                <w:sz w:val="20"/>
                <w:szCs w:val="20"/>
                <w:lang w:eastAsia="lv-LV"/>
              </w:rPr>
              <w:t> </w:t>
            </w:r>
          </w:p>
        </w:tc>
      </w:tr>
    </w:tbl>
    <w:p w14:paraId="3AB5FD45" w14:textId="77777777" w:rsidR="002D4062" w:rsidRDefault="002D4062" w:rsidP="00B63BC3">
      <w:pPr>
        <w:spacing w:before="120" w:after="0" w:line="240" w:lineRule="auto"/>
        <w:ind w:firstLine="720"/>
        <w:jc w:val="both"/>
        <w:rPr>
          <w:rFonts w:ascii="Times New Roman" w:eastAsia="Calibri" w:hAnsi="Times New Roman" w:cs="Times New Roman"/>
          <w:sz w:val="24"/>
          <w:szCs w:val="20"/>
        </w:rPr>
      </w:pPr>
      <w:r w:rsidRPr="00A07203">
        <w:rPr>
          <w:rFonts w:ascii="Times New Roman" w:eastAsia="Calibri" w:hAnsi="Times New Roman" w:cs="Times New Roman"/>
          <w:sz w:val="24"/>
          <w:szCs w:val="20"/>
        </w:rPr>
        <w:t>Nodokļu reformas kopējā ieņēmumu dinamika</w:t>
      </w:r>
      <w:r>
        <w:rPr>
          <w:rFonts w:ascii="Times New Roman" w:eastAsia="Calibri" w:hAnsi="Times New Roman" w:cs="Times New Roman"/>
          <w:sz w:val="24"/>
          <w:szCs w:val="20"/>
        </w:rPr>
        <w:t xml:space="preserve"> liecina, ka reformas pirmajos divos gados ir ieņēmumu kritums, bet trešajā reformas gadā ietekme ir neitrāla, bet no ceturtā gada reformas rezultātā tiek prognozēts ieņēmumu pieaugums vispārējās valdības budžetā.</w:t>
      </w:r>
    </w:p>
    <w:p w14:paraId="18AE2A62" w14:textId="163AC3A9" w:rsidR="002D4062" w:rsidRDefault="00FC7A05" w:rsidP="001A0D9C">
      <w:pPr>
        <w:spacing w:before="120" w:after="60" w:line="240" w:lineRule="auto"/>
        <w:jc w:val="right"/>
        <w:rPr>
          <w:rFonts w:ascii="Times New Roman" w:eastAsia="Calibri" w:hAnsi="Times New Roman" w:cs="Times New Roman"/>
          <w:b/>
          <w:sz w:val="24"/>
          <w:szCs w:val="20"/>
        </w:rPr>
      </w:pPr>
      <w:r>
        <w:rPr>
          <w:rFonts w:ascii="Times New Roman" w:eastAsia="Calibri" w:hAnsi="Times New Roman" w:cs="Times New Roman"/>
          <w:b/>
          <w:sz w:val="24"/>
          <w:szCs w:val="20"/>
        </w:rPr>
        <w:t>3.14</w:t>
      </w:r>
      <w:r w:rsidR="001A0D9C">
        <w:rPr>
          <w:rFonts w:ascii="Times New Roman" w:eastAsia="Calibri" w:hAnsi="Times New Roman" w:cs="Times New Roman"/>
          <w:b/>
          <w:sz w:val="24"/>
          <w:szCs w:val="20"/>
        </w:rPr>
        <w:t>.</w:t>
      </w:r>
      <w:r w:rsidR="002D4062" w:rsidRPr="00EA02C5">
        <w:rPr>
          <w:rFonts w:ascii="Times New Roman" w:eastAsia="Calibri" w:hAnsi="Times New Roman" w:cs="Times New Roman"/>
          <w:b/>
          <w:sz w:val="24"/>
          <w:szCs w:val="20"/>
        </w:rPr>
        <w:t>tabula. Nodokļu reformas kopējā diskrecionārā ietekme u</w:t>
      </w:r>
      <w:r w:rsidR="001A0D9C">
        <w:rPr>
          <w:rFonts w:ascii="Times New Roman" w:eastAsia="Calibri" w:hAnsi="Times New Roman" w:cs="Times New Roman"/>
          <w:b/>
          <w:sz w:val="24"/>
          <w:szCs w:val="20"/>
        </w:rPr>
        <w:t>z ieņēmumiem (uzkrājumu metode)</w:t>
      </w:r>
    </w:p>
    <w:tbl>
      <w:tblPr>
        <w:tblStyle w:val="GridTable6Colorful-Accent1"/>
        <w:tblW w:w="7826" w:type="dxa"/>
        <w:jc w:val="center"/>
        <w:tblLook w:val="04A0" w:firstRow="1" w:lastRow="0" w:firstColumn="1" w:lastColumn="0" w:noHBand="0" w:noVBand="1"/>
      </w:tblPr>
      <w:tblGrid>
        <w:gridCol w:w="4109"/>
        <w:gridCol w:w="1114"/>
        <w:gridCol w:w="1056"/>
        <w:gridCol w:w="853"/>
        <w:gridCol w:w="694"/>
      </w:tblGrid>
      <w:tr w:rsidR="002D4062" w:rsidRPr="001A0D9C" w14:paraId="3E58D114" w14:textId="77777777" w:rsidTr="006C67E6">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9" w:type="dxa"/>
            <w:noWrap/>
            <w:hideMark/>
          </w:tcPr>
          <w:p w14:paraId="50FFBBBB" w14:textId="77777777" w:rsidR="002D4062" w:rsidRPr="001A0D9C" w:rsidRDefault="002D4062" w:rsidP="003D2CE1">
            <w:pPr>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w:t>
            </w:r>
          </w:p>
        </w:tc>
        <w:tc>
          <w:tcPr>
            <w:tcW w:w="1114" w:type="dxa"/>
            <w:noWrap/>
            <w:hideMark/>
          </w:tcPr>
          <w:p w14:paraId="7DD1C87A" w14:textId="77777777" w:rsidR="002D4062" w:rsidRPr="001A0D9C" w:rsidRDefault="002D4062" w:rsidP="001A0D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2017</w:t>
            </w:r>
          </w:p>
        </w:tc>
        <w:tc>
          <w:tcPr>
            <w:tcW w:w="1056" w:type="dxa"/>
            <w:noWrap/>
            <w:hideMark/>
          </w:tcPr>
          <w:p w14:paraId="7404DE76" w14:textId="77777777" w:rsidR="002D4062" w:rsidRPr="001A0D9C" w:rsidRDefault="002D4062" w:rsidP="001A0D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2018</w:t>
            </w:r>
          </w:p>
        </w:tc>
        <w:tc>
          <w:tcPr>
            <w:tcW w:w="853" w:type="dxa"/>
            <w:noWrap/>
            <w:hideMark/>
          </w:tcPr>
          <w:p w14:paraId="79D755AA" w14:textId="77777777" w:rsidR="002D4062" w:rsidRPr="001A0D9C" w:rsidRDefault="002D4062" w:rsidP="001A0D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2019</w:t>
            </w:r>
          </w:p>
        </w:tc>
        <w:tc>
          <w:tcPr>
            <w:tcW w:w="694" w:type="dxa"/>
            <w:noWrap/>
            <w:hideMark/>
          </w:tcPr>
          <w:p w14:paraId="54FE6440" w14:textId="77777777" w:rsidR="002D4062" w:rsidRPr="001A0D9C" w:rsidRDefault="002D4062" w:rsidP="001A0D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2020</w:t>
            </w:r>
          </w:p>
        </w:tc>
      </w:tr>
      <w:tr w:rsidR="002D4062" w:rsidRPr="001A0D9C" w14:paraId="0BD86069" w14:textId="77777777" w:rsidTr="006C67E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9" w:type="dxa"/>
            <w:noWrap/>
            <w:hideMark/>
          </w:tcPr>
          <w:p w14:paraId="7059C055" w14:textId="0B4A1C1C" w:rsidR="002D4062" w:rsidRPr="001A0D9C" w:rsidRDefault="001A0D9C" w:rsidP="003D2CE1">
            <w:pPr>
              <w:rPr>
                <w:rFonts w:ascii="Times New Roman" w:eastAsia="Times New Roman" w:hAnsi="Times New Roman" w:cs="Times New Roman"/>
                <w:b w:val="0"/>
                <w:color w:val="000000"/>
                <w:sz w:val="20"/>
                <w:szCs w:val="20"/>
                <w:lang w:eastAsia="lv-LV"/>
              </w:rPr>
            </w:pPr>
            <w:r w:rsidRPr="001A0D9C">
              <w:rPr>
                <w:rFonts w:ascii="Times New Roman" w:eastAsia="Times New Roman" w:hAnsi="Times New Roman" w:cs="Times New Roman"/>
                <w:b w:val="0"/>
                <w:color w:val="000000"/>
                <w:sz w:val="20"/>
                <w:szCs w:val="20"/>
                <w:lang w:eastAsia="lv-LV"/>
              </w:rPr>
              <w:t>D</w:t>
            </w:r>
            <w:r w:rsidR="002D4062" w:rsidRPr="001A0D9C">
              <w:rPr>
                <w:rFonts w:ascii="Times New Roman" w:eastAsia="Times New Roman" w:hAnsi="Times New Roman" w:cs="Times New Roman"/>
                <w:b w:val="0"/>
                <w:color w:val="000000"/>
                <w:sz w:val="20"/>
                <w:szCs w:val="20"/>
                <w:lang w:eastAsia="lv-LV"/>
              </w:rPr>
              <w:t>iskrecionārā tiešā ietekme</w:t>
            </w:r>
          </w:p>
        </w:tc>
        <w:tc>
          <w:tcPr>
            <w:tcW w:w="1114" w:type="dxa"/>
            <w:noWrap/>
            <w:hideMark/>
          </w:tcPr>
          <w:p w14:paraId="3E347570"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0</w:t>
            </w:r>
          </w:p>
        </w:tc>
        <w:tc>
          <w:tcPr>
            <w:tcW w:w="1056" w:type="dxa"/>
            <w:noWrap/>
            <w:hideMark/>
          </w:tcPr>
          <w:p w14:paraId="7D8A2D90"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-234,7</w:t>
            </w:r>
          </w:p>
        </w:tc>
        <w:tc>
          <w:tcPr>
            <w:tcW w:w="853" w:type="dxa"/>
            <w:noWrap/>
            <w:hideMark/>
          </w:tcPr>
          <w:p w14:paraId="3902F263"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22,5</w:t>
            </w:r>
          </w:p>
        </w:tc>
        <w:tc>
          <w:tcPr>
            <w:tcW w:w="694" w:type="dxa"/>
            <w:noWrap/>
            <w:hideMark/>
          </w:tcPr>
          <w:p w14:paraId="41198A38"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-16,8</w:t>
            </w:r>
          </w:p>
        </w:tc>
      </w:tr>
      <w:tr w:rsidR="002D4062" w:rsidRPr="001A0D9C" w14:paraId="7FC3DD5F" w14:textId="77777777" w:rsidTr="006C67E6">
        <w:trPr>
          <w:trHeight w:val="248"/>
          <w:jc w:val="center"/>
        </w:trPr>
        <w:tc>
          <w:tcPr>
            <w:cnfStyle w:val="001000000000" w:firstRow="0" w:lastRow="0" w:firstColumn="1" w:lastColumn="0" w:oddVBand="0" w:evenVBand="0" w:oddHBand="0" w:evenHBand="0" w:firstRowFirstColumn="0" w:firstRowLastColumn="0" w:lastRowFirstColumn="0" w:lastRowLastColumn="0"/>
            <w:tcW w:w="4109" w:type="dxa"/>
            <w:noWrap/>
            <w:hideMark/>
          </w:tcPr>
          <w:p w14:paraId="06F75C5D" w14:textId="4A1BF69C" w:rsidR="002D4062" w:rsidRPr="001A0D9C" w:rsidRDefault="001A0D9C" w:rsidP="003D2CE1">
            <w:pPr>
              <w:rPr>
                <w:rFonts w:ascii="Times New Roman" w:eastAsia="Times New Roman" w:hAnsi="Times New Roman" w:cs="Times New Roman"/>
                <w:b w:val="0"/>
                <w:color w:val="000000"/>
                <w:sz w:val="20"/>
                <w:szCs w:val="20"/>
                <w:lang w:eastAsia="lv-LV"/>
              </w:rPr>
            </w:pPr>
            <w:r w:rsidRPr="001A0D9C">
              <w:rPr>
                <w:rFonts w:ascii="Times New Roman" w:eastAsia="Times New Roman" w:hAnsi="Times New Roman" w:cs="Times New Roman"/>
                <w:b w:val="0"/>
                <w:color w:val="000000"/>
                <w:sz w:val="20"/>
                <w:szCs w:val="20"/>
                <w:lang w:eastAsia="lv-LV"/>
              </w:rPr>
              <w:t>D</w:t>
            </w:r>
            <w:r w:rsidR="002D4062" w:rsidRPr="001A0D9C">
              <w:rPr>
                <w:rFonts w:ascii="Times New Roman" w:eastAsia="Times New Roman" w:hAnsi="Times New Roman" w:cs="Times New Roman"/>
                <w:b w:val="0"/>
                <w:color w:val="000000"/>
                <w:sz w:val="20"/>
                <w:szCs w:val="20"/>
                <w:lang w:eastAsia="lv-LV"/>
              </w:rPr>
              <w:t>iskrecionārā netiešā ietekme</w:t>
            </w:r>
          </w:p>
        </w:tc>
        <w:tc>
          <w:tcPr>
            <w:tcW w:w="1114" w:type="dxa"/>
            <w:noWrap/>
            <w:hideMark/>
          </w:tcPr>
          <w:p w14:paraId="5A9F0272"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0</w:t>
            </w:r>
          </w:p>
        </w:tc>
        <w:tc>
          <w:tcPr>
            <w:tcW w:w="1056" w:type="dxa"/>
            <w:noWrap/>
            <w:hideMark/>
          </w:tcPr>
          <w:p w14:paraId="212DC521"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89,1</w:t>
            </w:r>
          </w:p>
        </w:tc>
        <w:tc>
          <w:tcPr>
            <w:tcW w:w="853" w:type="dxa"/>
            <w:noWrap/>
            <w:hideMark/>
          </w:tcPr>
          <w:p w14:paraId="73F0442C"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40,8</w:t>
            </w:r>
          </w:p>
        </w:tc>
        <w:tc>
          <w:tcPr>
            <w:tcW w:w="694" w:type="dxa"/>
            <w:noWrap/>
            <w:hideMark/>
          </w:tcPr>
          <w:p w14:paraId="63744D3C"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107,2</w:t>
            </w:r>
          </w:p>
        </w:tc>
      </w:tr>
      <w:tr w:rsidR="002D4062" w:rsidRPr="001A0D9C" w14:paraId="43ED726C" w14:textId="77777777" w:rsidTr="006C67E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109" w:type="dxa"/>
            <w:noWrap/>
            <w:hideMark/>
          </w:tcPr>
          <w:p w14:paraId="181078E7" w14:textId="1E449728" w:rsidR="002D4062" w:rsidRPr="001A0D9C" w:rsidRDefault="001A0D9C" w:rsidP="003D2CE1">
            <w:pPr>
              <w:rPr>
                <w:rFonts w:ascii="Times New Roman" w:eastAsia="Times New Roman" w:hAnsi="Times New Roman" w:cs="Times New Roman"/>
                <w:b w:val="0"/>
                <w:color w:val="000000"/>
                <w:sz w:val="20"/>
                <w:szCs w:val="20"/>
                <w:lang w:eastAsia="lv-LV"/>
              </w:rPr>
            </w:pPr>
            <w:r w:rsidRPr="001A0D9C">
              <w:rPr>
                <w:rFonts w:ascii="Times New Roman" w:eastAsia="Times New Roman" w:hAnsi="Times New Roman" w:cs="Times New Roman"/>
                <w:b w:val="0"/>
                <w:color w:val="000000"/>
                <w:sz w:val="20"/>
                <w:szCs w:val="20"/>
                <w:lang w:eastAsia="lv-LV"/>
              </w:rPr>
              <w:t>D</w:t>
            </w:r>
            <w:r w:rsidR="002D4062" w:rsidRPr="001A0D9C">
              <w:rPr>
                <w:rFonts w:ascii="Times New Roman" w:eastAsia="Times New Roman" w:hAnsi="Times New Roman" w:cs="Times New Roman"/>
                <w:b w:val="0"/>
                <w:color w:val="000000"/>
                <w:sz w:val="20"/>
                <w:szCs w:val="20"/>
                <w:lang w:eastAsia="lv-LV"/>
              </w:rPr>
              <w:t>iskrecionārā kopējā ietekme</w:t>
            </w:r>
          </w:p>
        </w:tc>
        <w:tc>
          <w:tcPr>
            <w:tcW w:w="1114" w:type="dxa"/>
            <w:noWrap/>
            <w:hideMark/>
          </w:tcPr>
          <w:p w14:paraId="4AFB0544"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0</w:t>
            </w:r>
          </w:p>
        </w:tc>
        <w:tc>
          <w:tcPr>
            <w:tcW w:w="1056" w:type="dxa"/>
            <w:noWrap/>
            <w:hideMark/>
          </w:tcPr>
          <w:p w14:paraId="1B05E942"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-145,6</w:t>
            </w:r>
          </w:p>
        </w:tc>
        <w:tc>
          <w:tcPr>
            <w:tcW w:w="853" w:type="dxa"/>
            <w:noWrap/>
            <w:hideMark/>
          </w:tcPr>
          <w:p w14:paraId="4CD23D80"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63,3</w:t>
            </w:r>
          </w:p>
        </w:tc>
        <w:tc>
          <w:tcPr>
            <w:tcW w:w="694" w:type="dxa"/>
            <w:noWrap/>
            <w:hideMark/>
          </w:tcPr>
          <w:p w14:paraId="388E3E01" w14:textId="77777777" w:rsidR="002D4062" w:rsidRPr="001A0D9C" w:rsidRDefault="002D4062" w:rsidP="001A0D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90,4</w:t>
            </w:r>
          </w:p>
        </w:tc>
      </w:tr>
      <w:tr w:rsidR="002D4062" w:rsidRPr="001A0D9C" w14:paraId="06AD3A8D" w14:textId="77777777" w:rsidTr="006C67E6">
        <w:trPr>
          <w:trHeight w:val="248"/>
          <w:jc w:val="center"/>
        </w:trPr>
        <w:tc>
          <w:tcPr>
            <w:cnfStyle w:val="001000000000" w:firstRow="0" w:lastRow="0" w:firstColumn="1" w:lastColumn="0" w:oddVBand="0" w:evenVBand="0" w:oddHBand="0" w:evenHBand="0" w:firstRowFirstColumn="0" w:firstRowLastColumn="0" w:lastRowFirstColumn="0" w:lastRowLastColumn="0"/>
            <w:tcW w:w="4109" w:type="dxa"/>
            <w:noWrap/>
            <w:hideMark/>
          </w:tcPr>
          <w:p w14:paraId="074B6CB5" w14:textId="2D7DD619" w:rsidR="002D4062" w:rsidRPr="001A0D9C" w:rsidRDefault="001A0D9C" w:rsidP="003D2CE1">
            <w:pPr>
              <w:rPr>
                <w:rFonts w:ascii="Times New Roman" w:eastAsia="Times New Roman" w:hAnsi="Times New Roman" w:cs="Times New Roman"/>
                <w:b w:val="0"/>
                <w:color w:val="000000"/>
                <w:sz w:val="20"/>
                <w:szCs w:val="20"/>
                <w:lang w:eastAsia="lv-LV"/>
              </w:rPr>
            </w:pPr>
            <w:r w:rsidRPr="001A0D9C">
              <w:rPr>
                <w:rFonts w:ascii="Times New Roman" w:eastAsia="Times New Roman" w:hAnsi="Times New Roman" w:cs="Times New Roman"/>
                <w:b w:val="0"/>
                <w:color w:val="000000"/>
                <w:sz w:val="20"/>
                <w:szCs w:val="20"/>
                <w:lang w:eastAsia="lv-LV"/>
              </w:rPr>
              <w:t>K</w:t>
            </w:r>
            <w:r w:rsidR="002D4062" w:rsidRPr="001A0D9C">
              <w:rPr>
                <w:rFonts w:ascii="Times New Roman" w:eastAsia="Times New Roman" w:hAnsi="Times New Roman" w:cs="Times New Roman"/>
                <w:b w:val="0"/>
                <w:color w:val="000000"/>
                <w:sz w:val="20"/>
                <w:szCs w:val="20"/>
                <w:lang w:eastAsia="lv-LV"/>
              </w:rPr>
              <w:t>umulatīvā kopējā ietekme</w:t>
            </w:r>
          </w:p>
        </w:tc>
        <w:tc>
          <w:tcPr>
            <w:tcW w:w="1114" w:type="dxa"/>
            <w:noWrap/>
            <w:hideMark/>
          </w:tcPr>
          <w:p w14:paraId="73961C90"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0</w:t>
            </w:r>
          </w:p>
        </w:tc>
        <w:tc>
          <w:tcPr>
            <w:tcW w:w="1056" w:type="dxa"/>
            <w:noWrap/>
            <w:hideMark/>
          </w:tcPr>
          <w:p w14:paraId="60D2C515"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-145,6</w:t>
            </w:r>
          </w:p>
        </w:tc>
        <w:tc>
          <w:tcPr>
            <w:tcW w:w="853" w:type="dxa"/>
            <w:noWrap/>
            <w:hideMark/>
          </w:tcPr>
          <w:p w14:paraId="10DFB1BD"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-82,3</w:t>
            </w:r>
          </w:p>
        </w:tc>
        <w:tc>
          <w:tcPr>
            <w:tcW w:w="694" w:type="dxa"/>
            <w:noWrap/>
            <w:hideMark/>
          </w:tcPr>
          <w:p w14:paraId="70B263D8" w14:textId="77777777" w:rsidR="002D4062" w:rsidRPr="001A0D9C" w:rsidRDefault="002D4062" w:rsidP="001A0D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8,1</w:t>
            </w:r>
          </w:p>
        </w:tc>
      </w:tr>
    </w:tbl>
    <w:p w14:paraId="3EABE80C" w14:textId="77777777" w:rsidR="002D4062" w:rsidRPr="00EA02C5" w:rsidRDefault="002D4062" w:rsidP="002D4062">
      <w:pPr>
        <w:spacing w:after="0" w:line="240" w:lineRule="auto"/>
        <w:ind w:left="360"/>
        <w:jc w:val="both"/>
        <w:rPr>
          <w:rFonts w:ascii="Times New Roman" w:eastAsia="Calibri" w:hAnsi="Times New Roman" w:cs="Times New Roman"/>
          <w:b/>
          <w:sz w:val="24"/>
          <w:szCs w:val="20"/>
        </w:rPr>
      </w:pPr>
    </w:p>
    <w:p w14:paraId="63F1F05F" w14:textId="77777777" w:rsidR="002D4062" w:rsidRDefault="002D4062" w:rsidP="002D4062">
      <w:pPr>
        <w:spacing w:after="0" w:line="240" w:lineRule="auto"/>
        <w:ind w:left="360"/>
        <w:jc w:val="both"/>
        <w:rPr>
          <w:rFonts w:ascii="Times New Roman" w:eastAsia="Calibri" w:hAnsi="Times New Roman" w:cs="Times New Roman"/>
          <w:sz w:val="24"/>
          <w:szCs w:val="20"/>
        </w:rPr>
      </w:pPr>
    </w:p>
    <w:p w14:paraId="539F4873" w14:textId="77777777" w:rsidR="002D4062" w:rsidRPr="005866EB" w:rsidRDefault="002D4062" w:rsidP="001A0D9C">
      <w:pPr>
        <w:spacing w:after="0" w:line="240" w:lineRule="auto"/>
        <w:jc w:val="center"/>
        <w:rPr>
          <w:rFonts w:ascii="Times New Roman" w:eastAsia="Calibri" w:hAnsi="Times New Roman" w:cs="Times New Roman"/>
          <w:sz w:val="24"/>
          <w:szCs w:val="20"/>
        </w:rPr>
      </w:pPr>
      <w:r>
        <w:rPr>
          <w:noProof/>
          <w:lang w:eastAsia="lv-LV"/>
        </w:rPr>
        <w:lastRenderedPageBreak/>
        <w:drawing>
          <wp:inline distT="0" distB="0" distL="0" distR="0" wp14:anchorId="687D8A14" wp14:editId="1F2B4D86">
            <wp:extent cx="5709036" cy="3069203"/>
            <wp:effectExtent l="0" t="0" r="6350"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ACD079" w14:textId="10723359" w:rsidR="002D4062" w:rsidRDefault="00C12F8D" w:rsidP="001A0D9C">
      <w:pPr>
        <w:spacing w:before="60" w:after="120" w:line="240" w:lineRule="auto"/>
        <w:jc w:val="center"/>
        <w:rPr>
          <w:rFonts w:ascii="Times New Roman" w:eastAsia="Calibri" w:hAnsi="Times New Roman" w:cs="Times New Roman"/>
          <w:b/>
          <w:sz w:val="24"/>
          <w:szCs w:val="20"/>
        </w:rPr>
      </w:pPr>
      <w:r>
        <w:rPr>
          <w:rFonts w:ascii="Times New Roman" w:eastAsia="Calibri" w:hAnsi="Times New Roman" w:cs="Times New Roman"/>
          <w:b/>
          <w:sz w:val="24"/>
          <w:szCs w:val="20"/>
        </w:rPr>
        <w:t>3.6</w:t>
      </w:r>
      <w:r w:rsidR="001A0D9C">
        <w:rPr>
          <w:rFonts w:ascii="Times New Roman" w:eastAsia="Calibri" w:hAnsi="Times New Roman" w:cs="Times New Roman"/>
          <w:b/>
          <w:sz w:val="24"/>
          <w:szCs w:val="20"/>
        </w:rPr>
        <w:t xml:space="preserve">.attēls. </w:t>
      </w:r>
      <w:r w:rsidR="002D4062">
        <w:rPr>
          <w:rFonts w:ascii="Times New Roman" w:eastAsia="Calibri" w:hAnsi="Times New Roman" w:cs="Times New Roman"/>
          <w:b/>
          <w:sz w:val="24"/>
          <w:szCs w:val="20"/>
        </w:rPr>
        <w:t>Nodokļu reformas kumulatīvā ietekme uz ieņēmumiem (izmaiņas pret bāzes scenāriju)</w:t>
      </w:r>
    </w:p>
    <w:p w14:paraId="54B3041B" w14:textId="77777777" w:rsidR="001A0D9C" w:rsidRDefault="001A0D9C" w:rsidP="001A0D9C">
      <w:pPr>
        <w:spacing w:after="60" w:line="240" w:lineRule="auto"/>
        <w:ind w:firstLine="720"/>
        <w:jc w:val="both"/>
        <w:rPr>
          <w:rFonts w:ascii="Times New Roman" w:eastAsia="Calibri" w:hAnsi="Times New Roman" w:cs="Times New Roman"/>
          <w:b/>
          <w:sz w:val="24"/>
          <w:szCs w:val="20"/>
        </w:rPr>
      </w:pPr>
    </w:p>
    <w:p w14:paraId="55D57FC7" w14:textId="6996AE8B" w:rsidR="002D4062" w:rsidRPr="004D5E99" w:rsidRDefault="002D4062" w:rsidP="001A0D9C">
      <w:pPr>
        <w:spacing w:after="60" w:line="240" w:lineRule="auto"/>
        <w:ind w:firstLine="720"/>
        <w:jc w:val="both"/>
        <w:rPr>
          <w:rFonts w:ascii="Times New Roman" w:eastAsia="Calibri" w:hAnsi="Times New Roman" w:cs="Times New Roman"/>
          <w:b/>
          <w:sz w:val="24"/>
          <w:szCs w:val="20"/>
        </w:rPr>
      </w:pPr>
      <w:r w:rsidRPr="004D5E99">
        <w:rPr>
          <w:rFonts w:ascii="Times New Roman" w:eastAsia="Calibri" w:hAnsi="Times New Roman" w:cs="Times New Roman"/>
          <w:b/>
          <w:sz w:val="24"/>
          <w:szCs w:val="20"/>
        </w:rPr>
        <w:t>Nodokļu reformas ietekme uz bilanci</w:t>
      </w:r>
    </w:p>
    <w:p w14:paraId="17B40C87" w14:textId="541CAA39" w:rsidR="002D4062" w:rsidRDefault="002D4062" w:rsidP="001A0D9C">
      <w:pPr>
        <w:spacing w:after="0" w:line="240" w:lineRule="auto"/>
        <w:ind w:firstLine="720"/>
        <w:jc w:val="both"/>
        <w:rPr>
          <w:rFonts w:ascii="Times New Roman" w:eastAsia="Calibri" w:hAnsi="Times New Roman" w:cs="Times New Roman"/>
          <w:sz w:val="24"/>
          <w:szCs w:val="20"/>
        </w:rPr>
      </w:pPr>
      <w:r w:rsidRPr="00EA02C5">
        <w:rPr>
          <w:rFonts w:ascii="Times New Roman" w:eastAsia="Calibri" w:hAnsi="Times New Roman" w:cs="Times New Roman"/>
          <w:sz w:val="24"/>
          <w:szCs w:val="20"/>
        </w:rPr>
        <w:t>Ņe</w:t>
      </w:r>
      <w:r>
        <w:rPr>
          <w:rFonts w:ascii="Times New Roman" w:eastAsia="Calibri" w:hAnsi="Times New Roman" w:cs="Times New Roman"/>
          <w:sz w:val="24"/>
          <w:szCs w:val="20"/>
        </w:rPr>
        <w:t>mot vērā, ka ir virkne pozīciju, kur nodokļu</w:t>
      </w:r>
      <w:r w:rsidR="001A0D9C">
        <w:rPr>
          <w:rFonts w:ascii="Times New Roman" w:eastAsia="Calibri" w:hAnsi="Times New Roman" w:cs="Times New Roman"/>
          <w:sz w:val="24"/>
          <w:szCs w:val="20"/>
        </w:rPr>
        <w:t xml:space="preserve"> politikas izmaiņas izsauc mazā</w:t>
      </w:r>
      <w:r>
        <w:rPr>
          <w:rFonts w:ascii="Times New Roman" w:eastAsia="Calibri" w:hAnsi="Times New Roman" w:cs="Times New Roman"/>
          <w:sz w:val="24"/>
          <w:szCs w:val="20"/>
        </w:rPr>
        <w:t>, vai vairāk “automātisku” izdevumu palielinājumu, šie apstākļi ir jāņem vērā, lai novērtētu reformas ietekmi uz budžeta bilanci un līdz ar to uz pieejamo fiskālo telpu citām politikas iniciatīvām.</w:t>
      </w:r>
    </w:p>
    <w:p w14:paraId="7029FF6C" w14:textId="0B22A39B" w:rsidR="001A0D9C" w:rsidRDefault="002D4062" w:rsidP="00BA78E6">
      <w:pPr>
        <w:spacing w:after="0" w:line="240" w:lineRule="auto"/>
        <w:ind w:firstLine="720"/>
        <w:jc w:val="both"/>
        <w:rPr>
          <w:rFonts w:ascii="Times New Roman" w:eastAsia="Calibri" w:hAnsi="Times New Roman" w:cs="Times New Roman"/>
          <w:sz w:val="24"/>
          <w:szCs w:val="20"/>
        </w:rPr>
      </w:pPr>
      <w:r>
        <w:rPr>
          <w:rFonts w:ascii="Times New Roman" w:eastAsia="Calibri" w:hAnsi="Times New Roman" w:cs="Times New Roman"/>
          <w:sz w:val="24"/>
          <w:szCs w:val="20"/>
        </w:rPr>
        <w:t xml:space="preserve">Nodokļu reformas fiskālajā novērtējumā ir ņemts vērā, ka (1) palielinot minimālo mēneša darba algu, valsts pārvaldei nepieciešams palielināt izdevumus šī pasākuma finansēšanai, (2) palielinoties </w:t>
      </w:r>
      <w:r w:rsidR="00F225E9">
        <w:rPr>
          <w:rFonts w:ascii="Times New Roman" w:eastAsia="Calibri" w:hAnsi="Times New Roman" w:cs="Times New Roman"/>
          <w:sz w:val="24"/>
          <w:szCs w:val="20"/>
        </w:rPr>
        <w:t>VSAOI</w:t>
      </w:r>
      <w:r>
        <w:rPr>
          <w:rFonts w:ascii="Times New Roman" w:eastAsia="Calibri" w:hAnsi="Times New Roman" w:cs="Times New Roman"/>
          <w:sz w:val="24"/>
          <w:szCs w:val="20"/>
        </w:rPr>
        <w:t xml:space="preserve">, automātiski palielinās iemaksas pensiju otrajā līmenī, (3) palielinoties </w:t>
      </w:r>
      <w:r w:rsidR="00F225E9">
        <w:rPr>
          <w:rFonts w:ascii="Times New Roman" w:eastAsia="Calibri" w:hAnsi="Times New Roman" w:cs="Times New Roman"/>
          <w:sz w:val="24"/>
          <w:szCs w:val="20"/>
        </w:rPr>
        <w:t>VSAOI</w:t>
      </w:r>
      <w:r>
        <w:rPr>
          <w:rFonts w:ascii="Times New Roman" w:eastAsia="Calibri" w:hAnsi="Times New Roman" w:cs="Times New Roman"/>
          <w:sz w:val="24"/>
          <w:szCs w:val="20"/>
        </w:rPr>
        <w:t>, automātiski palielinās izdevumi no sociālā budžeta. Papildus minētajam, ar nodokļu reformu saistītajos izdevumos ir iekļauti papildus izdevumi ceļu uzturēšanai. Tāpat, tiek paredzēts, ka pašvaldībām tiek kompensēts nesaņemtais ieņēmumu pieaugums no IIN, kas tiek vērtēts pret bāzes scenāriju, bet ierobežojot, ka pašvaldību ieņēmumi pret kopējiem vispārējās valdības ieņēmumiem paliek nemainīgā proporcijā.</w:t>
      </w:r>
    </w:p>
    <w:p w14:paraId="7478FCB7" w14:textId="0FA96B7A" w:rsidR="002D4062" w:rsidRDefault="00FC7A05" w:rsidP="00BA78E6">
      <w:pPr>
        <w:spacing w:before="120" w:after="60" w:line="240" w:lineRule="auto"/>
        <w:jc w:val="right"/>
        <w:rPr>
          <w:rFonts w:ascii="Times New Roman" w:eastAsia="Calibri" w:hAnsi="Times New Roman" w:cs="Times New Roman"/>
          <w:b/>
          <w:sz w:val="24"/>
          <w:szCs w:val="20"/>
        </w:rPr>
      </w:pPr>
      <w:r>
        <w:rPr>
          <w:rFonts w:ascii="Times New Roman" w:eastAsia="Calibri" w:hAnsi="Times New Roman" w:cs="Times New Roman"/>
          <w:b/>
          <w:sz w:val="24"/>
          <w:szCs w:val="20"/>
        </w:rPr>
        <w:t>3.15</w:t>
      </w:r>
      <w:r w:rsidR="001A0D9C">
        <w:rPr>
          <w:rFonts w:ascii="Times New Roman" w:eastAsia="Calibri" w:hAnsi="Times New Roman" w:cs="Times New Roman"/>
          <w:b/>
          <w:sz w:val="24"/>
          <w:szCs w:val="20"/>
        </w:rPr>
        <w:t>.</w:t>
      </w:r>
      <w:r w:rsidR="002D4062" w:rsidRPr="005866EB">
        <w:rPr>
          <w:rFonts w:ascii="Times New Roman" w:eastAsia="Calibri" w:hAnsi="Times New Roman" w:cs="Times New Roman"/>
          <w:b/>
          <w:sz w:val="24"/>
          <w:szCs w:val="20"/>
        </w:rPr>
        <w:t xml:space="preserve">tabula. Nodokļu reformas </w:t>
      </w:r>
      <w:r w:rsidR="001E5D9F">
        <w:rPr>
          <w:rFonts w:ascii="Times New Roman" w:eastAsia="Calibri" w:hAnsi="Times New Roman" w:cs="Times New Roman"/>
          <w:b/>
          <w:sz w:val="24"/>
          <w:szCs w:val="20"/>
        </w:rPr>
        <w:t xml:space="preserve">diskrecionārā </w:t>
      </w:r>
      <w:r w:rsidR="002D4062" w:rsidRPr="005866EB">
        <w:rPr>
          <w:rFonts w:ascii="Times New Roman" w:eastAsia="Calibri" w:hAnsi="Times New Roman" w:cs="Times New Roman"/>
          <w:b/>
          <w:sz w:val="24"/>
          <w:szCs w:val="20"/>
        </w:rPr>
        <w:t>ietekme uz izdevumiem (naudas plūsmas metode)</w:t>
      </w:r>
    </w:p>
    <w:tbl>
      <w:tblPr>
        <w:tblStyle w:val="GridTable6Colorful-Accent1"/>
        <w:tblW w:w="8999" w:type="dxa"/>
        <w:jc w:val="center"/>
        <w:tblLook w:val="04A0" w:firstRow="1" w:lastRow="0" w:firstColumn="1" w:lastColumn="0" w:noHBand="0" w:noVBand="1"/>
      </w:tblPr>
      <w:tblGrid>
        <w:gridCol w:w="2879"/>
        <w:gridCol w:w="740"/>
        <w:gridCol w:w="701"/>
        <w:gridCol w:w="616"/>
        <w:gridCol w:w="642"/>
        <w:gridCol w:w="3421"/>
      </w:tblGrid>
      <w:tr w:rsidR="002D4062" w:rsidRPr="001A0D9C" w14:paraId="377756CB" w14:textId="77777777" w:rsidTr="004D5E99">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879" w:type="dxa"/>
            <w:noWrap/>
            <w:vAlign w:val="center"/>
            <w:hideMark/>
          </w:tcPr>
          <w:p w14:paraId="433E3402" w14:textId="4896140D" w:rsidR="002D4062" w:rsidRPr="001A0D9C" w:rsidRDefault="001A0D9C" w:rsidP="006C67E6">
            <w:pPr>
              <w:jc w:val="cente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I</w:t>
            </w:r>
            <w:r w:rsidR="002D4062" w:rsidRPr="001A0D9C">
              <w:rPr>
                <w:rFonts w:ascii="Times New Roman" w:eastAsia="Times New Roman" w:hAnsi="Times New Roman" w:cs="Times New Roman"/>
                <w:color w:val="000000"/>
                <w:sz w:val="20"/>
                <w:szCs w:val="20"/>
                <w:lang w:eastAsia="lv-LV"/>
              </w:rPr>
              <w:t>eņēmumi/izdevumi</w:t>
            </w:r>
          </w:p>
        </w:tc>
        <w:tc>
          <w:tcPr>
            <w:tcW w:w="740" w:type="dxa"/>
            <w:noWrap/>
            <w:vAlign w:val="center"/>
            <w:hideMark/>
          </w:tcPr>
          <w:p w14:paraId="445DFA02" w14:textId="77777777" w:rsidR="002D4062" w:rsidRPr="001A0D9C"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ESA kods</w:t>
            </w:r>
          </w:p>
        </w:tc>
        <w:tc>
          <w:tcPr>
            <w:tcW w:w="701" w:type="dxa"/>
            <w:noWrap/>
            <w:vAlign w:val="center"/>
            <w:hideMark/>
          </w:tcPr>
          <w:p w14:paraId="644CEAED" w14:textId="77777777" w:rsidR="002D4062" w:rsidRPr="001A0D9C"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2018</w:t>
            </w:r>
          </w:p>
        </w:tc>
        <w:tc>
          <w:tcPr>
            <w:tcW w:w="616" w:type="dxa"/>
            <w:noWrap/>
            <w:vAlign w:val="center"/>
            <w:hideMark/>
          </w:tcPr>
          <w:p w14:paraId="75DD7BE2" w14:textId="77777777" w:rsidR="002D4062" w:rsidRPr="001A0D9C"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2019</w:t>
            </w:r>
          </w:p>
        </w:tc>
        <w:tc>
          <w:tcPr>
            <w:tcW w:w="642" w:type="dxa"/>
            <w:noWrap/>
            <w:vAlign w:val="center"/>
            <w:hideMark/>
          </w:tcPr>
          <w:p w14:paraId="4CE67B9F" w14:textId="77777777" w:rsidR="002D4062" w:rsidRPr="001A0D9C"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2020</w:t>
            </w:r>
          </w:p>
        </w:tc>
        <w:tc>
          <w:tcPr>
            <w:tcW w:w="3421" w:type="dxa"/>
            <w:vAlign w:val="center"/>
            <w:hideMark/>
          </w:tcPr>
          <w:p w14:paraId="4121599B" w14:textId="2147A8F8" w:rsidR="002D4062" w:rsidRPr="001A0D9C" w:rsidRDefault="001A0D9C"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I</w:t>
            </w:r>
            <w:r w:rsidR="002D4062" w:rsidRPr="001A0D9C">
              <w:rPr>
                <w:rFonts w:ascii="Times New Roman" w:eastAsia="Times New Roman" w:hAnsi="Times New Roman" w:cs="Times New Roman"/>
                <w:color w:val="000000"/>
                <w:sz w:val="20"/>
                <w:szCs w:val="20"/>
                <w:lang w:eastAsia="lv-LV"/>
              </w:rPr>
              <w:t>nformācija par novērtējumu</w:t>
            </w:r>
          </w:p>
        </w:tc>
      </w:tr>
      <w:tr w:rsidR="002D4062" w:rsidRPr="001A0D9C" w14:paraId="6FBADD24" w14:textId="77777777" w:rsidTr="004D5E99">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879" w:type="dxa"/>
            <w:hideMark/>
          </w:tcPr>
          <w:p w14:paraId="78496829" w14:textId="77777777" w:rsidR="002D4062" w:rsidRPr="001A0D9C" w:rsidRDefault="002D4062" w:rsidP="001A0D9C">
            <w:pPr>
              <w:rPr>
                <w:rFonts w:ascii="Times New Roman" w:eastAsia="Times New Roman" w:hAnsi="Times New Roman" w:cs="Times New Roman"/>
                <w:b w:val="0"/>
                <w:color w:val="000000"/>
                <w:sz w:val="20"/>
                <w:szCs w:val="20"/>
                <w:lang w:eastAsia="lv-LV"/>
              </w:rPr>
            </w:pPr>
            <w:r w:rsidRPr="001A0D9C">
              <w:rPr>
                <w:rFonts w:ascii="Times New Roman" w:eastAsia="Times New Roman" w:hAnsi="Times New Roman" w:cs="Times New Roman"/>
                <w:b w:val="0"/>
                <w:color w:val="000000"/>
                <w:sz w:val="20"/>
                <w:szCs w:val="20"/>
                <w:lang w:eastAsia="lv-LV"/>
              </w:rPr>
              <w:t>Izdevumu pieaugums minimālās darba algas palielināšanas nodrošināšanai</w:t>
            </w:r>
          </w:p>
        </w:tc>
        <w:tc>
          <w:tcPr>
            <w:tcW w:w="740" w:type="dxa"/>
            <w:hideMark/>
          </w:tcPr>
          <w:p w14:paraId="332DD280" w14:textId="77777777" w:rsidR="002D4062" w:rsidRPr="001A0D9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w:t>
            </w:r>
          </w:p>
        </w:tc>
        <w:tc>
          <w:tcPr>
            <w:tcW w:w="701" w:type="dxa"/>
            <w:noWrap/>
            <w:vAlign w:val="center"/>
            <w:hideMark/>
          </w:tcPr>
          <w:p w14:paraId="7FF137A9"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-32,2</w:t>
            </w:r>
          </w:p>
        </w:tc>
        <w:tc>
          <w:tcPr>
            <w:tcW w:w="616" w:type="dxa"/>
            <w:noWrap/>
            <w:vAlign w:val="center"/>
            <w:hideMark/>
          </w:tcPr>
          <w:p w14:paraId="63F15351"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w:t>
            </w:r>
          </w:p>
        </w:tc>
        <w:tc>
          <w:tcPr>
            <w:tcW w:w="642" w:type="dxa"/>
            <w:noWrap/>
            <w:vAlign w:val="center"/>
            <w:hideMark/>
          </w:tcPr>
          <w:p w14:paraId="3C162D42"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w:t>
            </w:r>
          </w:p>
        </w:tc>
        <w:tc>
          <w:tcPr>
            <w:tcW w:w="3421" w:type="dxa"/>
            <w:vAlign w:val="center"/>
            <w:hideMark/>
          </w:tcPr>
          <w:p w14:paraId="39D306DB" w14:textId="77777777" w:rsidR="002D4062" w:rsidRPr="001A0D9C" w:rsidRDefault="002D4062"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xml:space="preserve">Minimālās mēneša darba algas paaugstināšana no 380 līdz 430 </w:t>
            </w:r>
            <w:r w:rsidRPr="001A0D9C">
              <w:rPr>
                <w:rFonts w:ascii="Times New Roman" w:eastAsia="Times New Roman" w:hAnsi="Times New Roman" w:cs="Times New Roman"/>
                <w:i/>
                <w:color w:val="000000"/>
                <w:sz w:val="20"/>
                <w:szCs w:val="20"/>
                <w:lang w:eastAsia="lv-LV"/>
              </w:rPr>
              <w:t>euro</w:t>
            </w:r>
          </w:p>
        </w:tc>
      </w:tr>
      <w:tr w:rsidR="002D4062" w:rsidRPr="001A0D9C" w14:paraId="660B1A4C" w14:textId="77777777" w:rsidTr="004D5E99">
        <w:trPr>
          <w:trHeight w:val="495"/>
          <w:jc w:val="center"/>
        </w:trPr>
        <w:tc>
          <w:tcPr>
            <w:cnfStyle w:val="001000000000" w:firstRow="0" w:lastRow="0" w:firstColumn="1" w:lastColumn="0" w:oddVBand="0" w:evenVBand="0" w:oddHBand="0" w:evenHBand="0" w:firstRowFirstColumn="0" w:firstRowLastColumn="0" w:lastRowFirstColumn="0" w:lastRowLastColumn="0"/>
            <w:tcW w:w="2879" w:type="dxa"/>
            <w:hideMark/>
          </w:tcPr>
          <w:p w14:paraId="6EC2A942" w14:textId="3C3A201E" w:rsidR="002D4062" w:rsidRPr="001A0D9C" w:rsidRDefault="001A0D9C" w:rsidP="001A0D9C">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I</w:t>
            </w:r>
            <w:r w:rsidR="002D4062" w:rsidRPr="001A0D9C">
              <w:rPr>
                <w:rFonts w:ascii="Times New Roman" w:eastAsia="Times New Roman" w:hAnsi="Times New Roman" w:cs="Times New Roman"/>
                <w:b w:val="0"/>
                <w:color w:val="000000"/>
                <w:sz w:val="20"/>
                <w:szCs w:val="20"/>
                <w:lang w:eastAsia="lv-LV"/>
              </w:rPr>
              <w:t>zdevumu pieaugums, kas izriet no iemaksu pieauguma speciālajā budžetā</w:t>
            </w:r>
          </w:p>
        </w:tc>
        <w:tc>
          <w:tcPr>
            <w:tcW w:w="740" w:type="dxa"/>
            <w:noWrap/>
            <w:hideMark/>
          </w:tcPr>
          <w:p w14:paraId="3CE43A7E" w14:textId="77777777" w:rsidR="002D4062" w:rsidRPr="001A0D9C" w:rsidRDefault="002D4062" w:rsidP="003D2C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w:t>
            </w:r>
          </w:p>
        </w:tc>
        <w:tc>
          <w:tcPr>
            <w:tcW w:w="701" w:type="dxa"/>
            <w:noWrap/>
            <w:vAlign w:val="center"/>
            <w:hideMark/>
          </w:tcPr>
          <w:p w14:paraId="1AA4D4CF"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-27,0</w:t>
            </w:r>
          </w:p>
        </w:tc>
        <w:tc>
          <w:tcPr>
            <w:tcW w:w="616" w:type="dxa"/>
            <w:noWrap/>
            <w:vAlign w:val="center"/>
            <w:hideMark/>
          </w:tcPr>
          <w:p w14:paraId="4084C54B"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-4,0</w:t>
            </w:r>
          </w:p>
        </w:tc>
        <w:tc>
          <w:tcPr>
            <w:tcW w:w="642" w:type="dxa"/>
            <w:noWrap/>
            <w:vAlign w:val="center"/>
            <w:hideMark/>
          </w:tcPr>
          <w:p w14:paraId="40919BA6"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-9,7</w:t>
            </w:r>
          </w:p>
        </w:tc>
        <w:tc>
          <w:tcPr>
            <w:tcW w:w="3421" w:type="dxa"/>
            <w:hideMark/>
          </w:tcPr>
          <w:p w14:paraId="2D0CFB22" w14:textId="3384BFE8" w:rsidR="002D4062" w:rsidRPr="001A0D9C" w:rsidRDefault="002D4062" w:rsidP="001A0D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1A0D9C" w14:paraId="0E3C4A8B" w14:textId="77777777" w:rsidTr="004D5E99">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879" w:type="dxa"/>
            <w:noWrap/>
            <w:hideMark/>
          </w:tcPr>
          <w:p w14:paraId="52FCB25F" w14:textId="3B90436A" w:rsidR="002D4062" w:rsidRPr="001A0D9C" w:rsidRDefault="001A0D9C" w:rsidP="001A0D9C">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I</w:t>
            </w:r>
            <w:r w:rsidR="002D4062" w:rsidRPr="001A0D9C">
              <w:rPr>
                <w:rFonts w:ascii="Times New Roman" w:eastAsia="Times New Roman" w:hAnsi="Times New Roman" w:cs="Times New Roman"/>
                <w:b w:val="0"/>
                <w:color w:val="000000"/>
                <w:sz w:val="20"/>
                <w:szCs w:val="20"/>
                <w:lang w:eastAsia="lv-LV"/>
              </w:rPr>
              <w:t>zdevumu pieaugums ceļu uzturēšanai</w:t>
            </w:r>
          </w:p>
        </w:tc>
        <w:tc>
          <w:tcPr>
            <w:tcW w:w="740" w:type="dxa"/>
            <w:noWrap/>
            <w:hideMark/>
          </w:tcPr>
          <w:p w14:paraId="4353BB68" w14:textId="77777777" w:rsidR="002D4062" w:rsidRPr="001A0D9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w:t>
            </w:r>
          </w:p>
        </w:tc>
        <w:tc>
          <w:tcPr>
            <w:tcW w:w="701" w:type="dxa"/>
            <w:noWrap/>
            <w:vAlign w:val="center"/>
            <w:hideMark/>
          </w:tcPr>
          <w:p w14:paraId="7E4956E6"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-25,0</w:t>
            </w:r>
          </w:p>
        </w:tc>
        <w:tc>
          <w:tcPr>
            <w:tcW w:w="616" w:type="dxa"/>
            <w:noWrap/>
            <w:vAlign w:val="center"/>
            <w:hideMark/>
          </w:tcPr>
          <w:p w14:paraId="5E97B8C1"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0,0</w:t>
            </w:r>
          </w:p>
        </w:tc>
        <w:tc>
          <w:tcPr>
            <w:tcW w:w="642" w:type="dxa"/>
            <w:noWrap/>
            <w:vAlign w:val="center"/>
            <w:hideMark/>
          </w:tcPr>
          <w:p w14:paraId="7D97A00C"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0,0</w:t>
            </w:r>
          </w:p>
        </w:tc>
        <w:tc>
          <w:tcPr>
            <w:tcW w:w="3421" w:type="dxa"/>
            <w:hideMark/>
          </w:tcPr>
          <w:p w14:paraId="3CE3E7B1" w14:textId="06C2F330" w:rsidR="002D4062" w:rsidRPr="001A0D9C" w:rsidRDefault="002D4062" w:rsidP="001A0D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1A0D9C" w14:paraId="1D950BFA" w14:textId="77777777" w:rsidTr="004D5E99">
        <w:trPr>
          <w:trHeight w:val="247"/>
          <w:jc w:val="center"/>
        </w:trPr>
        <w:tc>
          <w:tcPr>
            <w:cnfStyle w:val="001000000000" w:firstRow="0" w:lastRow="0" w:firstColumn="1" w:lastColumn="0" w:oddVBand="0" w:evenVBand="0" w:oddHBand="0" w:evenHBand="0" w:firstRowFirstColumn="0" w:firstRowLastColumn="0" w:lastRowFirstColumn="0" w:lastRowLastColumn="0"/>
            <w:tcW w:w="2879" w:type="dxa"/>
            <w:noWrap/>
            <w:hideMark/>
          </w:tcPr>
          <w:p w14:paraId="3A0476C9" w14:textId="0E4F6C63" w:rsidR="002D4062" w:rsidRPr="001A0D9C" w:rsidRDefault="001A0D9C" w:rsidP="001A0D9C">
            <w:pPr>
              <w:rPr>
                <w:rFonts w:ascii="Times New Roman" w:eastAsia="Times New Roman" w:hAnsi="Times New Roman" w:cs="Times New Roman"/>
                <w:b w:val="0"/>
                <w:color w:val="000000"/>
                <w:sz w:val="20"/>
                <w:szCs w:val="20"/>
                <w:lang w:eastAsia="lv-LV"/>
              </w:rPr>
            </w:pPr>
            <w:r>
              <w:rPr>
                <w:rFonts w:ascii="Times New Roman" w:eastAsia="Times New Roman" w:hAnsi="Times New Roman" w:cs="Times New Roman"/>
                <w:b w:val="0"/>
                <w:color w:val="000000"/>
                <w:sz w:val="20"/>
                <w:szCs w:val="20"/>
                <w:lang w:eastAsia="lv-LV"/>
              </w:rPr>
              <w:t>I</w:t>
            </w:r>
            <w:r w:rsidR="002D4062" w:rsidRPr="001A0D9C">
              <w:rPr>
                <w:rFonts w:ascii="Times New Roman" w:eastAsia="Times New Roman" w:hAnsi="Times New Roman" w:cs="Times New Roman"/>
                <w:b w:val="0"/>
                <w:color w:val="000000"/>
                <w:sz w:val="20"/>
                <w:szCs w:val="20"/>
                <w:lang w:eastAsia="lv-LV"/>
              </w:rPr>
              <w:t>zdevumu korekcija pašvaldībām</w:t>
            </w:r>
          </w:p>
        </w:tc>
        <w:tc>
          <w:tcPr>
            <w:tcW w:w="740" w:type="dxa"/>
            <w:noWrap/>
            <w:hideMark/>
          </w:tcPr>
          <w:p w14:paraId="584DD103" w14:textId="77777777" w:rsidR="002D4062" w:rsidRPr="001A0D9C" w:rsidRDefault="002D4062" w:rsidP="003D2C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 </w:t>
            </w:r>
          </w:p>
        </w:tc>
        <w:tc>
          <w:tcPr>
            <w:tcW w:w="701" w:type="dxa"/>
            <w:noWrap/>
            <w:vAlign w:val="center"/>
            <w:hideMark/>
          </w:tcPr>
          <w:p w14:paraId="3C5851AF"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24,9</w:t>
            </w:r>
          </w:p>
        </w:tc>
        <w:tc>
          <w:tcPr>
            <w:tcW w:w="616" w:type="dxa"/>
            <w:noWrap/>
            <w:vAlign w:val="center"/>
            <w:hideMark/>
          </w:tcPr>
          <w:p w14:paraId="23426823"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-5,3</w:t>
            </w:r>
          </w:p>
        </w:tc>
        <w:tc>
          <w:tcPr>
            <w:tcW w:w="642" w:type="dxa"/>
            <w:noWrap/>
            <w:vAlign w:val="center"/>
            <w:hideMark/>
          </w:tcPr>
          <w:p w14:paraId="45A1DE15" w14:textId="77777777" w:rsidR="002D4062" w:rsidRPr="001A0D9C" w:rsidRDefault="002D4062"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1A0D9C">
              <w:rPr>
                <w:rFonts w:ascii="Times New Roman" w:eastAsia="Times New Roman" w:hAnsi="Times New Roman" w:cs="Times New Roman"/>
                <w:color w:val="000000"/>
                <w:sz w:val="20"/>
                <w:szCs w:val="20"/>
                <w:lang w:eastAsia="lv-LV"/>
              </w:rPr>
              <w:t>-27,0</w:t>
            </w:r>
          </w:p>
        </w:tc>
        <w:tc>
          <w:tcPr>
            <w:tcW w:w="3421" w:type="dxa"/>
            <w:hideMark/>
          </w:tcPr>
          <w:p w14:paraId="6DD19D86" w14:textId="7FF82BFC" w:rsidR="002D4062" w:rsidRPr="001A0D9C" w:rsidRDefault="002D4062" w:rsidP="001A0D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2D4062" w:rsidRPr="001A0D9C" w14:paraId="68067CEE" w14:textId="77777777" w:rsidTr="004D5E99">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9F937AE" w14:textId="3C4F7219" w:rsidR="002D4062" w:rsidRPr="001A0D9C" w:rsidRDefault="001A0D9C" w:rsidP="001A0D9C">
            <w:pPr>
              <w:jc w:val="right"/>
              <w:rPr>
                <w:rFonts w:ascii="Times New Roman" w:eastAsia="Times New Roman" w:hAnsi="Times New Roman" w:cs="Times New Roman"/>
                <w:bCs w:val="0"/>
                <w:color w:val="000000"/>
                <w:sz w:val="20"/>
                <w:szCs w:val="20"/>
                <w:lang w:eastAsia="lv-LV"/>
              </w:rPr>
            </w:pPr>
            <w:r w:rsidRPr="001A0D9C">
              <w:rPr>
                <w:rFonts w:ascii="Times New Roman" w:eastAsia="Times New Roman" w:hAnsi="Times New Roman" w:cs="Times New Roman"/>
                <w:bCs w:val="0"/>
                <w:color w:val="000000"/>
                <w:sz w:val="20"/>
                <w:szCs w:val="20"/>
                <w:lang w:eastAsia="lv-LV"/>
              </w:rPr>
              <w:t>K</w:t>
            </w:r>
            <w:r w:rsidR="002D4062" w:rsidRPr="001A0D9C">
              <w:rPr>
                <w:rFonts w:ascii="Times New Roman" w:eastAsia="Times New Roman" w:hAnsi="Times New Roman" w:cs="Times New Roman"/>
                <w:bCs w:val="0"/>
                <w:color w:val="000000"/>
                <w:sz w:val="20"/>
                <w:szCs w:val="20"/>
                <w:lang w:eastAsia="lv-LV"/>
              </w:rPr>
              <w:t>opā:</w:t>
            </w:r>
          </w:p>
        </w:tc>
        <w:tc>
          <w:tcPr>
            <w:tcW w:w="740" w:type="dxa"/>
            <w:noWrap/>
            <w:hideMark/>
          </w:tcPr>
          <w:p w14:paraId="68DA0173" w14:textId="77777777" w:rsidR="002D4062" w:rsidRPr="001A0D9C" w:rsidRDefault="002D4062" w:rsidP="003D2C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 </w:t>
            </w:r>
          </w:p>
        </w:tc>
        <w:tc>
          <w:tcPr>
            <w:tcW w:w="701" w:type="dxa"/>
            <w:noWrap/>
            <w:vAlign w:val="center"/>
            <w:hideMark/>
          </w:tcPr>
          <w:p w14:paraId="0E7680B5"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-59,3</w:t>
            </w:r>
          </w:p>
        </w:tc>
        <w:tc>
          <w:tcPr>
            <w:tcW w:w="616" w:type="dxa"/>
            <w:noWrap/>
            <w:vAlign w:val="center"/>
            <w:hideMark/>
          </w:tcPr>
          <w:p w14:paraId="733450C1"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-9,3</w:t>
            </w:r>
          </w:p>
        </w:tc>
        <w:tc>
          <w:tcPr>
            <w:tcW w:w="642" w:type="dxa"/>
            <w:noWrap/>
            <w:vAlign w:val="center"/>
            <w:hideMark/>
          </w:tcPr>
          <w:p w14:paraId="390AF460" w14:textId="77777777" w:rsidR="002D4062" w:rsidRPr="001A0D9C"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D9C">
              <w:rPr>
                <w:rFonts w:ascii="Times New Roman" w:eastAsia="Times New Roman" w:hAnsi="Times New Roman" w:cs="Times New Roman"/>
                <w:b/>
                <w:bCs/>
                <w:color w:val="000000"/>
                <w:sz w:val="20"/>
                <w:szCs w:val="20"/>
                <w:lang w:eastAsia="lv-LV"/>
              </w:rPr>
              <w:t>-36,7</w:t>
            </w:r>
          </w:p>
        </w:tc>
        <w:tc>
          <w:tcPr>
            <w:tcW w:w="3421" w:type="dxa"/>
            <w:noWrap/>
            <w:hideMark/>
          </w:tcPr>
          <w:p w14:paraId="744DCEE1" w14:textId="6EBC618C" w:rsidR="002D4062" w:rsidRPr="001A0D9C" w:rsidRDefault="002D4062" w:rsidP="001A0D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p>
        </w:tc>
      </w:tr>
    </w:tbl>
    <w:p w14:paraId="5BF3A594" w14:textId="77777777" w:rsidR="002D4062" w:rsidRDefault="002D4062" w:rsidP="002D4062">
      <w:pPr>
        <w:spacing w:after="0" w:line="240" w:lineRule="auto"/>
        <w:ind w:left="360"/>
        <w:jc w:val="both"/>
        <w:rPr>
          <w:rFonts w:ascii="Times New Roman" w:eastAsia="Calibri" w:hAnsi="Times New Roman" w:cs="Times New Roman"/>
          <w:b/>
          <w:sz w:val="24"/>
          <w:szCs w:val="20"/>
        </w:rPr>
      </w:pPr>
    </w:p>
    <w:p w14:paraId="2D2406EB" w14:textId="22581142" w:rsidR="002D4062" w:rsidRPr="005866EB" w:rsidRDefault="002D4062" w:rsidP="001A0D9C">
      <w:pPr>
        <w:spacing w:after="0" w:line="240" w:lineRule="auto"/>
        <w:ind w:firstLine="720"/>
        <w:jc w:val="both"/>
        <w:rPr>
          <w:rFonts w:ascii="Times New Roman" w:eastAsia="Calibri" w:hAnsi="Times New Roman" w:cs="Times New Roman"/>
          <w:sz w:val="24"/>
          <w:szCs w:val="20"/>
        </w:rPr>
      </w:pPr>
      <w:r w:rsidRPr="005866EB">
        <w:rPr>
          <w:rFonts w:ascii="Times New Roman" w:eastAsia="Calibri" w:hAnsi="Times New Roman" w:cs="Times New Roman"/>
          <w:sz w:val="24"/>
          <w:szCs w:val="20"/>
        </w:rPr>
        <w:t xml:space="preserve">Jāatzīmē, ka </w:t>
      </w:r>
      <w:r>
        <w:rPr>
          <w:rFonts w:ascii="Times New Roman" w:eastAsia="Calibri" w:hAnsi="Times New Roman" w:cs="Times New Roman"/>
          <w:sz w:val="24"/>
          <w:szCs w:val="20"/>
        </w:rPr>
        <w:t xml:space="preserve">sniegtajos aprēķinos ieņēmumos no </w:t>
      </w:r>
      <w:r w:rsidR="00F225E9">
        <w:rPr>
          <w:rFonts w:ascii="Times New Roman" w:eastAsia="Calibri" w:hAnsi="Times New Roman" w:cs="Times New Roman"/>
          <w:sz w:val="24"/>
          <w:szCs w:val="20"/>
        </w:rPr>
        <w:t>VSAOI</w:t>
      </w:r>
      <w:r w:rsidR="001A0D9C">
        <w:rPr>
          <w:rFonts w:ascii="Times New Roman" w:eastAsia="Calibri" w:hAnsi="Times New Roman" w:cs="Times New Roman"/>
          <w:sz w:val="24"/>
          <w:szCs w:val="20"/>
        </w:rPr>
        <w:t xml:space="preserve"> </w:t>
      </w:r>
      <w:r>
        <w:rPr>
          <w:rFonts w:ascii="Times New Roman" w:eastAsia="Calibri" w:hAnsi="Times New Roman" w:cs="Times New Roman"/>
          <w:sz w:val="24"/>
          <w:szCs w:val="20"/>
        </w:rPr>
        <w:t>ir izslēgtas iemaksas otrajā pensiju līmenī.</w:t>
      </w:r>
    </w:p>
    <w:p w14:paraId="1ECB2EB1" w14:textId="0169CD02" w:rsidR="002D4062" w:rsidRDefault="00FC7A05" w:rsidP="00B63BC3">
      <w:pPr>
        <w:spacing w:before="120" w:after="60" w:line="240" w:lineRule="auto"/>
        <w:jc w:val="right"/>
        <w:rPr>
          <w:rFonts w:ascii="Times New Roman" w:eastAsia="Calibri" w:hAnsi="Times New Roman" w:cs="Times New Roman"/>
          <w:b/>
          <w:sz w:val="24"/>
          <w:szCs w:val="20"/>
        </w:rPr>
      </w:pPr>
      <w:r>
        <w:rPr>
          <w:rFonts w:ascii="Times New Roman" w:eastAsia="Calibri" w:hAnsi="Times New Roman" w:cs="Times New Roman"/>
          <w:b/>
          <w:sz w:val="24"/>
          <w:szCs w:val="20"/>
        </w:rPr>
        <w:lastRenderedPageBreak/>
        <w:t>3.16</w:t>
      </w:r>
      <w:r w:rsidR="00A507C8">
        <w:rPr>
          <w:rFonts w:ascii="Times New Roman" w:eastAsia="Calibri" w:hAnsi="Times New Roman" w:cs="Times New Roman"/>
          <w:b/>
          <w:sz w:val="24"/>
          <w:szCs w:val="20"/>
        </w:rPr>
        <w:t>.</w:t>
      </w:r>
      <w:r w:rsidR="002D4062" w:rsidRPr="005866EB">
        <w:rPr>
          <w:rFonts w:ascii="Times New Roman" w:eastAsia="Calibri" w:hAnsi="Times New Roman" w:cs="Times New Roman"/>
          <w:b/>
          <w:sz w:val="24"/>
          <w:szCs w:val="20"/>
        </w:rPr>
        <w:t xml:space="preserve">tabula. </w:t>
      </w:r>
      <w:r w:rsidR="00A507C8">
        <w:rPr>
          <w:rFonts w:ascii="Times New Roman" w:eastAsia="Calibri" w:hAnsi="Times New Roman" w:cs="Times New Roman"/>
          <w:b/>
          <w:sz w:val="24"/>
          <w:szCs w:val="20"/>
        </w:rPr>
        <w:t>K</w:t>
      </w:r>
      <w:r w:rsidR="002D4062" w:rsidRPr="005866EB">
        <w:rPr>
          <w:rFonts w:ascii="Times New Roman" w:eastAsia="Calibri" w:hAnsi="Times New Roman" w:cs="Times New Roman"/>
          <w:b/>
          <w:sz w:val="24"/>
          <w:szCs w:val="20"/>
        </w:rPr>
        <w:t xml:space="preserve">opējā nodokļu reformas </w:t>
      </w:r>
      <w:r w:rsidR="001E5D9F">
        <w:rPr>
          <w:rFonts w:ascii="Times New Roman" w:eastAsia="Calibri" w:hAnsi="Times New Roman" w:cs="Times New Roman"/>
          <w:b/>
          <w:sz w:val="24"/>
          <w:szCs w:val="20"/>
        </w:rPr>
        <w:t xml:space="preserve">diskrecionārā </w:t>
      </w:r>
      <w:r w:rsidR="002D4062" w:rsidRPr="005866EB">
        <w:rPr>
          <w:rFonts w:ascii="Times New Roman" w:eastAsia="Calibri" w:hAnsi="Times New Roman" w:cs="Times New Roman"/>
          <w:b/>
          <w:sz w:val="24"/>
          <w:szCs w:val="20"/>
        </w:rPr>
        <w:t>ietekme uz bilanci</w:t>
      </w:r>
    </w:p>
    <w:tbl>
      <w:tblPr>
        <w:tblStyle w:val="GridTable6Colorful-Accent1"/>
        <w:tblW w:w="3600" w:type="dxa"/>
        <w:jc w:val="center"/>
        <w:tblLook w:val="04A0" w:firstRow="1" w:lastRow="0" w:firstColumn="1" w:lastColumn="0" w:noHBand="0" w:noVBand="1"/>
      </w:tblPr>
      <w:tblGrid>
        <w:gridCol w:w="1460"/>
        <w:gridCol w:w="1180"/>
        <w:gridCol w:w="960"/>
      </w:tblGrid>
      <w:tr w:rsidR="002D4062" w:rsidRPr="00A507C8" w14:paraId="255A3F5E" w14:textId="77777777" w:rsidTr="006C67E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60" w:type="dxa"/>
            <w:noWrap/>
            <w:vAlign w:val="center"/>
            <w:hideMark/>
          </w:tcPr>
          <w:p w14:paraId="4E9951B8" w14:textId="77777777" w:rsidR="002D4062" w:rsidRPr="00A507C8" w:rsidRDefault="002D4062" w:rsidP="006C67E6">
            <w:pPr>
              <w:jc w:val="center"/>
              <w:rPr>
                <w:rFonts w:ascii="Times New Roman" w:eastAsia="Times New Roman" w:hAnsi="Times New Roman" w:cs="Times New Roman"/>
                <w:color w:val="000000"/>
                <w:sz w:val="20"/>
                <w:szCs w:val="20"/>
                <w:lang w:eastAsia="lv-LV"/>
              </w:rPr>
            </w:pPr>
            <w:r w:rsidRPr="00A507C8">
              <w:rPr>
                <w:rFonts w:ascii="Times New Roman" w:eastAsia="Times New Roman" w:hAnsi="Times New Roman" w:cs="Times New Roman"/>
                <w:color w:val="000000"/>
                <w:sz w:val="20"/>
                <w:szCs w:val="20"/>
                <w:lang w:eastAsia="lv-LV"/>
              </w:rPr>
              <w:t>2018</w:t>
            </w:r>
          </w:p>
        </w:tc>
        <w:tc>
          <w:tcPr>
            <w:tcW w:w="1180" w:type="dxa"/>
            <w:noWrap/>
            <w:vAlign w:val="center"/>
            <w:hideMark/>
          </w:tcPr>
          <w:p w14:paraId="6AE0DBC7" w14:textId="77777777" w:rsidR="002D4062" w:rsidRPr="00A507C8"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507C8">
              <w:rPr>
                <w:rFonts w:ascii="Times New Roman" w:eastAsia="Times New Roman" w:hAnsi="Times New Roman" w:cs="Times New Roman"/>
                <w:color w:val="000000"/>
                <w:sz w:val="20"/>
                <w:szCs w:val="20"/>
                <w:lang w:eastAsia="lv-LV"/>
              </w:rPr>
              <w:t>2019</w:t>
            </w:r>
          </w:p>
        </w:tc>
        <w:tc>
          <w:tcPr>
            <w:tcW w:w="960" w:type="dxa"/>
            <w:noWrap/>
            <w:vAlign w:val="center"/>
            <w:hideMark/>
          </w:tcPr>
          <w:p w14:paraId="4F5C5CA0" w14:textId="77777777" w:rsidR="002D4062" w:rsidRPr="00A507C8" w:rsidRDefault="002D4062" w:rsidP="006C67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507C8">
              <w:rPr>
                <w:rFonts w:ascii="Times New Roman" w:eastAsia="Times New Roman" w:hAnsi="Times New Roman" w:cs="Times New Roman"/>
                <w:color w:val="000000"/>
                <w:sz w:val="20"/>
                <w:szCs w:val="20"/>
                <w:lang w:eastAsia="lv-LV"/>
              </w:rPr>
              <w:t>2020</w:t>
            </w:r>
          </w:p>
        </w:tc>
      </w:tr>
      <w:tr w:rsidR="002D4062" w:rsidRPr="00A507C8" w14:paraId="5C182D66" w14:textId="77777777" w:rsidTr="006C67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60" w:type="dxa"/>
            <w:noWrap/>
            <w:vAlign w:val="center"/>
            <w:hideMark/>
          </w:tcPr>
          <w:p w14:paraId="123DB971" w14:textId="77777777" w:rsidR="002D4062" w:rsidRPr="00CB58D4" w:rsidRDefault="002D4062" w:rsidP="006C67E6">
            <w:pPr>
              <w:jc w:val="right"/>
              <w:rPr>
                <w:rFonts w:ascii="Times New Roman" w:eastAsia="Times New Roman" w:hAnsi="Times New Roman" w:cs="Times New Roman"/>
                <w:bCs w:val="0"/>
                <w:color w:val="000000"/>
                <w:sz w:val="20"/>
                <w:szCs w:val="20"/>
                <w:lang w:eastAsia="lv-LV"/>
              </w:rPr>
            </w:pPr>
            <w:r w:rsidRPr="00CB58D4">
              <w:rPr>
                <w:rFonts w:ascii="Times New Roman" w:eastAsia="Times New Roman" w:hAnsi="Times New Roman" w:cs="Times New Roman"/>
                <w:bCs w:val="0"/>
                <w:color w:val="000000"/>
                <w:sz w:val="20"/>
                <w:szCs w:val="20"/>
                <w:lang w:eastAsia="lv-LV"/>
              </w:rPr>
              <w:t>-204,9</w:t>
            </w:r>
          </w:p>
        </w:tc>
        <w:tc>
          <w:tcPr>
            <w:tcW w:w="1180" w:type="dxa"/>
            <w:noWrap/>
            <w:vAlign w:val="center"/>
            <w:hideMark/>
          </w:tcPr>
          <w:p w14:paraId="64FFD1AE" w14:textId="77777777" w:rsidR="002D4062" w:rsidRPr="00A507C8"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507C8">
              <w:rPr>
                <w:rFonts w:ascii="Times New Roman" w:eastAsia="Times New Roman" w:hAnsi="Times New Roman" w:cs="Times New Roman"/>
                <w:b/>
                <w:bCs/>
                <w:color w:val="000000"/>
                <w:sz w:val="20"/>
                <w:szCs w:val="20"/>
                <w:lang w:eastAsia="lv-LV"/>
              </w:rPr>
              <w:t>54,0</w:t>
            </w:r>
          </w:p>
        </w:tc>
        <w:tc>
          <w:tcPr>
            <w:tcW w:w="960" w:type="dxa"/>
            <w:noWrap/>
            <w:vAlign w:val="center"/>
            <w:hideMark/>
          </w:tcPr>
          <w:p w14:paraId="451BF1CD" w14:textId="77777777" w:rsidR="002D4062" w:rsidRPr="00A507C8" w:rsidRDefault="002D4062"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507C8">
              <w:rPr>
                <w:rFonts w:ascii="Times New Roman" w:eastAsia="Times New Roman" w:hAnsi="Times New Roman" w:cs="Times New Roman"/>
                <w:b/>
                <w:bCs/>
                <w:color w:val="000000"/>
                <w:sz w:val="20"/>
                <w:szCs w:val="20"/>
                <w:lang w:eastAsia="lv-LV"/>
              </w:rPr>
              <w:t>53,7</w:t>
            </w:r>
          </w:p>
        </w:tc>
      </w:tr>
    </w:tbl>
    <w:p w14:paraId="5D4896D5" w14:textId="41C847A5" w:rsidR="001E5D9F" w:rsidRPr="00DA773B" w:rsidRDefault="001E5D9F" w:rsidP="001E5D9F">
      <w:pPr>
        <w:spacing w:before="120" w:after="0" w:line="240" w:lineRule="auto"/>
        <w:ind w:firstLine="714"/>
        <w:jc w:val="both"/>
        <w:rPr>
          <w:rFonts w:ascii="Times New Roman" w:eastAsia="Calibri" w:hAnsi="Times New Roman" w:cs="Times New Roman"/>
          <w:sz w:val="24"/>
          <w:szCs w:val="20"/>
        </w:rPr>
      </w:pPr>
      <w:r>
        <w:rPr>
          <w:rFonts w:ascii="Times New Roman" w:eastAsia="Calibri" w:hAnsi="Times New Roman" w:cs="Times New Roman"/>
          <w:sz w:val="24"/>
          <w:szCs w:val="20"/>
        </w:rPr>
        <w:t xml:space="preserve">Kā redzams, ja nodokļu reformas pasākumu ietekme uz ieņēmumu dinamiku dod pozitīvu efektu jau reformas trešajā gadā, kopējais negatīvais fiskālais efekts, ieskaitot arī izdevumu pieaugumu ir ap 200 milj. </w:t>
      </w:r>
      <w:r>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reformas pirmajā gadā un tad tas turpina samazināties vidēji par 50 milj. </w:t>
      </w:r>
      <w:r>
        <w:rPr>
          <w:rFonts w:ascii="Times New Roman" w:eastAsia="Calibri" w:hAnsi="Times New Roman" w:cs="Times New Roman"/>
          <w:i/>
          <w:sz w:val="24"/>
          <w:szCs w:val="20"/>
        </w:rPr>
        <w:t>euro</w:t>
      </w:r>
      <w:r>
        <w:rPr>
          <w:rFonts w:ascii="Times New Roman" w:eastAsia="Calibri" w:hAnsi="Times New Roman" w:cs="Times New Roman"/>
          <w:sz w:val="24"/>
          <w:szCs w:val="20"/>
        </w:rPr>
        <w:t xml:space="preserve">, sasniedzot neitrālu efektu reformas piektajā gadā.   </w:t>
      </w:r>
    </w:p>
    <w:p w14:paraId="19C6EE14" w14:textId="78888188" w:rsidR="001E5D9F" w:rsidRDefault="001E5D9F" w:rsidP="00A507C8">
      <w:pPr>
        <w:spacing w:after="0" w:line="240" w:lineRule="auto"/>
        <w:ind w:left="360" w:firstLine="360"/>
        <w:jc w:val="both"/>
        <w:rPr>
          <w:rFonts w:ascii="Times New Roman" w:eastAsia="Calibri" w:hAnsi="Times New Roman" w:cs="Times New Roman"/>
          <w:b/>
          <w:sz w:val="24"/>
          <w:szCs w:val="20"/>
        </w:rPr>
      </w:pPr>
    </w:p>
    <w:p w14:paraId="76173E48" w14:textId="0DBDE082" w:rsidR="002D4062" w:rsidRPr="004D5E99" w:rsidRDefault="002D4062" w:rsidP="00A507C8">
      <w:pPr>
        <w:spacing w:before="120" w:after="60" w:line="240" w:lineRule="auto"/>
        <w:ind w:left="357" w:firstLine="357"/>
        <w:jc w:val="both"/>
        <w:rPr>
          <w:rFonts w:ascii="Times New Roman" w:eastAsia="Calibri" w:hAnsi="Times New Roman" w:cs="Times New Roman"/>
          <w:b/>
          <w:sz w:val="24"/>
          <w:szCs w:val="20"/>
        </w:rPr>
      </w:pPr>
      <w:r w:rsidRPr="004D5E99">
        <w:rPr>
          <w:rFonts w:ascii="Times New Roman" w:eastAsia="Calibri" w:hAnsi="Times New Roman" w:cs="Times New Roman"/>
          <w:b/>
          <w:sz w:val="24"/>
          <w:szCs w:val="20"/>
        </w:rPr>
        <w:t>Nodokļu reforma un izdevumi autoceļu uzturēšanai</w:t>
      </w:r>
    </w:p>
    <w:p w14:paraId="3294A107" w14:textId="163CCCA6" w:rsidR="002D4062" w:rsidRDefault="002D4062" w:rsidP="002D4062">
      <w:pPr>
        <w:spacing w:after="0" w:line="240" w:lineRule="auto"/>
        <w:ind w:firstLine="720"/>
        <w:jc w:val="both"/>
        <w:rPr>
          <w:rFonts w:ascii="Times New Roman" w:eastAsia="Times New Roman" w:hAnsi="Times New Roman" w:cs="Times New Roman"/>
          <w:sz w:val="24"/>
          <w:szCs w:val="24"/>
        </w:rPr>
      </w:pPr>
      <w:r w:rsidRPr="002D4062">
        <w:rPr>
          <w:rFonts w:ascii="Times New Roman" w:eastAsia="Times New Roman" w:hAnsi="Times New Roman" w:cs="Times New Roman"/>
          <w:sz w:val="24"/>
          <w:szCs w:val="24"/>
        </w:rPr>
        <w:t xml:space="preserve">Nodokļu reformā ir iekļauta arī izdevumu palielināšanas autoceļu uzturēšanai. No vienas puses, nodokļu reforma kā kompensējošo pasākumu paredz akcīzes nodokļa palielinājumu degvielai ar kopējo fiskālo efektu 30 </w:t>
      </w:r>
      <w:r w:rsidR="00A507C8">
        <w:rPr>
          <w:rFonts w:ascii="Times New Roman" w:eastAsia="Times New Roman" w:hAnsi="Times New Roman" w:cs="Times New Roman"/>
          <w:sz w:val="24"/>
          <w:szCs w:val="24"/>
        </w:rPr>
        <w:t xml:space="preserve">milj. </w:t>
      </w:r>
      <w:r w:rsidR="00A507C8">
        <w:rPr>
          <w:rFonts w:ascii="Times New Roman" w:eastAsia="Times New Roman" w:hAnsi="Times New Roman" w:cs="Times New Roman"/>
          <w:i/>
          <w:sz w:val="24"/>
          <w:szCs w:val="24"/>
        </w:rPr>
        <w:t>euro</w:t>
      </w:r>
      <w:r w:rsidRPr="002D4062">
        <w:rPr>
          <w:rFonts w:ascii="Times New Roman" w:eastAsia="Times New Roman" w:hAnsi="Times New Roman" w:cs="Times New Roman"/>
          <w:sz w:val="24"/>
          <w:szCs w:val="24"/>
        </w:rPr>
        <w:t xml:space="preserve"> 2018.gadā. No otras puses Latvijas valdība ir pieņēmusi lēmumu par grozījumu izdarīšanu autoceļu likumā, kas paredz stabilu finansējuma pieaugumu autoceļu uzturēšanu un šie nosacījumi liek palielināt autoceļu uzturēšanas finansējumu 2018. gadā par 25 </w:t>
      </w:r>
      <w:r w:rsidR="00A507C8">
        <w:rPr>
          <w:rFonts w:ascii="Times New Roman" w:eastAsia="Times New Roman" w:hAnsi="Times New Roman" w:cs="Times New Roman"/>
          <w:sz w:val="24"/>
          <w:szCs w:val="24"/>
        </w:rPr>
        <w:t xml:space="preserve">milj. </w:t>
      </w:r>
      <w:r w:rsidR="00A507C8">
        <w:rPr>
          <w:rFonts w:ascii="Times New Roman" w:eastAsia="Times New Roman" w:hAnsi="Times New Roman" w:cs="Times New Roman"/>
          <w:i/>
          <w:sz w:val="24"/>
          <w:szCs w:val="24"/>
        </w:rPr>
        <w:t>euro</w:t>
      </w:r>
      <w:r w:rsidRPr="002D4062">
        <w:rPr>
          <w:rFonts w:ascii="Times New Roman" w:eastAsia="Times New Roman" w:hAnsi="Times New Roman" w:cs="Times New Roman"/>
          <w:sz w:val="24"/>
          <w:szCs w:val="24"/>
        </w:rPr>
        <w:t xml:space="preserve">. Vienlaicīgi tiek diskutēts par autoceļu fonda kā speciālā budžeta atjaunošanas nepieciešamību. Kaut arī lēmums par autoceļu fonda finansējuma sasaistīšanu ar akcīzes nodokli vēl nav pieņemts, nodokļu reformas paketē </w:t>
      </w:r>
      <w:r w:rsidR="00A507C8">
        <w:rPr>
          <w:rFonts w:ascii="Times New Roman" w:eastAsia="Times New Roman" w:hAnsi="Times New Roman" w:cs="Times New Roman"/>
          <w:sz w:val="24"/>
          <w:szCs w:val="24"/>
        </w:rPr>
        <w:t>FM</w:t>
      </w:r>
      <w:r w:rsidRPr="002D4062">
        <w:rPr>
          <w:rFonts w:ascii="Times New Roman" w:eastAsia="Times New Roman" w:hAnsi="Times New Roman" w:cs="Times New Roman"/>
          <w:sz w:val="24"/>
          <w:szCs w:val="24"/>
        </w:rPr>
        <w:t xml:space="preserve"> vēlas vismaz nosacīti iezīmēt plānoto akcīzes nodokļa pieaugumu ar plānoto papildus finansējumu autoceļu uzturēšanai.</w:t>
      </w:r>
    </w:p>
    <w:p w14:paraId="0BFA9132" w14:textId="77777777" w:rsidR="002D4062" w:rsidRPr="002D4062" w:rsidRDefault="002D4062" w:rsidP="002D4062">
      <w:pPr>
        <w:spacing w:after="0" w:line="240" w:lineRule="auto"/>
        <w:ind w:firstLine="720"/>
        <w:jc w:val="both"/>
        <w:rPr>
          <w:rFonts w:ascii="Times New Roman" w:eastAsia="Times New Roman" w:hAnsi="Times New Roman" w:cs="Times New Roman"/>
          <w:sz w:val="24"/>
          <w:szCs w:val="24"/>
        </w:rPr>
      </w:pPr>
    </w:p>
    <w:p w14:paraId="29206A9F" w14:textId="074D1112" w:rsidR="005F4C67" w:rsidRPr="0035294F" w:rsidRDefault="005F4C67" w:rsidP="002D4062">
      <w:pPr>
        <w:pStyle w:val="Heading2"/>
        <w:numPr>
          <w:ilvl w:val="2"/>
          <w:numId w:val="1"/>
        </w:numPr>
        <w:spacing w:before="240" w:after="120"/>
        <w:ind w:left="1418"/>
        <w:jc w:val="both"/>
        <w:rPr>
          <w:rFonts w:ascii="Times New Roman" w:eastAsia="Calibri" w:hAnsi="Times New Roman" w:cs="Times New Roman"/>
          <w:color w:val="000000"/>
          <w:sz w:val="24"/>
          <w:szCs w:val="24"/>
        </w:rPr>
      </w:pPr>
      <w:bookmarkStart w:id="17" w:name="_Toc479331092"/>
      <w:r w:rsidRPr="0035294F">
        <w:rPr>
          <w:rFonts w:ascii="Times New Roman" w:eastAsia="Calibri" w:hAnsi="Times New Roman" w:cs="Times New Roman"/>
          <w:color w:val="000000"/>
          <w:sz w:val="24"/>
          <w:szCs w:val="24"/>
        </w:rPr>
        <w:t>Fiskāli nozīmīgākās strukturālās reformas Regulas Nr. 1175/2011 izpratnē</w:t>
      </w:r>
      <w:bookmarkEnd w:id="17"/>
    </w:p>
    <w:p w14:paraId="5BA72A34" w14:textId="57A36A92" w:rsidR="005F4C67" w:rsidRPr="004D5E99" w:rsidRDefault="0037345C" w:rsidP="0037345C">
      <w:pPr>
        <w:pStyle w:val="Heading2"/>
        <w:numPr>
          <w:ilvl w:val="3"/>
          <w:numId w:val="1"/>
        </w:numPr>
        <w:spacing w:before="240" w:after="120"/>
        <w:ind w:left="1843"/>
        <w:jc w:val="both"/>
        <w:rPr>
          <w:rFonts w:ascii="Times New Roman" w:eastAsia="Calibri" w:hAnsi="Times New Roman" w:cs="Times New Roman"/>
          <w:b w:val="0"/>
          <w:color w:val="000000"/>
          <w:sz w:val="24"/>
          <w:szCs w:val="24"/>
        </w:rPr>
      </w:pPr>
      <w:r>
        <w:rPr>
          <w:rFonts w:ascii="Times New Roman" w:eastAsia="Calibri" w:hAnsi="Times New Roman" w:cs="Times New Roman"/>
          <w:b w:val="0"/>
          <w:color w:val="000000"/>
          <w:sz w:val="24"/>
          <w:szCs w:val="24"/>
        </w:rPr>
        <w:t xml:space="preserve"> </w:t>
      </w:r>
      <w:bookmarkStart w:id="18" w:name="_Toc479331093"/>
      <w:r w:rsidR="005F4C67" w:rsidRPr="004D5E99">
        <w:rPr>
          <w:rFonts w:ascii="Times New Roman" w:eastAsia="Calibri" w:hAnsi="Times New Roman" w:cs="Times New Roman"/>
          <w:color w:val="000000"/>
          <w:sz w:val="24"/>
          <w:szCs w:val="24"/>
        </w:rPr>
        <w:t>Pensiju sistēmas reforma</w:t>
      </w:r>
      <w:bookmarkEnd w:id="18"/>
    </w:p>
    <w:p w14:paraId="370B01EE" w14:textId="77777777" w:rsidR="005F4C67" w:rsidRPr="0009609E" w:rsidRDefault="005F4C67" w:rsidP="005F4C67">
      <w:pPr>
        <w:spacing w:after="0" w:line="240" w:lineRule="auto"/>
        <w:ind w:firstLine="720"/>
        <w:jc w:val="both"/>
        <w:rPr>
          <w:rFonts w:ascii="Times New Roman" w:eastAsia="Times New Roman" w:hAnsi="Times New Roman" w:cs="Times New Roman"/>
          <w:sz w:val="24"/>
          <w:szCs w:val="24"/>
        </w:rPr>
      </w:pPr>
      <w:r w:rsidRPr="0009609E">
        <w:rPr>
          <w:rFonts w:ascii="Times New Roman" w:eastAsia="Times New Roman" w:hAnsi="Times New Roman" w:cs="Times New Roman"/>
          <w:sz w:val="24"/>
          <w:szCs w:val="24"/>
        </w:rPr>
        <w:t>2012.gadā tika veikti grozījumi Valsts fondēto pensiju likumā, kas paredz pakāpeniskāku iemaksu likmes paaugstināšanu pensiju sistēmas 2.līmenī, t.i. 2013.-2014.gadā 4%, 2015.gadā 5% un 2016.gadā 6%. Politika netiek mainīta. Pamatojoties uz to Latvija turpina izmantot SIP noteiktās iespējas novirzīties no VTM, īstenojot šīs strukturālās reformas.</w:t>
      </w:r>
    </w:p>
    <w:p w14:paraId="3C55D6A9" w14:textId="77777777" w:rsidR="005F4C67" w:rsidRPr="0009609E" w:rsidRDefault="005F4C67" w:rsidP="005F4C67">
      <w:pPr>
        <w:spacing w:after="0" w:line="240" w:lineRule="auto"/>
        <w:ind w:firstLine="720"/>
        <w:jc w:val="both"/>
        <w:rPr>
          <w:rFonts w:ascii="Times New Roman" w:eastAsia="Times New Roman" w:hAnsi="Times New Roman" w:cs="Times New Roman"/>
          <w:sz w:val="24"/>
          <w:szCs w:val="24"/>
        </w:rPr>
      </w:pPr>
      <w:r w:rsidRPr="0009609E">
        <w:rPr>
          <w:rFonts w:ascii="Times New Roman" w:eastAsia="Times New Roman" w:hAnsi="Times New Roman" w:cs="Times New Roman"/>
          <w:sz w:val="24"/>
          <w:szCs w:val="24"/>
        </w:rPr>
        <w:t>Pensiju reforma, tomēr ir plašāka un ietver arī citus pasākumus, bez iemaksu palielinājuma 2.pensiju līmenī.</w:t>
      </w:r>
    </w:p>
    <w:p w14:paraId="4418EB02" w14:textId="77777777" w:rsidR="005F4C67" w:rsidRPr="0009609E" w:rsidRDefault="005F4C67" w:rsidP="005F4C67">
      <w:pPr>
        <w:spacing w:after="0" w:line="240" w:lineRule="auto"/>
        <w:ind w:firstLine="720"/>
        <w:jc w:val="both"/>
        <w:rPr>
          <w:rFonts w:ascii="Times New Roman" w:eastAsia="Times New Roman" w:hAnsi="Times New Roman" w:cs="Times New Roman"/>
          <w:sz w:val="24"/>
          <w:szCs w:val="24"/>
        </w:rPr>
      </w:pPr>
      <w:r w:rsidRPr="0009609E">
        <w:rPr>
          <w:rFonts w:ascii="Times New Roman" w:eastAsia="Times New Roman" w:hAnsi="Times New Roman" w:cs="Times New Roman"/>
          <w:sz w:val="24"/>
          <w:szCs w:val="24"/>
        </w:rPr>
        <w:t>Fiskāli ietilpīgākā strukturālās reformas ir saistītas ar pensiju sistēmas pilnveidošanu. 2012.gadā tika veikti grozījumi likumā „Par valsts pensijām”, kas paredz:</w:t>
      </w:r>
    </w:p>
    <w:p w14:paraId="0AFC8EDC" w14:textId="77777777" w:rsidR="005F4C67" w:rsidRPr="0009609E" w:rsidRDefault="005F4C67" w:rsidP="005F4C67">
      <w:pPr>
        <w:pStyle w:val="Default"/>
        <w:numPr>
          <w:ilvl w:val="0"/>
          <w:numId w:val="6"/>
        </w:numPr>
        <w:ind w:left="1134" w:hanging="357"/>
        <w:jc w:val="both"/>
        <w:rPr>
          <w:lang w:val="x-none" w:eastAsia="x-none"/>
        </w:rPr>
      </w:pPr>
      <w:r w:rsidRPr="0009609E">
        <w:rPr>
          <w:lang w:val="x-none" w:eastAsia="x-none"/>
        </w:rPr>
        <w:t>Pensionēšanās vecuma pakāpenisku paaugstināšanu līdz 65 gadiem: ar 2014.gada 1.janvāri palielinājums katru gadu par 3 mēnešiem, sasniedzot pensionēšanās vecumu</w:t>
      </w:r>
      <w:r>
        <w:rPr>
          <w:lang w:val="x-none" w:eastAsia="x-none"/>
        </w:rPr>
        <w:t xml:space="preserve"> 65 gadi no 2025.gada 1.janvāra;</w:t>
      </w:r>
    </w:p>
    <w:p w14:paraId="16014D50" w14:textId="77777777" w:rsidR="005F4C67" w:rsidRPr="0009609E" w:rsidRDefault="005F4C67" w:rsidP="005F4C67">
      <w:pPr>
        <w:pStyle w:val="Default"/>
        <w:numPr>
          <w:ilvl w:val="0"/>
          <w:numId w:val="6"/>
        </w:numPr>
        <w:ind w:left="1134" w:hanging="357"/>
        <w:jc w:val="both"/>
        <w:rPr>
          <w:lang w:val="x-none" w:eastAsia="x-none"/>
        </w:rPr>
      </w:pPr>
      <w:r w:rsidRPr="0009609E">
        <w:rPr>
          <w:lang w:val="x-none" w:eastAsia="x-none"/>
        </w:rPr>
        <w:t>Vienlaicīgi ar pensionēšanās vecuma paaugstināšanu, priekšlaicīgās pensionēšanās vecuma paaugstināša</w:t>
      </w:r>
      <w:r>
        <w:rPr>
          <w:lang w:val="x-none" w:eastAsia="x-none"/>
        </w:rPr>
        <w:t>nu sākot ar 2014.gada 1.janvāri;</w:t>
      </w:r>
    </w:p>
    <w:p w14:paraId="4AFFC32A" w14:textId="366EC4A2" w:rsidR="005F4C67" w:rsidRPr="00313EDD" w:rsidRDefault="005F4C67" w:rsidP="005F4C67">
      <w:pPr>
        <w:pStyle w:val="Default"/>
        <w:numPr>
          <w:ilvl w:val="0"/>
          <w:numId w:val="6"/>
        </w:numPr>
        <w:ind w:left="1134" w:hanging="357"/>
        <w:jc w:val="both"/>
        <w:rPr>
          <w:lang w:val="x-none" w:eastAsia="x-none"/>
        </w:rPr>
      </w:pPr>
      <w:r w:rsidRPr="0009609E">
        <w:rPr>
          <w:lang w:val="x-none" w:eastAsia="x-none"/>
        </w:rPr>
        <w:t>Minimālā apdrošināšanas stāža palielināšanu tiesībām uz valsts vecuma pensiju līdz 15 gadiem, sākot ar 2014.gada 1.janv</w:t>
      </w:r>
      <w:r w:rsidR="00FC7A05">
        <w:rPr>
          <w:lang w:val="x-none" w:eastAsia="x-none"/>
        </w:rPr>
        <w:t>āri, un līdz 20</w:t>
      </w:r>
      <w:r w:rsidRPr="0009609E">
        <w:rPr>
          <w:lang w:val="x-none" w:eastAsia="x-none"/>
        </w:rPr>
        <w:t>gadiem, sākot ar 2025.gada 1.janvāri.</w:t>
      </w:r>
    </w:p>
    <w:p w14:paraId="50EEF893" w14:textId="77777777" w:rsidR="005F4C67" w:rsidRPr="0009609E" w:rsidRDefault="005F4C67" w:rsidP="005F4C67">
      <w:pPr>
        <w:spacing w:after="0" w:line="240" w:lineRule="auto"/>
        <w:ind w:firstLine="720"/>
        <w:jc w:val="both"/>
        <w:rPr>
          <w:rFonts w:ascii="Times New Roman" w:eastAsia="Times New Roman" w:hAnsi="Times New Roman" w:cs="Times New Roman"/>
          <w:sz w:val="24"/>
          <w:szCs w:val="24"/>
        </w:rPr>
      </w:pPr>
      <w:r w:rsidRPr="0009609E">
        <w:rPr>
          <w:rFonts w:ascii="Times New Roman" w:eastAsia="Times New Roman" w:hAnsi="Times New Roman" w:cs="Times New Roman"/>
          <w:sz w:val="24"/>
          <w:szCs w:val="24"/>
        </w:rPr>
        <w:t>2014.gada 3.aprīlī Saeima pieņēma likumu „Grozījumi likumā „Par valsts pensijām””, saskaņā ar kuru ir stājušās spēkā izmaiņas pensiju indeksācijas kārtībā, kas paredz:</w:t>
      </w:r>
    </w:p>
    <w:p w14:paraId="7AC302D4" w14:textId="576D176C" w:rsidR="005F4C67" w:rsidRPr="0009609E" w:rsidRDefault="005F4C67" w:rsidP="005F4C67">
      <w:pPr>
        <w:pStyle w:val="Default"/>
        <w:numPr>
          <w:ilvl w:val="0"/>
          <w:numId w:val="6"/>
        </w:numPr>
        <w:ind w:left="1134" w:hanging="357"/>
        <w:jc w:val="both"/>
        <w:rPr>
          <w:lang w:val="x-none" w:eastAsia="x-none"/>
        </w:rPr>
      </w:pPr>
      <w:r w:rsidRPr="0009609E">
        <w:rPr>
          <w:lang w:val="x-none" w:eastAsia="x-none"/>
        </w:rPr>
        <w:t>2014.gada 1.oktobrī indeksēt valsts pensijas vai tās da</w:t>
      </w:r>
      <w:r w:rsidR="00FC7A05">
        <w:rPr>
          <w:lang w:val="x-none" w:eastAsia="x-none"/>
        </w:rPr>
        <w:t xml:space="preserve">ļas apmēru, kas nepārsniedz 285 </w:t>
      </w:r>
      <w:r>
        <w:rPr>
          <w:i/>
          <w:lang w:eastAsia="x-none"/>
        </w:rPr>
        <w:t>euro</w:t>
      </w:r>
      <w:r w:rsidRPr="0009609E">
        <w:rPr>
          <w:lang w:val="x-none" w:eastAsia="x-none"/>
        </w:rPr>
        <w:t>, ņemot vērā faktisko patēriņa cenu indeksu un 25% no apdrošināšanas iemaksu a</w:t>
      </w:r>
      <w:r>
        <w:rPr>
          <w:lang w:val="x-none" w:eastAsia="x-none"/>
        </w:rPr>
        <w:t>lgas reālā pieauguma procentiem;</w:t>
      </w:r>
    </w:p>
    <w:p w14:paraId="265080A5" w14:textId="77777777" w:rsidR="005F4C67" w:rsidRPr="003F7B43" w:rsidRDefault="005F4C67" w:rsidP="005F4C67">
      <w:pPr>
        <w:pStyle w:val="Default"/>
        <w:numPr>
          <w:ilvl w:val="0"/>
          <w:numId w:val="6"/>
        </w:numPr>
        <w:ind w:left="1134" w:hanging="357"/>
        <w:jc w:val="both"/>
        <w:rPr>
          <w:lang w:val="x-none" w:eastAsia="x-none"/>
        </w:rPr>
      </w:pPr>
      <w:r w:rsidRPr="0009609E">
        <w:rPr>
          <w:lang w:val="x-none" w:eastAsia="x-none"/>
        </w:rPr>
        <w:t xml:space="preserve">turpmāk indeksēt reizi gadā 1.oktobrī valsts pensijas vai tās daļas apmēru, kas nepārsniedz 50% no iepriekšējā kalendārā gada vidējās apdrošināšanas iemaksu </w:t>
      </w:r>
      <w:r w:rsidRPr="0009609E">
        <w:rPr>
          <w:lang w:val="x-none" w:eastAsia="x-none"/>
        </w:rPr>
        <w:lastRenderedPageBreak/>
        <w:t xml:space="preserve">algas valstī (noapaļotu līdz veseliem </w:t>
      </w:r>
      <w:r>
        <w:rPr>
          <w:i/>
          <w:lang w:eastAsia="x-none"/>
        </w:rPr>
        <w:t>euro</w:t>
      </w:r>
      <w:r w:rsidRPr="0009609E">
        <w:rPr>
          <w:lang w:val="x-none" w:eastAsia="x-none"/>
        </w:rPr>
        <w:t xml:space="preserve">), ņemot vērā faktisko patēriņa cenu indeksu un 25% </w:t>
      </w:r>
      <w:r w:rsidRPr="003F7B43">
        <w:rPr>
          <w:lang w:val="x-none" w:eastAsia="x-none"/>
        </w:rPr>
        <w:t>no apdrošināšanas iemaksu algas reālā pieauguma procentiem.</w:t>
      </w:r>
    </w:p>
    <w:p w14:paraId="7963F6B4" w14:textId="00946415" w:rsidR="005F4C67" w:rsidRPr="00313EDD" w:rsidRDefault="005F4C67" w:rsidP="005F4C67">
      <w:pPr>
        <w:spacing w:after="0" w:line="240" w:lineRule="auto"/>
        <w:ind w:firstLine="720"/>
        <w:jc w:val="both"/>
        <w:rPr>
          <w:rFonts w:ascii="Times New Roman" w:hAnsi="Times New Roman"/>
          <w:sz w:val="24"/>
          <w:szCs w:val="24"/>
        </w:rPr>
      </w:pPr>
      <w:r w:rsidRPr="00313EDD">
        <w:rPr>
          <w:rFonts w:ascii="Times New Roman" w:hAnsi="Times New Roman"/>
          <w:sz w:val="24"/>
          <w:szCs w:val="24"/>
        </w:rPr>
        <w:t>Augstāk minēto izmaiņu pensiju indeksācijas kārtībā fiskālā ietekme uz vispārējās valdības budžeta bilanci, salīdzinot ar</w:t>
      </w:r>
      <w:r>
        <w:rPr>
          <w:rFonts w:ascii="Times New Roman" w:hAnsi="Times New Roman"/>
          <w:sz w:val="24"/>
          <w:szCs w:val="24"/>
        </w:rPr>
        <w:t xml:space="preserve"> </w:t>
      </w:r>
      <w:r>
        <w:rPr>
          <w:rFonts w:ascii="Times New Roman" w:eastAsia="Times New Roman" w:hAnsi="Times New Roman" w:cs="Times New Roman"/>
          <w:sz w:val="24"/>
          <w:szCs w:val="24"/>
        </w:rPr>
        <w:t>Ietvara</w:t>
      </w:r>
      <w:r w:rsidRPr="00313EDD">
        <w:rPr>
          <w:rFonts w:ascii="Times New Roman" w:hAnsi="Times New Roman"/>
          <w:sz w:val="24"/>
          <w:szCs w:val="24"/>
        </w:rPr>
        <w:t xml:space="preserve"> likumu </w:t>
      </w:r>
      <w:r w:rsidR="00FC7A05">
        <w:rPr>
          <w:rFonts w:ascii="Times New Roman" w:hAnsi="Times New Roman"/>
          <w:sz w:val="24"/>
          <w:szCs w:val="24"/>
        </w:rPr>
        <w:t>2014.-2016.</w:t>
      </w:r>
      <w:r>
        <w:rPr>
          <w:rFonts w:ascii="Times New Roman" w:hAnsi="Times New Roman"/>
          <w:sz w:val="24"/>
          <w:szCs w:val="24"/>
        </w:rPr>
        <w:t>gadam</w:t>
      </w:r>
      <w:r w:rsidRPr="00313EDD">
        <w:rPr>
          <w:rFonts w:ascii="Times New Roman" w:hAnsi="Times New Roman"/>
          <w:sz w:val="24"/>
          <w:szCs w:val="24"/>
        </w:rPr>
        <w:t xml:space="preserve">, tika novērtēta attiecīgi 0,01% no IKP 2014.gadā, 0,04% no IKP 2015.gadā un 0,08% no IKP 2016.gadā. </w:t>
      </w:r>
    </w:p>
    <w:p w14:paraId="0AFC6383" w14:textId="4DA1E3A4" w:rsidR="005F4C67" w:rsidRDefault="005F4C67" w:rsidP="00133521">
      <w:pPr>
        <w:spacing w:after="0" w:line="240" w:lineRule="auto"/>
        <w:ind w:firstLine="720"/>
        <w:jc w:val="both"/>
        <w:rPr>
          <w:rFonts w:ascii="Times New Roman" w:eastAsia="Times New Roman" w:hAnsi="Times New Roman" w:cs="Times New Roman"/>
          <w:sz w:val="24"/>
          <w:szCs w:val="24"/>
        </w:rPr>
      </w:pPr>
      <w:r>
        <w:rPr>
          <w:rFonts w:ascii="Times New Roman" w:hAnsi="Times New Roman"/>
          <w:sz w:val="24"/>
          <w:szCs w:val="24"/>
        </w:rPr>
        <w:t xml:space="preserve">Savukārt </w:t>
      </w:r>
      <w:r w:rsidRPr="00313EDD">
        <w:rPr>
          <w:rFonts w:ascii="Times New Roman" w:hAnsi="Times New Roman"/>
          <w:sz w:val="24"/>
          <w:szCs w:val="24"/>
        </w:rPr>
        <w:t>2016</w:t>
      </w:r>
      <w:r w:rsidR="00FC7A05">
        <w:rPr>
          <w:rFonts w:ascii="Times New Roman" w:hAnsi="Times New Roman"/>
          <w:color w:val="000000"/>
          <w:sz w:val="24"/>
          <w:szCs w:val="24"/>
        </w:rPr>
        <w:t>.gada 10.</w:t>
      </w:r>
      <w:r>
        <w:rPr>
          <w:rFonts w:ascii="Times New Roman" w:hAnsi="Times New Roman"/>
          <w:color w:val="000000"/>
          <w:sz w:val="24"/>
          <w:szCs w:val="24"/>
        </w:rPr>
        <w:t xml:space="preserve">martā Saeima pieņēma likumu „Grozījumi likumā „Par valsts pensijām””, kas paredz. ka, sākot ar 2017.gadu, valsts pensiju indeksācijā tiek ņemti vērā 50 procenti (līdzšinējo 25 % vietā) no apdrošināšanas iemaksu algas reālā pieauguma procentiem. Fiskālā ietekme, </w:t>
      </w:r>
      <w:r w:rsidRPr="003C2897">
        <w:rPr>
          <w:rFonts w:ascii="Times New Roman" w:eastAsia="Times New Roman" w:hAnsi="Times New Roman" w:cs="Times New Roman"/>
          <w:sz w:val="24"/>
          <w:szCs w:val="24"/>
        </w:rPr>
        <w:t xml:space="preserve">salīdzinot ar </w:t>
      </w:r>
      <w:r>
        <w:rPr>
          <w:rFonts w:ascii="Times New Roman" w:eastAsia="Times New Roman" w:hAnsi="Times New Roman" w:cs="Times New Roman"/>
          <w:sz w:val="24"/>
          <w:szCs w:val="24"/>
        </w:rPr>
        <w:t xml:space="preserve">Ietvara </w:t>
      </w:r>
      <w:r w:rsidRPr="003C2897">
        <w:rPr>
          <w:rFonts w:ascii="Times New Roman" w:eastAsia="Times New Roman" w:hAnsi="Times New Roman" w:cs="Times New Roman"/>
          <w:sz w:val="24"/>
          <w:szCs w:val="24"/>
        </w:rPr>
        <w:t xml:space="preserve">likumu </w:t>
      </w:r>
      <w:r w:rsidR="00FC7A05">
        <w:rPr>
          <w:rFonts w:ascii="Times New Roman" w:hAnsi="Times New Roman"/>
          <w:sz w:val="24"/>
          <w:szCs w:val="24"/>
        </w:rPr>
        <w:t>2016.-2018.</w:t>
      </w:r>
      <w:r>
        <w:rPr>
          <w:rFonts w:ascii="Times New Roman" w:hAnsi="Times New Roman"/>
          <w:sz w:val="24"/>
          <w:szCs w:val="24"/>
        </w:rPr>
        <w:t>gadam</w:t>
      </w:r>
      <w:r>
        <w:rPr>
          <w:rFonts w:ascii="Times New Roman" w:eastAsia="Times New Roman" w:hAnsi="Times New Roman" w:cs="Times New Roman"/>
          <w:sz w:val="24"/>
          <w:szCs w:val="24"/>
        </w:rPr>
        <w:t>,</w:t>
      </w:r>
      <w:r>
        <w:rPr>
          <w:rFonts w:ascii="Times New Roman" w:hAnsi="Times New Roman"/>
          <w:color w:val="000000"/>
          <w:sz w:val="24"/>
          <w:szCs w:val="24"/>
        </w:rPr>
        <w:t xml:space="preserve"> uz vispārējās valdības budžeta bilanci tiek novērtēta attiecīgi 0,01% no IKP 2017.gadā, 0,06% no IKP 2018.gadā un 0,11% no IKP 2019.gadā. </w:t>
      </w:r>
      <w:r w:rsidRPr="003C2897">
        <w:rPr>
          <w:rFonts w:ascii="Times New Roman" w:eastAsia="Times New Roman" w:hAnsi="Times New Roman" w:cs="Times New Roman"/>
          <w:sz w:val="24"/>
          <w:szCs w:val="24"/>
        </w:rPr>
        <w:t>Ņemot vērā novērtēto fiskālās ietekmes apmēru var secināt, ka būtisku ietekmi uz publisko finanšu ilgtspēju šīs izmaiņas neatstās</w:t>
      </w:r>
      <w:r w:rsidR="00C1712E">
        <w:rPr>
          <w:rFonts w:ascii="Times New Roman" w:eastAsia="Times New Roman" w:hAnsi="Times New Roman" w:cs="Times New Roman"/>
          <w:sz w:val="24"/>
          <w:szCs w:val="24"/>
        </w:rPr>
        <w:t xml:space="preserve">. </w:t>
      </w:r>
      <w:r w:rsidR="00133521" w:rsidRPr="008F38D4">
        <w:rPr>
          <w:rFonts w:ascii="Times New Roman" w:eastAsia="Times New Roman" w:hAnsi="Times New Roman" w:cs="Times New Roman"/>
          <w:sz w:val="24"/>
          <w:szCs w:val="24"/>
        </w:rPr>
        <w:t xml:space="preserve">Lai gan EK nav publicējusi </w:t>
      </w:r>
      <w:r w:rsidR="0055057B">
        <w:rPr>
          <w:rFonts w:ascii="Times New Roman" w:eastAsia="Times New Roman" w:hAnsi="Times New Roman" w:cs="Times New Roman"/>
          <w:sz w:val="24"/>
          <w:szCs w:val="24"/>
        </w:rPr>
        <w:t xml:space="preserve">aktuālāku </w:t>
      </w:r>
      <w:r w:rsidR="00133521" w:rsidRPr="008F38D4">
        <w:rPr>
          <w:rFonts w:ascii="Times New Roman" w:eastAsia="Times New Roman" w:hAnsi="Times New Roman" w:cs="Times New Roman"/>
          <w:sz w:val="24"/>
          <w:szCs w:val="24"/>
        </w:rPr>
        <w:t>Fiskālās ilgtspējas ziņojumu</w:t>
      </w:r>
      <w:r w:rsidRPr="008F38D4">
        <w:rPr>
          <w:rFonts w:ascii="Times New Roman" w:eastAsia="Times New Roman" w:hAnsi="Times New Roman" w:cs="Times New Roman"/>
          <w:sz w:val="24"/>
          <w:szCs w:val="24"/>
        </w:rPr>
        <w:t xml:space="preserve"> (</w:t>
      </w:r>
      <w:r w:rsidRPr="008F38D4">
        <w:rPr>
          <w:rFonts w:ascii="Times New Roman" w:eastAsia="Times New Roman" w:hAnsi="Times New Roman" w:cs="Times New Roman"/>
          <w:i/>
          <w:sz w:val="24"/>
          <w:szCs w:val="24"/>
        </w:rPr>
        <w:t>Fiscal Sustainability Report</w:t>
      </w:r>
      <w:r w:rsidRPr="008F38D4">
        <w:rPr>
          <w:rFonts w:ascii="Times New Roman" w:eastAsia="Times New Roman" w:hAnsi="Times New Roman" w:cs="Times New Roman"/>
          <w:sz w:val="24"/>
          <w:szCs w:val="24"/>
        </w:rPr>
        <w:t>)</w:t>
      </w:r>
      <w:r w:rsidR="00133521" w:rsidRPr="008F38D4">
        <w:rPr>
          <w:rFonts w:ascii="Times New Roman" w:eastAsia="Times New Roman" w:hAnsi="Times New Roman" w:cs="Times New Roman"/>
          <w:sz w:val="24"/>
          <w:szCs w:val="24"/>
        </w:rPr>
        <w:t>, kur</w:t>
      </w:r>
      <w:r w:rsidR="0055057B">
        <w:rPr>
          <w:rFonts w:ascii="Times New Roman" w:eastAsia="Times New Roman" w:hAnsi="Times New Roman" w:cs="Times New Roman"/>
          <w:sz w:val="24"/>
          <w:szCs w:val="24"/>
        </w:rPr>
        <w:t>ā</w:t>
      </w:r>
      <w:r w:rsidR="00133521" w:rsidRPr="008F38D4">
        <w:rPr>
          <w:rFonts w:ascii="Times New Roman" w:eastAsia="Times New Roman" w:hAnsi="Times New Roman" w:cs="Times New Roman"/>
          <w:sz w:val="24"/>
          <w:szCs w:val="24"/>
        </w:rPr>
        <w:t xml:space="preserve"> </w:t>
      </w:r>
      <w:r w:rsidR="0055057B">
        <w:rPr>
          <w:rFonts w:ascii="Times New Roman" w:eastAsia="Times New Roman" w:hAnsi="Times New Roman" w:cs="Times New Roman"/>
          <w:sz w:val="24"/>
          <w:szCs w:val="24"/>
        </w:rPr>
        <w:t xml:space="preserve">iepriekš </w:t>
      </w:r>
      <w:r w:rsidR="00133521" w:rsidRPr="008F38D4">
        <w:rPr>
          <w:rFonts w:ascii="Times New Roman" w:eastAsia="Times New Roman" w:hAnsi="Times New Roman" w:cs="Times New Roman"/>
          <w:sz w:val="24"/>
          <w:szCs w:val="24"/>
        </w:rPr>
        <w:t>aprakstītās izmaiņas pensiju indeksācijas kārtībā būtu izvērtētas</w:t>
      </w:r>
      <w:r w:rsidR="0055057B">
        <w:rPr>
          <w:rFonts w:ascii="Times New Roman" w:eastAsia="Times New Roman" w:hAnsi="Times New Roman" w:cs="Times New Roman"/>
          <w:sz w:val="24"/>
          <w:szCs w:val="24"/>
        </w:rPr>
        <w:t>,</w:t>
      </w:r>
      <w:r w:rsidR="00133521" w:rsidRPr="008F38D4">
        <w:rPr>
          <w:rFonts w:ascii="Times New Roman" w:eastAsia="Times New Roman" w:hAnsi="Times New Roman" w:cs="Times New Roman"/>
          <w:sz w:val="24"/>
          <w:szCs w:val="24"/>
        </w:rPr>
        <w:t xml:space="preserve"> atbilstoš</w:t>
      </w:r>
      <w:r w:rsidR="0055057B">
        <w:rPr>
          <w:rFonts w:ascii="Times New Roman" w:eastAsia="Times New Roman" w:hAnsi="Times New Roman" w:cs="Times New Roman"/>
          <w:sz w:val="24"/>
          <w:szCs w:val="24"/>
        </w:rPr>
        <w:t>i EK 2016.gada rudens prognozēm</w:t>
      </w:r>
      <w:r w:rsidR="00133521" w:rsidRPr="008F38D4">
        <w:rPr>
          <w:rFonts w:ascii="Times New Roman" w:eastAsia="Times New Roman" w:hAnsi="Times New Roman" w:cs="Times New Roman"/>
          <w:sz w:val="24"/>
          <w:szCs w:val="24"/>
        </w:rPr>
        <w:t xml:space="preserve"> Latvija joprojām tiek ierindota starp valstīm </w:t>
      </w:r>
      <w:r w:rsidRPr="008F38D4">
        <w:rPr>
          <w:rFonts w:ascii="Times New Roman" w:eastAsia="Times New Roman" w:hAnsi="Times New Roman" w:cs="Times New Roman"/>
          <w:sz w:val="24"/>
          <w:szCs w:val="24"/>
        </w:rPr>
        <w:t>ar zemu risku attiecībā uz publisko finanšu ilgtspēju.</w:t>
      </w:r>
      <w:r w:rsidRPr="003C2897">
        <w:rPr>
          <w:rFonts w:ascii="Times New Roman" w:eastAsia="Times New Roman" w:hAnsi="Times New Roman" w:cs="Times New Roman"/>
          <w:sz w:val="24"/>
          <w:szCs w:val="24"/>
        </w:rPr>
        <w:t xml:space="preserve"> </w:t>
      </w:r>
    </w:p>
    <w:p w14:paraId="7B53A468" w14:textId="7C4A2C73" w:rsidR="005F4C67" w:rsidRDefault="005F4C67" w:rsidP="005F4C67">
      <w:pPr>
        <w:spacing w:after="0" w:line="240" w:lineRule="auto"/>
        <w:ind w:firstLine="720"/>
        <w:jc w:val="both"/>
        <w:rPr>
          <w:rFonts w:ascii="Times New Roman" w:eastAsia="Times New Roman" w:hAnsi="Times New Roman" w:cs="Times New Roman"/>
          <w:sz w:val="24"/>
          <w:szCs w:val="24"/>
        </w:rPr>
      </w:pPr>
    </w:p>
    <w:p w14:paraId="18DA8856" w14:textId="006364FC" w:rsidR="005F4C67" w:rsidRPr="0037345C" w:rsidRDefault="005F4C67" w:rsidP="0037345C">
      <w:pPr>
        <w:pStyle w:val="Heading2"/>
        <w:numPr>
          <w:ilvl w:val="3"/>
          <w:numId w:val="1"/>
        </w:numPr>
        <w:spacing w:before="240" w:after="120"/>
        <w:ind w:left="1843"/>
        <w:jc w:val="both"/>
        <w:rPr>
          <w:rFonts w:ascii="Times New Roman" w:eastAsia="Calibri" w:hAnsi="Times New Roman" w:cs="Times New Roman"/>
          <w:color w:val="000000"/>
          <w:sz w:val="24"/>
          <w:szCs w:val="24"/>
        </w:rPr>
      </w:pPr>
      <w:bookmarkStart w:id="19" w:name="_Toc479331094"/>
      <w:r w:rsidRPr="004D5E99">
        <w:rPr>
          <w:rFonts w:ascii="Times New Roman" w:eastAsia="Calibri" w:hAnsi="Times New Roman" w:cs="Times New Roman"/>
          <w:color w:val="000000"/>
          <w:sz w:val="24"/>
          <w:szCs w:val="24"/>
        </w:rPr>
        <w:t>Veselības sistēmas reforma</w:t>
      </w:r>
      <w:bookmarkEnd w:id="19"/>
    </w:p>
    <w:p w14:paraId="54016C7F" w14:textId="257B2673" w:rsidR="00FC7A05" w:rsidRDefault="005F4C67" w:rsidP="00BA78E6">
      <w:pPr>
        <w:spacing w:after="0" w:line="240" w:lineRule="auto"/>
        <w:ind w:firstLine="720"/>
        <w:jc w:val="both"/>
        <w:rPr>
          <w:rFonts w:ascii="Times New Roman" w:hAnsi="Times New Roman" w:cs="Times New Roman"/>
          <w:b/>
          <w:sz w:val="24"/>
          <w:szCs w:val="24"/>
        </w:rPr>
      </w:pPr>
      <w:r w:rsidRPr="0096471D">
        <w:rPr>
          <w:rFonts w:ascii="Times New Roman" w:hAnsi="Times New Roman" w:cs="Times New Roman"/>
          <w:sz w:val="24"/>
          <w:szCs w:val="24"/>
        </w:rPr>
        <w:t>Stabilitātes programmā 201</w:t>
      </w:r>
      <w:r>
        <w:rPr>
          <w:rFonts w:ascii="Times New Roman" w:hAnsi="Times New Roman" w:cs="Times New Roman"/>
          <w:sz w:val="24"/>
          <w:szCs w:val="24"/>
        </w:rPr>
        <w:t>6</w:t>
      </w:r>
      <w:r w:rsidRPr="0096471D">
        <w:rPr>
          <w:rFonts w:ascii="Times New Roman" w:hAnsi="Times New Roman" w:cs="Times New Roman"/>
          <w:sz w:val="24"/>
          <w:szCs w:val="24"/>
        </w:rPr>
        <w:t>.-201</w:t>
      </w:r>
      <w:r>
        <w:rPr>
          <w:rFonts w:ascii="Times New Roman" w:hAnsi="Times New Roman" w:cs="Times New Roman"/>
          <w:sz w:val="24"/>
          <w:szCs w:val="24"/>
        </w:rPr>
        <w:t>9</w:t>
      </w:r>
      <w:r w:rsidRPr="0096471D">
        <w:rPr>
          <w:rFonts w:ascii="Times New Roman" w:hAnsi="Times New Roman" w:cs="Times New Roman"/>
          <w:sz w:val="24"/>
          <w:szCs w:val="24"/>
        </w:rPr>
        <w:t xml:space="preserve">.gadam Latvija pieteica veselības sistēmas reformu kā būtisku strukturālo reformu ar ilgtermiņa pozitīvu efektu uz publisko finanšu ilgtspēju, nolūkā attiecināt uz šo reformu iespēju novirzīties no VTM saskaņā ar EK komunikāciju. </w:t>
      </w:r>
      <w:r>
        <w:rPr>
          <w:rFonts w:ascii="Times New Roman" w:hAnsi="Times New Roman" w:cs="Times New Roman"/>
          <w:sz w:val="24"/>
          <w:szCs w:val="24"/>
        </w:rPr>
        <w:t xml:space="preserve">EK izskatīja Latvijas iesniegumu un atbalstīja deficīta atkāpes piešķiršanu veselības sistēmas reformai. Lai ievērotu </w:t>
      </w:r>
      <w:r w:rsidRPr="00E97129">
        <w:rPr>
          <w:rFonts w:ascii="Times New Roman" w:hAnsi="Times New Roman" w:cs="Times New Roman"/>
          <w:sz w:val="24"/>
          <w:szCs w:val="24"/>
        </w:rPr>
        <w:t>strukturāl</w:t>
      </w:r>
      <w:r>
        <w:rPr>
          <w:rFonts w:ascii="Times New Roman" w:hAnsi="Times New Roman" w:cs="Times New Roman"/>
          <w:sz w:val="24"/>
          <w:szCs w:val="24"/>
        </w:rPr>
        <w:t>ā</w:t>
      </w:r>
      <w:r w:rsidRPr="00E97129">
        <w:rPr>
          <w:rFonts w:ascii="Times New Roman" w:hAnsi="Times New Roman" w:cs="Times New Roman"/>
          <w:sz w:val="24"/>
          <w:szCs w:val="24"/>
        </w:rPr>
        <w:t xml:space="preserve"> deficīt</w:t>
      </w:r>
      <w:r>
        <w:rPr>
          <w:rFonts w:ascii="Times New Roman" w:hAnsi="Times New Roman" w:cs="Times New Roman"/>
          <w:sz w:val="24"/>
          <w:szCs w:val="24"/>
        </w:rPr>
        <w:t>a</w:t>
      </w:r>
      <w:r w:rsidRPr="00E97129">
        <w:rPr>
          <w:rFonts w:ascii="Times New Roman" w:hAnsi="Times New Roman" w:cs="Times New Roman"/>
          <w:sz w:val="24"/>
          <w:szCs w:val="24"/>
        </w:rPr>
        <w:t xml:space="preserve"> drošības rezervi attiecībā uz Līgumā par ES darbību noteikto atsauces vērtību 3% apmērā no IKP</w:t>
      </w:r>
      <w:r w:rsidRPr="00E97129">
        <w:rPr>
          <w:rFonts w:ascii="Times New Roman" w:hAnsi="Times New Roman" w:cs="Times New Roman"/>
          <w:sz w:val="24"/>
          <w:szCs w:val="24"/>
          <w:vertAlign w:val="superscript"/>
        </w:rPr>
        <w:footnoteReference w:id="14"/>
      </w:r>
      <w:r>
        <w:rPr>
          <w:rFonts w:ascii="Times New Roman" w:hAnsi="Times New Roman" w:cs="Times New Roman"/>
          <w:sz w:val="24"/>
          <w:szCs w:val="24"/>
        </w:rPr>
        <w:t>, Latvijai piešķirtā deficī</w:t>
      </w:r>
      <w:r w:rsidR="00B63BC3">
        <w:rPr>
          <w:rFonts w:ascii="Times New Roman" w:hAnsi="Times New Roman" w:cs="Times New Roman"/>
          <w:sz w:val="24"/>
          <w:szCs w:val="24"/>
        </w:rPr>
        <w:t>ta atkāpe ir 0,13% no IKP 2017.</w:t>
      </w:r>
      <w:r>
        <w:rPr>
          <w:rFonts w:ascii="Times New Roman" w:hAnsi="Times New Roman" w:cs="Times New Roman"/>
          <w:sz w:val="24"/>
          <w:szCs w:val="24"/>
        </w:rPr>
        <w:t>gadā, 0,40 % no IKP 2</w:t>
      </w:r>
      <w:r w:rsidR="00B63BC3">
        <w:rPr>
          <w:rFonts w:ascii="Times New Roman" w:hAnsi="Times New Roman" w:cs="Times New Roman"/>
          <w:sz w:val="24"/>
          <w:szCs w:val="24"/>
        </w:rPr>
        <w:t>018.gadā un 0,50% no IKP 2019.</w:t>
      </w:r>
      <w:r>
        <w:rPr>
          <w:rFonts w:ascii="Times New Roman" w:hAnsi="Times New Roman" w:cs="Times New Roman"/>
          <w:sz w:val="24"/>
          <w:szCs w:val="24"/>
        </w:rPr>
        <w:t>gadā.</w:t>
      </w:r>
    </w:p>
    <w:p w14:paraId="152CE28F" w14:textId="0BE7BB19" w:rsidR="005F4C67" w:rsidRPr="005F4C67" w:rsidRDefault="00FC7A05" w:rsidP="005F4C67">
      <w:pPr>
        <w:spacing w:before="120" w:after="60" w:line="240" w:lineRule="auto"/>
        <w:ind w:firstLine="720"/>
        <w:jc w:val="right"/>
        <w:rPr>
          <w:rFonts w:ascii="Times New Roman" w:hAnsi="Times New Roman" w:cs="Times New Roman"/>
          <w:b/>
          <w:sz w:val="24"/>
          <w:szCs w:val="24"/>
        </w:rPr>
      </w:pPr>
      <w:r>
        <w:rPr>
          <w:rFonts w:ascii="Times New Roman" w:hAnsi="Times New Roman" w:cs="Times New Roman"/>
          <w:b/>
          <w:sz w:val="24"/>
          <w:szCs w:val="24"/>
        </w:rPr>
        <w:t>3.17</w:t>
      </w:r>
      <w:r w:rsidR="00A507C8">
        <w:rPr>
          <w:rFonts w:ascii="Times New Roman" w:hAnsi="Times New Roman" w:cs="Times New Roman"/>
          <w:b/>
          <w:sz w:val="24"/>
          <w:szCs w:val="24"/>
        </w:rPr>
        <w:t xml:space="preserve">.tabula. </w:t>
      </w:r>
      <w:r w:rsidR="005F4C67" w:rsidRPr="005F4C67">
        <w:rPr>
          <w:rFonts w:ascii="Times New Roman" w:hAnsi="Times New Roman" w:cs="Times New Roman"/>
          <w:b/>
          <w:sz w:val="24"/>
          <w:szCs w:val="24"/>
        </w:rPr>
        <w:t xml:space="preserve">Budžeta deficīta pieļaujamā atkāpe </w:t>
      </w:r>
      <w:r w:rsidR="005F4C67">
        <w:rPr>
          <w:rFonts w:ascii="Times New Roman" w:hAnsi="Times New Roman" w:cs="Times New Roman"/>
          <w:b/>
          <w:sz w:val="24"/>
          <w:szCs w:val="24"/>
        </w:rPr>
        <w:t>v</w:t>
      </w:r>
      <w:r w:rsidR="005F4C67" w:rsidRPr="005F4C67">
        <w:rPr>
          <w:rFonts w:ascii="Times New Roman" w:hAnsi="Times New Roman" w:cs="Times New Roman"/>
          <w:b/>
          <w:sz w:val="24"/>
          <w:szCs w:val="24"/>
        </w:rPr>
        <w:t>eselības sistēmas reformas īstenošanai</w:t>
      </w:r>
      <w:r w:rsidR="005F4C67">
        <w:rPr>
          <w:rFonts w:ascii="Times New Roman" w:hAnsi="Times New Roman" w:cs="Times New Roman"/>
          <w:b/>
          <w:sz w:val="24"/>
          <w:szCs w:val="24"/>
        </w:rPr>
        <w:t>, %</w:t>
      </w:r>
    </w:p>
    <w:tbl>
      <w:tblPr>
        <w:tblStyle w:val="GridTable6Colorful-Accent1"/>
        <w:tblW w:w="9061" w:type="dxa"/>
        <w:jc w:val="center"/>
        <w:tblLook w:val="04A0" w:firstRow="1" w:lastRow="0" w:firstColumn="1" w:lastColumn="0" w:noHBand="0" w:noVBand="1"/>
      </w:tblPr>
      <w:tblGrid>
        <w:gridCol w:w="1977"/>
        <w:gridCol w:w="853"/>
        <w:gridCol w:w="851"/>
        <w:gridCol w:w="883"/>
        <w:gridCol w:w="733"/>
        <w:gridCol w:w="733"/>
        <w:gridCol w:w="766"/>
        <w:gridCol w:w="766"/>
        <w:gridCol w:w="766"/>
        <w:gridCol w:w="733"/>
      </w:tblGrid>
      <w:tr w:rsidR="005F4C67" w:rsidRPr="005F4C67" w14:paraId="268A9780" w14:textId="77777777" w:rsidTr="006C67E6">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75FC338E" w14:textId="77777777" w:rsidR="005F4C67" w:rsidRPr="005F4C67" w:rsidRDefault="005F4C67" w:rsidP="005F4C67">
            <w:pPr>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53" w:type="dxa"/>
            <w:noWrap/>
            <w:hideMark/>
          </w:tcPr>
          <w:p w14:paraId="6752C3D9" w14:textId="77777777" w:rsidR="005F4C67" w:rsidRPr="005F4C67" w:rsidRDefault="005F4C67" w:rsidP="005F4C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51" w:type="dxa"/>
            <w:noWrap/>
            <w:hideMark/>
          </w:tcPr>
          <w:p w14:paraId="6D304002"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2013</w:t>
            </w:r>
          </w:p>
        </w:tc>
        <w:tc>
          <w:tcPr>
            <w:tcW w:w="883" w:type="dxa"/>
            <w:noWrap/>
            <w:hideMark/>
          </w:tcPr>
          <w:p w14:paraId="6F14874F"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2014</w:t>
            </w:r>
          </w:p>
        </w:tc>
        <w:tc>
          <w:tcPr>
            <w:tcW w:w="733" w:type="dxa"/>
            <w:noWrap/>
            <w:hideMark/>
          </w:tcPr>
          <w:p w14:paraId="0197C1D6"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2015</w:t>
            </w:r>
          </w:p>
        </w:tc>
        <w:tc>
          <w:tcPr>
            <w:tcW w:w="733" w:type="dxa"/>
            <w:noWrap/>
            <w:hideMark/>
          </w:tcPr>
          <w:p w14:paraId="35F3E404"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2016</w:t>
            </w:r>
          </w:p>
        </w:tc>
        <w:tc>
          <w:tcPr>
            <w:tcW w:w="766" w:type="dxa"/>
            <w:noWrap/>
            <w:hideMark/>
          </w:tcPr>
          <w:p w14:paraId="687F4CE9"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2017</w:t>
            </w:r>
          </w:p>
        </w:tc>
        <w:tc>
          <w:tcPr>
            <w:tcW w:w="766" w:type="dxa"/>
            <w:noWrap/>
            <w:hideMark/>
          </w:tcPr>
          <w:p w14:paraId="76B67BAE"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2018</w:t>
            </w:r>
          </w:p>
        </w:tc>
        <w:tc>
          <w:tcPr>
            <w:tcW w:w="766" w:type="dxa"/>
            <w:noWrap/>
            <w:hideMark/>
          </w:tcPr>
          <w:p w14:paraId="51B3B7C6"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2019</w:t>
            </w:r>
          </w:p>
        </w:tc>
        <w:tc>
          <w:tcPr>
            <w:tcW w:w="733" w:type="dxa"/>
            <w:noWrap/>
            <w:hideMark/>
          </w:tcPr>
          <w:p w14:paraId="769E009E" w14:textId="77777777" w:rsidR="005F4C67" w:rsidRPr="005F4C67"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2020</w:t>
            </w:r>
          </w:p>
        </w:tc>
      </w:tr>
      <w:tr w:rsidR="005F4C67" w:rsidRPr="005F4C67" w14:paraId="0F0D1F41" w14:textId="77777777" w:rsidTr="006C67E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30" w:type="dxa"/>
            <w:gridSpan w:val="2"/>
            <w:noWrap/>
            <w:hideMark/>
          </w:tcPr>
          <w:p w14:paraId="2DE2C4C5" w14:textId="77777777" w:rsidR="005F4C67" w:rsidRPr="005F4C67" w:rsidRDefault="005F4C67" w:rsidP="005F4C67">
            <w:pPr>
              <w:jc w:val="center"/>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VTM</w:t>
            </w:r>
          </w:p>
        </w:tc>
        <w:tc>
          <w:tcPr>
            <w:tcW w:w="851" w:type="dxa"/>
            <w:noWrap/>
            <w:vAlign w:val="center"/>
            <w:hideMark/>
          </w:tcPr>
          <w:p w14:paraId="6FA3870A" w14:textId="6C359428"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c>
          <w:tcPr>
            <w:tcW w:w="883" w:type="dxa"/>
            <w:noWrap/>
            <w:vAlign w:val="center"/>
            <w:hideMark/>
          </w:tcPr>
          <w:p w14:paraId="6F8083CA" w14:textId="024EA6A2"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c>
          <w:tcPr>
            <w:tcW w:w="733" w:type="dxa"/>
            <w:noWrap/>
            <w:vAlign w:val="center"/>
            <w:hideMark/>
          </w:tcPr>
          <w:p w14:paraId="304CD1A6" w14:textId="42021AE5"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c>
          <w:tcPr>
            <w:tcW w:w="733" w:type="dxa"/>
            <w:noWrap/>
            <w:vAlign w:val="center"/>
            <w:hideMark/>
          </w:tcPr>
          <w:p w14:paraId="0E138B20" w14:textId="1261A0FC"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c>
          <w:tcPr>
            <w:tcW w:w="766" w:type="dxa"/>
            <w:noWrap/>
            <w:vAlign w:val="center"/>
            <w:hideMark/>
          </w:tcPr>
          <w:p w14:paraId="1ECCF87C" w14:textId="4CD6F7E0"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c>
          <w:tcPr>
            <w:tcW w:w="766" w:type="dxa"/>
            <w:noWrap/>
            <w:vAlign w:val="center"/>
            <w:hideMark/>
          </w:tcPr>
          <w:p w14:paraId="386566D1" w14:textId="78EFF6CE"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c>
          <w:tcPr>
            <w:tcW w:w="766" w:type="dxa"/>
            <w:noWrap/>
            <w:vAlign w:val="center"/>
            <w:hideMark/>
          </w:tcPr>
          <w:p w14:paraId="25263B7D" w14:textId="64016F55"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c>
          <w:tcPr>
            <w:tcW w:w="733" w:type="dxa"/>
            <w:noWrap/>
            <w:vAlign w:val="center"/>
            <w:hideMark/>
          </w:tcPr>
          <w:p w14:paraId="46C502E6" w14:textId="7A6E045F"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-1,00</w:t>
            </w:r>
          </w:p>
        </w:tc>
      </w:tr>
      <w:tr w:rsidR="005F4C67" w:rsidRPr="005F4C67" w14:paraId="1F15152D" w14:textId="77777777" w:rsidTr="006C67E6">
        <w:trPr>
          <w:trHeight w:val="270"/>
          <w:jc w:val="center"/>
        </w:trPr>
        <w:tc>
          <w:tcPr>
            <w:cnfStyle w:val="001000000000" w:firstRow="0" w:lastRow="0" w:firstColumn="1" w:lastColumn="0" w:oddVBand="0" w:evenVBand="0" w:oddHBand="0" w:evenHBand="0" w:firstRowFirstColumn="0" w:firstRowLastColumn="0" w:lastRowFirstColumn="0" w:lastRowLastColumn="0"/>
            <w:tcW w:w="1977" w:type="dxa"/>
            <w:noWrap/>
            <w:vAlign w:val="center"/>
            <w:hideMark/>
          </w:tcPr>
          <w:p w14:paraId="0574B119" w14:textId="77777777" w:rsidR="005F4C67" w:rsidRPr="005F4C67" w:rsidRDefault="005F4C67" w:rsidP="006C67E6">
            <w:pPr>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Pensiju reforma</w:t>
            </w:r>
          </w:p>
        </w:tc>
        <w:tc>
          <w:tcPr>
            <w:tcW w:w="853" w:type="dxa"/>
            <w:noWrap/>
            <w:hideMark/>
          </w:tcPr>
          <w:p w14:paraId="68BAAD33" w14:textId="77777777" w:rsidR="005F4C67" w:rsidRPr="005F4C67" w:rsidRDefault="005F4C67" w:rsidP="005F4C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no 2% uz 4%</w:t>
            </w:r>
          </w:p>
        </w:tc>
        <w:tc>
          <w:tcPr>
            <w:tcW w:w="851" w:type="dxa"/>
            <w:noWrap/>
            <w:vAlign w:val="center"/>
            <w:hideMark/>
          </w:tcPr>
          <w:p w14:paraId="5C93624E" w14:textId="11534595"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-0,50</w:t>
            </w:r>
          </w:p>
        </w:tc>
        <w:tc>
          <w:tcPr>
            <w:tcW w:w="883" w:type="dxa"/>
            <w:noWrap/>
            <w:vAlign w:val="center"/>
            <w:hideMark/>
          </w:tcPr>
          <w:p w14:paraId="1D2F2FF1" w14:textId="615F782B"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-0,50</w:t>
            </w:r>
          </w:p>
        </w:tc>
        <w:tc>
          <w:tcPr>
            <w:tcW w:w="733" w:type="dxa"/>
            <w:noWrap/>
            <w:vAlign w:val="center"/>
            <w:hideMark/>
          </w:tcPr>
          <w:p w14:paraId="364EEFB7" w14:textId="59A8D614"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-0,50</w:t>
            </w:r>
          </w:p>
        </w:tc>
        <w:tc>
          <w:tcPr>
            <w:tcW w:w="733" w:type="dxa"/>
            <w:noWrap/>
            <w:vAlign w:val="center"/>
            <w:hideMark/>
          </w:tcPr>
          <w:p w14:paraId="0D4F1E0B" w14:textId="60F7C598"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0,00</w:t>
            </w:r>
          </w:p>
        </w:tc>
        <w:tc>
          <w:tcPr>
            <w:tcW w:w="766" w:type="dxa"/>
            <w:noWrap/>
            <w:vAlign w:val="center"/>
            <w:hideMark/>
          </w:tcPr>
          <w:p w14:paraId="2F404851"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66" w:type="dxa"/>
            <w:noWrap/>
            <w:vAlign w:val="center"/>
            <w:hideMark/>
          </w:tcPr>
          <w:p w14:paraId="5023075E"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66" w:type="dxa"/>
            <w:noWrap/>
            <w:vAlign w:val="center"/>
            <w:hideMark/>
          </w:tcPr>
          <w:p w14:paraId="6ADE86F9"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33" w:type="dxa"/>
            <w:noWrap/>
            <w:vAlign w:val="center"/>
            <w:hideMark/>
          </w:tcPr>
          <w:p w14:paraId="75ECF8E3"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r>
      <w:tr w:rsidR="005F4C67" w:rsidRPr="005F4C67" w14:paraId="797A3B44" w14:textId="77777777" w:rsidTr="006C67E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06DA2ACE" w14:textId="77777777" w:rsidR="005F4C67" w:rsidRPr="005F4C67" w:rsidRDefault="005F4C67" w:rsidP="005F4C67">
            <w:pPr>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53" w:type="dxa"/>
            <w:noWrap/>
            <w:hideMark/>
          </w:tcPr>
          <w:p w14:paraId="7AA8D0F0" w14:textId="77777777" w:rsidR="005F4C67" w:rsidRPr="005F4C67" w:rsidRDefault="005F4C67" w:rsidP="005F4C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no 4% uz 5%</w:t>
            </w:r>
          </w:p>
        </w:tc>
        <w:tc>
          <w:tcPr>
            <w:tcW w:w="851" w:type="dxa"/>
            <w:noWrap/>
            <w:vAlign w:val="center"/>
            <w:hideMark/>
          </w:tcPr>
          <w:p w14:paraId="3964788E" w14:textId="77777777"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83" w:type="dxa"/>
            <w:noWrap/>
            <w:vAlign w:val="center"/>
            <w:hideMark/>
          </w:tcPr>
          <w:p w14:paraId="5E71B2AE" w14:textId="77777777"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33" w:type="dxa"/>
            <w:noWrap/>
            <w:vAlign w:val="center"/>
            <w:hideMark/>
          </w:tcPr>
          <w:p w14:paraId="4AE0A7E9" w14:textId="6D0D1FFB"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-0,27</w:t>
            </w:r>
          </w:p>
        </w:tc>
        <w:tc>
          <w:tcPr>
            <w:tcW w:w="733" w:type="dxa"/>
            <w:noWrap/>
            <w:vAlign w:val="center"/>
            <w:hideMark/>
          </w:tcPr>
          <w:p w14:paraId="2796624C" w14:textId="2B6DA7C9"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-0,27</w:t>
            </w:r>
          </w:p>
        </w:tc>
        <w:tc>
          <w:tcPr>
            <w:tcW w:w="766" w:type="dxa"/>
            <w:noWrap/>
            <w:vAlign w:val="center"/>
            <w:hideMark/>
          </w:tcPr>
          <w:p w14:paraId="4F45D07B" w14:textId="70C2551B"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-0,27</w:t>
            </w:r>
          </w:p>
        </w:tc>
        <w:tc>
          <w:tcPr>
            <w:tcW w:w="766" w:type="dxa"/>
            <w:noWrap/>
            <w:vAlign w:val="center"/>
            <w:hideMark/>
          </w:tcPr>
          <w:p w14:paraId="445BD47A" w14:textId="6FDC86CF"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0,00</w:t>
            </w:r>
          </w:p>
        </w:tc>
        <w:tc>
          <w:tcPr>
            <w:tcW w:w="766" w:type="dxa"/>
            <w:noWrap/>
            <w:vAlign w:val="center"/>
            <w:hideMark/>
          </w:tcPr>
          <w:p w14:paraId="11F32557" w14:textId="77777777"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33" w:type="dxa"/>
            <w:noWrap/>
            <w:vAlign w:val="center"/>
            <w:hideMark/>
          </w:tcPr>
          <w:p w14:paraId="37EC25FD" w14:textId="77777777"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r>
      <w:tr w:rsidR="005F4C67" w:rsidRPr="005F4C67" w14:paraId="4BB14C12" w14:textId="77777777" w:rsidTr="006C67E6">
        <w:trPr>
          <w:trHeight w:val="27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6140902B" w14:textId="77777777" w:rsidR="005F4C67" w:rsidRPr="005F4C67" w:rsidRDefault="005F4C67" w:rsidP="005F4C67">
            <w:pPr>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53" w:type="dxa"/>
            <w:noWrap/>
            <w:hideMark/>
          </w:tcPr>
          <w:p w14:paraId="04E7B431" w14:textId="77777777" w:rsidR="005F4C67" w:rsidRPr="005F4C67" w:rsidRDefault="005F4C67" w:rsidP="005F4C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no 5% uz 6%</w:t>
            </w:r>
          </w:p>
        </w:tc>
        <w:tc>
          <w:tcPr>
            <w:tcW w:w="851" w:type="dxa"/>
            <w:noWrap/>
            <w:vAlign w:val="center"/>
            <w:hideMark/>
          </w:tcPr>
          <w:p w14:paraId="47F864DD"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83" w:type="dxa"/>
            <w:noWrap/>
            <w:vAlign w:val="center"/>
            <w:hideMark/>
          </w:tcPr>
          <w:p w14:paraId="1F423A72"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33" w:type="dxa"/>
            <w:noWrap/>
            <w:vAlign w:val="center"/>
            <w:hideMark/>
          </w:tcPr>
          <w:p w14:paraId="4AC8D7D1"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33" w:type="dxa"/>
            <w:noWrap/>
            <w:vAlign w:val="center"/>
            <w:hideMark/>
          </w:tcPr>
          <w:p w14:paraId="160C53CE" w14:textId="42845F5D"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-0,29</w:t>
            </w:r>
          </w:p>
        </w:tc>
        <w:tc>
          <w:tcPr>
            <w:tcW w:w="766" w:type="dxa"/>
            <w:noWrap/>
            <w:vAlign w:val="center"/>
            <w:hideMark/>
          </w:tcPr>
          <w:p w14:paraId="71F7C85F" w14:textId="223807C9"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-0,29</w:t>
            </w:r>
          </w:p>
        </w:tc>
        <w:tc>
          <w:tcPr>
            <w:tcW w:w="766" w:type="dxa"/>
            <w:noWrap/>
            <w:vAlign w:val="center"/>
            <w:hideMark/>
          </w:tcPr>
          <w:p w14:paraId="49CEC9BD" w14:textId="360C5FA2"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-0,29</w:t>
            </w:r>
          </w:p>
        </w:tc>
        <w:tc>
          <w:tcPr>
            <w:tcW w:w="766" w:type="dxa"/>
            <w:noWrap/>
            <w:vAlign w:val="center"/>
            <w:hideMark/>
          </w:tcPr>
          <w:p w14:paraId="1D1E40C9" w14:textId="2BE4F50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0,00</w:t>
            </w:r>
          </w:p>
        </w:tc>
        <w:tc>
          <w:tcPr>
            <w:tcW w:w="733" w:type="dxa"/>
            <w:noWrap/>
            <w:vAlign w:val="center"/>
            <w:hideMark/>
          </w:tcPr>
          <w:p w14:paraId="2CA832CA"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r>
      <w:tr w:rsidR="005F4C67" w:rsidRPr="005F4C67" w14:paraId="04D88B72" w14:textId="77777777" w:rsidTr="006C67E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6BC01C76" w14:textId="6B5549E7" w:rsidR="005F4C67" w:rsidRPr="005F4C67" w:rsidRDefault="005F4C67" w:rsidP="005F4C67">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M</w:t>
            </w:r>
            <w:r w:rsidRPr="005F4C67">
              <w:rPr>
                <w:rFonts w:ascii="Times New Roman" w:eastAsia="Times New Roman" w:hAnsi="Times New Roman" w:cs="Times New Roman"/>
                <w:color w:val="000000"/>
                <w:sz w:val="20"/>
                <w:szCs w:val="20"/>
                <w:lang w:eastAsia="lv-LV"/>
              </w:rPr>
              <w:t xml:space="preserve">aksimālā strukturālā bilance </w:t>
            </w:r>
          </w:p>
        </w:tc>
        <w:tc>
          <w:tcPr>
            <w:tcW w:w="853" w:type="dxa"/>
            <w:vMerge w:val="restart"/>
            <w:noWrap/>
            <w:hideMark/>
          </w:tcPr>
          <w:p w14:paraId="4410D779" w14:textId="77777777" w:rsidR="005F4C67" w:rsidRPr="005F4C67" w:rsidRDefault="005F4C67" w:rsidP="005F4C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51" w:type="dxa"/>
            <w:noWrap/>
            <w:vAlign w:val="center"/>
            <w:hideMark/>
          </w:tcPr>
          <w:p w14:paraId="5527197E" w14:textId="7221BA61"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-1,80</w:t>
            </w:r>
          </w:p>
        </w:tc>
        <w:tc>
          <w:tcPr>
            <w:tcW w:w="883" w:type="dxa"/>
            <w:noWrap/>
            <w:vAlign w:val="center"/>
            <w:hideMark/>
          </w:tcPr>
          <w:p w14:paraId="5809DD20" w14:textId="0E50DF34"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-1,80</w:t>
            </w:r>
          </w:p>
        </w:tc>
        <w:tc>
          <w:tcPr>
            <w:tcW w:w="733" w:type="dxa"/>
            <w:noWrap/>
            <w:vAlign w:val="center"/>
            <w:hideMark/>
          </w:tcPr>
          <w:p w14:paraId="0D74F31D" w14:textId="59DD2728"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-1,80</w:t>
            </w:r>
          </w:p>
        </w:tc>
        <w:tc>
          <w:tcPr>
            <w:tcW w:w="733" w:type="dxa"/>
            <w:noWrap/>
            <w:vAlign w:val="center"/>
            <w:hideMark/>
          </w:tcPr>
          <w:p w14:paraId="5A9F54E2" w14:textId="7A210CDC"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-1,80</w:t>
            </w:r>
          </w:p>
        </w:tc>
        <w:tc>
          <w:tcPr>
            <w:tcW w:w="766" w:type="dxa"/>
            <w:noWrap/>
            <w:vAlign w:val="center"/>
            <w:hideMark/>
          </w:tcPr>
          <w:p w14:paraId="2D884888" w14:textId="4F4B08B3"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-1,69</w:t>
            </w:r>
          </w:p>
        </w:tc>
        <w:tc>
          <w:tcPr>
            <w:tcW w:w="766" w:type="dxa"/>
            <w:noWrap/>
            <w:vAlign w:val="center"/>
            <w:hideMark/>
          </w:tcPr>
          <w:p w14:paraId="6053487F" w14:textId="58A863CC"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-1,69</w:t>
            </w:r>
          </w:p>
        </w:tc>
        <w:tc>
          <w:tcPr>
            <w:tcW w:w="766" w:type="dxa"/>
            <w:noWrap/>
            <w:vAlign w:val="center"/>
            <w:hideMark/>
          </w:tcPr>
          <w:p w14:paraId="761107BA" w14:textId="3C88E129"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-1,69</w:t>
            </w:r>
          </w:p>
        </w:tc>
        <w:tc>
          <w:tcPr>
            <w:tcW w:w="733" w:type="dxa"/>
            <w:noWrap/>
            <w:vAlign w:val="center"/>
            <w:hideMark/>
          </w:tcPr>
          <w:p w14:paraId="06625160" w14:textId="77777777" w:rsidR="005F4C67" w:rsidRPr="005F4C67" w:rsidRDefault="005F4C67"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r>
      <w:tr w:rsidR="005F4C67" w:rsidRPr="005F4C67" w14:paraId="1455EB33" w14:textId="77777777" w:rsidTr="006C67E6">
        <w:trPr>
          <w:trHeight w:val="27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14:paraId="026A5767" w14:textId="029D7B4E" w:rsidR="005F4C67" w:rsidRPr="005F4C67" w:rsidRDefault="005F4C67" w:rsidP="005F4C67">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V</w:t>
            </w:r>
            <w:r w:rsidRPr="005F4C67">
              <w:rPr>
                <w:rFonts w:ascii="Times New Roman" w:eastAsia="Times New Roman" w:hAnsi="Times New Roman" w:cs="Times New Roman"/>
                <w:color w:val="000000"/>
                <w:sz w:val="20"/>
                <w:szCs w:val="20"/>
                <w:lang w:eastAsia="lv-LV"/>
              </w:rPr>
              <w:t>eselības reformas deficīta atkāpe</w:t>
            </w:r>
          </w:p>
        </w:tc>
        <w:tc>
          <w:tcPr>
            <w:tcW w:w="853" w:type="dxa"/>
            <w:vMerge/>
            <w:hideMark/>
          </w:tcPr>
          <w:p w14:paraId="44A7CCBB" w14:textId="77777777" w:rsidR="005F4C67" w:rsidRPr="005F4C67" w:rsidRDefault="005F4C67" w:rsidP="005F4C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51" w:type="dxa"/>
            <w:noWrap/>
            <w:vAlign w:val="center"/>
            <w:hideMark/>
          </w:tcPr>
          <w:p w14:paraId="7465F242"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883" w:type="dxa"/>
            <w:noWrap/>
            <w:vAlign w:val="center"/>
            <w:hideMark/>
          </w:tcPr>
          <w:p w14:paraId="060BB408"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33" w:type="dxa"/>
            <w:noWrap/>
            <w:vAlign w:val="center"/>
            <w:hideMark/>
          </w:tcPr>
          <w:p w14:paraId="0A0659AC"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F4C67">
              <w:rPr>
                <w:rFonts w:ascii="Times New Roman" w:eastAsia="Times New Roman" w:hAnsi="Times New Roman" w:cs="Times New Roman"/>
                <w:color w:val="000000"/>
                <w:sz w:val="20"/>
                <w:szCs w:val="20"/>
                <w:lang w:eastAsia="lv-LV"/>
              </w:rPr>
              <w:t> </w:t>
            </w:r>
          </w:p>
        </w:tc>
        <w:tc>
          <w:tcPr>
            <w:tcW w:w="733" w:type="dxa"/>
            <w:noWrap/>
            <w:vAlign w:val="center"/>
            <w:hideMark/>
          </w:tcPr>
          <w:p w14:paraId="30AAC8E4"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5F4C67">
              <w:rPr>
                <w:rFonts w:ascii="Times New Roman" w:eastAsia="Times New Roman" w:hAnsi="Times New Roman" w:cs="Times New Roman"/>
                <w:b/>
                <w:bCs/>
                <w:color w:val="000000"/>
                <w:sz w:val="20"/>
                <w:szCs w:val="20"/>
                <w:lang w:eastAsia="lv-LV"/>
              </w:rPr>
              <w:t> </w:t>
            </w:r>
          </w:p>
        </w:tc>
        <w:tc>
          <w:tcPr>
            <w:tcW w:w="766" w:type="dxa"/>
            <w:noWrap/>
            <w:vAlign w:val="center"/>
            <w:hideMark/>
          </w:tcPr>
          <w:p w14:paraId="22E9AF84" w14:textId="1C64B403"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-0,13</w:t>
            </w:r>
          </w:p>
        </w:tc>
        <w:tc>
          <w:tcPr>
            <w:tcW w:w="766" w:type="dxa"/>
            <w:noWrap/>
            <w:vAlign w:val="center"/>
            <w:hideMark/>
          </w:tcPr>
          <w:p w14:paraId="79FF28E0" w14:textId="0C2D54F0"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-0,40</w:t>
            </w:r>
          </w:p>
        </w:tc>
        <w:tc>
          <w:tcPr>
            <w:tcW w:w="766" w:type="dxa"/>
            <w:noWrap/>
            <w:vAlign w:val="center"/>
            <w:hideMark/>
          </w:tcPr>
          <w:p w14:paraId="4CD015FB" w14:textId="6A8D2B04"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-0,50</w:t>
            </w:r>
          </w:p>
        </w:tc>
        <w:tc>
          <w:tcPr>
            <w:tcW w:w="733" w:type="dxa"/>
            <w:noWrap/>
            <w:vAlign w:val="center"/>
            <w:hideMark/>
          </w:tcPr>
          <w:p w14:paraId="65E81AB8" w14:textId="77777777" w:rsidR="005F4C67" w:rsidRPr="005F4C67" w:rsidRDefault="005F4C67"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5F4C67">
              <w:rPr>
                <w:rFonts w:ascii="Times New Roman" w:eastAsia="Times New Roman" w:hAnsi="Times New Roman" w:cs="Times New Roman"/>
                <w:b/>
                <w:bCs/>
                <w:color w:val="000000"/>
                <w:sz w:val="20"/>
                <w:szCs w:val="20"/>
                <w:lang w:eastAsia="lv-LV"/>
              </w:rPr>
              <w:t> </w:t>
            </w:r>
          </w:p>
        </w:tc>
      </w:tr>
    </w:tbl>
    <w:p w14:paraId="36D89EE2" w14:textId="5D2F1F23" w:rsidR="005F4C67" w:rsidRDefault="005F4C67" w:rsidP="005F4C67">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Jāat</w:t>
      </w:r>
      <w:r w:rsidR="00AD738C">
        <w:rPr>
          <w:rFonts w:ascii="Times New Roman" w:hAnsi="Times New Roman" w:cs="Times New Roman"/>
          <w:sz w:val="24"/>
          <w:szCs w:val="24"/>
        </w:rPr>
        <w:t>zīmē, ka Latvijā pašlaik dienas</w:t>
      </w:r>
      <w:r>
        <w:rPr>
          <w:rFonts w:ascii="Times New Roman" w:hAnsi="Times New Roman" w:cs="Times New Roman"/>
          <w:sz w:val="24"/>
          <w:szCs w:val="24"/>
        </w:rPr>
        <w:t>kārtībā ir trīs reformas veselības aprūpes jomā:</w:t>
      </w:r>
    </w:p>
    <w:p w14:paraId="2F540331" w14:textId="4F2E2ED1" w:rsidR="005F4C67" w:rsidRDefault="005F4C67" w:rsidP="001E5D9F">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Sabiedrības veselības pamatnostādņu 2014</w:t>
      </w:r>
      <w:r w:rsidR="00AD738C">
        <w:rPr>
          <w:rFonts w:ascii="Times New Roman" w:hAnsi="Times New Roman" w:cs="Times New Roman"/>
          <w:sz w:val="24"/>
          <w:szCs w:val="24"/>
        </w:rPr>
        <w:t>.-2020.</w:t>
      </w:r>
      <w:r>
        <w:rPr>
          <w:rFonts w:ascii="Times New Roman" w:hAnsi="Times New Roman" w:cs="Times New Roman"/>
          <w:sz w:val="24"/>
          <w:szCs w:val="24"/>
        </w:rPr>
        <w:t>gadam īstenošana;</w:t>
      </w:r>
    </w:p>
    <w:p w14:paraId="450B4664" w14:textId="77777777" w:rsidR="005F4C67" w:rsidRDefault="005F4C67" w:rsidP="001E5D9F">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Veselības sistēmas pārvaldības reforma;</w:t>
      </w:r>
    </w:p>
    <w:p w14:paraId="5C985121" w14:textId="77777777" w:rsidR="005F4C67" w:rsidRPr="00A7789B" w:rsidRDefault="005F4C67" w:rsidP="001E5D9F">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Veselības finansēšanas reforma.</w:t>
      </w:r>
    </w:p>
    <w:p w14:paraId="5A6D40EB" w14:textId="77777777" w:rsidR="005F4C67" w:rsidRDefault="005F4C67" w:rsidP="005F4C67">
      <w:pPr>
        <w:spacing w:after="0" w:line="240" w:lineRule="auto"/>
        <w:jc w:val="both"/>
        <w:rPr>
          <w:rFonts w:ascii="Times New Roman" w:hAnsi="Times New Roman" w:cs="Times New Roman"/>
          <w:sz w:val="24"/>
          <w:szCs w:val="24"/>
        </w:rPr>
      </w:pPr>
    </w:p>
    <w:p w14:paraId="2C6060B9" w14:textId="470464BD" w:rsidR="005F4C67" w:rsidRPr="004D5E99" w:rsidRDefault="005F4C67" w:rsidP="00AD738C">
      <w:pPr>
        <w:spacing w:after="60" w:line="240" w:lineRule="auto"/>
        <w:ind w:firstLine="720"/>
        <w:rPr>
          <w:rFonts w:ascii="Times New Roman" w:hAnsi="Times New Roman" w:cs="Times New Roman"/>
          <w:b/>
          <w:sz w:val="24"/>
          <w:szCs w:val="24"/>
        </w:rPr>
      </w:pPr>
      <w:r w:rsidRPr="004D5E99">
        <w:rPr>
          <w:rFonts w:ascii="Times New Roman" w:hAnsi="Times New Roman" w:cs="Times New Roman"/>
          <w:b/>
          <w:sz w:val="24"/>
          <w:szCs w:val="24"/>
        </w:rPr>
        <w:t>Sabiedrības veselības pamatnostādņu 2014</w:t>
      </w:r>
      <w:r w:rsidR="006E67FD" w:rsidRPr="004D5E99">
        <w:rPr>
          <w:rFonts w:ascii="Times New Roman" w:hAnsi="Times New Roman" w:cs="Times New Roman"/>
          <w:b/>
          <w:sz w:val="24"/>
          <w:szCs w:val="24"/>
        </w:rPr>
        <w:t>.</w:t>
      </w:r>
      <w:r w:rsidR="00B63BC3" w:rsidRPr="004D5E99">
        <w:rPr>
          <w:rFonts w:ascii="Times New Roman" w:hAnsi="Times New Roman" w:cs="Times New Roman"/>
          <w:b/>
          <w:sz w:val="24"/>
          <w:szCs w:val="24"/>
        </w:rPr>
        <w:t>-2020.</w:t>
      </w:r>
      <w:r w:rsidRPr="004D5E99">
        <w:rPr>
          <w:rFonts w:ascii="Times New Roman" w:hAnsi="Times New Roman" w:cs="Times New Roman"/>
          <w:b/>
          <w:sz w:val="24"/>
          <w:szCs w:val="24"/>
        </w:rPr>
        <w:t>gadam īstenošana</w:t>
      </w:r>
    </w:p>
    <w:p w14:paraId="19A2CDA4" w14:textId="70CB6E3F" w:rsidR="005F4C67" w:rsidRPr="0096471D" w:rsidRDefault="005F4C67" w:rsidP="00AD738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Deficīta atkāpe tika pieprasīta un saņemta </w:t>
      </w:r>
      <w:r w:rsidR="00AD738C" w:rsidRPr="00AD738C">
        <w:rPr>
          <w:rFonts w:ascii="Times New Roman" w:hAnsi="Times New Roman" w:cs="Times New Roman"/>
          <w:sz w:val="24"/>
          <w:szCs w:val="24"/>
        </w:rPr>
        <w:t>“</w:t>
      </w:r>
      <w:r w:rsidRPr="00AD738C">
        <w:rPr>
          <w:rFonts w:ascii="Times New Roman" w:hAnsi="Times New Roman" w:cs="Times New Roman"/>
          <w:sz w:val="24"/>
          <w:szCs w:val="24"/>
        </w:rPr>
        <w:t>Sabiedrības veselības pamatnostādņu 2014</w:t>
      </w:r>
      <w:r w:rsidR="00955BEE">
        <w:rPr>
          <w:rFonts w:ascii="Times New Roman" w:hAnsi="Times New Roman" w:cs="Times New Roman"/>
          <w:sz w:val="24"/>
          <w:szCs w:val="24"/>
        </w:rPr>
        <w:t>.</w:t>
      </w:r>
      <w:r w:rsidRPr="00AD738C">
        <w:rPr>
          <w:rFonts w:ascii="Times New Roman" w:hAnsi="Times New Roman" w:cs="Times New Roman"/>
          <w:sz w:val="24"/>
          <w:szCs w:val="24"/>
        </w:rPr>
        <w:t>-2020. gadam</w:t>
      </w:r>
      <w:r w:rsidR="00AD738C" w:rsidRPr="00AD738C">
        <w:rPr>
          <w:rFonts w:ascii="Times New Roman" w:hAnsi="Times New Roman" w:cs="Times New Roman"/>
          <w:sz w:val="24"/>
          <w:szCs w:val="24"/>
        </w:rPr>
        <w:t>”</w:t>
      </w:r>
      <w:r w:rsidRPr="00AD738C">
        <w:rPr>
          <w:rFonts w:ascii="Times New Roman" w:hAnsi="Times New Roman" w:cs="Times New Roman"/>
          <w:sz w:val="24"/>
          <w:szCs w:val="24"/>
        </w:rPr>
        <w:t xml:space="preserve"> īstenošanai.</w:t>
      </w:r>
      <w:r>
        <w:rPr>
          <w:rFonts w:ascii="Times New Roman" w:hAnsi="Times New Roman" w:cs="Times New Roman"/>
          <w:sz w:val="24"/>
          <w:szCs w:val="24"/>
        </w:rPr>
        <w:t xml:space="preserve"> </w:t>
      </w:r>
      <w:r w:rsidRPr="0096471D">
        <w:rPr>
          <w:rFonts w:ascii="Times New Roman" w:hAnsi="Times New Roman" w:cs="Times New Roman"/>
          <w:sz w:val="24"/>
          <w:szCs w:val="24"/>
        </w:rPr>
        <w:t>Veselības aprūpes reforma tiek īstenota no 2014.gada saskaņā ar MK apstiprināt</w:t>
      </w:r>
      <w:r w:rsidR="00A97BBE">
        <w:rPr>
          <w:rFonts w:ascii="Times New Roman" w:hAnsi="Times New Roman" w:cs="Times New Roman"/>
          <w:sz w:val="24"/>
          <w:szCs w:val="24"/>
        </w:rPr>
        <w:t>aj</w:t>
      </w:r>
      <w:r w:rsidRPr="0096471D">
        <w:rPr>
          <w:rFonts w:ascii="Times New Roman" w:hAnsi="Times New Roman" w:cs="Times New Roman"/>
          <w:sz w:val="24"/>
          <w:szCs w:val="24"/>
        </w:rPr>
        <w:t xml:space="preserve">ām </w:t>
      </w:r>
      <w:r w:rsidRPr="00AD738C">
        <w:rPr>
          <w:rFonts w:ascii="Times New Roman" w:hAnsi="Times New Roman" w:cs="Times New Roman"/>
          <w:sz w:val="24"/>
          <w:szCs w:val="24"/>
        </w:rPr>
        <w:t>“Sabiedrības veselības pamatnostādnēm 2014.-2020.gadam”,</w:t>
      </w:r>
      <w:r w:rsidRPr="0096471D">
        <w:rPr>
          <w:rFonts w:ascii="Times New Roman" w:hAnsi="Times New Roman" w:cs="Times New Roman"/>
          <w:sz w:val="24"/>
          <w:szCs w:val="24"/>
        </w:rPr>
        <w:t xml:space="preserve"> un tās </w:t>
      </w:r>
      <w:r w:rsidRPr="0096471D">
        <w:rPr>
          <w:rFonts w:ascii="Times New Roman" w:hAnsi="Times New Roman" w:cs="Times New Roman"/>
          <w:sz w:val="24"/>
          <w:szCs w:val="24"/>
        </w:rPr>
        <w:lastRenderedPageBreak/>
        <w:t xml:space="preserve">virsmērķis ir palielināt Latvijas iedzīvotāju veselīgi nodzīvoto mūža gadu skaitu un novērst priekšlaicīgu nāvi, saglabājot, uzlabojot un atjaunojot veselību. </w:t>
      </w:r>
    </w:p>
    <w:p w14:paraId="15B7DBA1" w14:textId="77777777" w:rsidR="005F4C67" w:rsidRPr="0096471D" w:rsidRDefault="005F4C67" w:rsidP="005F4C67">
      <w:pPr>
        <w:spacing w:after="0" w:line="240" w:lineRule="auto"/>
        <w:ind w:firstLine="720"/>
        <w:jc w:val="both"/>
        <w:rPr>
          <w:rFonts w:ascii="Times New Roman" w:hAnsi="Times New Roman" w:cs="Times New Roman"/>
          <w:sz w:val="24"/>
          <w:szCs w:val="24"/>
        </w:rPr>
      </w:pPr>
      <w:r w:rsidRPr="0096471D">
        <w:rPr>
          <w:rFonts w:ascii="Times New Roman" w:hAnsi="Times New Roman" w:cs="Times New Roman"/>
          <w:sz w:val="24"/>
          <w:szCs w:val="24"/>
        </w:rPr>
        <w:t>Latvijas veselības sistēmas vājās puses galvenokārt saistītas ar šādiem rādītājiem:</w:t>
      </w:r>
    </w:p>
    <w:p w14:paraId="49717B2A" w14:textId="21E760F6" w:rsidR="005F4C67" w:rsidRPr="0096471D" w:rsidRDefault="005F4C67" w:rsidP="001E5D9F">
      <w:pPr>
        <w:numPr>
          <w:ilvl w:val="0"/>
          <w:numId w:val="31"/>
        </w:numPr>
        <w:spacing w:after="0" w:line="240" w:lineRule="auto"/>
        <w:ind w:left="1134"/>
        <w:jc w:val="both"/>
        <w:rPr>
          <w:rFonts w:ascii="Times New Roman" w:hAnsi="Times New Roman" w:cs="Times New Roman"/>
          <w:sz w:val="24"/>
          <w:szCs w:val="24"/>
        </w:rPr>
      </w:pPr>
      <w:r w:rsidRPr="0096471D">
        <w:rPr>
          <w:rFonts w:ascii="Times New Roman" w:hAnsi="Times New Roman" w:cs="Times New Roman"/>
          <w:b/>
          <w:sz w:val="24"/>
          <w:szCs w:val="24"/>
        </w:rPr>
        <w:t>Zems publiskais finansējums</w:t>
      </w:r>
      <w:r w:rsidRPr="0096471D">
        <w:rPr>
          <w:rFonts w:ascii="Times New Roman" w:hAnsi="Times New Roman" w:cs="Times New Roman"/>
          <w:sz w:val="24"/>
          <w:szCs w:val="24"/>
        </w:rPr>
        <w:t>. Publiskais finansējums veselībai procentos pret IKP ir būtiski zemāks par vidējo rādītāju ES valstīs un norāda uz nepietiekamu finansējumu nozarei (</w:t>
      </w:r>
      <w:r w:rsidRPr="00A507C8">
        <w:rPr>
          <w:rFonts w:ascii="Times New Roman" w:hAnsi="Times New Roman" w:cs="Times New Roman"/>
          <w:sz w:val="24"/>
          <w:szCs w:val="24"/>
        </w:rPr>
        <w:t>sk. 3.</w:t>
      </w:r>
      <w:r w:rsidR="00C12F8D">
        <w:rPr>
          <w:rFonts w:ascii="Times New Roman" w:hAnsi="Times New Roman" w:cs="Times New Roman"/>
          <w:sz w:val="24"/>
          <w:szCs w:val="24"/>
        </w:rPr>
        <w:t>7</w:t>
      </w:r>
      <w:r w:rsidRPr="00A507C8">
        <w:rPr>
          <w:rFonts w:ascii="Times New Roman" w:hAnsi="Times New Roman" w:cs="Times New Roman"/>
          <w:sz w:val="24"/>
          <w:szCs w:val="24"/>
        </w:rPr>
        <w:t>.attēlu</w:t>
      </w:r>
      <w:r w:rsidRPr="0096471D">
        <w:rPr>
          <w:rFonts w:ascii="Times New Roman" w:hAnsi="Times New Roman" w:cs="Times New Roman"/>
          <w:sz w:val="24"/>
          <w:szCs w:val="24"/>
        </w:rPr>
        <w:t>).</w:t>
      </w:r>
    </w:p>
    <w:p w14:paraId="218EE5A2" w14:textId="77777777" w:rsidR="005F4C67" w:rsidRPr="0096471D" w:rsidRDefault="005F4C67" w:rsidP="001E5D9F">
      <w:pPr>
        <w:numPr>
          <w:ilvl w:val="0"/>
          <w:numId w:val="31"/>
        </w:numPr>
        <w:spacing w:after="0" w:line="240" w:lineRule="auto"/>
        <w:ind w:left="1134"/>
        <w:jc w:val="both"/>
        <w:rPr>
          <w:rFonts w:ascii="Times New Roman" w:hAnsi="Times New Roman" w:cs="Times New Roman"/>
          <w:sz w:val="24"/>
          <w:szCs w:val="24"/>
        </w:rPr>
      </w:pPr>
      <w:r w:rsidRPr="0096471D">
        <w:rPr>
          <w:rFonts w:ascii="Times New Roman" w:hAnsi="Times New Roman" w:cs="Times New Roman"/>
          <w:b/>
          <w:sz w:val="24"/>
          <w:szCs w:val="24"/>
        </w:rPr>
        <w:t>Nevienlīdzība.</w:t>
      </w:r>
      <w:r w:rsidRPr="0096471D">
        <w:rPr>
          <w:rFonts w:ascii="Times New Roman" w:hAnsi="Times New Roman" w:cs="Times New Roman"/>
          <w:sz w:val="24"/>
          <w:szCs w:val="24"/>
        </w:rPr>
        <w:t xml:space="preserve"> Publiskā finansējuma īpatsvars kopējā veselības sistēmas finansējumā ir būtiski zem ES vidējā līmeņa (Latvijā – </w:t>
      </w:r>
      <w:r>
        <w:rPr>
          <w:rFonts w:ascii="Times New Roman" w:hAnsi="Times New Roman" w:cs="Times New Roman"/>
          <w:sz w:val="24"/>
          <w:szCs w:val="24"/>
        </w:rPr>
        <w:t>63,2</w:t>
      </w:r>
      <w:r w:rsidRPr="0096471D">
        <w:rPr>
          <w:rFonts w:ascii="Times New Roman" w:hAnsi="Times New Roman" w:cs="Times New Roman"/>
          <w:sz w:val="24"/>
          <w:szCs w:val="24"/>
        </w:rPr>
        <w:t>%, ES – 77</w:t>
      </w:r>
      <w:r>
        <w:rPr>
          <w:rFonts w:ascii="Times New Roman" w:hAnsi="Times New Roman" w:cs="Times New Roman"/>
          <w:sz w:val="24"/>
          <w:szCs w:val="24"/>
        </w:rPr>
        <w:t>,8</w:t>
      </w:r>
      <w:r w:rsidRPr="0096471D">
        <w:rPr>
          <w:rFonts w:ascii="Times New Roman" w:hAnsi="Times New Roman" w:cs="Times New Roman"/>
          <w:sz w:val="24"/>
          <w:szCs w:val="24"/>
        </w:rPr>
        <w:t>%)</w:t>
      </w:r>
      <w:r w:rsidRPr="0096471D">
        <w:rPr>
          <w:rFonts w:ascii="Times New Roman" w:hAnsi="Times New Roman" w:cs="Times New Roman"/>
          <w:sz w:val="24"/>
          <w:szCs w:val="24"/>
          <w:vertAlign w:val="superscript"/>
        </w:rPr>
        <w:footnoteReference w:id="15"/>
      </w:r>
      <w:r w:rsidRPr="0096471D">
        <w:rPr>
          <w:rFonts w:ascii="Times New Roman" w:hAnsi="Times New Roman" w:cs="Times New Roman"/>
          <w:sz w:val="24"/>
          <w:szCs w:val="24"/>
        </w:rPr>
        <w:t xml:space="preserve">. Tas nozīmē, ka ārstniecības pakalpojumu pieejamība vairāk kā citās valstīs ir atkarīga no personas ienākumiem. </w:t>
      </w:r>
    </w:p>
    <w:p w14:paraId="299353EB" w14:textId="7081C68C" w:rsidR="005F4C67" w:rsidRPr="005048C8" w:rsidRDefault="005F4C67" w:rsidP="005048C8">
      <w:pPr>
        <w:numPr>
          <w:ilvl w:val="0"/>
          <w:numId w:val="31"/>
        </w:numPr>
        <w:spacing w:after="0" w:line="240" w:lineRule="auto"/>
        <w:ind w:left="1134"/>
        <w:jc w:val="both"/>
        <w:rPr>
          <w:rFonts w:ascii="Times New Roman" w:hAnsi="Times New Roman" w:cs="Times New Roman"/>
          <w:sz w:val="24"/>
          <w:szCs w:val="24"/>
        </w:rPr>
      </w:pPr>
      <w:r w:rsidRPr="0096471D">
        <w:rPr>
          <w:rFonts w:ascii="Times New Roman" w:hAnsi="Times New Roman" w:cs="Times New Roman"/>
          <w:b/>
          <w:sz w:val="24"/>
          <w:szCs w:val="24"/>
        </w:rPr>
        <w:t>Augsts veselības problēmu dēļ priekšlaicīgi mirušo skaits.</w:t>
      </w:r>
      <w:r w:rsidRPr="0096471D">
        <w:rPr>
          <w:rFonts w:ascii="Times New Roman" w:hAnsi="Times New Roman" w:cs="Times New Roman"/>
          <w:sz w:val="24"/>
          <w:szCs w:val="24"/>
        </w:rPr>
        <w:t xml:space="preserve"> 201</w:t>
      </w:r>
      <w:r>
        <w:rPr>
          <w:rFonts w:ascii="Times New Roman" w:hAnsi="Times New Roman" w:cs="Times New Roman"/>
          <w:sz w:val="24"/>
          <w:szCs w:val="24"/>
        </w:rPr>
        <w:t>5</w:t>
      </w:r>
      <w:r w:rsidRPr="0096471D">
        <w:rPr>
          <w:rFonts w:ascii="Times New Roman" w:hAnsi="Times New Roman" w:cs="Times New Roman"/>
          <w:sz w:val="24"/>
          <w:szCs w:val="24"/>
        </w:rPr>
        <w:t>.gadā kopējais PZDG</w:t>
      </w:r>
      <w:r>
        <w:rPr>
          <w:rFonts w:ascii="Times New Roman" w:hAnsi="Times New Roman" w:cs="Times New Roman"/>
          <w:sz w:val="24"/>
          <w:szCs w:val="24"/>
        </w:rPr>
        <w:t xml:space="preserve"> (0 – 64 gadi)</w:t>
      </w:r>
      <w:r w:rsidRPr="0096471D">
        <w:rPr>
          <w:rFonts w:ascii="Times New Roman" w:hAnsi="Times New Roman" w:cs="Times New Roman"/>
          <w:sz w:val="24"/>
          <w:szCs w:val="24"/>
        </w:rPr>
        <w:t xml:space="preserve"> bija 5</w:t>
      </w:r>
      <w:r>
        <w:rPr>
          <w:rFonts w:ascii="Times New Roman" w:hAnsi="Times New Roman" w:cs="Times New Roman"/>
          <w:sz w:val="24"/>
          <w:szCs w:val="24"/>
        </w:rPr>
        <w:t>541</w:t>
      </w:r>
      <w:r w:rsidRPr="0096471D">
        <w:rPr>
          <w:rFonts w:ascii="Times New Roman" w:hAnsi="Times New Roman" w:cs="Times New Roman"/>
          <w:sz w:val="24"/>
          <w:szCs w:val="24"/>
        </w:rPr>
        <w:t xml:space="preserve"> gadi uz 100 000 iedzīvotājiem, kas starp attīstītajām valstīm ir augsts rādītājs. Būtiska šī rādītāja daļa skaidrojuma ar veselības problēmām.</w:t>
      </w:r>
    </w:p>
    <w:p w14:paraId="1407378B" w14:textId="77777777" w:rsidR="005F4C67" w:rsidRPr="0096471D" w:rsidRDefault="005F4C67" w:rsidP="005F4C67">
      <w:pPr>
        <w:spacing w:after="60"/>
        <w:ind w:left="142"/>
        <w:jc w:val="center"/>
        <w:rPr>
          <w:b/>
          <w:bCs/>
          <w:kern w:val="36"/>
        </w:rPr>
      </w:pPr>
      <w:r>
        <w:rPr>
          <w:noProof/>
          <w:lang w:eastAsia="lv-LV"/>
        </w:rPr>
        <w:drawing>
          <wp:inline distT="0" distB="0" distL="0" distR="0" wp14:anchorId="26F37B2E" wp14:editId="38A93043">
            <wp:extent cx="5741035" cy="318706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EA7974" w14:textId="3F7CA44E" w:rsidR="005F4C67" w:rsidRPr="0096471D" w:rsidRDefault="00C12F8D" w:rsidP="00AD738C">
      <w:pPr>
        <w:spacing w:before="60" w:after="120" w:line="240" w:lineRule="auto"/>
        <w:ind w:left="142"/>
        <w:jc w:val="center"/>
        <w:rPr>
          <w:rFonts w:ascii="Times New Roman" w:hAnsi="Times New Roman"/>
          <w:b/>
          <w:bCs/>
          <w:kern w:val="36"/>
          <w:sz w:val="24"/>
        </w:rPr>
      </w:pPr>
      <w:r>
        <w:rPr>
          <w:rFonts w:ascii="Times New Roman" w:hAnsi="Times New Roman"/>
          <w:b/>
          <w:bCs/>
          <w:kern w:val="36"/>
          <w:sz w:val="24"/>
        </w:rPr>
        <w:t>3.7</w:t>
      </w:r>
      <w:r w:rsidR="005F4C67" w:rsidRPr="00A507C8">
        <w:rPr>
          <w:rFonts w:ascii="Times New Roman" w:hAnsi="Times New Roman"/>
          <w:b/>
          <w:bCs/>
          <w:kern w:val="36"/>
          <w:sz w:val="24"/>
        </w:rPr>
        <w:t>.</w:t>
      </w:r>
      <w:r w:rsidR="005F4C67" w:rsidRPr="0096471D">
        <w:rPr>
          <w:rFonts w:ascii="Times New Roman" w:hAnsi="Times New Roman"/>
          <w:b/>
          <w:bCs/>
          <w:kern w:val="36"/>
          <w:sz w:val="24"/>
        </w:rPr>
        <w:t>attēls. Publiskie izdevumi veselības aprūpei 201</w:t>
      </w:r>
      <w:r w:rsidR="005F4C67">
        <w:rPr>
          <w:rFonts w:ascii="Times New Roman" w:hAnsi="Times New Roman"/>
          <w:b/>
          <w:bCs/>
          <w:kern w:val="36"/>
          <w:sz w:val="24"/>
        </w:rPr>
        <w:t>5</w:t>
      </w:r>
      <w:r w:rsidR="005F4C67" w:rsidRPr="0096471D">
        <w:rPr>
          <w:rFonts w:ascii="Times New Roman" w:hAnsi="Times New Roman"/>
          <w:b/>
          <w:bCs/>
          <w:kern w:val="36"/>
          <w:sz w:val="24"/>
        </w:rPr>
        <w:t>.gadā ES valstī</w:t>
      </w:r>
      <w:r w:rsidR="005F4C67" w:rsidRPr="00AD738C">
        <w:rPr>
          <w:rFonts w:ascii="Times New Roman" w:hAnsi="Times New Roman" w:cs="Times New Roman"/>
          <w:b/>
          <w:bCs/>
          <w:kern w:val="36"/>
          <w:sz w:val="24"/>
          <w:szCs w:val="24"/>
        </w:rPr>
        <w:t>s</w:t>
      </w:r>
      <w:r w:rsidR="005F4C67" w:rsidRPr="00AD738C">
        <w:rPr>
          <w:rFonts w:ascii="Times New Roman" w:hAnsi="Times New Roman" w:cs="Times New Roman"/>
          <w:b/>
          <w:bCs/>
          <w:kern w:val="36"/>
          <w:sz w:val="24"/>
          <w:szCs w:val="24"/>
          <w:vertAlign w:val="superscript"/>
        </w:rPr>
        <w:footnoteReference w:id="16"/>
      </w:r>
      <w:r w:rsidR="005F4C67" w:rsidRPr="00AD738C">
        <w:rPr>
          <w:rFonts w:ascii="Times New Roman" w:hAnsi="Times New Roman" w:cs="Times New Roman"/>
          <w:b/>
          <w:bCs/>
          <w:kern w:val="36"/>
          <w:sz w:val="24"/>
          <w:szCs w:val="24"/>
        </w:rPr>
        <w:t>,</w:t>
      </w:r>
      <w:r w:rsidR="005F4C67" w:rsidRPr="0096471D">
        <w:rPr>
          <w:rFonts w:ascii="Times New Roman" w:hAnsi="Times New Roman"/>
          <w:b/>
          <w:bCs/>
          <w:kern w:val="36"/>
          <w:sz w:val="24"/>
        </w:rPr>
        <w:t xml:space="preserve"> % no IKP</w:t>
      </w:r>
    </w:p>
    <w:p w14:paraId="05424C8F" w14:textId="77777777" w:rsidR="005F4C67" w:rsidRPr="0096471D" w:rsidRDefault="005F4C67" w:rsidP="001210E9">
      <w:pPr>
        <w:spacing w:after="0" w:line="240" w:lineRule="auto"/>
        <w:ind w:firstLine="720"/>
        <w:jc w:val="both"/>
        <w:rPr>
          <w:rFonts w:ascii="Times New Roman" w:hAnsi="Times New Roman" w:cs="Times New Roman"/>
          <w:sz w:val="24"/>
          <w:szCs w:val="24"/>
        </w:rPr>
      </w:pPr>
      <w:r w:rsidRPr="0096471D">
        <w:rPr>
          <w:rFonts w:ascii="Times New Roman" w:hAnsi="Times New Roman" w:cs="Times New Roman"/>
          <w:sz w:val="24"/>
          <w:szCs w:val="24"/>
        </w:rPr>
        <w:t>Jāatzīmē, ka šie faktori ir savstarpēji saistīti. Zems publiskā finansējuma līmenis rada nepieciešamību daļu no ārstniecības pakalpojumiem finansēt ar privāto finansējumu, bet tas, savukārt, tos iedzīvotājus, kas nevar atļauties ieguldīt privāto finansējumu, attur no savlaicīgas ārstēšanās un palielina PZDG.</w:t>
      </w:r>
    </w:p>
    <w:p w14:paraId="5B7FAF56" w14:textId="77777777" w:rsidR="005F4C67" w:rsidRPr="0096471D" w:rsidRDefault="005F4C67" w:rsidP="001210E9">
      <w:pPr>
        <w:spacing w:after="0" w:line="240" w:lineRule="auto"/>
        <w:ind w:firstLine="720"/>
        <w:jc w:val="both"/>
        <w:rPr>
          <w:rFonts w:ascii="Times New Roman" w:hAnsi="Times New Roman" w:cs="Times New Roman"/>
          <w:sz w:val="24"/>
          <w:szCs w:val="24"/>
        </w:rPr>
      </w:pPr>
      <w:r w:rsidRPr="0096471D">
        <w:rPr>
          <w:rFonts w:ascii="Times New Roman" w:hAnsi="Times New Roman" w:cs="Times New Roman"/>
          <w:sz w:val="24"/>
          <w:szCs w:val="24"/>
        </w:rPr>
        <w:t>Minētie Latvijas veselības sistēmas izaicinājumi ir identificēti jau 2014.gada valsts specifisko rekomendāciju kontekstā, Padomei nosakot, ka ir sasniegts ierobežots progress, uzlabojot veselības aprūpes sistēmas izmaksu lietderību, kvalitāti un pieejamību. Turklāt tiek atzīmēts, ka veselības aprūpes nozarei ir atvēlēts pārāk mazs finansējums, atstājot negatīvu ietekmi uz neaizsargāto sabiedrības locekļu piekļuvi veselības aprūpes pakalpojumiem.</w:t>
      </w:r>
    </w:p>
    <w:p w14:paraId="4C766895" w14:textId="77777777" w:rsidR="005F4C67" w:rsidRPr="0096471D" w:rsidRDefault="005F4C67" w:rsidP="001210E9">
      <w:pPr>
        <w:spacing w:after="0" w:line="240" w:lineRule="auto"/>
        <w:ind w:firstLine="720"/>
        <w:jc w:val="both"/>
        <w:rPr>
          <w:rFonts w:ascii="Times New Roman" w:hAnsi="Times New Roman" w:cs="Times New Roman"/>
          <w:sz w:val="24"/>
          <w:szCs w:val="24"/>
        </w:rPr>
      </w:pPr>
      <w:r w:rsidRPr="0096471D">
        <w:rPr>
          <w:rFonts w:ascii="Times New Roman" w:hAnsi="Times New Roman" w:cs="Times New Roman"/>
          <w:sz w:val="24"/>
          <w:szCs w:val="24"/>
        </w:rPr>
        <w:t>2015.gada valsts specifiskajās rekomendācijās Padome ir atkārtoti ieteikusi Latvijai uzlabot veselības aprūpes sistēmas pieejamību, izmaksu lietderību un kvalitāti. Rekomendāciju izpildes analīzē tiek norādīts, ka lielai daļai iedzīvotāju ir samazinājusies pieejamība veselības aprūpes pakalpojumiem, kas saistīts ar mazo publisko finansējumu nozarei, augstajiem pacientu līdzmaksājumiem, kā arī vājo aprūpes koordinācijas un nozares efektivitātes līmeni.</w:t>
      </w:r>
    </w:p>
    <w:p w14:paraId="7596FD02" w14:textId="6CDD0E34" w:rsidR="005F4C67" w:rsidRDefault="00AD738C" w:rsidP="001210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2016.</w:t>
      </w:r>
      <w:r w:rsidR="005F4C67">
        <w:rPr>
          <w:rFonts w:ascii="Times New Roman" w:hAnsi="Times New Roman" w:cs="Times New Roman"/>
          <w:sz w:val="24"/>
          <w:szCs w:val="24"/>
        </w:rPr>
        <w:t xml:space="preserve">gada valsts </w:t>
      </w:r>
      <w:r w:rsidR="00A97BBE" w:rsidRPr="0096471D">
        <w:rPr>
          <w:rFonts w:ascii="Times New Roman" w:hAnsi="Times New Roman" w:cs="Times New Roman"/>
          <w:sz w:val="24"/>
          <w:szCs w:val="24"/>
        </w:rPr>
        <w:t xml:space="preserve">specifiskajās </w:t>
      </w:r>
      <w:r w:rsidR="005F4C67">
        <w:rPr>
          <w:rFonts w:ascii="Times New Roman" w:hAnsi="Times New Roman" w:cs="Times New Roman"/>
          <w:sz w:val="24"/>
          <w:szCs w:val="24"/>
        </w:rPr>
        <w:t>rekomendācijās Padome atkārto aicinājumu Latvijai “u</w:t>
      </w:r>
      <w:r w:rsidR="005F4C67" w:rsidRPr="00F56D84">
        <w:rPr>
          <w:rFonts w:ascii="Times New Roman" w:hAnsi="Times New Roman" w:cs="Times New Roman"/>
          <w:sz w:val="24"/>
          <w:szCs w:val="24"/>
        </w:rPr>
        <w:t>zlabot veselības aprūpes sistēmas pieejamību, kvalitāti un izmaksu lietderību</w:t>
      </w:r>
      <w:r w:rsidR="005F4C67">
        <w:rPr>
          <w:rFonts w:ascii="Times New Roman" w:hAnsi="Times New Roman" w:cs="Times New Roman"/>
          <w:sz w:val="24"/>
          <w:szCs w:val="24"/>
        </w:rPr>
        <w:t xml:space="preserve">”. Rekomendāciju izpildes analīzē </w:t>
      </w:r>
      <w:r>
        <w:rPr>
          <w:rFonts w:ascii="Times New Roman" w:hAnsi="Times New Roman" w:cs="Times New Roman"/>
          <w:sz w:val="24"/>
          <w:szCs w:val="24"/>
        </w:rPr>
        <w:t>EK</w:t>
      </w:r>
      <w:r w:rsidR="005F4C67">
        <w:rPr>
          <w:rFonts w:ascii="Times New Roman" w:hAnsi="Times New Roman" w:cs="Times New Roman"/>
          <w:sz w:val="24"/>
          <w:szCs w:val="24"/>
        </w:rPr>
        <w:t xml:space="preserve"> norāda, ka </w:t>
      </w:r>
      <w:r w:rsidR="005F4C67" w:rsidRPr="00F56D84">
        <w:rPr>
          <w:rFonts w:ascii="Times New Roman" w:hAnsi="Times New Roman" w:cs="Times New Roman"/>
          <w:sz w:val="24"/>
          <w:szCs w:val="24"/>
        </w:rPr>
        <w:t>piekļuvi veselības aprūpei kavē mazais publiskais finansējums un ievērojamie maksājumi, kas pacientiem jāveic pašiem, tādēļ lielas iedzīvotāju daļas veselības aprūpes vajadzības netiek apmierinātas. Sliktais veselības stāvoklis liek zaudēt potenciālo darbaspēku.</w:t>
      </w:r>
      <w:r w:rsidR="005F4C67">
        <w:rPr>
          <w:rFonts w:ascii="Times New Roman" w:hAnsi="Times New Roman" w:cs="Times New Roman"/>
          <w:sz w:val="24"/>
          <w:szCs w:val="24"/>
        </w:rPr>
        <w:t xml:space="preserve"> </w:t>
      </w:r>
      <w:r>
        <w:rPr>
          <w:rFonts w:ascii="Times New Roman" w:hAnsi="Times New Roman" w:cs="Times New Roman"/>
          <w:sz w:val="24"/>
          <w:szCs w:val="24"/>
        </w:rPr>
        <w:t>EK</w:t>
      </w:r>
      <w:r w:rsidR="005F4C67">
        <w:rPr>
          <w:rFonts w:ascii="Times New Roman" w:hAnsi="Times New Roman" w:cs="Times New Roman"/>
          <w:sz w:val="24"/>
          <w:szCs w:val="24"/>
        </w:rPr>
        <w:t xml:space="preserve"> līdzšinējo progresu veselības aprūpes sistēmas pieejamības uzlabošanā ir novērtējusi kā ierobežotu.</w:t>
      </w:r>
    </w:p>
    <w:p w14:paraId="76D6A650" w14:textId="77777777" w:rsidR="005F4C67" w:rsidRPr="0096471D" w:rsidRDefault="005F4C67" w:rsidP="001210E9">
      <w:pPr>
        <w:spacing w:after="0" w:line="240" w:lineRule="auto"/>
        <w:ind w:firstLine="720"/>
        <w:jc w:val="both"/>
        <w:rPr>
          <w:rFonts w:ascii="Times New Roman" w:hAnsi="Times New Roman" w:cs="Times New Roman"/>
          <w:bCs/>
          <w:kern w:val="36"/>
          <w:sz w:val="24"/>
          <w:szCs w:val="24"/>
        </w:rPr>
      </w:pPr>
      <w:r w:rsidRPr="0096471D">
        <w:rPr>
          <w:rFonts w:ascii="Times New Roman" w:hAnsi="Times New Roman" w:cs="Times New Roman"/>
          <w:bCs/>
          <w:kern w:val="36"/>
          <w:sz w:val="24"/>
          <w:szCs w:val="24"/>
        </w:rPr>
        <w:t xml:space="preserve">„Sabiedrības veselības pamatnostādņu 2014.-2020.gadam” izstrādes ietvaros Veselības ministrija pasūtīja pētījumu “Izvērtējums Sabiedrības veselības pamatnostādņu 2014.–2020.gadam izstrādei”, kuru izstrādāja Latvijas Universitāte. </w:t>
      </w:r>
      <w:r>
        <w:rPr>
          <w:rFonts w:ascii="Times New Roman" w:hAnsi="Times New Roman" w:cs="Times New Roman"/>
          <w:bCs/>
          <w:kern w:val="36"/>
          <w:sz w:val="24"/>
          <w:szCs w:val="24"/>
        </w:rPr>
        <w:t xml:space="preserve"> </w:t>
      </w:r>
      <w:r w:rsidRPr="0096471D">
        <w:rPr>
          <w:rFonts w:ascii="Times New Roman" w:hAnsi="Times New Roman" w:cs="Times New Roman"/>
          <w:bCs/>
          <w:kern w:val="36"/>
          <w:sz w:val="24"/>
          <w:szCs w:val="24"/>
        </w:rPr>
        <w:t xml:space="preserve">Pētījuma ietvaros tika veikta „Sabiedrības veselības pamatnostādnēs 2014.-2020.gadam” iekļaujamo mērķa rādītāju </w:t>
      </w:r>
      <w:r w:rsidRPr="0096471D">
        <w:rPr>
          <w:rFonts w:ascii="Times New Roman" w:hAnsi="Times New Roman" w:cs="Times New Roman"/>
          <w:b/>
          <w:bCs/>
          <w:kern w:val="36"/>
          <w:sz w:val="24"/>
          <w:szCs w:val="24"/>
        </w:rPr>
        <w:t>ekonomiskā ieguvuma novērtējums</w:t>
      </w:r>
      <w:r w:rsidRPr="0096471D">
        <w:rPr>
          <w:rFonts w:ascii="Times New Roman" w:hAnsi="Times New Roman" w:cs="Times New Roman"/>
          <w:bCs/>
          <w:kern w:val="36"/>
          <w:sz w:val="24"/>
          <w:szCs w:val="24"/>
        </w:rPr>
        <w:t xml:space="preserve">, kas izriet no NAP 2020. Tā rezultātā tiek secināts, ka nodrošinot nepieciešamo finansējumu NAP 2020 noteikto PZDG rādītāja samazinājuma sasniegšanai līdz 2020.gadam, diskontētā ekonomiskā ieguvuma vērtība 2014.gadā veidos 137,4 milj. </w:t>
      </w:r>
      <w:r w:rsidRPr="0096471D">
        <w:rPr>
          <w:rFonts w:ascii="Times New Roman" w:hAnsi="Times New Roman" w:cs="Times New Roman"/>
          <w:bCs/>
          <w:i/>
          <w:kern w:val="36"/>
          <w:sz w:val="24"/>
          <w:szCs w:val="24"/>
        </w:rPr>
        <w:t>euro</w:t>
      </w:r>
      <w:r w:rsidRPr="0096471D">
        <w:rPr>
          <w:rFonts w:ascii="Times New Roman" w:hAnsi="Times New Roman" w:cs="Times New Roman"/>
          <w:bCs/>
          <w:kern w:val="36"/>
          <w:sz w:val="24"/>
          <w:szCs w:val="24"/>
        </w:rPr>
        <w:t xml:space="preserve">. Vienlaicīgi, pētījumā tiek norādīts, ka pozitīva ietekme uz tautsaimniecības attīstību veidotos no tā, ka līdz 2020.gadam “izglābtie” iedzīvotāji nākamos 20 gadus spēs sniegt produktīvu atdevi kā darba spēks, tādējādi nodrošinot IKP pieaugumu vismaz 443,8 milj. </w:t>
      </w:r>
      <w:r w:rsidRPr="0096471D">
        <w:rPr>
          <w:rFonts w:ascii="Times New Roman" w:hAnsi="Times New Roman" w:cs="Times New Roman"/>
          <w:bCs/>
          <w:i/>
          <w:kern w:val="36"/>
          <w:sz w:val="24"/>
          <w:szCs w:val="24"/>
        </w:rPr>
        <w:t>euro</w:t>
      </w:r>
      <w:r w:rsidRPr="0096471D">
        <w:rPr>
          <w:rFonts w:ascii="Times New Roman" w:hAnsi="Times New Roman" w:cs="Times New Roman"/>
          <w:bCs/>
          <w:kern w:val="36"/>
          <w:sz w:val="24"/>
          <w:szCs w:val="24"/>
        </w:rPr>
        <w:t xml:space="preserve"> apmērā (2014.gada diskontētā vērtība). Pētījuma ietvaros tika veikta arī </w:t>
      </w:r>
      <w:r w:rsidRPr="0096471D">
        <w:rPr>
          <w:rFonts w:ascii="Times New Roman" w:hAnsi="Times New Roman" w:cs="Times New Roman"/>
          <w:b/>
          <w:bCs/>
          <w:kern w:val="36"/>
          <w:sz w:val="24"/>
          <w:szCs w:val="24"/>
        </w:rPr>
        <w:t>izmaksu - ieguvumu analīze</w:t>
      </w:r>
      <w:r w:rsidRPr="0096471D">
        <w:rPr>
          <w:rFonts w:ascii="Times New Roman" w:hAnsi="Times New Roman" w:cs="Times New Roman"/>
          <w:bCs/>
          <w:kern w:val="36"/>
          <w:sz w:val="24"/>
          <w:szCs w:val="24"/>
        </w:rPr>
        <w:t xml:space="preserve">, kuras rezultātā tika konstatēts, ka mērķa sasniegšanai attiecināmais papildu izdevumu apmērs vecuma grupai līdz 64 gadiem laika posmā no 2013.gada līdz 2020.gadam tagadnes vērtībā sastāda 577 milj. </w:t>
      </w:r>
      <w:r w:rsidRPr="0096471D">
        <w:rPr>
          <w:rFonts w:ascii="Times New Roman" w:hAnsi="Times New Roman" w:cs="Times New Roman"/>
          <w:bCs/>
          <w:i/>
          <w:kern w:val="36"/>
          <w:sz w:val="24"/>
          <w:szCs w:val="24"/>
        </w:rPr>
        <w:t>euro</w:t>
      </w:r>
      <w:r w:rsidRPr="0096471D">
        <w:rPr>
          <w:rFonts w:ascii="Times New Roman" w:hAnsi="Times New Roman" w:cs="Times New Roman"/>
          <w:bCs/>
          <w:kern w:val="36"/>
          <w:sz w:val="24"/>
          <w:szCs w:val="24"/>
        </w:rPr>
        <w:t xml:space="preserve">. Tādējādi atbilstoši pētījumam var secināt, ka papildu paredzamais izmaksu apmērs no 2013.gada līdz 2020.gadam pārsniedz ekonomiskos ieguvumus atbilstošajā laika periodā. </w:t>
      </w:r>
    </w:p>
    <w:p w14:paraId="23B73C82" w14:textId="74B20586" w:rsidR="005F4C67" w:rsidRPr="0096471D" w:rsidRDefault="00FC7A05" w:rsidP="00AD738C">
      <w:pPr>
        <w:autoSpaceDE w:val="0"/>
        <w:autoSpaceDN w:val="0"/>
        <w:adjustRightInd w:val="0"/>
        <w:spacing w:before="120" w:after="60" w:line="240" w:lineRule="auto"/>
        <w:jc w:val="right"/>
        <w:rPr>
          <w:rFonts w:ascii="Times New Roman" w:hAnsi="Times New Roman"/>
          <w:b/>
          <w:bCs/>
          <w:i/>
          <w:kern w:val="36"/>
          <w:sz w:val="24"/>
        </w:rPr>
      </w:pPr>
      <w:r>
        <w:rPr>
          <w:rFonts w:ascii="Times New Roman" w:hAnsi="Times New Roman"/>
          <w:b/>
          <w:bCs/>
          <w:kern w:val="36"/>
          <w:sz w:val="24"/>
          <w:shd w:val="clear" w:color="auto" w:fill="FFFFFF" w:themeFill="background1"/>
        </w:rPr>
        <w:t>3.18</w:t>
      </w:r>
      <w:r w:rsidR="005F4C67" w:rsidRPr="0096471D">
        <w:rPr>
          <w:rFonts w:ascii="Times New Roman" w:hAnsi="Times New Roman"/>
          <w:b/>
          <w:bCs/>
          <w:kern w:val="36"/>
          <w:sz w:val="24"/>
          <w:shd w:val="clear" w:color="auto" w:fill="FFFFFF" w:themeFill="background1"/>
        </w:rPr>
        <w:t>.tabula.</w:t>
      </w:r>
      <w:r w:rsidR="005F4C67" w:rsidRPr="0096471D">
        <w:rPr>
          <w:rFonts w:ascii="Times New Roman" w:hAnsi="Times New Roman"/>
          <w:b/>
          <w:bCs/>
          <w:kern w:val="36"/>
          <w:sz w:val="24"/>
        </w:rPr>
        <w:t xml:space="preserve"> Pētījuma ieguvumu un izmaksu kopsavilkums, milj. </w:t>
      </w:r>
      <w:r w:rsidR="005F4C67" w:rsidRPr="0096471D">
        <w:rPr>
          <w:rFonts w:ascii="Times New Roman" w:hAnsi="Times New Roman"/>
          <w:b/>
          <w:bCs/>
          <w:i/>
          <w:kern w:val="36"/>
          <w:sz w:val="24"/>
        </w:rPr>
        <w:t>euro</w:t>
      </w:r>
    </w:p>
    <w:tbl>
      <w:tblPr>
        <w:tblStyle w:val="GridTable6Colorful-Accent11"/>
        <w:tblW w:w="9082" w:type="dxa"/>
        <w:jc w:val="center"/>
        <w:tblLayout w:type="fixed"/>
        <w:tblLook w:val="04A0" w:firstRow="1" w:lastRow="0" w:firstColumn="1" w:lastColumn="0" w:noHBand="0" w:noVBand="1"/>
      </w:tblPr>
      <w:tblGrid>
        <w:gridCol w:w="3969"/>
        <w:gridCol w:w="1701"/>
        <w:gridCol w:w="1701"/>
        <w:gridCol w:w="1711"/>
      </w:tblGrid>
      <w:tr w:rsidR="005F4C67" w:rsidRPr="00E43278" w14:paraId="5F9401ED" w14:textId="77777777" w:rsidTr="00AD73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14:paraId="4798FB00" w14:textId="77777777" w:rsidR="005F4C67" w:rsidRPr="00AD738C" w:rsidRDefault="005F4C67" w:rsidP="00AD738C">
            <w:pPr>
              <w:autoSpaceDE w:val="0"/>
              <w:autoSpaceDN w:val="0"/>
              <w:adjustRightInd w:val="0"/>
              <w:jc w:val="center"/>
              <w:rPr>
                <w:rFonts w:ascii="Times New Roman" w:hAnsi="Times New Roman" w:cs="Times New Roman"/>
                <w:color w:val="auto"/>
                <w:kern w:val="36"/>
                <w:sz w:val="20"/>
                <w:szCs w:val="20"/>
              </w:rPr>
            </w:pPr>
            <w:r w:rsidRPr="00AD738C">
              <w:rPr>
                <w:rFonts w:ascii="Times New Roman" w:hAnsi="Times New Roman" w:cs="Times New Roman"/>
                <w:color w:val="auto"/>
                <w:kern w:val="36"/>
                <w:sz w:val="20"/>
                <w:szCs w:val="20"/>
              </w:rPr>
              <w:t>Rādītājs</w:t>
            </w:r>
          </w:p>
        </w:tc>
        <w:tc>
          <w:tcPr>
            <w:tcW w:w="3402" w:type="dxa"/>
            <w:gridSpan w:val="2"/>
          </w:tcPr>
          <w:p w14:paraId="52E21C8B" w14:textId="77777777" w:rsidR="005F4C67" w:rsidRPr="00AD738C" w:rsidRDefault="005F4C67" w:rsidP="005F4C6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kern w:val="36"/>
                <w:sz w:val="20"/>
                <w:szCs w:val="20"/>
              </w:rPr>
            </w:pPr>
            <w:r w:rsidRPr="00AD738C">
              <w:rPr>
                <w:rFonts w:ascii="Times New Roman" w:hAnsi="Times New Roman" w:cs="Times New Roman"/>
                <w:color w:val="auto"/>
                <w:kern w:val="36"/>
                <w:sz w:val="20"/>
                <w:szCs w:val="20"/>
              </w:rPr>
              <w:t>Ekonomiskais ieguvums</w:t>
            </w:r>
          </w:p>
        </w:tc>
        <w:tc>
          <w:tcPr>
            <w:tcW w:w="1711" w:type="dxa"/>
          </w:tcPr>
          <w:p w14:paraId="476DEFC4" w14:textId="77777777" w:rsidR="005F4C67" w:rsidRPr="00AD738C" w:rsidRDefault="005F4C67" w:rsidP="005F4C6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kern w:val="36"/>
                <w:sz w:val="20"/>
                <w:szCs w:val="20"/>
              </w:rPr>
            </w:pPr>
            <w:r w:rsidRPr="00AD738C">
              <w:rPr>
                <w:rFonts w:ascii="Times New Roman" w:hAnsi="Times New Roman" w:cs="Times New Roman"/>
                <w:color w:val="auto"/>
                <w:kern w:val="36"/>
                <w:sz w:val="20"/>
                <w:szCs w:val="20"/>
              </w:rPr>
              <w:t>Izmaksas</w:t>
            </w:r>
          </w:p>
        </w:tc>
      </w:tr>
      <w:tr w:rsidR="005F4C67" w:rsidRPr="00E43278" w14:paraId="5ECFE6D1" w14:textId="77777777" w:rsidTr="005F4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vMerge/>
          </w:tcPr>
          <w:p w14:paraId="4C1AC520" w14:textId="77777777" w:rsidR="005F4C67" w:rsidRPr="00AD738C" w:rsidRDefault="005F4C67" w:rsidP="005F4C67">
            <w:pPr>
              <w:autoSpaceDE w:val="0"/>
              <w:autoSpaceDN w:val="0"/>
              <w:adjustRightInd w:val="0"/>
              <w:jc w:val="both"/>
              <w:rPr>
                <w:rFonts w:ascii="Times New Roman" w:hAnsi="Times New Roman" w:cs="Times New Roman"/>
                <w:color w:val="auto"/>
                <w:kern w:val="36"/>
                <w:sz w:val="20"/>
                <w:szCs w:val="20"/>
              </w:rPr>
            </w:pPr>
          </w:p>
        </w:tc>
        <w:tc>
          <w:tcPr>
            <w:tcW w:w="1701" w:type="dxa"/>
          </w:tcPr>
          <w:p w14:paraId="3A094946" w14:textId="77777777" w:rsidR="005F4C67" w:rsidRPr="00AD738C" w:rsidRDefault="005F4C67" w:rsidP="005F4C6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kern w:val="36"/>
                <w:sz w:val="20"/>
                <w:szCs w:val="20"/>
              </w:rPr>
            </w:pPr>
            <w:r w:rsidRPr="00AD738C">
              <w:rPr>
                <w:rFonts w:ascii="Times New Roman" w:hAnsi="Times New Roman" w:cs="Times New Roman"/>
                <w:b/>
                <w:bCs/>
                <w:color w:val="auto"/>
                <w:kern w:val="36"/>
                <w:sz w:val="20"/>
                <w:szCs w:val="20"/>
              </w:rPr>
              <w:t>2013.- 2020.gads</w:t>
            </w:r>
          </w:p>
        </w:tc>
        <w:tc>
          <w:tcPr>
            <w:tcW w:w="1701" w:type="dxa"/>
            <w:shd w:val="clear" w:color="auto" w:fill="FFFFFF" w:themeFill="background1"/>
          </w:tcPr>
          <w:p w14:paraId="114CC472" w14:textId="77777777" w:rsidR="005F4C67" w:rsidRPr="00AD738C" w:rsidRDefault="005F4C67" w:rsidP="005F4C6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kern w:val="36"/>
                <w:sz w:val="20"/>
                <w:szCs w:val="20"/>
              </w:rPr>
            </w:pPr>
            <w:r w:rsidRPr="00AD738C">
              <w:rPr>
                <w:rFonts w:ascii="Times New Roman" w:hAnsi="Times New Roman" w:cs="Times New Roman"/>
                <w:b/>
                <w:bCs/>
                <w:color w:val="auto"/>
                <w:kern w:val="36"/>
                <w:sz w:val="20"/>
                <w:szCs w:val="20"/>
              </w:rPr>
              <w:t>2013. - 2040.gads</w:t>
            </w:r>
          </w:p>
        </w:tc>
        <w:tc>
          <w:tcPr>
            <w:tcW w:w="1711" w:type="dxa"/>
          </w:tcPr>
          <w:p w14:paraId="4918FDDD" w14:textId="77777777" w:rsidR="005F4C67" w:rsidRPr="00AD738C" w:rsidRDefault="005F4C67" w:rsidP="005F4C6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kern w:val="36"/>
                <w:sz w:val="20"/>
                <w:szCs w:val="20"/>
              </w:rPr>
            </w:pPr>
            <w:r w:rsidRPr="00AD738C">
              <w:rPr>
                <w:rFonts w:ascii="Times New Roman" w:hAnsi="Times New Roman" w:cs="Times New Roman"/>
                <w:b/>
                <w:bCs/>
                <w:color w:val="auto"/>
                <w:kern w:val="36"/>
                <w:sz w:val="20"/>
                <w:szCs w:val="20"/>
              </w:rPr>
              <w:t>2013.- 2020.gads</w:t>
            </w:r>
          </w:p>
        </w:tc>
      </w:tr>
      <w:tr w:rsidR="005F4C67" w:rsidRPr="00E43278" w14:paraId="6F3EBC84" w14:textId="77777777" w:rsidTr="005F4C67">
        <w:trPr>
          <w:trHeight w:val="68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tcPr>
          <w:p w14:paraId="68D6D077" w14:textId="77777777" w:rsidR="005F4C67" w:rsidRPr="0096471D" w:rsidRDefault="005F4C67" w:rsidP="005F4C67">
            <w:pPr>
              <w:autoSpaceDE w:val="0"/>
              <w:autoSpaceDN w:val="0"/>
              <w:adjustRightInd w:val="0"/>
              <w:jc w:val="both"/>
              <w:rPr>
                <w:rFonts w:ascii="Times New Roman" w:hAnsi="Times New Roman" w:cs="Times New Roman"/>
                <w:b w:val="0"/>
                <w:color w:val="auto"/>
                <w:kern w:val="36"/>
                <w:sz w:val="20"/>
                <w:szCs w:val="20"/>
              </w:rPr>
            </w:pPr>
            <w:r w:rsidRPr="0096471D">
              <w:rPr>
                <w:rFonts w:ascii="Times New Roman" w:hAnsi="Times New Roman" w:cs="Times New Roman"/>
                <w:b w:val="0"/>
                <w:color w:val="auto"/>
                <w:kern w:val="36"/>
                <w:sz w:val="20"/>
                <w:szCs w:val="20"/>
              </w:rPr>
              <w:t xml:space="preserve">NAP 2020 noteiktais PZDG rādītāja samazinājums līdz 2020.gadam – </w:t>
            </w:r>
            <w:r w:rsidRPr="0096471D">
              <w:rPr>
                <w:rFonts w:ascii="Times New Roman" w:hAnsi="Times New Roman" w:cs="Times New Roman"/>
                <w:b w:val="0"/>
                <w:color w:val="auto"/>
                <w:kern w:val="36"/>
                <w:sz w:val="20"/>
                <w:szCs w:val="20"/>
                <w:u w:val="single"/>
              </w:rPr>
              <w:t>pesimistiskais scenārijs</w:t>
            </w:r>
            <w:r w:rsidRPr="00E43278">
              <w:rPr>
                <w:rFonts w:ascii="Garamond" w:hAnsi="Garamond" w:cs="Times New Roman"/>
                <w:b w:val="0"/>
                <w:color w:val="auto"/>
                <w:kern w:val="36"/>
                <w:sz w:val="20"/>
                <w:szCs w:val="20"/>
                <w:u w:val="single"/>
                <w:vertAlign w:val="superscript"/>
              </w:rPr>
              <w:footnoteReference w:id="17"/>
            </w:r>
          </w:p>
        </w:tc>
        <w:tc>
          <w:tcPr>
            <w:tcW w:w="1701" w:type="dxa"/>
            <w:vAlign w:val="center"/>
          </w:tcPr>
          <w:p w14:paraId="14085EB1" w14:textId="77777777" w:rsidR="005F4C67" w:rsidRPr="0096471D" w:rsidRDefault="005F4C67" w:rsidP="005F4C6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kern w:val="36"/>
                <w:sz w:val="20"/>
                <w:szCs w:val="20"/>
              </w:rPr>
            </w:pPr>
            <w:r w:rsidRPr="0096471D">
              <w:rPr>
                <w:rFonts w:ascii="Times New Roman" w:hAnsi="Times New Roman" w:cs="Times New Roman"/>
                <w:bCs/>
                <w:color w:val="auto"/>
                <w:kern w:val="36"/>
                <w:sz w:val="20"/>
                <w:szCs w:val="20"/>
              </w:rPr>
              <w:t>137,4</w:t>
            </w:r>
          </w:p>
        </w:tc>
        <w:tc>
          <w:tcPr>
            <w:tcW w:w="1701" w:type="dxa"/>
            <w:shd w:val="clear" w:color="auto" w:fill="FFFFFF" w:themeFill="background1"/>
            <w:vAlign w:val="center"/>
          </w:tcPr>
          <w:p w14:paraId="202570A3" w14:textId="77777777" w:rsidR="005F4C67" w:rsidRPr="0096471D" w:rsidRDefault="005F4C67" w:rsidP="005F4C6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kern w:val="36"/>
                <w:sz w:val="20"/>
                <w:szCs w:val="20"/>
              </w:rPr>
            </w:pPr>
            <w:r w:rsidRPr="0096471D">
              <w:rPr>
                <w:rFonts w:ascii="Times New Roman" w:hAnsi="Times New Roman" w:cs="Times New Roman"/>
                <w:bCs/>
                <w:color w:val="auto"/>
                <w:kern w:val="36"/>
                <w:sz w:val="20"/>
                <w:szCs w:val="20"/>
              </w:rPr>
              <w:t>443,8</w:t>
            </w:r>
          </w:p>
        </w:tc>
        <w:tc>
          <w:tcPr>
            <w:tcW w:w="1711" w:type="dxa"/>
            <w:vMerge w:val="restart"/>
            <w:vAlign w:val="center"/>
          </w:tcPr>
          <w:p w14:paraId="575EE9DE" w14:textId="77777777" w:rsidR="005F4C67" w:rsidRPr="0096471D" w:rsidRDefault="005F4C67" w:rsidP="005F4C6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kern w:val="36"/>
                <w:sz w:val="20"/>
                <w:szCs w:val="20"/>
              </w:rPr>
            </w:pPr>
            <w:r w:rsidRPr="0096471D">
              <w:rPr>
                <w:rFonts w:ascii="Times New Roman" w:hAnsi="Times New Roman" w:cs="Times New Roman"/>
                <w:bCs/>
                <w:color w:val="auto"/>
                <w:kern w:val="36"/>
                <w:sz w:val="20"/>
                <w:szCs w:val="20"/>
              </w:rPr>
              <w:t>577</w:t>
            </w:r>
          </w:p>
        </w:tc>
      </w:tr>
      <w:tr w:rsidR="005F4C67" w:rsidRPr="00E43278" w14:paraId="4422BDA2" w14:textId="77777777" w:rsidTr="005F4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tcPr>
          <w:p w14:paraId="54D3101C" w14:textId="77777777" w:rsidR="005F4C67" w:rsidRPr="0096471D" w:rsidRDefault="005F4C67" w:rsidP="005F4C67">
            <w:pPr>
              <w:autoSpaceDE w:val="0"/>
              <w:autoSpaceDN w:val="0"/>
              <w:adjustRightInd w:val="0"/>
              <w:jc w:val="both"/>
              <w:rPr>
                <w:rFonts w:ascii="Times New Roman" w:hAnsi="Times New Roman" w:cs="Times New Roman"/>
                <w:b w:val="0"/>
                <w:color w:val="auto"/>
                <w:kern w:val="36"/>
                <w:sz w:val="20"/>
                <w:szCs w:val="20"/>
              </w:rPr>
            </w:pPr>
            <w:r w:rsidRPr="0096471D">
              <w:rPr>
                <w:rFonts w:ascii="Times New Roman" w:hAnsi="Times New Roman" w:cs="Times New Roman"/>
                <w:b w:val="0"/>
                <w:color w:val="auto"/>
                <w:kern w:val="36"/>
                <w:sz w:val="20"/>
                <w:szCs w:val="20"/>
              </w:rPr>
              <w:t xml:space="preserve">NAP 2020 noteiktais PZDG rādītāja samazinājums līdz 2020.gadam – </w:t>
            </w:r>
            <w:r w:rsidRPr="0096471D">
              <w:rPr>
                <w:rFonts w:ascii="Times New Roman" w:hAnsi="Times New Roman" w:cs="Times New Roman"/>
                <w:b w:val="0"/>
                <w:color w:val="auto"/>
                <w:kern w:val="36"/>
                <w:sz w:val="20"/>
                <w:szCs w:val="20"/>
                <w:u w:val="single"/>
              </w:rPr>
              <w:t>reālistiski optimistiskais scenārijs</w:t>
            </w:r>
            <w:r w:rsidRPr="00E43278">
              <w:rPr>
                <w:rFonts w:ascii="Garamond" w:hAnsi="Garamond" w:cs="Times New Roman"/>
                <w:b w:val="0"/>
                <w:color w:val="auto"/>
                <w:kern w:val="36"/>
                <w:sz w:val="20"/>
                <w:szCs w:val="20"/>
                <w:u w:val="single"/>
                <w:vertAlign w:val="superscript"/>
              </w:rPr>
              <w:footnoteReference w:id="18"/>
            </w:r>
          </w:p>
        </w:tc>
        <w:tc>
          <w:tcPr>
            <w:tcW w:w="1701" w:type="dxa"/>
            <w:vAlign w:val="center"/>
          </w:tcPr>
          <w:p w14:paraId="401DDB43" w14:textId="77777777" w:rsidR="005F4C67" w:rsidRPr="0096471D" w:rsidRDefault="005F4C67" w:rsidP="005F4C6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kern w:val="36"/>
                <w:sz w:val="20"/>
                <w:szCs w:val="20"/>
              </w:rPr>
            </w:pPr>
            <w:r w:rsidRPr="0096471D">
              <w:rPr>
                <w:rFonts w:ascii="Times New Roman" w:hAnsi="Times New Roman" w:cs="Times New Roman"/>
                <w:bCs/>
                <w:color w:val="auto"/>
                <w:kern w:val="36"/>
                <w:sz w:val="20"/>
                <w:szCs w:val="20"/>
              </w:rPr>
              <w:t>254,9</w:t>
            </w:r>
          </w:p>
        </w:tc>
        <w:tc>
          <w:tcPr>
            <w:tcW w:w="1701" w:type="dxa"/>
            <w:shd w:val="clear" w:color="auto" w:fill="FFFFFF" w:themeFill="background1"/>
            <w:vAlign w:val="center"/>
          </w:tcPr>
          <w:p w14:paraId="5471720E" w14:textId="77777777" w:rsidR="005F4C67" w:rsidRPr="0096471D" w:rsidRDefault="005F4C67" w:rsidP="005F4C6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kern w:val="36"/>
                <w:sz w:val="20"/>
                <w:szCs w:val="20"/>
              </w:rPr>
            </w:pPr>
            <w:r w:rsidRPr="0096471D">
              <w:rPr>
                <w:rFonts w:ascii="Times New Roman" w:hAnsi="Times New Roman" w:cs="Times New Roman"/>
                <w:bCs/>
                <w:color w:val="auto"/>
                <w:kern w:val="36"/>
                <w:sz w:val="20"/>
                <w:szCs w:val="20"/>
              </w:rPr>
              <w:t>823,5</w:t>
            </w:r>
          </w:p>
        </w:tc>
        <w:tc>
          <w:tcPr>
            <w:tcW w:w="1711" w:type="dxa"/>
            <w:vMerge/>
          </w:tcPr>
          <w:p w14:paraId="1F315F53" w14:textId="77777777" w:rsidR="005F4C67" w:rsidRPr="0096471D" w:rsidRDefault="005F4C67" w:rsidP="005F4C6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kern w:val="36"/>
                <w:sz w:val="20"/>
                <w:szCs w:val="20"/>
              </w:rPr>
            </w:pPr>
          </w:p>
        </w:tc>
      </w:tr>
    </w:tbl>
    <w:p w14:paraId="03D1B876" w14:textId="77777777" w:rsidR="005F4C67" w:rsidRDefault="005F4C67" w:rsidP="00AD738C">
      <w:pPr>
        <w:autoSpaceDE w:val="0"/>
        <w:autoSpaceDN w:val="0"/>
        <w:adjustRightInd w:val="0"/>
        <w:spacing w:before="120" w:after="0" w:line="240" w:lineRule="auto"/>
        <w:ind w:firstLine="720"/>
        <w:jc w:val="both"/>
        <w:rPr>
          <w:rFonts w:ascii="Times New Roman" w:hAnsi="Times New Roman" w:cs="Times New Roman"/>
          <w:sz w:val="24"/>
          <w:szCs w:val="24"/>
        </w:rPr>
      </w:pPr>
      <w:r w:rsidRPr="0096471D">
        <w:rPr>
          <w:rFonts w:ascii="Times New Roman" w:hAnsi="Times New Roman" w:cs="Times New Roman"/>
          <w:sz w:val="24"/>
          <w:szCs w:val="24"/>
        </w:rPr>
        <w:t xml:space="preserve">Apskatot pētījuma rezultātus attiecībā no veikto reformu izmaksu efektivitātes aspekta, tiek secināts, ka līdz 2020.gadam pesimistiskā scenārija gadījumā tiks novērsti 10 059 PZDG, bet reālistiski optimistiskā scenārija gadījumā – 18 666 PZDG, tādējādi vidējās izmaksas par vienu novērstu PZDG šajā vecuma grupā ir attiecīgi 57 361 </w:t>
      </w:r>
      <w:r w:rsidRPr="0096471D">
        <w:rPr>
          <w:rFonts w:ascii="Times New Roman" w:hAnsi="Times New Roman" w:cs="Times New Roman"/>
          <w:i/>
          <w:sz w:val="24"/>
          <w:szCs w:val="24"/>
        </w:rPr>
        <w:t>euro</w:t>
      </w:r>
      <w:r w:rsidRPr="0096471D">
        <w:rPr>
          <w:rFonts w:ascii="Times New Roman" w:hAnsi="Times New Roman" w:cs="Times New Roman"/>
          <w:sz w:val="24"/>
          <w:szCs w:val="24"/>
        </w:rPr>
        <w:t xml:space="preserve"> pesimistiskā un 30 925 </w:t>
      </w:r>
      <w:r w:rsidRPr="0096471D">
        <w:rPr>
          <w:rFonts w:ascii="Times New Roman" w:hAnsi="Times New Roman" w:cs="Times New Roman"/>
          <w:i/>
          <w:sz w:val="24"/>
          <w:szCs w:val="24"/>
        </w:rPr>
        <w:t>euro</w:t>
      </w:r>
      <w:r w:rsidRPr="0096471D">
        <w:rPr>
          <w:rFonts w:ascii="Times New Roman" w:hAnsi="Times New Roman" w:cs="Times New Roman"/>
          <w:sz w:val="24"/>
          <w:szCs w:val="24"/>
        </w:rPr>
        <w:t xml:space="preserve"> reālistiski optimistiskā scenārija gadījumā. </w:t>
      </w:r>
    </w:p>
    <w:p w14:paraId="143F72FF" w14:textId="77777777" w:rsidR="005F4C67" w:rsidRPr="0096471D" w:rsidRDefault="005F4C67" w:rsidP="005F4C67">
      <w:pPr>
        <w:autoSpaceDE w:val="0"/>
        <w:autoSpaceDN w:val="0"/>
        <w:adjustRightInd w:val="0"/>
        <w:spacing w:after="0" w:line="240" w:lineRule="auto"/>
        <w:ind w:firstLine="709"/>
        <w:jc w:val="both"/>
        <w:rPr>
          <w:rFonts w:ascii="Times New Roman" w:hAnsi="Times New Roman" w:cs="Times New Roman"/>
          <w:sz w:val="24"/>
          <w:szCs w:val="24"/>
        </w:rPr>
      </w:pPr>
      <w:r w:rsidRPr="0096471D">
        <w:rPr>
          <w:rFonts w:ascii="Times New Roman" w:hAnsi="Times New Roman" w:cs="Times New Roman"/>
          <w:sz w:val="24"/>
          <w:szCs w:val="24"/>
        </w:rPr>
        <w:t xml:space="preserve">Atbilstoši veiktajam novērtējumam veselības reformas veiksmīga īstenošana līdz 2023.gadam nodrošinās IKP līmeņa pieaugumu par 2,2% un palielinās iedzīvotāju nodarbinātību par 0,6%. Savukārt reformas pozitīvā ietekme līdz 2038.gadā varētu nodrošināt IKP līmeņa pieaugumu jau par 11,28% un nodarbinātības kāpumu attiecīgi par 1,82%. Ņemot vērā fiskālās izmaksas, neto pozitīvā ietekme uz tautsaimniecību 2038.gadā sasniegs 3,87% no IKP. </w:t>
      </w:r>
    </w:p>
    <w:p w14:paraId="721F8D62" w14:textId="6DF28D29" w:rsidR="005F4C67" w:rsidRDefault="005F4C67" w:rsidP="005F4C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Relatīvi pret citām nozarēm Latvija laika</w:t>
      </w:r>
      <w:r w:rsidR="00AD738C">
        <w:rPr>
          <w:rFonts w:ascii="Times New Roman" w:hAnsi="Times New Roman" w:cs="Times New Roman"/>
          <w:sz w:val="24"/>
          <w:szCs w:val="24"/>
        </w:rPr>
        <w:t xml:space="preserve"> posmā no</w:t>
      </w:r>
      <w:r w:rsidR="00B63BC3">
        <w:rPr>
          <w:rFonts w:ascii="Times New Roman" w:hAnsi="Times New Roman" w:cs="Times New Roman"/>
          <w:sz w:val="24"/>
          <w:szCs w:val="24"/>
        </w:rPr>
        <w:t xml:space="preserve"> 2014.</w:t>
      </w:r>
      <w:r w:rsidR="00AD738C">
        <w:rPr>
          <w:rFonts w:ascii="Times New Roman" w:hAnsi="Times New Roman" w:cs="Times New Roman"/>
          <w:sz w:val="24"/>
          <w:szCs w:val="24"/>
        </w:rPr>
        <w:t>gada līdz 2019.</w:t>
      </w:r>
      <w:r>
        <w:rPr>
          <w:rFonts w:ascii="Times New Roman" w:hAnsi="Times New Roman" w:cs="Times New Roman"/>
          <w:sz w:val="24"/>
          <w:szCs w:val="24"/>
        </w:rPr>
        <w:t>gadam ir spējusi nodrošināt būtisku finansējuma pieaugumu veselības aprūpes nozarei. It īpaši tas panākts, izmantojot SIP elastības klauzulu veselības reformas īstenošanā.</w:t>
      </w:r>
    </w:p>
    <w:p w14:paraId="3F7FE702" w14:textId="475F2132" w:rsidR="005F4C67" w:rsidRPr="0096471D" w:rsidRDefault="00FC7A05" w:rsidP="00AD738C">
      <w:pPr>
        <w:spacing w:before="120" w:after="60" w:line="240" w:lineRule="auto"/>
        <w:ind w:firstLine="720"/>
        <w:jc w:val="right"/>
        <w:rPr>
          <w:rFonts w:ascii="Times New Roman" w:hAnsi="Times New Roman"/>
          <w:b/>
          <w:sz w:val="24"/>
          <w:szCs w:val="24"/>
        </w:rPr>
      </w:pPr>
      <w:r>
        <w:rPr>
          <w:rFonts w:ascii="Times New Roman" w:hAnsi="Times New Roman"/>
          <w:b/>
          <w:sz w:val="24"/>
          <w:szCs w:val="24"/>
        </w:rPr>
        <w:lastRenderedPageBreak/>
        <w:t>3.19</w:t>
      </w:r>
      <w:r w:rsidR="005F4C67">
        <w:rPr>
          <w:rFonts w:ascii="Times New Roman" w:hAnsi="Times New Roman"/>
          <w:b/>
          <w:sz w:val="24"/>
          <w:szCs w:val="24"/>
        </w:rPr>
        <w:t>.</w:t>
      </w:r>
      <w:r w:rsidR="005F4C67" w:rsidRPr="0096471D">
        <w:rPr>
          <w:rFonts w:ascii="Times New Roman" w:hAnsi="Times New Roman"/>
          <w:b/>
          <w:sz w:val="24"/>
          <w:szCs w:val="24"/>
        </w:rPr>
        <w:t>tabula. Veselības nozares piešķirtie papildu finanšu līdzekļi</w:t>
      </w:r>
      <w:r w:rsidR="005F4C67">
        <w:rPr>
          <w:rFonts w:ascii="Times New Roman" w:hAnsi="Times New Roman"/>
          <w:b/>
          <w:sz w:val="24"/>
          <w:szCs w:val="24"/>
        </w:rPr>
        <w:t xml:space="preserve"> saskaņā ar vidēja termiņa budžeta ietvara likumiem</w:t>
      </w:r>
      <w:r w:rsidR="005F4C67" w:rsidRPr="0096471D">
        <w:rPr>
          <w:rFonts w:ascii="Times New Roman" w:hAnsi="Times New Roman"/>
          <w:b/>
          <w:sz w:val="24"/>
          <w:szCs w:val="24"/>
        </w:rPr>
        <w:t xml:space="preserve">, milj. </w:t>
      </w:r>
      <w:r w:rsidR="005F4C67" w:rsidRPr="0096471D">
        <w:rPr>
          <w:rFonts w:ascii="Times New Roman" w:hAnsi="Times New Roman"/>
          <w:b/>
          <w:i/>
          <w:sz w:val="24"/>
          <w:szCs w:val="24"/>
        </w:rPr>
        <w:t>euro</w:t>
      </w:r>
    </w:p>
    <w:tbl>
      <w:tblPr>
        <w:tblStyle w:val="GridTable6Colorful-Accent1"/>
        <w:tblW w:w="9198" w:type="dxa"/>
        <w:jc w:val="center"/>
        <w:tblLayout w:type="fixed"/>
        <w:tblLook w:val="04A0" w:firstRow="1" w:lastRow="0" w:firstColumn="1" w:lastColumn="0" w:noHBand="0" w:noVBand="1"/>
      </w:tblPr>
      <w:tblGrid>
        <w:gridCol w:w="4269"/>
        <w:gridCol w:w="704"/>
        <w:gridCol w:w="704"/>
        <w:gridCol w:w="704"/>
        <w:gridCol w:w="704"/>
        <w:gridCol w:w="704"/>
        <w:gridCol w:w="704"/>
        <w:gridCol w:w="705"/>
      </w:tblGrid>
      <w:tr w:rsidR="005F4C67" w:rsidRPr="00E43278" w14:paraId="1936F9EC" w14:textId="77777777" w:rsidTr="004D5E99">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14:paraId="28CDFBB0" w14:textId="77777777" w:rsidR="005F4C67" w:rsidRPr="00E43278" w:rsidRDefault="005F4C67" w:rsidP="005F4C67">
            <w:pPr>
              <w:rPr>
                <w:rFonts w:ascii="Times New Roman" w:eastAsia="Times New Roman" w:hAnsi="Times New Roman" w:cs="Times New Roman"/>
                <w:b w:val="0"/>
                <w:bCs w:val="0"/>
                <w:color w:val="000000"/>
                <w:sz w:val="20"/>
                <w:szCs w:val="20"/>
                <w:lang w:eastAsia="lv-LV"/>
              </w:rPr>
            </w:pPr>
            <w:r w:rsidRPr="00E43278">
              <w:rPr>
                <w:rFonts w:ascii="Times New Roman" w:eastAsia="Times New Roman" w:hAnsi="Times New Roman" w:cs="Times New Roman"/>
                <w:b w:val="0"/>
                <w:bCs w:val="0"/>
                <w:color w:val="000000"/>
                <w:sz w:val="20"/>
                <w:szCs w:val="20"/>
                <w:lang w:eastAsia="lv-LV"/>
              </w:rPr>
              <w:t> </w:t>
            </w:r>
          </w:p>
        </w:tc>
        <w:tc>
          <w:tcPr>
            <w:tcW w:w="704" w:type="dxa"/>
            <w:noWrap/>
            <w:hideMark/>
          </w:tcPr>
          <w:p w14:paraId="013D5F1D" w14:textId="77777777" w:rsidR="005F4C67" w:rsidRPr="00F3248F"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F3248F">
              <w:rPr>
                <w:rFonts w:ascii="Times New Roman" w:eastAsia="Times New Roman" w:hAnsi="Times New Roman" w:cs="Times New Roman"/>
                <w:bCs w:val="0"/>
                <w:color w:val="000000"/>
                <w:sz w:val="20"/>
                <w:szCs w:val="20"/>
                <w:lang w:eastAsia="lv-LV"/>
              </w:rPr>
              <w:t>2014</w:t>
            </w:r>
          </w:p>
        </w:tc>
        <w:tc>
          <w:tcPr>
            <w:tcW w:w="704" w:type="dxa"/>
            <w:noWrap/>
            <w:hideMark/>
          </w:tcPr>
          <w:p w14:paraId="2A769CA6" w14:textId="77777777" w:rsidR="005F4C67" w:rsidRPr="00F3248F"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F3248F">
              <w:rPr>
                <w:rFonts w:ascii="Times New Roman" w:eastAsia="Times New Roman" w:hAnsi="Times New Roman" w:cs="Times New Roman"/>
                <w:bCs w:val="0"/>
                <w:color w:val="000000"/>
                <w:sz w:val="20"/>
                <w:szCs w:val="20"/>
                <w:lang w:eastAsia="lv-LV"/>
              </w:rPr>
              <w:t>2015</w:t>
            </w:r>
          </w:p>
        </w:tc>
        <w:tc>
          <w:tcPr>
            <w:tcW w:w="704" w:type="dxa"/>
            <w:noWrap/>
            <w:hideMark/>
          </w:tcPr>
          <w:p w14:paraId="2364603A" w14:textId="77777777" w:rsidR="005F4C67" w:rsidRPr="00F3248F"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F3248F">
              <w:rPr>
                <w:rFonts w:ascii="Times New Roman" w:eastAsia="Times New Roman" w:hAnsi="Times New Roman" w:cs="Times New Roman"/>
                <w:bCs w:val="0"/>
                <w:color w:val="000000"/>
                <w:sz w:val="20"/>
                <w:szCs w:val="20"/>
                <w:lang w:eastAsia="lv-LV"/>
              </w:rPr>
              <w:t>2016</w:t>
            </w:r>
          </w:p>
        </w:tc>
        <w:tc>
          <w:tcPr>
            <w:tcW w:w="704" w:type="dxa"/>
            <w:noWrap/>
            <w:hideMark/>
          </w:tcPr>
          <w:p w14:paraId="5CCC60D4" w14:textId="77777777" w:rsidR="005F4C67" w:rsidRPr="00F3248F"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F3248F">
              <w:rPr>
                <w:rFonts w:ascii="Times New Roman" w:eastAsia="Times New Roman" w:hAnsi="Times New Roman" w:cs="Times New Roman"/>
                <w:bCs w:val="0"/>
                <w:color w:val="000000"/>
                <w:sz w:val="20"/>
                <w:szCs w:val="20"/>
                <w:lang w:eastAsia="lv-LV"/>
              </w:rPr>
              <w:t>2017</w:t>
            </w:r>
          </w:p>
        </w:tc>
        <w:tc>
          <w:tcPr>
            <w:tcW w:w="704" w:type="dxa"/>
            <w:hideMark/>
          </w:tcPr>
          <w:p w14:paraId="27AB9FB6" w14:textId="77777777" w:rsidR="005F4C67" w:rsidRPr="00F3248F"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F3248F">
              <w:rPr>
                <w:rFonts w:ascii="Times New Roman" w:eastAsia="Times New Roman" w:hAnsi="Times New Roman" w:cs="Times New Roman"/>
                <w:bCs w:val="0"/>
                <w:color w:val="000000"/>
                <w:sz w:val="20"/>
                <w:szCs w:val="20"/>
                <w:lang w:eastAsia="lv-LV"/>
              </w:rPr>
              <w:t>2018</w:t>
            </w:r>
          </w:p>
        </w:tc>
        <w:tc>
          <w:tcPr>
            <w:tcW w:w="704" w:type="dxa"/>
            <w:hideMark/>
          </w:tcPr>
          <w:p w14:paraId="7E1AE07B" w14:textId="77777777" w:rsidR="005F4C67" w:rsidRPr="00F3248F"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F3248F">
              <w:rPr>
                <w:rFonts w:ascii="Times New Roman" w:eastAsia="Times New Roman" w:hAnsi="Times New Roman" w:cs="Times New Roman"/>
                <w:bCs w:val="0"/>
                <w:color w:val="000000"/>
                <w:sz w:val="20"/>
                <w:szCs w:val="20"/>
                <w:lang w:eastAsia="lv-LV"/>
              </w:rPr>
              <w:t>2019</w:t>
            </w:r>
          </w:p>
        </w:tc>
        <w:tc>
          <w:tcPr>
            <w:tcW w:w="705" w:type="dxa"/>
            <w:hideMark/>
          </w:tcPr>
          <w:p w14:paraId="6822C6F1" w14:textId="77777777" w:rsidR="005F4C67" w:rsidRPr="00F3248F" w:rsidRDefault="005F4C67" w:rsidP="005F4C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lv-LV"/>
              </w:rPr>
            </w:pPr>
            <w:r w:rsidRPr="00F3248F">
              <w:rPr>
                <w:rFonts w:ascii="Times New Roman" w:eastAsia="Times New Roman" w:hAnsi="Times New Roman" w:cs="Times New Roman"/>
                <w:bCs w:val="0"/>
                <w:color w:val="000000"/>
                <w:sz w:val="20"/>
                <w:szCs w:val="20"/>
                <w:lang w:eastAsia="lv-LV"/>
              </w:rPr>
              <w:t>2020</w:t>
            </w:r>
          </w:p>
        </w:tc>
      </w:tr>
      <w:tr w:rsidR="005F4C67" w:rsidRPr="00E43278" w14:paraId="1FE0332D" w14:textId="77777777" w:rsidTr="004D5E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14:paraId="6D1E9B90" w14:textId="77777777" w:rsidR="005F4C67" w:rsidRPr="00AD738C" w:rsidRDefault="005F4C67" w:rsidP="005F4C67">
            <w:pPr>
              <w:rPr>
                <w:rFonts w:ascii="Times New Roman" w:eastAsia="Times New Roman" w:hAnsi="Times New Roman" w:cs="Times New Roman"/>
                <w:bCs w:val="0"/>
                <w:color w:val="000000"/>
                <w:sz w:val="20"/>
                <w:szCs w:val="20"/>
                <w:lang w:eastAsia="lv-LV"/>
              </w:rPr>
            </w:pPr>
            <w:r w:rsidRPr="00AD738C">
              <w:rPr>
                <w:rFonts w:ascii="Times New Roman" w:eastAsia="Times New Roman" w:hAnsi="Times New Roman" w:cs="Times New Roman"/>
                <w:bCs w:val="0"/>
                <w:color w:val="000000"/>
                <w:sz w:val="20"/>
                <w:szCs w:val="20"/>
                <w:lang w:eastAsia="lv-LV"/>
              </w:rPr>
              <w:t>Ietvara likums 2014-2016</w:t>
            </w:r>
          </w:p>
        </w:tc>
        <w:tc>
          <w:tcPr>
            <w:tcW w:w="704" w:type="dxa"/>
            <w:vAlign w:val="center"/>
            <w:hideMark/>
          </w:tcPr>
          <w:p w14:paraId="4A42D26E"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42</w:t>
            </w:r>
          </w:p>
        </w:tc>
        <w:tc>
          <w:tcPr>
            <w:tcW w:w="704" w:type="dxa"/>
            <w:noWrap/>
            <w:vAlign w:val="center"/>
            <w:hideMark/>
          </w:tcPr>
          <w:p w14:paraId="008FAE31"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48,9</w:t>
            </w:r>
          </w:p>
        </w:tc>
        <w:tc>
          <w:tcPr>
            <w:tcW w:w="704" w:type="dxa"/>
            <w:noWrap/>
            <w:vAlign w:val="center"/>
            <w:hideMark/>
          </w:tcPr>
          <w:p w14:paraId="231A3451"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51</w:t>
            </w:r>
          </w:p>
        </w:tc>
        <w:tc>
          <w:tcPr>
            <w:tcW w:w="704" w:type="dxa"/>
            <w:noWrap/>
            <w:vAlign w:val="center"/>
            <w:hideMark/>
          </w:tcPr>
          <w:p w14:paraId="3F55C8D7" w14:textId="08826DD5"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vAlign w:val="center"/>
            <w:hideMark/>
          </w:tcPr>
          <w:p w14:paraId="5906B509" w14:textId="002D07C1"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vAlign w:val="center"/>
            <w:hideMark/>
          </w:tcPr>
          <w:p w14:paraId="715C0304"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c>
          <w:tcPr>
            <w:tcW w:w="705" w:type="dxa"/>
            <w:vAlign w:val="center"/>
            <w:hideMark/>
          </w:tcPr>
          <w:p w14:paraId="71ECAE1B"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r>
      <w:tr w:rsidR="005F4C67" w:rsidRPr="00E43278" w14:paraId="0DF45AB8" w14:textId="77777777" w:rsidTr="004D5E99">
        <w:trPr>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14:paraId="77181871" w14:textId="77777777" w:rsidR="005F4C67" w:rsidRPr="00AD738C" w:rsidRDefault="005F4C67" w:rsidP="005F4C67">
            <w:pPr>
              <w:rPr>
                <w:rFonts w:ascii="Times New Roman" w:eastAsia="Times New Roman" w:hAnsi="Times New Roman" w:cs="Times New Roman"/>
                <w:bCs w:val="0"/>
                <w:color w:val="000000"/>
                <w:sz w:val="20"/>
                <w:szCs w:val="20"/>
                <w:lang w:eastAsia="lv-LV"/>
              </w:rPr>
            </w:pPr>
            <w:r w:rsidRPr="00AD738C">
              <w:rPr>
                <w:rFonts w:ascii="Times New Roman" w:eastAsia="Times New Roman" w:hAnsi="Times New Roman" w:cs="Times New Roman"/>
                <w:bCs w:val="0"/>
                <w:color w:val="000000"/>
                <w:sz w:val="20"/>
                <w:szCs w:val="20"/>
                <w:lang w:eastAsia="lv-LV"/>
              </w:rPr>
              <w:t>Ietvara likums 2015-2017</w:t>
            </w:r>
          </w:p>
        </w:tc>
        <w:tc>
          <w:tcPr>
            <w:tcW w:w="704" w:type="dxa"/>
            <w:noWrap/>
            <w:vAlign w:val="center"/>
            <w:hideMark/>
          </w:tcPr>
          <w:p w14:paraId="726E91BF" w14:textId="0D573C16"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14:paraId="16DA3F68"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30,6</w:t>
            </w:r>
          </w:p>
        </w:tc>
        <w:tc>
          <w:tcPr>
            <w:tcW w:w="704" w:type="dxa"/>
            <w:noWrap/>
            <w:vAlign w:val="center"/>
            <w:hideMark/>
          </w:tcPr>
          <w:p w14:paraId="4DBF255D"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30,6</w:t>
            </w:r>
          </w:p>
        </w:tc>
        <w:tc>
          <w:tcPr>
            <w:tcW w:w="704" w:type="dxa"/>
            <w:noWrap/>
            <w:vAlign w:val="center"/>
            <w:hideMark/>
          </w:tcPr>
          <w:p w14:paraId="39093D8C"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30,6</w:t>
            </w:r>
          </w:p>
        </w:tc>
        <w:tc>
          <w:tcPr>
            <w:tcW w:w="704" w:type="dxa"/>
            <w:vAlign w:val="center"/>
            <w:hideMark/>
          </w:tcPr>
          <w:p w14:paraId="328AF8C1" w14:textId="0DB00FEE"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vAlign w:val="center"/>
            <w:hideMark/>
          </w:tcPr>
          <w:p w14:paraId="1875D63D"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c>
          <w:tcPr>
            <w:tcW w:w="705" w:type="dxa"/>
            <w:vAlign w:val="center"/>
            <w:hideMark/>
          </w:tcPr>
          <w:p w14:paraId="7BA898A1"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r>
      <w:tr w:rsidR="005F4C67" w:rsidRPr="00E43278" w14:paraId="763044A3" w14:textId="77777777" w:rsidTr="004D5E9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14:paraId="7248ECA1" w14:textId="77777777" w:rsidR="005F4C67" w:rsidRPr="00AD738C" w:rsidRDefault="005F4C67" w:rsidP="005F4C67">
            <w:pPr>
              <w:rPr>
                <w:rFonts w:ascii="Times New Roman" w:eastAsia="Times New Roman" w:hAnsi="Times New Roman" w:cs="Times New Roman"/>
                <w:bCs w:val="0"/>
                <w:color w:val="000000"/>
                <w:sz w:val="20"/>
                <w:szCs w:val="20"/>
                <w:lang w:eastAsia="lv-LV"/>
              </w:rPr>
            </w:pPr>
            <w:r w:rsidRPr="00AD738C">
              <w:rPr>
                <w:rFonts w:ascii="Times New Roman" w:eastAsia="Times New Roman" w:hAnsi="Times New Roman" w:cs="Times New Roman"/>
                <w:bCs w:val="0"/>
                <w:color w:val="000000"/>
                <w:sz w:val="20"/>
                <w:szCs w:val="20"/>
                <w:lang w:eastAsia="lv-LV"/>
              </w:rPr>
              <w:t>Ietvara likums 2016-2018</w:t>
            </w:r>
          </w:p>
        </w:tc>
        <w:tc>
          <w:tcPr>
            <w:tcW w:w="704" w:type="dxa"/>
            <w:noWrap/>
            <w:vAlign w:val="center"/>
            <w:hideMark/>
          </w:tcPr>
          <w:p w14:paraId="72AAC7A2" w14:textId="38D33FAA"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14:paraId="1CB98877" w14:textId="7A7A3872"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14:paraId="14B50564"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23,3</w:t>
            </w:r>
          </w:p>
        </w:tc>
        <w:tc>
          <w:tcPr>
            <w:tcW w:w="704" w:type="dxa"/>
            <w:noWrap/>
            <w:vAlign w:val="center"/>
            <w:hideMark/>
          </w:tcPr>
          <w:p w14:paraId="7F9C7DBA"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xml:space="preserve">23,3 </w:t>
            </w:r>
          </w:p>
        </w:tc>
        <w:tc>
          <w:tcPr>
            <w:tcW w:w="704" w:type="dxa"/>
            <w:vAlign w:val="center"/>
            <w:hideMark/>
          </w:tcPr>
          <w:p w14:paraId="319055D0"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23,3</w:t>
            </w:r>
          </w:p>
        </w:tc>
        <w:tc>
          <w:tcPr>
            <w:tcW w:w="704" w:type="dxa"/>
            <w:vAlign w:val="center"/>
            <w:hideMark/>
          </w:tcPr>
          <w:p w14:paraId="0938CF2D"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c>
          <w:tcPr>
            <w:tcW w:w="705" w:type="dxa"/>
            <w:vAlign w:val="center"/>
            <w:hideMark/>
          </w:tcPr>
          <w:p w14:paraId="6370B72E"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r>
      <w:tr w:rsidR="005F4C67" w:rsidRPr="00E43278" w14:paraId="4D1D209F" w14:textId="77777777" w:rsidTr="004D5E99">
        <w:trPr>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14:paraId="34C614C1" w14:textId="77777777" w:rsidR="005F4C67" w:rsidRPr="00AD738C" w:rsidRDefault="005F4C67" w:rsidP="005F4C67">
            <w:pPr>
              <w:rPr>
                <w:rFonts w:ascii="Times New Roman" w:eastAsia="Times New Roman" w:hAnsi="Times New Roman" w:cs="Times New Roman"/>
                <w:bCs w:val="0"/>
                <w:color w:val="000000"/>
                <w:sz w:val="20"/>
                <w:szCs w:val="20"/>
                <w:lang w:eastAsia="lv-LV"/>
              </w:rPr>
            </w:pPr>
            <w:r w:rsidRPr="00AD738C">
              <w:rPr>
                <w:rFonts w:ascii="Times New Roman" w:eastAsia="Times New Roman" w:hAnsi="Times New Roman" w:cs="Times New Roman"/>
                <w:bCs w:val="0"/>
                <w:color w:val="000000"/>
                <w:sz w:val="20"/>
                <w:szCs w:val="20"/>
                <w:lang w:eastAsia="lv-LV"/>
              </w:rPr>
              <w:t>Ietvara likums 2017-2019</w:t>
            </w:r>
          </w:p>
        </w:tc>
        <w:tc>
          <w:tcPr>
            <w:tcW w:w="704" w:type="dxa"/>
            <w:noWrap/>
            <w:vAlign w:val="center"/>
            <w:hideMark/>
          </w:tcPr>
          <w:p w14:paraId="2E170D8D"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c>
          <w:tcPr>
            <w:tcW w:w="704" w:type="dxa"/>
            <w:noWrap/>
            <w:vAlign w:val="center"/>
            <w:hideMark/>
          </w:tcPr>
          <w:p w14:paraId="456FA11B"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c>
          <w:tcPr>
            <w:tcW w:w="704" w:type="dxa"/>
            <w:noWrap/>
            <w:vAlign w:val="center"/>
            <w:hideMark/>
          </w:tcPr>
          <w:p w14:paraId="66845C34"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c>
          <w:tcPr>
            <w:tcW w:w="704" w:type="dxa"/>
            <w:noWrap/>
            <w:vAlign w:val="center"/>
            <w:hideMark/>
          </w:tcPr>
          <w:p w14:paraId="7ED21718"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34,3</w:t>
            </w:r>
          </w:p>
        </w:tc>
        <w:tc>
          <w:tcPr>
            <w:tcW w:w="704" w:type="dxa"/>
            <w:vAlign w:val="center"/>
            <w:hideMark/>
          </w:tcPr>
          <w:p w14:paraId="5CCCFC9C"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110,7</w:t>
            </w:r>
          </w:p>
        </w:tc>
        <w:tc>
          <w:tcPr>
            <w:tcW w:w="704" w:type="dxa"/>
            <w:vAlign w:val="center"/>
            <w:hideMark/>
          </w:tcPr>
          <w:p w14:paraId="3F03E77B"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146,6</w:t>
            </w:r>
          </w:p>
        </w:tc>
        <w:tc>
          <w:tcPr>
            <w:tcW w:w="705" w:type="dxa"/>
            <w:vAlign w:val="center"/>
            <w:hideMark/>
          </w:tcPr>
          <w:p w14:paraId="13D4285C" w14:textId="77777777" w:rsidR="005F4C67" w:rsidRPr="00E43278"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r>
      <w:tr w:rsidR="005F4C67" w:rsidRPr="00E43278" w14:paraId="7AA2F83D" w14:textId="77777777" w:rsidTr="004D5E9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14:paraId="71794D60" w14:textId="77777777" w:rsidR="005F4C67" w:rsidRPr="00AD738C" w:rsidRDefault="005F4C67" w:rsidP="005F4C67">
            <w:pPr>
              <w:rPr>
                <w:rFonts w:ascii="Times New Roman" w:eastAsia="Times New Roman" w:hAnsi="Times New Roman" w:cs="Times New Roman"/>
                <w:bCs w:val="0"/>
                <w:color w:val="000000"/>
                <w:sz w:val="20"/>
                <w:szCs w:val="20"/>
                <w:lang w:eastAsia="lv-LV"/>
              </w:rPr>
            </w:pPr>
            <w:r w:rsidRPr="00AD738C">
              <w:rPr>
                <w:rFonts w:ascii="Times New Roman" w:eastAsia="Times New Roman" w:hAnsi="Times New Roman" w:cs="Times New Roman"/>
                <w:bCs w:val="0"/>
                <w:color w:val="000000"/>
                <w:sz w:val="20"/>
                <w:szCs w:val="20"/>
                <w:lang w:eastAsia="lv-LV"/>
              </w:rPr>
              <w:t>Papildu izdevumu palielinājums pret iepriekšējo gadu (kumulatīvi)</w:t>
            </w:r>
          </w:p>
        </w:tc>
        <w:tc>
          <w:tcPr>
            <w:tcW w:w="704" w:type="dxa"/>
            <w:noWrap/>
            <w:vAlign w:val="center"/>
            <w:hideMark/>
          </w:tcPr>
          <w:p w14:paraId="559A3F01"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42</w:t>
            </w:r>
          </w:p>
        </w:tc>
        <w:tc>
          <w:tcPr>
            <w:tcW w:w="704" w:type="dxa"/>
            <w:noWrap/>
            <w:vAlign w:val="center"/>
            <w:hideMark/>
          </w:tcPr>
          <w:p w14:paraId="196FEF32"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37,5</w:t>
            </w:r>
          </w:p>
        </w:tc>
        <w:tc>
          <w:tcPr>
            <w:tcW w:w="704" w:type="dxa"/>
            <w:noWrap/>
            <w:vAlign w:val="center"/>
            <w:hideMark/>
          </w:tcPr>
          <w:p w14:paraId="7637FEDE"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25,4</w:t>
            </w:r>
          </w:p>
        </w:tc>
        <w:tc>
          <w:tcPr>
            <w:tcW w:w="704" w:type="dxa"/>
            <w:noWrap/>
            <w:vAlign w:val="center"/>
            <w:hideMark/>
          </w:tcPr>
          <w:p w14:paraId="5D398335" w14:textId="77777777" w:rsidR="005F4C67" w:rsidRPr="00D01E22"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01E22">
              <w:rPr>
                <w:rFonts w:ascii="Times New Roman" w:eastAsia="Times New Roman" w:hAnsi="Times New Roman" w:cs="Times New Roman"/>
                <w:color w:val="000000"/>
                <w:sz w:val="20"/>
                <w:szCs w:val="20"/>
                <w:lang w:eastAsia="lv-LV"/>
              </w:rPr>
              <w:t>34,3</w:t>
            </w:r>
          </w:p>
        </w:tc>
        <w:tc>
          <w:tcPr>
            <w:tcW w:w="704" w:type="dxa"/>
            <w:vAlign w:val="center"/>
            <w:hideMark/>
          </w:tcPr>
          <w:p w14:paraId="026B6C23" w14:textId="77777777" w:rsidR="005F4C67" w:rsidRPr="00D01E22"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01E22">
              <w:rPr>
                <w:rFonts w:ascii="Times New Roman" w:eastAsia="Times New Roman" w:hAnsi="Times New Roman" w:cs="Times New Roman"/>
                <w:color w:val="000000"/>
                <w:sz w:val="20"/>
                <w:szCs w:val="20"/>
                <w:lang w:eastAsia="lv-LV"/>
              </w:rPr>
              <w:t>76,4</w:t>
            </w:r>
          </w:p>
        </w:tc>
        <w:tc>
          <w:tcPr>
            <w:tcW w:w="704" w:type="dxa"/>
            <w:vAlign w:val="center"/>
            <w:hideMark/>
          </w:tcPr>
          <w:p w14:paraId="6E20330F" w14:textId="77777777" w:rsidR="005F4C67" w:rsidRPr="00D01E22"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D01E22">
              <w:rPr>
                <w:rFonts w:ascii="Times New Roman" w:eastAsia="Times New Roman" w:hAnsi="Times New Roman" w:cs="Times New Roman"/>
                <w:color w:val="000000"/>
                <w:sz w:val="20"/>
                <w:szCs w:val="20"/>
                <w:lang w:eastAsia="lv-LV"/>
              </w:rPr>
              <w:t>35,9</w:t>
            </w:r>
          </w:p>
        </w:tc>
        <w:tc>
          <w:tcPr>
            <w:tcW w:w="705" w:type="dxa"/>
            <w:vAlign w:val="center"/>
            <w:hideMark/>
          </w:tcPr>
          <w:p w14:paraId="6453B711" w14:textId="77777777" w:rsidR="005F4C67" w:rsidRPr="00E43278"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E43278">
              <w:rPr>
                <w:rFonts w:ascii="Times New Roman" w:eastAsia="Times New Roman" w:hAnsi="Times New Roman" w:cs="Times New Roman"/>
                <w:color w:val="000000"/>
                <w:sz w:val="20"/>
                <w:szCs w:val="20"/>
                <w:lang w:eastAsia="lv-LV"/>
              </w:rPr>
              <w:t> </w:t>
            </w:r>
          </w:p>
        </w:tc>
      </w:tr>
    </w:tbl>
    <w:p w14:paraId="1FDBDF8A" w14:textId="14170F6E" w:rsidR="005F4C67" w:rsidRPr="00FD5680" w:rsidRDefault="005F4C67" w:rsidP="00AD738C">
      <w:pPr>
        <w:spacing w:before="120" w:after="0" w:line="240" w:lineRule="auto"/>
        <w:ind w:firstLine="720"/>
        <w:jc w:val="both"/>
        <w:rPr>
          <w:rFonts w:ascii="Times New Roman" w:hAnsi="Times New Roman" w:cs="Times New Roman"/>
          <w:sz w:val="24"/>
          <w:szCs w:val="24"/>
        </w:rPr>
      </w:pPr>
      <w:r w:rsidRPr="0067621B">
        <w:rPr>
          <w:rFonts w:ascii="Times New Roman" w:hAnsi="Times New Roman" w:cs="Times New Roman"/>
          <w:sz w:val="24"/>
          <w:szCs w:val="24"/>
        </w:rPr>
        <w:t>Ar minēto finansējuma pieaugumu Latvija kopumā ir spējusi nodrošināt finansējuma pieaugumu veselības aprūpes nozarei atbilstoši Sabiedrības veselības pamatnostādņu 2014</w:t>
      </w:r>
      <w:r w:rsidR="00B63BC3">
        <w:rPr>
          <w:rFonts w:ascii="Times New Roman" w:hAnsi="Times New Roman" w:cs="Times New Roman"/>
          <w:sz w:val="24"/>
          <w:szCs w:val="24"/>
        </w:rPr>
        <w:t>.-2020.</w:t>
      </w:r>
      <w:r w:rsidRPr="0067621B">
        <w:rPr>
          <w:rFonts w:ascii="Times New Roman" w:hAnsi="Times New Roman" w:cs="Times New Roman"/>
          <w:sz w:val="24"/>
          <w:szCs w:val="24"/>
        </w:rPr>
        <w:t>gadam plānotajam finansējuma pieaugumam.</w:t>
      </w:r>
    </w:p>
    <w:p w14:paraId="511B6B5A" w14:textId="77777777" w:rsidR="005F4C67" w:rsidRDefault="005F4C67" w:rsidP="005F4C67">
      <w:pPr>
        <w:spacing w:after="0" w:line="240" w:lineRule="auto"/>
        <w:ind w:firstLine="720"/>
        <w:jc w:val="both"/>
        <w:rPr>
          <w:rFonts w:ascii="Times New Roman" w:hAnsi="Times New Roman" w:cs="Times New Roman"/>
          <w:sz w:val="24"/>
          <w:szCs w:val="24"/>
        </w:rPr>
      </w:pPr>
    </w:p>
    <w:p w14:paraId="23F23AB5" w14:textId="3F013B1C" w:rsidR="005F4C67" w:rsidRDefault="005D20A1" w:rsidP="00AD738C">
      <w:pPr>
        <w:spacing w:after="0" w:line="240" w:lineRule="auto"/>
        <w:jc w:val="both"/>
        <w:rPr>
          <w:rFonts w:ascii="Times New Roman" w:hAnsi="Times New Roman" w:cs="Times New Roman"/>
          <w:sz w:val="24"/>
          <w:szCs w:val="24"/>
        </w:rPr>
      </w:pPr>
      <w:r>
        <w:rPr>
          <w:noProof/>
          <w:lang w:eastAsia="lv-LV"/>
        </w:rPr>
        <w:drawing>
          <wp:inline distT="0" distB="0" distL="0" distR="0" wp14:anchorId="2D45741E" wp14:editId="4425865D">
            <wp:extent cx="5812404" cy="3013544"/>
            <wp:effectExtent l="0" t="0" r="17145"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B844E6" w14:textId="2190044E" w:rsidR="005F4C67" w:rsidRDefault="00C12F8D" w:rsidP="00AD738C">
      <w:pPr>
        <w:spacing w:before="60" w:after="120" w:line="240" w:lineRule="auto"/>
        <w:jc w:val="center"/>
        <w:rPr>
          <w:rFonts w:ascii="Times New Roman" w:hAnsi="Times New Roman" w:cs="Times New Roman"/>
          <w:b/>
          <w:sz w:val="24"/>
          <w:szCs w:val="24"/>
        </w:rPr>
      </w:pPr>
      <w:r>
        <w:rPr>
          <w:rFonts w:ascii="Times New Roman" w:hAnsi="Times New Roman" w:cs="Times New Roman"/>
          <w:b/>
          <w:sz w:val="24"/>
          <w:szCs w:val="24"/>
        </w:rPr>
        <w:t>3.8</w:t>
      </w:r>
      <w:r w:rsidR="00A507C8">
        <w:rPr>
          <w:rFonts w:ascii="Times New Roman" w:hAnsi="Times New Roman" w:cs="Times New Roman"/>
          <w:b/>
          <w:sz w:val="24"/>
          <w:szCs w:val="24"/>
        </w:rPr>
        <w:t>.</w:t>
      </w:r>
      <w:r w:rsidR="005F4C67">
        <w:rPr>
          <w:rFonts w:ascii="Times New Roman" w:hAnsi="Times New Roman" w:cs="Times New Roman"/>
          <w:b/>
          <w:sz w:val="24"/>
          <w:szCs w:val="24"/>
        </w:rPr>
        <w:t xml:space="preserve">attēls. Pamatnostādnēs izmantotā finansējuma pieauguma scenārijs un faktiskais finansējuma </w:t>
      </w:r>
      <w:r w:rsidR="005F4C67" w:rsidRPr="00AD738C">
        <w:rPr>
          <w:rFonts w:ascii="Times New Roman" w:hAnsi="Times New Roman" w:cs="Times New Roman"/>
          <w:b/>
          <w:sz w:val="24"/>
          <w:szCs w:val="24"/>
        </w:rPr>
        <w:t>pieaugums</w:t>
      </w:r>
      <w:r w:rsidR="005F4C67" w:rsidRPr="00AD738C">
        <w:rPr>
          <w:rStyle w:val="FootnoteReference"/>
          <w:rFonts w:ascii="Times New Roman" w:hAnsi="Times New Roman" w:cs="Times New Roman"/>
          <w:sz w:val="24"/>
          <w:szCs w:val="24"/>
        </w:rPr>
        <w:footnoteReference w:id="19"/>
      </w:r>
    </w:p>
    <w:p w14:paraId="3337ED45" w14:textId="77777777" w:rsidR="005F4C67" w:rsidRDefault="005F4C67" w:rsidP="008D2CD3">
      <w:pPr>
        <w:spacing w:before="120" w:after="0" w:line="240" w:lineRule="auto"/>
        <w:ind w:firstLine="720"/>
        <w:jc w:val="both"/>
        <w:rPr>
          <w:rFonts w:ascii="Times New Roman" w:hAnsi="Times New Roman" w:cs="Times New Roman"/>
          <w:sz w:val="24"/>
          <w:szCs w:val="24"/>
        </w:rPr>
      </w:pPr>
    </w:p>
    <w:tbl>
      <w:tblPr>
        <w:tblStyle w:val="TableGrid"/>
        <w:tblW w:w="9067" w:type="dxa"/>
        <w:tblLook w:val="04A0" w:firstRow="1" w:lastRow="0" w:firstColumn="1" w:lastColumn="0" w:noHBand="0" w:noVBand="1"/>
      </w:tblPr>
      <w:tblGrid>
        <w:gridCol w:w="9067"/>
      </w:tblGrid>
      <w:tr w:rsidR="005F4C67" w14:paraId="33962962" w14:textId="77777777" w:rsidTr="00AD738C">
        <w:tc>
          <w:tcPr>
            <w:tcW w:w="9067" w:type="dxa"/>
          </w:tcPr>
          <w:p w14:paraId="03962F03" w14:textId="77777777" w:rsidR="005F4C67" w:rsidRDefault="005F4C67" w:rsidP="005F4C67">
            <w:pPr>
              <w:jc w:val="both"/>
              <w:rPr>
                <w:sz w:val="24"/>
                <w:szCs w:val="24"/>
              </w:rPr>
            </w:pPr>
            <w:r>
              <w:rPr>
                <w:sz w:val="24"/>
                <w:szCs w:val="24"/>
              </w:rPr>
              <w:t xml:space="preserve">Attēlā redzamais scenārijs tika izmantots iepriekšējā Stabilitātes programmā, veicot pieteiktās reformas fiskālās ietekmes novērtējumu. Līdz ar to, paliekot spēkā novērtējumā izmantotajiem pieņēmumiem, </w:t>
            </w:r>
            <w:r w:rsidRPr="00FD5680">
              <w:rPr>
                <w:b/>
                <w:sz w:val="24"/>
                <w:szCs w:val="24"/>
              </w:rPr>
              <w:t xml:space="preserve">ir pamats uzskatīt, ka paliek spēkā iepriekšējā </w:t>
            </w:r>
            <w:r>
              <w:rPr>
                <w:b/>
                <w:sz w:val="24"/>
                <w:szCs w:val="24"/>
              </w:rPr>
              <w:t>S</w:t>
            </w:r>
            <w:r w:rsidRPr="00FD5680">
              <w:rPr>
                <w:b/>
                <w:sz w:val="24"/>
                <w:szCs w:val="24"/>
              </w:rPr>
              <w:t xml:space="preserve">tabilitātes programmā sniegtais reformas fiskālās ietekmes novērtējums un tiek nodrošināta  </w:t>
            </w:r>
            <w:r w:rsidRPr="0096471D">
              <w:rPr>
                <w:b/>
                <w:sz w:val="24"/>
                <w:szCs w:val="24"/>
              </w:rPr>
              <w:t>PZDG mērķa sasniegšan</w:t>
            </w:r>
            <w:r w:rsidRPr="00FD5680">
              <w:rPr>
                <w:b/>
                <w:sz w:val="24"/>
                <w:szCs w:val="24"/>
              </w:rPr>
              <w:t>a</w:t>
            </w:r>
            <w:r w:rsidRPr="0096471D">
              <w:rPr>
                <w:b/>
                <w:sz w:val="24"/>
                <w:szCs w:val="24"/>
              </w:rPr>
              <w:t>.</w:t>
            </w:r>
          </w:p>
        </w:tc>
      </w:tr>
    </w:tbl>
    <w:p w14:paraId="2B34F7A3" w14:textId="09632496" w:rsidR="005F4C67" w:rsidRDefault="005F4C67" w:rsidP="008D2CD3">
      <w:pPr>
        <w:spacing w:before="120"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Deficīta atkāpes finansējums 2017</w:t>
      </w:r>
      <w:r w:rsidR="00AD738C">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-2019</w:t>
      </w:r>
      <w:r w:rsidR="00AD738C">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gada periodam, kas ir pieejams sakarā ar veselības aprūpes reformas īstenošanu – sabiedrības veselības pamatnostādņu 2014</w:t>
      </w:r>
      <w:r w:rsidR="00AD738C">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-2020. gadam īstenošanu – tiek izmantots noteiktu veselības aprūpes pasākumu grupai, kas izriet no </w:t>
      </w:r>
      <w:r w:rsidR="00AD738C" w:rsidRPr="00AD738C">
        <w:rPr>
          <w:rFonts w:ascii="Times New Roman" w:hAnsi="Times New Roman" w:cs="Times New Roman"/>
          <w:sz w:val="24"/>
          <w:szCs w:val="24"/>
        </w:rPr>
        <w:t xml:space="preserve">“Sabiedrības </w:t>
      </w:r>
      <w:r w:rsidR="00AD738C">
        <w:rPr>
          <w:rFonts w:ascii="Times New Roman" w:hAnsi="Times New Roman" w:cs="Times New Roman"/>
          <w:sz w:val="24"/>
          <w:szCs w:val="24"/>
        </w:rPr>
        <w:t>veselības pamatnostādnēm</w:t>
      </w:r>
      <w:r w:rsidR="00AD738C" w:rsidRPr="00AD738C">
        <w:rPr>
          <w:rFonts w:ascii="Times New Roman" w:hAnsi="Times New Roman" w:cs="Times New Roman"/>
          <w:sz w:val="24"/>
          <w:szCs w:val="24"/>
        </w:rPr>
        <w:t xml:space="preserve"> 2014</w:t>
      </w:r>
      <w:r w:rsidR="00AD738C">
        <w:rPr>
          <w:rFonts w:ascii="Times New Roman" w:hAnsi="Times New Roman" w:cs="Times New Roman"/>
          <w:sz w:val="24"/>
          <w:szCs w:val="24"/>
        </w:rPr>
        <w:t>.-2020.</w:t>
      </w:r>
      <w:r w:rsidR="00AD738C" w:rsidRPr="00AD738C">
        <w:rPr>
          <w:rFonts w:ascii="Times New Roman" w:hAnsi="Times New Roman" w:cs="Times New Roman"/>
          <w:sz w:val="24"/>
          <w:szCs w:val="24"/>
        </w:rPr>
        <w:t>gadam”</w:t>
      </w:r>
      <w:r>
        <w:rPr>
          <w:rFonts w:ascii="Times New Roman" w:eastAsia="Calibri" w:hAnsi="Times New Roman" w:cs="Times New Roman"/>
          <w:color w:val="000000"/>
          <w:sz w:val="24"/>
          <w:szCs w:val="24"/>
        </w:rPr>
        <w:t>. Šī pasākumu grupa ir nodalīta no pārējiem veselības aprūpes uzlabošanas pasākumiem, paredzot īpašu resursu piešķiršanas un izmantoš</w:t>
      </w:r>
      <w:r w:rsidR="00AD738C">
        <w:rPr>
          <w:rFonts w:ascii="Times New Roman" w:eastAsia="Calibri" w:hAnsi="Times New Roman" w:cs="Times New Roman"/>
          <w:color w:val="000000"/>
          <w:sz w:val="24"/>
          <w:szCs w:val="24"/>
        </w:rPr>
        <w:t>anas uzraudzības kārtību. 2017.</w:t>
      </w:r>
      <w:r>
        <w:rPr>
          <w:rFonts w:ascii="Times New Roman" w:eastAsia="Calibri" w:hAnsi="Times New Roman" w:cs="Times New Roman"/>
          <w:color w:val="000000"/>
          <w:sz w:val="24"/>
          <w:szCs w:val="24"/>
        </w:rPr>
        <w:t xml:space="preserve">gada deficīta atkāpe 0,13% no IKP (34 </w:t>
      </w:r>
      <w:r w:rsidR="00AD738C">
        <w:rPr>
          <w:rFonts w:ascii="Times New Roman" w:eastAsia="Calibri" w:hAnsi="Times New Roman" w:cs="Times New Roman"/>
          <w:color w:val="000000"/>
          <w:sz w:val="24"/>
          <w:szCs w:val="24"/>
        </w:rPr>
        <w:t xml:space="preserve">milj. </w:t>
      </w:r>
      <w:r w:rsidR="00AD738C">
        <w:rPr>
          <w:rFonts w:ascii="Times New Roman" w:eastAsia="Calibri" w:hAnsi="Times New Roman" w:cs="Times New Roman"/>
          <w:i/>
          <w:color w:val="000000"/>
          <w:sz w:val="24"/>
          <w:szCs w:val="24"/>
        </w:rPr>
        <w:t>euro</w:t>
      </w:r>
      <w:r w:rsidR="00AD738C">
        <w:rPr>
          <w:rFonts w:ascii="Times New Roman" w:eastAsia="Calibri" w:hAnsi="Times New Roman" w:cs="Times New Roman"/>
          <w:color w:val="000000"/>
          <w:sz w:val="24"/>
          <w:szCs w:val="24"/>
        </w:rPr>
        <w:t>) 2017.</w:t>
      </w:r>
      <w:r>
        <w:rPr>
          <w:rFonts w:ascii="Times New Roman" w:eastAsia="Calibri" w:hAnsi="Times New Roman" w:cs="Times New Roman"/>
          <w:color w:val="000000"/>
          <w:sz w:val="24"/>
          <w:szCs w:val="24"/>
        </w:rPr>
        <w:t xml:space="preserve">gada valsts budžeta likumā tika nodalīta atsevišķā budžeta programmā, kā gadskārtējā </w:t>
      </w:r>
      <w:r>
        <w:rPr>
          <w:rFonts w:ascii="Times New Roman" w:eastAsia="Calibri" w:hAnsi="Times New Roman" w:cs="Times New Roman"/>
          <w:color w:val="000000"/>
          <w:sz w:val="24"/>
          <w:szCs w:val="24"/>
        </w:rPr>
        <w:lastRenderedPageBreak/>
        <w:t>valsts budžeta izpildes rezultātā pārdalāmais finansējums. Veselības ministrijai tas tika</w:t>
      </w:r>
      <w:r w:rsidR="00AD738C">
        <w:rPr>
          <w:rFonts w:ascii="Times New Roman" w:eastAsia="Calibri" w:hAnsi="Times New Roman" w:cs="Times New Roman"/>
          <w:color w:val="000000"/>
          <w:sz w:val="24"/>
          <w:szCs w:val="24"/>
        </w:rPr>
        <w:t xml:space="preserve"> pārdalīts divos posmos – 2016.gada 20.decembrī un 2017.</w:t>
      </w:r>
      <w:r>
        <w:rPr>
          <w:rFonts w:ascii="Times New Roman" w:eastAsia="Calibri" w:hAnsi="Times New Roman" w:cs="Times New Roman"/>
          <w:color w:val="000000"/>
          <w:sz w:val="24"/>
          <w:szCs w:val="24"/>
        </w:rPr>
        <w:t xml:space="preserve">gada 14.februārī ar atsevišķiem MK lēmumiem, pamatojoties uz informatīvajiem ziņojumiem, kas saskaņoti ar </w:t>
      </w:r>
      <w:r w:rsidR="00AD738C">
        <w:rPr>
          <w:rFonts w:ascii="Times New Roman" w:eastAsia="Calibri" w:hAnsi="Times New Roman" w:cs="Times New Roman"/>
          <w:color w:val="000000"/>
          <w:sz w:val="24"/>
          <w:szCs w:val="24"/>
        </w:rPr>
        <w:t>FM</w:t>
      </w:r>
      <w:r>
        <w:rPr>
          <w:rFonts w:ascii="Times New Roman" w:eastAsia="Calibri" w:hAnsi="Times New Roman" w:cs="Times New Roman"/>
          <w:color w:val="000000"/>
          <w:sz w:val="24"/>
          <w:szCs w:val="24"/>
        </w:rPr>
        <w:t xml:space="preserve"> un kuros ir norādīti iznākuma un rezultāta rādītāji. MK protokola lēmumi paredz, ka </w:t>
      </w:r>
      <w:r w:rsidRPr="00B00276">
        <w:rPr>
          <w:rFonts w:ascii="Times New Roman" w:eastAsia="Calibri" w:hAnsi="Times New Roman" w:cs="Times New Roman"/>
          <w:color w:val="000000"/>
          <w:sz w:val="24"/>
          <w:szCs w:val="24"/>
        </w:rPr>
        <w:t>Veselības ministrija kontrolē informatīvajā ziņojumā noteikto iznākuma</w:t>
      </w:r>
      <w:r w:rsidR="00AD738C">
        <w:rPr>
          <w:rFonts w:ascii="Times New Roman" w:eastAsia="Calibri" w:hAnsi="Times New Roman" w:cs="Times New Roman"/>
          <w:color w:val="000000"/>
          <w:sz w:val="24"/>
          <w:szCs w:val="24"/>
        </w:rPr>
        <w:t xml:space="preserve"> rādītāju izpildi un līdz 2017.gada 1.</w:t>
      </w:r>
      <w:r w:rsidRPr="00B00276">
        <w:rPr>
          <w:rFonts w:ascii="Times New Roman" w:eastAsia="Calibri" w:hAnsi="Times New Roman" w:cs="Times New Roman"/>
          <w:color w:val="000000"/>
          <w:sz w:val="24"/>
          <w:szCs w:val="24"/>
        </w:rPr>
        <w:t xml:space="preserve">septembrim iesniedz </w:t>
      </w:r>
      <w:r w:rsidR="00AD738C">
        <w:rPr>
          <w:rFonts w:ascii="Times New Roman" w:eastAsia="Calibri" w:hAnsi="Times New Roman" w:cs="Times New Roman"/>
          <w:color w:val="000000"/>
          <w:sz w:val="24"/>
          <w:szCs w:val="24"/>
        </w:rPr>
        <w:t>FM</w:t>
      </w:r>
      <w:r w:rsidRPr="00B00276">
        <w:rPr>
          <w:rFonts w:ascii="Times New Roman" w:eastAsia="Calibri" w:hAnsi="Times New Roman" w:cs="Times New Roman"/>
          <w:color w:val="000000"/>
          <w:sz w:val="24"/>
          <w:szCs w:val="24"/>
        </w:rPr>
        <w:t xml:space="preserve"> ziņojumu par progresu iznākuma rādītāj</w:t>
      </w:r>
      <w:r w:rsidR="00AD738C">
        <w:rPr>
          <w:rFonts w:ascii="Times New Roman" w:eastAsia="Calibri" w:hAnsi="Times New Roman" w:cs="Times New Roman"/>
          <w:color w:val="000000"/>
          <w:sz w:val="24"/>
          <w:szCs w:val="24"/>
        </w:rPr>
        <w:t>u sasniegšanā 2017.</w:t>
      </w:r>
      <w:r w:rsidRPr="00B00276">
        <w:rPr>
          <w:rFonts w:ascii="Times New Roman" w:eastAsia="Calibri" w:hAnsi="Times New Roman" w:cs="Times New Roman"/>
          <w:color w:val="000000"/>
          <w:sz w:val="24"/>
          <w:szCs w:val="24"/>
        </w:rPr>
        <w:t>gad</w:t>
      </w:r>
      <w:r w:rsidR="00AD738C">
        <w:rPr>
          <w:rFonts w:ascii="Times New Roman" w:eastAsia="Calibri" w:hAnsi="Times New Roman" w:cs="Times New Roman"/>
          <w:color w:val="000000"/>
          <w:sz w:val="24"/>
          <w:szCs w:val="24"/>
        </w:rPr>
        <w:t>a pirmajā pusgadā un līdz 2018.gada 1.</w:t>
      </w:r>
      <w:r w:rsidRPr="00B00276">
        <w:rPr>
          <w:rFonts w:ascii="Times New Roman" w:eastAsia="Calibri" w:hAnsi="Times New Roman" w:cs="Times New Roman"/>
          <w:color w:val="000000"/>
          <w:sz w:val="24"/>
          <w:szCs w:val="24"/>
        </w:rPr>
        <w:t xml:space="preserve">martam – par </w:t>
      </w:r>
      <w:r w:rsidR="00AD738C">
        <w:rPr>
          <w:rFonts w:ascii="Times New Roman" w:eastAsia="Calibri" w:hAnsi="Times New Roman" w:cs="Times New Roman"/>
          <w:color w:val="000000"/>
          <w:sz w:val="24"/>
          <w:szCs w:val="24"/>
        </w:rPr>
        <w:t>iznākuma rādītāju izpildi 2017.</w:t>
      </w:r>
      <w:r w:rsidRPr="00B00276">
        <w:rPr>
          <w:rFonts w:ascii="Times New Roman" w:eastAsia="Calibri" w:hAnsi="Times New Roman" w:cs="Times New Roman"/>
          <w:color w:val="000000"/>
          <w:sz w:val="24"/>
          <w:szCs w:val="24"/>
        </w:rPr>
        <w:t>gadā. Veselības ministrijai ir jāveic datu uzkrāšanu, lai nodrošinātu audita izsekojamību iznākuma rādītāju izpildei.</w:t>
      </w:r>
      <w:r>
        <w:rPr>
          <w:rFonts w:ascii="Times New Roman" w:eastAsia="Calibri" w:hAnsi="Times New Roman" w:cs="Times New Roman"/>
          <w:color w:val="000000"/>
          <w:sz w:val="24"/>
          <w:szCs w:val="24"/>
        </w:rPr>
        <w:t xml:space="preserve">  Tiek plānots, ka Latvija par def</w:t>
      </w:r>
      <w:r w:rsidR="00AD738C">
        <w:rPr>
          <w:rFonts w:ascii="Times New Roman" w:eastAsia="Calibri" w:hAnsi="Times New Roman" w:cs="Times New Roman"/>
          <w:color w:val="000000"/>
          <w:sz w:val="24"/>
          <w:szCs w:val="24"/>
        </w:rPr>
        <w:t>icīta atkāpes izmantošanu 2017.</w:t>
      </w:r>
      <w:r>
        <w:rPr>
          <w:rFonts w:ascii="Times New Roman" w:eastAsia="Calibri" w:hAnsi="Times New Roman" w:cs="Times New Roman"/>
          <w:color w:val="000000"/>
          <w:sz w:val="24"/>
          <w:szCs w:val="24"/>
        </w:rPr>
        <w:t>gada pirmajā pusgadā sni</w:t>
      </w:r>
      <w:r w:rsidR="00AD738C">
        <w:rPr>
          <w:rFonts w:ascii="Times New Roman" w:eastAsia="Calibri" w:hAnsi="Times New Roman" w:cs="Times New Roman"/>
          <w:color w:val="000000"/>
          <w:sz w:val="24"/>
          <w:szCs w:val="24"/>
        </w:rPr>
        <w:t>egs informāciju EK, iesniedzot b</w:t>
      </w:r>
      <w:r>
        <w:rPr>
          <w:rFonts w:ascii="Times New Roman" w:eastAsia="Calibri" w:hAnsi="Times New Roman" w:cs="Times New Roman"/>
          <w:color w:val="000000"/>
          <w:sz w:val="24"/>
          <w:szCs w:val="24"/>
        </w:rPr>
        <w:t xml:space="preserve">udžeta plāna projektu. </w:t>
      </w:r>
    </w:p>
    <w:p w14:paraId="4CFB4874" w14:textId="0B2730F3" w:rsidR="005F4C67" w:rsidRDefault="005F4C67" w:rsidP="00AD738C">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Izvēloties tos veselības reformas pasākumus, kuriem tiek izmantots deficīta atkāpes finansējums, tika izvirzīti šādi kritēriji:</w:t>
      </w:r>
    </w:p>
    <w:p w14:paraId="5F17560B" w14:textId="58435748" w:rsidR="005F4C67" w:rsidRDefault="005F4C67" w:rsidP="001E5D9F">
      <w:pPr>
        <w:pStyle w:val="ListParagraph"/>
        <w:numPr>
          <w:ilvl w:val="0"/>
          <w:numId w:val="33"/>
        </w:numPr>
        <w:spacing w:after="0" w:line="240" w:lineRule="auto"/>
        <w:ind w:left="127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Pasākumam ir jābūt atbilstošam </w:t>
      </w:r>
      <w:r w:rsidR="00AD738C" w:rsidRPr="00AD738C">
        <w:rPr>
          <w:rFonts w:ascii="Times New Roman" w:hAnsi="Times New Roman" w:cs="Times New Roman"/>
          <w:sz w:val="24"/>
          <w:szCs w:val="24"/>
        </w:rPr>
        <w:t xml:space="preserve">“Sabiedrības </w:t>
      </w:r>
      <w:r w:rsidR="00AD738C">
        <w:rPr>
          <w:rFonts w:ascii="Times New Roman" w:hAnsi="Times New Roman" w:cs="Times New Roman"/>
          <w:sz w:val="24"/>
          <w:szCs w:val="24"/>
        </w:rPr>
        <w:t>veselības pamatnostādnēm</w:t>
      </w:r>
      <w:r w:rsidR="00AD738C" w:rsidRPr="00AD738C">
        <w:rPr>
          <w:rFonts w:ascii="Times New Roman" w:hAnsi="Times New Roman" w:cs="Times New Roman"/>
          <w:sz w:val="24"/>
          <w:szCs w:val="24"/>
        </w:rPr>
        <w:t xml:space="preserve"> 2014</w:t>
      </w:r>
      <w:r w:rsidR="00AD738C">
        <w:rPr>
          <w:rFonts w:ascii="Times New Roman" w:hAnsi="Times New Roman" w:cs="Times New Roman"/>
          <w:sz w:val="24"/>
          <w:szCs w:val="24"/>
        </w:rPr>
        <w:t>.-2020.</w:t>
      </w:r>
      <w:r w:rsidR="00AD738C" w:rsidRPr="00AD738C">
        <w:rPr>
          <w:rFonts w:ascii="Times New Roman" w:hAnsi="Times New Roman" w:cs="Times New Roman"/>
          <w:sz w:val="24"/>
          <w:szCs w:val="24"/>
        </w:rPr>
        <w:t>gadam”</w:t>
      </w:r>
      <w:r>
        <w:rPr>
          <w:rFonts w:ascii="Times New Roman" w:eastAsia="Calibri" w:hAnsi="Times New Roman" w:cs="Times New Roman"/>
          <w:color w:val="000000"/>
          <w:sz w:val="24"/>
          <w:szCs w:val="24"/>
        </w:rPr>
        <w:t>;</w:t>
      </w:r>
    </w:p>
    <w:p w14:paraId="1D4CBDEA" w14:textId="72286320" w:rsidR="005F4C67" w:rsidRDefault="005F4C67" w:rsidP="001E5D9F">
      <w:pPr>
        <w:pStyle w:val="ListParagraph"/>
        <w:numPr>
          <w:ilvl w:val="0"/>
          <w:numId w:val="33"/>
        </w:numPr>
        <w:spacing w:after="0" w:line="240" w:lineRule="auto"/>
        <w:ind w:left="127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Pasākuma rezultātam, kas finansēts no deficīta atkāpes finansējuma 2017</w:t>
      </w:r>
      <w:r w:rsidR="00977D11">
        <w:rPr>
          <w:rFonts w:ascii="Times New Roman" w:eastAsia="Calibri" w:hAnsi="Times New Roman" w:cs="Times New Roman"/>
          <w:color w:val="000000"/>
          <w:sz w:val="24"/>
          <w:szCs w:val="24"/>
        </w:rPr>
        <w:t>.-2019.</w:t>
      </w:r>
      <w:r>
        <w:rPr>
          <w:rFonts w:ascii="Times New Roman" w:eastAsia="Calibri" w:hAnsi="Times New Roman" w:cs="Times New Roman"/>
          <w:color w:val="000000"/>
          <w:sz w:val="24"/>
          <w:szCs w:val="24"/>
        </w:rPr>
        <w:t>gada periodā ir jāatrisina, vai būtiski jāsamazina  noteikta veselības aprūpes sistēmā identificēta problēma. Neva</w:t>
      </w:r>
      <w:r w:rsidR="00977D11">
        <w:rPr>
          <w:rFonts w:ascii="Times New Roman" w:eastAsia="Calibri" w:hAnsi="Times New Roman" w:cs="Times New Roman"/>
          <w:color w:val="000000"/>
          <w:sz w:val="24"/>
          <w:szCs w:val="24"/>
        </w:rPr>
        <w:t>r finansēt tādus pasākumus, kuras</w:t>
      </w:r>
      <w:r>
        <w:rPr>
          <w:rFonts w:ascii="Times New Roman" w:eastAsia="Calibri" w:hAnsi="Times New Roman" w:cs="Times New Roman"/>
          <w:color w:val="000000"/>
          <w:sz w:val="24"/>
          <w:szCs w:val="24"/>
        </w:rPr>
        <w:t xml:space="preserve"> dod nebūtisku efektu problēmas atrisināšanā – šāda intervence nav uzskatāma par reformu;</w:t>
      </w:r>
    </w:p>
    <w:p w14:paraId="241E6C49" w14:textId="77777777" w:rsidR="005F4C67" w:rsidRDefault="005F4C67" w:rsidP="001E5D9F">
      <w:pPr>
        <w:pStyle w:val="ListParagraph"/>
        <w:numPr>
          <w:ilvl w:val="0"/>
          <w:numId w:val="33"/>
        </w:numPr>
        <w:spacing w:after="0" w:line="240" w:lineRule="auto"/>
        <w:ind w:left="127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Risināmai problēmai ir jābūt atzītai kā veselības aprūpes problēmai EK analītiskajos dokumentos;</w:t>
      </w:r>
    </w:p>
    <w:p w14:paraId="3E2D01CA" w14:textId="77777777" w:rsidR="005F4C67" w:rsidRDefault="005F4C67" w:rsidP="001E5D9F">
      <w:pPr>
        <w:pStyle w:val="ListParagraph"/>
        <w:numPr>
          <w:ilvl w:val="0"/>
          <w:numId w:val="33"/>
        </w:numPr>
        <w:spacing w:after="0" w:line="240" w:lineRule="auto"/>
        <w:ind w:left="127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Ir iespējams izveidot izsekojamu ieguldījumu – iznākumu – rezultāta rādītāju sistēmu;</w:t>
      </w:r>
    </w:p>
    <w:p w14:paraId="5FAA70FB" w14:textId="21C20A61" w:rsidR="005F4C67" w:rsidRPr="00726382" w:rsidRDefault="005F4C67" w:rsidP="001E5D9F">
      <w:pPr>
        <w:pStyle w:val="ListParagraph"/>
        <w:numPr>
          <w:ilvl w:val="0"/>
          <w:numId w:val="33"/>
        </w:numPr>
        <w:spacing w:after="0" w:line="240" w:lineRule="auto"/>
        <w:ind w:left="127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Risināma problēma dod ieguldījumu kopējā </w:t>
      </w:r>
      <w:r w:rsidR="00977D11" w:rsidRPr="00AD738C">
        <w:rPr>
          <w:rFonts w:ascii="Times New Roman" w:hAnsi="Times New Roman" w:cs="Times New Roman"/>
          <w:sz w:val="24"/>
          <w:szCs w:val="24"/>
        </w:rPr>
        <w:t xml:space="preserve">“Sabiedrības </w:t>
      </w:r>
      <w:r w:rsidR="00977D11">
        <w:rPr>
          <w:rFonts w:ascii="Times New Roman" w:hAnsi="Times New Roman" w:cs="Times New Roman"/>
          <w:sz w:val="24"/>
          <w:szCs w:val="24"/>
        </w:rPr>
        <w:t>veselības pamatnostādnes</w:t>
      </w:r>
      <w:r w:rsidR="00977D11" w:rsidRPr="00AD738C">
        <w:rPr>
          <w:rFonts w:ascii="Times New Roman" w:hAnsi="Times New Roman" w:cs="Times New Roman"/>
          <w:sz w:val="24"/>
          <w:szCs w:val="24"/>
        </w:rPr>
        <w:t xml:space="preserve"> 2014</w:t>
      </w:r>
      <w:r w:rsidR="00977D11">
        <w:rPr>
          <w:rFonts w:ascii="Times New Roman" w:hAnsi="Times New Roman" w:cs="Times New Roman"/>
          <w:sz w:val="24"/>
          <w:szCs w:val="24"/>
        </w:rPr>
        <w:t>.-2020.</w:t>
      </w:r>
      <w:r w:rsidR="00977D11" w:rsidRPr="00AD738C">
        <w:rPr>
          <w:rFonts w:ascii="Times New Roman" w:hAnsi="Times New Roman" w:cs="Times New Roman"/>
          <w:sz w:val="24"/>
          <w:szCs w:val="24"/>
        </w:rPr>
        <w:t>gadam”</w:t>
      </w:r>
      <w:r>
        <w:rPr>
          <w:rFonts w:ascii="Times New Roman" w:eastAsia="Calibri" w:hAnsi="Times New Roman" w:cs="Times New Roman"/>
          <w:color w:val="000000"/>
          <w:sz w:val="24"/>
          <w:szCs w:val="24"/>
        </w:rPr>
        <w:t xml:space="preserve"> pozitīvā fiskālā efekta sasniegšanā.      </w:t>
      </w:r>
    </w:p>
    <w:p w14:paraId="05D2324D" w14:textId="2F212EA9" w:rsidR="005F4C67" w:rsidRPr="009C2AE5" w:rsidRDefault="005F4C67" w:rsidP="00977D11">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977D11">
        <w:rPr>
          <w:rFonts w:ascii="Times New Roman" w:eastAsia="Calibri" w:hAnsi="Times New Roman" w:cs="Times New Roman"/>
          <w:color w:val="000000"/>
          <w:sz w:val="24"/>
          <w:szCs w:val="24"/>
        </w:rPr>
        <w:t xml:space="preserve"> </w:t>
      </w:r>
      <w:r w:rsidR="00977D11">
        <w:rPr>
          <w:rFonts w:ascii="Times New Roman" w:eastAsia="Calibri" w:hAnsi="Times New Roman" w:cs="Times New Roman"/>
          <w:color w:val="000000"/>
          <w:sz w:val="24"/>
          <w:szCs w:val="24"/>
        </w:rPr>
        <w:tab/>
      </w:r>
      <w:r w:rsidRPr="009C2AE5">
        <w:rPr>
          <w:rFonts w:ascii="Times New Roman" w:eastAsia="Calibri" w:hAnsi="Times New Roman" w:cs="Times New Roman"/>
          <w:color w:val="000000"/>
          <w:sz w:val="24"/>
          <w:szCs w:val="24"/>
        </w:rPr>
        <w:t xml:space="preserve">Pamatojoties </w:t>
      </w:r>
      <w:r>
        <w:rPr>
          <w:rFonts w:ascii="Times New Roman" w:eastAsia="Calibri" w:hAnsi="Times New Roman" w:cs="Times New Roman"/>
          <w:color w:val="000000"/>
          <w:sz w:val="24"/>
          <w:szCs w:val="24"/>
        </w:rPr>
        <w:t>uz minētajiem kritērijiem, MK pieņēma lēmumu no deficīta atkāpes finansējuma 2017. gadā īstenot šādus veselības reformas pasākumus:</w:t>
      </w:r>
    </w:p>
    <w:p w14:paraId="6BE07708" w14:textId="77777777" w:rsidR="005F4C67" w:rsidRPr="009C2AE5" w:rsidRDefault="005F4C67" w:rsidP="001E5D9F">
      <w:pPr>
        <w:pStyle w:val="ListParagraph"/>
        <w:numPr>
          <w:ilvl w:val="0"/>
          <w:numId w:val="34"/>
        </w:numPr>
        <w:spacing w:before="60" w:after="60"/>
        <w:ind w:left="1276" w:hanging="357"/>
        <w:jc w:val="both"/>
        <w:rPr>
          <w:rFonts w:ascii="Times New Roman" w:eastAsia="Calibri" w:hAnsi="Times New Roman" w:cs="Times New Roman"/>
          <w:i/>
          <w:color w:val="000000"/>
          <w:sz w:val="24"/>
          <w:szCs w:val="24"/>
          <w:u w:val="single"/>
        </w:rPr>
      </w:pPr>
      <w:r w:rsidRPr="009C2AE5">
        <w:rPr>
          <w:rFonts w:ascii="Times New Roman" w:eastAsia="Calibri" w:hAnsi="Times New Roman" w:cs="Times New Roman"/>
          <w:i/>
          <w:color w:val="000000"/>
          <w:sz w:val="24"/>
          <w:szCs w:val="24"/>
          <w:u w:val="single"/>
        </w:rPr>
        <w:t>Pasākums. Onkoloģisko saslimšanu diagnostikas un ārstēšanas pieejamības uzlabošana</w:t>
      </w:r>
    </w:p>
    <w:p w14:paraId="1D435D8D" w14:textId="2846E1B0" w:rsidR="005F4C67" w:rsidRDefault="005F4C67" w:rsidP="001210E9">
      <w:pPr>
        <w:spacing w:after="0" w:line="240" w:lineRule="auto"/>
        <w:ind w:firstLine="720"/>
        <w:jc w:val="both"/>
        <w:rPr>
          <w:rFonts w:ascii="Times New Roman" w:eastAsia="Calibri" w:hAnsi="Times New Roman" w:cs="Times New Roman"/>
          <w:color w:val="000000"/>
          <w:sz w:val="24"/>
          <w:szCs w:val="24"/>
        </w:rPr>
      </w:pPr>
      <w:r w:rsidRPr="00A97D7C">
        <w:rPr>
          <w:rFonts w:ascii="Times New Roman" w:eastAsia="Calibri" w:hAnsi="Times New Roman" w:cs="Times New Roman"/>
          <w:color w:val="000000"/>
          <w:sz w:val="24"/>
          <w:szCs w:val="24"/>
        </w:rPr>
        <w:t xml:space="preserve">Onkoloģiskās saslimšanas nāves cēloņu struktūrā 2015.gadā veidoja 21,3% no visiem nāves gadījumiem Latvijā. Ņemot vērā šo situāciju, onkoloģisko slimību profilakse (veselīga uztura un fizisko aktivitāšu popularizēšana, atkarību izraisošo vielu un procesu samazināšana sabiedrībā), diagnostika un ārstēšana iezīmēta arī </w:t>
      </w:r>
      <w:r w:rsidR="00977D11" w:rsidRPr="00AD738C">
        <w:rPr>
          <w:rFonts w:ascii="Times New Roman" w:hAnsi="Times New Roman" w:cs="Times New Roman"/>
          <w:sz w:val="24"/>
          <w:szCs w:val="24"/>
        </w:rPr>
        <w:t xml:space="preserve">“Sabiedrības </w:t>
      </w:r>
      <w:r w:rsidR="00977D11">
        <w:rPr>
          <w:rFonts w:ascii="Times New Roman" w:hAnsi="Times New Roman" w:cs="Times New Roman"/>
          <w:sz w:val="24"/>
          <w:szCs w:val="24"/>
        </w:rPr>
        <w:t>veselības pamatnostādnēs</w:t>
      </w:r>
      <w:r w:rsidR="00977D11" w:rsidRPr="00AD738C">
        <w:rPr>
          <w:rFonts w:ascii="Times New Roman" w:hAnsi="Times New Roman" w:cs="Times New Roman"/>
          <w:sz w:val="24"/>
          <w:szCs w:val="24"/>
        </w:rPr>
        <w:t xml:space="preserve"> 2014</w:t>
      </w:r>
      <w:r w:rsidR="00977D11">
        <w:rPr>
          <w:rFonts w:ascii="Times New Roman" w:hAnsi="Times New Roman" w:cs="Times New Roman"/>
          <w:sz w:val="24"/>
          <w:szCs w:val="24"/>
        </w:rPr>
        <w:t>.-2020.</w:t>
      </w:r>
      <w:r w:rsidR="00977D11" w:rsidRPr="00AD738C">
        <w:rPr>
          <w:rFonts w:ascii="Times New Roman" w:hAnsi="Times New Roman" w:cs="Times New Roman"/>
          <w:sz w:val="24"/>
          <w:szCs w:val="24"/>
        </w:rPr>
        <w:t>gadam”</w:t>
      </w:r>
      <w:r w:rsidRPr="00A97D7C">
        <w:rPr>
          <w:rFonts w:ascii="Times New Roman" w:eastAsia="Calibri" w:hAnsi="Times New Roman" w:cs="Times New Roman"/>
          <w:color w:val="000000"/>
          <w:sz w:val="24"/>
          <w:szCs w:val="24"/>
        </w:rPr>
        <w:t>, paredzot izstrādāt, un ieviest veselības aprūpes tīklu vadlīnijas prioritārajās veselības aprūpes jomās, veselības aprūpes pieejamības un kvalitātes uzlabošanai, tai skaitā onkoloģijā.</w:t>
      </w:r>
    </w:p>
    <w:p w14:paraId="3C68B693" w14:textId="2DC4003F" w:rsidR="005F4C67" w:rsidRDefault="005F4C67" w:rsidP="001210E9">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Pasākums sastāv no 6 aktivitātēm un paredz būtiski uzlabot onkoloģisko saslimšanu diagnostikas un ārstēšanas pieejamību, </w:t>
      </w:r>
      <w:r w:rsidR="00FC7A05">
        <w:rPr>
          <w:rFonts w:ascii="Times New Roman" w:eastAsia="Calibri" w:hAnsi="Times New Roman" w:cs="Times New Roman"/>
          <w:b/>
          <w:color w:val="000000"/>
          <w:sz w:val="24"/>
          <w:szCs w:val="24"/>
        </w:rPr>
        <w:t xml:space="preserve">vidēji </w:t>
      </w:r>
      <w:r w:rsidRPr="00A97D7C">
        <w:rPr>
          <w:rFonts w:ascii="Times New Roman" w:eastAsia="Calibri" w:hAnsi="Times New Roman" w:cs="Times New Roman"/>
          <w:b/>
          <w:color w:val="000000"/>
          <w:sz w:val="24"/>
          <w:szCs w:val="24"/>
        </w:rPr>
        <w:t>par 56% palielinot pakalpojumu skaitu</w:t>
      </w:r>
      <w:r>
        <w:rPr>
          <w:rFonts w:ascii="Times New Roman" w:eastAsia="Calibri" w:hAnsi="Times New Roman" w:cs="Times New Roman"/>
          <w:color w:val="000000"/>
          <w:sz w:val="24"/>
          <w:szCs w:val="24"/>
        </w:rPr>
        <w:t>.</w:t>
      </w:r>
    </w:p>
    <w:p w14:paraId="15950FF9" w14:textId="77777777" w:rsidR="00D47E1F" w:rsidRDefault="00D47E1F">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br w:type="page"/>
      </w:r>
    </w:p>
    <w:p w14:paraId="183102C4" w14:textId="712E3ADC" w:rsidR="005F4C67" w:rsidRPr="00A97D7C" w:rsidRDefault="00FC7A05" w:rsidP="00977D11">
      <w:pPr>
        <w:spacing w:before="120" w:after="60" w:line="240" w:lineRule="auto"/>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3.20</w:t>
      </w:r>
      <w:r w:rsidR="00A507C8">
        <w:rPr>
          <w:rFonts w:ascii="Times New Roman" w:eastAsia="Calibri" w:hAnsi="Times New Roman" w:cs="Times New Roman"/>
          <w:b/>
          <w:color w:val="000000"/>
          <w:sz w:val="24"/>
          <w:szCs w:val="24"/>
        </w:rPr>
        <w:t>.</w:t>
      </w:r>
      <w:r w:rsidR="005F4C67" w:rsidRPr="00A97D7C">
        <w:rPr>
          <w:rFonts w:ascii="Times New Roman" w:eastAsia="Calibri" w:hAnsi="Times New Roman" w:cs="Times New Roman"/>
          <w:b/>
          <w:color w:val="000000"/>
          <w:sz w:val="24"/>
          <w:szCs w:val="24"/>
        </w:rPr>
        <w:t>tabula. 1. pasākums. Onkoloģisko saslimšanu diagnostikas un ārstēšanas pieejamības uzlabošana. Ieguldījumu un iznākumu rādītāji.</w:t>
      </w:r>
    </w:p>
    <w:tbl>
      <w:tblPr>
        <w:tblStyle w:val="GridTable6Colorful-Accent1"/>
        <w:tblW w:w="9351" w:type="dxa"/>
        <w:jc w:val="center"/>
        <w:tblLayout w:type="fixed"/>
        <w:tblLook w:val="04A0" w:firstRow="1" w:lastRow="0" w:firstColumn="1" w:lastColumn="0" w:noHBand="0" w:noVBand="1"/>
      </w:tblPr>
      <w:tblGrid>
        <w:gridCol w:w="1752"/>
        <w:gridCol w:w="1083"/>
        <w:gridCol w:w="1134"/>
        <w:gridCol w:w="1134"/>
        <w:gridCol w:w="1134"/>
        <w:gridCol w:w="990"/>
        <w:gridCol w:w="1076"/>
        <w:gridCol w:w="1048"/>
      </w:tblGrid>
      <w:tr w:rsidR="00814F98" w:rsidRPr="00977D11" w14:paraId="5B541C42" w14:textId="77777777" w:rsidTr="00F3248F">
        <w:trPr>
          <w:cnfStyle w:val="100000000000" w:firstRow="1" w:lastRow="0" w:firstColumn="0" w:lastColumn="0" w:oddVBand="0" w:evenVBand="0" w:oddHBand="0" w:evenHBand="0" w:firstRowFirstColumn="0" w:firstRowLastColumn="0" w:lastRowFirstColumn="0" w:lastRowLastColumn="0"/>
          <w:trHeight w:val="1483"/>
          <w:jc w:val="center"/>
        </w:trPr>
        <w:tc>
          <w:tcPr>
            <w:cnfStyle w:val="001000000000" w:firstRow="0" w:lastRow="0" w:firstColumn="1" w:lastColumn="0" w:oddVBand="0" w:evenVBand="0" w:oddHBand="0" w:evenHBand="0" w:firstRowFirstColumn="0" w:firstRowLastColumn="0" w:lastRowFirstColumn="0" w:lastRowLastColumn="0"/>
            <w:tcW w:w="1752" w:type="dxa"/>
            <w:textDirection w:val="btLr"/>
            <w:vAlign w:val="center"/>
            <w:hideMark/>
          </w:tcPr>
          <w:p w14:paraId="64ED2B6A" w14:textId="77777777" w:rsidR="00814F98" w:rsidRPr="00977D11" w:rsidRDefault="00814F98" w:rsidP="00F3248F">
            <w:pPr>
              <w:ind w:left="113" w:right="113"/>
              <w:jc w:val="center"/>
              <w:rPr>
                <w:rFonts w:ascii="Times New Roman" w:eastAsia="Times New Roman" w:hAnsi="Times New Roman" w:cs="Times New Roman"/>
                <w:b w:val="0"/>
                <w:bCs w:val="0"/>
                <w:sz w:val="20"/>
                <w:szCs w:val="20"/>
                <w:lang w:eastAsia="lv-LV"/>
              </w:rPr>
            </w:pPr>
          </w:p>
        </w:tc>
        <w:tc>
          <w:tcPr>
            <w:tcW w:w="1083" w:type="dxa"/>
            <w:textDirection w:val="btLr"/>
            <w:vAlign w:val="center"/>
            <w:hideMark/>
          </w:tcPr>
          <w:p w14:paraId="79A76157" w14:textId="7DF81FFB" w:rsidR="00814F98" w:rsidRPr="00977D11" w:rsidRDefault="00814F98"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977D11">
              <w:rPr>
                <w:rFonts w:ascii="Times New Roman" w:eastAsia="Times New Roman" w:hAnsi="Times New Roman" w:cs="Times New Roman"/>
                <w:bCs w:val="0"/>
                <w:color w:val="auto"/>
                <w:sz w:val="20"/>
                <w:szCs w:val="20"/>
                <w:lang w:eastAsia="lv-LV"/>
              </w:rPr>
              <w:t>Vienas pakalpojuma vidējās izmaksas</w:t>
            </w:r>
          </w:p>
        </w:tc>
        <w:tc>
          <w:tcPr>
            <w:tcW w:w="2268" w:type="dxa"/>
            <w:gridSpan w:val="2"/>
            <w:textDirection w:val="btLr"/>
            <w:vAlign w:val="center"/>
            <w:hideMark/>
          </w:tcPr>
          <w:p w14:paraId="254E2CA9" w14:textId="32EFDE37" w:rsidR="00814F98" w:rsidRPr="00977D11" w:rsidRDefault="00814F98"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977D11">
              <w:rPr>
                <w:rFonts w:ascii="Times New Roman" w:eastAsia="Times New Roman" w:hAnsi="Times New Roman" w:cs="Times New Roman"/>
                <w:bCs w:val="0"/>
                <w:color w:val="auto"/>
                <w:sz w:val="20"/>
                <w:szCs w:val="20"/>
                <w:lang w:eastAsia="lv-LV"/>
              </w:rPr>
              <w:t>Plānotais finansējums</w:t>
            </w:r>
          </w:p>
          <w:p w14:paraId="43141228" w14:textId="77777777" w:rsidR="00814F98" w:rsidRPr="00977D11" w:rsidRDefault="00814F98"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p>
        </w:tc>
        <w:tc>
          <w:tcPr>
            <w:tcW w:w="1134" w:type="dxa"/>
            <w:textDirection w:val="btLr"/>
            <w:vAlign w:val="center"/>
          </w:tcPr>
          <w:p w14:paraId="74095C4C" w14:textId="77777777" w:rsidR="00814F98" w:rsidRPr="00977D11" w:rsidRDefault="00814F98"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977D11">
              <w:rPr>
                <w:rFonts w:ascii="Times New Roman" w:eastAsia="Times New Roman" w:hAnsi="Times New Roman" w:cs="Times New Roman"/>
                <w:bCs w:val="0"/>
                <w:color w:val="auto"/>
                <w:sz w:val="20"/>
                <w:szCs w:val="20"/>
                <w:lang w:eastAsia="lv-LV"/>
              </w:rPr>
              <w:t>Papildus piešķiramais finansējums</w:t>
            </w:r>
          </w:p>
          <w:p w14:paraId="2626D2A9" w14:textId="77777777" w:rsidR="00814F98" w:rsidRPr="00977D11" w:rsidRDefault="00814F98"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p>
        </w:tc>
        <w:tc>
          <w:tcPr>
            <w:tcW w:w="2066" w:type="dxa"/>
            <w:gridSpan w:val="2"/>
            <w:textDirection w:val="btLr"/>
            <w:vAlign w:val="center"/>
          </w:tcPr>
          <w:p w14:paraId="3A6C6B65" w14:textId="372CAB8A" w:rsidR="00814F98" w:rsidRPr="00977D11" w:rsidRDefault="00814F98"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977D11">
              <w:rPr>
                <w:rFonts w:ascii="Times New Roman" w:eastAsia="Times New Roman" w:hAnsi="Times New Roman" w:cs="Times New Roman"/>
                <w:bCs w:val="0"/>
                <w:color w:val="auto"/>
                <w:sz w:val="20"/>
                <w:szCs w:val="20"/>
                <w:lang w:eastAsia="lv-LV"/>
              </w:rPr>
              <w:t>Plānotais pakalpojumu skaits</w:t>
            </w:r>
          </w:p>
        </w:tc>
        <w:tc>
          <w:tcPr>
            <w:tcW w:w="1048" w:type="dxa"/>
            <w:textDirection w:val="btLr"/>
            <w:vAlign w:val="center"/>
            <w:hideMark/>
          </w:tcPr>
          <w:p w14:paraId="6C60DEE6" w14:textId="77777777" w:rsidR="00814F98" w:rsidRPr="00977D11" w:rsidRDefault="00814F98"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977D11">
              <w:rPr>
                <w:rFonts w:ascii="Times New Roman" w:eastAsia="Times New Roman" w:hAnsi="Times New Roman" w:cs="Times New Roman"/>
                <w:bCs w:val="0"/>
                <w:color w:val="auto"/>
                <w:sz w:val="20"/>
                <w:szCs w:val="20"/>
                <w:lang w:eastAsia="lv-LV"/>
              </w:rPr>
              <w:t>Plānotais pakalpojumu skaits  pēc finansējuma piešķīruma</w:t>
            </w:r>
          </w:p>
        </w:tc>
      </w:tr>
      <w:tr w:rsidR="00814F98" w:rsidRPr="00977D11" w14:paraId="1FF8A186" w14:textId="77777777" w:rsidTr="00F3248F">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752" w:type="dxa"/>
            <w:vAlign w:val="center"/>
          </w:tcPr>
          <w:p w14:paraId="0518BE41" w14:textId="77777777" w:rsidR="00814F98" w:rsidRPr="00977D11" w:rsidRDefault="00814F98" w:rsidP="00F3248F">
            <w:pPr>
              <w:jc w:val="center"/>
              <w:rPr>
                <w:rFonts w:ascii="Times New Roman" w:eastAsia="Times New Roman" w:hAnsi="Times New Roman" w:cs="Times New Roman"/>
                <w:color w:val="000000"/>
                <w:sz w:val="20"/>
                <w:szCs w:val="20"/>
                <w:lang w:eastAsia="lv-LV"/>
              </w:rPr>
            </w:pPr>
          </w:p>
        </w:tc>
        <w:tc>
          <w:tcPr>
            <w:tcW w:w="1083" w:type="dxa"/>
            <w:noWrap/>
            <w:vAlign w:val="center"/>
          </w:tcPr>
          <w:p w14:paraId="2147863A"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0"/>
                <w:szCs w:val="20"/>
                <w:lang w:eastAsia="lv-LV"/>
              </w:rPr>
            </w:pPr>
            <w:r w:rsidRPr="00977D11">
              <w:rPr>
                <w:rFonts w:ascii="Times New Roman" w:eastAsia="Times New Roman" w:hAnsi="Times New Roman" w:cs="Times New Roman"/>
                <w:i/>
                <w:color w:val="auto"/>
                <w:sz w:val="20"/>
                <w:szCs w:val="20"/>
                <w:lang w:eastAsia="lv-LV"/>
              </w:rPr>
              <w:t>(euro)</w:t>
            </w:r>
          </w:p>
        </w:tc>
        <w:tc>
          <w:tcPr>
            <w:tcW w:w="1134" w:type="dxa"/>
            <w:noWrap/>
            <w:vAlign w:val="center"/>
          </w:tcPr>
          <w:p w14:paraId="4FF524E7"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77D11">
              <w:rPr>
                <w:rFonts w:ascii="Times New Roman" w:eastAsia="Times New Roman" w:hAnsi="Times New Roman" w:cs="Times New Roman"/>
                <w:b/>
                <w:color w:val="auto"/>
                <w:sz w:val="20"/>
                <w:szCs w:val="20"/>
                <w:lang w:eastAsia="lv-LV"/>
              </w:rPr>
              <w:t>2016</w:t>
            </w:r>
          </w:p>
          <w:p w14:paraId="0A9596DA"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0"/>
                <w:szCs w:val="20"/>
                <w:lang w:eastAsia="lv-LV"/>
              </w:rPr>
            </w:pPr>
            <w:r w:rsidRPr="00977D11">
              <w:rPr>
                <w:rFonts w:ascii="Times New Roman" w:eastAsia="Times New Roman" w:hAnsi="Times New Roman" w:cs="Times New Roman"/>
                <w:i/>
                <w:color w:val="auto"/>
                <w:sz w:val="20"/>
                <w:szCs w:val="20"/>
                <w:lang w:eastAsia="lv-LV"/>
              </w:rPr>
              <w:t>(euro)</w:t>
            </w:r>
          </w:p>
        </w:tc>
        <w:tc>
          <w:tcPr>
            <w:tcW w:w="1134" w:type="dxa"/>
            <w:noWrap/>
            <w:vAlign w:val="center"/>
          </w:tcPr>
          <w:p w14:paraId="27C8D003"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77D11">
              <w:rPr>
                <w:rFonts w:ascii="Times New Roman" w:eastAsia="Times New Roman" w:hAnsi="Times New Roman" w:cs="Times New Roman"/>
                <w:b/>
                <w:color w:val="auto"/>
                <w:sz w:val="20"/>
                <w:szCs w:val="20"/>
                <w:lang w:eastAsia="lv-LV"/>
              </w:rPr>
              <w:t>2017</w:t>
            </w:r>
          </w:p>
          <w:p w14:paraId="5DE0BA03"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0"/>
                <w:szCs w:val="20"/>
                <w:lang w:eastAsia="lv-LV"/>
              </w:rPr>
            </w:pPr>
            <w:r w:rsidRPr="00977D11">
              <w:rPr>
                <w:rFonts w:ascii="Times New Roman" w:eastAsia="Times New Roman" w:hAnsi="Times New Roman" w:cs="Times New Roman"/>
                <w:i/>
                <w:color w:val="auto"/>
                <w:sz w:val="20"/>
                <w:szCs w:val="20"/>
                <w:lang w:eastAsia="lv-LV"/>
              </w:rPr>
              <w:t>(euro)</w:t>
            </w:r>
          </w:p>
        </w:tc>
        <w:tc>
          <w:tcPr>
            <w:tcW w:w="1134" w:type="dxa"/>
            <w:vAlign w:val="center"/>
          </w:tcPr>
          <w:p w14:paraId="114CE467"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77D11">
              <w:rPr>
                <w:rFonts w:ascii="Times New Roman" w:eastAsia="Times New Roman" w:hAnsi="Times New Roman" w:cs="Times New Roman"/>
                <w:b/>
                <w:color w:val="auto"/>
                <w:sz w:val="20"/>
                <w:szCs w:val="20"/>
                <w:lang w:eastAsia="lv-LV"/>
              </w:rPr>
              <w:t>2017</w:t>
            </w:r>
          </w:p>
          <w:p w14:paraId="4DE2F8B1"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77D11">
              <w:rPr>
                <w:rFonts w:ascii="Times New Roman" w:eastAsia="Times New Roman" w:hAnsi="Times New Roman" w:cs="Times New Roman"/>
                <w:i/>
                <w:color w:val="auto"/>
                <w:sz w:val="20"/>
                <w:szCs w:val="20"/>
                <w:lang w:eastAsia="lv-LV"/>
              </w:rPr>
              <w:t>(euro)</w:t>
            </w:r>
          </w:p>
        </w:tc>
        <w:tc>
          <w:tcPr>
            <w:tcW w:w="990" w:type="dxa"/>
            <w:vAlign w:val="center"/>
          </w:tcPr>
          <w:p w14:paraId="176B7DC3"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p>
          <w:p w14:paraId="11C4650E"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77D11">
              <w:rPr>
                <w:rFonts w:ascii="Times New Roman" w:eastAsia="Times New Roman" w:hAnsi="Times New Roman" w:cs="Times New Roman"/>
                <w:b/>
                <w:color w:val="auto"/>
                <w:sz w:val="20"/>
                <w:szCs w:val="20"/>
                <w:lang w:eastAsia="lv-LV"/>
              </w:rPr>
              <w:t>2016</w:t>
            </w:r>
          </w:p>
          <w:p w14:paraId="36657AF1"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p>
        </w:tc>
        <w:tc>
          <w:tcPr>
            <w:tcW w:w="1076" w:type="dxa"/>
            <w:vAlign w:val="center"/>
          </w:tcPr>
          <w:p w14:paraId="6E2A3382"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p>
          <w:p w14:paraId="6406F8C3"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77D11">
              <w:rPr>
                <w:rFonts w:ascii="Times New Roman" w:eastAsia="Times New Roman" w:hAnsi="Times New Roman" w:cs="Times New Roman"/>
                <w:b/>
                <w:color w:val="auto"/>
                <w:sz w:val="20"/>
                <w:szCs w:val="20"/>
                <w:lang w:eastAsia="lv-LV"/>
              </w:rPr>
              <w:t>2017</w:t>
            </w:r>
          </w:p>
          <w:p w14:paraId="7A823876"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p>
        </w:tc>
        <w:tc>
          <w:tcPr>
            <w:tcW w:w="1048" w:type="dxa"/>
            <w:noWrap/>
            <w:vAlign w:val="center"/>
          </w:tcPr>
          <w:p w14:paraId="70BD0F16" w14:textId="77777777" w:rsidR="00814F98" w:rsidRPr="00977D11" w:rsidRDefault="00814F98"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977D11">
              <w:rPr>
                <w:rFonts w:ascii="Times New Roman" w:eastAsia="Times New Roman" w:hAnsi="Times New Roman" w:cs="Times New Roman"/>
                <w:b/>
                <w:color w:val="auto"/>
                <w:sz w:val="20"/>
                <w:szCs w:val="20"/>
                <w:lang w:eastAsia="lv-LV"/>
              </w:rPr>
              <w:t>2017</w:t>
            </w:r>
          </w:p>
        </w:tc>
      </w:tr>
      <w:tr w:rsidR="00814F98" w:rsidRPr="00977D11" w14:paraId="498AB447" w14:textId="77777777" w:rsidTr="00F3248F">
        <w:trPr>
          <w:trHeight w:val="734"/>
          <w:jc w:val="center"/>
        </w:trPr>
        <w:tc>
          <w:tcPr>
            <w:cnfStyle w:val="001000000000" w:firstRow="0" w:lastRow="0" w:firstColumn="1" w:lastColumn="0" w:oddVBand="0" w:evenVBand="0" w:oddHBand="0" w:evenHBand="0" w:firstRowFirstColumn="0" w:firstRowLastColumn="0" w:lastRowFirstColumn="0" w:lastRowLastColumn="0"/>
            <w:tcW w:w="1752" w:type="dxa"/>
            <w:vAlign w:val="center"/>
            <w:hideMark/>
          </w:tcPr>
          <w:p w14:paraId="20AFA84D" w14:textId="77777777"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Primārās diagnostikas algoritmu ieviešana</w:t>
            </w:r>
          </w:p>
        </w:tc>
        <w:tc>
          <w:tcPr>
            <w:tcW w:w="1083" w:type="dxa"/>
            <w:noWrap/>
            <w:vAlign w:val="center"/>
            <w:hideMark/>
          </w:tcPr>
          <w:p w14:paraId="0DD8612D"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68,159</w:t>
            </w:r>
          </w:p>
        </w:tc>
        <w:tc>
          <w:tcPr>
            <w:tcW w:w="1134" w:type="dxa"/>
            <w:noWrap/>
            <w:vAlign w:val="center"/>
          </w:tcPr>
          <w:p w14:paraId="4114AE99"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134" w:type="dxa"/>
            <w:noWrap/>
            <w:vAlign w:val="center"/>
          </w:tcPr>
          <w:p w14:paraId="517B06B6"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134" w:type="dxa"/>
            <w:vAlign w:val="center"/>
          </w:tcPr>
          <w:p w14:paraId="77BD59DE"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1 499 506</w:t>
            </w:r>
          </w:p>
        </w:tc>
        <w:tc>
          <w:tcPr>
            <w:tcW w:w="990" w:type="dxa"/>
            <w:vAlign w:val="center"/>
          </w:tcPr>
          <w:p w14:paraId="362D8D1D"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076" w:type="dxa"/>
            <w:vAlign w:val="center"/>
          </w:tcPr>
          <w:p w14:paraId="0C8B67EE"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048" w:type="dxa"/>
            <w:noWrap/>
            <w:vAlign w:val="center"/>
          </w:tcPr>
          <w:p w14:paraId="5B1ED97F"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22 000</w:t>
            </w:r>
          </w:p>
        </w:tc>
      </w:tr>
      <w:tr w:rsidR="00814F98" w:rsidRPr="00977D11" w14:paraId="0CBB715C" w14:textId="77777777" w:rsidTr="00F3248F">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1752" w:type="dxa"/>
            <w:vAlign w:val="center"/>
            <w:hideMark/>
          </w:tcPr>
          <w:p w14:paraId="6173E519" w14:textId="449B8EC3"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Speciālistu konsultāciju izmaksu pieaugums, atbilstoši noteiktajiem algoritmiem</w:t>
            </w:r>
          </w:p>
        </w:tc>
        <w:tc>
          <w:tcPr>
            <w:tcW w:w="1083" w:type="dxa"/>
            <w:noWrap/>
            <w:vAlign w:val="center"/>
            <w:hideMark/>
          </w:tcPr>
          <w:p w14:paraId="3628D72F"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59,116</w:t>
            </w:r>
          </w:p>
        </w:tc>
        <w:tc>
          <w:tcPr>
            <w:tcW w:w="1134" w:type="dxa"/>
            <w:noWrap/>
            <w:vAlign w:val="center"/>
          </w:tcPr>
          <w:p w14:paraId="57D3FD84"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1 861 209</w:t>
            </w:r>
          </w:p>
        </w:tc>
        <w:tc>
          <w:tcPr>
            <w:tcW w:w="1134" w:type="dxa"/>
            <w:noWrap/>
            <w:vAlign w:val="center"/>
          </w:tcPr>
          <w:p w14:paraId="7AB189D1"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1 861 209</w:t>
            </w:r>
          </w:p>
        </w:tc>
        <w:tc>
          <w:tcPr>
            <w:tcW w:w="1134" w:type="dxa"/>
            <w:vAlign w:val="center"/>
          </w:tcPr>
          <w:p w14:paraId="0801011A"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650 278</w:t>
            </w:r>
          </w:p>
        </w:tc>
        <w:tc>
          <w:tcPr>
            <w:tcW w:w="990" w:type="dxa"/>
            <w:vAlign w:val="center"/>
          </w:tcPr>
          <w:p w14:paraId="299404C2"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31 484</w:t>
            </w:r>
          </w:p>
        </w:tc>
        <w:tc>
          <w:tcPr>
            <w:tcW w:w="1076" w:type="dxa"/>
            <w:vAlign w:val="center"/>
          </w:tcPr>
          <w:p w14:paraId="2E8756CD"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31 484</w:t>
            </w:r>
          </w:p>
        </w:tc>
        <w:tc>
          <w:tcPr>
            <w:tcW w:w="1048" w:type="dxa"/>
            <w:noWrap/>
            <w:vAlign w:val="center"/>
          </w:tcPr>
          <w:p w14:paraId="1919C586"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42 484</w:t>
            </w:r>
          </w:p>
        </w:tc>
      </w:tr>
      <w:tr w:rsidR="00814F98" w:rsidRPr="00977D11" w14:paraId="7971A709" w14:textId="77777777" w:rsidTr="00F3248F">
        <w:trPr>
          <w:trHeight w:val="1079"/>
          <w:jc w:val="center"/>
        </w:trPr>
        <w:tc>
          <w:tcPr>
            <w:cnfStyle w:val="001000000000" w:firstRow="0" w:lastRow="0" w:firstColumn="1" w:lastColumn="0" w:oddVBand="0" w:evenVBand="0" w:oddHBand="0" w:evenHBand="0" w:firstRowFirstColumn="0" w:firstRowLastColumn="0" w:lastRowFirstColumn="0" w:lastRowLastColumn="0"/>
            <w:tcW w:w="1752" w:type="dxa"/>
            <w:vAlign w:val="center"/>
            <w:hideMark/>
          </w:tcPr>
          <w:p w14:paraId="156FAFF8" w14:textId="77777777"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Sekundārās diagnostikas un izmeklēšanas  algoritmu ieviešana</w:t>
            </w:r>
          </w:p>
        </w:tc>
        <w:tc>
          <w:tcPr>
            <w:tcW w:w="1083" w:type="dxa"/>
            <w:noWrap/>
            <w:vAlign w:val="center"/>
            <w:hideMark/>
          </w:tcPr>
          <w:p w14:paraId="78BE6ADF"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159,120</w:t>
            </w:r>
          </w:p>
        </w:tc>
        <w:tc>
          <w:tcPr>
            <w:tcW w:w="1134" w:type="dxa"/>
            <w:noWrap/>
            <w:vAlign w:val="center"/>
          </w:tcPr>
          <w:p w14:paraId="3C16EC8A"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134" w:type="dxa"/>
            <w:noWrap/>
            <w:vAlign w:val="center"/>
            <w:hideMark/>
          </w:tcPr>
          <w:p w14:paraId="567D49F7"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134" w:type="dxa"/>
            <w:vAlign w:val="center"/>
          </w:tcPr>
          <w:p w14:paraId="1F8B6EC9"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2 332 565</w:t>
            </w:r>
          </w:p>
        </w:tc>
        <w:tc>
          <w:tcPr>
            <w:tcW w:w="990" w:type="dxa"/>
            <w:vAlign w:val="center"/>
          </w:tcPr>
          <w:p w14:paraId="4325D7A2"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076" w:type="dxa"/>
            <w:vAlign w:val="center"/>
          </w:tcPr>
          <w:p w14:paraId="1DCE27B0"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w:t>
            </w:r>
          </w:p>
        </w:tc>
        <w:tc>
          <w:tcPr>
            <w:tcW w:w="1048" w:type="dxa"/>
            <w:noWrap/>
            <w:vAlign w:val="center"/>
            <w:hideMark/>
          </w:tcPr>
          <w:p w14:paraId="08D54982"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14 659</w:t>
            </w:r>
          </w:p>
        </w:tc>
      </w:tr>
      <w:tr w:rsidR="00814F98" w:rsidRPr="00977D11" w14:paraId="3030FF6D" w14:textId="77777777" w:rsidTr="00F3248F">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52" w:type="dxa"/>
            <w:vAlign w:val="center"/>
            <w:hideMark/>
          </w:tcPr>
          <w:p w14:paraId="6C96A1C1" w14:textId="77777777"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Onkoloģisko pacientu skaita un prognozētās ārstēšanas izmaksu pieaugums ambulatori</w:t>
            </w:r>
          </w:p>
        </w:tc>
        <w:tc>
          <w:tcPr>
            <w:tcW w:w="1083" w:type="dxa"/>
            <w:noWrap/>
            <w:vAlign w:val="center"/>
            <w:hideMark/>
          </w:tcPr>
          <w:p w14:paraId="69C84BB7"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356,297</w:t>
            </w:r>
          </w:p>
        </w:tc>
        <w:tc>
          <w:tcPr>
            <w:tcW w:w="1134" w:type="dxa"/>
            <w:noWrap/>
            <w:vAlign w:val="center"/>
            <w:hideMark/>
          </w:tcPr>
          <w:p w14:paraId="440DAD2E"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5 890 295</w:t>
            </w:r>
          </w:p>
        </w:tc>
        <w:tc>
          <w:tcPr>
            <w:tcW w:w="1134" w:type="dxa"/>
            <w:noWrap/>
            <w:vAlign w:val="center"/>
            <w:hideMark/>
          </w:tcPr>
          <w:p w14:paraId="5BB9A7A8"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5 890 295</w:t>
            </w:r>
          </w:p>
        </w:tc>
        <w:tc>
          <w:tcPr>
            <w:tcW w:w="1134" w:type="dxa"/>
            <w:vAlign w:val="center"/>
          </w:tcPr>
          <w:p w14:paraId="7C61D216"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1 178 058</w:t>
            </w:r>
          </w:p>
        </w:tc>
        <w:tc>
          <w:tcPr>
            <w:tcW w:w="990" w:type="dxa"/>
            <w:vAlign w:val="center"/>
          </w:tcPr>
          <w:p w14:paraId="4FC59213"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16 532</w:t>
            </w:r>
          </w:p>
        </w:tc>
        <w:tc>
          <w:tcPr>
            <w:tcW w:w="1076" w:type="dxa"/>
            <w:vAlign w:val="center"/>
          </w:tcPr>
          <w:p w14:paraId="6981B4F2"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16 532</w:t>
            </w:r>
          </w:p>
        </w:tc>
        <w:tc>
          <w:tcPr>
            <w:tcW w:w="1048" w:type="dxa"/>
            <w:noWrap/>
            <w:vAlign w:val="center"/>
            <w:hideMark/>
          </w:tcPr>
          <w:p w14:paraId="3007A425"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19 838</w:t>
            </w:r>
          </w:p>
        </w:tc>
      </w:tr>
      <w:tr w:rsidR="00814F98" w:rsidRPr="00977D11" w14:paraId="4AE44F22" w14:textId="77777777" w:rsidTr="00F3248F">
        <w:trPr>
          <w:trHeight w:val="560"/>
          <w:jc w:val="center"/>
        </w:trPr>
        <w:tc>
          <w:tcPr>
            <w:cnfStyle w:val="001000000000" w:firstRow="0" w:lastRow="0" w:firstColumn="1" w:lastColumn="0" w:oddVBand="0" w:evenVBand="0" w:oddHBand="0" w:evenHBand="0" w:firstRowFirstColumn="0" w:firstRowLastColumn="0" w:lastRowFirstColumn="0" w:lastRowLastColumn="0"/>
            <w:tcW w:w="1752" w:type="dxa"/>
            <w:vAlign w:val="center"/>
            <w:hideMark/>
          </w:tcPr>
          <w:p w14:paraId="0B985971" w14:textId="77777777"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Onkoloģisko pacientu skaita un prognozētās ārstēšanas izmaksu pieaugums</w:t>
            </w:r>
          </w:p>
          <w:p w14:paraId="6EAC0AA1" w14:textId="77777777"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stacionārā</w:t>
            </w:r>
          </w:p>
        </w:tc>
        <w:tc>
          <w:tcPr>
            <w:tcW w:w="1083" w:type="dxa"/>
            <w:noWrap/>
            <w:vAlign w:val="center"/>
            <w:hideMark/>
          </w:tcPr>
          <w:p w14:paraId="5920C6BC"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714,883</w:t>
            </w:r>
          </w:p>
        </w:tc>
        <w:tc>
          <w:tcPr>
            <w:tcW w:w="1134" w:type="dxa"/>
            <w:noWrap/>
            <w:vAlign w:val="center"/>
            <w:hideMark/>
          </w:tcPr>
          <w:p w14:paraId="59750B10"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hAnsi="Times New Roman" w:cs="Times New Roman"/>
                <w:color w:val="auto"/>
                <w:sz w:val="20"/>
                <w:szCs w:val="20"/>
              </w:rPr>
              <w:t>24 630 580</w:t>
            </w:r>
          </w:p>
        </w:tc>
        <w:tc>
          <w:tcPr>
            <w:tcW w:w="1134" w:type="dxa"/>
            <w:noWrap/>
            <w:vAlign w:val="center"/>
            <w:hideMark/>
          </w:tcPr>
          <w:p w14:paraId="7A364CCF"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24 630 580</w:t>
            </w:r>
          </w:p>
        </w:tc>
        <w:tc>
          <w:tcPr>
            <w:tcW w:w="1134" w:type="dxa"/>
            <w:vAlign w:val="center"/>
          </w:tcPr>
          <w:p w14:paraId="102DA5E7"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2 463 058</w:t>
            </w:r>
          </w:p>
        </w:tc>
        <w:tc>
          <w:tcPr>
            <w:tcW w:w="990" w:type="dxa"/>
            <w:vAlign w:val="center"/>
          </w:tcPr>
          <w:p w14:paraId="42423668"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34 454</w:t>
            </w:r>
          </w:p>
        </w:tc>
        <w:tc>
          <w:tcPr>
            <w:tcW w:w="1076" w:type="dxa"/>
            <w:vAlign w:val="center"/>
          </w:tcPr>
          <w:p w14:paraId="012E030F"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34 454</w:t>
            </w:r>
          </w:p>
        </w:tc>
        <w:tc>
          <w:tcPr>
            <w:tcW w:w="1048" w:type="dxa"/>
            <w:noWrap/>
            <w:vAlign w:val="center"/>
            <w:hideMark/>
          </w:tcPr>
          <w:p w14:paraId="5D3810AB"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37 899</w:t>
            </w:r>
          </w:p>
        </w:tc>
      </w:tr>
      <w:tr w:rsidR="00814F98" w:rsidRPr="00977D11" w14:paraId="60E082E4" w14:textId="77777777" w:rsidTr="00F3248F">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52" w:type="dxa"/>
            <w:vAlign w:val="center"/>
            <w:hideMark/>
          </w:tcPr>
          <w:p w14:paraId="64E993B0" w14:textId="77777777"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Kompensējamos medikamentus saņēmušo</w:t>
            </w:r>
          </w:p>
          <w:p w14:paraId="6FD3C4AA" w14:textId="77777777" w:rsidR="00814F98" w:rsidRPr="004D5E99" w:rsidRDefault="00814F98" w:rsidP="00F3248F">
            <w:pPr>
              <w:jc w:val="center"/>
              <w:rPr>
                <w:rFonts w:ascii="Times New Roman" w:eastAsia="Times New Roman" w:hAnsi="Times New Roman" w:cs="Times New Roman"/>
                <w:b w:val="0"/>
                <w:color w:val="000000"/>
                <w:sz w:val="20"/>
                <w:szCs w:val="20"/>
                <w:lang w:eastAsia="lv-LV"/>
              </w:rPr>
            </w:pPr>
            <w:r w:rsidRPr="004D5E99">
              <w:rPr>
                <w:rFonts w:ascii="Times New Roman" w:eastAsia="Times New Roman" w:hAnsi="Times New Roman" w:cs="Times New Roman"/>
                <w:b w:val="0"/>
                <w:color w:val="000000"/>
                <w:sz w:val="20"/>
                <w:szCs w:val="20"/>
                <w:lang w:eastAsia="lv-LV"/>
              </w:rPr>
              <w:t>pacientu un līdzekļu pieaugums onkoloģijā</w:t>
            </w:r>
          </w:p>
        </w:tc>
        <w:tc>
          <w:tcPr>
            <w:tcW w:w="1083" w:type="dxa"/>
            <w:noWrap/>
            <w:vAlign w:val="center"/>
            <w:hideMark/>
          </w:tcPr>
          <w:p w14:paraId="2A2CA605"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920,960</w:t>
            </w:r>
          </w:p>
        </w:tc>
        <w:tc>
          <w:tcPr>
            <w:tcW w:w="1134" w:type="dxa"/>
            <w:noWrap/>
            <w:vAlign w:val="center"/>
            <w:hideMark/>
          </w:tcPr>
          <w:p w14:paraId="0DE9D5D3"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hAnsi="Times New Roman" w:cs="Times New Roman"/>
                <w:color w:val="auto"/>
                <w:sz w:val="20"/>
                <w:szCs w:val="20"/>
              </w:rPr>
              <w:t>20 695 813</w:t>
            </w:r>
          </w:p>
        </w:tc>
        <w:tc>
          <w:tcPr>
            <w:tcW w:w="1134" w:type="dxa"/>
            <w:noWrap/>
            <w:vAlign w:val="center"/>
            <w:hideMark/>
          </w:tcPr>
          <w:p w14:paraId="5EBCC87B"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20 695 813</w:t>
            </w:r>
          </w:p>
        </w:tc>
        <w:tc>
          <w:tcPr>
            <w:tcW w:w="1134" w:type="dxa"/>
            <w:vAlign w:val="center"/>
          </w:tcPr>
          <w:p w14:paraId="0B6405CE"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4 138 795</w:t>
            </w:r>
          </w:p>
        </w:tc>
        <w:tc>
          <w:tcPr>
            <w:tcW w:w="990" w:type="dxa"/>
            <w:vAlign w:val="center"/>
          </w:tcPr>
          <w:p w14:paraId="173F71A0"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22 472</w:t>
            </w:r>
          </w:p>
        </w:tc>
        <w:tc>
          <w:tcPr>
            <w:tcW w:w="1076" w:type="dxa"/>
            <w:vAlign w:val="center"/>
          </w:tcPr>
          <w:p w14:paraId="77F6CD08"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22 472</w:t>
            </w:r>
          </w:p>
        </w:tc>
        <w:tc>
          <w:tcPr>
            <w:tcW w:w="1048" w:type="dxa"/>
            <w:noWrap/>
            <w:vAlign w:val="center"/>
            <w:hideMark/>
          </w:tcPr>
          <w:p w14:paraId="522497CD" w14:textId="77777777" w:rsidR="00814F98" w:rsidRPr="00CB58D4" w:rsidRDefault="00814F98"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26 966</w:t>
            </w:r>
          </w:p>
        </w:tc>
      </w:tr>
      <w:tr w:rsidR="00814F98" w:rsidRPr="00977D11" w14:paraId="434CCC62" w14:textId="77777777" w:rsidTr="00F3248F">
        <w:trPr>
          <w:trHeight w:val="262"/>
          <w:jc w:val="center"/>
        </w:trPr>
        <w:tc>
          <w:tcPr>
            <w:cnfStyle w:val="001000000000" w:firstRow="0" w:lastRow="0" w:firstColumn="1" w:lastColumn="0" w:oddVBand="0" w:evenVBand="0" w:oddHBand="0" w:evenHBand="0" w:firstRowFirstColumn="0" w:firstRowLastColumn="0" w:lastRowFirstColumn="0" w:lastRowLastColumn="0"/>
            <w:tcW w:w="1752" w:type="dxa"/>
            <w:noWrap/>
            <w:vAlign w:val="center"/>
            <w:hideMark/>
          </w:tcPr>
          <w:p w14:paraId="44A59133" w14:textId="77777777" w:rsidR="00814F98" w:rsidRPr="00977D11" w:rsidRDefault="00814F98" w:rsidP="00F3248F">
            <w:pPr>
              <w:jc w:val="center"/>
              <w:rPr>
                <w:rFonts w:ascii="Times New Roman" w:eastAsia="Times New Roman" w:hAnsi="Times New Roman" w:cs="Times New Roman"/>
                <w:b w:val="0"/>
                <w:sz w:val="20"/>
                <w:szCs w:val="20"/>
                <w:lang w:eastAsia="lv-LV"/>
              </w:rPr>
            </w:pPr>
            <w:r w:rsidRPr="00FC7A05">
              <w:rPr>
                <w:rFonts w:ascii="Times New Roman" w:eastAsia="Times New Roman" w:hAnsi="Times New Roman" w:cs="Times New Roman"/>
                <w:b w:val="0"/>
                <w:color w:val="000000" w:themeColor="text1"/>
                <w:sz w:val="20"/>
                <w:szCs w:val="20"/>
                <w:lang w:eastAsia="lv-LV"/>
              </w:rPr>
              <w:t>Kopā</w:t>
            </w:r>
          </w:p>
        </w:tc>
        <w:tc>
          <w:tcPr>
            <w:tcW w:w="1083" w:type="dxa"/>
            <w:noWrap/>
            <w:vAlign w:val="center"/>
            <w:hideMark/>
          </w:tcPr>
          <w:p w14:paraId="1EC01890"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p>
        </w:tc>
        <w:tc>
          <w:tcPr>
            <w:tcW w:w="1134" w:type="dxa"/>
            <w:noWrap/>
            <w:vAlign w:val="center"/>
            <w:hideMark/>
          </w:tcPr>
          <w:p w14:paraId="4A7B0748"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hAnsi="Times New Roman" w:cs="Times New Roman"/>
                <w:b/>
                <w:color w:val="auto"/>
                <w:sz w:val="20"/>
                <w:szCs w:val="20"/>
              </w:rPr>
              <w:t>53 077 897</w:t>
            </w:r>
          </w:p>
        </w:tc>
        <w:tc>
          <w:tcPr>
            <w:tcW w:w="1134" w:type="dxa"/>
            <w:noWrap/>
            <w:vAlign w:val="center"/>
            <w:hideMark/>
          </w:tcPr>
          <w:p w14:paraId="6CD32D1F"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53 077 897</w:t>
            </w:r>
          </w:p>
        </w:tc>
        <w:tc>
          <w:tcPr>
            <w:tcW w:w="1134" w:type="dxa"/>
            <w:vAlign w:val="center"/>
          </w:tcPr>
          <w:p w14:paraId="7C76E18A"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12 262 260</w:t>
            </w:r>
          </w:p>
        </w:tc>
        <w:tc>
          <w:tcPr>
            <w:tcW w:w="990" w:type="dxa"/>
            <w:vAlign w:val="center"/>
          </w:tcPr>
          <w:p w14:paraId="77B75EE5"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104 942</w:t>
            </w:r>
          </w:p>
        </w:tc>
        <w:tc>
          <w:tcPr>
            <w:tcW w:w="1076" w:type="dxa"/>
            <w:vAlign w:val="center"/>
          </w:tcPr>
          <w:p w14:paraId="50C06975"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104 942</w:t>
            </w:r>
          </w:p>
        </w:tc>
        <w:tc>
          <w:tcPr>
            <w:tcW w:w="1048" w:type="dxa"/>
            <w:noWrap/>
            <w:vAlign w:val="center"/>
            <w:hideMark/>
          </w:tcPr>
          <w:p w14:paraId="009A877F" w14:textId="77777777" w:rsidR="00814F98" w:rsidRPr="00CB58D4" w:rsidRDefault="00814F98"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163 846</w:t>
            </w:r>
          </w:p>
        </w:tc>
      </w:tr>
    </w:tbl>
    <w:p w14:paraId="470F4C30" w14:textId="585943BE" w:rsidR="005F4C67" w:rsidRDefault="005F4C67" w:rsidP="00977D11">
      <w:pPr>
        <w:spacing w:before="240" w:after="120" w:line="240" w:lineRule="auto"/>
        <w:ind w:firstLine="720"/>
        <w:jc w:val="both"/>
        <w:rPr>
          <w:rFonts w:ascii="Times New Roman" w:eastAsia="Calibri" w:hAnsi="Times New Roman" w:cs="Times New Roman"/>
          <w:color w:val="000000"/>
          <w:sz w:val="24"/>
          <w:szCs w:val="24"/>
        </w:rPr>
      </w:pPr>
      <w:r w:rsidRPr="002B4E1A">
        <w:rPr>
          <w:rFonts w:ascii="Times New Roman" w:eastAsia="Calibri" w:hAnsi="Times New Roman" w:cs="Times New Roman"/>
          <w:color w:val="000000"/>
          <w:sz w:val="24"/>
          <w:szCs w:val="24"/>
        </w:rPr>
        <w:t>Labāka onkoloģisko saslimšanu diagnostika un ārstēšanas pieejamība ļaus identificēt un uzsākt ārstēšanu slimības agrīnākajā stadijā.</w:t>
      </w:r>
    </w:p>
    <w:p w14:paraId="7388B972" w14:textId="77777777" w:rsidR="00977D11" w:rsidRPr="002B4E1A" w:rsidRDefault="00977D11" w:rsidP="00977D11">
      <w:pPr>
        <w:spacing w:before="120" w:after="120" w:line="240" w:lineRule="auto"/>
        <w:ind w:firstLine="720"/>
        <w:jc w:val="both"/>
        <w:rPr>
          <w:rFonts w:ascii="Times New Roman" w:eastAsia="Calibri" w:hAnsi="Times New Roman" w:cs="Times New Roman"/>
          <w:color w:val="000000"/>
          <w:sz w:val="24"/>
          <w:szCs w:val="24"/>
        </w:rPr>
      </w:pPr>
    </w:p>
    <w:p w14:paraId="16A59911" w14:textId="77777777" w:rsidR="005F4C67" w:rsidRDefault="005F4C67" w:rsidP="005F4C67">
      <w:pPr>
        <w:contextualSpacing/>
        <w:jc w:val="center"/>
        <w:rPr>
          <w:rFonts w:ascii="Times New Roman" w:hAnsi="Times New Roman"/>
          <w:b/>
          <w:sz w:val="24"/>
          <w:szCs w:val="24"/>
        </w:rPr>
      </w:pPr>
      <w:r>
        <w:rPr>
          <w:rFonts w:ascii="Times New Roman" w:eastAsia="Times New Roman" w:hAnsi="Times New Roman" w:cs="Times New Roman"/>
          <w:bCs/>
          <w:i/>
          <w:noProof/>
          <w:color w:val="000000"/>
          <w:sz w:val="24"/>
          <w:szCs w:val="24"/>
          <w:lang w:eastAsia="lv-LV"/>
        </w:rPr>
        <w:lastRenderedPageBreak/>
        <mc:AlternateContent>
          <mc:Choice Requires="wps">
            <w:drawing>
              <wp:anchor distT="0" distB="0" distL="114300" distR="114300" simplePos="0" relativeHeight="251678720" behindDoc="0" locked="0" layoutInCell="1" allowOverlap="1" wp14:anchorId="247A9069" wp14:editId="0D02C7A4">
                <wp:simplePos x="0" y="0"/>
                <wp:positionH relativeFrom="column">
                  <wp:posOffset>3657600</wp:posOffset>
                </wp:positionH>
                <wp:positionV relativeFrom="paragraph">
                  <wp:posOffset>1022350</wp:posOffset>
                </wp:positionV>
                <wp:extent cx="1790700" cy="914400"/>
                <wp:effectExtent l="0" t="0" r="19050" b="19050"/>
                <wp:wrapNone/>
                <wp:docPr id="13" name="Oval 13"/>
                <wp:cNvGraphicFramePr/>
                <a:graphic xmlns:a="http://schemas.openxmlformats.org/drawingml/2006/main">
                  <a:graphicData uri="http://schemas.microsoft.com/office/word/2010/wordprocessingShape">
                    <wps:wsp>
                      <wps:cNvSpPr/>
                      <wps:spPr>
                        <a:xfrm>
                          <a:off x="0" y="0"/>
                          <a:ext cx="1790700"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D37AE0" id="Oval 13" o:spid="_x0000_s1026" style="position:absolute;margin-left:4in;margin-top:80.5pt;width:141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" filled="f" strokecolor="red" strokeweight="1pt">
                <v:stroke joinstyle="miter"/>
              </v:oval>
            </w:pict>
          </mc:Fallback>
        </mc:AlternateContent>
      </w:r>
      <w:r w:rsidRPr="006804F3">
        <w:rPr>
          <w:rFonts w:ascii="Times New Roman" w:hAnsi="Times New Roman" w:cs="Times New Roman"/>
          <w:noProof/>
          <w:lang w:eastAsia="lv-LV"/>
        </w:rPr>
        <w:drawing>
          <wp:inline distT="0" distB="0" distL="0" distR="0" wp14:anchorId="3EB19A99" wp14:editId="3E84A604">
            <wp:extent cx="5162550" cy="24574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EDD121" w14:textId="4A3C95FA" w:rsidR="005F4C67" w:rsidRPr="00977D11" w:rsidRDefault="00C12F8D" w:rsidP="00977D11">
      <w:pPr>
        <w:spacing w:before="60" w:after="120" w:line="240" w:lineRule="auto"/>
        <w:jc w:val="center"/>
        <w:rPr>
          <w:rFonts w:ascii="Times New Roman" w:hAnsi="Times New Roman" w:cs="Times New Roman"/>
          <w:i/>
          <w:sz w:val="24"/>
          <w:szCs w:val="24"/>
        </w:rPr>
      </w:pPr>
      <w:r>
        <w:rPr>
          <w:rFonts w:ascii="Times New Roman" w:hAnsi="Times New Roman" w:cs="Times New Roman"/>
          <w:b/>
          <w:bCs/>
          <w:sz w:val="24"/>
          <w:szCs w:val="24"/>
        </w:rPr>
        <w:t>3.9</w:t>
      </w:r>
      <w:r w:rsidR="00A507C8">
        <w:rPr>
          <w:rFonts w:ascii="Times New Roman" w:hAnsi="Times New Roman" w:cs="Times New Roman"/>
          <w:b/>
          <w:bCs/>
          <w:sz w:val="24"/>
          <w:szCs w:val="24"/>
        </w:rPr>
        <w:t>.attēls.</w:t>
      </w:r>
      <w:r w:rsidR="005F4C67" w:rsidRPr="00977D11">
        <w:rPr>
          <w:rFonts w:ascii="Times New Roman" w:hAnsi="Times New Roman" w:cs="Times New Roman"/>
          <w:b/>
          <w:bCs/>
          <w:sz w:val="24"/>
          <w:szCs w:val="24"/>
        </w:rPr>
        <w:t xml:space="preserve"> Pacientu sadalījums pa stadijām ļaundabīgā audzēja diagnosticēšanas brīdī, ja 1.pasākums netiek īstenots.</w:t>
      </w:r>
      <w:r w:rsidR="005F4C67" w:rsidRPr="00977D11">
        <w:rPr>
          <w:rFonts w:ascii="Times New Roman" w:hAnsi="Times New Roman" w:cs="Times New Roman"/>
          <w:i/>
          <w:sz w:val="24"/>
          <w:szCs w:val="24"/>
        </w:rPr>
        <w:t xml:space="preserve"> Avots: SPKC</w:t>
      </w:r>
    </w:p>
    <w:p w14:paraId="637CC26B" w14:textId="77777777" w:rsidR="005F4C67" w:rsidRDefault="005F4C67" w:rsidP="005F4C67">
      <w:pPr>
        <w:spacing w:after="60" w:line="240" w:lineRule="auto"/>
        <w:rPr>
          <w:rFonts w:ascii="Times New Roman" w:hAnsi="Times New Roman" w:cs="Times New Roman"/>
          <w:i/>
          <w:sz w:val="20"/>
          <w:szCs w:val="20"/>
        </w:rPr>
      </w:pPr>
    </w:p>
    <w:p w14:paraId="443B5E22" w14:textId="77777777" w:rsidR="005F4C67" w:rsidRDefault="005F4C67" w:rsidP="005F4C67">
      <w:pPr>
        <w:ind w:firstLine="709"/>
        <w:contextualSpacing/>
        <w:jc w:val="center"/>
        <w:rPr>
          <w:rFonts w:ascii="Times New Roman" w:eastAsia="Calibri" w:hAnsi="Times New Roman" w:cs="Times New Roman"/>
          <w:b/>
          <w:bCs/>
          <w:sz w:val="24"/>
        </w:rPr>
      </w:pPr>
    </w:p>
    <w:p w14:paraId="34972155" w14:textId="77777777" w:rsidR="005F4C67" w:rsidRPr="001051B9" w:rsidRDefault="005F4C67" w:rsidP="005F4C67">
      <w:pPr>
        <w:ind w:firstLine="709"/>
        <w:contextualSpacing/>
        <w:jc w:val="center"/>
        <w:rPr>
          <w:rFonts w:ascii="Times New Roman" w:eastAsia="Calibri" w:hAnsi="Times New Roman" w:cs="Times New Roman"/>
          <w:b/>
          <w:bCs/>
          <w:sz w:val="24"/>
        </w:rPr>
      </w:pPr>
    </w:p>
    <w:p w14:paraId="24E691B2" w14:textId="77777777" w:rsidR="005F4C67" w:rsidRDefault="005F4C67" w:rsidP="005F4C67">
      <w:pPr>
        <w:contextualSpacing/>
        <w:jc w:val="center"/>
        <w:rPr>
          <w:rFonts w:ascii="Times New Roman" w:hAnsi="Times New Roman"/>
          <w:color w:val="FF0000"/>
          <w:sz w:val="24"/>
          <w:szCs w:val="24"/>
          <w:highlight w:val="yellow"/>
        </w:rPr>
      </w:pPr>
      <w:r>
        <w:rPr>
          <w:rFonts w:ascii="Times New Roman" w:eastAsia="Times New Roman" w:hAnsi="Times New Roman" w:cs="Times New Roman"/>
          <w:bCs/>
          <w:i/>
          <w:noProof/>
          <w:color w:val="000000"/>
          <w:sz w:val="24"/>
          <w:szCs w:val="24"/>
          <w:lang w:eastAsia="lv-LV"/>
        </w:rPr>
        <mc:AlternateContent>
          <mc:Choice Requires="wps">
            <w:drawing>
              <wp:anchor distT="0" distB="0" distL="114300" distR="114300" simplePos="0" relativeHeight="251679744" behindDoc="0" locked="0" layoutInCell="1" allowOverlap="1" wp14:anchorId="01E1B768" wp14:editId="4B45BCFD">
                <wp:simplePos x="0" y="0"/>
                <wp:positionH relativeFrom="margin">
                  <wp:posOffset>3667125</wp:posOffset>
                </wp:positionH>
                <wp:positionV relativeFrom="paragraph">
                  <wp:posOffset>760095</wp:posOffset>
                </wp:positionV>
                <wp:extent cx="1863090" cy="914400"/>
                <wp:effectExtent l="0" t="0" r="22860" b="19050"/>
                <wp:wrapNone/>
                <wp:docPr id="14" name="Oval 14"/>
                <wp:cNvGraphicFramePr/>
                <a:graphic xmlns:a="http://schemas.openxmlformats.org/drawingml/2006/main">
                  <a:graphicData uri="http://schemas.microsoft.com/office/word/2010/wordprocessingShape">
                    <wps:wsp>
                      <wps:cNvSpPr/>
                      <wps:spPr>
                        <a:xfrm>
                          <a:off x="0" y="0"/>
                          <a:ext cx="1863090" cy="914400"/>
                        </a:xfrm>
                        <a:prstGeom prst="ellipse">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CF83D0" id="Oval 14" o:spid="_x0000_s1026" style="position:absolute;margin-left:288.75pt;margin-top:59.85pt;width:146.7pt;height:1in;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" filled="f" strokecolor="#00b050" strokeweight="2pt">
                <w10:wrap anchorx="margin"/>
              </v:oval>
            </w:pict>
          </mc:Fallback>
        </mc:AlternateContent>
      </w:r>
      <w:r>
        <w:rPr>
          <w:noProof/>
          <w:lang w:eastAsia="lv-LV"/>
        </w:rPr>
        <w:drawing>
          <wp:inline distT="0" distB="0" distL="0" distR="0" wp14:anchorId="4D701632" wp14:editId="6010564D">
            <wp:extent cx="5274945" cy="2200275"/>
            <wp:effectExtent l="0" t="0" r="190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702F02" w14:textId="5E05E127" w:rsidR="005F4C67" w:rsidRPr="002B2DB4" w:rsidRDefault="00C12F8D" w:rsidP="00977D11">
      <w:pPr>
        <w:spacing w:after="60" w:line="240" w:lineRule="auto"/>
        <w:jc w:val="center"/>
        <w:rPr>
          <w:rFonts w:ascii="Times New Roman" w:hAnsi="Times New Roman" w:cs="Times New Roman"/>
          <w:i/>
          <w:sz w:val="20"/>
          <w:szCs w:val="20"/>
        </w:rPr>
      </w:pPr>
      <w:r>
        <w:rPr>
          <w:rFonts w:ascii="Times New Roman" w:hAnsi="Times New Roman" w:cs="Times New Roman"/>
          <w:b/>
          <w:bCs/>
          <w:sz w:val="24"/>
        </w:rPr>
        <w:t>3.10</w:t>
      </w:r>
      <w:r w:rsidR="00A507C8">
        <w:rPr>
          <w:rFonts w:ascii="Times New Roman" w:hAnsi="Times New Roman" w:cs="Times New Roman"/>
          <w:b/>
          <w:bCs/>
          <w:sz w:val="24"/>
        </w:rPr>
        <w:t>.</w:t>
      </w:r>
      <w:r w:rsidR="005F4C67" w:rsidRPr="002B4E1A">
        <w:rPr>
          <w:rFonts w:ascii="Times New Roman" w:hAnsi="Times New Roman" w:cs="Times New Roman"/>
          <w:b/>
          <w:bCs/>
          <w:sz w:val="24"/>
        </w:rPr>
        <w:t>attēls.</w:t>
      </w:r>
      <w:r w:rsidR="005F4C67" w:rsidRPr="002B4E1A">
        <w:rPr>
          <w:rFonts w:ascii="Times New Roman" w:hAnsi="Times New Roman" w:cs="Times New Roman"/>
          <w:b/>
          <w:i/>
          <w:sz w:val="20"/>
          <w:szCs w:val="20"/>
        </w:rPr>
        <w:t xml:space="preserve"> </w:t>
      </w:r>
      <w:r w:rsidR="005F4C67" w:rsidRPr="00977D11">
        <w:rPr>
          <w:rFonts w:ascii="Times New Roman" w:hAnsi="Times New Roman" w:cs="Times New Roman"/>
          <w:b/>
          <w:bCs/>
          <w:sz w:val="24"/>
          <w:szCs w:val="24"/>
        </w:rPr>
        <w:t xml:space="preserve">Pacientu sadalījums pa stadijām ļaundabīgā audzēja diagnosticēšanas brīdī, ja 1.pasākums tiek īstenot. </w:t>
      </w:r>
      <w:r w:rsidR="005F4C67" w:rsidRPr="00977D11">
        <w:rPr>
          <w:rFonts w:ascii="Times New Roman" w:hAnsi="Times New Roman" w:cs="Times New Roman"/>
          <w:bCs/>
          <w:i/>
          <w:sz w:val="24"/>
          <w:szCs w:val="24"/>
        </w:rPr>
        <w:t>Avots: SPKC</w:t>
      </w:r>
    </w:p>
    <w:p w14:paraId="7D63837E" w14:textId="77777777" w:rsidR="00977D11" w:rsidRDefault="00977D11" w:rsidP="005F4C67">
      <w:pPr>
        <w:ind w:firstLine="709"/>
        <w:contextualSpacing/>
        <w:jc w:val="both"/>
        <w:rPr>
          <w:rFonts w:ascii="Times New Roman" w:hAnsi="Times New Roman"/>
          <w:sz w:val="24"/>
          <w:szCs w:val="24"/>
        </w:rPr>
      </w:pPr>
    </w:p>
    <w:p w14:paraId="39B168B8" w14:textId="61831903" w:rsidR="005F4C67" w:rsidRPr="004C1238" w:rsidRDefault="005F4C67" w:rsidP="005F4C67">
      <w:pPr>
        <w:ind w:firstLine="709"/>
        <w:contextualSpacing/>
        <w:jc w:val="both"/>
        <w:rPr>
          <w:rFonts w:ascii="Times New Roman" w:hAnsi="Times New Roman"/>
          <w:sz w:val="24"/>
          <w:szCs w:val="24"/>
        </w:rPr>
      </w:pPr>
      <w:r w:rsidRPr="004C1238">
        <w:rPr>
          <w:rFonts w:ascii="Times New Roman" w:hAnsi="Times New Roman"/>
          <w:sz w:val="24"/>
          <w:szCs w:val="24"/>
        </w:rPr>
        <w:t>Ar reformu rezultātā uzlaboto pieejamību onkoloģisko slimību diagnostikai iespējams prognozēt potenciāli zaudēto mūža gadu rādītāju samazinājumu audzēju dēļ</w:t>
      </w:r>
      <w:r>
        <w:rPr>
          <w:rFonts w:ascii="Times New Roman" w:hAnsi="Times New Roman"/>
          <w:sz w:val="24"/>
          <w:szCs w:val="24"/>
        </w:rPr>
        <w:t>.</w:t>
      </w:r>
    </w:p>
    <w:p w14:paraId="5794C7E0" w14:textId="77777777" w:rsidR="005F4C67" w:rsidRPr="004C1238" w:rsidRDefault="005F4C67" w:rsidP="005F4C67">
      <w:pPr>
        <w:ind w:firstLine="709"/>
        <w:contextualSpacing/>
        <w:jc w:val="center"/>
        <w:rPr>
          <w:rFonts w:ascii="Times New Roman" w:hAnsi="Times New Roman"/>
          <w:b/>
          <w:sz w:val="24"/>
          <w:szCs w:val="24"/>
        </w:rPr>
      </w:pPr>
    </w:p>
    <w:p w14:paraId="01C4B10C" w14:textId="77777777" w:rsidR="005F4C67" w:rsidRPr="004C1238" w:rsidRDefault="005F4C67" w:rsidP="005F4C67">
      <w:pPr>
        <w:contextualSpacing/>
        <w:jc w:val="center"/>
        <w:rPr>
          <w:rFonts w:ascii="Times New Roman" w:hAnsi="Times New Roman" w:cs="Times New Roman"/>
          <w:sz w:val="24"/>
          <w:szCs w:val="24"/>
        </w:rPr>
      </w:pPr>
      <w:r>
        <w:rPr>
          <w:noProof/>
          <w:lang w:eastAsia="lv-LV"/>
        </w:rPr>
        <w:lastRenderedPageBreak/>
        <w:drawing>
          <wp:inline distT="0" distB="0" distL="0" distR="0" wp14:anchorId="6DCBB584" wp14:editId="3AFF7839">
            <wp:extent cx="5419725" cy="22002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C8D693" w14:textId="7218AF68" w:rsidR="005F4C67" w:rsidRPr="00977D11" w:rsidRDefault="00C12F8D" w:rsidP="00977D11">
      <w:pPr>
        <w:spacing w:before="60" w:after="120"/>
        <w:ind w:firstLine="709"/>
        <w:jc w:val="center"/>
        <w:rPr>
          <w:rFonts w:ascii="Times New Roman" w:hAnsi="Times New Roman"/>
          <w:b/>
          <w:sz w:val="24"/>
          <w:szCs w:val="24"/>
        </w:rPr>
      </w:pPr>
      <w:r>
        <w:rPr>
          <w:rFonts w:ascii="Times New Roman" w:hAnsi="Times New Roman"/>
          <w:b/>
          <w:sz w:val="24"/>
          <w:szCs w:val="24"/>
        </w:rPr>
        <w:t>3.11</w:t>
      </w:r>
      <w:r w:rsidR="00A507C8">
        <w:rPr>
          <w:rFonts w:ascii="Times New Roman" w:hAnsi="Times New Roman"/>
          <w:b/>
          <w:sz w:val="24"/>
          <w:szCs w:val="24"/>
        </w:rPr>
        <w:t>.</w:t>
      </w:r>
      <w:r w:rsidR="00D759FF">
        <w:rPr>
          <w:rFonts w:ascii="Times New Roman" w:hAnsi="Times New Roman"/>
          <w:b/>
          <w:sz w:val="24"/>
          <w:szCs w:val="24"/>
        </w:rPr>
        <w:t>attēls.</w:t>
      </w:r>
      <w:r w:rsidR="005F4C67" w:rsidRPr="00977D11">
        <w:rPr>
          <w:rFonts w:ascii="Times New Roman" w:hAnsi="Times New Roman"/>
          <w:b/>
          <w:sz w:val="24"/>
          <w:szCs w:val="24"/>
        </w:rPr>
        <w:t xml:space="preserve"> Potenciāli zaudēto mūža gadu skaits audzēju dēļ. </w:t>
      </w:r>
      <w:r w:rsidR="005F4C67" w:rsidRPr="00977D11">
        <w:rPr>
          <w:rFonts w:ascii="Times New Roman" w:hAnsi="Times New Roman" w:cs="Times New Roman"/>
          <w:i/>
          <w:sz w:val="24"/>
          <w:szCs w:val="24"/>
        </w:rPr>
        <w:t>Avots: SPKC</w:t>
      </w:r>
    </w:p>
    <w:p w14:paraId="7BB87E4E" w14:textId="5759C94B" w:rsidR="005F4C67" w:rsidRDefault="005F4C67" w:rsidP="001210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lv-LV"/>
        </w:rPr>
        <w:t xml:space="preserve">Kā jau tika norādīts augstāk, īstenojot sabiedrības veselības pamatnostādnes, </w:t>
      </w:r>
      <w:r w:rsidRPr="0096471D">
        <w:rPr>
          <w:rFonts w:ascii="Times New Roman" w:hAnsi="Times New Roman" w:cs="Times New Roman"/>
          <w:sz w:val="24"/>
          <w:szCs w:val="24"/>
        </w:rPr>
        <w:t xml:space="preserve">vidējās izmaksas par vienu novērstu PZDG ir </w:t>
      </w:r>
      <w:r>
        <w:rPr>
          <w:rFonts w:ascii="Times New Roman" w:hAnsi="Times New Roman" w:cs="Times New Roman"/>
          <w:sz w:val="24"/>
          <w:szCs w:val="24"/>
        </w:rPr>
        <w:t xml:space="preserve">robežās no 30 līdz 60 tūkstoši </w:t>
      </w:r>
      <w:r w:rsidRPr="00DE34F6">
        <w:rPr>
          <w:rFonts w:ascii="Times New Roman" w:hAnsi="Times New Roman" w:cs="Times New Roman"/>
          <w:i/>
          <w:sz w:val="24"/>
          <w:szCs w:val="24"/>
        </w:rPr>
        <w:t>euro</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lv-LV"/>
        </w:rPr>
        <w:t>1.p</w:t>
      </w:r>
      <w:r w:rsidRPr="00813E10">
        <w:rPr>
          <w:rFonts w:ascii="Times New Roman" w:eastAsia="Times New Roman" w:hAnsi="Times New Roman" w:cs="Times New Roman"/>
          <w:color w:val="000000"/>
          <w:sz w:val="24"/>
          <w:szCs w:val="24"/>
          <w:lang w:eastAsia="lv-LV"/>
        </w:rPr>
        <w:t xml:space="preserve">asākuma īstenošanas efektivitāte ir </w:t>
      </w:r>
      <w:r w:rsidRPr="00813E10">
        <w:rPr>
          <w:rFonts w:ascii="Times New Roman" w:eastAsia="Times New Roman" w:hAnsi="Times New Roman" w:cs="Times New Roman"/>
          <w:b/>
          <w:color w:val="000000"/>
          <w:sz w:val="24"/>
          <w:szCs w:val="24"/>
          <w:lang w:eastAsia="lv-LV"/>
        </w:rPr>
        <w:t xml:space="preserve">32 tūkstoši </w:t>
      </w:r>
      <w:r w:rsidRPr="00DE34F6">
        <w:rPr>
          <w:rFonts w:ascii="Times New Roman" w:eastAsia="Times New Roman" w:hAnsi="Times New Roman" w:cs="Times New Roman"/>
          <w:b/>
          <w:i/>
          <w:color w:val="000000"/>
          <w:sz w:val="24"/>
          <w:szCs w:val="24"/>
          <w:lang w:eastAsia="lv-LV"/>
        </w:rPr>
        <w:t>euro</w:t>
      </w:r>
      <w:r w:rsidR="00977D11">
        <w:rPr>
          <w:rFonts w:ascii="Times New Roman" w:eastAsia="Times New Roman" w:hAnsi="Times New Roman" w:cs="Times New Roman"/>
          <w:b/>
          <w:color w:val="000000"/>
          <w:sz w:val="24"/>
          <w:szCs w:val="24"/>
          <w:lang w:eastAsia="lv-LV"/>
        </w:rPr>
        <w:t xml:space="preserve"> par</w:t>
      </w:r>
      <w:r w:rsidRPr="00813E10">
        <w:rPr>
          <w:rFonts w:ascii="Times New Roman" w:eastAsia="Times New Roman" w:hAnsi="Times New Roman" w:cs="Times New Roman"/>
          <w:b/>
          <w:color w:val="000000"/>
          <w:sz w:val="24"/>
          <w:szCs w:val="24"/>
          <w:lang w:eastAsia="lv-LV"/>
        </w:rPr>
        <w:t xml:space="preserve"> </w:t>
      </w:r>
      <w:r w:rsidRPr="00813E10">
        <w:rPr>
          <w:rFonts w:ascii="Times New Roman" w:hAnsi="Times New Roman" w:cs="Times New Roman"/>
          <w:b/>
          <w:sz w:val="24"/>
          <w:szCs w:val="24"/>
        </w:rPr>
        <w:t>vienu novērstu PZDG</w:t>
      </w:r>
      <w:r w:rsidRPr="00813E10">
        <w:rPr>
          <w:rFonts w:ascii="Times New Roman" w:hAnsi="Times New Roman" w:cs="Times New Roman"/>
          <w:sz w:val="24"/>
          <w:szCs w:val="24"/>
        </w:rPr>
        <w:t xml:space="preserve">. </w:t>
      </w:r>
    </w:p>
    <w:p w14:paraId="6FD267DA" w14:textId="599F393C" w:rsidR="005F4C67" w:rsidRPr="00813E10" w:rsidRDefault="005F4C67" w:rsidP="001210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deficīta atkāpes piešķirtais finansējums 12 </w:t>
      </w:r>
      <w:r w:rsidR="00977D11">
        <w:rPr>
          <w:rFonts w:ascii="Times New Roman" w:hAnsi="Times New Roman" w:cs="Times New Roman"/>
          <w:sz w:val="24"/>
          <w:szCs w:val="24"/>
        </w:rPr>
        <w:t xml:space="preserve">milj. </w:t>
      </w:r>
      <w:r w:rsidR="00977D11">
        <w:rPr>
          <w:rFonts w:ascii="Times New Roman" w:hAnsi="Times New Roman" w:cs="Times New Roman"/>
          <w:i/>
          <w:sz w:val="24"/>
          <w:szCs w:val="24"/>
        </w:rPr>
        <w:t>euro</w:t>
      </w:r>
      <w:r>
        <w:rPr>
          <w:rFonts w:ascii="Times New Roman" w:hAnsi="Times New Roman" w:cs="Times New Roman"/>
          <w:sz w:val="24"/>
          <w:szCs w:val="24"/>
        </w:rPr>
        <w:t>, reformas pasākuma sekmīgas ieviešanas rezultātā ti</w:t>
      </w:r>
      <w:r w:rsidR="00977D11">
        <w:rPr>
          <w:rFonts w:ascii="Times New Roman" w:hAnsi="Times New Roman" w:cs="Times New Roman"/>
          <w:sz w:val="24"/>
          <w:szCs w:val="24"/>
        </w:rPr>
        <w:t>ks piešķirts arī 2018. un 2019.</w:t>
      </w:r>
      <w:r>
        <w:rPr>
          <w:rFonts w:ascii="Times New Roman" w:hAnsi="Times New Roman" w:cs="Times New Roman"/>
          <w:sz w:val="24"/>
          <w:szCs w:val="24"/>
        </w:rPr>
        <w:t xml:space="preserve">gadā un tiek plānots, ka sākot ar 2020.gadu tas tiks iekļauts budžeta bāzē. Pašlaik lēmums par 12 </w:t>
      </w:r>
      <w:r w:rsidR="00977D11">
        <w:rPr>
          <w:rFonts w:ascii="Times New Roman" w:hAnsi="Times New Roman" w:cs="Times New Roman"/>
          <w:sz w:val="24"/>
          <w:szCs w:val="24"/>
        </w:rPr>
        <w:t xml:space="preserve">milj. </w:t>
      </w:r>
      <w:r w:rsidR="00977D11">
        <w:rPr>
          <w:rFonts w:ascii="Times New Roman" w:hAnsi="Times New Roman" w:cs="Times New Roman"/>
          <w:i/>
          <w:sz w:val="24"/>
          <w:szCs w:val="24"/>
        </w:rPr>
        <w:t>euro</w:t>
      </w:r>
      <w:r w:rsidR="00977D11">
        <w:rPr>
          <w:rFonts w:ascii="Times New Roman" w:hAnsi="Times New Roman" w:cs="Times New Roman"/>
          <w:sz w:val="24"/>
          <w:szCs w:val="24"/>
        </w:rPr>
        <w:t xml:space="preserve"> piešķiršanu 2018. un 2019.</w:t>
      </w:r>
      <w:r>
        <w:rPr>
          <w:rFonts w:ascii="Times New Roman" w:hAnsi="Times New Roman" w:cs="Times New Roman"/>
          <w:sz w:val="24"/>
          <w:szCs w:val="24"/>
        </w:rPr>
        <w:t xml:space="preserve">gadam būs atkarīgs no pasākuma ieviešanas progresa. </w:t>
      </w:r>
    </w:p>
    <w:p w14:paraId="38A74E9A" w14:textId="3AC06CD2" w:rsidR="005F4C67" w:rsidRDefault="005F4C67" w:rsidP="00977D11">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17F56291" w14:textId="04D1F169" w:rsidR="005F4C67" w:rsidRPr="00977D11" w:rsidRDefault="005F4C67" w:rsidP="00977D11">
      <w:pPr>
        <w:autoSpaceDE w:val="0"/>
        <w:autoSpaceDN w:val="0"/>
        <w:adjustRightInd w:val="0"/>
        <w:spacing w:after="60" w:line="240" w:lineRule="auto"/>
        <w:ind w:firstLine="720"/>
        <w:jc w:val="both"/>
        <w:rPr>
          <w:rFonts w:ascii="Times New Roman" w:eastAsia="Times New Roman" w:hAnsi="Times New Roman" w:cs="Times New Roman"/>
          <w:color w:val="000000"/>
          <w:sz w:val="24"/>
          <w:szCs w:val="24"/>
          <w:lang w:eastAsia="lv-LV"/>
        </w:rPr>
      </w:pPr>
      <w:r>
        <w:rPr>
          <w:rFonts w:ascii="Times New Roman" w:eastAsia="Calibri" w:hAnsi="Times New Roman" w:cs="Times New Roman"/>
          <w:i/>
          <w:color w:val="000000"/>
          <w:sz w:val="24"/>
          <w:szCs w:val="24"/>
          <w:u w:val="single"/>
        </w:rPr>
        <w:t>2.</w:t>
      </w:r>
      <w:r w:rsidRPr="009C2AE5">
        <w:rPr>
          <w:rFonts w:ascii="Times New Roman" w:eastAsia="Calibri" w:hAnsi="Times New Roman" w:cs="Times New Roman"/>
          <w:i/>
          <w:color w:val="000000"/>
          <w:sz w:val="24"/>
          <w:szCs w:val="24"/>
          <w:u w:val="single"/>
        </w:rPr>
        <w:t xml:space="preserve">Pasākums. </w:t>
      </w:r>
      <w:r w:rsidRPr="00813E10">
        <w:rPr>
          <w:rFonts w:ascii="Times New Roman" w:eastAsia="Calibri" w:hAnsi="Times New Roman" w:cs="Times New Roman"/>
          <w:i/>
          <w:color w:val="000000"/>
          <w:sz w:val="24"/>
          <w:szCs w:val="24"/>
          <w:u w:val="single"/>
        </w:rPr>
        <w:t>Rindu mazināšanai pie speciālistiem, uz diagnostiskajiem izmeklējumiem, dienas stacionārā un ambulatorajā rehabilitācijā</w:t>
      </w:r>
    </w:p>
    <w:p w14:paraId="3BD30801" w14:textId="77777777" w:rsidR="005F4C67" w:rsidRDefault="005F4C67" w:rsidP="001210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EE59A5">
        <w:rPr>
          <w:rFonts w:ascii="Times New Roman" w:hAnsi="Times New Roman" w:cs="Times New Roman"/>
          <w:sz w:val="24"/>
          <w:szCs w:val="24"/>
        </w:rPr>
        <w:t xml:space="preserve">acientu pieprasījums pēc ambulatorajiem izmeklējumiem un speciālistu konsultācijām būtiski pārsniedz valsts novirzīto finansējumu šim mērķim. </w:t>
      </w:r>
      <w:r>
        <w:rPr>
          <w:rFonts w:ascii="Times New Roman" w:hAnsi="Times New Roman" w:cs="Times New Roman"/>
          <w:sz w:val="24"/>
          <w:szCs w:val="24"/>
        </w:rPr>
        <w:t>Tā, piemēram, lai saņemtu konsultācijas pie speciālista, u</w:t>
      </w:r>
      <w:r w:rsidRPr="00EE59A5">
        <w:rPr>
          <w:rFonts w:ascii="Times New Roman" w:hAnsi="Times New Roman" w:cs="Times New Roman"/>
          <w:sz w:val="24"/>
          <w:szCs w:val="24"/>
        </w:rPr>
        <w:t>z 2016.gada 1.decembri pacientu gaidīšanas rindas pie endokrinologa</w:t>
      </w:r>
      <w:r>
        <w:rPr>
          <w:rFonts w:ascii="Times New Roman" w:hAnsi="Times New Roman" w:cs="Times New Roman"/>
          <w:sz w:val="24"/>
          <w:szCs w:val="24"/>
        </w:rPr>
        <w:t xml:space="preserve"> ir</w:t>
      </w:r>
      <w:r w:rsidRPr="00EE59A5">
        <w:rPr>
          <w:rFonts w:ascii="Times New Roman" w:hAnsi="Times New Roman" w:cs="Times New Roman"/>
          <w:sz w:val="24"/>
          <w:szCs w:val="24"/>
        </w:rPr>
        <w:t xml:space="preserve"> līdz 117 dienām, pie ginekologa līdz 75 dienām, pie kardiologa līdz 133 dienām, pie reimatologa – 107 dienām, pie oftalmologa līdz 150 dienām, pie traumatologa, ortopēda līdz 97 dienām, pie asinsvadu ķirurga līdz 146 dienām, pie urologa līdz 114 dienām, pie bērnu ķirurga līdz 30 dienām, pie mikroķirurga līdz 70 dienām, pie sirds ķirurga līdz 31 dienām, pie pneimonologa līdz 75 dienām, pie otolaringologa līdz 62 dienām, pie narkologa līdz 31 dienām, pie neirologa līdz 92 dienām. Apgrūtinātās izmeklējumu pieejamības rezultātā pacientiem precīzas diagnozes tiek uzstādītas novēloti un nav iespējams nodrošināt kvalitatīvu slimību norises uzraudzību. </w:t>
      </w:r>
    </w:p>
    <w:p w14:paraId="29E6D21A" w14:textId="77777777" w:rsidR="005F4C67" w:rsidRDefault="005F4C67" w:rsidP="001210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2.pasākumā mērķis ir būtiski samazināt rindu lielumu – gan lai saņemtu konsultācijas pie speciālista, gan lai veiktu diagnostiskos izmeklējumus un manipulācijas.</w:t>
      </w:r>
    </w:p>
    <w:p w14:paraId="6DEA5C19" w14:textId="77777777" w:rsidR="00D47E1F" w:rsidRDefault="00D47E1F">
      <w:pPr>
        <w:rPr>
          <w:rFonts w:ascii="Times New Roman" w:hAnsi="Times New Roman" w:cs="Times New Roman"/>
          <w:b/>
          <w:sz w:val="24"/>
          <w:szCs w:val="24"/>
        </w:rPr>
      </w:pPr>
      <w:r>
        <w:rPr>
          <w:rFonts w:ascii="Times New Roman" w:hAnsi="Times New Roman" w:cs="Times New Roman"/>
          <w:b/>
          <w:sz w:val="24"/>
          <w:szCs w:val="24"/>
        </w:rPr>
        <w:br w:type="page"/>
      </w:r>
    </w:p>
    <w:p w14:paraId="1303F8CE" w14:textId="66192697" w:rsidR="005F4C67" w:rsidRDefault="00FC7A05" w:rsidP="00977D11">
      <w:pPr>
        <w:autoSpaceDE w:val="0"/>
        <w:autoSpaceDN w:val="0"/>
        <w:adjustRightInd w:val="0"/>
        <w:spacing w:before="120" w:after="60" w:line="240" w:lineRule="auto"/>
        <w:jc w:val="right"/>
        <w:rPr>
          <w:rFonts w:ascii="Times New Roman" w:hAnsi="Times New Roman" w:cs="Times New Roman"/>
          <w:sz w:val="24"/>
          <w:szCs w:val="24"/>
        </w:rPr>
      </w:pPr>
      <w:r>
        <w:rPr>
          <w:rFonts w:ascii="Times New Roman" w:hAnsi="Times New Roman" w:cs="Times New Roman"/>
          <w:b/>
          <w:sz w:val="24"/>
          <w:szCs w:val="24"/>
        </w:rPr>
        <w:lastRenderedPageBreak/>
        <w:t>3.21</w:t>
      </w:r>
      <w:r w:rsidR="00A507C8">
        <w:rPr>
          <w:rFonts w:ascii="Times New Roman" w:hAnsi="Times New Roman" w:cs="Times New Roman"/>
          <w:b/>
          <w:sz w:val="24"/>
          <w:szCs w:val="24"/>
        </w:rPr>
        <w:t>.</w:t>
      </w:r>
      <w:r w:rsidR="005F4C67" w:rsidRPr="006F0EBA">
        <w:rPr>
          <w:rFonts w:ascii="Times New Roman" w:hAnsi="Times New Roman" w:cs="Times New Roman"/>
          <w:b/>
          <w:sz w:val="24"/>
          <w:szCs w:val="24"/>
        </w:rPr>
        <w:t>tabula</w:t>
      </w:r>
      <w:r w:rsidR="005F4C67" w:rsidRPr="006F0EBA">
        <w:rPr>
          <w:rFonts w:ascii="Times New Roman" w:eastAsia="Times New Roman" w:hAnsi="Times New Roman" w:cs="Times New Roman"/>
          <w:b/>
          <w:color w:val="000000"/>
          <w:sz w:val="24"/>
          <w:szCs w:val="24"/>
          <w:lang w:eastAsia="lv-LV"/>
        </w:rPr>
        <w:t>. 2.Pasākums. Rindu mazināšana  pie speciālistiem, uz diagnostiskajiem izmeklējumiem, dienas stacionārā un ambulatorajā rehabilitācijā</w:t>
      </w:r>
      <w:r w:rsidR="005F4C67">
        <w:rPr>
          <w:rFonts w:ascii="Times New Roman" w:eastAsia="Times New Roman" w:hAnsi="Times New Roman" w:cs="Times New Roman"/>
          <w:b/>
          <w:color w:val="000000"/>
          <w:sz w:val="24"/>
          <w:szCs w:val="24"/>
          <w:lang w:eastAsia="lv-LV"/>
        </w:rPr>
        <w:t>.</w:t>
      </w:r>
      <w:r w:rsidR="005F4C67" w:rsidRPr="00A97D7C">
        <w:rPr>
          <w:rFonts w:ascii="Times New Roman" w:eastAsia="Calibri" w:hAnsi="Times New Roman" w:cs="Times New Roman"/>
          <w:b/>
          <w:color w:val="000000"/>
          <w:sz w:val="24"/>
          <w:szCs w:val="24"/>
        </w:rPr>
        <w:t xml:space="preserve"> Ieguldījumu un iznākumu rādītāji.</w:t>
      </w:r>
    </w:p>
    <w:tbl>
      <w:tblPr>
        <w:tblStyle w:val="GridTable6Colorful-Accent1"/>
        <w:tblW w:w="9356" w:type="dxa"/>
        <w:jc w:val="center"/>
        <w:tblLayout w:type="fixed"/>
        <w:tblLook w:val="04A0" w:firstRow="1" w:lastRow="0" w:firstColumn="1" w:lastColumn="0" w:noHBand="0" w:noVBand="1"/>
      </w:tblPr>
      <w:tblGrid>
        <w:gridCol w:w="1423"/>
        <w:gridCol w:w="851"/>
        <w:gridCol w:w="1271"/>
        <w:gridCol w:w="1275"/>
        <w:gridCol w:w="1134"/>
        <w:gridCol w:w="1134"/>
        <w:gridCol w:w="1134"/>
        <w:gridCol w:w="1134"/>
      </w:tblGrid>
      <w:tr w:rsidR="00F3248F" w:rsidRPr="00977D11" w14:paraId="608693DA" w14:textId="77777777" w:rsidTr="00F3248F">
        <w:trPr>
          <w:cnfStyle w:val="100000000000" w:firstRow="1" w:lastRow="0" w:firstColumn="0" w:lastColumn="0" w:oddVBand="0" w:evenVBand="0" w:oddHBand="0" w:evenHBand="0" w:firstRowFirstColumn="0" w:firstRowLastColumn="0" w:lastRowFirstColumn="0" w:lastRowLastColumn="0"/>
          <w:trHeight w:val="2239"/>
          <w:jc w:val="center"/>
        </w:trPr>
        <w:tc>
          <w:tcPr>
            <w:cnfStyle w:val="001000000000" w:firstRow="0" w:lastRow="0" w:firstColumn="1" w:lastColumn="0" w:oddVBand="0" w:evenVBand="0" w:oddHBand="0" w:evenHBand="0" w:firstRowFirstColumn="0" w:firstRowLastColumn="0" w:lastRowFirstColumn="0" w:lastRowLastColumn="0"/>
            <w:tcW w:w="1423" w:type="dxa"/>
            <w:hideMark/>
          </w:tcPr>
          <w:p w14:paraId="542803BF" w14:textId="77777777" w:rsidR="00F3248F" w:rsidRPr="00977D11" w:rsidRDefault="00F3248F" w:rsidP="0053259F">
            <w:pPr>
              <w:jc w:val="center"/>
              <w:rPr>
                <w:rFonts w:ascii="Times New Roman" w:eastAsia="Times New Roman" w:hAnsi="Times New Roman" w:cs="Times New Roman"/>
                <w:b w:val="0"/>
                <w:bCs w:val="0"/>
                <w:color w:val="auto"/>
                <w:sz w:val="20"/>
                <w:szCs w:val="20"/>
                <w:lang w:eastAsia="lv-LV"/>
              </w:rPr>
            </w:pPr>
          </w:p>
        </w:tc>
        <w:tc>
          <w:tcPr>
            <w:tcW w:w="851" w:type="dxa"/>
            <w:textDirection w:val="btLr"/>
            <w:vAlign w:val="center"/>
            <w:hideMark/>
          </w:tcPr>
          <w:p w14:paraId="1E2487C3" w14:textId="77777777" w:rsidR="00F3248F" w:rsidRPr="0053259F" w:rsidRDefault="00F3248F"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Vienas ārstēšanas vidējās</w:t>
            </w:r>
          </w:p>
          <w:p w14:paraId="7A79015A" w14:textId="77777777" w:rsidR="00F3248F" w:rsidRPr="0053259F" w:rsidRDefault="00F3248F"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izmaksas</w:t>
            </w:r>
          </w:p>
          <w:p w14:paraId="0F35DEC5" w14:textId="77777777" w:rsidR="00F3248F" w:rsidRPr="0053259F" w:rsidRDefault="00F3248F"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p>
        </w:tc>
        <w:tc>
          <w:tcPr>
            <w:tcW w:w="2546" w:type="dxa"/>
            <w:gridSpan w:val="2"/>
            <w:textDirection w:val="btLr"/>
            <w:vAlign w:val="center"/>
            <w:hideMark/>
          </w:tcPr>
          <w:p w14:paraId="20AFF5D3" w14:textId="7EB0350E" w:rsidR="00F3248F" w:rsidRPr="0053259F" w:rsidRDefault="00F3248F"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Plānotais finansējums</w:t>
            </w:r>
          </w:p>
        </w:tc>
        <w:tc>
          <w:tcPr>
            <w:tcW w:w="1134" w:type="dxa"/>
            <w:textDirection w:val="btLr"/>
            <w:vAlign w:val="center"/>
            <w:hideMark/>
          </w:tcPr>
          <w:p w14:paraId="1976535B" w14:textId="48F04F59" w:rsidR="00F3248F" w:rsidRPr="0053259F" w:rsidRDefault="00F3248F"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Papildus finansējums</w:t>
            </w:r>
          </w:p>
        </w:tc>
        <w:tc>
          <w:tcPr>
            <w:tcW w:w="2268" w:type="dxa"/>
            <w:gridSpan w:val="2"/>
            <w:textDirection w:val="btLr"/>
            <w:vAlign w:val="center"/>
          </w:tcPr>
          <w:p w14:paraId="6B688A45" w14:textId="4620ED83" w:rsidR="00F3248F" w:rsidRPr="0053259F" w:rsidRDefault="00F3248F"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Plānotais pakalpojumu skaits</w:t>
            </w:r>
          </w:p>
        </w:tc>
        <w:tc>
          <w:tcPr>
            <w:tcW w:w="1134" w:type="dxa"/>
            <w:textDirection w:val="btLr"/>
            <w:vAlign w:val="center"/>
            <w:hideMark/>
          </w:tcPr>
          <w:p w14:paraId="248D6C75" w14:textId="77777777" w:rsidR="00F3248F" w:rsidRPr="0053259F" w:rsidRDefault="00F3248F"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Plānotais pakalpojumu skaits pēc finansējuma piešķīruma</w:t>
            </w:r>
          </w:p>
        </w:tc>
      </w:tr>
      <w:tr w:rsidR="00F3248F" w:rsidRPr="00977D11" w14:paraId="30B959DE" w14:textId="77777777" w:rsidTr="00F3248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423" w:type="dxa"/>
          </w:tcPr>
          <w:p w14:paraId="0F93EF47" w14:textId="77777777" w:rsidR="00F3248F" w:rsidRPr="00977D11" w:rsidRDefault="00F3248F" w:rsidP="005F4C67">
            <w:pPr>
              <w:jc w:val="center"/>
              <w:rPr>
                <w:rFonts w:ascii="Times New Roman" w:eastAsia="Times New Roman" w:hAnsi="Times New Roman" w:cs="Times New Roman"/>
                <w:b w:val="0"/>
                <w:bCs w:val="0"/>
                <w:color w:val="auto"/>
                <w:sz w:val="20"/>
                <w:szCs w:val="20"/>
                <w:lang w:eastAsia="lv-LV"/>
              </w:rPr>
            </w:pPr>
          </w:p>
        </w:tc>
        <w:tc>
          <w:tcPr>
            <w:tcW w:w="851" w:type="dxa"/>
            <w:vAlign w:val="center"/>
          </w:tcPr>
          <w:p w14:paraId="2EFB34E2"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977D11">
              <w:rPr>
                <w:rFonts w:ascii="Times New Roman" w:eastAsia="Times New Roman" w:hAnsi="Times New Roman" w:cs="Times New Roman"/>
                <w:i/>
                <w:iCs/>
                <w:color w:val="auto"/>
                <w:sz w:val="20"/>
                <w:szCs w:val="20"/>
                <w:lang w:eastAsia="lv-LV"/>
              </w:rPr>
              <w:t>(euro)</w:t>
            </w:r>
          </w:p>
        </w:tc>
        <w:tc>
          <w:tcPr>
            <w:tcW w:w="1271" w:type="dxa"/>
            <w:vAlign w:val="center"/>
          </w:tcPr>
          <w:p w14:paraId="76289592"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977D11">
              <w:rPr>
                <w:rFonts w:ascii="Times New Roman" w:eastAsia="Times New Roman" w:hAnsi="Times New Roman" w:cs="Times New Roman"/>
                <w:b/>
                <w:bCs/>
                <w:color w:val="auto"/>
                <w:sz w:val="20"/>
                <w:szCs w:val="20"/>
                <w:lang w:eastAsia="lv-LV"/>
              </w:rPr>
              <w:t>2016</w:t>
            </w:r>
          </w:p>
          <w:p w14:paraId="0DFEE938"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977D11">
              <w:rPr>
                <w:rFonts w:ascii="Times New Roman" w:eastAsia="Times New Roman" w:hAnsi="Times New Roman" w:cs="Times New Roman"/>
                <w:bCs/>
                <w:i/>
                <w:iCs/>
                <w:color w:val="auto"/>
                <w:sz w:val="20"/>
                <w:szCs w:val="20"/>
                <w:lang w:eastAsia="lv-LV"/>
              </w:rPr>
              <w:t>(euro)</w:t>
            </w:r>
          </w:p>
        </w:tc>
        <w:tc>
          <w:tcPr>
            <w:tcW w:w="1275" w:type="dxa"/>
            <w:vAlign w:val="center"/>
          </w:tcPr>
          <w:p w14:paraId="0745C178"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977D11">
              <w:rPr>
                <w:rFonts w:ascii="Times New Roman" w:eastAsia="Times New Roman" w:hAnsi="Times New Roman" w:cs="Times New Roman"/>
                <w:b/>
                <w:bCs/>
                <w:color w:val="auto"/>
                <w:sz w:val="20"/>
                <w:szCs w:val="20"/>
                <w:lang w:eastAsia="lv-LV"/>
              </w:rPr>
              <w:t>2017</w:t>
            </w:r>
          </w:p>
          <w:p w14:paraId="1A1BCDF2"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977D11">
              <w:rPr>
                <w:rFonts w:ascii="Times New Roman" w:eastAsia="Times New Roman" w:hAnsi="Times New Roman" w:cs="Times New Roman"/>
                <w:bCs/>
                <w:i/>
                <w:iCs/>
                <w:color w:val="auto"/>
                <w:sz w:val="20"/>
                <w:szCs w:val="20"/>
                <w:lang w:eastAsia="lv-LV"/>
              </w:rPr>
              <w:t>(euro)</w:t>
            </w:r>
          </w:p>
        </w:tc>
        <w:tc>
          <w:tcPr>
            <w:tcW w:w="1134" w:type="dxa"/>
            <w:vAlign w:val="center"/>
          </w:tcPr>
          <w:p w14:paraId="3B9F6846"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auto"/>
                <w:sz w:val="20"/>
                <w:szCs w:val="20"/>
                <w:lang w:eastAsia="lv-LV"/>
              </w:rPr>
            </w:pPr>
            <w:r w:rsidRPr="00977D11">
              <w:rPr>
                <w:rFonts w:ascii="Times New Roman" w:eastAsia="Times New Roman" w:hAnsi="Times New Roman" w:cs="Times New Roman"/>
                <w:bCs/>
                <w:i/>
                <w:iCs/>
                <w:color w:val="auto"/>
                <w:sz w:val="20"/>
                <w:szCs w:val="20"/>
                <w:lang w:eastAsia="lv-LV"/>
              </w:rPr>
              <w:t>(euro)</w:t>
            </w:r>
          </w:p>
        </w:tc>
        <w:tc>
          <w:tcPr>
            <w:tcW w:w="1134" w:type="dxa"/>
            <w:vAlign w:val="center"/>
          </w:tcPr>
          <w:p w14:paraId="6D701D05"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977D11">
              <w:rPr>
                <w:rFonts w:ascii="Times New Roman" w:eastAsia="Times New Roman" w:hAnsi="Times New Roman" w:cs="Times New Roman"/>
                <w:b/>
                <w:bCs/>
                <w:color w:val="auto"/>
                <w:sz w:val="20"/>
                <w:szCs w:val="20"/>
                <w:lang w:eastAsia="lv-LV"/>
              </w:rPr>
              <w:t>2016</w:t>
            </w:r>
          </w:p>
        </w:tc>
        <w:tc>
          <w:tcPr>
            <w:tcW w:w="1134" w:type="dxa"/>
            <w:vAlign w:val="center"/>
          </w:tcPr>
          <w:p w14:paraId="01162F9F"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977D11">
              <w:rPr>
                <w:rFonts w:ascii="Times New Roman" w:eastAsia="Times New Roman" w:hAnsi="Times New Roman" w:cs="Times New Roman"/>
                <w:b/>
                <w:bCs/>
                <w:color w:val="auto"/>
                <w:sz w:val="20"/>
                <w:szCs w:val="20"/>
                <w:lang w:eastAsia="lv-LV"/>
              </w:rPr>
              <w:t>2017</w:t>
            </w:r>
          </w:p>
        </w:tc>
        <w:tc>
          <w:tcPr>
            <w:tcW w:w="1134" w:type="dxa"/>
            <w:vAlign w:val="center"/>
          </w:tcPr>
          <w:p w14:paraId="4B2DA254" w14:textId="77777777" w:rsidR="00F3248F" w:rsidRPr="00977D11" w:rsidRDefault="00F3248F"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977D11">
              <w:rPr>
                <w:rFonts w:ascii="Times New Roman" w:eastAsia="Times New Roman" w:hAnsi="Times New Roman" w:cs="Times New Roman"/>
                <w:b/>
                <w:bCs/>
                <w:color w:val="auto"/>
                <w:sz w:val="20"/>
                <w:szCs w:val="20"/>
                <w:lang w:eastAsia="lv-LV"/>
              </w:rPr>
              <w:t>2017</w:t>
            </w:r>
          </w:p>
        </w:tc>
      </w:tr>
      <w:tr w:rsidR="00F3248F" w:rsidRPr="00977D11" w14:paraId="0E21582C" w14:textId="77777777" w:rsidTr="00F3248F">
        <w:trPr>
          <w:trHeight w:val="401"/>
          <w:jc w:val="center"/>
        </w:trPr>
        <w:tc>
          <w:tcPr>
            <w:cnfStyle w:val="001000000000" w:firstRow="0" w:lastRow="0" w:firstColumn="1" w:lastColumn="0" w:oddVBand="0" w:evenVBand="0" w:oddHBand="0" w:evenHBand="0" w:firstRowFirstColumn="0" w:firstRowLastColumn="0" w:lastRowFirstColumn="0" w:lastRowLastColumn="0"/>
            <w:tcW w:w="1423" w:type="dxa"/>
            <w:hideMark/>
          </w:tcPr>
          <w:p w14:paraId="50C188E7" w14:textId="77777777" w:rsidR="00F3248F" w:rsidRPr="00BA78E6" w:rsidRDefault="00F3248F" w:rsidP="0053259F">
            <w:pPr>
              <w:rPr>
                <w:rFonts w:ascii="Times New Roman" w:eastAsia="Times New Roman" w:hAnsi="Times New Roman" w:cs="Times New Roman"/>
                <w:b w:val="0"/>
                <w:color w:val="auto"/>
                <w:sz w:val="20"/>
                <w:szCs w:val="20"/>
                <w:lang w:eastAsia="lv-LV"/>
              </w:rPr>
            </w:pPr>
            <w:r w:rsidRPr="00BA78E6">
              <w:rPr>
                <w:rFonts w:ascii="Times New Roman" w:eastAsia="Times New Roman" w:hAnsi="Times New Roman" w:cs="Times New Roman"/>
                <w:b w:val="0"/>
                <w:color w:val="auto"/>
                <w:sz w:val="20"/>
                <w:szCs w:val="20"/>
                <w:lang w:eastAsia="lv-LV"/>
              </w:rPr>
              <w:t>Speciālistu konsultācijas</w:t>
            </w:r>
          </w:p>
        </w:tc>
        <w:tc>
          <w:tcPr>
            <w:tcW w:w="851" w:type="dxa"/>
            <w:noWrap/>
            <w:vAlign w:val="center"/>
            <w:hideMark/>
          </w:tcPr>
          <w:p w14:paraId="2BADEAA0" w14:textId="77777777" w:rsidR="00F3248F" w:rsidRPr="00977D11"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77D11">
              <w:rPr>
                <w:rFonts w:ascii="Times New Roman" w:eastAsia="Times New Roman" w:hAnsi="Times New Roman" w:cs="Times New Roman"/>
                <w:color w:val="auto"/>
                <w:sz w:val="20"/>
                <w:szCs w:val="20"/>
                <w:lang w:eastAsia="lv-LV"/>
              </w:rPr>
              <w:t>12,530</w:t>
            </w:r>
          </w:p>
        </w:tc>
        <w:tc>
          <w:tcPr>
            <w:tcW w:w="1271" w:type="dxa"/>
            <w:noWrap/>
            <w:vAlign w:val="center"/>
            <w:hideMark/>
          </w:tcPr>
          <w:p w14:paraId="4A0EB465"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24 962 514</w:t>
            </w:r>
          </w:p>
        </w:tc>
        <w:tc>
          <w:tcPr>
            <w:tcW w:w="1275" w:type="dxa"/>
            <w:noWrap/>
            <w:vAlign w:val="center"/>
            <w:hideMark/>
          </w:tcPr>
          <w:p w14:paraId="312B7057"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28 104 954</w:t>
            </w:r>
          </w:p>
        </w:tc>
        <w:tc>
          <w:tcPr>
            <w:tcW w:w="1134" w:type="dxa"/>
            <w:noWrap/>
            <w:vAlign w:val="center"/>
            <w:hideMark/>
          </w:tcPr>
          <w:p w14:paraId="6A8197CA"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3 386 187</w:t>
            </w:r>
          </w:p>
        </w:tc>
        <w:tc>
          <w:tcPr>
            <w:tcW w:w="1134" w:type="dxa"/>
            <w:vAlign w:val="center"/>
          </w:tcPr>
          <w:p w14:paraId="08A90697"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color w:val="auto"/>
                <w:sz w:val="20"/>
                <w:szCs w:val="20"/>
                <w:lang w:eastAsia="lv-LV"/>
              </w:rPr>
              <w:t>1 992 204</w:t>
            </w:r>
          </w:p>
        </w:tc>
        <w:tc>
          <w:tcPr>
            <w:tcW w:w="1134" w:type="dxa"/>
            <w:vAlign w:val="center"/>
          </w:tcPr>
          <w:p w14:paraId="576E790A"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2 243 013</w:t>
            </w:r>
          </w:p>
        </w:tc>
        <w:tc>
          <w:tcPr>
            <w:tcW w:w="1134" w:type="dxa"/>
            <w:noWrap/>
            <w:vAlign w:val="center"/>
            <w:hideMark/>
          </w:tcPr>
          <w:p w14:paraId="44265896"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2 513 259</w:t>
            </w:r>
          </w:p>
        </w:tc>
      </w:tr>
      <w:tr w:rsidR="00F3248F" w:rsidRPr="00977D11" w14:paraId="36A22B3F" w14:textId="77777777" w:rsidTr="00F3248F">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1423" w:type="dxa"/>
          </w:tcPr>
          <w:p w14:paraId="2F349757" w14:textId="77777777" w:rsidR="00F3248F" w:rsidRPr="00BA78E6" w:rsidRDefault="00F3248F" w:rsidP="0053259F">
            <w:pPr>
              <w:rPr>
                <w:rFonts w:ascii="Times New Roman" w:eastAsia="Times New Roman" w:hAnsi="Times New Roman" w:cs="Times New Roman"/>
                <w:b w:val="0"/>
                <w:color w:val="auto"/>
                <w:sz w:val="20"/>
                <w:szCs w:val="20"/>
                <w:lang w:eastAsia="lv-LV"/>
              </w:rPr>
            </w:pPr>
            <w:r w:rsidRPr="00BA78E6">
              <w:rPr>
                <w:rFonts w:ascii="Times New Roman" w:eastAsia="Times New Roman" w:hAnsi="Times New Roman" w:cs="Times New Roman"/>
                <w:b w:val="0"/>
                <w:color w:val="auto"/>
                <w:sz w:val="20"/>
                <w:szCs w:val="20"/>
                <w:lang w:eastAsia="lv-LV"/>
              </w:rPr>
              <w:t>Ambulatorie</w:t>
            </w:r>
          </w:p>
          <w:p w14:paraId="0F9EA14D" w14:textId="77777777" w:rsidR="00F3248F" w:rsidRPr="00BA78E6" w:rsidRDefault="00F3248F" w:rsidP="0053259F">
            <w:pPr>
              <w:rPr>
                <w:rFonts w:ascii="Times New Roman" w:eastAsia="Times New Roman" w:hAnsi="Times New Roman" w:cs="Times New Roman"/>
                <w:b w:val="0"/>
                <w:color w:val="auto"/>
                <w:sz w:val="20"/>
                <w:szCs w:val="20"/>
                <w:lang w:eastAsia="lv-LV"/>
              </w:rPr>
            </w:pPr>
            <w:r w:rsidRPr="00BA78E6">
              <w:rPr>
                <w:rFonts w:ascii="Times New Roman" w:eastAsia="Times New Roman" w:hAnsi="Times New Roman" w:cs="Times New Roman"/>
                <w:b w:val="0"/>
                <w:color w:val="auto"/>
                <w:sz w:val="20"/>
                <w:szCs w:val="20"/>
                <w:lang w:eastAsia="lv-LV"/>
              </w:rPr>
              <w:t>izmeklējumi un terapija</w:t>
            </w:r>
          </w:p>
        </w:tc>
        <w:tc>
          <w:tcPr>
            <w:tcW w:w="851" w:type="dxa"/>
            <w:noWrap/>
            <w:vAlign w:val="center"/>
          </w:tcPr>
          <w:p w14:paraId="539EBF65" w14:textId="77777777" w:rsidR="00F3248F" w:rsidRPr="00977D11"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77D11">
              <w:rPr>
                <w:rFonts w:ascii="Times New Roman" w:eastAsia="Times New Roman" w:hAnsi="Times New Roman" w:cs="Times New Roman"/>
                <w:color w:val="auto"/>
                <w:sz w:val="20"/>
                <w:szCs w:val="20"/>
                <w:lang w:eastAsia="lv-LV"/>
              </w:rPr>
              <w:t>22,987</w:t>
            </w:r>
          </w:p>
        </w:tc>
        <w:tc>
          <w:tcPr>
            <w:tcW w:w="1271" w:type="dxa"/>
            <w:noWrap/>
            <w:vAlign w:val="center"/>
          </w:tcPr>
          <w:p w14:paraId="0C2156EB"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42 405 017</w:t>
            </w:r>
          </w:p>
        </w:tc>
        <w:tc>
          <w:tcPr>
            <w:tcW w:w="1275" w:type="dxa"/>
            <w:noWrap/>
            <w:vAlign w:val="center"/>
          </w:tcPr>
          <w:p w14:paraId="761024F3"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42 405 017</w:t>
            </w:r>
          </w:p>
        </w:tc>
        <w:tc>
          <w:tcPr>
            <w:tcW w:w="1134" w:type="dxa"/>
            <w:noWrap/>
            <w:vAlign w:val="center"/>
          </w:tcPr>
          <w:p w14:paraId="6466653A"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7 541 491</w:t>
            </w:r>
          </w:p>
        </w:tc>
        <w:tc>
          <w:tcPr>
            <w:tcW w:w="1134" w:type="dxa"/>
            <w:vAlign w:val="center"/>
          </w:tcPr>
          <w:p w14:paraId="47465217"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color w:val="auto"/>
                <w:sz w:val="20"/>
                <w:szCs w:val="20"/>
                <w:lang w:eastAsia="lv-LV"/>
              </w:rPr>
              <w:t>1 844 705</w:t>
            </w:r>
          </w:p>
        </w:tc>
        <w:tc>
          <w:tcPr>
            <w:tcW w:w="1134" w:type="dxa"/>
            <w:vAlign w:val="center"/>
          </w:tcPr>
          <w:p w14:paraId="6FC80509"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1 844 739</w:t>
            </w:r>
          </w:p>
        </w:tc>
        <w:tc>
          <w:tcPr>
            <w:tcW w:w="1134" w:type="dxa"/>
            <w:noWrap/>
            <w:vAlign w:val="center"/>
          </w:tcPr>
          <w:p w14:paraId="67760B73"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2 172 815</w:t>
            </w:r>
          </w:p>
        </w:tc>
      </w:tr>
      <w:tr w:rsidR="00F3248F" w:rsidRPr="00977D11" w14:paraId="4EEEE50D" w14:textId="77777777" w:rsidTr="00F3248F">
        <w:trPr>
          <w:trHeight w:val="645"/>
          <w:jc w:val="center"/>
        </w:trPr>
        <w:tc>
          <w:tcPr>
            <w:cnfStyle w:val="001000000000" w:firstRow="0" w:lastRow="0" w:firstColumn="1" w:lastColumn="0" w:oddVBand="0" w:evenVBand="0" w:oddHBand="0" w:evenHBand="0" w:firstRowFirstColumn="0" w:firstRowLastColumn="0" w:lastRowFirstColumn="0" w:lastRowLastColumn="0"/>
            <w:tcW w:w="1423" w:type="dxa"/>
          </w:tcPr>
          <w:p w14:paraId="73424DE8" w14:textId="77777777" w:rsidR="00F3248F" w:rsidRPr="00BA78E6" w:rsidRDefault="00F3248F" w:rsidP="0053259F">
            <w:pPr>
              <w:rPr>
                <w:rFonts w:ascii="Times New Roman" w:eastAsia="Times New Roman" w:hAnsi="Times New Roman" w:cs="Times New Roman"/>
                <w:b w:val="0"/>
                <w:color w:val="auto"/>
                <w:sz w:val="20"/>
                <w:szCs w:val="20"/>
                <w:lang w:eastAsia="lv-LV"/>
              </w:rPr>
            </w:pPr>
            <w:r w:rsidRPr="00BA78E6">
              <w:rPr>
                <w:rFonts w:ascii="Times New Roman" w:eastAsia="Times New Roman" w:hAnsi="Times New Roman" w:cs="Times New Roman"/>
                <w:b w:val="0"/>
                <w:color w:val="auto"/>
                <w:sz w:val="20"/>
                <w:szCs w:val="20"/>
                <w:lang w:eastAsia="lv-LV"/>
              </w:rPr>
              <w:t>Dienas stacionārā sniegtie pakalpojumi</w:t>
            </w:r>
          </w:p>
        </w:tc>
        <w:tc>
          <w:tcPr>
            <w:tcW w:w="851" w:type="dxa"/>
            <w:noWrap/>
            <w:vAlign w:val="center"/>
          </w:tcPr>
          <w:p w14:paraId="51B3AFEC" w14:textId="77777777" w:rsidR="00F3248F" w:rsidRPr="00977D11"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77D11">
              <w:rPr>
                <w:rFonts w:ascii="Times New Roman" w:eastAsia="Times New Roman" w:hAnsi="Times New Roman" w:cs="Times New Roman"/>
                <w:color w:val="auto"/>
                <w:sz w:val="20"/>
                <w:szCs w:val="20"/>
                <w:lang w:eastAsia="lv-LV"/>
              </w:rPr>
              <w:t>82,648</w:t>
            </w:r>
          </w:p>
        </w:tc>
        <w:tc>
          <w:tcPr>
            <w:tcW w:w="1271" w:type="dxa"/>
            <w:noWrap/>
            <w:vAlign w:val="center"/>
          </w:tcPr>
          <w:p w14:paraId="7570C746"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38 319 547</w:t>
            </w:r>
          </w:p>
        </w:tc>
        <w:tc>
          <w:tcPr>
            <w:tcW w:w="1275" w:type="dxa"/>
            <w:noWrap/>
            <w:vAlign w:val="center"/>
          </w:tcPr>
          <w:p w14:paraId="0299C0C5"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39 677 107</w:t>
            </w:r>
          </w:p>
        </w:tc>
        <w:tc>
          <w:tcPr>
            <w:tcW w:w="1134" w:type="dxa"/>
            <w:noWrap/>
            <w:vAlign w:val="center"/>
          </w:tcPr>
          <w:p w14:paraId="5F84EE40"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5 163 159</w:t>
            </w:r>
          </w:p>
        </w:tc>
        <w:tc>
          <w:tcPr>
            <w:tcW w:w="1134" w:type="dxa"/>
            <w:vAlign w:val="center"/>
          </w:tcPr>
          <w:p w14:paraId="09B4FF4C"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color w:val="auto"/>
                <w:sz w:val="20"/>
                <w:szCs w:val="20"/>
                <w:lang w:eastAsia="lv-LV"/>
              </w:rPr>
              <w:t>463 650</w:t>
            </w:r>
          </w:p>
        </w:tc>
        <w:tc>
          <w:tcPr>
            <w:tcW w:w="1134" w:type="dxa"/>
            <w:vAlign w:val="center"/>
          </w:tcPr>
          <w:p w14:paraId="7FB2BC41"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480 073</w:t>
            </w:r>
          </w:p>
        </w:tc>
        <w:tc>
          <w:tcPr>
            <w:tcW w:w="1134" w:type="dxa"/>
            <w:noWrap/>
            <w:vAlign w:val="center"/>
          </w:tcPr>
          <w:p w14:paraId="06ED0BEB"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542 545</w:t>
            </w:r>
          </w:p>
        </w:tc>
      </w:tr>
      <w:tr w:rsidR="00F3248F" w:rsidRPr="00977D11" w14:paraId="2F9ECF52" w14:textId="77777777" w:rsidTr="00F3248F">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23" w:type="dxa"/>
            <w:hideMark/>
          </w:tcPr>
          <w:p w14:paraId="565BE440" w14:textId="77777777" w:rsidR="00F3248F" w:rsidRPr="00BA78E6" w:rsidRDefault="00F3248F" w:rsidP="0053259F">
            <w:pPr>
              <w:rPr>
                <w:rFonts w:ascii="Times New Roman" w:eastAsia="Times New Roman" w:hAnsi="Times New Roman" w:cs="Times New Roman"/>
                <w:b w:val="0"/>
                <w:color w:val="auto"/>
                <w:sz w:val="20"/>
                <w:szCs w:val="20"/>
                <w:lang w:eastAsia="lv-LV"/>
              </w:rPr>
            </w:pPr>
            <w:r w:rsidRPr="00BA78E6">
              <w:rPr>
                <w:rFonts w:ascii="Times New Roman" w:eastAsia="Times New Roman" w:hAnsi="Times New Roman" w:cs="Times New Roman"/>
                <w:b w:val="0"/>
                <w:color w:val="auto"/>
                <w:sz w:val="20"/>
                <w:szCs w:val="20"/>
                <w:lang w:eastAsia="lv-LV"/>
              </w:rPr>
              <w:t>Ambulatorā rehabilitācija</w:t>
            </w:r>
          </w:p>
        </w:tc>
        <w:tc>
          <w:tcPr>
            <w:tcW w:w="851" w:type="dxa"/>
            <w:noWrap/>
            <w:vAlign w:val="center"/>
            <w:hideMark/>
          </w:tcPr>
          <w:p w14:paraId="1E5047DD" w14:textId="77777777" w:rsidR="00F3248F" w:rsidRPr="00977D11"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77D11">
              <w:rPr>
                <w:rFonts w:ascii="Times New Roman" w:eastAsia="Times New Roman" w:hAnsi="Times New Roman" w:cs="Times New Roman"/>
                <w:color w:val="auto"/>
                <w:sz w:val="20"/>
                <w:szCs w:val="20"/>
                <w:lang w:eastAsia="lv-LV"/>
              </w:rPr>
              <w:t>7,261</w:t>
            </w:r>
          </w:p>
        </w:tc>
        <w:tc>
          <w:tcPr>
            <w:tcW w:w="1271" w:type="dxa"/>
            <w:noWrap/>
            <w:vAlign w:val="center"/>
            <w:hideMark/>
          </w:tcPr>
          <w:p w14:paraId="08E1B03F"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5 104 087</w:t>
            </w:r>
          </w:p>
        </w:tc>
        <w:tc>
          <w:tcPr>
            <w:tcW w:w="1275" w:type="dxa"/>
            <w:noWrap/>
            <w:vAlign w:val="center"/>
            <w:hideMark/>
          </w:tcPr>
          <w:p w14:paraId="553314E3"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5 104 087</w:t>
            </w:r>
          </w:p>
        </w:tc>
        <w:tc>
          <w:tcPr>
            <w:tcW w:w="1134" w:type="dxa"/>
            <w:noWrap/>
            <w:vAlign w:val="center"/>
            <w:hideMark/>
          </w:tcPr>
          <w:p w14:paraId="23B5248E"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508 470</w:t>
            </w:r>
          </w:p>
        </w:tc>
        <w:tc>
          <w:tcPr>
            <w:tcW w:w="1134" w:type="dxa"/>
            <w:vAlign w:val="center"/>
          </w:tcPr>
          <w:p w14:paraId="77481820"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color w:val="auto"/>
                <w:sz w:val="20"/>
                <w:szCs w:val="20"/>
                <w:lang w:eastAsia="lv-LV"/>
              </w:rPr>
              <w:t>702 919</w:t>
            </w:r>
          </w:p>
        </w:tc>
        <w:tc>
          <w:tcPr>
            <w:tcW w:w="1134" w:type="dxa"/>
            <w:vAlign w:val="center"/>
          </w:tcPr>
          <w:p w14:paraId="23D27AD7"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702 945</w:t>
            </w:r>
          </w:p>
        </w:tc>
        <w:tc>
          <w:tcPr>
            <w:tcW w:w="1134" w:type="dxa"/>
            <w:noWrap/>
            <w:vAlign w:val="center"/>
            <w:hideMark/>
          </w:tcPr>
          <w:p w14:paraId="5CBF3D48" w14:textId="77777777" w:rsidR="00F3248F" w:rsidRPr="00CB58D4" w:rsidRDefault="00F3248F"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772 973</w:t>
            </w:r>
          </w:p>
        </w:tc>
      </w:tr>
      <w:tr w:rsidR="00F3248F" w:rsidRPr="00977D11" w14:paraId="4F419DA8" w14:textId="77777777" w:rsidTr="00F3248F">
        <w:trPr>
          <w:trHeight w:val="404"/>
          <w:jc w:val="center"/>
        </w:trPr>
        <w:tc>
          <w:tcPr>
            <w:cnfStyle w:val="001000000000" w:firstRow="0" w:lastRow="0" w:firstColumn="1" w:lastColumn="0" w:oddVBand="0" w:evenVBand="0" w:oddHBand="0" w:evenHBand="0" w:firstRowFirstColumn="0" w:firstRowLastColumn="0" w:lastRowFirstColumn="0" w:lastRowLastColumn="0"/>
            <w:tcW w:w="1423" w:type="dxa"/>
            <w:noWrap/>
            <w:vAlign w:val="center"/>
            <w:hideMark/>
          </w:tcPr>
          <w:p w14:paraId="3EA396B3" w14:textId="77777777" w:rsidR="00F3248F" w:rsidRPr="0053259F" w:rsidRDefault="00F3248F" w:rsidP="00F3248F">
            <w:pPr>
              <w:jc w:val="right"/>
              <w:rPr>
                <w:rFonts w:ascii="Times New Roman" w:eastAsia="Times New Roman" w:hAnsi="Times New Roman" w:cs="Times New Roman"/>
                <w:b w:val="0"/>
                <w:color w:val="auto"/>
                <w:sz w:val="20"/>
                <w:szCs w:val="20"/>
                <w:lang w:eastAsia="lv-LV"/>
              </w:rPr>
            </w:pPr>
            <w:r w:rsidRPr="0053259F">
              <w:rPr>
                <w:rFonts w:ascii="Times New Roman" w:eastAsia="Times New Roman" w:hAnsi="Times New Roman" w:cs="Times New Roman"/>
                <w:b w:val="0"/>
                <w:color w:val="auto"/>
                <w:sz w:val="20"/>
                <w:szCs w:val="20"/>
                <w:lang w:eastAsia="lv-LV"/>
              </w:rPr>
              <w:t>Kopā</w:t>
            </w:r>
          </w:p>
        </w:tc>
        <w:tc>
          <w:tcPr>
            <w:tcW w:w="851" w:type="dxa"/>
            <w:noWrap/>
            <w:vAlign w:val="center"/>
            <w:hideMark/>
          </w:tcPr>
          <w:p w14:paraId="24D92ADE" w14:textId="77777777" w:rsidR="00F3248F" w:rsidRPr="00977D11"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271" w:type="dxa"/>
            <w:noWrap/>
            <w:vAlign w:val="center"/>
            <w:hideMark/>
          </w:tcPr>
          <w:p w14:paraId="3A4E5852"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110 791 165</w:t>
            </w:r>
          </w:p>
        </w:tc>
        <w:tc>
          <w:tcPr>
            <w:tcW w:w="1275" w:type="dxa"/>
            <w:noWrap/>
            <w:vAlign w:val="center"/>
            <w:hideMark/>
          </w:tcPr>
          <w:p w14:paraId="6A9F1B2D"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115 291 165</w:t>
            </w:r>
          </w:p>
        </w:tc>
        <w:tc>
          <w:tcPr>
            <w:tcW w:w="1134" w:type="dxa"/>
            <w:noWrap/>
            <w:vAlign w:val="center"/>
            <w:hideMark/>
          </w:tcPr>
          <w:p w14:paraId="74E281EF"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CB58D4">
              <w:rPr>
                <w:rFonts w:ascii="Times New Roman" w:eastAsia="Times New Roman" w:hAnsi="Times New Roman" w:cs="Times New Roman"/>
                <w:color w:val="auto"/>
                <w:sz w:val="20"/>
                <w:szCs w:val="20"/>
                <w:lang w:eastAsia="lv-LV"/>
              </w:rPr>
              <w:t>16 599 307</w:t>
            </w:r>
          </w:p>
        </w:tc>
        <w:tc>
          <w:tcPr>
            <w:tcW w:w="1134" w:type="dxa"/>
            <w:vAlign w:val="center"/>
          </w:tcPr>
          <w:p w14:paraId="309F9FF1"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color w:val="auto"/>
                <w:sz w:val="20"/>
                <w:szCs w:val="20"/>
                <w:lang w:eastAsia="lv-LV"/>
              </w:rPr>
              <w:t>5 003 478</w:t>
            </w:r>
          </w:p>
        </w:tc>
        <w:tc>
          <w:tcPr>
            <w:tcW w:w="1134" w:type="dxa"/>
            <w:vAlign w:val="center"/>
          </w:tcPr>
          <w:p w14:paraId="76C7AC9A"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5 270 770</w:t>
            </w:r>
          </w:p>
        </w:tc>
        <w:tc>
          <w:tcPr>
            <w:tcW w:w="1134" w:type="dxa"/>
            <w:noWrap/>
            <w:vAlign w:val="center"/>
            <w:hideMark/>
          </w:tcPr>
          <w:p w14:paraId="653577CB" w14:textId="77777777" w:rsidR="00F3248F" w:rsidRPr="00CB58D4" w:rsidRDefault="00F3248F"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6 001 592</w:t>
            </w:r>
          </w:p>
        </w:tc>
      </w:tr>
    </w:tbl>
    <w:p w14:paraId="12357D35" w14:textId="0D5C4137" w:rsidR="005F4C67" w:rsidRDefault="005F4C67" w:rsidP="001210E9">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Tiek prognozēts, ka 2.p</w:t>
      </w:r>
      <w:r w:rsidRPr="006F0EBA">
        <w:rPr>
          <w:rFonts w:ascii="Times New Roman" w:eastAsia="Times New Roman" w:hAnsi="Times New Roman" w:cs="Times New Roman"/>
          <w:color w:val="000000"/>
          <w:sz w:val="24"/>
          <w:szCs w:val="24"/>
          <w:lang w:eastAsia="lv-LV"/>
        </w:rPr>
        <w:t>asākuma īstenošanas rezultātā pakalpojumu skaits pieaugs no 5</w:t>
      </w:r>
      <w:r w:rsidR="00B63BC3" w:rsidRPr="006B6037">
        <w:rPr>
          <w:rFonts w:ascii="Times New Roman" w:eastAsia="Times New Roman" w:hAnsi="Times New Roman" w:cs="Times New Roman"/>
          <w:sz w:val="24"/>
          <w:szCs w:val="24"/>
          <w:lang w:eastAsia="lv-LV"/>
        </w:rPr>
        <w:t> </w:t>
      </w:r>
      <w:r w:rsidR="00B63BC3" w:rsidRPr="006F0EBA">
        <w:rPr>
          <w:rFonts w:ascii="Times New Roman" w:eastAsia="Times New Roman" w:hAnsi="Times New Roman" w:cs="Times New Roman"/>
          <w:color w:val="000000"/>
          <w:sz w:val="24"/>
          <w:szCs w:val="24"/>
          <w:lang w:eastAsia="lv-LV"/>
        </w:rPr>
        <w:t xml:space="preserve"> </w:t>
      </w:r>
      <w:r w:rsidRPr="006F0EBA">
        <w:rPr>
          <w:rFonts w:ascii="Times New Roman" w:eastAsia="Times New Roman" w:hAnsi="Times New Roman" w:cs="Times New Roman"/>
          <w:color w:val="000000"/>
          <w:sz w:val="24"/>
          <w:szCs w:val="24"/>
          <w:lang w:eastAsia="lv-LV"/>
        </w:rPr>
        <w:t>270</w:t>
      </w:r>
      <w:r>
        <w:rPr>
          <w:rFonts w:ascii="Times New Roman" w:eastAsia="Times New Roman" w:hAnsi="Times New Roman" w:cs="Times New Roman"/>
          <w:color w:val="000000"/>
          <w:sz w:val="24"/>
          <w:szCs w:val="24"/>
          <w:lang w:eastAsia="lv-LV"/>
        </w:rPr>
        <w:t xml:space="preserve"> </w:t>
      </w:r>
      <w:r w:rsidRPr="006F0EBA">
        <w:rPr>
          <w:rFonts w:ascii="Times New Roman" w:eastAsia="Times New Roman" w:hAnsi="Times New Roman" w:cs="Times New Roman"/>
          <w:color w:val="000000"/>
          <w:sz w:val="24"/>
          <w:szCs w:val="24"/>
          <w:lang w:eastAsia="lv-LV"/>
        </w:rPr>
        <w:t xml:space="preserve">770 līdz </w:t>
      </w:r>
      <w:r>
        <w:rPr>
          <w:rFonts w:ascii="Times New Roman" w:eastAsia="Times New Roman" w:hAnsi="Times New Roman" w:cs="Times New Roman"/>
          <w:color w:val="000000"/>
          <w:sz w:val="24"/>
          <w:szCs w:val="24"/>
          <w:lang w:eastAsia="lv-LV"/>
        </w:rPr>
        <w:t xml:space="preserve">6 001 592, jeb par 14%. Veselības ministrija ir novērtējusi, ka šī pakalpojumu skaita pieauguma rezultātā rinda samazināsies par 25%. Lai rinda atkal nepieaugtu, 2.pasākuma finansējums 16,6 </w:t>
      </w:r>
      <w:r w:rsidR="0053259F">
        <w:rPr>
          <w:rFonts w:ascii="Times New Roman" w:eastAsia="Times New Roman" w:hAnsi="Times New Roman" w:cs="Times New Roman"/>
          <w:color w:val="000000"/>
          <w:sz w:val="24"/>
          <w:szCs w:val="24"/>
          <w:lang w:eastAsia="lv-LV"/>
        </w:rPr>
        <w:t xml:space="preserve">milj. </w:t>
      </w:r>
      <w:r w:rsidR="0053259F">
        <w:rPr>
          <w:rFonts w:ascii="Times New Roman" w:eastAsia="Times New Roman" w:hAnsi="Times New Roman" w:cs="Times New Roman"/>
          <w:i/>
          <w:color w:val="000000"/>
          <w:sz w:val="24"/>
          <w:szCs w:val="24"/>
          <w:lang w:eastAsia="lv-LV"/>
        </w:rPr>
        <w:t>euro</w:t>
      </w:r>
      <w:r>
        <w:rPr>
          <w:rFonts w:ascii="Times New Roman" w:eastAsia="Times New Roman" w:hAnsi="Times New Roman" w:cs="Times New Roman"/>
          <w:color w:val="000000"/>
          <w:sz w:val="24"/>
          <w:szCs w:val="24"/>
          <w:lang w:eastAsia="lv-LV"/>
        </w:rPr>
        <w:t xml:space="preserve"> ir jāpiešķir arī turpmākajos gados un no 2020.gada ir jāiekļauj budžeta bāzē.</w:t>
      </w:r>
    </w:p>
    <w:p w14:paraId="0E5F8F93" w14:textId="1AB8B691" w:rsidR="005F4C67" w:rsidRDefault="005F4C67" w:rsidP="001210E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Jāatzīmē, ka 14% pakalpojumu skaita pieaugums vai 25% rindu samazinājums nav pietiekams, lai ar 2.pasākuma intervenci varētu nodrošināt problēmas atrisināšanu vai būtisku samazināšanu – rindas un gaidīšanas laiki joprojām ir neadekvāti. Šī gada 14.februāra MK sēdē tika pieņemts lēmums, ka </w:t>
      </w:r>
      <w:r w:rsidRPr="00A55E5F">
        <w:rPr>
          <w:rFonts w:ascii="Times New Roman" w:eastAsia="Times New Roman" w:hAnsi="Times New Roman" w:cs="Times New Roman"/>
          <w:color w:val="000000"/>
          <w:sz w:val="24"/>
          <w:szCs w:val="24"/>
          <w:lang w:eastAsia="lv-LV"/>
        </w:rPr>
        <w:t xml:space="preserve">veselības reformas ietvaros rindu samazināšana sekundārās ambulatorās veselības aprūpes pakalpojumiem ir tupināma 2018. </w:t>
      </w:r>
      <w:r w:rsidR="0053259F">
        <w:rPr>
          <w:rFonts w:ascii="Times New Roman" w:eastAsia="Times New Roman" w:hAnsi="Times New Roman" w:cs="Times New Roman"/>
          <w:color w:val="000000"/>
          <w:sz w:val="24"/>
          <w:szCs w:val="24"/>
          <w:lang w:eastAsia="lv-LV"/>
        </w:rPr>
        <w:t>un 2019.</w:t>
      </w:r>
      <w:r w:rsidRPr="00A55E5F">
        <w:rPr>
          <w:rFonts w:ascii="Times New Roman" w:eastAsia="Times New Roman" w:hAnsi="Times New Roman" w:cs="Times New Roman"/>
          <w:color w:val="000000"/>
          <w:sz w:val="24"/>
          <w:szCs w:val="24"/>
          <w:lang w:eastAsia="lv-LV"/>
        </w:rPr>
        <w:t>gadā līdz to vidējais apmērs samazināsies vidēji vismaz par 50%.</w:t>
      </w:r>
      <w:r w:rsidR="0053259F">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 xml:space="preserve">Šajā sakarā MK uzdeva </w:t>
      </w:r>
      <w:r w:rsidRPr="00A55E5F">
        <w:rPr>
          <w:rFonts w:ascii="Times New Roman" w:eastAsia="Times New Roman" w:hAnsi="Times New Roman" w:cs="Times New Roman"/>
          <w:color w:val="000000"/>
          <w:sz w:val="24"/>
          <w:szCs w:val="24"/>
          <w:lang w:eastAsia="lv-LV"/>
        </w:rPr>
        <w:t>Veselības ministrijai s</w:t>
      </w:r>
      <w:r w:rsidR="0053259F">
        <w:rPr>
          <w:rFonts w:ascii="Times New Roman" w:eastAsia="Times New Roman" w:hAnsi="Times New Roman" w:cs="Times New Roman"/>
          <w:color w:val="000000"/>
          <w:sz w:val="24"/>
          <w:szCs w:val="24"/>
          <w:lang w:eastAsia="lv-LV"/>
        </w:rPr>
        <w:t>agatavot un līdz 2017.gada 18.</w:t>
      </w:r>
      <w:r w:rsidRPr="00A55E5F">
        <w:rPr>
          <w:rFonts w:ascii="Times New Roman" w:eastAsia="Times New Roman" w:hAnsi="Times New Roman" w:cs="Times New Roman"/>
          <w:color w:val="000000"/>
          <w:sz w:val="24"/>
          <w:szCs w:val="24"/>
          <w:lang w:eastAsia="lv-LV"/>
        </w:rPr>
        <w:t xml:space="preserve">martam iesniegt </w:t>
      </w:r>
      <w:r w:rsidR="0053259F">
        <w:rPr>
          <w:rFonts w:ascii="Times New Roman" w:eastAsia="Times New Roman" w:hAnsi="Times New Roman" w:cs="Times New Roman"/>
          <w:color w:val="000000"/>
          <w:sz w:val="24"/>
          <w:szCs w:val="24"/>
          <w:lang w:eastAsia="lv-LV"/>
        </w:rPr>
        <w:t>MK</w:t>
      </w:r>
      <w:r w:rsidRPr="00A55E5F">
        <w:rPr>
          <w:rFonts w:ascii="Times New Roman" w:eastAsia="Times New Roman" w:hAnsi="Times New Roman" w:cs="Times New Roman"/>
          <w:color w:val="000000"/>
          <w:sz w:val="24"/>
          <w:szCs w:val="24"/>
          <w:lang w:eastAsia="lv-LV"/>
        </w:rPr>
        <w:t xml:space="preserve"> informatīvo ziņojumu ar analīzi un priekšlikumus par veicamajiem pasākumiem un papildu nepieciešamo finansējumu, lai nodrošinātu tālāku rindu samazināšanu sekundārās ambulatorās veselības aprūpes pakalpojumiem, nepārskatot pakalpojumu apmaksas tarifus, ieskaitot prognozes par piedāvājuma izmaiņām, sakarā ar pacientu uzvedības maiņu, vairāk izvēloties valsts apmaksātos pakalpojumus. Jāatzīmē, ka uz Stabilitātes programmas sagatavošanas brīdi minētais informatīvais ziņojums vēl nav iesniegts MK un tāpēc netiek aprakstīts.</w:t>
      </w:r>
      <w:r>
        <w:rPr>
          <w:rFonts w:ascii="Times New Roman" w:eastAsia="Times New Roman" w:hAnsi="Times New Roman" w:cs="Times New Roman"/>
          <w:color w:val="000000"/>
          <w:sz w:val="24"/>
          <w:szCs w:val="24"/>
          <w:lang w:eastAsia="lv-LV"/>
        </w:rPr>
        <w:t xml:space="preserve"> </w:t>
      </w:r>
    </w:p>
    <w:p w14:paraId="25C019E0" w14:textId="6874FD39" w:rsidR="005F4C67" w:rsidRDefault="005F4C67" w:rsidP="001210E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Starp sniegto pakalpojumu skaitu un rindas lielumu nav vienkārša korelācija. Rindu lielumu nosaka gan valsts apmaksāto pakalpojumu piedāvājums gan pieprasījums. Piedāvājuma daļā bez finanšu resursiem, otrs ierobežojošais fakto</w:t>
      </w:r>
      <w:r w:rsidR="0053259F">
        <w:rPr>
          <w:rFonts w:ascii="Times New Roman" w:eastAsia="Times New Roman" w:hAnsi="Times New Roman" w:cs="Times New Roman"/>
          <w:color w:val="000000"/>
          <w:sz w:val="24"/>
          <w:szCs w:val="24"/>
          <w:lang w:eastAsia="lv-LV"/>
        </w:rPr>
        <w:t>rs ir pieejamie cilvēkresursi.</w:t>
      </w:r>
    </w:p>
    <w:p w14:paraId="55AD7C52" w14:textId="05D98C55" w:rsidR="005F4C67" w:rsidRPr="008603A3" w:rsidRDefault="0053259F" w:rsidP="001210E9">
      <w:pPr>
        <w:spacing w:after="0" w:line="240" w:lineRule="auto"/>
        <w:ind w:firstLine="709"/>
        <w:jc w:val="both"/>
        <w:rPr>
          <w:rFonts w:ascii="Times New Roman" w:hAnsi="Times New Roman"/>
          <w:noProof/>
          <w:sz w:val="24"/>
          <w:szCs w:val="24"/>
          <w:lang w:eastAsia="lv-LV"/>
        </w:rPr>
      </w:pPr>
      <w:r>
        <w:rPr>
          <w:rFonts w:ascii="Times New Roman" w:hAnsi="Times New Roman"/>
          <w:noProof/>
          <w:sz w:val="24"/>
          <w:szCs w:val="24"/>
          <w:lang w:eastAsia="lv-LV"/>
        </w:rPr>
        <w:t>Nacionālais veselības dienests</w:t>
      </w:r>
      <w:r w:rsidR="005F4C67" w:rsidRPr="008603A3">
        <w:rPr>
          <w:rFonts w:ascii="Times New Roman" w:hAnsi="Times New Roman"/>
          <w:noProof/>
          <w:sz w:val="24"/>
          <w:szCs w:val="24"/>
          <w:lang w:eastAsia="lv-LV"/>
        </w:rPr>
        <w:t xml:space="preserve"> 2016.gada decembrī ir veicis pakalpojumu sniedzēju aptauju par iespējām turpmāk sniegt papildus ambulatoros veselības aprūpes pakalpojumus.</w:t>
      </w:r>
    </w:p>
    <w:p w14:paraId="69F9CBAE" w14:textId="77777777" w:rsidR="00D47E1F" w:rsidRDefault="00D47E1F">
      <w:pPr>
        <w:rPr>
          <w:rFonts w:ascii="Times New Roman" w:hAnsi="Times New Roman" w:cs="Times New Roman"/>
          <w:b/>
          <w:sz w:val="24"/>
          <w:szCs w:val="24"/>
        </w:rPr>
      </w:pPr>
      <w:r>
        <w:rPr>
          <w:rFonts w:ascii="Times New Roman" w:hAnsi="Times New Roman" w:cs="Times New Roman"/>
          <w:b/>
          <w:sz w:val="24"/>
          <w:szCs w:val="24"/>
        </w:rPr>
        <w:br w:type="page"/>
      </w:r>
    </w:p>
    <w:p w14:paraId="7B872D60" w14:textId="3625FA22" w:rsidR="005F4C67" w:rsidRPr="008603A3" w:rsidRDefault="00FC7A05" w:rsidP="0053259F">
      <w:pPr>
        <w:spacing w:before="120" w:after="60" w:line="240" w:lineRule="auto"/>
        <w:jc w:val="right"/>
        <w:rPr>
          <w:rFonts w:ascii="Times New Roman" w:hAnsi="Times New Roman" w:cs="Times New Roman"/>
          <w:i/>
          <w:sz w:val="20"/>
          <w:szCs w:val="20"/>
        </w:rPr>
      </w:pPr>
      <w:r>
        <w:rPr>
          <w:rFonts w:ascii="Times New Roman" w:hAnsi="Times New Roman" w:cs="Times New Roman"/>
          <w:b/>
          <w:sz w:val="24"/>
          <w:szCs w:val="24"/>
        </w:rPr>
        <w:lastRenderedPageBreak/>
        <w:t>3.22</w:t>
      </w:r>
      <w:r w:rsidR="00A507C8">
        <w:rPr>
          <w:rFonts w:ascii="Times New Roman" w:hAnsi="Times New Roman" w:cs="Times New Roman"/>
          <w:b/>
          <w:sz w:val="24"/>
          <w:szCs w:val="24"/>
        </w:rPr>
        <w:t>.</w:t>
      </w:r>
      <w:r w:rsidR="005F4C67">
        <w:rPr>
          <w:rFonts w:ascii="Times New Roman" w:hAnsi="Times New Roman" w:cs="Times New Roman"/>
          <w:b/>
          <w:sz w:val="24"/>
          <w:szCs w:val="24"/>
        </w:rPr>
        <w:t xml:space="preserve">tabula. </w:t>
      </w:r>
      <w:r w:rsidR="005F4C67" w:rsidRPr="008603A3">
        <w:rPr>
          <w:rFonts w:ascii="Times New Roman" w:hAnsi="Times New Roman" w:cs="Times New Roman"/>
          <w:b/>
          <w:sz w:val="24"/>
          <w:szCs w:val="24"/>
        </w:rPr>
        <w:t>Ārstniecības iestāžu iespējas sniegt papildus veselības aprūpes pakalpojumus</w:t>
      </w:r>
      <w:r w:rsidR="005F4C67" w:rsidRPr="001D5B2A">
        <w:rPr>
          <w:rFonts w:ascii="Times New Roman" w:hAnsi="Times New Roman" w:cs="Times New Roman"/>
          <w:i/>
          <w:sz w:val="20"/>
          <w:szCs w:val="20"/>
        </w:rPr>
        <w:t xml:space="preserve"> </w:t>
      </w:r>
    </w:p>
    <w:tbl>
      <w:tblPr>
        <w:tblStyle w:val="GridTable6Colorful-Accent1"/>
        <w:tblW w:w="8500" w:type="dxa"/>
        <w:jc w:val="center"/>
        <w:tblLook w:val="04A0" w:firstRow="1" w:lastRow="0" w:firstColumn="1" w:lastColumn="0" w:noHBand="0" w:noVBand="1"/>
      </w:tblPr>
      <w:tblGrid>
        <w:gridCol w:w="993"/>
        <w:gridCol w:w="4883"/>
        <w:gridCol w:w="2624"/>
      </w:tblGrid>
      <w:tr w:rsidR="0053259F" w:rsidRPr="0053259F" w14:paraId="44EF71DD" w14:textId="77777777" w:rsidTr="00F3248F">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93" w:type="dxa"/>
            <w:vMerge w:val="restart"/>
            <w:vAlign w:val="center"/>
            <w:hideMark/>
          </w:tcPr>
          <w:p w14:paraId="63016690" w14:textId="77777777" w:rsidR="005F4C67" w:rsidRPr="0053259F" w:rsidRDefault="005F4C67" w:rsidP="00F3248F">
            <w:pPr>
              <w:jc w:val="center"/>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Nr. p. k.</w:t>
            </w:r>
          </w:p>
        </w:tc>
        <w:tc>
          <w:tcPr>
            <w:tcW w:w="4883" w:type="dxa"/>
            <w:vMerge w:val="restart"/>
            <w:vAlign w:val="center"/>
            <w:hideMark/>
          </w:tcPr>
          <w:p w14:paraId="47C88BA9" w14:textId="77777777" w:rsidR="005F4C67" w:rsidRPr="0053259F" w:rsidRDefault="005F4C67" w:rsidP="00F324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sidRPr="0053259F">
              <w:rPr>
                <w:rFonts w:ascii="Times New Roman" w:eastAsia="Times New Roman" w:hAnsi="Times New Roman" w:cs="Times New Roman"/>
                <w:bCs w:val="0"/>
                <w:color w:val="auto"/>
                <w:sz w:val="20"/>
                <w:szCs w:val="20"/>
                <w:lang w:eastAsia="lv-LV"/>
              </w:rPr>
              <w:t>Pakalpojumu veids</w:t>
            </w:r>
          </w:p>
        </w:tc>
        <w:tc>
          <w:tcPr>
            <w:tcW w:w="2624" w:type="dxa"/>
            <w:vMerge w:val="restart"/>
            <w:noWrap/>
            <w:vAlign w:val="center"/>
            <w:hideMark/>
          </w:tcPr>
          <w:p w14:paraId="49205E59" w14:textId="5071362D" w:rsidR="005F4C67" w:rsidRPr="0053259F" w:rsidRDefault="005F4C67" w:rsidP="00F324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lv-LV"/>
              </w:rPr>
            </w:pPr>
            <w:r w:rsidRPr="0053259F">
              <w:rPr>
                <w:rFonts w:ascii="Times New Roman" w:eastAsia="Times New Roman" w:hAnsi="Times New Roman" w:cs="Times New Roman"/>
                <w:bCs w:val="0"/>
                <w:color w:val="auto"/>
                <w:sz w:val="20"/>
                <w:szCs w:val="20"/>
                <w:lang w:eastAsia="lv-LV"/>
              </w:rPr>
              <w:t>Pakalpojumu skaits gadā</w:t>
            </w:r>
          </w:p>
        </w:tc>
      </w:tr>
      <w:tr w:rsidR="0053259F" w:rsidRPr="0053259F" w14:paraId="2D513808" w14:textId="77777777" w:rsidTr="00A5655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93" w:type="dxa"/>
            <w:vMerge/>
            <w:hideMark/>
          </w:tcPr>
          <w:p w14:paraId="30EFFA56" w14:textId="77777777" w:rsidR="005F4C67" w:rsidRPr="0053259F" w:rsidRDefault="005F4C67" w:rsidP="005F4C67">
            <w:pPr>
              <w:rPr>
                <w:rFonts w:ascii="Times New Roman" w:eastAsia="Times New Roman" w:hAnsi="Times New Roman" w:cs="Times New Roman"/>
                <w:bCs w:val="0"/>
                <w:color w:val="auto"/>
                <w:sz w:val="20"/>
                <w:szCs w:val="20"/>
                <w:lang w:eastAsia="lv-LV"/>
              </w:rPr>
            </w:pPr>
          </w:p>
        </w:tc>
        <w:tc>
          <w:tcPr>
            <w:tcW w:w="4883" w:type="dxa"/>
            <w:vMerge/>
            <w:hideMark/>
          </w:tcPr>
          <w:p w14:paraId="016380ED" w14:textId="77777777" w:rsidR="005F4C67" w:rsidRPr="0053259F" w:rsidRDefault="005F4C67" w:rsidP="005F4C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2624" w:type="dxa"/>
            <w:vMerge/>
            <w:hideMark/>
          </w:tcPr>
          <w:p w14:paraId="6155A2BE" w14:textId="77777777" w:rsidR="005F4C67" w:rsidRPr="0053259F" w:rsidRDefault="005F4C67" w:rsidP="005F4C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53259F" w:rsidRPr="0053259F" w14:paraId="52378C86" w14:textId="77777777" w:rsidTr="00A5655D">
        <w:trPr>
          <w:trHeight w:val="237"/>
          <w:jc w:val="center"/>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2350721F" w14:textId="77777777" w:rsidR="005F4C67" w:rsidRPr="0053259F" w:rsidRDefault="005F4C67" w:rsidP="00F3248F">
            <w:pPr>
              <w:jc w:val="center"/>
              <w:rPr>
                <w:rFonts w:ascii="Times New Roman" w:eastAsia="Times New Roman" w:hAnsi="Times New Roman" w:cs="Times New Roman"/>
                <w:b w:val="0"/>
                <w:bCs w:val="0"/>
                <w:color w:val="auto"/>
                <w:sz w:val="20"/>
                <w:szCs w:val="20"/>
                <w:lang w:eastAsia="lv-LV"/>
              </w:rPr>
            </w:pPr>
            <w:r w:rsidRPr="0053259F">
              <w:rPr>
                <w:rFonts w:ascii="Times New Roman" w:eastAsia="Times New Roman" w:hAnsi="Times New Roman" w:cs="Times New Roman"/>
                <w:b w:val="0"/>
                <w:bCs w:val="0"/>
                <w:color w:val="auto"/>
                <w:sz w:val="20"/>
                <w:szCs w:val="20"/>
                <w:lang w:eastAsia="lv-LV"/>
              </w:rPr>
              <w:t>1</w:t>
            </w:r>
          </w:p>
        </w:tc>
        <w:tc>
          <w:tcPr>
            <w:tcW w:w="4883" w:type="dxa"/>
            <w:noWrap/>
            <w:vAlign w:val="center"/>
            <w:hideMark/>
          </w:tcPr>
          <w:p w14:paraId="6036CD87" w14:textId="77777777" w:rsidR="005F4C67" w:rsidRPr="0053259F" w:rsidRDefault="005F4C67" w:rsidP="00F324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3259F">
              <w:rPr>
                <w:rFonts w:ascii="Times New Roman" w:eastAsia="Times New Roman" w:hAnsi="Times New Roman" w:cs="Times New Roman"/>
                <w:color w:val="auto"/>
                <w:sz w:val="20"/>
                <w:szCs w:val="20"/>
                <w:lang w:eastAsia="lv-LV"/>
              </w:rPr>
              <w:t>Izmeklējumi</w:t>
            </w:r>
          </w:p>
        </w:tc>
        <w:tc>
          <w:tcPr>
            <w:tcW w:w="2624" w:type="dxa"/>
            <w:noWrap/>
            <w:vAlign w:val="center"/>
            <w:hideMark/>
          </w:tcPr>
          <w:p w14:paraId="31778BB6" w14:textId="77777777" w:rsidR="005F4C67" w:rsidRPr="0053259F"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53259F">
              <w:rPr>
                <w:rFonts w:ascii="Times New Roman" w:eastAsia="Times New Roman" w:hAnsi="Times New Roman" w:cs="Times New Roman"/>
                <w:bCs/>
                <w:color w:val="auto"/>
                <w:sz w:val="20"/>
                <w:szCs w:val="20"/>
                <w:lang w:eastAsia="lv-LV"/>
              </w:rPr>
              <w:t>615 663</w:t>
            </w:r>
          </w:p>
        </w:tc>
      </w:tr>
      <w:tr w:rsidR="0053259F" w:rsidRPr="0053259F" w14:paraId="1342B2F3" w14:textId="77777777" w:rsidTr="00A5655D">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816CE7E" w14:textId="77777777" w:rsidR="005F4C67" w:rsidRPr="0053259F" w:rsidRDefault="005F4C67" w:rsidP="00F3248F">
            <w:pPr>
              <w:jc w:val="center"/>
              <w:rPr>
                <w:rFonts w:ascii="Times New Roman" w:eastAsia="Times New Roman" w:hAnsi="Times New Roman" w:cs="Times New Roman"/>
                <w:b w:val="0"/>
                <w:bCs w:val="0"/>
                <w:color w:val="auto"/>
                <w:sz w:val="20"/>
                <w:szCs w:val="20"/>
                <w:lang w:eastAsia="lv-LV"/>
              </w:rPr>
            </w:pPr>
            <w:r w:rsidRPr="0053259F">
              <w:rPr>
                <w:rFonts w:ascii="Times New Roman" w:eastAsia="Times New Roman" w:hAnsi="Times New Roman" w:cs="Times New Roman"/>
                <w:b w:val="0"/>
                <w:bCs w:val="0"/>
                <w:color w:val="auto"/>
                <w:sz w:val="20"/>
                <w:szCs w:val="20"/>
                <w:lang w:eastAsia="lv-LV"/>
              </w:rPr>
              <w:t>2</w:t>
            </w:r>
          </w:p>
        </w:tc>
        <w:tc>
          <w:tcPr>
            <w:tcW w:w="4883" w:type="dxa"/>
            <w:noWrap/>
            <w:vAlign w:val="center"/>
            <w:hideMark/>
          </w:tcPr>
          <w:p w14:paraId="5DFC7B22" w14:textId="77777777" w:rsidR="005F4C67" w:rsidRPr="0053259F" w:rsidRDefault="005F4C67" w:rsidP="00F324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3259F">
              <w:rPr>
                <w:rFonts w:ascii="Times New Roman" w:eastAsia="Times New Roman" w:hAnsi="Times New Roman" w:cs="Times New Roman"/>
                <w:color w:val="auto"/>
                <w:sz w:val="20"/>
                <w:szCs w:val="20"/>
                <w:lang w:eastAsia="lv-LV"/>
              </w:rPr>
              <w:t>Rehabilitācijas pakalpojumi</w:t>
            </w:r>
          </w:p>
        </w:tc>
        <w:tc>
          <w:tcPr>
            <w:tcW w:w="2624" w:type="dxa"/>
            <w:noWrap/>
            <w:vAlign w:val="center"/>
            <w:hideMark/>
          </w:tcPr>
          <w:p w14:paraId="3A0CAC81" w14:textId="77777777" w:rsidR="005F4C67" w:rsidRPr="0053259F"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53259F">
              <w:rPr>
                <w:rFonts w:ascii="Times New Roman" w:eastAsia="Times New Roman" w:hAnsi="Times New Roman" w:cs="Times New Roman"/>
                <w:bCs/>
                <w:color w:val="auto"/>
                <w:sz w:val="20"/>
                <w:szCs w:val="20"/>
                <w:lang w:eastAsia="lv-LV"/>
              </w:rPr>
              <w:t>334 154</w:t>
            </w:r>
          </w:p>
        </w:tc>
      </w:tr>
      <w:tr w:rsidR="0053259F" w:rsidRPr="0053259F" w14:paraId="160CADC8" w14:textId="77777777" w:rsidTr="00A5655D">
        <w:trPr>
          <w:trHeight w:val="173"/>
          <w:jc w:val="center"/>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00D7BED7" w14:textId="77777777" w:rsidR="005F4C67" w:rsidRPr="0053259F" w:rsidRDefault="005F4C67" w:rsidP="00F3248F">
            <w:pPr>
              <w:jc w:val="center"/>
              <w:rPr>
                <w:rFonts w:ascii="Times New Roman" w:eastAsia="Times New Roman" w:hAnsi="Times New Roman" w:cs="Times New Roman"/>
                <w:b w:val="0"/>
                <w:bCs w:val="0"/>
                <w:color w:val="auto"/>
                <w:sz w:val="20"/>
                <w:szCs w:val="20"/>
                <w:lang w:eastAsia="lv-LV"/>
              </w:rPr>
            </w:pPr>
            <w:r w:rsidRPr="0053259F">
              <w:rPr>
                <w:rFonts w:ascii="Times New Roman" w:eastAsia="Times New Roman" w:hAnsi="Times New Roman" w:cs="Times New Roman"/>
                <w:b w:val="0"/>
                <w:bCs w:val="0"/>
                <w:color w:val="auto"/>
                <w:sz w:val="20"/>
                <w:szCs w:val="20"/>
                <w:lang w:eastAsia="lv-LV"/>
              </w:rPr>
              <w:t>3</w:t>
            </w:r>
          </w:p>
        </w:tc>
        <w:tc>
          <w:tcPr>
            <w:tcW w:w="4883" w:type="dxa"/>
            <w:noWrap/>
            <w:vAlign w:val="center"/>
            <w:hideMark/>
          </w:tcPr>
          <w:p w14:paraId="6FC0F82C" w14:textId="77777777" w:rsidR="005F4C67" w:rsidRPr="0053259F" w:rsidRDefault="005F4C67" w:rsidP="00F324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3259F">
              <w:rPr>
                <w:rFonts w:ascii="Times New Roman" w:eastAsia="Times New Roman" w:hAnsi="Times New Roman" w:cs="Times New Roman"/>
                <w:color w:val="auto"/>
                <w:sz w:val="20"/>
                <w:szCs w:val="20"/>
                <w:lang w:eastAsia="lv-LV"/>
              </w:rPr>
              <w:t>Speciālistu konsultācijas</w:t>
            </w:r>
          </w:p>
        </w:tc>
        <w:tc>
          <w:tcPr>
            <w:tcW w:w="2624" w:type="dxa"/>
            <w:noWrap/>
            <w:vAlign w:val="center"/>
            <w:hideMark/>
          </w:tcPr>
          <w:p w14:paraId="58FDA76C" w14:textId="77777777" w:rsidR="005F4C67" w:rsidRPr="0053259F"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53259F">
              <w:rPr>
                <w:rFonts w:ascii="Times New Roman" w:eastAsia="Times New Roman" w:hAnsi="Times New Roman" w:cs="Times New Roman"/>
                <w:bCs/>
                <w:color w:val="auto"/>
                <w:sz w:val="20"/>
                <w:szCs w:val="20"/>
                <w:lang w:eastAsia="lv-LV"/>
              </w:rPr>
              <w:t>550 548</w:t>
            </w:r>
          </w:p>
        </w:tc>
      </w:tr>
      <w:tr w:rsidR="0053259F" w:rsidRPr="0053259F" w14:paraId="64432C15" w14:textId="77777777" w:rsidTr="00A5655D">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F73996F" w14:textId="77777777" w:rsidR="005F4C67" w:rsidRPr="0053259F" w:rsidRDefault="005F4C67" w:rsidP="00F3248F">
            <w:pPr>
              <w:jc w:val="center"/>
              <w:rPr>
                <w:rFonts w:ascii="Times New Roman" w:eastAsia="Times New Roman" w:hAnsi="Times New Roman" w:cs="Times New Roman"/>
                <w:b w:val="0"/>
                <w:bCs w:val="0"/>
                <w:color w:val="auto"/>
                <w:sz w:val="20"/>
                <w:szCs w:val="20"/>
                <w:lang w:eastAsia="lv-LV"/>
              </w:rPr>
            </w:pPr>
            <w:r w:rsidRPr="0053259F">
              <w:rPr>
                <w:rFonts w:ascii="Times New Roman" w:eastAsia="Times New Roman" w:hAnsi="Times New Roman" w:cs="Times New Roman"/>
                <w:b w:val="0"/>
                <w:bCs w:val="0"/>
                <w:color w:val="auto"/>
                <w:sz w:val="20"/>
                <w:szCs w:val="20"/>
                <w:lang w:eastAsia="lv-LV"/>
              </w:rPr>
              <w:t>4</w:t>
            </w:r>
          </w:p>
        </w:tc>
        <w:tc>
          <w:tcPr>
            <w:tcW w:w="4883" w:type="dxa"/>
            <w:noWrap/>
            <w:vAlign w:val="center"/>
            <w:hideMark/>
          </w:tcPr>
          <w:p w14:paraId="10D237FB" w14:textId="77777777" w:rsidR="005F4C67" w:rsidRPr="0053259F" w:rsidRDefault="005F4C67" w:rsidP="00F324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3259F">
              <w:rPr>
                <w:rFonts w:ascii="Times New Roman" w:eastAsia="Times New Roman" w:hAnsi="Times New Roman" w:cs="Times New Roman"/>
                <w:color w:val="auto"/>
                <w:sz w:val="20"/>
                <w:szCs w:val="20"/>
                <w:lang w:eastAsia="lv-LV"/>
              </w:rPr>
              <w:t>Dienas stacionārs</w:t>
            </w:r>
          </w:p>
        </w:tc>
        <w:tc>
          <w:tcPr>
            <w:tcW w:w="2624" w:type="dxa"/>
            <w:noWrap/>
            <w:vAlign w:val="center"/>
            <w:hideMark/>
          </w:tcPr>
          <w:p w14:paraId="6BBA4703" w14:textId="77777777" w:rsidR="005F4C67" w:rsidRPr="0053259F" w:rsidRDefault="005F4C67"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53259F">
              <w:rPr>
                <w:rFonts w:ascii="Times New Roman" w:eastAsia="Times New Roman" w:hAnsi="Times New Roman" w:cs="Times New Roman"/>
                <w:bCs/>
                <w:color w:val="auto"/>
                <w:sz w:val="20"/>
                <w:szCs w:val="20"/>
                <w:lang w:eastAsia="lv-LV"/>
              </w:rPr>
              <w:t>113 640</w:t>
            </w:r>
          </w:p>
        </w:tc>
      </w:tr>
      <w:tr w:rsidR="0053259F" w:rsidRPr="0053259F" w14:paraId="3583A814" w14:textId="77777777" w:rsidTr="00A5655D">
        <w:trPr>
          <w:trHeight w:val="123"/>
          <w:jc w:val="center"/>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7FFF1457" w14:textId="77777777" w:rsidR="005F4C67" w:rsidRPr="0053259F" w:rsidRDefault="005F4C67" w:rsidP="00F3248F">
            <w:pPr>
              <w:jc w:val="center"/>
              <w:rPr>
                <w:rFonts w:ascii="Times New Roman" w:eastAsia="Times New Roman" w:hAnsi="Times New Roman" w:cs="Times New Roman"/>
                <w:b w:val="0"/>
                <w:bCs w:val="0"/>
                <w:color w:val="auto"/>
                <w:sz w:val="20"/>
                <w:szCs w:val="20"/>
                <w:lang w:eastAsia="lv-LV"/>
              </w:rPr>
            </w:pPr>
          </w:p>
        </w:tc>
        <w:tc>
          <w:tcPr>
            <w:tcW w:w="4883" w:type="dxa"/>
            <w:noWrap/>
            <w:vAlign w:val="center"/>
            <w:hideMark/>
          </w:tcPr>
          <w:p w14:paraId="77BC5154" w14:textId="77777777" w:rsidR="005F4C67" w:rsidRPr="0053259F"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53259F">
              <w:rPr>
                <w:rFonts w:ascii="Times New Roman" w:eastAsia="Times New Roman" w:hAnsi="Times New Roman" w:cs="Times New Roman"/>
                <w:b/>
                <w:bCs/>
                <w:color w:val="auto"/>
                <w:sz w:val="20"/>
                <w:szCs w:val="20"/>
                <w:lang w:eastAsia="lv-LV"/>
              </w:rPr>
              <w:t>Kopā</w:t>
            </w:r>
          </w:p>
        </w:tc>
        <w:tc>
          <w:tcPr>
            <w:tcW w:w="2624" w:type="dxa"/>
            <w:noWrap/>
            <w:vAlign w:val="center"/>
            <w:hideMark/>
          </w:tcPr>
          <w:p w14:paraId="0E88E9F2" w14:textId="77777777" w:rsidR="005F4C67" w:rsidRPr="0053259F"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53259F">
              <w:rPr>
                <w:rFonts w:ascii="Times New Roman" w:eastAsia="Times New Roman" w:hAnsi="Times New Roman" w:cs="Times New Roman"/>
                <w:b/>
                <w:bCs/>
                <w:color w:val="auto"/>
                <w:sz w:val="20"/>
                <w:szCs w:val="20"/>
                <w:lang w:eastAsia="lv-LV"/>
              </w:rPr>
              <w:t>1 614 005</w:t>
            </w:r>
          </w:p>
        </w:tc>
      </w:tr>
    </w:tbl>
    <w:p w14:paraId="16D3E5D4" w14:textId="3B4DC23A" w:rsidR="005F4C67" w:rsidRPr="006F0EBA" w:rsidRDefault="0053259F" w:rsidP="0053259F">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hAnsi="Times New Roman" w:cs="Times New Roman"/>
          <w:i/>
          <w:sz w:val="20"/>
          <w:szCs w:val="20"/>
        </w:rPr>
        <w:t xml:space="preserve">      </w:t>
      </w:r>
      <w:r w:rsidRPr="006E1FFA">
        <w:rPr>
          <w:rFonts w:ascii="Times New Roman" w:hAnsi="Times New Roman" w:cs="Times New Roman"/>
          <w:i/>
          <w:sz w:val="20"/>
          <w:szCs w:val="20"/>
        </w:rPr>
        <w:t>Avots</w:t>
      </w:r>
      <w:r w:rsidRPr="008603A3">
        <w:rPr>
          <w:rFonts w:ascii="Times New Roman" w:hAnsi="Times New Roman" w:cs="Times New Roman"/>
          <w:i/>
          <w:sz w:val="20"/>
          <w:szCs w:val="20"/>
        </w:rPr>
        <w:t>: NVD, 2016.gada decembra aptaujas dati</w:t>
      </w:r>
    </w:p>
    <w:p w14:paraId="4CDA492F" w14:textId="77777777" w:rsidR="005F4C67" w:rsidRDefault="005F4C67" w:rsidP="001210E9">
      <w:pPr>
        <w:autoSpaceDE w:val="0"/>
        <w:autoSpaceDN w:val="0"/>
        <w:adjustRightInd w:val="0"/>
        <w:spacing w:before="120" w:after="0" w:line="240" w:lineRule="auto"/>
        <w:ind w:firstLine="720"/>
        <w:jc w:val="both"/>
        <w:rPr>
          <w:rFonts w:ascii="Times New Roman" w:hAnsi="Times New Roman"/>
          <w:noProof/>
          <w:sz w:val="24"/>
          <w:szCs w:val="24"/>
          <w:lang w:eastAsia="lv-LV"/>
        </w:rPr>
      </w:pPr>
      <w:r w:rsidRPr="001D5B2A">
        <w:rPr>
          <w:rFonts w:ascii="Times New Roman" w:hAnsi="Times New Roman"/>
          <w:noProof/>
          <w:sz w:val="24"/>
          <w:szCs w:val="24"/>
          <w:lang w:eastAsia="lv-LV"/>
        </w:rPr>
        <w:t xml:space="preserve">Saskaņā ar šo aptauju datiem, pastāv </w:t>
      </w:r>
      <w:r>
        <w:rPr>
          <w:rFonts w:ascii="Times New Roman" w:hAnsi="Times New Roman"/>
          <w:noProof/>
          <w:sz w:val="24"/>
          <w:szCs w:val="24"/>
          <w:lang w:eastAsia="lv-LV"/>
        </w:rPr>
        <w:t xml:space="preserve">iespēja vēl būtiski palielināt valsts apmaksāto pakalpojumu piedāvājumu pie esošā cilcēkresursu apjoma. Tomēr tālāks valsts pakalpojumu apjoma palielinājums ir iespējams, ja palielinās ārstniecības peronāla skaits, kas niedz valsts apmaksātos pakalpojumus. Veselības politikas veidotāji saredz, ka to var panākt palielinot pakalpojumu sniegšanas tarifu. </w:t>
      </w:r>
    </w:p>
    <w:p w14:paraId="6D3675E6" w14:textId="047DBCF0" w:rsidR="005F4C67" w:rsidRDefault="005F4C67" w:rsidP="001210E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hAnsi="Times New Roman"/>
          <w:noProof/>
          <w:sz w:val="24"/>
          <w:szCs w:val="24"/>
          <w:lang w:eastAsia="lv-LV"/>
        </w:rPr>
        <w:t xml:space="preserve">Pieprasījuma daļā var prognozēt, ka rindu mazināšanās mainīs pacientu uzvedību un daļa no pacientiem, kas pakalpojumu saņem par savu maksu varētu izvēlēties gaidīt valsts apmaksātu pakalpojumu, kas attiecīgi palielinātu rindu. Mazinoties pieprasījumam pēc privāti apmaksātā pakalpojuma, iespējams, ārstniecības personāls varētu migrēt uz valsts apmāksātu pakalpojumu jomu. Ņemot vērā, ka no valsts un pašu līdzekļiem finansētie veselības aprūpes pakalpojumi nav </w:t>
      </w:r>
      <w:r w:rsidR="0053259F">
        <w:rPr>
          <w:rFonts w:ascii="Times New Roman" w:hAnsi="Times New Roman"/>
          <w:noProof/>
          <w:sz w:val="24"/>
          <w:szCs w:val="24"/>
          <w:lang w:eastAsia="lv-LV"/>
        </w:rPr>
        <w:t>identiski, var prognozēt, ka 2.</w:t>
      </w:r>
      <w:r>
        <w:rPr>
          <w:rFonts w:ascii="Times New Roman" w:hAnsi="Times New Roman"/>
          <w:noProof/>
          <w:sz w:val="24"/>
          <w:szCs w:val="24"/>
          <w:lang w:eastAsia="lv-LV"/>
        </w:rPr>
        <w:t xml:space="preserve">pasākuma ieviešanas rezultātā mainīties rindu garumu struktūra. Pašlaik tiek plānots, ka minētie procesi tiks modelēti, lai lemtu, ar kādiem pasākumiem, kas būtu finansējami no 2018. un 2019.gada deficīta atkāpes visefektīvāk sasniegtu rindu samazinājumu.          </w:t>
      </w:r>
    </w:p>
    <w:p w14:paraId="4557A642" w14:textId="1D574971" w:rsidR="005F4C67" w:rsidRDefault="005F4C67" w:rsidP="001210E9">
      <w:pPr>
        <w:spacing w:line="240" w:lineRule="auto"/>
        <w:ind w:firstLine="720"/>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t>N</w:t>
      </w:r>
      <w:r w:rsidRPr="008603A3">
        <w:rPr>
          <w:rFonts w:ascii="Times New Roman" w:hAnsi="Times New Roman" w:cs="Times New Roman"/>
          <w:noProof/>
          <w:sz w:val="24"/>
          <w:szCs w:val="24"/>
          <w:lang w:eastAsia="lv-LV"/>
        </w:rPr>
        <w:t>ovirzot finansējumu sekundārās ambulatorās veselības aprūpes pakalpojumiem, uzlabosies to pieejamība, kas rezultēsies labākos veselības rādītājos sabiedrībā, samazinot potenciāli zaudēto mūža gadus</w:t>
      </w:r>
      <w:r w:rsidRPr="008603A3">
        <w:rPr>
          <w:rStyle w:val="FootnoteReference"/>
          <w:rFonts w:ascii="Times New Roman" w:hAnsi="Times New Roman" w:cs="Times New Roman"/>
          <w:noProof/>
          <w:sz w:val="24"/>
          <w:szCs w:val="24"/>
          <w:lang w:eastAsia="lv-LV"/>
        </w:rPr>
        <w:footnoteReference w:id="20"/>
      </w:r>
      <w:r w:rsidRPr="008603A3">
        <w:rPr>
          <w:rFonts w:ascii="Times New Roman" w:hAnsi="Times New Roman" w:cs="Times New Roman"/>
          <w:noProof/>
          <w:sz w:val="24"/>
          <w:szCs w:val="24"/>
          <w:lang w:eastAsia="lv-LV"/>
        </w:rPr>
        <w:t xml:space="preserve">. </w:t>
      </w:r>
      <w:r>
        <w:rPr>
          <w:rFonts w:ascii="Times New Roman" w:hAnsi="Times New Roman" w:cs="Times New Roman"/>
          <w:noProof/>
          <w:sz w:val="24"/>
          <w:szCs w:val="24"/>
          <w:lang w:eastAsia="lv-LV"/>
        </w:rPr>
        <w:t xml:space="preserve">Ar pašlaik paredzēto 2.pasākuma finansējumu, pieņemot, ka tas tādā pašā apmērā tiek piešķirts arī 2018. un 2019.gadā,  tiek prognozēts, ka 2019.gadā PZDG samazinātos par </w:t>
      </w:r>
      <w:r w:rsidRPr="0049543D">
        <w:rPr>
          <w:rFonts w:ascii="Times New Roman" w:hAnsi="Times New Roman" w:cs="Times New Roman"/>
          <w:noProof/>
          <w:sz w:val="24"/>
          <w:szCs w:val="24"/>
          <w:lang w:eastAsia="lv-LV"/>
        </w:rPr>
        <w:t>804</w:t>
      </w:r>
      <w:r w:rsidR="001210E9">
        <w:rPr>
          <w:rFonts w:ascii="Times New Roman" w:hAnsi="Times New Roman" w:cs="Times New Roman"/>
          <w:noProof/>
          <w:sz w:val="24"/>
          <w:szCs w:val="24"/>
          <w:lang w:eastAsia="lv-LV"/>
        </w:rPr>
        <w:t xml:space="preserve"> gadiem.</w:t>
      </w:r>
      <w:r>
        <w:rPr>
          <w:rFonts w:ascii="Times New Roman" w:hAnsi="Times New Roman" w:cs="Times New Roman"/>
          <w:noProof/>
          <w:sz w:val="24"/>
          <w:szCs w:val="24"/>
          <w:lang w:eastAsia="lv-LV"/>
        </w:rPr>
        <w:t xml:space="preserve"> Pasākuma efektivitāte ir </w:t>
      </w:r>
      <w:r w:rsidRPr="00BB0CC2">
        <w:rPr>
          <w:rFonts w:ascii="Times New Roman" w:hAnsi="Times New Roman" w:cs="Times New Roman"/>
          <w:b/>
          <w:noProof/>
          <w:sz w:val="24"/>
          <w:szCs w:val="24"/>
          <w:lang w:eastAsia="lv-LV"/>
        </w:rPr>
        <w:t xml:space="preserve">60 tūkstoši </w:t>
      </w:r>
      <w:r w:rsidRPr="00DE34F6">
        <w:rPr>
          <w:rFonts w:ascii="Times New Roman" w:hAnsi="Times New Roman" w:cs="Times New Roman"/>
          <w:b/>
          <w:i/>
          <w:noProof/>
          <w:sz w:val="24"/>
          <w:szCs w:val="24"/>
          <w:lang w:eastAsia="lv-LV"/>
        </w:rPr>
        <w:t>euro</w:t>
      </w:r>
      <w:r w:rsidRPr="00BB0CC2">
        <w:rPr>
          <w:rFonts w:ascii="Times New Roman" w:hAnsi="Times New Roman" w:cs="Times New Roman"/>
          <w:b/>
          <w:noProof/>
          <w:sz w:val="24"/>
          <w:szCs w:val="24"/>
          <w:lang w:eastAsia="lv-LV"/>
        </w:rPr>
        <w:t xml:space="preserve"> par vienu novērstu PZDG</w:t>
      </w:r>
      <w:r>
        <w:rPr>
          <w:rFonts w:ascii="Times New Roman" w:hAnsi="Times New Roman" w:cs="Times New Roman"/>
          <w:noProof/>
          <w:sz w:val="24"/>
          <w:szCs w:val="24"/>
          <w:lang w:eastAsia="lv-LV"/>
        </w:rPr>
        <w:t xml:space="preserve">. </w:t>
      </w:r>
    </w:p>
    <w:p w14:paraId="1C124C13" w14:textId="77777777" w:rsidR="005F4C67" w:rsidRDefault="005F4C67" w:rsidP="005F4C67">
      <w:pPr>
        <w:jc w:val="center"/>
        <w:rPr>
          <w:rFonts w:ascii="Times New Roman" w:hAnsi="Times New Roman" w:cs="Times New Roman"/>
          <w:noProof/>
          <w:sz w:val="24"/>
          <w:szCs w:val="24"/>
          <w:lang w:eastAsia="lv-LV"/>
        </w:rPr>
      </w:pPr>
      <w:r>
        <w:rPr>
          <w:noProof/>
          <w:lang w:eastAsia="lv-LV"/>
        </w:rPr>
        <w:drawing>
          <wp:inline distT="0" distB="0" distL="0" distR="0" wp14:anchorId="75B3F281" wp14:editId="5B3F6FA7">
            <wp:extent cx="5608601" cy="2434856"/>
            <wp:effectExtent l="0" t="0" r="1143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FD478D" w14:textId="69F39CCF" w:rsidR="005F4C67" w:rsidRDefault="00A507C8" w:rsidP="001210E9">
      <w:pPr>
        <w:spacing w:before="60" w:after="120" w:line="240" w:lineRule="auto"/>
        <w:jc w:val="center"/>
        <w:rPr>
          <w:rFonts w:ascii="Times New Roman" w:hAnsi="Times New Roman"/>
          <w:b/>
          <w:sz w:val="24"/>
        </w:rPr>
      </w:pPr>
      <w:r w:rsidRPr="00A507C8">
        <w:rPr>
          <w:rFonts w:ascii="Times New Roman" w:hAnsi="Times New Roman"/>
          <w:b/>
          <w:sz w:val="24"/>
        </w:rPr>
        <w:t>3.1</w:t>
      </w:r>
      <w:r w:rsidR="00C12F8D">
        <w:rPr>
          <w:rFonts w:ascii="Times New Roman" w:hAnsi="Times New Roman"/>
          <w:b/>
          <w:sz w:val="24"/>
        </w:rPr>
        <w:t>2</w:t>
      </w:r>
      <w:r w:rsidR="005F4C67" w:rsidRPr="00A507C8">
        <w:rPr>
          <w:rFonts w:ascii="Times New Roman" w:hAnsi="Times New Roman"/>
          <w:b/>
          <w:sz w:val="24"/>
        </w:rPr>
        <w:t>.attēls</w:t>
      </w:r>
      <w:r w:rsidR="005F4C67" w:rsidRPr="00BB0CC2">
        <w:rPr>
          <w:rFonts w:ascii="Times New Roman" w:hAnsi="Times New Roman"/>
          <w:b/>
          <w:i/>
          <w:sz w:val="24"/>
        </w:rPr>
        <w:t>.</w:t>
      </w:r>
      <w:r w:rsidR="005F4C67" w:rsidRPr="00BB0CC2">
        <w:rPr>
          <w:rFonts w:ascii="Times New Roman" w:hAnsi="Times New Roman"/>
          <w:b/>
          <w:sz w:val="24"/>
        </w:rPr>
        <w:t xml:space="preserve"> </w:t>
      </w:r>
      <w:r w:rsidR="00C12F8D">
        <w:rPr>
          <w:rFonts w:ascii="Times New Roman" w:hAnsi="Times New Roman"/>
          <w:b/>
          <w:sz w:val="24"/>
        </w:rPr>
        <w:t>PZDG</w:t>
      </w:r>
      <w:r w:rsidR="005F4C67" w:rsidRPr="006213DE">
        <w:rPr>
          <w:rFonts w:ascii="Times New Roman" w:hAnsi="Times New Roman"/>
          <w:b/>
          <w:sz w:val="24"/>
        </w:rPr>
        <w:t xml:space="preserve"> prognoze, ja </w:t>
      </w:r>
      <w:r w:rsidR="005F4C67">
        <w:rPr>
          <w:rFonts w:ascii="Times New Roman" w:hAnsi="Times New Roman"/>
          <w:b/>
          <w:sz w:val="24"/>
        </w:rPr>
        <w:t>2.pasākums</w:t>
      </w:r>
      <w:r w:rsidR="005F4C67" w:rsidRPr="006213DE">
        <w:rPr>
          <w:rFonts w:ascii="Times New Roman" w:hAnsi="Times New Roman"/>
          <w:b/>
          <w:sz w:val="24"/>
        </w:rPr>
        <w:t xml:space="preserve"> netiek </w:t>
      </w:r>
      <w:r w:rsidR="001210E9">
        <w:rPr>
          <w:rFonts w:ascii="Times New Roman" w:hAnsi="Times New Roman"/>
          <w:b/>
          <w:sz w:val="24"/>
        </w:rPr>
        <w:t>īstenots</w:t>
      </w:r>
    </w:p>
    <w:p w14:paraId="4A54B5A8" w14:textId="77777777" w:rsidR="001210E9" w:rsidRDefault="001210E9" w:rsidP="001210E9">
      <w:pPr>
        <w:spacing w:before="60" w:after="120" w:line="240" w:lineRule="auto"/>
        <w:jc w:val="center"/>
        <w:rPr>
          <w:rFonts w:ascii="Times New Roman" w:hAnsi="Times New Roman"/>
          <w:i/>
          <w:sz w:val="24"/>
        </w:rPr>
      </w:pPr>
    </w:p>
    <w:p w14:paraId="03AEAD1D" w14:textId="77777777" w:rsidR="005F4C67" w:rsidRDefault="005F4C67" w:rsidP="001210E9">
      <w:pPr>
        <w:jc w:val="center"/>
        <w:rPr>
          <w:rFonts w:ascii="Times New Roman" w:hAnsi="Times New Roman" w:cs="Times New Roman"/>
          <w:noProof/>
          <w:sz w:val="24"/>
          <w:szCs w:val="24"/>
          <w:lang w:eastAsia="lv-LV"/>
        </w:rPr>
      </w:pPr>
      <w:r>
        <w:rPr>
          <w:noProof/>
          <w:lang w:eastAsia="lv-LV"/>
        </w:rPr>
        <w:drawing>
          <wp:inline distT="0" distB="0" distL="0" distR="0" wp14:anchorId="1131C573" wp14:editId="65331039">
            <wp:extent cx="5703570" cy="2752725"/>
            <wp:effectExtent l="0" t="0" r="11430" b="9525"/>
            <wp:docPr id="23" name="Chart 23">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33F08C" w14:textId="489C8823" w:rsidR="005F4C67" w:rsidRDefault="00C12F8D" w:rsidP="00C12F8D">
      <w:pPr>
        <w:autoSpaceDE w:val="0"/>
        <w:autoSpaceDN w:val="0"/>
        <w:adjustRightInd w:val="0"/>
        <w:spacing w:before="60" w:after="120" w:line="240" w:lineRule="auto"/>
        <w:ind w:firstLine="720"/>
        <w:jc w:val="center"/>
        <w:rPr>
          <w:rFonts w:ascii="Times New Roman" w:hAnsi="Times New Roman" w:cs="Times New Roman"/>
          <w:noProof/>
          <w:sz w:val="24"/>
          <w:szCs w:val="24"/>
          <w:lang w:eastAsia="lv-LV"/>
        </w:rPr>
      </w:pPr>
      <w:r>
        <w:rPr>
          <w:rFonts w:ascii="Times New Roman" w:hAnsi="Times New Roman"/>
          <w:b/>
          <w:sz w:val="24"/>
        </w:rPr>
        <w:t>3.13</w:t>
      </w:r>
      <w:r w:rsidR="00A507C8" w:rsidRPr="00A507C8">
        <w:rPr>
          <w:rFonts w:ascii="Times New Roman" w:hAnsi="Times New Roman"/>
          <w:b/>
          <w:sz w:val="24"/>
        </w:rPr>
        <w:t>.</w:t>
      </w:r>
      <w:r w:rsidR="005F4C67" w:rsidRPr="00A507C8">
        <w:rPr>
          <w:rFonts w:ascii="Times New Roman" w:hAnsi="Times New Roman"/>
          <w:b/>
          <w:sz w:val="24"/>
        </w:rPr>
        <w:t>attēls</w:t>
      </w:r>
      <w:r w:rsidR="005F4C67" w:rsidRPr="00BB0CC2">
        <w:rPr>
          <w:rFonts w:ascii="Times New Roman" w:hAnsi="Times New Roman"/>
          <w:b/>
          <w:i/>
          <w:sz w:val="24"/>
        </w:rPr>
        <w:t>.</w:t>
      </w:r>
      <w:r w:rsidR="005F4C67" w:rsidRPr="00BB0CC2">
        <w:rPr>
          <w:rFonts w:ascii="Times New Roman" w:hAnsi="Times New Roman"/>
          <w:b/>
          <w:sz w:val="24"/>
        </w:rPr>
        <w:t xml:space="preserve"> </w:t>
      </w:r>
      <w:r>
        <w:rPr>
          <w:rFonts w:ascii="Times New Roman" w:hAnsi="Times New Roman"/>
          <w:b/>
          <w:sz w:val="24"/>
        </w:rPr>
        <w:t>PZDG</w:t>
      </w:r>
      <w:r w:rsidR="005F4C67" w:rsidRPr="006213DE">
        <w:rPr>
          <w:rFonts w:ascii="Times New Roman" w:hAnsi="Times New Roman"/>
          <w:b/>
          <w:sz w:val="24"/>
        </w:rPr>
        <w:t xml:space="preserve"> prognoze, ja </w:t>
      </w:r>
      <w:r w:rsidR="005F4C67">
        <w:rPr>
          <w:rFonts w:ascii="Times New Roman" w:hAnsi="Times New Roman"/>
          <w:b/>
          <w:sz w:val="24"/>
        </w:rPr>
        <w:t>2.pasākums</w:t>
      </w:r>
      <w:r w:rsidR="005F4C67" w:rsidRPr="006213DE">
        <w:rPr>
          <w:rFonts w:ascii="Times New Roman" w:hAnsi="Times New Roman"/>
          <w:b/>
          <w:sz w:val="24"/>
        </w:rPr>
        <w:t xml:space="preserve"> tiek </w:t>
      </w:r>
      <w:r w:rsidR="005F4C67">
        <w:rPr>
          <w:rFonts w:ascii="Times New Roman" w:hAnsi="Times New Roman"/>
          <w:b/>
          <w:sz w:val="24"/>
        </w:rPr>
        <w:t>īstenots.</w:t>
      </w:r>
    </w:p>
    <w:p w14:paraId="66A021D8" w14:textId="77777777" w:rsidR="005F4C67" w:rsidRDefault="005F4C67" w:rsidP="005F4C67">
      <w:pPr>
        <w:autoSpaceDE w:val="0"/>
        <w:autoSpaceDN w:val="0"/>
        <w:adjustRightInd w:val="0"/>
        <w:spacing w:after="0" w:line="240" w:lineRule="auto"/>
        <w:ind w:firstLine="720"/>
        <w:jc w:val="both"/>
        <w:rPr>
          <w:rFonts w:ascii="Times New Roman" w:hAnsi="Times New Roman" w:cs="Times New Roman"/>
          <w:noProof/>
          <w:sz w:val="24"/>
          <w:szCs w:val="24"/>
          <w:lang w:eastAsia="lv-LV"/>
        </w:rPr>
      </w:pPr>
    </w:p>
    <w:p w14:paraId="217809F9" w14:textId="77777777" w:rsidR="005F4C67" w:rsidRDefault="005F4C67" w:rsidP="001210E9">
      <w:pPr>
        <w:autoSpaceDE w:val="0"/>
        <w:autoSpaceDN w:val="0"/>
        <w:adjustRightInd w:val="0"/>
        <w:spacing w:after="60" w:line="240" w:lineRule="auto"/>
        <w:ind w:firstLine="720"/>
        <w:jc w:val="both"/>
        <w:rPr>
          <w:rFonts w:ascii="Times New Roman" w:eastAsia="Calibri" w:hAnsi="Times New Roman" w:cs="Times New Roman"/>
          <w:i/>
          <w:color w:val="000000"/>
          <w:sz w:val="24"/>
          <w:szCs w:val="24"/>
          <w:u w:val="single"/>
        </w:rPr>
      </w:pPr>
      <w:r>
        <w:rPr>
          <w:rFonts w:ascii="Times New Roman" w:eastAsia="Calibri" w:hAnsi="Times New Roman" w:cs="Times New Roman"/>
          <w:i/>
          <w:color w:val="000000"/>
          <w:sz w:val="24"/>
          <w:szCs w:val="24"/>
          <w:u w:val="single"/>
        </w:rPr>
        <w:t>3.</w:t>
      </w:r>
      <w:r w:rsidRPr="009C2AE5">
        <w:rPr>
          <w:rFonts w:ascii="Times New Roman" w:eastAsia="Calibri" w:hAnsi="Times New Roman" w:cs="Times New Roman"/>
          <w:i/>
          <w:color w:val="000000"/>
          <w:sz w:val="24"/>
          <w:szCs w:val="24"/>
          <w:u w:val="single"/>
        </w:rPr>
        <w:t xml:space="preserve">Pasākums. </w:t>
      </w:r>
      <w:r w:rsidRPr="00BB0CC2">
        <w:rPr>
          <w:rFonts w:ascii="Times New Roman" w:eastAsia="Calibri" w:hAnsi="Times New Roman" w:cs="Times New Roman"/>
          <w:i/>
          <w:color w:val="000000"/>
          <w:sz w:val="24"/>
          <w:szCs w:val="24"/>
          <w:u w:val="single"/>
        </w:rPr>
        <w:t>Reformas valsts kompensējamo medikamentu nodrošinājumam VHC pacientiem F3-F4 stadijā</w:t>
      </w:r>
      <w:r>
        <w:rPr>
          <w:rFonts w:ascii="Times New Roman" w:eastAsia="Calibri" w:hAnsi="Times New Roman" w:cs="Times New Roman"/>
          <w:i/>
          <w:color w:val="000000"/>
          <w:sz w:val="24"/>
          <w:szCs w:val="24"/>
          <w:u w:val="single"/>
        </w:rPr>
        <w:t>.</w:t>
      </w:r>
    </w:p>
    <w:p w14:paraId="0B016D54" w14:textId="77777777" w:rsidR="005F4C67" w:rsidRDefault="005F4C67" w:rsidP="00A5655D">
      <w:pPr>
        <w:spacing w:after="0"/>
        <w:ind w:firstLine="709"/>
        <w:jc w:val="both"/>
        <w:rPr>
          <w:rFonts w:ascii="Times New Roman" w:hAnsi="Times New Roman" w:cs="Times New Roman"/>
          <w:sz w:val="24"/>
          <w:szCs w:val="24"/>
        </w:rPr>
      </w:pPr>
      <w:r>
        <w:rPr>
          <w:rFonts w:ascii="Times New Roman" w:hAnsi="Times New Roman" w:cs="Times New Roman"/>
          <w:sz w:val="24"/>
          <w:szCs w:val="24"/>
        </w:rPr>
        <w:t>Valsts apmaksājamās m</w:t>
      </w:r>
      <w:r w:rsidRPr="003B6DC4">
        <w:rPr>
          <w:rFonts w:ascii="Times New Roman" w:hAnsi="Times New Roman" w:cs="Times New Roman"/>
          <w:sz w:val="24"/>
          <w:szCs w:val="24"/>
        </w:rPr>
        <w:t xml:space="preserve">edikamentu iegādes kompensācijas sistēmas uzdevums ir nodrošināt </w:t>
      </w:r>
      <w:r>
        <w:rPr>
          <w:rFonts w:ascii="Times New Roman" w:hAnsi="Times New Roman" w:cs="Times New Roman"/>
          <w:sz w:val="24"/>
          <w:szCs w:val="24"/>
        </w:rPr>
        <w:t xml:space="preserve">pārsvarā </w:t>
      </w:r>
      <w:r w:rsidRPr="003B6DC4">
        <w:rPr>
          <w:rFonts w:ascii="Times New Roman" w:hAnsi="Times New Roman" w:cs="Times New Roman"/>
          <w:sz w:val="24"/>
          <w:szCs w:val="24"/>
        </w:rPr>
        <w:t>ar hroniskām slimībām slimojošajiem pacientiem, ņemot vērā slimības raksturu un smaguma pakāpi, atbilstošās nepieciešamās zāles un arī medicīniskās ierīces, kuru lietošanas rezultātā var tikt pagarināta pacientu ar hroniskām saslimšanām dzīvildze vai labi kontrolētu slimības pazīmju laiks, samazināts paasinājumu biežums, invaliditātes risks, hospitalizācijas gadījumu skaits hroniskas slimības paasinājumu vai komplikāciju dēļ, kā arī kontrolēts un uzlabots veselības stāvoklis.</w:t>
      </w:r>
      <w:r>
        <w:rPr>
          <w:rFonts w:ascii="Times New Roman" w:hAnsi="Times New Roman" w:cs="Times New Roman"/>
          <w:sz w:val="24"/>
          <w:szCs w:val="24"/>
        </w:rPr>
        <w:t xml:space="preserve"> </w:t>
      </w:r>
    </w:p>
    <w:p w14:paraId="50CBE9CF" w14:textId="77777777" w:rsidR="005F4C67" w:rsidRPr="003B6DC4" w:rsidRDefault="005F4C67" w:rsidP="00A5655D">
      <w:pPr>
        <w:spacing w:after="0" w:line="240" w:lineRule="auto"/>
        <w:ind w:firstLine="709"/>
        <w:jc w:val="both"/>
        <w:rPr>
          <w:rFonts w:ascii="Times New Roman" w:hAnsi="Times New Roman" w:cs="Times New Roman"/>
          <w:sz w:val="24"/>
          <w:szCs w:val="24"/>
        </w:rPr>
      </w:pPr>
      <w:r w:rsidRPr="009B6C00">
        <w:rPr>
          <w:rFonts w:ascii="Times New Roman" w:hAnsi="Times New Roman"/>
          <w:b/>
          <w:sz w:val="24"/>
          <w:szCs w:val="24"/>
        </w:rPr>
        <w:t>Reformas mērķis ir</w:t>
      </w:r>
      <w:r>
        <w:rPr>
          <w:rFonts w:ascii="Times New Roman" w:hAnsi="Times New Roman"/>
          <w:b/>
          <w:sz w:val="24"/>
          <w:szCs w:val="24"/>
        </w:rPr>
        <w:t>,</w:t>
      </w:r>
      <w:r w:rsidRPr="009B6C00">
        <w:rPr>
          <w:rFonts w:ascii="Times New Roman" w:hAnsi="Times New Roman"/>
          <w:b/>
          <w:sz w:val="24"/>
          <w:szCs w:val="24"/>
        </w:rPr>
        <w:t xml:space="preserve"> ieguldot papildus valsts līdzekļus</w:t>
      </w:r>
      <w:r>
        <w:rPr>
          <w:rFonts w:ascii="Times New Roman" w:hAnsi="Times New Roman"/>
          <w:b/>
          <w:sz w:val="24"/>
          <w:szCs w:val="24"/>
        </w:rPr>
        <w:t>,</w:t>
      </w:r>
      <w:r w:rsidRPr="009B6C00">
        <w:rPr>
          <w:rFonts w:ascii="Times New Roman" w:hAnsi="Times New Roman"/>
          <w:b/>
          <w:sz w:val="24"/>
          <w:szCs w:val="24"/>
        </w:rPr>
        <w:t xml:space="preserve"> turpināt iesākto reformu medikamentu pieejamības nodrošināšanā un vienlaikus arī epidemioloģiskās situācijas uzlabošanā valstī, strukturāli mainot pieeju VHC pacientu aprūpei un ārstēšanas organizācijai</w:t>
      </w:r>
      <w:r>
        <w:rPr>
          <w:rFonts w:ascii="Times New Roman" w:hAnsi="Times New Roman" w:cs="Times New Roman"/>
          <w:sz w:val="24"/>
          <w:szCs w:val="24"/>
        </w:rPr>
        <w:t xml:space="preserve"> </w:t>
      </w:r>
    </w:p>
    <w:p w14:paraId="39D5902D" w14:textId="77777777" w:rsidR="005F4C67" w:rsidRPr="00FB6020" w:rsidRDefault="005F4C67" w:rsidP="001210E9">
      <w:pPr>
        <w:widowControl w:val="0"/>
        <w:spacing w:after="0" w:line="240" w:lineRule="auto"/>
        <w:ind w:firstLine="709"/>
        <w:jc w:val="both"/>
        <w:rPr>
          <w:rFonts w:ascii="Times New Roman" w:hAnsi="Times New Roman"/>
          <w:color w:val="000000"/>
          <w:sz w:val="24"/>
          <w:szCs w:val="24"/>
        </w:rPr>
      </w:pPr>
      <w:r w:rsidRPr="00FB6020">
        <w:rPr>
          <w:rFonts w:ascii="Times New Roman" w:hAnsi="Times New Roman"/>
          <w:color w:val="000000"/>
          <w:sz w:val="24"/>
          <w:szCs w:val="24"/>
        </w:rPr>
        <w:t>Modelējot VHC izplatību sabiedrībā, infektoloģijas speciālistu veiktajā pētījumā tika secināts, ka  VHC antigēns ir konstatējams 1,7% Latvijas iedzīvotāju asinīs. Katru gadu tiek reģistrēti vairāk kā 1000 jaunatklāti VHC infekcijas gadījumi. Lielākajai daļai šo cilvēku ir VHC bezsimptomu forma, kas nozīmē, ka viņiem nav slimības klīnisko izpausmju, bet viņi ir infekciozi, un ilgākā laika periodā šie cilvēki var kļūt par VHC pacientiem ar dažādas pakāpes aknu bojājumiem.</w:t>
      </w:r>
    </w:p>
    <w:p w14:paraId="5108F05A" w14:textId="4FEECA0E" w:rsidR="005F4C67" w:rsidRPr="00FB6020" w:rsidRDefault="005F4C67" w:rsidP="001210E9">
      <w:pPr>
        <w:widowControl w:val="0"/>
        <w:spacing w:after="0" w:line="240" w:lineRule="auto"/>
        <w:ind w:firstLine="709"/>
        <w:jc w:val="both"/>
        <w:rPr>
          <w:rFonts w:ascii="Times New Roman" w:hAnsi="Times New Roman"/>
          <w:color w:val="000000"/>
          <w:sz w:val="24"/>
          <w:szCs w:val="24"/>
        </w:rPr>
      </w:pPr>
      <w:r w:rsidRPr="00FB6020">
        <w:rPr>
          <w:rFonts w:ascii="Times New Roman" w:hAnsi="Times New Roman"/>
          <w:color w:val="000000"/>
          <w:sz w:val="24"/>
          <w:szCs w:val="24"/>
        </w:rPr>
        <w:t>Atbilstoši P</w:t>
      </w:r>
      <w:r w:rsidR="001210E9">
        <w:rPr>
          <w:rFonts w:ascii="Times New Roman" w:hAnsi="Times New Roman"/>
          <w:color w:val="000000"/>
          <w:sz w:val="24"/>
          <w:szCs w:val="24"/>
        </w:rPr>
        <w:t>asaules Veselības organizācijas</w:t>
      </w:r>
      <w:r w:rsidRPr="00FB6020">
        <w:rPr>
          <w:rFonts w:ascii="Times New Roman" w:hAnsi="Times New Roman"/>
          <w:color w:val="000000"/>
          <w:sz w:val="24"/>
          <w:szCs w:val="24"/>
        </w:rPr>
        <w:t xml:space="preserve"> pētījumiem, 33% ar VHC inficētajām personām 30 gadu laikā attīstās aknu ciroze vai aknu ļaundabīgie audzēji, kas ir smagas aknu slimības un ierobežo cilvēka darba spējas, un noved pie letāla </w:t>
      </w:r>
      <w:r w:rsidRPr="006E67FD">
        <w:rPr>
          <w:rFonts w:ascii="Times New Roman" w:hAnsi="Times New Roman" w:cs="Times New Roman"/>
          <w:color w:val="000000"/>
          <w:sz w:val="24"/>
          <w:szCs w:val="24"/>
        </w:rPr>
        <w:t>iznākuma</w:t>
      </w:r>
      <w:r w:rsidR="006E67FD" w:rsidRPr="006E67FD">
        <w:rPr>
          <w:rStyle w:val="FootnoteReference"/>
          <w:rFonts w:ascii="Times New Roman" w:hAnsi="Times New Roman" w:cs="Times New Roman"/>
          <w:color w:val="000000"/>
          <w:sz w:val="24"/>
          <w:szCs w:val="24"/>
        </w:rPr>
        <w:footnoteReference w:id="21"/>
      </w:r>
      <w:r w:rsidRPr="006E67FD">
        <w:rPr>
          <w:rFonts w:ascii="Times New Roman" w:hAnsi="Times New Roman" w:cs="Times New Roman"/>
          <w:color w:val="000000"/>
          <w:sz w:val="24"/>
          <w:szCs w:val="24"/>
        </w:rPr>
        <w:t>.</w:t>
      </w:r>
      <w:r w:rsidRPr="00FB6020">
        <w:rPr>
          <w:rFonts w:ascii="Times New Roman" w:hAnsi="Times New Roman"/>
          <w:color w:val="000000"/>
          <w:sz w:val="24"/>
          <w:szCs w:val="24"/>
        </w:rPr>
        <w:t xml:space="preserve">  Tādēļ 2016. gada maijā Pasaules Veselības Asamblejā 194 valstis, tai skaitā Latvija, pieņēma Vispasaules veselības sektora stratēģiju par VHC izplatības ierobežošanu, </w:t>
      </w:r>
      <w:r w:rsidRPr="00A44C79">
        <w:rPr>
          <w:rFonts w:ascii="Times New Roman" w:hAnsi="Times New Roman"/>
          <w:b/>
          <w:color w:val="000000"/>
          <w:sz w:val="24"/>
          <w:szCs w:val="24"/>
        </w:rPr>
        <w:t>kurā ir ietverta apņemšanās līdz 2030. gadam likvidēt VHC  kā sabiedrības veselības problēmu</w:t>
      </w:r>
      <w:r w:rsidRPr="00FB6020">
        <w:rPr>
          <w:rFonts w:ascii="Times New Roman" w:hAnsi="Times New Roman"/>
          <w:color w:val="000000"/>
          <w:sz w:val="24"/>
          <w:szCs w:val="24"/>
        </w:rPr>
        <w:t xml:space="preserve"> un panākt, ka 80% no inficētajām personām saņem ārstēšanu.</w:t>
      </w:r>
    </w:p>
    <w:p w14:paraId="5EF99D03" w14:textId="77777777" w:rsidR="005F4C67" w:rsidRPr="00FB6020" w:rsidRDefault="005F4C67" w:rsidP="001210E9">
      <w:pPr>
        <w:widowControl w:val="0"/>
        <w:spacing w:after="0" w:line="240" w:lineRule="auto"/>
        <w:ind w:firstLine="709"/>
        <w:jc w:val="both"/>
        <w:rPr>
          <w:rFonts w:ascii="Times New Roman" w:hAnsi="Times New Roman"/>
          <w:color w:val="000000"/>
          <w:sz w:val="24"/>
          <w:szCs w:val="24"/>
        </w:rPr>
      </w:pPr>
      <w:r w:rsidRPr="00FB6020">
        <w:rPr>
          <w:rFonts w:ascii="Times New Roman" w:hAnsi="Times New Roman"/>
          <w:color w:val="000000"/>
          <w:sz w:val="24"/>
          <w:szCs w:val="24"/>
        </w:rPr>
        <w:t>Latvijas eksperti sadarbībā ar Slimību analīzes centra (</w:t>
      </w:r>
      <w:r w:rsidRPr="00DE34F6">
        <w:rPr>
          <w:rFonts w:ascii="Times New Roman" w:hAnsi="Times New Roman"/>
          <w:i/>
          <w:color w:val="000000"/>
          <w:sz w:val="24"/>
          <w:szCs w:val="24"/>
        </w:rPr>
        <w:t>Center of Disease Analysis</w:t>
      </w:r>
      <w:r w:rsidRPr="00FB6020">
        <w:rPr>
          <w:rFonts w:ascii="Times New Roman" w:hAnsi="Times New Roman"/>
          <w:color w:val="000000"/>
          <w:sz w:val="24"/>
          <w:szCs w:val="24"/>
        </w:rPr>
        <w:t xml:space="preserve"> – </w:t>
      </w:r>
      <w:r w:rsidRPr="00FB6020">
        <w:rPr>
          <w:rFonts w:ascii="Times New Roman" w:hAnsi="Times New Roman"/>
          <w:color w:val="000000"/>
          <w:sz w:val="24"/>
          <w:szCs w:val="24"/>
        </w:rPr>
        <w:lastRenderedPageBreak/>
        <w:t>turpmāk CDA)</w:t>
      </w:r>
      <w:r w:rsidRPr="00FB6020">
        <w:rPr>
          <w:rStyle w:val="FootnoteReference"/>
          <w:rFonts w:ascii="Times New Roman" w:hAnsi="Times New Roman"/>
          <w:color w:val="000000"/>
          <w:sz w:val="24"/>
          <w:szCs w:val="24"/>
        </w:rPr>
        <w:footnoteReference w:id="22"/>
      </w:r>
      <w:r w:rsidRPr="00FB6020">
        <w:rPr>
          <w:rFonts w:ascii="Times New Roman" w:hAnsi="Times New Roman"/>
          <w:color w:val="000000"/>
          <w:sz w:val="24"/>
          <w:szCs w:val="24"/>
        </w:rPr>
        <w:t xml:space="preserve"> pārstāvjiem  veica aprēķinus, kas norāda</w:t>
      </w:r>
      <w:r>
        <w:rPr>
          <w:rFonts w:ascii="Times New Roman" w:hAnsi="Times New Roman"/>
          <w:color w:val="000000"/>
          <w:sz w:val="24"/>
          <w:szCs w:val="24"/>
        </w:rPr>
        <w:t xml:space="preserve"> –  </w:t>
      </w:r>
      <w:r w:rsidRPr="00FB6020">
        <w:rPr>
          <w:rFonts w:ascii="Times New Roman" w:hAnsi="Times New Roman"/>
          <w:color w:val="000000"/>
          <w:sz w:val="24"/>
          <w:szCs w:val="24"/>
        </w:rPr>
        <w:t xml:space="preserve">ja  Latvijā netiks nodrošināta pietiekami efektīva VHC ārstēšana, pastāv risks, ka 2030. gadā ar VHC Latvijā būs inficēti gandrīz 50 tūkstoši pacientu, no kuriem aptuveni 10%  VHC pacientu (5000 VHC pacientu) būs aknu cirozes, aknu cirozes dekompensētā stadijā, aknu vēži vai nepieciešamība veikt aknu transplantācijas. Pacienti ar aknu cirozi, dekompensētu aknu cirozi un aknu vēzi ir invalīdi, kuri nav darbspējīgi un viņu ārstēšanai tiek tērēti ievērojami valsts budžeta finanšu līdzekļi.  </w:t>
      </w:r>
    </w:p>
    <w:p w14:paraId="290960A5" w14:textId="77777777" w:rsidR="005F4C67" w:rsidRDefault="005F4C67" w:rsidP="001210E9">
      <w:pPr>
        <w:widowControl w:val="0"/>
        <w:spacing w:after="0" w:line="240" w:lineRule="auto"/>
        <w:ind w:firstLine="709"/>
        <w:jc w:val="both"/>
        <w:rPr>
          <w:rFonts w:ascii="Times New Roman" w:hAnsi="Times New Roman"/>
          <w:color w:val="000000"/>
          <w:sz w:val="24"/>
          <w:szCs w:val="24"/>
        </w:rPr>
      </w:pPr>
      <w:r w:rsidRPr="00FB6020">
        <w:rPr>
          <w:rFonts w:ascii="Times New Roman" w:hAnsi="Times New Roman"/>
          <w:color w:val="000000"/>
          <w:sz w:val="24"/>
          <w:szCs w:val="24"/>
        </w:rPr>
        <w:t>Kā liecina Slimību profilakses un kontroles centra dati, lielākā daļa ar VHC inficēto personu ir vecumā no 18-60 gadiem.</w:t>
      </w:r>
    </w:p>
    <w:p w14:paraId="4E480B1D" w14:textId="4A4C89BC" w:rsidR="006E67FD" w:rsidRDefault="005F4C67" w:rsidP="00712C58">
      <w:pPr>
        <w:widowControl w:val="0"/>
        <w:spacing w:after="0" w:line="240" w:lineRule="auto"/>
        <w:ind w:firstLine="709"/>
        <w:jc w:val="both"/>
        <w:rPr>
          <w:rFonts w:ascii="Times New Roman" w:hAnsi="Times New Roman" w:cs="Times New Roman"/>
          <w:b/>
          <w:sz w:val="24"/>
          <w:szCs w:val="24"/>
        </w:rPr>
      </w:pPr>
      <w:r w:rsidRPr="00942754">
        <w:rPr>
          <w:rFonts w:ascii="Times New Roman" w:hAnsi="Times New Roman" w:cs="Times New Roman"/>
          <w:sz w:val="24"/>
          <w:szCs w:val="24"/>
        </w:rPr>
        <w:t xml:space="preserve">Atsaucoties uz klīnisko pētījumu rezultātiem, kas pierāda, ka VHC F3/F4 stadijā pielietojot interferonu saturošās ārstēšanas shēmas, tiek nodrošināta izārstēšana tikai 70% gadījumos un mazāk, bet izvēloties šo pacientu terapijā izmantot </w:t>
      </w:r>
      <w:r w:rsidRPr="00A44C79">
        <w:rPr>
          <w:rFonts w:ascii="Times New Roman" w:hAnsi="Times New Roman" w:cs="Times New Roman"/>
          <w:b/>
          <w:sz w:val="24"/>
          <w:szCs w:val="24"/>
        </w:rPr>
        <w:t>tiešās iedarbības interferonu nesaturošos līdzekļus, tiek nodrošināta izārstēšana no VHC 95% gadījumos un vairāk</w:t>
      </w:r>
      <w:r w:rsidRPr="00942754">
        <w:rPr>
          <w:rFonts w:ascii="Times New Roman" w:hAnsi="Times New Roman" w:cs="Times New Roman"/>
          <w:sz w:val="24"/>
          <w:szCs w:val="24"/>
        </w:rPr>
        <w:t xml:space="preserve">,  kā arī ņemot vērā to, ka interferonu saturošās terapijas ilgums ir garāks (24 nedēļas un ilgāk) nekā ārstēšanas kurss ar tiešās iedarbības pretvīrusa līdzekļiem (8-12 nedēļas), kā arī, izvērtējot abu ārstēšanas shēmu ietekmi uz komplikāciju veidošanos un risku nepabeigt ārstēšanas kursu zāļu radīto blakņu dēļ, </w:t>
      </w:r>
      <w:r>
        <w:rPr>
          <w:rFonts w:ascii="Times New Roman" w:hAnsi="Times New Roman" w:cs="Times New Roman"/>
          <w:sz w:val="24"/>
          <w:szCs w:val="24"/>
        </w:rPr>
        <w:t>3.pasākumā</w:t>
      </w:r>
      <w:r w:rsidRPr="00942754">
        <w:rPr>
          <w:rFonts w:ascii="Times New Roman" w:hAnsi="Times New Roman" w:cs="Times New Roman"/>
          <w:sz w:val="24"/>
          <w:szCs w:val="24"/>
        </w:rPr>
        <w:t xml:space="preserve"> VHC ārstēšanai pamatā </w:t>
      </w:r>
      <w:r>
        <w:rPr>
          <w:rFonts w:ascii="Times New Roman" w:hAnsi="Times New Roman" w:cs="Times New Roman"/>
          <w:sz w:val="24"/>
          <w:szCs w:val="24"/>
        </w:rPr>
        <w:t xml:space="preserve">tiek plānots </w:t>
      </w:r>
      <w:r w:rsidRPr="00942754">
        <w:rPr>
          <w:rFonts w:ascii="Times New Roman" w:hAnsi="Times New Roman" w:cs="Times New Roman"/>
          <w:sz w:val="24"/>
          <w:szCs w:val="24"/>
        </w:rPr>
        <w:t xml:space="preserve">izmantot zāļu shēmas, kas satur tiešās darbības interferonu nesaturošus preparātus. </w:t>
      </w:r>
    </w:p>
    <w:p w14:paraId="7CFEA9F5" w14:textId="67797675" w:rsidR="005F4C67" w:rsidRPr="003B6DC4" w:rsidRDefault="00A507C8" w:rsidP="00712C58">
      <w:pPr>
        <w:spacing w:before="120" w:after="60" w:line="240" w:lineRule="auto"/>
        <w:jc w:val="right"/>
        <w:rPr>
          <w:rFonts w:ascii="Times New Roman" w:hAnsi="Times New Roman" w:cs="Times New Roman"/>
          <w:b/>
          <w:sz w:val="24"/>
          <w:szCs w:val="24"/>
        </w:rPr>
      </w:pPr>
      <w:r>
        <w:rPr>
          <w:rFonts w:ascii="Times New Roman" w:hAnsi="Times New Roman" w:cs="Times New Roman"/>
          <w:b/>
          <w:sz w:val="24"/>
          <w:szCs w:val="24"/>
        </w:rPr>
        <w:t>3.2</w:t>
      </w:r>
      <w:r w:rsidR="00FC7A05">
        <w:rPr>
          <w:rFonts w:ascii="Times New Roman" w:hAnsi="Times New Roman" w:cs="Times New Roman"/>
          <w:b/>
          <w:sz w:val="24"/>
          <w:szCs w:val="24"/>
        </w:rPr>
        <w:t>3</w:t>
      </w:r>
      <w:r>
        <w:rPr>
          <w:rFonts w:ascii="Times New Roman" w:hAnsi="Times New Roman" w:cs="Times New Roman"/>
          <w:b/>
          <w:sz w:val="24"/>
          <w:szCs w:val="24"/>
        </w:rPr>
        <w:t>.</w:t>
      </w:r>
      <w:r w:rsidR="005F4C67">
        <w:rPr>
          <w:rFonts w:ascii="Times New Roman" w:hAnsi="Times New Roman" w:cs="Times New Roman"/>
          <w:b/>
          <w:sz w:val="24"/>
          <w:szCs w:val="24"/>
        </w:rPr>
        <w:t xml:space="preserve">tabula. </w:t>
      </w:r>
      <w:r w:rsidR="005F4C67" w:rsidRPr="003B6DC4">
        <w:rPr>
          <w:rFonts w:ascii="Times New Roman" w:hAnsi="Times New Roman" w:cs="Times New Roman"/>
          <w:b/>
          <w:sz w:val="24"/>
          <w:szCs w:val="24"/>
        </w:rPr>
        <w:t xml:space="preserve">Plānotais </w:t>
      </w:r>
      <w:r w:rsidR="005F4C67">
        <w:rPr>
          <w:rFonts w:ascii="Times New Roman" w:hAnsi="Times New Roman" w:cs="Times New Roman"/>
          <w:b/>
          <w:sz w:val="24"/>
          <w:szCs w:val="24"/>
        </w:rPr>
        <w:t>valsts kompensējamo medikamentu izlietojums VHC</w:t>
      </w:r>
      <w:r w:rsidR="005F4C67" w:rsidRPr="003B6DC4">
        <w:rPr>
          <w:rFonts w:ascii="Times New Roman" w:hAnsi="Times New Roman" w:cs="Times New Roman"/>
          <w:b/>
          <w:sz w:val="24"/>
          <w:szCs w:val="24"/>
        </w:rPr>
        <w:t xml:space="preserve"> </w:t>
      </w:r>
      <w:r w:rsidR="005F4C67">
        <w:rPr>
          <w:rFonts w:ascii="Times New Roman" w:hAnsi="Times New Roman" w:cs="Times New Roman"/>
          <w:b/>
          <w:sz w:val="24"/>
          <w:szCs w:val="24"/>
        </w:rPr>
        <w:t>ārstēšanai</w:t>
      </w:r>
      <w:r w:rsidR="005F4C67" w:rsidRPr="003B6DC4">
        <w:rPr>
          <w:rFonts w:ascii="Times New Roman" w:hAnsi="Times New Roman" w:cs="Times New Roman"/>
          <w:b/>
          <w:sz w:val="24"/>
          <w:szCs w:val="24"/>
        </w:rPr>
        <w:t xml:space="preserve"> </w:t>
      </w:r>
      <w:r w:rsidR="005F4C67">
        <w:rPr>
          <w:rFonts w:ascii="Times New Roman" w:hAnsi="Times New Roman" w:cs="Times New Roman"/>
          <w:b/>
          <w:sz w:val="24"/>
          <w:szCs w:val="24"/>
        </w:rPr>
        <w:t>3.pasākuma ietvaros</w:t>
      </w:r>
    </w:p>
    <w:tbl>
      <w:tblPr>
        <w:tblStyle w:val="GridTable6Colorful-Accent1"/>
        <w:tblW w:w="9183" w:type="dxa"/>
        <w:jc w:val="center"/>
        <w:tblLayout w:type="fixed"/>
        <w:tblLook w:val="04A0" w:firstRow="1" w:lastRow="0" w:firstColumn="1" w:lastColumn="0" w:noHBand="0" w:noVBand="1"/>
      </w:tblPr>
      <w:tblGrid>
        <w:gridCol w:w="1555"/>
        <w:gridCol w:w="850"/>
        <w:gridCol w:w="1230"/>
        <w:gridCol w:w="1207"/>
        <w:gridCol w:w="1094"/>
        <w:gridCol w:w="1082"/>
        <w:gridCol w:w="1083"/>
        <w:gridCol w:w="1082"/>
      </w:tblGrid>
      <w:tr w:rsidR="005F4C67" w:rsidRPr="004A68D5" w14:paraId="77C6AE24" w14:textId="77777777" w:rsidTr="00F3248F">
        <w:trPr>
          <w:cnfStyle w:val="100000000000" w:firstRow="1" w:lastRow="0" w:firstColumn="0" w:lastColumn="0" w:oddVBand="0" w:evenVBand="0" w:oddHBand="0" w:evenHBand="0" w:firstRowFirstColumn="0" w:firstRowLastColumn="0" w:lastRowFirstColumn="0" w:lastRowLastColumn="0"/>
          <w:trHeight w:val="1368"/>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50CB2293" w14:textId="77777777" w:rsidR="005F4C67" w:rsidRPr="006E67FD" w:rsidRDefault="005F4C67" w:rsidP="005F4C67">
            <w:pPr>
              <w:rPr>
                <w:rFonts w:ascii="Times New Roman" w:eastAsia="Times New Roman" w:hAnsi="Times New Roman" w:cs="Times New Roman"/>
                <w:b w:val="0"/>
                <w:bCs w:val="0"/>
                <w:color w:val="auto"/>
                <w:sz w:val="20"/>
                <w:szCs w:val="20"/>
                <w:lang w:eastAsia="lv-LV"/>
              </w:rPr>
            </w:pPr>
          </w:p>
        </w:tc>
        <w:tc>
          <w:tcPr>
            <w:tcW w:w="850" w:type="dxa"/>
            <w:textDirection w:val="btLr"/>
            <w:vAlign w:val="center"/>
            <w:hideMark/>
          </w:tcPr>
          <w:p w14:paraId="1BFA43F0" w14:textId="77777777" w:rsidR="005F4C67" w:rsidRPr="006E67FD" w:rsidRDefault="005F4C67"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sidRPr="006E67FD">
              <w:rPr>
                <w:rFonts w:ascii="Times New Roman" w:eastAsia="Times New Roman" w:hAnsi="Times New Roman" w:cs="Times New Roman"/>
                <w:b w:val="0"/>
                <w:bCs w:val="0"/>
                <w:color w:val="auto"/>
                <w:sz w:val="20"/>
                <w:szCs w:val="20"/>
                <w:lang w:eastAsia="lv-LV"/>
              </w:rPr>
              <w:t>Vienas ārstēšanas vidējās</w:t>
            </w:r>
          </w:p>
          <w:p w14:paraId="6B0CFC31" w14:textId="77777777" w:rsidR="005F4C67" w:rsidRPr="006E67FD" w:rsidRDefault="005F4C67"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sidRPr="006E67FD">
              <w:rPr>
                <w:rFonts w:ascii="Times New Roman" w:eastAsia="Times New Roman" w:hAnsi="Times New Roman" w:cs="Times New Roman"/>
                <w:b w:val="0"/>
                <w:bCs w:val="0"/>
                <w:color w:val="auto"/>
                <w:sz w:val="20"/>
                <w:szCs w:val="20"/>
                <w:lang w:eastAsia="lv-LV"/>
              </w:rPr>
              <w:t>izmaksas</w:t>
            </w:r>
          </w:p>
          <w:p w14:paraId="6C33D1DE" w14:textId="77777777" w:rsidR="005F4C67" w:rsidRPr="006E67FD" w:rsidRDefault="005F4C67"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p>
        </w:tc>
        <w:tc>
          <w:tcPr>
            <w:tcW w:w="2437" w:type="dxa"/>
            <w:gridSpan w:val="2"/>
            <w:textDirection w:val="btLr"/>
            <w:vAlign w:val="center"/>
            <w:hideMark/>
          </w:tcPr>
          <w:p w14:paraId="1B072B69" w14:textId="2976AB60" w:rsidR="005F4C67" w:rsidRPr="006E67FD" w:rsidRDefault="005F4C67"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sidRPr="006E67FD">
              <w:rPr>
                <w:rFonts w:ascii="Times New Roman" w:eastAsia="Times New Roman" w:hAnsi="Times New Roman" w:cs="Times New Roman"/>
                <w:b w:val="0"/>
                <w:bCs w:val="0"/>
                <w:color w:val="auto"/>
                <w:sz w:val="20"/>
                <w:szCs w:val="20"/>
                <w:lang w:eastAsia="lv-LV"/>
              </w:rPr>
              <w:t>Plānotais finansējums</w:t>
            </w:r>
          </w:p>
        </w:tc>
        <w:tc>
          <w:tcPr>
            <w:tcW w:w="1094" w:type="dxa"/>
            <w:textDirection w:val="btLr"/>
            <w:vAlign w:val="center"/>
            <w:hideMark/>
          </w:tcPr>
          <w:p w14:paraId="7D191510" w14:textId="48995472" w:rsidR="005F4C67" w:rsidRPr="006E67FD" w:rsidRDefault="005F4C67"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sidRPr="006E67FD">
              <w:rPr>
                <w:rFonts w:ascii="Times New Roman" w:eastAsia="Times New Roman" w:hAnsi="Times New Roman" w:cs="Times New Roman"/>
                <w:b w:val="0"/>
                <w:bCs w:val="0"/>
                <w:color w:val="auto"/>
                <w:sz w:val="20"/>
                <w:szCs w:val="20"/>
                <w:lang w:eastAsia="lv-LV"/>
              </w:rPr>
              <w:t>Papildus finansējums</w:t>
            </w:r>
          </w:p>
        </w:tc>
        <w:tc>
          <w:tcPr>
            <w:tcW w:w="2165" w:type="dxa"/>
            <w:gridSpan w:val="2"/>
            <w:textDirection w:val="btLr"/>
            <w:vAlign w:val="center"/>
          </w:tcPr>
          <w:p w14:paraId="4649F050" w14:textId="3D4979B3" w:rsidR="005F4C67" w:rsidRPr="006E67FD" w:rsidRDefault="005F4C67"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sidRPr="006E67FD">
              <w:rPr>
                <w:rFonts w:ascii="Times New Roman" w:eastAsia="Times New Roman" w:hAnsi="Times New Roman" w:cs="Times New Roman"/>
                <w:b w:val="0"/>
                <w:bCs w:val="0"/>
                <w:color w:val="auto"/>
                <w:sz w:val="20"/>
                <w:szCs w:val="20"/>
                <w:lang w:eastAsia="lv-LV"/>
              </w:rPr>
              <w:t>Plānotais pakalpojumu skaits</w:t>
            </w:r>
          </w:p>
        </w:tc>
        <w:tc>
          <w:tcPr>
            <w:tcW w:w="1082" w:type="dxa"/>
            <w:textDirection w:val="btLr"/>
            <w:vAlign w:val="center"/>
            <w:hideMark/>
          </w:tcPr>
          <w:p w14:paraId="1D94FD50" w14:textId="77777777" w:rsidR="005F4C67" w:rsidRPr="006E67FD" w:rsidRDefault="005F4C67" w:rsidP="00F3248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sidRPr="006E67FD">
              <w:rPr>
                <w:rFonts w:ascii="Times New Roman" w:eastAsia="Times New Roman" w:hAnsi="Times New Roman" w:cs="Times New Roman"/>
                <w:b w:val="0"/>
                <w:bCs w:val="0"/>
                <w:color w:val="auto"/>
                <w:sz w:val="20"/>
                <w:szCs w:val="20"/>
                <w:lang w:eastAsia="lv-LV"/>
              </w:rPr>
              <w:t>Plānotais pakalpojumu skaits pēc finansējuma piešķīruma</w:t>
            </w:r>
          </w:p>
        </w:tc>
      </w:tr>
      <w:tr w:rsidR="005F4C67" w:rsidRPr="004A68D5" w14:paraId="3F181953" w14:textId="77777777" w:rsidTr="00F3248F">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555" w:type="dxa"/>
          </w:tcPr>
          <w:p w14:paraId="1C13913E" w14:textId="77777777" w:rsidR="005F4C67" w:rsidRPr="006E67FD" w:rsidRDefault="005F4C67" w:rsidP="005F4C67">
            <w:pPr>
              <w:jc w:val="center"/>
              <w:rPr>
                <w:rFonts w:ascii="Times New Roman" w:eastAsia="Times New Roman" w:hAnsi="Times New Roman" w:cs="Times New Roman"/>
                <w:b w:val="0"/>
                <w:bCs w:val="0"/>
                <w:color w:val="auto"/>
                <w:sz w:val="20"/>
                <w:szCs w:val="20"/>
                <w:lang w:eastAsia="lv-LV"/>
              </w:rPr>
            </w:pPr>
          </w:p>
        </w:tc>
        <w:tc>
          <w:tcPr>
            <w:tcW w:w="850" w:type="dxa"/>
            <w:vAlign w:val="center"/>
          </w:tcPr>
          <w:p w14:paraId="64BD12ED"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6E67FD">
              <w:rPr>
                <w:rFonts w:ascii="Times New Roman" w:eastAsia="Times New Roman" w:hAnsi="Times New Roman" w:cs="Times New Roman"/>
                <w:i/>
                <w:iCs/>
                <w:color w:val="auto"/>
                <w:sz w:val="20"/>
                <w:szCs w:val="20"/>
                <w:lang w:eastAsia="lv-LV"/>
              </w:rPr>
              <w:t>(euro)</w:t>
            </w:r>
          </w:p>
        </w:tc>
        <w:tc>
          <w:tcPr>
            <w:tcW w:w="1230" w:type="dxa"/>
            <w:vAlign w:val="center"/>
          </w:tcPr>
          <w:p w14:paraId="448BF2BA"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6E67FD">
              <w:rPr>
                <w:rFonts w:ascii="Times New Roman" w:eastAsia="Times New Roman" w:hAnsi="Times New Roman" w:cs="Times New Roman"/>
                <w:b/>
                <w:bCs/>
                <w:color w:val="auto"/>
                <w:sz w:val="20"/>
                <w:szCs w:val="20"/>
                <w:lang w:eastAsia="lv-LV"/>
              </w:rPr>
              <w:t>2016</w:t>
            </w:r>
          </w:p>
          <w:p w14:paraId="47EBA13C"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E67FD">
              <w:rPr>
                <w:rFonts w:ascii="Times New Roman" w:eastAsia="Times New Roman" w:hAnsi="Times New Roman" w:cs="Times New Roman"/>
                <w:bCs/>
                <w:i/>
                <w:iCs/>
                <w:color w:val="auto"/>
                <w:sz w:val="20"/>
                <w:szCs w:val="20"/>
                <w:lang w:eastAsia="lv-LV"/>
              </w:rPr>
              <w:t>(euro)</w:t>
            </w:r>
          </w:p>
        </w:tc>
        <w:tc>
          <w:tcPr>
            <w:tcW w:w="1207" w:type="dxa"/>
            <w:vAlign w:val="center"/>
          </w:tcPr>
          <w:p w14:paraId="35956891"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6E67FD">
              <w:rPr>
                <w:rFonts w:ascii="Times New Roman" w:eastAsia="Times New Roman" w:hAnsi="Times New Roman" w:cs="Times New Roman"/>
                <w:b/>
                <w:bCs/>
                <w:color w:val="auto"/>
                <w:sz w:val="20"/>
                <w:szCs w:val="20"/>
                <w:lang w:eastAsia="lv-LV"/>
              </w:rPr>
              <w:t>2017</w:t>
            </w:r>
          </w:p>
          <w:p w14:paraId="3FD9607D"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E67FD">
              <w:rPr>
                <w:rFonts w:ascii="Times New Roman" w:eastAsia="Times New Roman" w:hAnsi="Times New Roman" w:cs="Times New Roman"/>
                <w:bCs/>
                <w:i/>
                <w:iCs/>
                <w:color w:val="auto"/>
                <w:sz w:val="20"/>
                <w:szCs w:val="20"/>
                <w:lang w:eastAsia="lv-LV"/>
              </w:rPr>
              <w:t>(euro)</w:t>
            </w:r>
          </w:p>
        </w:tc>
        <w:tc>
          <w:tcPr>
            <w:tcW w:w="1094" w:type="dxa"/>
            <w:vAlign w:val="center"/>
          </w:tcPr>
          <w:p w14:paraId="5FDB90B8"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auto"/>
                <w:sz w:val="20"/>
                <w:szCs w:val="20"/>
                <w:lang w:eastAsia="lv-LV"/>
              </w:rPr>
            </w:pPr>
            <w:r w:rsidRPr="006E67FD">
              <w:rPr>
                <w:rFonts w:ascii="Times New Roman" w:eastAsia="Times New Roman" w:hAnsi="Times New Roman" w:cs="Times New Roman"/>
                <w:bCs/>
                <w:i/>
                <w:iCs/>
                <w:color w:val="auto"/>
                <w:sz w:val="20"/>
                <w:szCs w:val="20"/>
                <w:lang w:eastAsia="lv-LV"/>
              </w:rPr>
              <w:t>(euro)</w:t>
            </w:r>
          </w:p>
        </w:tc>
        <w:tc>
          <w:tcPr>
            <w:tcW w:w="1082" w:type="dxa"/>
            <w:vAlign w:val="center"/>
          </w:tcPr>
          <w:p w14:paraId="054BC4EE"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6E67FD">
              <w:rPr>
                <w:rFonts w:ascii="Times New Roman" w:eastAsia="Times New Roman" w:hAnsi="Times New Roman" w:cs="Times New Roman"/>
                <w:b/>
                <w:bCs/>
                <w:color w:val="auto"/>
                <w:sz w:val="20"/>
                <w:szCs w:val="20"/>
                <w:lang w:eastAsia="lv-LV"/>
              </w:rPr>
              <w:t>2016</w:t>
            </w:r>
          </w:p>
        </w:tc>
        <w:tc>
          <w:tcPr>
            <w:tcW w:w="1083" w:type="dxa"/>
            <w:vAlign w:val="center"/>
          </w:tcPr>
          <w:p w14:paraId="46CE8905"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6E67FD">
              <w:rPr>
                <w:rFonts w:ascii="Times New Roman" w:eastAsia="Times New Roman" w:hAnsi="Times New Roman" w:cs="Times New Roman"/>
                <w:b/>
                <w:bCs/>
                <w:color w:val="auto"/>
                <w:sz w:val="20"/>
                <w:szCs w:val="20"/>
                <w:lang w:eastAsia="lv-LV"/>
              </w:rPr>
              <w:t>2017</w:t>
            </w:r>
          </w:p>
        </w:tc>
        <w:tc>
          <w:tcPr>
            <w:tcW w:w="1082" w:type="dxa"/>
            <w:vAlign w:val="center"/>
          </w:tcPr>
          <w:p w14:paraId="7C6B653F" w14:textId="77777777" w:rsidR="005F4C67" w:rsidRPr="006E67FD" w:rsidRDefault="005F4C67"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6E67FD">
              <w:rPr>
                <w:rFonts w:ascii="Times New Roman" w:eastAsia="Times New Roman" w:hAnsi="Times New Roman" w:cs="Times New Roman"/>
                <w:b/>
                <w:bCs/>
                <w:color w:val="auto"/>
                <w:sz w:val="20"/>
                <w:szCs w:val="20"/>
                <w:lang w:eastAsia="lv-LV"/>
              </w:rPr>
              <w:t>2017</w:t>
            </w:r>
          </w:p>
        </w:tc>
      </w:tr>
      <w:tr w:rsidR="005F4C67" w:rsidRPr="004A68D5" w14:paraId="2233CDAA" w14:textId="77777777" w:rsidTr="00F3248F">
        <w:trPr>
          <w:trHeight w:val="525"/>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1A904D50" w14:textId="77777777" w:rsidR="005F4C67" w:rsidRPr="006E67FD" w:rsidRDefault="005F4C67" w:rsidP="005F4C67">
            <w:pPr>
              <w:rPr>
                <w:rFonts w:ascii="Times New Roman" w:eastAsia="Times New Roman" w:hAnsi="Times New Roman" w:cs="Times New Roman"/>
                <w:b w:val="0"/>
                <w:color w:val="auto"/>
                <w:sz w:val="20"/>
                <w:szCs w:val="20"/>
                <w:lang w:eastAsia="lv-LV"/>
              </w:rPr>
            </w:pPr>
            <w:r w:rsidRPr="006E67FD">
              <w:rPr>
                <w:rFonts w:ascii="Times New Roman" w:eastAsia="Times New Roman" w:hAnsi="Times New Roman" w:cs="Times New Roman"/>
                <w:b w:val="0"/>
                <w:color w:val="auto"/>
                <w:sz w:val="20"/>
                <w:szCs w:val="20"/>
                <w:lang w:eastAsia="lv-LV"/>
              </w:rPr>
              <w:t>Kompensējamie medikamenti C hepatīta ārstēšanai</w:t>
            </w:r>
          </w:p>
        </w:tc>
        <w:tc>
          <w:tcPr>
            <w:tcW w:w="850" w:type="dxa"/>
            <w:noWrap/>
            <w:vAlign w:val="center"/>
          </w:tcPr>
          <w:p w14:paraId="2CF2A678" w14:textId="77777777" w:rsidR="005F4C67" w:rsidRPr="006E67FD"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E67FD">
              <w:rPr>
                <w:rFonts w:ascii="Times New Roman" w:eastAsia="Times New Roman" w:hAnsi="Times New Roman" w:cs="Times New Roman"/>
                <w:color w:val="auto"/>
                <w:sz w:val="20"/>
                <w:szCs w:val="20"/>
                <w:lang w:eastAsia="lv-LV"/>
              </w:rPr>
              <w:t>26 842</w:t>
            </w:r>
          </w:p>
        </w:tc>
        <w:tc>
          <w:tcPr>
            <w:tcW w:w="1230" w:type="dxa"/>
            <w:noWrap/>
            <w:vAlign w:val="center"/>
          </w:tcPr>
          <w:p w14:paraId="73E90A1B" w14:textId="77777777" w:rsidR="005F4C67" w:rsidRPr="006E67FD"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E67FD">
              <w:rPr>
                <w:rFonts w:ascii="Times New Roman" w:eastAsia="Times New Roman" w:hAnsi="Times New Roman" w:cs="Times New Roman"/>
                <w:color w:val="auto"/>
                <w:sz w:val="20"/>
                <w:szCs w:val="20"/>
                <w:lang w:eastAsia="lv-LV"/>
              </w:rPr>
              <w:t>6 600 000</w:t>
            </w:r>
          </w:p>
        </w:tc>
        <w:tc>
          <w:tcPr>
            <w:tcW w:w="1207" w:type="dxa"/>
            <w:noWrap/>
            <w:vAlign w:val="center"/>
          </w:tcPr>
          <w:p w14:paraId="4E3596B5" w14:textId="77777777" w:rsidR="005F4C67" w:rsidRPr="006E67FD"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E67FD">
              <w:rPr>
                <w:rFonts w:ascii="Times New Roman" w:eastAsia="Times New Roman" w:hAnsi="Times New Roman" w:cs="Times New Roman"/>
                <w:color w:val="auto"/>
                <w:sz w:val="20"/>
                <w:szCs w:val="20"/>
                <w:lang w:eastAsia="lv-LV"/>
              </w:rPr>
              <w:t>5 100 000*</w:t>
            </w:r>
          </w:p>
        </w:tc>
        <w:tc>
          <w:tcPr>
            <w:tcW w:w="1094" w:type="dxa"/>
            <w:noWrap/>
            <w:vAlign w:val="center"/>
          </w:tcPr>
          <w:p w14:paraId="78E382FB" w14:textId="77777777" w:rsidR="005F4C67" w:rsidRPr="006E67FD"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E67FD">
              <w:rPr>
                <w:rFonts w:ascii="Times New Roman" w:eastAsia="Times New Roman" w:hAnsi="Times New Roman" w:cs="Times New Roman"/>
                <w:color w:val="auto"/>
                <w:sz w:val="20"/>
                <w:szCs w:val="20"/>
                <w:lang w:eastAsia="lv-LV"/>
              </w:rPr>
              <w:t>5 462 883</w:t>
            </w:r>
          </w:p>
        </w:tc>
        <w:tc>
          <w:tcPr>
            <w:tcW w:w="1082" w:type="dxa"/>
            <w:vAlign w:val="center"/>
          </w:tcPr>
          <w:p w14:paraId="4B24C03C" w14:textId="77777777" w:rsidR="005F4C67" w:rsidRPr="00CB58D4"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228</w:t>
            </w:r>
          </w:p>
        </w:tc>
        <w:tc>
          <w:tcPr>
            <w:tcW w:w="1083" w:type="dxa"/>
            <w:vAlign w:val="center"/>
          </w:tcPr>
          <w:p w14:paraId="5BEF8ABF" w14:textId="77777777" w:rsidR="005F4C67" w:rsidRPr="00CB58D4"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190</w:t>
            </w:r>
          </w:p>
        </w:tc>
        <w:tc>
          <w:tcPr>
            <w:tcW w:w="1082" w:type="dxa"/>
            <w:noWrap/>
            <w:vAlign w:val="center"/>
          </w:tcPr>
          <w:p w14:paraId="0FAAB022" w14:textId="77777777" w:rsidR="005F4C67" w:rsidRPr="00CB58D4" w:rsidRDefault="005F4C67"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CB58D4">
              <w:rPr>
                <w:rFonts w:ascii="Times New Roman" w:eastAsia="Times New Roman" w:hAnsi="Times New Roman" w:cs="Times New Roman"/>
                <w:b/>
                <w:color w:val="auto"/>
                <w:sz w:val="20"/>
                <w:szCs w:val="20"/>
                <w:lang w:eastAsia="lv-LV"/>
              </w:rPr>
              <w:t>393</w:t>
            </w:r>
          </w:p>
        </w:tc>
      </w:tr>
    </w:tbl>
    <w:p w14:paraId="3865A6E9" w14:textId="167434F3" w:rsidR="005F4C67" w:rsidRPr="006213DE" w:rsidRDefault="005F4C67" w:rsidP="006E67FD">
      <w:pPr>
        <w:jc w:val="both"/>
        <w:rPr>
          <w:rFonts w:ascii="Times New Roman" w:hAnsi="Times New Roman"/>
          <w:i/>
          <w:color w:val="000000"/>
          <w:sz w:val="20"/>
          <w:shd w:val="clear" w:color="auto" w:fill="FFFFFF"/>
        </w:rPr>
      </w:pPr>
      <w:r w:rsidRPr="00956798">
        <w:rPr>
          <w:rFonts w:ascii="Times New Roman" w:hAnsi="Times New Roman" w:cs="Times New Roman"/>
          <w:bCs/>
          <w:i/>
          <w:color w:val="000000"/>
          <w:sz w:val="24"/>
          <w:szCs w:val="24"/>
          <w:shd w:val="clear" w:color="auto" w:fill="FFFFFF"/>
        </w:rPr>
        <w:t xml:space="preserve">* </w:t>
      </w:r>
      <w:r w:rsidRPr="006213DE">
        <w:rPr>
          <w:rFonts w:ascii="Times New Roman" w:hAnsi="Times New Roman"/>
          <w:i/>
          <w:color w:val="000000"/>
          <w:sz w:val="20"/>
          <w:shd w:val="clear" w:color="auto" w:fill="FFFFFF"/>
        </w:rPr>
        <w:t xml:space="preserve">Atbilstoši </w:t>
      </w:r>
      <w:r w:rsidR="006E67FD">
        <w:rPr>
          <w:rFonts w:ascii="Times New Roman" w:hAnsi="Times New Roman"/>
          <w:i/>
          <w:color w:val="000000"/>
          <w:sz w:val="20"/>
          <w:shd w:val="clear" w:color="auto" w:fill="FFFFFF"/>
        </w:rPr>
        <w:t>MK</w:t>
      </w:r>
      <w:r w:rsidRPr="006213DE">
        <w:rPr>
          <w:rFonts w:ascii="Times New Roman" w:hAnsi="Times New Roman"/>
          <w:i/>
          <w:color w:val="000000"/>
          <w:sz w:val="20"/>
          <w:shd w:val="clear" w:color="auto" w:fill="FFFFFF"/>
        </w:rPr>
        <w:t xml:space="preserve"> 2015.gada 8.decembra noteikumu Nr.706 “Grozījumi Ministru kabineta 2006. </w:t>
      </w:r>
      <w:r w:rsidR="006E67FD">
        <w:rPr>
          <w:rFonts w:ascii="Times New Roman" w:hAnsi="Times New Roman"/>
          <w:i/>
          <w:color w:val="000000"/>
          <w:sz w:val="20"/>
          <w:shd w:val="clear" w:color="auto" w:fill="FFFFFF"/>
        </w:rPr>
        <w:t>gada 31. oktobra noteikumos Nr.</w:t>
      </w:r>
      <w:r w:rsidRPr="006213DE">
        <w:rPr>
          <w:rFonts w:ascii="Times New Roman" w:hAnsi="Times New Roman"/>
          <w:i/>
          <w:color w:val="000000"/>
          <w:sz w:val="20"/>
          <w:shd w:val="clear" w:color="auto" w:fill="FFFFFF"/>
        </w:rPr>
        <w:t>899 “Ambulatorajai ārstēšanai paredzēto zāļu un medicīnisko ierīču iegādes izdevumu kompensācijas kārtība”” anotācijā norādītajam, finansējums VHC jaunās paaudzes terapijas nodrošināšanai 2017.gadā piešķirts par 1 486 168 euro mazākā apmērā nekā 2016.gadā.</w:t>
      </w:r>
    </w:p>
    <w:p w14:paraId="3C9C1700" w14:textId="14A54CC8" w:rsidR="005F4C67" w:rsidRDefault="005F4C67" w:rsidP="006E67FD">
      <w:pPr>
        <w:autoSpaceDE w:val="0"/>
        <w:autoSpaceDN w:val="0"/>
        <w:adjustRightInd w:val="0"/>
        <w:spacing w:after="0" w:line="240" w:lineRule="auto"/>
        <w:ind w:firstLine="709"/>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3.pasākuma īstenošana par 100% palielinās pakalpojumu skaitu.</w:t>
      </w:r>
    </w:p>
    <w:p w14:paraId="525ABC01" w14:textId="62D4CEEE" w:rsidR="005F4C67" w:rsidRPr="006C68C7" w:rsidRDefault="005F4C67" w:rsidP="006E67FD">
      <w:pPr>
        <w:pStyle w:val="FootnoteText"/>
        <w:spacing w:after="120"/>
        <w:ind w:left="0" w:firstLine="709"/>
        <w:jc w:val="both"/>
        <w:rPr>
          <w:sz w:val="24"/>
          <w:szCs w:val="24"/>
        </w:rPr>
      </w:pPr>
      <w:r w:rsidRPr="00D367E4">
        <w:rPr>
          <w:sz w:val="24"/>
          <w:szCs w:val="24"/>
        </w:rPr>
        <w:t xml:space="preserve">Nodrošinot papildus terapiju 203 pacientiem, papildus tiks ārstēti </w:t>
      </w:r>
      <w:r w:rsidRPr="009A763D">
        <w:rPr>
          <w:b/>
          <w:sz w:val="24"/>
          <w:szCs w:val="24"/>
        </w:rPr>
        <w:t>30% no VHC F3-F4 stadijā fiksētajiem 2015.</w:t>
      </w:r>
      <w:r w:rsidR="00A5655D">
        <w:rPr>
          <w:b/>
          <w:sz w:val="24"/>
          <w:szCs w:val="24"/>
          <w:lang w:val="lv-LV"/>
        </w:rPr>
        <w:t xml:space="preserve"> </w:t>
      </w:r>
      <w:r w:rsidRPr="009A763D">
        <w:rPr>
          <w:b/>
          <w:sz w:val="24"/>
          <w:szCs w:val="24"/>
        </w:rPr>
        <w:t>un 2016.gada pacientiem</w:t>
      </w:r>
      <w:r w:rsidRPr="00D367E4">
        <w:rPr>
          <w:sz w:val="24"/>
          <w:szCs w:val="24"/>
        </w:rPr>
        <w:t xml:space="preserve">, kopā ar esošo finansējumu, nodrošinot </w:t>
      </w:r>
      <w:r w:rsidRPr="009A763D">
        <w:rPr>
          <w:b/>
          <w:sz w:val="24"/>
          <w:szCs w:val="24"/>
        </w:rPr>
        <w:t>57% pacientu ārstēšanu</w:t>
      </w:r>
      <w:r w:rsidRPr="00D367E4">
        <w:rPr>
          <w:sz w:val="24"/>
          <w:szCs w:val="24"/>
        </w:rPr>
        <w:t xml:space="preserve">. Atbilstoši Rīgas Austrumu klīniskās universitātes slimnīcas speciālistu sniegtajai informācijai, tādējādi mirstība no VHC tiks samazināta par 8% jeb 11 pacientiem, savukārt kopējais inficēto skaits samazinātos par 4% jeb </w:t>
      </w:r>
      <w:r w:rsidRPr="009A763D">
        <w:rPr>
          <w:b/>
          <w:sz w:val="24"/>
          <w:szCs w:val="24"/>
        </w:rPr>
        <w:t>1 600 inficētajiem, mirstību samazinot vēl par 117 pacientiem.</w:t>
      </w:r>
      <w:r w:rsidRPr="00D367E4">
        <w:rPr>
          <w:sz w:val="24"/>
          <w:szCs w:val="24"/>
        </w:rPr>
        <w:t xml:space="preserve"> 50% no VHC </w:t>
      </w:r>
      <w:r w:rsidRPr="009B6C00">
        <w:rPr>
          <w:sz w:val="24"/>
          <w:szCs w:val="24"/>
        </w:rPr>
        <w:t>pacientiem ir F3-F4 stadijā, kas potenciāli ir darbnespējīgi iedzīvotāji. Tādējādi, veicot ārstēšanu F3-F4 stadijas pacientiem, tie tiek atgriezti darba tirgū</w:t>
      </w:r>
      <w:r>
        <w:rPr>
          <w:sz w:val="24"/>
          <w:szCs w:val="24"/>
        </w:rPr>
        <w:t>.</w:t>
      </w:r>
      <w:r w:rsidR="00C12F8D">
        <w:rPr>
          <w:sz w:val="24"/>
        </w:rPr>
        <w:t xml:space="preserve"> PZD</w:t>
      </w:r>
      <w:r w:rsidRPr="008603A3">
        <w:rPr>
          <w:sz w:val="24"/>
        </w:rPr>
        <w:t>G tiek samazināti par 1 433 gadiem atbilstoši mirušo prognozējamai vecuma struktūrai. Reforma VHC pacientu ārstēšanai tiks turpināta arī 2018. un 2019.gadā, pēc reģistrēto F3-F4 stadijas pacientu izārstēšanas, papildus ārstējot F2 stadijas pacientus.</w:t>
      </w:r>
    </w:p>
    <w:p w14:paraId="7DEB44B5" w14:textId="77777777" w:rsidR="005F4C67" w:rsidRPr="00D5520B" w:rsidRDefault="005F4C67" w:rsidP="005F4C67">
      <w:pPr>
        <w:jc w:val="center"/>
        <w:rPr>
          <w:rFonts w:ascii="Times New Roman" w:hAnsi="Times New Roman" w:cs="Times New Roman"/>
          <w:sz w:val="24"/>
        </w:rPr>
      </w:pPr>
      <w:r>
        <w:rPr>
          <w:noProof/>
          <w:lang w:eastAsia="lv-LV"/>
        </w:rPr>
        <w:lastRenderedPageBreak/>
        <w:drawing>
          <wp:inline distT="0" distB="0" distL="0" distR="0" wp14:anchorId="2231158D" wp14:editId="56E72869">
            <wp:extent cx="5495925" cy="2705100"/>
            <wp:effectExtent l="0" t="0" r="9525" b="0"/>
            <wp:docPr id="24" name="Chart 2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B7C57F" w14:textId="293B0813" w:rsidR="005F4C67" w:rsidRPr="006E67FD" w:rsidRDefault="00C12F8D" w:rsidP="006E67FD">
      <w:pPr>
        <w:spacing w:before="60" w:after="120" w:line="240" w:lineRule="auto"/>
        <w:jc w:val="center"/>
        <w:rPr>
          <w:rFonts w:ascii="Times New Roman" w:hAnsi="Times New Roman"/>
          <w:b/>
          <w:sz w:val="24"/>
          <w:szCs w:val="24"/>
        </w:rPr>
      </w:pPr>
      <w:r>
        <w:rPr>
          <w:rFonts w:ascii="Times New Roman" w:hAnsi="Times New Roman"/>
          <w:b/>
          <w:sz w:val="24"/>
          <w:szCs w:val="24"/>
        </w:rPr>
        <w:t>3.14</w:t>
      </w:r>
      <w:r w:rsidR="00A507C8" w:rsidRPr="00A507C8">
        <w:rPr>
          <w:rFonts w:ascii="Times New Roman" w:hAnsi="Times New Roman"/>
          <w:b/>
          <w:sz w:val="24"/>
          <w:szCs w:val="24"/>
        </w:rPr>
        <w:t>.</w:t>
      </w:r>
      <w:r w:rsidR="005F4C67" w:rsidRPr="00A507C8">
        <w:rPr>
          <w:rFonts w:ascii="Times New Roman" w:hAnsi="Times New Roman"/>
          <w:b/>
          <w:sz w:val="24"/>
          <w:szCs w:val="24"/>
        </w:rPr>
        <w:t>attēls</w:t>
      </w:r>
      <w:r w:rsidR="00A507C8">
        <w:rPr>
          <w:rFonts w:ascii="Times New Roman" w:hAnsi="Times New Roman"/>
          <w:b/>
          <w:sz w:val="24"/>
          <w:szCs w:val="24"/>
        </w:rPr>
        <w:t>.</w:t>
      </w:r>
      <w:r w:rsidR="005F4C67" w:rsidRPr="00A507C8">
        <w:rPr>
          <w:rFonts w:ascii="Times New Roman" w:hAnsi="Times New Roman"/>
          <w:b/>
          <w:sz w:val="24"/>
          <w:szCs w:val="24"/>
        </w:rPr>
        <w:t xml:space="preserve"> </w:t>
      </w:r>
      <w:r>
        <w:rPr>
          <w:rFonts w:ascii="Times New Roman" w:hAnsi="Times New Roman"/>
          <w:b/>
          <w:sz w:val="24"/>
          <w:szCs w:val="24"/>
        </w:rPr>
        <w:t>PZDG</w:t>
      </w:r>
      <w:r w:rsidR="005F4C67" w:rsidRPr="006E67FD">
        <w:rPr>
          <w:rFonts w:ascii="Times New Roman" w:hAnsi="Times New Roman"/>
          <w:b/>
          <w:sz w:val="24"/>
          <w:szCs w:val="24"/>
        </w:rPr>
        <w:t xml:space="preserve"> prognoze, ja 3.pasākums tiek īstenots (PZD</w:t>
      </w:r>
      <w:r>
        <w:rPr>
          <w:rFonts w:ascii="Times New Roman" w:hAnsi="Times New Roman"/>
          <w:b/>
          <w:sz w:val="24"/>
          <w:szCs w:val="24"/>
        </w:rPr>
        <w:t>G , ja pasākums netiek ieviests</w:t>
      </w:r>
      <w:r w:rsidR="00E034C8">
        <w:rPr>
          <w:rFonts w:ascii="Times New Roman" w:hAnsi="Times New Roman"/>
          <w:b/>
          <w:sz w:val="24"/>
          <w:szCs w:val="24"/>
        </w:rPr>
        <w:t>, skat</w:t>
      </w:r>
      <w:r w:rsidR="00E034C8" w:rsidRPr="00E034C8">
        <w:rPr>
          <w:rFonts w:ascii="Times New Roman" w:hAnsi="Times New Roman"/>
          <w:b/>
          <w:sz w:val="24"/>
          <w:szCs w:val="24"/>
        </w:rPr>
        <w:t>. 3.12.attēlu</w:t>
      </w:r>
      <w:r w:rsidR="005F4C67" w:rsidRPr="006E67FD">
        <w:rPr>
          <w:rFonts w:ascii="Times New Roman" w:hAnsi="Times New Roman"/>
          <w:b/>
          <w:sz w:val="24"/>
          <w:szCs w:val="24"/>
        </w:rPr>
        <w:t xml:space="preserve">) </w:t>
      </w:r>
      <w:r w:rsidR="005F4C67" w:rsidRPr="006E67FD">
        <w:rPr>
          <w:rFonts w:ascii="Times New Roman" w:hAnsi="Times New Roman"/>
          <w:b/>
          <w:i/>
          <w:sz w:val="24"/>
          <w:szCs w:val="24"/>
        </w:rPr>
        <w:t>Avots: SPKC</w:t>
      </w:r>
    </w:p>
    <w:p w14:paraId="362068C9" w14:textId="77777777" w:rsidR="005F4C67" w:rsidRDefault="005F4C67" w:rsidP="005F4C67">
      <w:pPr>
        <w:autoSpaceDE w:val="0"/>
        <w:autoSpaceDN w:val="0"/>
        <w:adjustRightInd w:val="0"/>
        <w:spacing w:after="0" w:line="240" w:lineRule="auto"/>
        <w:ind w:firstLine="720"/>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t xml:space="preserve">Ar 3.pasākuma finansējumu, pieņemot, ka tas tādā pašā apmērā tiek piešķirts arī 2018. un 2019.gadā,  tiek prognozēts, ka 2019.gadā PZDG samazinātos par 2566 gadiem.  Pasākuma efektivitāte ir </w:t>
      </w:r>
      <w:r w:rsidRPr="00BB0CC2">
        <w:rPr>
          <w:rFonts w:ascii="Times New Roman" w:hAnsi="Times New Roman" w:cs="Times New Roman"/>
          <w:b/>
          <w:noProof/>
          <w:sz w:val="24"/>
          <w:szCs w:val="24"/>
          <w:lang w:eastAsia="lv-LV"/>
        </w:rPr>
        <w:t xml:space="preserve">6 tūkstoši </w:t>
      </w:r>
      <w:r w:rsidRPr="00DE34F6">
        <w:rPr>
          <w:rFonts w:ascii="Times New Roman" w:hAnsi="Times New Roman" w:cs="Times New Roman"/>
          <w:b/>
          <w:i/>
          <w:noProof/>
          <w:sz w:val="24"/>
          <w:szCs w:val="24"/>
          <w:lang w:eastAsia="lv-LV"/>
        </w:rPr>
        <w:t>euro</w:t>
      </w:r>
      <w:r w:rsidRPr="00BB0CC2">
        <w:rPr>
          <w:rFonts w:ascii="Times New Roman" w:hAnsi="Times New Roman" w:cs="Times New Roman"/>
          <w:b/>
          <w:noProof/>
          <w:sz w:val="24"/>
          <w:szCs w:val="24"/>
          <w:lang w:eastAsia="lv-LV"/>
        </w:rPr>
        <w:t xml:space="preserve"> par vienu novērstu PZDG</w:t>
      </w:r>
      <w:r>
        <w:rPr>
          <w:rFonts w:ascii="Times New Roman" w:hAnsi="Times New Roman" w:cs="Times New Roman"/>
          <w:noProof/>
          <w:sz w:val="24"/>
          <w:szCs w:val="24"/>
          <w:lang w:eastAsia="lv-LV"/>
        </w:rPr>
        <w:t>.</w:t>
      </w:r>
    </w:p>
    <w:p w14:paraId="5F4F2408" w14:textId="77777777" w:rsidR="005F4C67" w:rsidRDefault="005F4C67" w:rsidP="00A53FB4">
      <w:pPr>
        <w:autoSpaceDE w:val="0"/>
        <w:autoSpaceDN w:val="0"/>
        <w:adjustRightInd w:val="0"/>
        <w:spacing w:before="120" w:after="0" w:line="240" w:lineRule="auto"/>
        <w:ind w:firstLine="720"/>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w:t>
      </w:r>
    </w:p>
    <w:tbl>
      <w:tblPr>
        <w:tblStyle w:val="GridTable6Colorful-Accent1"/>
        <w:tblpPr w:leftFromText="180" w:rightFromText="180" w:vertAnchor="page" w:horzAnchor="margin" w:tblpY="10276"/>
        <w:tblW w:w="9067" w:type="dxa"/>
        <w:tblLayout w:type="fixed"/>
        <w:tblLook w:val="04A0" w:firstRow="1" w:lastRow="0" w:firstColumn="1" w:lastColumn="0" w:noHBand="0" w:noVBand="1"/>
      </w:tblPr>
      <w:tblGrid>
        <w:gridCol w:w="3114"/>
        <w:gridCol w:w="1190"/>
        <w:gridCol w:w="1191"/>
        <w:gridCol w:w="1190"/>
        <w:gridCol w:w="1191"/>
        <w:gridCol w:w="1191"/>
      </w:tblGrid>
      <w:tr w:rsidR="00712C58" w:rsidRPr="000B536B" w14:paraId="26E1E80C" w14:textId="77777777" w:rsidTr="00A53FB4">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tcPr>
          <w:p w14:paraId="1C8835E0" w14:textId="77777777" w:rsidR="00712C58" w:rsidRPr="005D20A1" w:rsidRDefault="00712C58" w:rsidP="00A53FB4">
            <w:pPr>
              <w:jc w:val="center"/>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Makroekonomiskie rādītāji</w:t>
            </w:r>
          </w:p>
        </w:tc>
        <w:tc>
          <w:tcPr>
            <w:tcW w:w="5953" w:type="dxa"/>
            <w:gridSpan w:val="5"/>
            <w:tcBorders>
              <w:left w:val="single" w:sz="4" w:space="0" w:color="9CC2E5" w:themeColor="accent1" w:themeTint="99"/>
              <w:bottom w:val="single" w:sz="4" w:space="0" w:color="9CC2E5" w:themeColor="accent1" w:themeTint="99"/>
            </w:tcBorders>
            <w:shd w:val="clear" w:color="auto" w:fill="auto"/>
            <w:vAlign w:val="center"/>
          </w:tcPr>
          <w:p w14:paraId="3087858D" w14:textId="77777777" w:rsidR="00712C58" w:rsidRPr="005D20A1" w:rsidRDefault="00712C58" w:rsidP="00A53F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p>
          <w:p w14:paraId="5A1B4E62" w14:textId="77777777" w:rsidR="00712C58" w:rsidRPr="005D20A1" w:rsidRDefault="00712C58" w:rsidP="00A53F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Ikgadējā un kumulatīvā ietekme uz IKP un citiem galvenajiem makroekonomiskajiem mainīgajiem</w:t>
            </w:r>
            <w:r w:rsidRPr="005D20A1">
              <w:rPr>
                <w:rFonts w:ascii="Times New Roman" w:hAnsi="Times New Roman" w:cs="Times New Roman"/>
                <w:color w:val="000000" w:themeColor="text1"/>
                <w:sz w:val="20"/>
                <w:szCs w:val="20"/>
                <w:vertAlign w:val="superscript"/>
              </w:rPr>
              <w:footnoteReference w:id="23"/>
            </w:r>
          </w:p>
          <w:p w14:paraId="649AEF79" w14:textId="77777777" w:rsidR="00712C58" w:rsidRPr="005D20A1" w:rsidRDefault="00712C58" w:rsidP="00A53F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712C58" w:rsidRPr="000B536B" w14:paraId="1AE9BB3B" w14:textId="77777777" w:rsidTr="00A53F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9CC2E5" w:themeColor="accent1" w:themeTint="99"/>
            </w:tcBorders>
          </w:tcPr>
          <w:p w14:paraId="438FEE33" w14:textId="77777777" w:rsidR="00712C58" w:rsidRPr="005D20A1" w:rsidRDefault="00712C58" w:rsidP="00A53FB4">
            <w:pPr>
              <w:rPr>
                <w:rFonts w:ascii="Times New Roman" w:hAnsi="Times New Roman" w:cs="Times New Roman"/>
                <w:color w:val="000000" w:themeColor="text1"/>
                <w:sz w:val="20"/>
                <w:szCs w:val="20"/>
              </w:rPr>
            </w:pPr>
          </w:p>
        </w:tc>
        <w:tc>
          <w:tcPr>
            <w:tcW w:w="1190" w:type="dxa"/>
            <w:tcBorders>
              <w:top w:val="single" w:sz="4" w:space="0" w:color="9CC2E5" w:themeColor="accent1" w:themeTint="99"/>
            </w:tcBorders>
            <w:vAlign w:val="center"/>
          </w:tcPr>
          <w:p w14:paraId="03B1EC34" w14:textId="77777777" w:rsidR="00712C58" w:rsidRPr="005D20A1" w:rsidRDefault="00712C58" w:rsidP="00A53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b/>
                <w:bCs/>
                <w:color w:val="000000" w:themeColor="text1"/>
                <w:sz w:val="20"/>
                <w:szCs w:val="20"/>
              </w:rPr>
              <w:t>X</w:t>
            </w:r>
            <w:r w:rsidRPr="005D20A1">
              <w:rPr>
                <w:rFonts w:ascii="Times New Roman" w:hAnsi="Times New Roman" w:cs="Times New Roman"/>
                <w:color w:val="000000" w:themeColor="text1"/>
                <w:sz w:val="20"/>
                <w:szCs w:val="20"/>
                <w:vertAlign w:val="superscript"/>
              </w:rPr>
              <w:footnoteReference w:id="24"/>
            </w:r>
            <w:r w:rsidRPr="005D20A1">
              <w:rPr>
                <w:rFonts w:ascii="Times New Roman" w:hAnsi="Times New Roman" w:cs="Times New Roman"/>
                <w:b/>
                <w:bCs/>
                <w:color w:val="000000" w:themeColor="text1"/>
                <w:sz w:val="20"/>
                <w:szCs w:val="20"/>
              </w:rPr>
              <w:t>+5 gadi</w:t>
            </w:r>
          </w:p>
        </w:tc>
        <w:tc>
          <w:tcPr>
            <w:tcW w:w="1191" w:type="dxa"/>
            <w:tcBorders>
              <w:top w:val="single" w:sz="4" w:space="0" w:color="9CC2E5" w:themeColor="accent1" w:themeTint="99"/>
            </w:tcBorders>
            <w:vAlign w:val="center"/>
          </w:tcPr>
          <w:p w14:paraId="5BBF39EA" w14:textId="77777777" w:rsidR="00712C58" w:rsidRPr="005D20A1" w:rsidRDefault="00712C58" w:rsidP="00A53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b/>
                <w:bCs/>
                <w:color w:val="000000" w:themeColor="text1"/>
                <w:sz w:val="20"/>
                <w:szCs w:val="20"/>
              </w:rPr>
              <w:t>X+10 gadi</w:t>
            </w:r>
          </w:p>
        </w:tc>
        <w:tc>
          <w:tcPr>
            <w:tcW w:w="1190" w:type="dxa"/>
            <w:tcBorders>
              <w:top w:val="single" w:sz="4" w:space="0" w:color="9CC2E5" w:themeColor="accent1" w:themeTint="99"/>
            </w:tcBorders>
            <w:vAlign w:val="center"/>
          </w:tcPr>
          <w:p w14:paraId="521DBA98" w14:textId="77777777" w:rsidR="00712C58" w:rsidRPr="005D20A1" w:rsidRDefault="00712C58" w:rsidP="00A53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5D20A1">
              <w:rPr>
                <w:rFonts w:ascii="Times New Roman" w:hAnsi="Times New Roman" w:cs="Times New Roman"/>
                <w:b/>
                <w:bCs/>
                <w:color w:val="000000" w:themeColor="text1"/>
                <w:sz w:val="20"/>
                <w:szCs w:val="20"/>
              </w:rPr>
              <w:t>X+15 gadi</w:t>
            </w:r>
          </w:p>
        </w:tc>
        <w:tc>
          <w:tcPr>
            <w:tcW w:w="1191" w:type="dxa"/>
            <w:tcBorders>
              <w:top w:val="single" w:sz="4" w:space="0" w:color="9CC2E5" w:themeColor="accent1" w:themeTint="99"/>
            </w:tcBorders>
            <w:vAlign w:val="center"/>
          </w:tcPr>
          <w:p w14:paraId="598C4B55" w14:textId="77777777" w:rsidR="00712C58" w:rsidRPr="005D20A1" w:rsidRDefault="00712C58" w:rsidP="00A53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b/>
                <w:bCs/>
                <w:color w:val="000000" w:themeColor="text1"/>
                <w:sz w:val="20"/>
                <w:szCs w:val="20"/>
              </w:rPr>
              <w:t>X+20 gadi</w:t>
            </w:r>
          </w:p>
        </w:tc>
        <w:tc>
          <w:tcPr>
            <w:tcW w:w="1191" w:type="dxa"/>
            <w:tcBorders>
              <w:top w:val="single" w:sz="4" w:space="0" w:color="9CC2E5" w:themeColor="accent1" w:themeTint="99"/>
            </w:tcBorders>
            <w:vAlign w:val="center"/>
          </w:tcPr>
          <w:p w14:paraId="7632EE37" w14:textId="77777777" w:rsidR="00712C58" w:rsidRPr="005D20A1" w:rsidRDefault="00712C58" w:rsidP="00A53F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b/>
                <w:bCs/>
                <w:color w:val="000000" w:themeColor="text1"/>
                <w:sz w:val="20"/>
                <w:szCs w:val="20"/>
              </w:rPr>
              <w:t>X+25 gadi</w:t>
            </w:r>
          </w:p>
        </w:tc>
      </w:tr>
      <w:tr w:rsidR="00712C58" w:rsidRPr="000B536B" w14:paraId="570CB530" w14:textId="77777777" w:rsidTr="00A53FB4">
        <w:trPr>
          <w:trHeight w:val="252"/>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3C074AB" w14:textId="77777777" w:rsidR="00712C58" w:rsidRPr="005D20A1" w:rsidRDefault="00712C58" w:rsidP="00A53FB4">
            <w:pPr>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IKP</w:t>
            </w:r>
            <w:r w:rsidRPr="005D20A1">
              <w:rPr>
                <w:rFonts w:ascii="Times New Roman" w:hAnsi="Times New Roman" w:cs="Times New Roman"/>
                <w:color w:val="000000" w:themeColor="text1"/>
                <w:sz w:val="20"/>
                <w:szCs w:val="20"/>
                <w:vertAlign w:val="superscript"/>
              </w:rPr>
              <w:footnoteReference w:id="25"/>
            </w:r>
          </w:p>
        </w:tc>
        <w:tc>
          <w:tcPr>
            <w:tcW w:w="1190" w:type="dxa"/>
            <w:vAlign w:val="center"/>
          </w:tcPr>
          <w:p w14:paraId="59487A5E"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55%</w:t>
            </w:r>
          </w:p>
        </w:tc>
        <w:tc>
          <w:tcPr>
            <w:tcW w:w="1191" w:type="dxa"/>
            <w:vAlign w:val="center"/>
          </w:tcPr>
          <w:p w14:paraId="4C8B5578"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21%</w:t>
            </w:r>
          </w:p>
        </w:tc>
        <w:tc>
          <w:tcPr>
            <w:tcW w:w="1190" w:type="dxa"/>
            <w:vAlign w:val="center"/>
          </w:tcPr>
          <w:p w14:paraId="185AB6F6"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4</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77%</w:t>
            </w:r>
          </w:p>
        </w:tc>
        <w:tc>
          <w:tcPr>
            <w:tcW w:w="1191" w:type="dxa"/>
            <w:vAlign w:val="center"/>
          </w:tcPr>
          <w:p w14:paraId="6B29B117"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7</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87%</w:t>
            </w:r>
          </w:p>
        </w:tc>
        <w:tc>
          <w:tcPr>
            <w:tcW w:w="1191" w:type="dxa"/>
            <w:vAlign w:val="center"/>
          </w:tcPr>
          <w:p w14:paraId="397BA243"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25%</w:t>
            </w:r>
          </w:p>
        </w:tc>
      </w:tr>
      <w:tr w:rsidR="00712C58" w:rsidRPr="000B536B" w14:paraId="3252EA68" w14:textId="77777777" w:rsidTr="00A53FB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D8FCBE8" w14:textId="77777777" w:rsidR="00712C58" w:rsidRPr="005D20A1" w:rsidRDefault="00712C58" w:rsidP="00A53FB4">
            <w:pPr>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Bruto pamatkapitāla veidošanās</w:t>
            </w:r>
          </w:p>
        </w:tc>
        <w:tc>
          <w:tcPr>
            <w:tcW w:w="1190" w:type="dxa"/>
            <w:vAlign w:val="center"/>
          </w:tcPr>
          <w:p w14:paraId="308E321D"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w:t>
            </w:r>
          </w:p>
        </w:tc>
        <w:tc>
          <w:tcPr>
            <w:tcW w:w="1191" w:type="dxa"/>
            <w:vAlign w:val="center"/>
          </w:tcPr>
          <w:p w14:paraId="5A254A2A"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w:t>
            </w:r>
          </w:p>
        </w:tc>
        <w:tc>
          <w:tcPr>
            <w:tcW w:w="1190" w:type="dxa"/>
            <w:vAlign w:val="center"/>
          </w:tcPr>
          <w:p w14:paraId="639B1FF9"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w:t>
            </w:r>
          </w:p>
        </w:tc>
        <w:tc>
          <w:tcPr>
            <w:tcW w:w="1191" w:type="dxa"/>
            <w:vAlign w:val="center"/>
          </w:tcPr>
          <w:p w14:paraId="512670D1"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w:t>
            </w:r>
          </w:p>
        </w:tc>
        <w:tc>
          <w:tcPr>
            <w:tcW w:w="1191" w:type="dxa"/>
            <w:vAlign w:val="center"/>
          </w:tcPr>
          <w:p w14:paraId="4AC2E834"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w:t>
            </w:r>
          </w:p>
        </w:tc>
      </w:tr>
      <w:tr w:rsidR="00712C58" w:rsidRPr="000B536B" w14:paraId="4EB1AD68" w14:textId="77777777" w:rsidTr="00A53FB4">
        <w:trPr>
          <w:trHeight w:val="252"/>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1F7779E" w14:textId="77777777" w:rsidR="00712C58" w:rsidRPr="005D20A1" w:rsidRDefault="00712C58" w:rsidP="00A53FB4">
            <w:pPr>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Nodarbinātība</w:t>
            </w:r>
            <w:r w:rsidRPr="005D20A1">
              <w:rPr>
                <w:rFonts w:ascii="Times New Roman" w:hAnsi="Times New Roman" w:cs="Times New Roman"/>
                <w:color w:val="000000" w:themeColor="text1"/>
                <w:sz w:val="20"/>
                <w:szCs w:val="20"/>
                <w:vertAlign w:val="superscript"/>
              </w:rPr>
              <w:footnoteReference w:id="26"/>
            </w:r>
          </w:p>
        </w:tc>
        <w:tc>
          <w:tcPr>
            <w:tcW w:w="1190" w:type="dxa"/>
            <w:vAlign w:val="center"/>
          </w:tcPr>
          <w:p w14:paraId="7DB4A816"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24%</w:t>
            </w:r>
          </w:p>
        </w:tc>
        <w:tc>
          <w:tcPr>
            <w:tcW w:w="1191" w:type="dxa"/>
            <w:vAlign w:val="center"/>
          </w:tcPr>
          <w:p w14:paraId="16A13CF8"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62%</w:t>
            </w:r>
          </w:p>
        </w:tc>
        <w:tc>
          <w:tcPr>
            <w:tcW w:w="1190" w:type="dxa"/>
            <w:vAlign w:val="center"/>
          </w:tcPr>
          <w:p w14:paraId="42ACBC01"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02%</w:t>
            </w:r>
          </w:p>
        </w:tc>
        <w:tc>
          <w:tcPr>
            <w:tcW w:w="1191" w:type="dxa"/>
            <w:vAlign w:val="center"/>
          </w:tcPr>
          <w:p w14:paraId="77B537E5"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41%</w:t>
            </w:r>
          </w:p>
        </w:tc>
        <w:tc>
          <w:tcPr>
            <w:tcW w:w="1191" w:type="dxa"/>
            <w:vAlign w:val="center"/>
          </w:tcPr>
          <w:p w14:paraId="7E2E3B9B"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81%</w:t>
            </w:r>
          </w:p>
        </w:tc>
      </w:tr>
      <w:tr w:rsidR="00712C58" w:rsidRPr="000B536B" w14:paraId="1899422E" w14:textId="77777777" w:rsidTr="00A53FB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156519D" w14:textId="77777777" w:rsidR="00712C58" w:rsidRPr="005D20A1" w:rsidRDefault="00712C58" w:rsidP="00A53FB4">
            <w:pPr>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Tiešā fiskālā ietekme uz primāro bilanci (10)</w:t>
            </w:r>
            <w:r w:rsidRPr="005D20A1">
              <w:rPr>
                <w:rFonts w:ascii="Times New Roman" w:hAnsi="Times New Roman" w:cs="Times New Roman"/>
                <w:color w:val="000000" w:themeColor="text1"/>
                <w:sz w:val="20"/>
                <w:szCs w:val="20"/>
                <w:vertAlign w:val="superscript"/>
              </w:rPr>
              <w:footnoteReference w:id="27"/>
            </w:r>
          </w:p>
        </w:tc>
        <w:tc>
          <w:tcPr>
            <w:tcW w:w="1190" w:type="dxa"/>
            <w:vAlign w:val="center"/>
          </w:tcPr>
          <w:p w14:paraId="3785BDEA"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49%</w:t>
            </w:r>
          </w:p>
        </w:tc>
        <w:tc>
          <w:tcPr>
            <w:tcW w:w="1191" w:type="dxa"/>
            <w:vAlign w:val="center"/>
          </w:tcPr>
          <w:p w14:paraId="20D39798"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34%</w:t>
            </w:r>
          </w:p>
        </w:tc>
        <w:tc>
          <w:tcPr>
            <w:tcW w:w="1190" w:type="dxa"/>
            <w:vAlign w:val="center"/>
          </w:tcPr>
          <w:p w14:paraId="706B7709"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57%</w:t>
            </w:r>
          </w:p>
        </w:tc>
        <w:tc>
          <w:tcPr>
            <w:tcW w:w="1191" w:type="dxa"/>
            <w:vAlign w:val="center"/>
          </w:tcPr>
          <w:p w14:paraId="65C285C9"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34%</w:t>
            </w:r>
          </w:p>
        </w:tc>
        <w:tc>
          <w:tcPr>
            <w:tcW w:w="1191" w:type="dxa"/>
            <w:vAlign w:val="center"/>
          </w:tcPr>
          <w:p w14:paraId="7293510D" w14:textId="77777777" w:rsidR="00712C58" w:rsidRPr="005D20A1" w:rsidRDefault="00712C58" w:rsidP="00A53FB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76%</w:t>
            </w:r>
          </w:p>
        </w:tc>
      </w:tr>
      <w:tr w:rsidR="00712C58" w:rsidRPr="000B536B" w14:paraId="2D7984D6" w14:textId="77777777" w:rsidTr="00A53FB4">
        <w:trPr>
          <w:trHeight w:val="395"/>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A8CAC43" w14:textId="77777777" w:rsidR="00712C58" w:rsidRPr="005D20A1" w:rsidRDefault="00712C58" w:rsidP="00A53FB4">
            <w:pPr>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Kopējā ietekme uz primāro bilanci (11)</w:t>
            </w:r>
            <w:r w:rsidRPr="005D20A1">
              <w:rPr>
                <w:rFonts w:ascii="Times New Roman" w:hAnsi="Times New Roman" w:cs="Times New Roman"/>
                <w:color w:val="000000" w:themeColor="text1"/>
                <w:sz w:val="20"/>
                <w:szCs w:val="20"/>
                <w:vertAlign w:val="superscript"/>
              </w:rPr>
              <w:footnoteReference w:id="28"/>
            </w:r>
          </w:p>
        </w:tc>
        <w:tc>
          <w:tcPr>
            <w:tcW w:w="1190" w:type="dxa"/>
            <w:vAlign w:val="center"/>
          </w:tcPr>
          <w:p w14:paraId="11B9601B"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25%</w:t>
            </w:r>
          </w:p>
        </w:tc>
        <w:tc>
          <w:tcPr>
            <w:tcW w:w="1191" w:type="dxa"/>
            <w:vAlign w:val="center"/>
          </w:tcPr>
          <w:p w14:paraId="0FA8B684"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38%</w:t>
            </w:r>
          </w:p>
        </w:tc>
        <w:tc>
          <w:tcPr>
            <w:tcW w:w="1190" w:type="dxa"/>
            <w:vAlign w:val="center"/>
          </w:tcPr>
          <w:p w14:paraId="566E9D19"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43%</w:t>
            </w:r>
          </w:p>
        </w:tc>
        <w:tc>
          <w:tcPr>
            <w:tcW w:w="1191" w:type="dxa"/>
            <w:vAlign w:val="center"/>
          </w:tcPr>
          <w:p w14:paraId="6C8DBC4B"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93%</w:t>
            </w:r>
          </w:p>
        </w:tc>
        <w:tc>
          <w:tcPr>
            <w:tcW w:w="1191" w:type="dxa"/>
            <w:vAlign w:val="center"/>
          </w:tcPr>
          <w:p w14:paraId="147D7EE3" w14:textId="77777777" w:rsidR="00712C58" w:rsidRPr="005D20A1" w:rsidRDefault="00712C58" w:rsidP="00A53FB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D20A1">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5D20A1">
              <w:rPr>
                <w:rFonts w:ascii="Times New Roman" w:hAnsi="Times New Roman" w:cs="Times New Roman"/>
                <w:color w:val="000000" w:themeColor="text1"/>
                <w:sz w:val="20"/>
                <w:szCs w:val="20"/>
              </w:rPr>
              <w:t>90%</w:t>
            </w:r>
          </w:p>
        </w:tc>
      </w:tr>
    </w:tbl>
    <w:p w14:paraId="6B26B80A" w14:textId="0C2D7025" w:rsidR="006E67FD" w:rsidRDefault="00712C58" w:rsidP="00546F18">
      <w:pPr>
        <w:autoSpaceDE w:val="0"/>
        <w:autoSpaceDN w:val="0"/>
        <w:adjustRightInd w:val="0"/>
        <w:spacing w:after="0" w:line="240" w:lineRule="auto"/>
        <w:ind w:firstLine="720"/>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t xml:space="preserve"> </w:t>
      </w:r>
      <w:r w:rsidR="005F4C67">
        <w:rPr>
          <w:rFonts w:ascii="Times New Roman" w:hAnsi="Times New Roman" w:cs="Times New Roman"/>
          <w:noProof/>
          <w:sz w:val="24"/>
          <w:szCs w:val="24"/>
          <w:lang w:eastAsia="lv-LV"/>
        </w:rPr>
        <w:t>Jāatzīmē, ka lēmumi par reformas pasākumiem un atbalstām</w:t>
      </w:r>
      <w:r w:rsidR="006E67FD">
        <w:rPr>
          <w:rFonts w:ascii="Times New Roman" w:hAnsi="Times New Roman" w:cs="Times New Roman"/>
          <w:noProof/>
          <w:sz w:val="24"/>
          <w:szCs w:val="24"/>
          <w:lang w:eastAsia="lv-LV"/>
        </w:rPr>
        <w:t>ajiem pasākumiem 2018. un 2019.</w:t>
      </w:r>
      <w:r w:rsidR="00546F18">
        <w:rPr>
          <w:rFonts w:ascii="Times New Roman" w:hAnsi="Times New Roman" w:cs="Times New Roman"/>
          <w:noProof/>
          <w:sz w:val="24"/>
          <w:szCs w:val="24"/>
          <w:lang w:eastAsia="lv-LV"/>
        </w:rPr>
        <w:t>gadā tiks pieņemti vēlāk.</w:t>
      </w:r>
    </w:p>
    <w:p w14:paraId="63482D86" w14:textId="3B42A480" w:rsidR="005F4C67" w:rsidRDefault="00712C58" w:rsidP="006E67F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lv-LV"/>
        </w:rPr>
        <w:t xml:space="preserve"> </w:t>
      </w:r>
      <w:r w:rsidR="005F4C67">
        <w:rPr>
          <w:rFonts w:ascii="Times New Roman" w:hAnsi="Times New Roman" w:cs="Times New Roman"/>
          <w:noProof/>
          <w:sz w:val="24"/>
          <w:szCs w:val="24"/>
          <w:lang w:eastAsia="lv-LV"/>
        </w:rPr>
        <w:t xml:space="preserve">Iepriekšējā Stabilitātes programmā tika iekļauta </w:t>
      </w:r>
      <w:r w:rsidR="006E67FD" w:rsidRPr="00AD738C">
        <w:rPr>
          <w:rFonts w:ascii="Times New Roman" w:hAnsi="Times New Roman" w:cs="Times New Roman"/>
          <w:sz w:val="24"/>
          <w:szCs w:val="24"/>
        </w:rPr>
        <w:t>“Sabiedrības veselības pamatnostādnēm 2014.-2020.gadam”</w:t>
      </w:r>
      <w:r w:rsidR="006E67FD">
        <w:rPr>
          <w:rFonts w:ascii="Times New Roman" w:hAnsi="Times New Roman" w:cs="Times New Roman"/>
          <w:sz w:val="24"/>
          <w:szCs w:val="24"/>
        </w:rPr>
        <w:t xml:space="preserve"> </w:t>
      </w:r>
      <w:r w:rsidR="005F4C67">
        <w:rPr>
          <w:rFonts w:ascii="Times New Roman" w:hAnsi="Times New Roman" w:cs="Times New Roman"/>
          <w:noProof/>
          <w:sz w:val="24"/>
          <w:szCs w:val="24"/>
          <w:lang w:eastAsia="lv-LV"/>
        </w:rPr>
        <w:t>fiskālās ietekmes novērtējums. Pašlaik fiskālās ietekmes novērtējums ir precizēts, ņemot vērā precizēto izdevumu apjomu 2016.gadā un precizētās prognozes 2017</w:t>
      </w:r>
      <w:r w:rsidR="00A5655D">
        <w:rPr>
          <w:rFonts w:ascii="Times New Roman" w:hAnsi="Times New Roman" w:cs="Times New Roman"/>
          <w:noProof/>
          <w:sz w:val="24"/>
          <w:szCs w:val="24"/>
          <w:lang w:eastAsia="lv-LV"/>
        </w:rPr>
        <w:t>.</w:t>
      </w:r>
      <w:r w:rsidR="005F4C67">
        <w:rPr>
          <w:rFonts w:ascii="Times New Roman" w:hAnsi="Times New Roman" w:cs="Times New Roman"/>
          <w:noProof/>
          <w:sz w:val="24"/>
          <w:szCs w:val="24"/>
          <w:lang w:eastAsia="lv-LV"/>
        </w:rPr>
        <w:t>, 2018</w:t>
      </w:r>
      <w:r w:rsidR="00A5655D">
        <w:rPr>
          <w:rFonts w:ascii="Times New Roman" w:hAnsi="Times New Roman" w:cs="Times New Roman"/>
          <w:noProof/>
          <w:sz w:val="24"/>
          <w:szCs w:val="24"/>
          <w:lang w:eastAsia="lv-LV"/>
        </w:rPr>
        <w:t>.</w:t>
      </w:r>
      <w:r w:rsidR="005F4C67">
        <w:rPr>
          <w:rFonts w:ascii="Times New Roman" w:hAnsi="Times New Roman" w:cs="Times New Roman"/>
          <w:noProof/>
          <w:sz w:val="24"/>
          <w:szCs w:val="24"/>
          <w:lang w:eastAsia="lv-LV"/>
        </w:rPr>
        <w:t xml:space="preserve"> un 2019.gados.</w:t>
      </w:r>
    </w:p>
    <w:p w14:paraId="63074E69" w14:textId="0BE73E5D" w:rsidR="005F4C67" w:rsidRPr="00546F18" w:rsidRDefault="00FC7A05" w:rsidP="00712C58">
      <w:pPr>
        <w:autoSpaceDE w:val="0"/>
        <w:autoSpaceDN w:val="0"/>
        <w:adjustRightInd w:val="0"/>
        <w:spacing w:before="120" w:after="60" w:line="240" w:lineRule="auto"/>
        <w:jc w:val="right"/>
        <w:rPr>
          <w:rFonts w:ascii="Times New Roman" w:hAnsi="Times New Roman" w:cs="Times New Roman"/>
          <w:b/>
          <w:sz w:val="24"/>
          <w:szCs w:val="24"/>
        </w:rPr>
      </w:pPr>
      <w:r>
        <w:rPr>
          <w:rFonts w:ascii="Times New Roman" w:hAnsi="Times New Roman" w:cs="Times New Roman"/>
          <w:b/>
          <w:noProof/>
          <w:sz w:val="24"/>
          <w:szCs w:val="24"/>
          <w:lang w:eastAsia="lv-LV"/>
        </w:rPr>
        <w:t>3.24</w:t>
      </w:r>
      <w:r w:rsidR="00A507C8">
        <w:rPr>
          <w:rFonts w:ascii="Times New Roman" w:hAnsi="Times New Roman" w:cs="Times New Roman"/>
          <w:b/>
          <w:noProof/>
          <w:sz w:val="24"/>
          <w:szCs w:val="24"/>
          <w:lang w:eastAsia="lv-LV"/>
        </w:rPr>
        <w:t>.</w:t>
      </w:r>
      <w:r w:rsidR="006E67FD" w:rsidRPr="00546F18">
        <w:rPr>
          <w:rFonts w:ascii="Times New Roman" w:hAnsi="Times New Roman" w:cs="Times New Roman"/>
          <w:b/>
          <w:noProof/>
          <w:sz w:val="24"/>
          <w:szCs w:val="24"/>
          <w:lang w:eastAsia="lv-LV"/>
        </w:rPr>
        <w:t xml:space="preserve">tabula. </w:t>
      </w:r>
      <w:r w:rsidR="006E67FD" w:rsidRPr="00546F18">
        <w:rPr>
          <w:rFonts w:ascii="Times New Roman" w:hAnsi="Times New Roman" w:cs="Times New Roman"/>
          <w:b/>
          <w:sz w:val="24"/>
          <w:szCs w:val="24"/>
        </w:rPr>
        <w:t>“Sabiedrības veselības pamatnostādnēm 2014.-2020.gadam”</w:t>
      </w:r>
      <w:r w:rsidR="00546F18" w:rsidRPr="00546F18">
        <w:rPr>
          <w:rFonts w:ascii="Times New Roman" w:hAnsi="Times New Roman" w:cs="Times New Roman"/>
          <w:b/>
          <w:sz w:val="24"/>
          <w:szCs w:val="24"/>
        </w:rPr>
        <w:t xml:space="preserve"> </w:t>
      </w:r>
      <w:r w:rsidR="005D20A1">
        <w:rPr>
          <w:rFonts w:ascii="Times New Roman" w:hAnsi="Times New Roman" w:cs="Times New Roman"/>
          <w:b/>
          <w:sz w:val="24"/>
          <w:szCs w:val="24"/>
        </w:rPr>
        <w:t xml:space="preserve">makroekonomiskās </w:t>
      </w:r>
      <w:r w:rsidR="00546F18" w:rsidRPr="00546F18">
        <w:rPr>
          <w:rFonts w:ascii="Times New Roman" w:hAnsi="Times New Roman" w:cs="Times New Roman"/>
          <w:b/>
          <w:sz w:val="24"/>
          <w:szCs w:val="24"/>
        </w:rPr>
        <w:t>ietekmes precizētais novērtējums</w:t>
      </w:r>
      <w:r w:rsidR="00546F18">
        <w:rPr>
          <w:rFonts w:ascii="Times New Roman" w:hAnsi="Times New Roman" w:cs="Times New Roman"/>
          <w:b/>
          <w:sz w:val="24"/>
          <w:szCs w:val="24"/>
        </w:rPr>
        <w:t>, %</w:t>
      </w:r>
    </w:p>
    <w:p w14:paraId="1B49DB3F" w14:textId="77777777" w:rsidR="005F4C67" w:rsidRPr="000B536B" w:rsidRDefault="005F4C67" w:rsidP="005F4C67">
      <w:pPr>
        <w:autoSpaceDE w:val="0"/>
        <w:autoSpaceDN w:val="0"/>
        <w:adjustRightInd w:val="0"/>
        <w:spacing w:after="0" w:line="240" w:lineRule="auto"/>
        <w:jc w:val="both"/>
        <w:rPr>
          <w:rFonts w:ascii="Times New Roman" w:hAnsi="Times New Roman" w:cs="Times New Roman"/>
          <w:noProof/>
          <w:sz w:val="24"/>
          <w:szCs w:val="24"/>
          <w:lang w:eastAsia="lv-LV"/>
        </w:rPr>
      </w:pPr>
    </w:p>
    <w:p w14:paraId="630FACC8" w14:textId="77777777" w:rsidR="005F4C67" w:rsidRDefault="005F4C67" w:rsidP="005F4C67">
      <w:pPr>
        <w:autoSpaceDE w:val="0"/>
        <w:autoSpaceDN w:val="0"/>
        <w:adjustRightInd w:val="0"/>
        <w:spacing w:after="0" w:line="240" w:lineRule="auto"/>
        <w:ind w:firstLine="720"/>
        <w:jc w:val="center"/>
        <w:rPr>
          <w:rFonts w:ascii="Times New Roman" w:hAnsi="Times New Roman" w:cs="Times New Roman"/>
          <w:sz w:val="24"/>
          <w:szCs w:val="24"/>
          <w:u w:val="single"/>
        </w:rPr>
      </w:pPr>
    </w:p>
    <w:p w14:paraId="6B6471DC" w14:textId="77777777" w:rsidR="005F4C67" w:rsidRPr="008D2CD3" w:rsidRDefault="005F4C67" w:rsidP="00546F18">
      <w:pPr>
        <w:autoSpaceDE w:val="0"/>
        <w:autoSpaceDN w:val="0"/>
        <w:adjustRightInd w:val="0"/>
        <w:spacing w:after="60" w:line="240" w:lineRule="auto"/>
        <w:ind w:firstLine="720"/>
        <w:rPr>
          <w:rFonts w:ascii="Times New Roman" w:hAnsi="Times New Roman" w:cs="Times New Roman"/>
          <w:b/>
          <w:noProof/>
          <w:sz w:val="24"/>
          <w:szCs w:val="24"/>
          <w:lang w:eastAsia="lv-LV"/>
        </w:rPr>
      </w:pPr>
      <w:r w:rsidRPr="008D2CD3">
        <w:rPr>
          <w:rFonts w:ascii="Times New Roman" w:hAnsi="Times New Roman" w:cs="Times New Roman"/>
          <w:b/>
          <w:sz w:val="24"/>
          <w:szCs w:val="24"/>
        </w:rPr>
        <w:t>Veselības sistēmas pārvaldības reforma</w:t>
      </w:r>
    </w:p>
    <w:p w14:paraId="131E2E22" w14:textId="77777777" w:rsidR="005F4C67" w:rsidRDefault="005F4C67" w:rsidP="00546F18">
      <w:pPr>
        <w:autoSpaceDE w:val="0"/>
        <w:autoSpaceDN w:val="0"/>
        <w:adjustRightInd w:val="0"/>
        <w:spacing w:after="0" w:line="240" w:lineRule="auto"/>
        <w:ind w:firstLine="720"/>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t xml:space="preserve">Kaut arī veselības sistēmas pārvaldības reforma nav deficīta atkāpes jautājums un tāpēc netiek aprakstīta šajā Stabilitātes programmā, tā ir būtiska, lai nodrošinātu efektīvu publiskā finansējuma izlietojumu. Tāpēc šī reforma papildina divas pārējās veidojot stabilu bāzi kvalitatīviem un izmaksu efektīviem veselības aprūpes pakalpojumiem.  </w:t>
      </w:r>
    </w:p>
    <w:p w14:paraId="07DC9B88" w14:textId="77777777" w:rsidR="005F4C67" w:rsidRDefault="005F4C67" w:rsidP="005F4C67">
      <w:pPr>
        <w:autoSpaceDE w:val="0"/>
        <w:autoSpaceDN w:val="0"/>
        <w:adjustRightInd w:val="0"/>
        <w:spacing w:after="0" w:line="240" w:lineRule="auto"/>
        <w:ind w:firstLine="720"/>
        <w:jc w:val="both"/>
        <w:rPr>
          <w:rFonts w:ascii="Times New Roman" w:hAnsi="Times New Roman" w:cs="Times New Roman"/>
          <w:noProof/>
          <w:sz w:val="24"/>
          <w:szCs w:val="24"/>
          <w:lang w:eastAsia="lv-LV"/>
        </w:rPr>
      </w:pPr>
    </w:p>
    <w:p w14:paraId="35476754" w14:textId="77777777" w:rsidR="005F4C67" w:rsidRPr="008D2CD3" w:rsidRDefault="005F4C67" w:rsidP="00546F18">
      <w:pPr>
        <w:autoSpaceDE w:val="0"/>
        <w:autoSpaceDN w:val="0"/>
        <w:adjustRightInd w:val="0"/>
        <w:spacing w:after="60" w:line="240" w:lineRule="auto"/>
        <w:ind w:firstLine="720"/>
        <w:rPr>
          <w:rFonts w:ascii="Times New Roman" w:hAnsi="Times New Roman" w:cs="Times New Roman"/>
          <w:b/>
          <w:noProof/>
          <w:sz w:val="24"/>
          <w:szCs w:val="24"/>
          <w:lang w:eastAsia="lv-LV"/>
        </w:rPr>
      </w:pPr>
      <w:r w:rsidRPr="008D2CD3">
        <w:rPr>
          <w:rFonts w:ascii="Times New Roman" w:hAnsi="Times New Roman" w:cs="Times New Roman"/>
          <w:b/>
          <w:noProof/>
          <w:sz w:val="24"/>
          <w:szCs w:val="24"/>
          <w:lang w:eastAsia="lv-LV"/>
        </w:rPr>
        <w:t>Veselības finansēšanas reforma</w:t>
      </w:r>
    </w:p>
    <w:p w14:paraId="1FE4DA4B" w14:textId="620057D7" w:rsidR="005F4C67" w:rsidRDefault="005F4C67" w:rsidP="005F4C67">
      <w:pPr>
        <w:autoSpaceDE w:val="0"/>
        <w:autoSpaceDN w:val="0"/>
        <w:adjustRightInd w:val="0"/>
        <w:spacing w:after="0" w:line="240" w:lineRule="auto"/>
        <w:ind w:firstLine="720"/>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t>Deficīta atk</w:t>
      </w:r>
      <w:r w:rsidR="00546F18">
        <w:rPr>
          <w:rFonts w:ascii="Times New Roman" w:hAnsi="Times New Roman" w:cs="Times New Roman"/>
          <w:noProof/>
          <w:sz w:val="24"/>
          <w:szCs w:val="24"/>
          <w:lang w:eastAsia="lv-LV"/>
        </w:rPr>
        <w:t>āpes finansējums beigsies 2020.</w:t>
      </w:r>
      <w:r>
        <w:rPr>
          <w:rFonts w:ascii="Times New Roman" w:hAnsi="Times New Roman" w:cs="Times New Roman"/>
          <w:noProof/>
          <w:sz w:val="24"/>
          <w:szCs w:val="24"/>
          <w:lang w:eastAsia="lv-LV"/>
        </w:rPr>
        <w:t xml:space="preserve">gadā, un, ja netiks atrasts kompensējošais finansējuma avots, veselības aprūpes finansējums samazināsies par 0,5% no IKP. Lai to nepieļautu, kā arī, lai nodrošinātu vēl lielāku finansējuma pieaugumu, nepieciešams pieņemt lēmumu par papildus finansējuma avotu veselības aprūpes sistēmai. Pašlaik ir izskanējuši dažādi priekšlikumi, kā obligātā privātā veselības apdrošināšana, 1 procentpunkta iezīmēšana un novirzīšana veselībai no pašreizējām </w:t>
      </w:r>
      <w:r w:rsidR="00F225E9">
        <w:rPr>
          <w:rFonts w:ascii="Times New Roman" w:hAnsi="Times New Roman" w:cs="Times New Roman"/>
          <w:noProof/>
          <w:sz w:val="24"/>
          <w:szCs w:val="24"/>
          <w:lang w:eastAsia="lv-LV"/>
        </w:rPr>
        <w:t>VSAOI</w:t>
      </w:r>
      <w:r>
        <w:rPr>
          <w:rFonts w:ascii="Times New Roman" w:hAnsi="Times New Roman" w:cs="Times New Roman"/>
          <w:noProof/>
          <w:sz w:val="24"/>
          <w:szCs w:val="24"/>
          <w:lang w:eastAsia="lv-LV"/>
        </w:rPr>
        <w:t xml:space="preserve">, iemaksu palielināšana par 1 procentpunktu un novirzīšana veselībai u.c., bet lēmums vēl nav pieņemts. </w:t>
      </w:r>
    </w:p>
    <w:p w14:paraId="29972858" w14:textId="77777777" w:rsidR="005F4C67" w:rsidRDefault="005F4C67" w:rsidP="005F4C67">
      <w:pPr>
        <w:autoSpaceDE w:val="0"/>
        <w:autoSpaceDN w:val="0"/>
        <w:adjustRightInd w:val="0"/>
        <w:spacing w:after="0" w:line="240" w:lineRule="auto"/>
        <w:ind w:firstLine="720"/>
        <w:jc w:val="both"/>
        <w:rPr>
          <w:rFonts w:ascii="Times New Roman" w:hAnsi="Times New Roman" w:cs="Times New Roman"/>
          <w:noProof/>
          <w:sz w:val="24"/>
          <w:szCs w:val="24"/>
          <w:lang w:eastAsia="lv-LV"/>
        </w:rPr>
      </w:pPr>
    </w:p>
    <w:p w14:paraId="367F5449" w14:textId="49AA1516" w:rsidR="00A34463" w:rsidRDefault="00A34463" w:rsidP="00342AA7">
      <w:pPr>
        <w:pStyle w:val="Heading2"/>
        <w:numPr>
          <w:ilvl w:val="1"/>
          <w:numId w:val="1"/>
        </w:numPr>
        <w:spacing w:before="320" w:after="120"/>
        <w:ind w:left="709"/>
        <w:rPr>
          <w:rFonts w:ascii="Times New Roman" w:hAnsi="Times New Roman" w:cs="Times New Roman"/>
          <w:sz w:val="24"/>
        </w:rPr>
      </w:pPr>
      <w:bookmarkStart w:id="20" w:name="_Toc479331095"/>
      <w:r w:rsidRPr="00F51615">
        <w:rPr>
          <w:rFonts w:ascii="Times New Roman" w:hAnsi="Times New Roman" w:cs="Times New Roman"/>
          <w:sz w:val="24"/>
        </w:rPr>
        <w:t>Fiskālās attīstības scenārijs</w:t>
      </w:r>
      <w:bookmarkEnd w:id="20"/>
    </w:p>
    <w:p w14:paraId="10C0D238" w14:textId="6DBCF7A9" w:rsidR="00C6773B" w:rsidRPr="00A5655D" w:rsidRDefault="00C6773B" w:rsidP="00A5655D">
      <w:pPr>
        <w:spacing w:after="0" w:line="240" w:lineRule="auto"/>
        <w:ind w:firstLine="720"/>
        <w:jc w:val="both"/>
        <w:rPr>
          <w:rFonts w:ascii="Times New Roman" w:eastAsia="Times New Roman" w:hAnsi="Times New Roman" w:cs="Times New Roman"/>
          <w:color w:val="000000"/>
          <w:sz w:val="24"/>
          <w:szCs w:val="20"/>
        </w:rPr>
      </w:pPr>
      <w:r w:rsidRPr="00A5655D">
        <w:rPr>
          <w:rFonts w:ascii="Times New Roman" w:eastAsia="Times New Roman" w:hAnsi="Times New Roman" w:cs="Times New Roman"/>
          <w:color w:val="000000"/>
          <w:sz w:val="24"/>
          <w:szCs w:val="20"/>
        </w:rPr>
        <w:t xml:space="preserve">Fiskālās attīstības scenārija pamatā ir nosacījums par fiskālās disciplīnas ievērošanu un atbildīgas fiskālās politikas īstenošanu Latvijā. Saskaņā ar </w:t>
      </w:r>
      <w:r w:rsidR="00486E1F" w:rsidRPr="00A5655D">
        <w:rPr>
          <w:rFonts w:ascii="Times New Roman" w:eastAsia="Times New Roman" w:hAnsi="Times New Roman" w:cs="Times New Roman"/>
          <w:color w:val="000000"/>
          <w:sz w:val="24"/>
          <w:szCs w:val="20"/>
        </w:rPr>
        <w:t>FDL</w:t>
      </w:r>
      <w:r w:rsidRPr="00A5655D">
        <w:rPr>
          <w:rFonts w:ascii="Times New Roman" w:eastAsia="Times New Roman" w:hAnsi="Times New Roman" w:cs="Times New Roman"/>
          <w:color w:val="000000"/>
          <w:sz w:val="24"/>
          <w:szCs w:val="20"/>
        </w:rPr>
        <w:t xml:space="preserve"> nosacījumiem fiskālās politikas principi paredz ekonomiskajā ciklā sabalansēta budžeta veidošanu jeb nosacījumu, ka strukturālais deficīts ilgtermiņā nedrīkst pārsniegt 0,5% no IKP. </w:t>
      </w:r>
    </w:p>
    <w:p w14:paraId="138C88B6" w14:textId="02DF58AB" w:rsidR="00912108" w:rsidRDefault="00C6773B" w:rsidP="00A5655D">
      <w:pPr>
        <w:spacing w:after="0" w:line="240" w:lineRule="auto"/>
        <w:ind w:firstLine="720"/>
        <w:jc w:val="both"/>
        <w:rPr>
          <w:rFonts w:ascii="Times New Roman" w:eastAsia="Times New Roman" w:hAnsi="Times New Roman" w:cs="Times New Roman"/>
          <w:color w:val="000000"/>
          <w:sz w:val="24"/>
          <w:szCs w:val="20"/>
        </w:rPr>
      </w:pPr>
      <w:r w:rsidRPr="00A5655D">
        <w:rPr>
          <w:rFonts w:ascii="Times New Roman" w:eastAsia="Times New Roman" w:hAnsi="Times New Roman" w:cs="Times New Roman"/>
          <w:color w:val="000000"/>
          <w:sz w:val="24"/>
          <w:szCs w:val="20"/>
        </w:rPr>
        <w:t>Scenārijs vidējam termiņam ir veidots, balstoties uz noteiktajiem vispārējās valdības budžeta bilances mērķiem strukturālā izteiksmē un ņemot vērā budžeta bilances ciklisko komponenti atbilstoši aktualizētajam makroekonomiskās attīstības scenārijam. Salīdzinājumā ar straujās ekonomiskās izaugsmes un lejupslīdes gadiem, kad bilances cikliskā komponente bija ievērojama, ņemot vērā būtiskas svārstības ekonomikā, 2017.gadā bilances cikliskā komponente tiek prognozēta tuvu nullei, bet nākamajos trijos gados tā kļūst pozitīva (0,1-0,3% no IKP).</w:t>
      </w:r>
      <w:r w:rsidRPr="00C6773B">
        <w:rPr>
          <w:rFonts w:ascii="Times New Roman" w:eastAsia="Times New Roman" w:hAnsi="Times New Roman" w:cs="Times New Roman"/>
          <w:color w:val="000000"/>
          <w:sz w:val="24"/>
          <w:szCs w:val="20"/>
        </w:rPr>
        <w:t xml:space="preserve"> </w:t>
      </w:r>
    </w:p>
    <w:p w14:paraId="41F0FB02" w14:textId="77777777" w:rsidR="00C6773B" w:rsidRPr="00C6773B" w:rsidRDefault="00C6773B" w:rsidP="00EA2F8F">
      <w:pPr>
        <w:spacing w:after="120" w:line="276" w:lineRule="auto"/>
        <w:jc w:val="center"/>
        <w:rPr>
          <w:rFonts w:ascii="Times New Roman" w:eastAsiaTheme="minorHAnsi" w:hAnsi="Times New Roman" w:cs="Times New Roman"/>
          <w:sz w:val="24"/>
          <w:szCs w:val="24"/>
        </w:rPr>
      </w:pPr>
      <w:r w:rsidRPr="00C6773B">
        <w:rPr>
          <w:rFonts w:ascii="Garamond" w:eastAsia="Times New Roman" w:hAnsi="Garamond" w:cs="Times New Roman"/>
          <w:noProof/>
          <w:sz w:val="24"/>
          <w:szCs w:val="20"/>
          <w:lang w:eastAsia="lv-LV"/>
        </w:rPr>
        <w:drawing>
          <wp:inline distT="0" distB="0" distL="0" distR="0" wp14:anchorId="3A7CD4C9" wp14:editId="5A9E3DAF">
            <wp:extent cx="5657850" cy="2286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DA47B4" w14:textId="551BA468" w:rsidR="00C6773B" w:rsidRPr="00EA2F8F" w:rsidRDefault="00C12F8D" w:rsidP="00EA2F8F">
      <w:pPr>
        <w:spacing w:before="60"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3.15</w:t>
      </w:r>
      <w:r w:rsidR="00A507C8">
        <w:rPr>
          <w:rFonts w:ascii="Times New Roman" w:eastAsia="Calibri" w:hAnsi="Times New Roman" w:cs="Times New Roman"/>
          <w:b/>
          <w:sz w:val="24"/>
          <w:szCs w:val="24"/>
        </w:rPr>
        <w:t>.</w:t>
      </w:r>
      <w:r w:rsidR="00C6773B" w:rsidRPr="00EA2F8F">
        <w:rPr>
          <w:rFonts w:ascii="Times New Roman" w:eastAsia="Calibri" w:hAnsi="Times New Roman" w:cs="Times New Roman"/>
          <w:b/>
          <w:sz w:val="24"/>
          <w:szCs w:val="24"/>
        </w:rPr>
        <w:t>att</w:t>
      </w:r>
      <w:r w:rsidR="00EA2F8F" w:rsidRPr="00EA2F8F">
        <w:rPr>
          <w:rFonts w:ascii="Times New Roman" w:eastAsia="Calibri" w:hAnsi="Times New Roman" w:cs="Times New Roman"/>
          <w:b/>
          <w:sz w:val="24"/>
          <w:szCs w:val="24"/>
        </w:rPr>
        <w:t>ēls</w:t>
      </w:r>
      <w:r w:rsidR="00C6773B" w:rsidRPr="00EA2F8F">
        <w:rPr>
          <w:rFonts w:ascii="Times New Roman" w:eastAsia="Calibri" w:hAnsi="Times New Roman" w:cs="Times New Roman"/>
          <w:b/>
          <w:sz w:val="24"/>
          <w:szCs w:val="24"/>
        </w:rPr>
        <w:t>. Vispārējās valdības budžeta bilance sadalījumā pa komponentēm</w:t>
      </w:r>
      <w:r w:rsidR="00C6773B" w:rsidRPr="00EA2F8F">
        <w:rPr>
          <w:rFonts w:ascii="Times New Roman" w:eastAsia="Calibri" w:hAnsi="Times New Roman" w:cs="Times New Roman"/>
          <w:b/>
          <w:sz w:val="24"/>
          <w:szCs w:val="24"/>
          <w:vertAlign w:val="superscript"/>
        </w:rPr>
        <w:footnoteReference w:id="29"/>
      </w:r>
      <w:r w:rsidR="00C6773B" w:rsidRPr="00EA2F8F">
        <w:rPr>
          <w:rFonts w:ascii="Times New Roman" w:eastAsia="Calibri" w:hAnsi="Times New Roman" w:cs="Times New Roman"/>
          <w:b/>
          <w:sz w:val="24"/>
          <w:szCs w:val="24"/>
        </w:rPr>
        <w:t>, % no IKP</w:t>
      </w:r>
    </w:p>
    <w:p w14:paraId="54FDA546" w14:textId="77777777" w:rsidR="00C6773B" w:rsidRPr="00C6773B" w:rsidRDefault="00C6773B" w:rsidP="00EA2F8F">
      <w:pPr>
        <w:spacing w:after="0" w:line="240" w:lineRule="auto"/>
        <w:ind w:firstLine="720"/>
        <w:jc w:val="both"/>
        <w:rPr>
          <w:rFonts w:ascii="Times New Roman" w:eastAsia="Times New Roman" w:hAnsi="Times New Roman" w:cs="Times New Roman"/>
          <w:color w:val="000000" w:themeColor="text1"/>
          <w:sz w:val="24"/>
          <w:szCs w:val="20"/>
        </w:rPr>
      </w:pPr>
      <w:r w:rsidRPr="00C6773B">
        <w:rPr>
          <w:rFonts w:ascii="Times New Roman" w:eastAsia="Times New Roman" w:hAnsi="Times New Roman" w:cs="Times New Roman"/>
          <w:color w:val="000000"/>
          <w:sz w:val="24"/>
          <w:szCs w:val="20"/>
        </w:rPr>
        <w:lastRenderedPageBreak/>
        <w:t>Izstrādājot vispārējās valdības budžeta bilances prognozes vidējam termiņam, atbilstoši jaunākajām ieņēmumu un izdevumu prognozēm tika atjaunota prognoze 2017.gadam. Sagaidāms, ka vispārējās valdības budžeta deficīts 2017.gadā būs 0,8% no IKP un tas ir mazāks kā bud</w:t>
      </w:r>
      <w:r w:rsidRPr="00C6773B">
        <w:rPr>
          <w:rFonts w:ascii="Times New Roman" w:eastAsia="Times New Roman" w:hAnsi="Times New Roman" w:cs="Times New Roman"/>
          <w:color w:val="000000" w:themeColor="text1"/>
          <w:sz w:val="24"/>
          <w:szCs w:val="20"/>
        </w:rPr>
        <w:t xml:space="preserve">žeta sagatavošanas laikā, t.i. 2016.gada rudenī.  </w:t>
      </w:r>
    </w:p>
    <w:p w14:paraId="23B0C511" w14:textId="78D83C89" w:rsidR="00546F18" w:rsidRDefault="00C6773B" w:rsidP="00712C58">
      <w:pPr>
        <w:spacing w:after="120" w:line="240" w:lineRule="auto"/>
        <w:ind w:firstLine="720"/>
        <w:jc w:val="both"/>
        <w:rPr>
          <w:rFonts w:ascii="Times New Roman" w:eastAsiaTheme="minorHAnsi" w:hAnsi="Times New Roman" w:cs="Times New Roman"/>
          <w:b/>
          <w:sz w:val="24"/>
          <w:szCs w:val="24"/>
        </w:rPr>
      </w:pPr>
      <w:r w:rsidRPr="00C6773B">
        <w:rPr>
          <w:rFonts w:ascii="Times New Roman" w:eastAsia="Times New Roman" w:hAnsi="Times New Roman" w:cs="Times New Roman"/>
          <w:color w:val="000000" w:themeColor="text1"/>
          <w:sz w:val="24"/>
          <w:szCs w:val="20"/>
        </w:rPr>
        <w:t>Vispārējās valdības budžeta bilances prognozes vidējam termiņam pie nemainīgas politikas tika sagatavotas atbilstoši aktualizētajam makroekonomiskās attīstības scenārijam, kas ir pamatā ieņēmumu un izdevumu prognozēm, tāpat izmantojot apstiprinātos centrālās valdības bāzes izdevumus turpmākajiem trim gadiem un sagaidāmo izdevumu attīstību vietējās valdības budžetā. Jāatzīmē, ka scenārijs pie nemainīgas politikas ietver straujāku izdevumu pieaugumu aizsardzībai, finansējumam 2018.gadā sasniedzot 2% no IKP un turpmāk to saglabājot 2% no IKP līmenī. Rezultātā scenārijā pie nemainīgas politikas 2018.gadā vispārējās valdības budžeta deficīts tiek prognozēts 0,3%  no IKP, savukārt 2019.gadā paredzams budžeta pārpalik</w:t>
      </w:r>
      <w:r w:rsidR="00A5655D">
        <w:rPr>
          <w:rFonts w:ascii="Times New Roman" w:eastAsia="Times New Roman" w:hAnsi="Times New Roman" w:cs="Times New Roman"/>
          <w:color w:val="000000" w:themeColor="text1"/>
          <w:sz w:val="24"/>
          <w:szCs w:val="20"/>
        </w:rPr>
        <w:t>ums 0,3% apmērā no IKP un 2020.</w:t>
      </w:r>
      <w:r w:rsidRPr="00C6773B">
        <w:rPr>
          <w:rFonts w:ascii="Times New Roman" w:eastAsia="Times New Roman" w:hAnsi="Times New Roman" w:cs="Times New Roman"/>
          <w:color w:val="000000" w:themeColor="text1"/>
          <w:sz w:val="24"/>
          <w:szCs w:val="20"/>
        </w:rPr>
        <w:t>gadā 0,8% apmērā no IKP.</w:t>
      </w:r>
    </w:p>
    <w:p w14:paraId="01A739ED" w14:textId="104D3330" w:rsidR="00C6773B" w:rsidRPr="00912108" w:rsidRDefault="00E045E3" w:rsidP="00912108">
      <w:pPr>
        <w:spacing w:before="120" w:after="60" w:line="240" w:lineRule="auto"/>
        <w:ind w:firstLine="720"/>
        <w:jc w:val="right"/>
        <w:rPr>
          <w:rFonts w:ascii="Times New Roman" w:eastAsiaTheme="minorHAnsi" w:hAnsi="Times New Roman" w:cs="Times New Roman"/>
          <w:b/>
          <w:sz w:val="24"/>
          <w:szCs w:val="24"/>
        </w:rPr>
      </w:pPr>
      <w:r>
        <w:rPr>
          <w:rFonts w:ascii="Times New Roman" w:eastAsiaTheme="minorHAnsi" w:hAnsi="Times New Roman" w:cs="Times New Roman"/>
          <w:b/>
          <w:sz w:val="24"/>
          <w:szCs w:val="24"/>
        </w:rPr>
        <w:t>3.</w:t>
      </w:r>
      <w:r w:rsidR="00FC7A05">
        <w:rPr>
          <w:rFonts w:ascii="Times New Roman" w:eastAsiaTheme="minorHAnsi" w:hAnsi="Times New Roman" w:cs="Times New Roman"/>
          <w:b/>
          <w:sz w:val="24"/>
          <w:szCs w:val="24"/>
        </w:rPr>
        <w:t>25</w:t>
      </w:r>
      <w:r>
        <w:rPr>
          <w:rFonts w:ascii="Times New Roman" w:eastAsiaTheme="minorHAnsi" w:hAnsi="Times New Roman" w:cs="Times New Roman"/>
          <w:b/>
          <w:sz w:val="24"/>
          <w:szCs w:val="24"/>
        </w:rPr>
        <w:t>.</w:t>
      </w:r>
      <w:r w:rsidR="00C6773B" w:rsidRPr="00912108">
        <w:rPr>
          <w:rFonts w:ascii="Times New Roman" w:eastAsiaTheme="minorHAnsi" w:hAnsi="Times New Roman" w:cs="Times New Roman"/>
          <w:b/>
          <w:sz w:val="24"/>
          <w:szCs w:val="24"/>
        </w:rPr>
        <w:t xml:space="preserve">tabula. Vidējā termiņa scenārijs pie  nemainīgas politikas </w:t>
      </w:r>
    </w:p>
    <w:tbl>
      <w:tblPr>
        <w:tblStyle w:val="GridTable6Colorful-Accent1"/>
        <w:tblW w:w="9073" w:type="dxa"/>
        <w:jc w:val="center"/>
        <w:tblLayout w:type="fixed"/>
        <w:tblLook w:val="04A0" w:firstRow="1" w:lastRow="0" w:firstColumn="1" w:lastColumn="0" w:noHBand="0" w:noVBand="1"/>
      </w:tblPr>
      <w:tblGrid>
        <w:gridCol w:w="3545"/>
        <w:gridCol w:w="1186"/>
        <w:gridCol w:w="940"/>
        <w:gridCol w:w="851"/>
        <w:gridCol w:w="850"/>
        <w:gridCol w:w="851"/>
        <w:gridCol w:w="850"/>
      </w:tblGrid>
      <w:tr w:rsidR="00912108" w:rsidRPr="00912108" w14:paraId="4F04FCF5" w14:textId="77777777" w:rsidTr="00F324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5" w:type="dxa"/>
          </w:tcPr>
          <w:p w14:paraId="0765DDD1" w14:textId="77777777" w:rsidR="00C6773B" w:rsidRPr="00912108" w:rsidRDefault="00C6773B" w:rsidP="00C6773B">
            <w:pPr>
              <w:jc w:val="center"/>
              <w:rPr>
                <w:rFonts w:ascii="Times New Roman" w:eastAsia="Times New Roman" w:hAnsi="Times New Roman" w:cs="Times New Roman"/>
                <w:b w:val="0"/>
                <w:color w:val="auto"/>
                <w:sz w:val="20"/>
                <w:szCs w:val="20"/>
                <w:highlight w:val="yellow"/>
              </w:rPr>
            </w:pPr>
          </w:p>
        </w:tc>
        <w:tc>
          <w:tcPr>
            <w:tcW w:w="1186" w:type="dxa"/>
          </w:tcPr>
          <w:p w14:paraId="69FB4E8D" w14:textId="77777777" w:rsidR="00C6773B" w:rsidRPr="00912108" w:rsidRDefault="00C6773B" w:rsidP="00C677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tcPr>
          <w:p w14:paraId="69016255" w14:textId="77777777" w:rsidR="00C6773B" w:rsidRPr="00912108" w:rsidRDefault="00C6773B" w:rsidP="00C677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2016</w:t>
            </w:r>
          </w:p>
        </w:tc>
        <w:tc>
          <w:tcPr>
            <w:tcW w:w="851" w:type="dxa"/>
          </w:tcPr>
          <w:p w14:paraId="752636A2" w14:textId="77777777" w:rsidR="00C6773B" w:rsidRPr="00912108" w:rsidRDefault="00C6773B" w:rsidP="00C677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2017</w:t>
            </w:r>
          </w:p>
        </w:tc>
        <w:tc>
          <w:tcPr>
            <w:tcW w:w="850" w:type="dxa"/>
          </w:tcPr>
          <w:p w14:paraId="560AEA4C" w14:textId="77777777" w:rsidR="00C6773B" w:rsidRPr="00912108" w:rsidRDefault="00C6773B" w:rsidP="00C677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2018</w:t>
            </w:r>
          </w:p>
        </w:tc>
        <w:tc>
          <w:tcPr>
            <w:tcW w:w="851" w:type="dxa"/>
          </w:tcPr>
          <w:p w14:paraId="7BCB52C7" w14:textId="77777777" w:rsidR="00C6773B" w:rsidRPr="00912108" w:rsidRDefault="00C6773B" w:rsidP="00C677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2019</w:t>
            </w:r>
          </w:p>
        </w:tc>
        <w:tc>
          <w:tcPr>
            <w:tcW w:w="850" w:type="dxa"/>
          </w:tcPr>
          <w:p w14:paraId="42338F15" w14:textId="77777777" w:rsidR="00C6773B" w:rsidRPr="00912108" w:rsidRDefault="00C6773B" w:rsidP="00C677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2020</w:t>
            </w:r>
          </w:p>
        </w:tc>
      </w:tr>
      <w:tr w:rsidR="00912108" w:rsidRPr="00912108" w14:paraId="0BE25254"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5" w:type="dxa"/>
          </w:tcPr>
          <w:p w14:paraId="0D69252A" w14:textId="77777777" w:rsidR="00C6773B" w:rsidRPr="00912108" w:rsidRDefault="00C6773B" w:rsidP="00C6773B">
            <w:pPr>
              <w:rPr>
                <w:rFonts w:ascii="Times New Roman" w:eastAsia="Times New Roman" w:hAnsi="Times New Roman" w:cs="Times New Roman"/>
                <w:color w:val="auto"/>
                <w:sz w:val="20"/>
                <w:szCs w:val="20"/>
                <w:highlight w:val="yellow"/>
              </w:rPr>
            </w:pPr>
          </w:p>
        </w:tc>
        <w:tc>
          <w:tcPr>
            <w:tcW w:w="1186" w:type="dxa"/>
          </w:tcPr>
          <w:p w14:paraId="15C36DCA" w14:textId="77777777" w:rsidR="00C6773B" w:rsidRPr="00912108" w:rsidRDefault="00C6773B" w:rsidP="00C677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912108">
              <w:rPr>
                <w:rFonts w:ascii="Times New Roman" w:eastAsia="Times New Roman" w:hAnsi="Times New Roman" w:cs="Times New Roman"/>
                <w:b/>
                <w:color w:val="auto"/>
                <w:sz w:val="20"/>
                <w:szCs w:val="20"/>
              </w:rPr>
              <w:t>EKS kods</w:t>
            </w:r>
          </w:p>
        </w:tc>
        <w:tc>
          <w:tcPr>
            <w:tcW w:w="4342" w:type="dxa"/>
            <w:gridSpan w:val="5"/>
          </w:tcPr>
          <w:p w14:paraId="05579456" w14:textId="77777777" w:rsidR="00C6773B" w:rsidRPr="00912108" w:rsidRDefault="00C6773B" w:rsidP="00C677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912108">
              <w:rPr>
                <w:rFonts w:ascii="Times New Roman" w:eastAsia="Times New Roman" w:hAnsi="Times New Roman" w:cs="Times New Roman"/>
                <w:b/>
                <w:color w:val="auto"/>
                <w:sz w:val="20"/>
                <w:szCs w:val="20"/>
              </w:rPr>
              <w:t>% no IKP</w:t>
            </w:r>
          </w:p>
        </w:tc>
      </w:tr>
      <w:tr w:rsidR="00912108" w:rsidRPr="00912108" w14:paraId="50014B96"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9073" w:type="dxa"/>
            <w:gridSpan w:val="7"/>
          </w:tcPr>
          <w:p w14:paraId="047D2501" w14:textId="77777777" w:rsidR="00C6773B" w:rsidRPr="00912108" w:rsidRDefault="00C6773B" w:rsidP="00C6773B">
            <w:pPr>
              <w:ind w:firstLine="720"/>
              <w:jc w:val="center"/>
              <w:rPr>
                <w:rFonts w:ascii="Times New Roman" w:eastAsia="Times New Roman" w:hAnsi="Times New Roman" w:cs="Times New Roman"/>
                <w:noProof/>
                <w:snapToGrid w:val="0"/>
                <w:color w:val="auto"/>
                <w:sz w:val="20"/>
                <w:szCs w:val="20"/>
              </w:rPr>
            </w:pPr>
            <w:r w:rsidRPr="00912108">
              <w:rPr>
                <w:rFonts w:ascii="Times New Roman" w:eastAsia="Times New Roman" w:hAnsi="Times New Roman" w:cs="Times New Roman"/>
                <w:snapToGrid w:val="0"/>
                <w:color w:val="auto"/>
                <w:sz w:val="20"/>
                <w:szCs w:val="20"/>
              </w:rPr>
              <w:t xml:space="preserve">Neto aizdevumi (+) vai aizņēmumi (-) (B.9) pa </w:t>
            </w:r>
            <w:r w:rsidRPr="00912108">
              <w:rPr>
                <w:rFonts w:ascii="Times New Roman" w:eastAsia="Times New Roman" w:hAnsi="Times New Roman" w:cs="Times New Roman"/>
                <w:noProof/>
                <w:snapToGrid w:val="0"/>
                <w:color w:val="auto"/>
                <w:sz w:val="20"/>
                <w:szCs w:val="20"/>
              </w:rPr>
              <w:t>apakšsektoriem</w:t>
            </w:r>
          </w:p>
        </w:tc>
      </w:tr>
      <w:tr w:rsidR="00912108" w:rsidRPr="00912108" w14:paraId="64A1E65A"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5" w:type="dxa"/>
          </w:tcPr>
          <w:p w14:paraId="5CBDAA7C"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Vispārējā valdība</w:t>
            </w:r>
          </w:p>
        </w:tc>
        <w:tc>
          <w:tcPr>
            <w:tcW w:w="1186" w:type="dxa"/>
          </w:tcPr>
          <w:p w14:paraId="73422D96" w14:textId="77777777" w:rsidR="00C6773B" w:rsidRPr="00912108" w:rsidRDefault="00C6773B" w:rsidP="009121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S.13</w:t>
            </w:r>
          </w:p>
        </w:tc>
        <w:tc>
          <w:tcPr>
            <w:tcW w:w="940" w:type="dxa"/>
          </w:tcPr>
          <w:p w14:paraId="4CDBCBD4"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0,0</w:t>
            </w:r>
          </w:p>
        </w:tc>
        <w:tc>
          <w:tcPr>
            <w:tcW w:w="851" w:type="dxa"/>
          </w:tcPr>
          <w:p w14:paraId="27275311"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-0,8</w:t>
            </w:r>
          </w:p>
        </w:tc>
        <w:tc>
          <w:tcPr>
            <w:tcW w:w="850" w:type="dxa"/>
          </w:tcPr>
          <w:p w14:paraId="2AAA7EDB"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-0,3</w:t>
            </w:r>
          </w:p>
        </w:tc>
        <w:tc>
          <w:tcPr>
            <w:tcW w:w="851" w:type="dxa"/>
          </w:tcPr>
          <w:p w14:paraId="69D15C91"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0,3</w:t>
            </w:r>
          </w:p>
        </w:tc>
        <w:tc>
          <w:tcPr>
            <w:tcW w:w="850" w:type="dxa"/>
          </w:tcPr>
          <w:p w14:paraId="1FD90BAE"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0,8</w:t>
            </w:r>
          </w:p>
        </w:tc>
      </w:tr>
      <w:tr w:rsidR="00912108" w:rsidRPr="00912108" w14:paraId="4248482B"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3545" w:type="dxa"/>
          </w:tcPr>
          <w:p w14:paraId="320F0A39"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Centrālā valdība</w:t>
            </w:r>
          </w:p>
        </w:tc>
        <w:tc>
          <w:tcPr>
            <w:tcW w:w="1186" w:type="dxa"/>
          </w:tcPr>
          <w:p w14:paraId="06080C65" w14:textId="77777777" w:rsidR="00C6773B" w:rsidRPr="00912108" w:rsidRDefault="00C6773B" w:rsidP="009121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S.1311</w:t>
            </w:r>
          </w:p>
        </w:tc>
        <w:tc>
          <w:tcPr>
            <w:tcW w:w="940" w:type="dxa"/>
          </w:tcPr>
          <w:p w14:paraId="7DD03071"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-0,1</w:t>
            </w:r>
          </w:p>
        </w:tc>
        <w:tc>
          <w:tcPr>
            <w:tcW w:w="851" w:type="dxa"/>
          </w:tcPr>
          <w:p w14:paraId="36DF5045"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-1,0</w:t>
            </w:r>
          </w:p>
        </w:tc>
        <w:tc>
          <w:tcPr>
            <w:tcW w:w="850" w:type="dxa"/>
          </w:tcPr>
          <w:p w14:paraId="30172C3A"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-0,4</w:t>
            </w:r>
          </w:p>
        </w:tc>
        <w:tc>
          <w:tcPr>
            <w:tcW w:w="851" w:type="dxa"/>
          </w:tcPr>
          <w:p w14:paraId="040879A7"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0,3</w:t>
            </w:r>
          </w:p>
        </w:tc>
        <w:tc>
          <w:tcPr>
            <w:tcW w:w="850" w:type="dxa"/>
          </w:tcPr>
          <w:p w14:paraId="542FA135"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1,0</w:t>
            </w:r>
          </w:p>
        </w:tc>
      </w:tr>
      <w:tr w:rsidR="00912108" w:rsidRPr="00912108" w14:paraId="31AA18B0"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5" w:type="dxa"/>
          </w:tcPr>
          <w:p w14:paraId="6A057242"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Vietējā valdība</w:t>
            </w:r>
          </w:p>
        </w:tc>
        <w:tc>
          <w:tcPr>
            <w:tcW w:w="1186" w:type="dxa"/>
          </w:tcPr>
          <w:p w14:paraId="6DFD499B" w14:textId="77777777" w:rsidR="00C6773B" w:rsidRPr="00912108" w:rsidRDefault="00C6773B" w:rsidP="009121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S.1313</w:t>
            </w:r>
          </w:p>
        </w:tc>
        <w:tc>
          <w:tcPr>
            <w:tcW w:w="940" w:type="dxa"/>
          </w:tcPr>
          <w:p w14:paraId="28FDB446"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0,1</w:t>
            </w:r>
          </w:p>
        </w:tc>
        <w:tc>
          <w:tcPr>
            <w:tcW w:w="851" w:type="dxa"/>
          </w:tcPr>
          <w:p w14:paraId="27F9A9BD"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0,2</w:t>
            </w:r>
          </w:p>
        </w:tc>
        <w:tc>
          <w:tcPr>
            <w:tcW w:w="850" w:type="dxa"/>
          </w:tcPr>
          <w:p w14:paraId="2FF17600"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0,1</w:t>
            </w:r>
          </w:p>
        </w:tc>
        <w:tc>
          <w:tcPr>
            <w:tcW w:w="851" w:type="dxa"/>
          </w:tcPr>
          <w:p w14:paraId="5D48BCA2"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0,0</w:t>
            </w:r>
          </w:p>
        </w:tc>
        <w:tc>
          <w:tcPr>
            <w:tcW w:w="850" w:type="dxa"/>
          </w:tcPr>
          <w:p w14:paraId="4A797C80"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0,0</w:t>
            </w:r>
          </w:p>
        </w:tc>
      </w:tr>
      <w:tr w:rsidR="00912108" w:rsidRPr="00912108" w14:paraId="4B760790"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3545" w:type="dxa"/>
          </w:tcPr>
          <w:p w14:paraId="6581D7C6"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Sociālās nodrošināšanas fondi</w:t>
            </w:r>
          </w:p>
        </w:tc>
        <w:tc>
          <w:tcPr>
            <w:tcW w:w="1186" w:type="dxa"/>
          </w:tcPr>
          <w:p w14:paraId="413FBDD7" w14:textId="77777777" w:rsidR="00C6773B" w:rsidRPr="00912108" w:rsidRDefault="00C6773B" w:rsidP="009121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S.1314</w:t>
            </w:r>
          </w:p>
        </w:tc>
        <w:tc>
          <w:tcPr>
            <w:tcW w:w="940" w:type="dxa"/>
          </w:tcPr>
          <w:p w14:paraId="4562C50F"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0,0</w:t>
            </w:r>
          </w:p>
        </w:tc>
        <w:tc>
          <w:tcPr>
            <w:tcW w:w="851" w:type="dxa"/>
          </w:tcPr>
          <w:p w14:paraId="792EB620"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0,1</w:t>
            </w:r>
          </w:p>
        </w:tc>
        <w:tc>
          <w:tcPr>
            <w:tcW w:w="850" w:type="dxa"/>
          </w:tcPr>
          <w:p w14:paraId="100DD620"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0,0</w:t>
            </w:r>
          </w:p>
        </w:tc>
        <w:tc>
          <w:tcPr>
            <w:tcW w:w="851" w:type="dxa"/>
          </w:tcPr>
          <w:p w14:paraId="7DDC3DB2"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-0,1</w:t>
            </w:r>
          </w:p>
        </w:tc>
        <w:tc>
          <w:tcPr>
            <w:tcW w:w="850" w:type="dxa"/>
          </w:tcPr>
          <w:p w14:paraId="0537DF16"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-0,2</w:t>
            </w:r>
          </w:p>
        </w:tc>
      </w:tr>
      <w:tr w:rsidR="00912108" w:rsidRPr="00912108" w14:paraId="2F8B35A9"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3" w:type="dxa"/>
            <w:gridSpan w:val="7"/>
          </w:tcPr>
          <w:p w14:paraId="0A0CFE7A" w14:textId="77777777" w:rsidR="00C6773B" w:rsidRPr="00912108" w:rsidRDefault="00C6773B" w:rsidP="00C6773B">
            <w:pPr>
              <w:ind w:firstLine="720"/>
              <w:jc w:val="cente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Vispārējā valdība (S.13)</w:t>
            </w:r>
          </w:p>
        </w:tc>
      </w:tr>
      <w:tr w:rsidR="00912108" w:rsidRPr="00912108" w14:paraId="7D45DA78"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3545" w:type="dxa"/>
          </w:tcPr>
          <w:p w14:paraId="0A9655BC"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 xml:space="preserve">Kopējie ieņēmumi </w:t>
            </w:r>
          </w:p>
        </w:tc>
        <w:tc>
          <w:tcPr>
            <w:tcW w:w="1186" w:type="dxa"/>
          </w:tcPr>
          <w:p w14:paraId="4463CFC2" w14:textId="77777777" w:rsidR="00C6773B" w:rsidRPr="00912108" w:rsidRDefault="00C6773B" w:rsidP="00C677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TR</w:t>
            </w:r>
          </w:p>
        </w:tc>
        <w:tc>
          <w:tcPr>
            <w:tcW w:w="940" w:type="dxa"/>
          </w:tcPr>
          <w:p w14:paraId="442623BD"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36,1</w:t>
            </w:r>
          </w:p>
        </w:tc>
        <w:tc>
          <w:tcPr>
            <w:tcW w:w="851" w:type="dxa"/>
          </w:tcPr>
          <w:p w14:paraId="0635D079"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36,8</w:t>
            </w:r>
          </w:p>
        </w:tc>
        <w:tc>
          <w:tcPr>
            <w:tcW w:w="850" w:type="dxa"/>
          </w:tcPr>
          <w:p w14:paraId="598B5805"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36,8</w:t>
            </w:r>
          </w:p>
        </w:tc>
        <w:tc>
          <w:tcPr>
            <w:tcW w:w="851" w:type="dxa"/>
          </w:tcPr>
          <w:p w14:paraId="51BC9C25"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36,5</w:t>
            </w:r>
          </w:p>
        </w:tc>
        <w:tc>
          <w:tcPr>
            <w:tcW w:w="850" w:type="dxa"/>
          </w:tcPr>
          <w:p w14:paraId="4BBF1999"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36,0</w:t>
            </w:r>
          </w:p>
        </w:tc>
      </w:tr>
      <w:tr w:rsidR="00912108" w:rsidRPr="00912108" w14:paraId="2D787083" w14:textId="77777777" w:rsidTr="00F3248F">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3545" w:type="dxa"/>
          </w:tcPr>
          <w:p w14:paraId="7BDB3044"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Kopējie izdevumi</w:t>
            </w:r>
          </w:p>
        </w:tc>
        <w:tc>
          <w:tcPr>
            <w:tcW w:w="1186" w:type="dxa"/>
          </w:tcPr>
          <w:p w14:paraId="22D79884" w14:textId="77777777" w:rsidR="00C6773B" w:rsidRPr="00912108" w:rsidRDefault="00C6773B" w:rsidP="00C677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TE</w:t>
            </w:r>
          </w:p>
        </w:tc>
        <w:tc>
          <w:tcPr>
            <w:tcW w:w="940" w:type="dxa"/>
          </w:tcPr>
          <w:p w14:paraId="4402C483"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36,1</w:t>
            </w:r>
          </w:p>
        </w:tc>
        <w:tc>
          <w:tcPr>
            <w:tcW w:w="851" w:type="dxa"/>
          </w:tcPr>
          <w:p w14:paraId="3939B726"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37,6</w:t>
            </w:r>
          </w:p>
        </w:tc>
        <w:tc>
          <w:tcPr>
            <w:tcW w:w="850" w:type="dxa"/>
          </w:tcPr>
          <w:p w14:paraId="7633F34F"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37,1</w:t>
            </w:r>
          </w:p>
        </w:tc>
        <w:tc>
          <w:tcPr>
            <w:tcW w:w="851" w:type="dxa"/>
          </w:tcPr>
          <w:p w14:paraId="420A1AFB"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36,3</w:t>
            </w:r>
          </w:p>
        </w:tc>
        <w:tc>
          <w:tcPr>
            <w:tcW w:w="850" w:type="dxa"/>
          </w:tcPr>
          <w:p w14:paraId="18B9DDA3"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35,2</w:t>
            </w:r>
          </w:p>
        </w:tc>
      </w:tr>
      <w:tr w:rsidR="00912108" w:rsidRPr="00912108" w14:paraId="79E3AAAF"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3545" w:type="dxa"/>
          </w:tcPr>
          <w:p w14:paraId="00811135"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Procentu izdevumi</w:t>
            </w:r>
          </w:p>
        </w:tc>
        <w:tc>
          <w:tcPr>
            <w:tcW w:w="1186" w:type="dxa"/>
          </w:tcPr>
          <w:p w14:paraId="727DD9E5" w14:textId="77777777" w:rsidR="00C6773B" w:rsidRPr="00912108" w:rsidRDefault="00C6773B" w:rsidP="00C677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12108">
              <w:rPr>
                <w:rFonts w:ascii="Times New Roman" w:eastAsia="Times New Roman" w:hAnsi="Times New Roman" w:cs="Times New Roman"/>
                <w:color w:val="auto"/>
                <w:sz w:val="20"/>
                <w:szCs w:val="20"/>
              </w:rPr>
              <w:t>D.41</w:t>
            </w:r>
          </w:p>
        </w:tc>
        <w:tc>
          <w:tcPr>
            <w:tcW w:w="940" w:type="dxa"/>
          </w:tcPr>
          <w:p w14:paraId="611D1682"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1,1</w:t>
            </w:r>
          </w:p>
        </w:tc>
        <w:tc>
          <w:tcPr>
            <w:tcW w:w="851" w:type="dxa"/>
          </w:tcPr>
          <w:p w14:paraId="33F56965"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1,0</w:t>
            </w:r>
          </w:p>
        </w:tc>
        <w:tc>
          <w:tcPr>
            <w:tcW w:w="850" w:type="dxa"/>
          </w:tcPr>
          <w:p w14:paraId="68D91E4E"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0,9</w:t>
            </w:r>
          </w:p>
        </w:tc>
        <w:tc>
          <w:tcPr>
            <w:tcW w:w="851" w:type="dxa"/>
          </w:tcPr>
          <w:p w14:paraId="6C6C95A3"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1,0</w:t>
            </w:r>
          </w:p>
        </w:tc>
        <w:tc>
          <w:tcPr>
            <w:tcW w:w="850" w:type="dxa"/>
          </w:tcPr>
          <w:p w14:paraId="1CB57F5C"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0,9</w:t>
            </w:r>
          </w:p>
        </w:tc>
      </w:tr>
      <w:tr w:rsidR="00912108" w:rsidRPr="00912108" w14:paraId="68CF76DD"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3" w:type="dxa"/>
            <w:gridSpan w:val="7"/>
          </w:tcPr>
          <w:p w14:paraId="2E17F99B" w14:textId="77777777" w:rsidR="00C6773B" w:rsidRPr="00912108" w:rsidRDefault="00C6773B" w:rsidP="00C6773B">
            <w:pPr>
              <w:ind w:firstLine="720"/>
              <w:jc w:val="cente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Cikliskā attīstība</w:t>
            </w:r>
          </w:p>
        </w:tc>
      </w:tr>
      <w:tr w:rsidR="00912108" w:rsidRPr="00912108" w14:paraId="4C59518F"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3545" w:type="dxa"/>
          </w:tcPr>
          <w:p w14:paraId="7A0FE807"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 xml:space="preserve">Budžeta bilances cikliskā komponente </w:t>
            </w:r>
          </w:p>
        </w:tc>
        <w:tc>
          <w:tcPr>
            <w:tcW w:w="1186" w:type="dxa"/>
          </w:tcPr>
          <w:p w14:paraId="4F455C63" w14:textId="77777777" w:rsidR="00C6773B" w:rsidRPr="00912108" w:rsidRDefault="00C6773B" w:rsidP="00C677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tcPr>
          <w:p w14:paraId="32F627F2"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-0,2</w:t>
            </w:r>
          </w:p>
        </w:tc>
        <w:tc>
          <w:tcPr>
            <w:tcW w:w="851" w:type="dxa"/>
          </w:tcPr>
          <w:p w14:paraId="28672A8F"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-0,1</w:t>
            </w:r>
          </w:p>
        </w:tc>
        <w:tc>
          <w:tcPr>
            <w:tcW w:w="850" w:type="dxa"/>
          </w:tcPr>
          <w:p w14:paraId="18D879E8"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0,1</w:t>
            </w:r>
          </w:p>
        </w:tc>
        <w:tc>
          <w:tcPr>
            <w:tcW w:w="851" w:type="dxa"/>
          </w:tcPr>
          <w:p w14:paraId="43C97779"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0,3</w:t>
            </w:r>
          </w:p>
        </w:tc>
        <w:tc>
          <w:tcPr>
            <w:tcW w:w="850" w:type="dxa"/>
          </w:tcPr>
          <w:p w14:paraId="22F92DA8"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0,3</w:t>
            </w:r>
          </w:p>
        </w:tc>
      </w:tr>
      <w:tr w:rsidR="00912108" w:rsidRPr="00912108" w14:paraId="0361841B" w14:textId="77777777" w:rsidTr="00F3248F">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3545" w:type="dxa"/>
          </w:tcPr>
          <w:p w14:paraId="199AB863"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Strukturālā bilance</w:t>
            </w:r>
          </w:p>
        </w:tc>
        <w:tc>
          <w:tcPr>
            <w:tcW w:w="1186" w:type="dxa"/>
          </w:tcPr>
          <w:p w14:paraId="5FA074D8" w14:textId="77777777" w:rsidR="00C6773B" w:rsidRPr="00912108" w:rsidRDefault="00C6773B" w:rsidP="00C677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tcPr>
          <w:p w14:paraId="29AF7C3B"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0,2</w:t>
            </w:r>
          </w:p>
        </w:tc>
        <w:tc>
          <w:tcPr>
            <w:tcW w:w="851" w:type="dxa"/>
          </w:tcPr>
          <w:p w14:paraId="4C3D9D47"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-0,7</w:t>
            </w:r>
          </w:p>
        </w:tc>
        <w:tc>
          <w:tcPr>
            <w:tcW w:w="850" w:type="dxa"/>
          </w:tcPr>
          <w:p w14:paraId="72C78F52"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-0,4</w:t>
            </w:r>
          </w:p>
        </w:tc>
        <w:tc>
          <w:tcPr>
            <w:tcW w:w="851" w:type="dxa"/>
          </w:tcPr>
          <w:p w14:paraId="6CD23785"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0,0</w:t>
            </w:r>
          </w:p>
        </w:tc>
        <w:tc>
          <w:tcPr>
            <w:tcW w:w="850" w:type="dxa"/>
          </w:tcPr>
          <w:p w14:paraId="57A8D789" w14:textId="77777777" w:rsidR="00C6773B" w:rsidRPr="00912108" w:rsidRDefault="00C6773B" w:rsidP="009121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0,5</w:t>
            </w:r>
          </w:p>
        </w:tc>
      </w:tr>
      <w:tr w:rsidR="00912108" w:rsidRPr="00912108" w14:paraId="0A038652"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3545" w:type="dxa"/>
          </w:tcPr>
          <w:p w14:paraId="4F15B169" w14:textId="77777777" w:rsidR="00C6773B" w:rsidRPr="00912108" w:rsidRDefault="00C6773B" w:rsidP="00C6773B">
            <w:pPr>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Cikliski koriģētā primārā bilance</w:t>
            </w:r>
          </w:p>
        </w:tc>
        <w:tc>
          <w:tcPr>
            <w:tcW w:w="1186" w:type="dxa"/>
          </w:tcPr>
          <w:p w14:paraId="0E43EC6E" w14:textId="77777777" w:rsidR="00C6773B" w:rsidRPr="00912108" w:rsidRDefault="00C6773B" w:rsidP="00C677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tcPr>
          <w:p w14:paraId="5ED1DEEC"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1,3</w:t>
            </w:r>
          </w:p>
        </w:tc>
        <w:tc>
          <w:tcPr>
            <w:tcW w:w="851" w:type="dxa"/>
          </w:tcPr>
          <w:p w14:paraId="3461EEF5"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0,2</w:t>
            </w:r>
          </w:p>
        </w:tc>
        <w:tc>
          <w:tcPr>
            <w:tcW w:w="850" w:type="dxa"/>
          </w:tcPr>
          <w:p w14:paraId="2C190412"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0,5</w:t>
            </w:r>
          </w:p>
        </w:tc>
        <w:tc>
          <w:tcPr>
            <w:tcW w:w="851" w:type="dxa"/>
          </w:tcPr>
          <w:p w14:paraId="56BE02ED"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1,0</w:t>
            </w:r>
          </w:p>
        </w:tc>
        <w:tc>
          <w:tcPr>
            <w:tcW w:w="850" w:type="dxa"/>
          </w:tcPr>
          <w:p w14:paraId="52831683" w14:textId="77777777" w:rsidR="00C6773B" w:rsidRPr="00912108" w:rsidRDefault="00C6773B" w:rsidP="009121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912108">
              <w:rPr>
                <w:rFonts w:ascii="Times New Roman" w:eastAsia="Times New Roman" w:hAnsi="Times New Roman" w:cs="Times New Roman"/>
                <w:snapToGrid w:val="0"/>
                <w:color w:val="auto"/>
                <w:sz w:val="20"/>
                <w:szCs w:val="20"/>
              </w:rPr>
              <w:t>1,4</w:t>
            </w:r>
          </w:p>
        </w:tc>
      </w:tr>
    </w:tbl>
    <w:p w14:paraId="19963F70" w14:textId="77777777" w:rsidR="00C6773B" w:rsidRPr="00C6773B" w:rsidRDefault="00C6773B" w:rsidP="00912108">
      <w:pPr>
        <w:spacing w:before="120" w:after="120" w:line="240" w:lineRule="auto"/>
        <w:ind w:firstLine="720"/>
        <w:jc w:val="both"/>
        <w:rPr>
          <w:rFonts w:ascii="Times New Roman" w:eastAsia="Times New Roman" w:hAnsi="Times New Roman" w:cs="Times New Roman"/>
          <w:sz w:val="24"/>
          <w:szCs w:val="24"/>
        </w:rPr>
      </w:pPr>
      <w:r w:rsidRPr="00C6773B">
        <w:rPr>
          <w:rFonts w:ascii="Times New Roman" w:eastAsia="Times New Roman" w:hAnsi="Times New Roman" w:cs="Times New Roman"/>
          <w:sz w:val="24"/>
          <w:szCs w:val="24"/>
        </w:rPr>
        <w:t xml:space="preserve">Vispārējās valdības budžeta attīstību turpmākajos gados </w:t>
      </w:r>
      <w:r w:rsidRPr="00C6773B">
        <w:rPr>
          <w:rFonts w:ascii="Times New Roman" w:eastAsia="Times New Roman" w:hAnsi="Times New Roman" w:cs="Times New Roman"/>
          <w:sz w:val="24"/>
          <w:szCs w:val="24"/>
          <w:u w:val="single"/>
        </w:rPr>
        <w:t>pie nemainīgas politikas</w:t>
      </w:r>
      <w:r w:rsidRPr="00C6773B">
        <w:rPr>
          <w:rFonts w:ascii="Times New Roman" w:eastAsia="Times New Roman" w:hAnsi="Times New Roman" w:cs="Times New Roman"/>
          <w:sz w:val="24"/>
          <w:szCs w:val="24"/>
        </w:rPr>
        <w:t xml:space="preserve"> scenārija noteiks situācija centrālās valdības, sociālās nodrošināšanas fondos un vietējās valdības budžetos. Tiek prognozēts, ka vidējā termiņā vispārējās valdības ieņēmumu īpatsvars IKP saglabāsies stabils – virs 36% no IKP, tai skaitā nodokļu slogs būs virs 30,7% no IKP. Nodokļu ieņēmumu pieaugums vispārējās valdības budžetā vidējā termiņā sasniegs 5,3%-6%. Nodokļu ieņēmumu pieaugumu noteiks nodokļu ieņēmumi visās grupās, vienīgi ieņēmumi no subsidētās elektroenerģijas nodokļa, saskaņā ar esošo kārtību, tiek plānoti tikai līdz 2019. gadam. Sagaidāms, ka vispārējās valdības izdevumi nākamajos divos gados būs virs 36,3% no IKP, bet 2020.gadā samazināsies, ņemot vērā nelielu pieļaujamo vispārējās valdības budžeta deficīta līmeni, kas izriet no strukturālās budžeta bilances mērķa.  </w:t>
      </w:r>
    </w:p>
    <w:p w14:paraId="5BD666F8" w14:textId="77777777" w:rsidR="00C6773B" w:rsidRPr="00C6773B" w:rsidRDefault="00C6773B" w:rsidP="00C6773B">
      <w:pPr>
        <w:spacing w:before="120" w:after="0" w:line="240" w:lineRule="auto"/>
        <w:ind w:firstLine="720"/>
        <w:jc w:val="both"/>
        <w:rPr>
          <w:rFonts w:ascii="Times New Roman" w:eastAsia="Times New Roman" w:hAnsi="Times New Roman" w:cs="Times New Roman"/>
          <w:b/>
          <w:color w:val="000000"/>
          <w:sz w:val="24"/>
          <w:szCs w:val="20"/>
        </w:rPr>
      </w:pPr>
      <w:r w:rsidRPr="00C6773B">
        <w:rPr>
          <w:rFonts w:ascii="Times New Roman" w:eastAsia="Times New Roman" w:hAnsi="Times New Roman" w:cs="Times New Roman"/>
          <w:b/>
          <w:color w:val="000000"/>
          <w:sz w:val="24"/>
          <w:szCs w:val="20"/>
        </w:rPr>
        <w:t>Centrālās valdības budžetā:</w:t>
      </w:r>
    </w:p>
    <w:p w14:paraId="4B391BBF" w14:textId="77777777" w:rsidR="00C6773B" w:rsidRPr="00C6773B" w:rsidRDefault="00C6773B" w:rsidP="00C6773B">
      <w:pPr>
        <w:numPr>
          <w:ilvl w:val="0"/>
          <w:numId w:val="30"/>
        </w:numPr>
        <w:spacing w:before="120" w:after="0" w:line="240" w:lineRule="auto"/>
        <w:contextualSpacing/>
        <w:jc w:val="both"/>
        <w:rPr>
          <w:rFonts w:ascii="Times New Roman" w:eastAsia="Calibri" w:hAnsi="Times New Roman" w:cs="Times New Roman"/>
          <w:strike/>
          <w:color w:val="000000"/>
          <w:sz w:val="24"/>
        </w:rPr>
      </w:pPr>
      <w:r w:rsidRPr="00C6773B">
        <w:rPr>
          <w:rFonts w:ascii="Times New Roman" w:eastAsia="Calibri" w:hAnsi="Times New Roman" w:cs="Times New Roman"/>
          <w:color w:val="000000"/>
          <w:sz w:val="24"/>
        </w:rPr>
        <w:t>2017.gadā sagaidāms deficīts 1,0% apmērā no IKP. Ieņēmumu un izdevumu līmenis tiek prognozēts līdzīgi ar iepriekšējo gadu faktiskajām tendencēm, kad palielinās gan ieņēmumi, gan izdevumi. Centrālās valdības budžeta prognožu pamatā ir likumā “Par valsts budžetu 2017.gadam” plānotais ieņēmumu un izdevumu līmenis.</w:t>
      </w:r>
    </w:p>
    <w:p w14:paraId="1452609F" w14:textId="53054640" w:rsidR="00342AA7" w:rsidRPr="00712C58" w:rsidRDefault="00C6773B" w:rsidP="00712C58">
      <w:pPr>
        <w:numPr>
          <w:ilvl w:val="0"/>
          <w:numId w:val="30"/>
        </w:numPr>
        <w:spacing w:before="120" w:after="0" w:line="240" w:lineRule="auto"/>
        <w:contextualSpacing/>
        <w:jc w:val="both"/>
        <w:rPr>
          <w:rFonts w:ascii="Times New Roman" w:eastAsia="Calibri" w:hAnsi="Times New Roman" w:cs="Times New Roman"/>
          <w:strike/>
          <w:color w:val="000000"/>
          <w:sz w:val="24"/>
        </w:rPr>
      </w:pPr>
      <w:r w:rsidRPr="00C6773B">
        <w:rPr>
          <w:rFonts w:ascii="Times New Roman" w:eastAsia="Calibri" w:hAnsi="Times New Roman" w:cs="Times New Roman"/>
          <w:color w:val="000000"/>
          <w:sz w:val="24"/>
        </w:rPr>
        <w:t xml:space="preserve">2018.gadā centrālās valdības budžetā sagaidāms deficīts 0,4% </w:t>
      </w:r>
      <w:r w:rsidR="00A5655D">
        <w:rPr>
          <w:rFonts w:ascii="Times New Roman" w:eastAsia="Calibri" w:hAnsi="Times New Roman" w:cs="Times New Roman"/>
          <w:color w:val="000000"/>
          <w:sz w:val="24"/>
        </w:rPr>
        <w:t>apmērā. Savukārt 2019. un 2020.</w:t>
      </w:r>
      <w:r w:rsidRPr="00C6773B">
        <w:rPr>
          <w:rFonts w:ascii="Times New Roman" w:eastAsia="Calibri" w:hAnsi="Times New Roman" w:cs="Times New Roman"/>
          <w:color w:val="000000"/>
          <w:sz w:val="24"/>
        </w:rPr>
        <w:t>gadā pie nemainīgas politikas centrālās valdības budžetā sagaidāms pārpalikums. Vidējā termiņā ieņēmumu pieaugumu nodrošinās ražošanas un importa nodokļi, kā arī ieņēmumi no ienākumiem, kapitāla un īpašuma, izņemot 2020.gadu, kad ieņēmumi no īpašuma</w:t>
      </w:r>
      <w:r w:rsidRPr="00C6773B">
        <w:rPr>
          <w:rFonts w:ascii="Times New Roman" w:eastAsia="Calibri" w:hAnsi="Times New Roman" w:cs="Times New Roman"/>
          <w:sz w:val="24"/>
          <w:szCs w:val="24"/>
        </w:rPr>
        <w:t xml:space="preserve">, ko galvenokārt veido saņemtie maksājumi par valsts kapitāla izmantošanu, </w:t>
      </w:r>
      <w:r w:rsidRPr="00C6773B">
        <w:rPr>
          <w:rFonts w:ascii="Times New Roman" w:eastAsia="Calibri" w:hAnsi="Times New Roman" w:cs="Times New Roman"/>
          <w:sz w:val="24"/>
          <w:szCs w:val="24"/>
        </w:rPr>
        <w:lastRenderedPageBreak/>
        <w:t xml:space="preserve">samazināsies jo pašreiz apstiprinātā kārtība paredz budžetā iemaksājamās peļņas daļas samazināšanu (2018.gadā budžetā jāiemaksā 80% no 2017.gadā gūtās peļņas, 2019.gadā – 70% un 2020.gadā – 50%). Vidēja termiņa izdevumu prognožu pamatā ir 2017.gada februārī aktualizētais makroekonomiskās attīstības scenārijs, aktualizētie nodokļu ieņēmumu un izdevumu plāni, kā arī nozaru ministriju iesniegtais un valdībā apstiprinātais bāzes finansējums turpmākajiem trim gadiem, tai skaitā straujāks finansējuma pieaugums aizsardzības jomai 2018., 2019. un 2020.gadā nodrošinot 2% no IKP. Tāpat tika ņemta vērā arī atvasināto publisko personu budžetu iespējamā attīstība turpmākajos gados. </w:t>
      </w:r>
    </w:p>
    <w:p w14:paraId="105757D5" w14:textId="454C1F1C" w:rsidR="00C6773B" w:rsidRPr="00C6773B" w:rsidRDefault="00C6773B" w:rsidP="00712C58">
      <w:pPr>
        <w:spacing w:before="120" w:after="60" w:line="240" w:lineRule="auto"/>
        <w:ind w:firstLine="720"/>
        <w:jc w:val="both"/>
        <w:rPr>
          <w:rFonts w:ascii="Times New Roman" w:eastAsia="Times New Roman" w:hAnsi="Times New Roman" w:cs="Times New Roman"/>
          <w:sz w:val="24"/>
          <w:szCs w:val="24"/>
        </w:rPr>
      </w:pPr>
      <w:r w:rsidRPr="00C6773B">
        <w:rPr>
          <w:rFonts w:ascii="Times New Roman" w:eastAsia="Times New Roman" w:hAnsi="Times New Roman" w:cs="Times New Roman"/>
          <w:b/>
          <w:sz w:val="24"/>
          <w:szCs w:val="24"/>
        </w:rPr>
        <w:t xml:space="preserve">Sociālās nodrošināšanas </w:t>
      </w:r>
      <w:r w:rsidRPr="00712C58">
        <w:rPr>
          <w:rFonts w:ascii="Times New Roman" w:eastAsia="Times New Roman" w:hAnsi="Times New Roman" w:cs="Times New Roman"/>
          <w:b/>
          <w:color w:val="000000"/>
          <w:sz w:val="24"/>
          <w:szCs w:val="20"/>
        </w:rPr>
        <w:t>fondos</w:t>
      </w:r>
      <w:r w:rsidRPr="00C6773B">
        <w:rPr>
          <w:rFonts w:ascii="Times New Roman" w:eastAsia="Times New Roman" w:hAnsi="Times New Roman" w:cs="Times New Roman"/>
          <w:b/>
          <w:sz w:val="24"/>
          <w:szCs w:val="24"/>
        </w:rPr>
        <w:t>:</w:t>
      </w:r>
      <w:r w:rsidRPr="00C6773B">
        <w:rPr>
          <w:rFonts w:ascii="Times New Roman" w:eastAsia="Times New Roman" w:hAnsi="Times New Roman" w:cs="Times New Roman"/>
          <w:sz w:val="24"/>
          <w:szCs w:val="24"/>
        </w:rPr>
        <w:t xml:space="preserve"> </w:t>
      </w:r>
    </w:p>
    <w:p w14:paraId="01D1512A" w14:textId="77777777" w:rsidR="00C6773B" w:rsidRPr="00C6773B" w:rsidRDefault="00C6773B" w:rsidP="00C6773B">
      <w:pPr>
        <w:numPr>
          <w:ilvl w:val="0"/>
          <w:numId w:val="28"/>
        </w:numPr>
        <w:spacing w:after="120" w:line="240" w:lineRule="auto"/>
        <w:contextualSpacing/>
        <w:jc w:val="both"/>
        <w:rPr>
          <w:rFonts w:ascii="Times New Roman" w:eastAsia="Calibri" w:hAnsi="Times New Roman" w:cs="Times New Roman"/>
          <w:sz w:val="24"/>
          <w:szCs w:val="24"/>
        </w:rPr>
      </w:pPr>
      <w:r w:rsidRPr="00C6773B">
        <w:rPr>
          <w:rFonts w:ascii="Times New Roman" w:eastAsia="Calibri" w:hAnsi="Times New Roman" w:cs="Times New Roman"/>
          <w:color w:val="000000"/>
          <w:sz w:val="24"/>
        </w:rPr>
        <w:t xml:space="preserve">2017.gadā ieņēmumi tiek prognozēti nedaudz zemākā līmenī nekā likumā “Par valsts budžetu 2017.gadam”, tādējādi samazinot iepriekš plānoto pārpalikumu, kas šobrīd tiek plānots 0,1% apmērā no IKP. Līdz ar </w:t>
      </w:r>
      <w:r w:rsidRPr="00C6773B">
        <w:rPr>
          <w:rFonts w:ascii="Times New Roman" w:eastAsia="Calibri" w:hAnsi="Times New Roman" w:cs="Times New Roman"/>
          <w:sz w:val="24"/>
        </w:rPr>
        <w:t>iedzīvotāju ienākumu kāpumu arī izdevumi sociālajiem pabalstiem turpinās palielināties</w:t>
      </w:r>
      <w:r w:rsidRPr="00C6773B">
        <w:rPr>
          <w:rFonts w:ascii="Times New Roman" w:eastAsia="Calibri" w:hAnsi="Times New Roman" w:cs="Times New Roman"/>
          <w:color w:val="000000"/>
          <w:sz w:val="24"/>
        </w:rPr>
        <w:t>.</w:t>
      </w:r>
      <w:r w:rsidRPr="00C6773B">
        <w:rPr>
          <w:rFonts w:ascii="Times New Roman" w:eastAsia="Calibri" w:hAnsi="Times New Roman" w:cs="Times New Roman"/>
          <w:sz w:val="24"/>
        </w:rPr>
        <w:t xml:space="preserve"> Jāatzīmē, ka pensiju izdevumi tiek plānoti, ņemot vērā 2016.gada faktiskos izpildes datus. Bez tam tika ņemtas vērā arī aktuālākās izmaiņas likumdošanā, kas paredz gan pensiju kapitāla pārrēķināšanu saistībā ar negatīvajiem kapitāla indeksiem, gan</w:t>
      </w:r>
      <w:r w:rsidRPr="00C6773B">
        <w:rPr>
          <w:rFonts w:ascii="Times New Roman" w:eastAsia="Calibri" w:hAnsi="Times New Roman" w:cs="Times New Roman"/>
          <w:sz w:val="24"/>
          <w:szCs w:val="24"/>
        </w:rPr>
        <w:t xml:space="preserve"> jauno pensiju indeksācijas kārtību, ņemot vērā patēriņa cenu indeksu un 50% no apdrošināšanas iemaksu algas reālā pieauguma iepriekšējo 25% vietā, tādējādi palielinot pensijas vidējo apmēru. Tāpat</w:t>
      </w:r>
      <w:r w:rsidRPr="00C6773B">
        <w:rPr>
          <w:rFonts w:ascii="Times New Roman" w:eastAsia="Calibri" w:hAnsi="Times New Roman" w:cs="Times New Roman"/>
          <w:sz w:val="24"/>
          <w:szCs w:val="24"/>
          <w:lang w:eastAsia="lv-LV"/>
        </w:rPr>
        <w:t xml:space="preserve"> no šā gada 1.janvāra personām, kuru apdrošināšanas stāžs ir mazāks par 15 gadiem un kurām nav tiesību uz valsts vecuma pensiju, saskaņā ar Valsts sociālo pabalstu likumu, sasniedzot noteikto pensionēšanās vecumu, tiek piešķirts un no valsts pamatbudžeta līdzekļiem izmaksāts valsts sociālā nodrošinājuma pabalsts.</w:t>
      </w:r>
      <w:r w:rsidRPr="00C6773B">
        <w:rPr>
          <w:rFonts w:ascii="Times New Roman" w:eastAsia="Calibri" w:hAnsi="Times New Roman" w:cs="Times New Roman"/>
          <w:sz w:val="24"/>
          <w:szCs w:val="24"/>
        </w:rPr>
        <w:t xml:space="preserve"> </w:t>
      </w:r>
    </w:p>
    <w:p w14:paraId="2733C51F" w14:textId="77777777" w:rsidR="00C6773B" w:rsidRPr="00C6773B" w:rsidRDefault="00C6773B" w:rsidP="00912108">
      <w:pPr>
        <w:numPr>
          <w:ilvl w:val="0"/>
          <w:numId w:val="28"/>
        </w:numPr>
        <w:spacing w:after="120" w:line="240" w:lineRule="auto"/>
        <w:ind w:left="1434" w:hanging="357"/>
        <w:jc w:val="both"/>
        <w:rPr>
          <w:rFonts w:ascii="Times New Roman" w:eastAsia="Calibri" w:hAnsi="Times New Roman" w:cs="Times New Roman"/>
          <w:sz w:val="24"/>
          <w:szCs w:val="24"/>
        </w:rPr>
      </w:pPr>
      <w:r w:rsidRPr="00C6773B">
        <w:rPr>
          <w:rFonts w:ascii="Times New Roman" w:eastAsia="Calibri" w:hAnsi="Times New Roman" w:cs="Times New Roman"/>
          <w:noProof/>
          <w:color w:val="000000"/>
          <w:sz w:val="24"/>
        </w:rPr>
        <w:t>2</w:t>
      </w:r>
      <w:r w:rsidRPr="00C6773B">
        <w:rPr>
          <w:rFonts w:ascii="Times New Roman" w:eastAsia="Calibri" w:hAnsi="Times New Roman" w:cs="Times New Roman"/>
          <w:noProof/>
          <w:sz w:val="24"/>
          <w:szCs w:val="24"/>
        </w:rPr>
        <w:t xml:space="preserve">018. un 2019.gadā sociālās nodrošināšanas fondos ieņēmumi un izdevumi plānoti zemāki nekā likumā “Par vidēja termiņa budžeta ietvaru 2017., 2018. un 2019.gadam”, tomēr ieņēmumu samazinājums ir būtiskāks, nekā izdevumu samazinājums. Jāuzsver, ka 2018.gadā sociālās nodrošināšanas fondos tiek prognozēts neliels pārpalikums, savukārt 2019. un 2020.gadā tiek prognozēts, ka izdevumi pārsniegs ieņēmumus, izveidojot deficītu, ko daļēji ietekmēs prognozētais nodarbināto skaita samazinājums. Kopumā vidējā termiņā ieņēmumi, ko pamatā veido sociālās apdrošināšanas iemaksas, uzrādīs pieaugumu. Tāpat arī </w:t>
      </w:r>
      <w:r w:rsidRPr="00C6773B">
        <w:rPr>
          <w:rFonts w:ascii="Times New Roman" w:eastAsia="Calibri" w:hAnsi="Times New Roman" w:cs="Times New Roman"/>
          <w:sz w:val="24"/>
          <w:szCs w:val="24"/>
        </w:rPr>
        <w:t xml:space="preserve">izdevumos sagaidāms pieaugums, ņemot vērā prognozētās izmaiņas pensiju un pabalstu saņēmēju skaitā, kā arī izmaksāto pensiju un pabalstu vidējā apmērā. </w:t>
      </w:r>
    </w:p>
    <w:p w14:paraId="081DF761" w14:textId="77F54057" w:rsidR="00C6773B" w:rsidRPr="00C6773B" w:rsidRDefault="00C6773B" w:rsidP="00912108">
      <w:pPr>
        <w:spacing w:before="120" w:after="60" w:line="240" w:lineRule="auto"/>
        <w:ind w:firstLine="720"/>
        <w:jc w:val="both"/>
        <w:rPr>
          <w:rFonts w:ascii="Times New Roman" w:eastAsia="Times New Roman" w:hAnsi="Times New Roman" w:cs="Times New Roman"/>
          <w:color w:val="000000"/>
          <w:sz w:val="24"/>
          <w:szCs w:val="20"/>
        </w:rPr>
      </w:pPr>
      <w:r w:rsidRPr="00C6773B">
        <w:rPr>
          <w:rFonts w:ascii="Times New Roman" w:eastAsia="Times New Roman" w:hAnsi="Times New Roman" w:cs="Times New Roman"/>
          <w:b/>
          <w:color w:val="000000"/>
          <w:sz w:val="24"/>
          <w:szCs w:val="20"/>
        </w:rPr>
        <w:t>Vietējās valdības budžetā</w:t>
      </w:r>
      <w:r w:rsidRPr="00C6773B">
        <w:rPr>
          <w:rFonts w:ascii="Times New Roman" w:eastAsia="Times New Roman" w:hAnsi="Times New Roman" w:cs="Times New Roman"/>
          <w:color w:val="000000"/>
          <w:sz w:val="24"/>
          <w:szCs w:val="20"/>
        </w:rPr>
        <w:t>:</w:t>
      </w:r>
    </w:p>
    <w:p w14:paraId="00A7F1CD" w14:textId="77777777" w:rsidR="00C6773B" w:rsidRPr="00C6773B" w:rsidRDefault="00C6773B" w:rsidP="00912108">
      <w:pPr>
        <w:numPr>
          <w:ilvl w:val="0"/>
          <w:numId w:val="29"/>
        </w:numPr>
        <w:spacing w:after="0" w:line="240" w:lineRule="auto"/>
        <w:ind w:left="1497" w:hanging="357"/>
        <w:jc w:val="both"/>
        <w:rPr>
          <w:rFonts w:ascii="Times New Roman" w:eastAsia="Calibri" w:hAnsi="Times New Roman" w:cs="Times New Roman"/>
          <w:color w:val="000000"/>
          <w:sz w:val="24"/>
        </w:rPr>
      </w:pPr>
      <w:r w:rsidRPr="00C6773B">
        <w:rPr>
          <w:rFonts w:ascii="Times New Roman" w:eastAsia="Calibri" w:hAnsi="Times New Roman" w:cs="Times New Roman"/>
          <w:color w:val="000000"/>
          <w:sz w:val="24"/>
        </w:rPr>
        <w:t>2017.gadā tiek prognozēts, ka budžetā veidosies pārpalikums. Atšķirībā no iepriekšējiem gadiem izdevumu prognoze tika samazināta ņemot vērā 2016.gada izpildes datus, kā arī tiek prognozēts pārtraukums investīciju projektu realizācijā, kuru veicinās 2017.gada jūnijā sagaidāmās pašvaldību vēlēšanas. Savukārt izdevumos, kas saistīti ar 2014.-2020.gada plānošanas perioda ES fondu līdzfinansēto projektu apguvi, straujāks pieaugums sagaidāms šā gada otrajā pusē. Vienlaikus, 2017.gadā vietējās valdības budžeta izdevumus atslogos maksājumi par Dienvidu tilta būvniecību, jo izdevumi tika atzīti iepriekšējos gados objekta faktiskās būvniecības laikā;</w:t>
      </w:r>
    </w:p>
    <w:p w14:paraId="45F3E35E" w14:textId="77777777" w:rsidR="00C6773B" w:rsidRPr="00C6773B" w:rsidRDefault="00C6773B" w:rsidP="00912108">
      <w:pPr>
        <w:numPr>
          <w:ilvl w:val="0"/>
          <w:numId w:val="29"/>
        </w:numPr>
        <w:spacing w:after="0" w:line="240" w:lineRule="auto"/>
        <w:jc w:val="both"/>
        <w:rPr>
          <w:rFonts w:ascii="Times New Roman" w:eastAsia="Calibri" w:hAnsi="Times New Roman" w:cs="Times New Roman"/>
          <w:color w:val="000000"/>
          <w:sz w:val="24"/>
        </w:rPr>
      </w:pPr>
      <w:r w:rsidRPr="00C6773B">
        <w:rPr>
          <w:rFonts w:ascii="Times New Roman" w:eastAsia="Calibri" w:hAnsi="Times New Roman" w:cs="Times New Roman"/>
          <w:color w:val="000000"/>
          <w:sz w:val="24"/>
        </w:rPr>
        <w:t xml:space="preserve">Pēc 2017.gada tiek prognozēts, ka budžeta pārpalikums saruks, bet joprojām  pie nemainīgas politikas scenārija veidos nelielu pārpalikumu. Attiecībā uz nodokļiem no ienākumiem, kas ir lielākā vietējās valdības budžeta ieņēmumu </w:t>
      </w:r>
      <w:r w:rsidRPr="00C6773B">
        <w:rPr>
          <w:rFonts w:ascii="Times New Roman" w:eastAsia="Calibri" w:hAnsi="Times New Roman" w:cs="Times New Roman"/>
          <w:color w:val="000000"/>
          <w:sz w:val="24"/>
        </w:rPr>
        <w:lastRenderedPageBreak/>
        <w:t>pozīcija, tiek ņemta vērā iespējamā darba tirgus attīstība. Vidējā termiņā ieņēmumos no nodokļiem tiek prognozēts stabils pieaugums - 5-6% apmērā. Vienlaicīgi jāatzīmē, ka saskaņā ar atjaunotajām prognozēm, pārējās ieņēmumu pozīcijās būtiskas izmaiņas nav sagaidāmas. Tiek prognozēts, ka vietējās valdības budžeta izdevumi vidējā termiņā pieaugs visās pozīcijās, izņemot sociālajiem pabalstiem un subsīdijām komersantiem. Izdevumu līmenis investīcijām turpmākajos gados pieaugs galvenokārt dēļ pieaugošas aktivitātes ES fondu līdzfinansēto projektu īstenošanas. Vienlaikus, arī vidējā termiņā vietējās valdības budžeta izdevumus turpinās atslogot maksājumi par Dienvidu tilta būvniecību, jo izdevumi tika atzīti iepriekšējos gados objekta būvniecības laikā.</w:t>
      </w:r>
    </w:p>
    <w:p w14:paraId="38667932" w14:textId="3B69224B" w:rsidR="00C6773B" w:rsidRPr="00C6773B" w:rsidRDefault="00C6773B" w:rsidP="005811A2">
      <w:pPr>
        <w:spacing w:after="0" w:line="240" w:lineRule="auto"/>
        <w:ind w:firstLine="567"/>
        <w:jc w:val="both"/>
        <w:rPr>
          <w:rFonts w:ascii="Times New Roman" w:eastAsia="Times New Roman" w:hAnsi="Times New Roman" w:cs="Times New Roman"/>
          <w:color w:val="000000"/>
          <w:sz w:val="24"/>
          <w:szCs w:val="20"/>
        </w:rPr>
      </w:pPr>
      <w:r w:rsidRPr="00C6773B">
        <w:rPr>
          <w:rFonts w:ascii="Times New Roman" w:eastAsia="Times New Roman" w:hAnsi="Times New Roman" w:cs="Times New Roman"/>
          <w:color w:val="000000"/>
          <w:sz w:val="24"/>
          <w:szCs w:val="20"/>
        </w:rPr>
        <w:t>Atbilstoši fiskālās disciplīnas normām turpmākajos trīs gados vispārējās valdības budžetā ir pieļaujams lielāks deficīts nekā tiek paredzēts scenārijā pie nemainīgas politikas. Pie pašreiz prognozētā ekonomikas izaugsmes tempa tas rada iespēju valdībai pieņemt lēmumus par papildu finansējuma piešķiršanu nozaru politiku īstenošanai. Tā kā šobrīd, veidojot fiskālās attīstības scenāriju, valdība norit diskusija par veselības reformu un nodokļu politikas pamatnostādņu ieviešanu, tad daļa fiskālās telpas ir rezervēta šo pasākumu īstenošanai. Atlikusī fiskālā telpa, kas 2019.gadā</w:t>
      </w:r>
      <w:r w:rsidR="00486E1F">
        <w:rPr>
          <w:rFonts w:ascii="Times New Roman" w:eastAsia="Times New Roman" w:hAnsi="Times New Roman" w:cs="Times New Roman"/>
          <w:color w:val="000000"/>
          <w:sz w:val="24"/>
          <w:szCs w:val="20"/>
        </w:rPr>
        <w:t xml:space="preserve"> ir</w:t>
      </w:r>
      <w:r w:rsidRPr="00C6773B">
        <w:rPr>
          <w:rFonts w:ascii="Times New Roman" w:eastAsia="Times New Roman" w:hAnsi="Times New Roman" w:cs="Times New Roman"/>
          <w:color w:val="000000"/>
          <w:sz w:val="24"/>
          <w:szCs w:val="20"/>
        </w:rPr>
        <w:t xml:space="preserve"> 0,4% no IKP un 2020.gadā 0,9% no IKP (visos gados nosakot fiskālo telpu jau ņemta vērā FDL definētā minimālā fiskālā nodr</w:t>
      </w:r>
      <w:r w:rsidR="00F638E4">
        <w:rPr>
          <w:rFonts w:ascii="Times New Roman" w:eastAsia="Times New Roman" w:hAnsi="Times New Roman" w:cs="Times New Roman"/>
          <w:color w:val="000000"/>
          <w:sz w:val="24"/>
          <w:szCs w:val="20"/>
        </w:rPr>
        <w:t>ošinājuma rezerve 0,1% no IKP a</w:t>
      </w:r>
      <w:r w:rsidRPr="00C6773B">
        <w:rPr>
          <w:rFonts w:ascii="Times New Roman" w:eastAsia="Times New Roman" w:hAnsi="Times New Roman" w:cs="Times New Roman"/>
          <w:color w:val="000000"/>
          <w:sz w:val="24"/>
          <w:szCs w:val="20"/>
        </w:rPr>
        <w:t>p</w:t>
      </w:r>
      <w:r w:rsidR="00F638E4">
        <w:rPr>
          <w:rFonts w:ascii="Times New Roman" w:eastAsia="Times New Roman" w:hAnsi="Times New Roman" w:cs="Times New Roman"/>
          <w:color w:val="000000"/>
          <w:sz w:val="24"/>
          <w:szCs w:val="20"/>
        </w:rPr>
        <w:t>m</w:t>
      </w:r>
      <w:r w:rsidRPr="00C6773B">
        <w:rPr>
          <w:rFonts w:ascii="Times New Roman" w:eastAsia="Times New Roman" w:hAnsi="Times New Roman" w:cs="Times New Roman"/>
          <w:color w:val="000000"/>
          <w:sz w:val="24"/>
          <w:szCs w:val="20"/>
        </w:rPr>
        <w:t xml:space="preserve">ērā), tiek izmantota papildu izdevumiem. </w:t>
      </w:r>
    </w:p>
    <w:p w14:paraId="4BC00BE4" w14:textId="77777777" w:rsidR="00D51057" w:rsidRPr="00D51057" w:rsidRDefault="00D51057" w:rsidP="00D51057">
      <w:pPr>
        <w:spacing w:after="0" w:line="240" w:lineRule="auto"/>
        <w:ind w:firstLine="720"/>
        <w:jc w:val="both"/>
        <w:rPr>
          <w:rFonts w:ascii="Times New Roman" w:eastAsia="Times New Roman" w:hAnsi="Times New Roman" w:cs="Times New Roman"/>
          <w:b/>
          <w:sz w:val="24"/>
          <w:szCs w:val="24"/>
        </w:rPr>
      </w:pPr>
      <w:r w:rsidRPr="00D51057">
        <w:rPr>
          <w:rFonts w:ascii="Times New Roman" w:eastAsia="Times New Roman" w:hAnsi="Times New Roman" w:cs="Times New Roman"/>
          <w:sz w:val="24"/>
          <w:szCs w:val="20"/>
        </w:rPr>
        <w:t xml:space="preserve">Tādējādi, </w:t>
      </w:r>
      <w:r w:rsidRPr="00D51057">
        <w:rPr>
          <w:rFonts w:ascii="Times New Roman" w:eastAsia="Times New Roman" w:hAnsi="Times New Roman" w:cs="Times New Roman"/>
          <w:b/>
          <w:sz w:val="24"/>
          <w:szCs w:val="20"/>
        </w:rPr>
        <w:t>f</w:t>
      </w:r>
      <w:r w:rsidRPr="00D51057">
        <w:rPr>
          <w:rFonts w:ascii="Times New Roman" w:eastAsia="Times New Roman" w:hAnsi="Times New Roman" w:cs="Times New Roman"/>
          <w:b/>
          <w:sz w:val="24"/>
          <w:szCs w:val="24"/>
        </w:rPr>
        <w:t>iskālās attīstības scenārijs pie mainīgas politikas paredz vispārējās valdības budžeta deficītu 2017. gadā 0,8% no IKP, 2018. gadā 1,6% no IKP, 2019.gadā 1,2% no IKP un 2020.gadā 0,5% no IKP.</w:t>
      </w:r>
    </w:p>
    <w:p w14:paraId="25FAA317" w14:textId="3FEFBA30" w:rsidR="00D51057" w:rsidRDefault="00D51057" w:rsidP="00D51057">
      <w:pPr>
        <w:spacing w:after="120" w:line="240" w:lineRule="auto"/>
        <w:ind w:firstLine="720"/>
        <w:rPr>
          <w:rFonts w:ascii="Times New Roman" w:eastAsia="Times New Roman" w:hAnsi="Times New Roman" w:cs="Times New Roman"/>
          <w:color w:val="000000"/>
          <w:sz w:val="24"/>
          <w:szCs w:val="20"/>
        </w:rPr>
      </w:pPr>
      <w:r w:rsidRPr="00D51057">
        <w:rPr>
          <w:rFonts w:ascii="Times New Roman" w:eastAsia="Times New Roman" w:hAnsi="Times New Roman" w:cs="Times New Roman"/>
          <w:color w:val="000000"/>
          <w:sz w:val="24"/>
          <w:szCs w:val="20"/>
        </w:rPr>
        <w:t>Detalizētāks pieņēmumu apraksts ir sniegts zemāk</w:t>
      </w:r>
      <w:r w:rsidR="00D51107">
        <w:rPr>
          <w:rFonts w:ascii="Times New Roman" w:eastAsia="Times New Roman" w:hAnsi="Times New Roman" w:cs="Times New Roman"/>
          <w:color w:val="000000"/>
          <w:sz w:val="24"/>
          <w:szCs w:val="20"/>
        </w:rPr>
        <w:t>.</w:t>
      </w:r>
    </w:p>
    <w:p w14:paraId="38AF5116" w14:textId="184A1AE6" w:rsidR="00C6773B" w:rsidRPr="007901FA" w:rsidRDefault="00E045E3" w:rsidP="00D51057">
      <w:pPr>
        <w:spacing w:before="120" w:after="60" w:line="240" w:lineRule="auto"/>
        <w:ind w:firstLine="720"/>
        <w:jc w:val="right"/>
        <w:rPr>
          <w:rFonts w:ascii="Times New Roman" w:eastAsiaTheme="minorHAnsi" w:hAnsi="Times New Roman" w:cs="Times New Roman"/>
          <w:b/>
          <w:sz w:val="24"/>
          <w:szCs w:val="24"/>
        </w:rPr>
      </w:pPr>
      <w:r>
        <w:rPr>
          <w:rFonts w:ascii="Times New Roman" w:eastAsiaTheme="minorHAnsi" w:hAnsi="Times New Roman" w:cs="Times New Roman"/>
          <w:b/>
          <w:sz w:val="24"/>
          <w:szCs w:val="24"/>
        </w:rPr>
        <w:t>3.</w:t>
      </w:r>
      <w:r w:rsidR="00FC7A05">
        <w:rPr>
          <w:rFonts w:ascii="Times New Roman" w:eastAsiaTheme="minorHAnsi" w:hAnsi="Times New Roman" w:cs="Times New Roman"/>
          <w:b/>
          <w:sz w:val="24"/>
          <w:szCs w:val="24"/>
        </w:rPr>
        <w:t>26</w:t>
      </w:r>
      <w:r>
        <w:rPr>
          <w:rFonts w:ascii="Times New Roman" w:eastAsiaTheme="minorHAnsi" w:hAnsi="Times New Roman" w:cs="Times New Roman"/>
          <w:b/>
          <w:sz w:val="24"/>
          <w:szCs w:val="24"/>
        </w:rPr>
        <w:t>.</w:t>
      </w:r>
      <w:r w:rsidR="00C6773B" w:rsidRPr="007901FA">
        <w:rPr>
          <w:rFonts w:ascii="Times New Roman" w:eastAsiaTheme="minorHAnsi" w:hAnsi="Times New Roman" w:cs="Times New Roman"/>
          <w:b/>
          <w:sz w:val="24"/>
          <w:szCs w:val="24"/>
        </w:rPr>
        <w:t>tabula. Vidējā termiņa fiskālās attīstības scenārijs</w:t>
      </w:r>
      <w:r w:rsidR="00AF0417">
        <w:rPr>
          <w:rFonts w:ascii="Times New Roman" w:eastAsiaTheme="minorHAnsi" w:hAnsi="Times New Roman" w:cs="Times New Roman"/>
          <w:b/>
          <w:sz w:val="24"/>
          <w:szCs w:val="24"/>
        </w:rPr>
        <w:t xml:space="preserve"> ar politikas izmaiņām</w:t>
      </w:r>
    </w:p>
    <w:tbl>
      <w:tblPr>
        <w:tblStyle w:val="GridTable6Colorful-Accent1"/>
        <w:tblW w:w="8931" w:type="dxa"/>
        <w:jc w:val="center"/>
        <w:tblLayout w:type="fixed"/>
        <w:tblLook w:val="04A0" w:firstRow="1" w:lastRow="0" w:firstColumn="1" w:lastColumn="0" w:noHBand="0" w:noVBand="1"/>
      </w:tblPr>
      <w:tblGrid>
        <w:gridCol w:w="3397"/>
        <w:gridCol w:w="1192"/>
        <w:gridCol w:w="940"/>
        <w:gridCol w:w="851"/>
        <w:gridCol w:w="850"/>
        <w:gridCol w:w="851"/>
        <w:gridCol w:w="850"/>
      </w:tblGrid>
      <w:tr w:rsidR="00F638E4" w:rsidRPr="00F638E4" w14:paraId="4D15B811" w14:textId="77777777" w:rsidTr="004D5E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562FCA8" w14:textId="77777777" w:rsidR="00F638E4" w:rsidRPr="00F638E4" w:rsidRDefault="00F638E4" w:rsidP="00C1712E">
            <w:pPr>
              <w:jc w:val="center"/>
              <w:rPr>
                <w:rFonts w:ascii="Times New Roman" w:eastAsia="Times New Roman" w:hAnsi="Times New Roman" w:cs="Times New Roman"/>
                <w:b w:val="0"/>
                <w:color w:val="auto"/>
                <w:sz w:val="20"/>
                <w:szCs w:val="20"/>
              </w:rPr>
            </w:pPr>
          </w:p>
        </w:tc>
        <w:tc>
          <w:tcPr>
            <w:tcW w:w="1192" w:type="dxa"/>
          </w:tcPr>
          <w:p w14:paraId="11837F64" w14:textId="77777777" w:rsidR="00F638E4" w:rsidRPr="00F638E4" w:rsidRDefault="00F638E4" w:rsidP="00C171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tcPr>
          <w:p w14:paraId="7CBAE84E" w14:textId="77777777" w:rsidR="00F638E4" w:rsidRPr="00F638E4" w:rsidRDefault="00F638E4" w:rsidP="00C171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2016</w:t>
            </w:r>
          </w:p>
        </w:tc>
        <w:tc>
          <w:tcPr>
            <w:tcW w:w="851" w:type="dxa"/>
          </w:tcPr>
          <w:p w14:paraId="296EF565" w14:textId="77777777" w:rsidR="00F638E4" w:rsidRPr="00F638E4" w:rsidRDefault="00F638E4" w:rsidP="00C171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2017</w:t>
            </w:r>
          </w:p>
        </w:tc>
        <w:tc>
          <w:tcPr>
            <w:tcW w:w="850" w:type="dxa"/>
          </w:tcPr>
          <w:p w14:paraId="20C8DD50" w14:textId="77777777" w:rsidR="00F638E4" w:rsidRPr="00F638E4" w:rsidRDefault="00F638E4" w:rsidP="00C171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2018</w:t>
            </w:r>
          </w:p>
        </w:tc>
        <w:tc>
          <w:tcPr>
            <w:tcW w:w="851" w:type="dxa"/>
          </w:tcPr>
          <w:p w14:paraId="54DF13B0" w14:textId="77777777" w:rsidR="00F638E4" w:rsidRPr="00F638E4" w:rsidRDefault="00F638E4" w:rsidP="00C171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2019</w:t>
            </w:r>
          </w:p>
        </w:tc>
        <w:tc>
          <w:tcPr>
            <w:tcW w:w="850" w:type="dxa"/>
          </w:tcPr>
          <w:p w14:paraId="0D0327AC" w14:textId="77777777" w:rsidR="00F638E4" w:rsidRPr="00F638E4" w:rsidRDefault="00F638E4" w:rsidP="00C171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2020</w:t>
            </w:r>
          </w:p>
        </w:tc>
      </w:tr>
      <w:tr w:rsidR="00F638E4" w:rsidRPr="00F638E4" w14:paraId="08557CA2"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543420F" w14:textId="77777777" w:rsidR="00F638E4" w:rsidRPr="00F638E4" w:rsidRDefault="00F638E4" w:rsidP="00C1712E">
            <w:pPr>
              <w:rPr>
                <w:rFonts w:ascii="Times New Roman" w:eastAsia="Times New Roman" w:hAnsi="Times New Roman" w:cs="Times New Roman"/>
                <w:color w:val="auto"/>
                <w:sz w:val="20"/>
                <w:szCs w:val="20"/>
              </w:rPr>
            </w:pPr>
          </w:p>
        </w:tc>
        <w:tc>
          <w:tcPr>
            <w:tcW w:w="1192" w:type="dxa"/>
          </w:tcPr>
          <w:p w14:paraId="104A2A25" w14:textId="77777777" w:rsidR="00F638E4" w:rsidRPr="00F638E4" w:rsidRDefault="00F638E4" w:rsidP="00C171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F638E4">
              <w:rPr>
                <w:rFonts w:ascii="Times New Roman" w:eastAsia="Times New Roman" w:hAnsi="Times New Roman" w:cs="Times New Roman"/>
                <w:b/>
                <w:color w:val="auto"/>
                <w:sz w:val="20"/>
                <w:szCs w:val="20"/>
              </w:rPr>
              <w:t>EKS kods</w:t>
            </w:r>
          </w:p>
        </w:tc>
        <w:tc>
          <w:tcPr>
            <w:tcW w:w="4342" w:type="dxa"/>
            <w:gridSpan w:val="5"/>
          </w:tcPr>
          <w:p w14:paraId="083F881D" w14:textId="77777777" w:rsidR="00F638E4" w:rsidRPr="00F638E4" w:rsidRDefault="00F638E4" w:rsidP="00C171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F638E4">
              <w:rPr>
                <w:rFonts w:ascii="Times New Roman" w:eastAsia="Times New Roman" w:hAnsi="Times New Roman" w:cs="Times New Roman"/>
                <w:b/>
                <w:color w:val="auto"/>
                <w:sz w:val="20"/>
                <w:szCs w:val="20"/>
              </w:rPr>
              <w:t>% no IKP</w:t>
            </w:r>
          </w:p>
        </w:tc>
      </w:tr>
      <w:tr w:rsidR="00F638E4" w:rsidRPr="00F638E4" w14:paraId="1E716BA8"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8931" w:type="dxa"/>
            <w:gridSpan w:val="7"/>
          </w:tcPr>
          <w:p w14:paraId="529AF9E3" w14:textId="77777777" w:rsidR="00F638E4" w:rsidRPr="00F638E4" w:rsidRDefault="00F638E4" w:rsidP="00C1712E">
            <w:pPr>
              <w:ind w:firstLine="720"/>
              <w:jc w:val="center"/>
              <w:rPr>
                <w:rFonts w:ascii="Times New Roman" w:eastAsia="Times New Roman" w:hAnsi="Times New Roman" w:cs="Times New Roman"/>
                <w:noProof/>
                <w:snapToGrid w:val="0"/>
                <w:color w:val="auto"/>
                <w:sz w:val="20"/>
                <w:szCs w:val="20"/>
              </w:rPr>
            </w:pPr>
            <w:r w:rsidRPr="00F638E4">
              <w:rPr>
                <w:rFonts w:ascii="Times New Roman" w:eastAsia="Times New Roman" w:hAnsi="Times New Roman" w:cs="Times New Roman"/>
                <w:snapToGrid w:val="0"/>
                <w:color w:val="auto"/>
                <w:sz w:val="20"/>
                <w:szCs w:val="20"/>
              </w:rPr>
              <w:t xml:space="preserve">Neto aizdevumi (+) vai aizņēmumi (-) (B.9) pa </w:t>
            </w:r>
            <w:r w:rsidRPr="00F638E4">
              <w:rPr>
                <w:rFonts w:ascii="Times New Roman" w:eastAsia="Times New Roman" w:hAnsi="Times New Roman" w:cs="Times New Roman"/>
                <w:noProof/>
                <w:snapToGrid w:val="0"/>
                <w:color w:val="auto"/>
                <w:sz w:val="20"/>
                <w:szCs w:val="20"/>
              </w:rPr>
              <w:t>apakšsektoriem</w:t>
            </w:r>
          </w:p>
        </w:tc>
      </w:tr>
      <w:tr w:rsidR="00F638E4" w:rsidRPr="00F638E4" w14:paraId="62C06A08"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03BDEFB"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Vispārējā valdība</w:t>
            </w:r>
          </w:p>
        </w:tc>
        <w:tc>
          <w:tcPr>
            <w:tcW w:w="1192" w:type="dxa"/>
          </w:tcPr>
          <w:p w14:paraId="13E5F996" w14:textId="77777777" w:rsidR="00F638E4" w:rsidRPr="00F638E4" w:rsidRDefault="00F638E4" w:rsidP="00C171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S.13</w:t>
            </w:r>
          </w:p>
        </w:tc>
        <w:tc>
          <w:tcPr>
            <w:tcW w:w="940" w:type="dxa"/>
          </w:tcPr>
          <w:p w14:paraId="78A49E05"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0,0</w:t>
            </w:r>
          </w:p>
        </w:tc>
        <w:tc>
          <w:tcPr>
            <w:tcW w:w="851" w:type="dxa"/>
          </w:tcPr>
          <w:p w14:paraId="5E4F2CAB"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-0,8</w:t>
            </w:r>
          </w:p>
        </w:tc>
        <w:tc>
          <w:tcPr>
            <w:tcW w:w="850" w:type="dxa"/>
          </w:tcPr>
          <w:p w14:paraId="1E717C1B"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-1,6</w:t>
            </w:r>
          </w:p>
        </w:tc>
        <w:tc>
          <w:tcPr>
            <w:tcW w:w="851" w:type="dxa"/>
          </w:tcPr>
          <w:p w14:paraId="02B2E570"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-1,2</w:t>
            </w:r>
          </w:p>
        </w:tc>
        <w:tc>
          <w:tcPr>
            <w:tcW w:w="850" w:type="dxa"/>
          </w:tcPr>
          <w:p w14:paraId="2418B40F"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-0,5</w:t>
            </w:r>
          </w:p>
        </w:tc>
      </w:tr>
      <w:tr w:rsidR="00F638E4" w:rsidRPr="00F638E4" w14:paraId="0613AD51"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AB0A9CC"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Centrālā valdība</w:t>
            </w:r>
          </w:p>
        </w:tc>
        <w:tc>
          <w:tcPr>
            <w:tcW w:w="1192" w:type="dxa"/>
          </w:tcPr>
          <w:p w14:paraId="366EB85F" w14:textId="77777777" w:rsidR="00F638E4" w:rsidRPr="00F638E4" w:rsidRDefault="00F638E4" w:rsidP="00C171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S.1311</w:t>
            </w:r>
          </w:p>
        </w:tc>
        <w:tc>
          <w:tcPr>
            <w:tcW w:w="940" w:type="dxa"/>
          </w:tcPr>
          <w:p w14:paraId="50A3F65E"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-0,1</w:t>
            </w:r>
          </w:p>
        </w:tc>
        <w:tc>
          <w:tcPr>
            <w:tcW w:w="851" w:type="dxa"/>
          </w:tcPr>
          <w:p w14:paraId="3D2F5688"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-1,0</w:t>
            </w:r>
          </w:p>
        </w:tc>
        <w:tc>
          <w:tcPr>
            <w:tcW w:w="850" w:type="dxa"/>
          </w:tcPr>
          <w:p w14:paraId="5C1765D6"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-2.0</w:t>
            </w:r>
          </w:p>
        </w:tc>
        <w:tc>
          <w:tcPr>
            <w:tcW w:w="851" w:type="dxa"/>
          </w:tcPr>
          <w:p w14:paraId="08AAB90F"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-1.5</w:t>
            </w:r>
          </w:p>
        </w:tc>
        <w:tc>
          <w:tcPr>
            <w:tcW w:w="850" w:type="dxa"/>
          </w:tcPr>
          <w:p w14:paraId="188A20A9"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-0.7</w:t>
            </w:r>
          </w:p>
        </w:tc>
      </w:tr>
      <w:tr w:rsidR="00F638E4" w:rsidRPr="00F638E4" w14:paraId="08EF1170"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BECBF90"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Vietējā valdība</w:t>
            </w:r>
          </w:p>
        </w:tc>
        <w:tc>
          <w:tcPr>
            <w:tcW w:w="1192" w:type="dxa"/>
          </w:tcPr>
          <w:p w14:paraId="047DC791" w14:textId="77777777" w:rsidR="00F638E4" w:rsidRPr="00F638E4" w:rsidRDefault="00F638E4" w:rsidP="00C171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S.1313</w:t>
            </w:r>
          </w:p>
        </w:tc>
        <w:tc>
          <w:tcPr>
            <w:tcW w:w="940" w:type="dxa"/>
          </w:tcPr>
          <w:p w14:paraId="685DA764"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0,1</w:t>
            </w:r>
          </w:p>
        </w:tc>
        <w:tc>
          <w:tcPr>
            <w:tcW w:w="851" w:type="dxa"/>
          </w:tcPr>
          <w:p w14:paraId="6BEB9D7D"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0,2</w:t>
            </w:r>
          </w:p>
        </w:tc>
        <w:tc>
          <w:tcPr>
            <w:tcW w:w="850" w:type="dxa"/>
          </w:tcPr>
          <w:p w14:paraId="4905AF68"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0.1</w:t>
            </w:r>
          </w:p>
        </w:tc>
        <w:tc>
          <w:tcPr>
            <w:tcW w:w="851" w:type="dxa"/>
          </w:tcPr>
          <w:p w14:paraId="7A27114E"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0.0</w:t>
            </w:r>
          </w:p>
        </w:tc>
        <w:tc>
          <w:tcPr>
            <w:tcW w:w="850" w:type="dxa"/>
          </w:tcPr>
          <w:p w14:paraId="47CFC616"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0.0</w:t>
            </w:r>
          </w:p>
        </w:tc>
      </w:tr>
      <w:tr w:rsidR="00F638E4" w:rsidRPr="00F638E4" w14:paraId="69923BD9"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67CA830"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Sociālās nodrošināšanas fondi</w:t>
            </w:r>
          </w:p>
        </w:tc>
        <w:tc>
          <w:tcPr>
            <w:tcW w:w="1192" w:type="dxa"/>
          </w:tcPr>
          <w:p w14:paraId="074D239D" w14:textId="77777777" w:rsidR="00F638E4" w:rsidRPr="00F638E4" w:rsidRDefault="00F638E4" w:rsidP="00C171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S.1314</w:t>
            </w:r>
          </w:p>
        </w:tc>
        <w:tc>
          <w:tcPr>
            <w:tcW w:w="940" w:type="dxa"/>
          </w:tcPr>
          <w:p w14:paraId="355C0046"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0,0</w:t>
            </w:r>
          </w:p>
        </w:tc>
        <w:tc>
          <w:tcPr>
            <w:tcW w:w="851" w:type="dxa"/>
          </w:tcPr>
          <w:p w14:paraId="258346C9"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0,1</w:t>
            </w:r>
          </w:p>
        </w:tc>
        <w:tc>
          <w:tcPr>
            <w:tcW w:w="850" w:type="dxa"/>
          </w:tcPr>
          <w:p w14:paraId="383F6031"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0,3</w:t>
            </w:r>
          </w:p>
        </w:tc>
        <w:tc>
          <w:tcPr>
            <w:tcW w:w="851" w:type="dxa"/>
          </w:tcPr>
          <w:p w14:paraId="725A031A"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0,2</w:t>
            </w:r>
          </w:p>
        </w:tc>
        <w:tc>
          <w:tcPr>
            <w:tcW w:w="850" w:type="dxa"/>
          </w:tcPr>
          <w:p w14:paraId="0235EB58"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0,2</w:t>
            </w:r>
          </w:p>
        </w:tc>
      </w:tr>
      <w:tr w:rsidR="00F638E4" w:rsidRPr="00F638E4" w14:paraId="19929302"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1" w:type="dxa"/>
            <w:gridSpan w:val="7"/>
          </w:tcPr>
          <w:p w14:paraId="2A0EEC78" w14:textId="77777777" w:rsidR="00F638E4" w:rsidRPr="00F638E4" w:rsidRDefault="00F638E4" w:rsidP="00C1712E">
            <w:pPr>
              <w:ind w:firstLine="720"/>
              <w:jc w:val="cente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Vispārējā valdība (S.13)</w:t>
            </w:r>
          </w:p>
        </w:tc>
      </w:tr>
      <w:tr w:rsidR="00F638E4" w:rsidRPr="00F638E4" w14:paraId="2E23BCFD"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71E7E48"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 xml:space="preserve">Kopējie ieņēmumi </w:t>
            </w:r>
          </w:p>
        </w:tc>
        <w:tc>
          <w:tcPr>
            <w:tcW w:w="1192" w:type="dxa"/>
          </w:tcPr>
          <w:p w14:paraId="57DF5FBB" w14:textId="77777777" w:rsidR="00F638E4" w:rsidRPr="00F638E4" w:rsidRDefault="00F638E4" w:rsidP="00C171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TR</w:t>
            </w:r>
          </w:p>
        </w:tc>
        <w:tc>
          <w:tcPr>
            <w:tcW w:w="940" w:type="dxa"/>
          </w:tcPr>
          <w:p w14:paraId="2F685F07"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36,1</w:t>
            </w:r>
          </w:p>
        </w:tc>
        <w:tc>
          <w:tcPr>
            <w:tcW w:w="851" w:type="dxa"/>
          </w:tcPr>
          <w:p w14:paraId="52125E11"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36,8</w:t>
            </w:r>
          </w:p>
        </w:tc>
        <w:tc>
          <w:tcPr>
            <w:tcW w:w="850" w:type="dxa"/>
          </w:tcPr>
          <w:p w14:paraId="25AF99CE"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36,2</w:t>
            </w:r>
          </w:p>
        </w:tc>
        <w:tc>
          <w:tcPr>
            <w:tcW w:w="851" w:type="dxa"/>
          </w:tcPr>
          <w:p w14:paraId="5CAC2F54"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36,2</w:t>
            </w:r>
          </w:p>
        </w:tc>
        <w:tc>
          <w:tcPr>
            <w:tcW w:w="850" w:type="dxa"/>
          </w:tcPr>
          <w:p w14:paraId="54A08BE5"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36,0</w:t>
            </w:r>
          </w:p>
        </w:tc>
      </w:tr>
      <w:tr w:rsidR="00F638E4" w:rsidRPr="00F638E4" w14:paraId="328C4E0D" w14:textId="77777777" w:rsidTr="004D5E99">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3397" w:type="dxa"/>
          </w:tcPr>
          <w:p w14:paraId="2C1605DC"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Kopējie izdevumi</w:t>
            </w:r>
          </w:p>
        </w:tc>
        <w:tc>
          <w:tcPr>
            <w:tcW w:w="1192" w:type="dxa"/>
          </w:tcPr>
          <w:p w14:paraId="63EB9B7E" w14:textId="77777777" w:rsidR="00F638E4" w:rsidRPr="00F638E4" w:rsidRDefault="00F638E4" w:rsidP="00C171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TE</w:t>
            </w:r>
          </w:p>
        </w:tc>
        <w:tc>
          <w:tcPr>
            <w:tcW w:w="940" w:type="dxa"/>
          </w:tcPr>
          <w:p w14:paraId="60B9110E"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36,1</w:t>
            </w:r>
          </w:p>
        </w:tc>
        <w:tc>
          <w:tcPr>
            <w:tcW w:w="851" w:type="dxa"/>
          </w:tcPr>
          <w:p w14:paraId="36D02F96"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37,6</w:t>
            </w:r>
          </w:p>
        </w:tc>
        <w:tc>
          <w:tcPr>
            <w:tcW w:w="850" w:type="dxa"/>
          </w:tcPr>
          <w:p w14:paraId="6BBE5DBD"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37,8</w:t>
            </w:r>
          </w:p>
        </w:tc>
        <w:tc>
          <w:tcPr>
            <w:tcW w:w="851" w:type="dxa"/>
          </w:tcPr>
          <w:p w14:paraId="011F0A1C"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37,5</w:t>
            </w:r>
          </w:p>
        </w:tc>
        <w:tc>
          <w:tcPr>
            <w:tcW w:w="850" w:type="dxa"/>
          </w:tcPr>
          <w:p w14:paraId="1ED37DC2" w14:textId="77777777" w:rsidR="00F638E4" w:rsidRPr="00F638E4" w:rsidRDefault="00F638E4" w:rsidP="00C171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36,6</w:t>
            </w:r>
          </w:p>
        </w:tc>
      </w:tr>
      <w:tr w:rsidR="00F638E4" w:rsidRPr="00F638E4" w14:paraId="6C847A4F" w14:textId="77777777" w:rsidTr="004D5E99">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B9B0E25"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Procentu izdevumi</w:t>
            </w:r>
          </w:p>
        </w:tc>
        <w:tc>
          <w:tcPr>
            <w:tcW w:w="1192" w:type="dxa"/>
          </w:tcPr>
          <w:p w14:paraId="167A733A" w14:textId="77777777" w:rsidR="00F638E4" w:rsidRPr="00F638E4" w:rsidRDefault="00F638E4" w:rsidP="00C171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38E4">
              <w:rPr>
                <w:rFonts w:ascii="Times New Roman" w:eastAsia="Times New Roman" w:hAnsi="Times New Roman" w:cs="Times New Roman"/>
                <w:color w:val="auto"/>
                <w:sz w:val="20"/>
                <w:szCs w:val="20"/>
              </w:rPr>
              <w:t>D.41</w:t>
            </w:r>
          </w:p>
        </w:tc>
        <w:tc>
          <w:tcPr>
            <w:tcW w:w="940" w:type="dxa"/>
          </w:tcPr>
          <w:p w14:paraId="72A348B1"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1,1</w:t>
            </w:r>
          </w:p>
        </w:tc>
        <w:tc>
          <w:tcPr>
            <w:tcW w:w="851" w:type="dxa"/>
          </w:tcPr>
          <w:p w14:paraId="7D289938"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1,0</w:t>
            </w:r>
          </w:p>
        </w:tc>
        <w:tc>
          <w:tcPr>
            <w:tcW w:w="850" w:type="dxa"/>
          </w:tcPr>
          <w:p w14:paraId="198B0157"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0,9</w:t>
            </w:r>
          </w:p>
        </w:tc>
        <w:tc>
          <w:tcPr>
            <w:tcW w:w="851" w:type="dxa"/>
          </w:tcPr>
          <w:p w14:paraId="04BF3429"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1,0</w:t>
            </w:r>
          </w:p>
        </w:tc>
        <w:tc>
          <w:tcPr>
            <w:tcW w:w="850" w:type="dxa"/>
          </w:tcPr>
          <w:p w14:paraId="3640BC4C" w14:textId="77777777" w:rsidR="00F638E4" w:rsidRPr="00F638E4" w:rsidRDefault="00F638E4" w:rsidP="00C171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0,9</w:t>
            </w:r>
          </w:p>
        </w:tc>
      </w:tr>
      <w:tr w:rsidR="00F638E4" w:rsidRPr="00F638E4" w14:paraId="2B9BD141" w14:textId="77777777" w:rsidTr="004D5E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1" w:type="dxa"/>
            <w:gridSpan w:val="7"/>
          </w:tcPr>
          <w:p w14:paraId="31552C93" w14:textId="77777777" w:rsidR="00F638E4" w:rsidRPr="00F638E4" w:rsidRDefault="00F638E4" w:rsidP="00C1712E">
            <w:pPr>
              <w:ind w:firstLine="720"/>
              <w:jc w:val="cente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Cikliskā attīstība</w:t>
            </w:r>
          </w:p>
        </w:tc>
      </w:tr>
      <w:tr w:rsidR="00F638E4" w:rsidRPr="00F638E4" w14:paraId="135A7B05" w14:textId="77777777" w:rsidTr="00A47006">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3B779E4"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 xml:space="preserve">Budžeta bilances cikliskā komponente </w:t>
            </w:r>
          </w:p>
        </w:tc>
        <w:tc>
          <w:tcPr>
            <w:tcW w:w="1192" w:type="dxa"/>
          </w:tcPr>
          <w:p w14:paraId="00CBDA0D" w14:textId="77777777" w:rsidR="00F638E4" w:rsidRPr="00F638E4" w:rsidRDefault="00F638E4" w:rsidP="00C171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vAlign w:val="center"/>
          </w:tcPr>
          <w:p w14:paraId="2778DD5F" w14:textId="77777777" w:rsidR="00F638E4" w:rsidRPr="00F638E4" w:rsidRDefault="00F638E4"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-0,2</w:t>
            </w:r>
          </w:p>
        </w:tc>
        <w:tc>
          <w:tcPr>
            <w:tcW w:w="851" w:type="dxa"/>
            <w:vAlign w:val="center"/>
          </w:tcPr>
          <w:p w14:paraId="62D14546" w14:textId="77777777" w:rsidR="00F638E4" w:rsidRPr="00F638E4" w:rsidRDefault="00F638E4"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-0,1</w:t>
            </w:r>
          </w:p>
        </w:tc>
        <w:tc>
          <w:tcPr>
            <w:tcW w:w="850" w:type="dxa"/>
            <w:vAlign w:val="center"/>
          </w:tcPr>
          <w:p w14:paraId="115B89E1" w14:textId="77777777" w:rsidR="00F638E4" w:rsidRPr="00F638E4" w:rsidRDefault="00F638E4"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0,1</w:t>
            </w:r>
          </w:p>
        </w:tc>
        <w:tc>
          <w:tcPr>
            <w:tcW w:w="851" w:type="dxa"/>
            <w:vAlign w:val="center"/>
          </w:tcPr>
          <w:p w14:paraId="7FC526B2" w14:textId="77777777" w:rsidR="00F638E4" w:rsidRPr="00F638E4" w:rsidRDefault="00F638E4"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0,3</w:t>
            </w:r>
          </w:p>
        </w:tc>
        <w:tc>
          <w:tcPr>
            <w:tcW w:w="850" w:type="dxa"/>
            <w:vAlign w:val="center"/>
          </w:tcPr>
          <w:p w14:paraId="496A7014" w14:textId="77777777" w:rsidR="00F638E4" w:rsidRPr="00F638E4" w:rsidRDefault="00F638E4"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0,3</w:t>
            </w:r>
          </w:p>
        </w:tc>
      </w:tr>
      <w:tr w:rsidR="00F638E4" w:rsidRPr="00F638E4" w14:paraId="08D4046B" w14:textId="77777777" w:rsidTr="00A47006">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3397" w:type="dxa"/>
          </w:tcPr>
          <w:p w14:paraId="112E3ACC"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Strukturālā bilance</w:t>
            </w:r>
          </w:p>
        </w:tc>
        <w:tc>
          <w:tcPr>
            <w:tcW w:w="1192" w:type="dxa"/>
          </w:tcPr>
          <w:p w14:paraId="35925EA1" w14:textId="77777777" w:rsidR="00F638E4" w:rsidRPr="00F638E4" w:rsidRDefault="00F638E4" w:rsidP="00C171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vAlign w:val="center"/>
          </w:tcPr>
          <w:p w14:paraId="4B451B02" w14:textId="77777777" w:rsidR="00F638E4" w:rsidRPr="00F638E4" w:rsidRDefault="00F638E4" w:rsidP="00A47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0,2</w:t>
            </w:r>
          </w:p>
        </w:tc>
        <w:tc>
          <w:tcPr>
            <w:tcW w:w="851" w:type="dxa"/>
            <w:vAlign w:val="center"/>
          </w:tcPr>
          <w:p w14:paraId="3529F15F" w14:textId="77777777" w:rsidR="00F638E4" w:rsidRPr="00F638E4" w:rsidRDefault="00F638E4" w:rsidP="00A47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-0,7</w:t>
            </w:r>
          </w:p>
        </w:tc>
        <w:tc>
          <w:tcPr>
            <w:tcW w:w="850" w:type="dxa"/>
            <w:vAlign w:val="center"/>
          </w:tcPr>
          <w:p w14:paraId="251D9498" w14:textId="37FCC979" w:rsidR="00F638E4" w:rsidRPr="00F638E4" w:rsidRDefault="00E40F95" w:rsidP="00A47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Pr>
                <w:rFonts w:ascii="Times New Roman" w:eastAsia="Times New Roman" w:hAnsi="Times New Roman" w:cs="Times New Roman"/>
                <w:snapToGrid w:val="0"/>
                <w:color w:val="auto"/>
                <w:sz w:val="20"/>
                <w:szCs w:val="20"/>
              </w:rPr>
              <w:t>-1,7</w:t>
            </w:r>
          </w:p>
        </w:tc>
        <w:tc>
          <w:tcPr>
            <w:tcW w:w="851" w:type="dxa"/>
            <w:vAlign w:val="center"/>
          </w:tcPr>
          <w:p w14:paraId="7ADA3ED7" w14:textId="563AA5AF" w:rsidR="00F638E4" w:rsidRPr="00F638E4" w:rsidRDefault="00E40F95" w:rsidP="00A47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Pr>
                <w:rFonts w:ascii="Times New Roman" w:eastAsia="Times New Roman" w:hAnsi="Times New Roman" w:cs="Times New Roman"/>
                <w:snapToGrid w:val="0"/>
                <w:color w:val="auto"/>
                <w:sz w:val="20"/>
                <w:szCs w:val="20"/>
              </w:rPr>
              <w:t>-1,5</w:t>
            </w:r>
          </w:p>
        </w:tc>
        <w:tc>
          <w:tcPr>
            <w:tcW w:w="850" w:type="dxa"/>
            <w:vAlign w:val="center"/>
          </w:tcPr>
          <w:p w14:paraId="21A9C414" w14:textId="101C9C32" w:rsidR="00F638E4" w:rsidRPr="00F638E4" w:rsidRDefault="00E40F95" w:rsidP="00A47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Pr>
                <w:rFonts w:ascii="Times New Roman" w:eastAsia="Times New Roman" w:hAnsi="Times New Roman" w:cs="Times New Roman"/>
                <w:snapToGrid w:val="0"/>
                <w:color w:val="auto"/>
                <w:sz w:val="20"/>
                <w:szCs w:val="20"/>
              </w:rPr>
              <w:t>-0,8</w:t>
            </w:r>
          </w:p>
        </w:tc>
      </w:tr>
      <w:tr w:rsidR="00F638E4" w:rsidRPr="00090157" w14:paraId="2FC0A9DC" w14:textId="77777777" w:rsidTr="00A47006">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8BA257B" w14:textId="77777777" w:rsidR="00F638E4" w:rsidRPr="00F638E4" w:rsidRDefault="00F638E4" w:rsidP="00C1712E">
            <w:pPr>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Cikliski koriģētā primārā bilance</w:t>
            </w:r>
          </w:p>
        </w:tc>
        <w:tc>
          <w:tcPr>
            <w:tcW w:w="1192" w:type="dxa"/>
          </w:tcPr>
          <w:p w14:paraId="283CCAC2" w14:textId="77777777" w:rsidR="00F638E4" w:rsidRPr="00F638E4" w:rsidRDefault="00F638E4" w:rsidP="00C171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40" w:type="dxa"/>
            <w:vAlign w:val="center"/>
          </w:tcPr>
          <w:p w14:paraId="3F3B3D9B" w14:textId="77777777" w:rsidR="00F638E4" w:rsidRPr="00F638E4" w:rsidRDefault="00F638E4"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1,3</w:t>
            </w:r>
          </w:p>
        </w:tc>
        <w:tc>
          <w:tcPr>
            <w:tcW w:w="851" w:type="dxa"/>
            <w:vAlign w:val="center"/>
          </w:tcPr>
          <w:p w14:paraId="5EB747F0" w14:textId="77777777" w:rsidR="00F638E4" w:rsidRPr="00F638E4" w:rsidRDefault="00F638E4"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638E4">
              <w:rPr>
                <w:rFonts w:ascii="Times New Roman" w:eastAsia="Times New Roman" w:hAnsi="Times New Roman" w:cs="Times New Roman"/>
                <w:snapToGrid w:val="0"/>
                <w:color w:val="auto"/>
                <w:sz w:val="20"/>
                <w:szCs w:val="20"/>
              </w:rPr>
              <w:t>0,2</w:t>
            </w:r>
          </w:p>
        </w:tc>
        <w:tc>
          <w:tcPr>
            <w:tcW w:w="850" w:type="dxa"/>
            <w:vAlign w:val="center"/>
          </w:tcPr>
          <w:p w14:paraId="384F99DB" w14:textId="2B3D19BB" w:rsidR="00F638E4" w:rsidRPr="00F638E4" w:rsidRDefault="00A47006"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Pr>
                <w:rFonts w:ascii="Times New Roman" w:eastAsia="Times New Roman" w:hAnsi="Times New Roman" w:cs="Times New Roman"/>
                <w:snapToGrid w:val="0"/>
                <w:color w:val="auto"/>
                <w:sz w:val="20"/>
                <w:szCs w:val="20"/>
              </w:rPr>
              <w:t>-0,8</w:t>
            </w:r>
          </w:p>
        </w:tc>
        <w:tc>
          <w:tcPr>
            <w:tcW w:w="851" w:type="dxa"/>
            <w:vAlign w:val="center"/>
          </w:tcPr>
          <w:p w14:paraId="60CE2DF7" w14:textId="7E4A374A" w:rsidR="00F638E4" w:rsidRPr="00F638E4" w:rsidRDefault="00A47006"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Pr>
                <w:rFonts w:ascii="Times New Roman" w:eastAsia="Times New Roman" w:hAnsi="Times New Roman" w:cs="Times New Roman"/>
                <w:snapToGrid w:val="0"/>
                <w:color w:val="auto"/>
                <w:sz w:val="20"/>
                <w:szCs w:val="20"/>
              </w:rPr>
              <w:t>-0,5</w:t>
            </w:r>
          </w:p>
        </w:tc>
        <w:tc>
          <w:tcPr>
            <w:tcW w:w="850" w:type="dxa"/>
            <w:vAlign w:val="center"/>
          </w:tcPr>
          <w:p w14:paraId="60C63A8A" w14:textId="3693B031" w:rsidR="00F638E4" w:rsidRPr="00F638E4" w:rsidRDefault="00A47006" w:rsidP="00A47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r>
              <w:rPr>
                <w:rFonts w:ascii="Times New Roman" w:eastAsia="Times New Roman" w:hAnsi="Times New Roman" w:cs="Times New Roman"/>
                <w:snapToGrid w:val="0"/>
                <w:color w:val="auto"/>
                <w:sz w:val="20"/>
                <w:szCs w:val="20"/>
              </w:rPr>
              <w:t>0,1</w:t>
            </w:r>
          </w:p>
        </w:tc>
      </w:tr>
    </w:tbl>
    <w:p w14:paraId="67F59A65" w14:textId="0B9F7F85" w:rsidR="00E40F95" w:rsidRPr="00E40F95" w:rsidRDefault="00E40F95" w:rsidP="00E40F95">
      <w:pPr>
        <w:pStyle w:val="T"/>
        <w:ind w:left="0"/>
        <w:jc w:val="both"/>
        <w:rPr>
          <w:rFonts w:ascii="Times New Roman" w:hAnsi="Times New Roman"/>
          <w:b w:val="0"/>
          <w:color w:val="000000"/>
          <w:szCs w:val="24"/>
        </w:rPr>
      </w:pPr>
      <w:r>
        <w:rPr>
          <w:rFonts w:ascii="Times New Roman" w:hAnsi="Times New Roman"/>
          <w:color w:val="000000"/>
          <w:sz w:val="20"/>
          <w:szCs w:val="24"/>
        </w:rPr>
        <w:t xml:space="preserve">* </w:t>
      </w:r>
      <w:r w:rsidRPr="00BA7E71">
        <w:rPr>
          <w:rFonts w:ascii="Times New Roman" w:hAnsi="Times New Roman"/>
          <w:b w:val="0"/>
          <w:color w:val="000000"/>
          <w:sz w:val="20"/>
        </w:rPr>
        <w:t xml:space="preserve">strukturālā bilance uzrādīta, tajā iekļaujot vienreizējo pasākumu - nodokļu reformas izsaukto bilances </w:t>
      </w:r>
      <w:r>
        <w:rPr>
          <w:rFonts w:ascii="Times New Roman" w:hAnsi="Times New Roman"/>
          <w:b w:val="0"/>
          <w:color w:val="000000"/>
          <w:sz w:val="20"/>
        </w:rPr>
        <w:t>īstermiņa</w:t>
      </w:r>
      <w:r w:rsidRPr="00BA7E71">
        <w:rPr>
          <w:rFonts w:ascii="Times New Roman" w:hAnsi="Times New Roman"/>
          <w:b w:val="0"/>
          <w:color w:val="000000"/>
          <w:sz w:val="20"/>
        </w:rPr>
        <w:t xml:space="preserve"> samazinājumu, jo saskaņā ar SIP noteikumu piemērošanas  praksi, EK to neatzīs par vienreizēj</w:t>
      </w:r>
      <w:r>
        <w:rPr>
          <w:rFonts w:ascii="Times New Roman" w:hAnsi="Times New Roman"/>
          <w:b w:val="0"/>
          <w:color w:val="000000"/>
          <w:sz w:val="20"/>
        </w:rPr>
        <w:t>u</w:t>
      </w:r>
      <w:r w:rsidRPr="00BA7E71">
        <w:rPr>
          <w:rFonts w:ascii="Times New Roman" w:hAnsi="Times New Roman"/>
          <w:b w:val="0"/>
          <w:color w:val="000000"/>
          <w:sz w:val="20"/>
        </w:rPr>
        <w:t xml:space="preserve"> pasākumu (</w:t>
      </w:r>
      <w:r w:rsidRPr="00735212">
        <w:rPr>
          <w:rFonts w:ascii="Times New Roman" w:hAnsi="Times New Roman"/>
          <w:b w:val="0"/>
          <w:i/>
          <w:color w:val="000000"/>
          <w:sz w:val="20"/>
        </w:rPr>
        <w:t>one-off</w:t>
      </w:r>
      <w:r w:rsidRPr="00BA7E71">
        <w:rPr>
          <w:rFonts w:ascii="Times New Roman" w:hAnsi="Times New Roman"/>
          <w:b w:val="0"/>
          <w:color w:val="000000"/>
          <w:sz w:val="20"/>
        </w:rPr>
        <w:t>).</w:t>
      </w:r>
      <w:r>
        <w:rPr>
          <w:rFonts w:ascii="Times New Roman" w:hAnsi="Times New Roman"/>
          <w:b w:val="0"/>
          <w:color w:val="000000"/>
          <w:szCs w:val="24"/>
        </w:rPr>
        <w:t xml:space="preserve">   </w:t>
      </w:r>
    </w:p>
    <w:p w14:paraId="3A09AE75" w14:textId="07BC9039" w:rsidR="00503163" w:rsidRPr="00962DEF" w:rsidRDefault="00503163" w:rsidP="004D5E99">
      <w:pPr>
        <w:spacing w:before="120" w:after="0" w:line="240" w:lineRule="auto"/>
        <w:ind w:firstLine="720"/>
        <w:jc w:val="both"/>
        <w:rPr>
          <w:rFonts w:ascii="Times New Roman" w:eastAsia="Times New Roman" w:hAnsi="Times New Roman" w:cs="Times New Roman"/>
          <w:sz w:val="24"/>
          <w:szCs w:val="24"/>
        </w:rPr>
      </w:pPr>
      <w:r w:rsidRPr="00962DEF">
        <w:rPr>
          <w:rFonts w:ascii="Times New Roman" w:eastAsia="Times New Roman" w:hAnsi="Times New Roman" w:cs="Times New Roman"/>
          <w:sz w:val="24"/>
          <w:szCs w:val="24"/>
        </w:rPr>
        <w:t>Fiskālās attīstības scenārijā nodokļu reformas fiskālā ietekme tiek sadalīta pa attiecīgajiem vispārējās valdības budžeta apakšlīmeņiem. Tāpat tiek pieņemts, ka 2018. u</w:t>
      </w:r>
      <w:r w:rsidR="008F7F0D">
        <w:rPr>
          <w:rFonts w:ascii="Times New Roman" w:eastAsia="Times New Roman" w:hAnsi="Times New Roman" w:cs="Times New Roman"/>
          <w:sz w:val="24"/>
          <w:szCs w:val="24"/>
        </w:rPr>
        <w:t>n 2019.</w:t>
      </w:r>
      <w:r w:rsidRPr="00962DEF">
        <w:rPr>
          <w:rFonts w:ascii="Times New Roman" w:eastAsia="Times New Roman" w:hAnsi="Times New Roman" w:cs="Times New Roman"/>
          <w:sz w:val="24"/>
          <w:szCs w:val="24"/>
        </w:rPr>
        <w:t xml:space="preserve">gadā veselības nozarē tiek īstenotas reformas piešķirtā deficīta atkāpju finansējuma apmērā,  attiecīgi 0,4% un 0,5% no IKP. Savukārt atlikusī fiskālā telpa (no kopējās fiskālās telpas tiek rezervēts paredzētais papildu finansējums veselības reformas īstenošanai un nodokļu politikas pamatnostādņu ieviešanai) tiek izmantota papildus izdevumiem. Tā kā lēmumus par fiskālās telpas sadali pieņem budžeta veidošanas procesā un pašlaik tas nav zināms, tiek pieņemts, ka tā tiek sadalīta proporcionāli pa izdevumu kategorijām attiecīgajos gados, par </w:t>
      </w:r>
      <w:r w:rsidRPr="00962DEF">
        <w:rPr>
          <w:rFonts w:ascii="Times New Roman" w:eastAsia="Times New Roman" w:hAnsi="Times New Roman" w:cs="Times New Roman"/>
          <w:sz w:val="24"/>
          <w:szCs w:val="24"/>
        </w:rPr>
        <w:lastRenderedPageBreak/>
        <w:t xml:space="preserve">pamatu pieņemot atsevišķu izdevumu kategoriju proporciju pret kopējiem izdevumiem pie </w:t>
      </w:r>
      <w:r w:rsidR="008F7F0D">
        <w:rPr>
          <w:rFonts w:ascii="Times New Roman" w:eastAsia="Times New Roman" w:hAnsi="Times New Roman" w:cs="Times New Roman"/>
          <w:sz w:val="24"/>
          <w:szCs w:val="24"/>
        </w:rPr>
        <w:t xml:space="preserve">nemainīgas politikas scenārija. </w:t>
      </w:r>
      <w:r w:rsidRPr="00962DEF">
        <w:rPr>
          <w:rFonts w:ascii="Times New Roman" w:eastAsia="Times New Roman" w:hAnsi="Times New Roman" w:cs="Times New Roman"/>
          <w:sz w:val="24"/>
          <w:szCs w:val="24"/>
        </w:rPr>
        <w:t xml:space="preserve">Aprēķinot atsevišķu izdevumu kategoriju proporciju pret kopējiem izdevumiem pie nemainīgas politikas scenārija, no aprēķina tiek izslēgtas sekojošas izdevumu kategorijas: procentu izdevumi un kapitālo izdevumu transferti. Šāda pieeja tiek izmantota, jo tiek pieņemts, ka fiskālā telpa uz šīm izdevumu kategorijām netiek pārdalīta.  </w:t>
      </w:r>
    </w:p>
    <w:p w14:paraId="207695A6" w14:textId="4F3D36BC" w:rsidR="00503163" w:rsidRPr="00962DEF" w:rsidRDefault="00503163" w:rsidP="004D5E99">
      <w:pPr>
        <w:spacing w:after="0" w:line="240" w:lineRule="auto"/>
        <w:ind w:firstLine="720"/>
        <w:jc w:val="both"/>
        <w:rPr>
          <w:rFonts w:ascii="Times New Roman" w:eastAsia="Times New Roman" w:hAnsi="Times New Roman" w:cs="Times New Roman"/>
          <w:sz w:val="24"/>
          <w:szCs w:val="24"/>
        </w:rPr>
      </w:pPr>
      <w:r w:rsidRPr="00962DEF">
        <w:rPr>
          <w:rFonts w:ascii="Times New Roman" w:eastAsia="Times New Roman" w:hAnsi="Times New Roman" w:cs="Times New Roman"/>
          <w:sz w:val="24"/>
          <w:szCs w:val="24"/>
        </w:rPr>
        <w:t>Augstāk minētais pie</w:t>
      </w:r>
      <w:r w:rsidR="008F7F0D">
        <w:rPr>
          <w:rFonts w:ascii="Times New Roman" w:eastAsia="Times New Roman" w:hAnsi="Times New Roman" w:cs="Times New Roman"/>
          <w:sz w:val="24"/>
          <w:szCs w:val="24"/>
        </w:rPr>
        <w:t>ņēmumu kopums ietekmēs situāciju</w:t>
      </w:r>
      <w:r w:rsidRPr="00962DEF">
        <w:rPr>
          <w:rFonts w:ascii="Times New Roman" w:eastAsia="Times New Roman" w:hAnsi="Times New Roman" w:cs="Times New Roman"/>
          <w:sz w:val="24"/>
          <w:szCs w:val="24"/>
        </w:rPr>
        <w:t xml:space="preserve"> centrālās valdības, sociālās nodrošināšanas fondos un vietējās valdības budžetos. Vidējā termiņā vispārējās valdības ieņēmumu īpatsvars IKP nodokļu pamatnostādņu īsten</w:t>
      </w:r>
      <w:r w:rsidR="008F7F0D">
        <w:rPr>
          <w:rFonts w:ascii="Times New Roman" w:eastAsia="Times New Roman" w:hAnsi="Times New Roman" w:cs="Times New Roman"/>
          <w:sz w:val="24"/>
          <w:szCs w:val="24"/>
        </w:rPr>
        <w:t>ošanas rezultātā 2018. un 2019.</w:t>
      </w:r>
      <w:r w:rsidRPr="00962DEF">
        <w:rPr>
          <w:rFonts w:ascii="Times New Roman" w:eastAsia="Times New Roman" w:hAnsi="Times New Roman" w:cs="Times New Roman"/>
          <w:sz w:val="24"/>
          <w:szCs w:val="24"/>
        </w:rPr>
        <w:t>gadā samazināsies attiecīgi par 0,5</w:t>
      </w:r>
      <w:r w:rsidR="008F7F0D">
        <w:rPr>
          <w:rFonts w:ascii="Times New Roman" w:eastAsia="Times New Roman" w:hAnsi="Times New Roman" w:cs="Times New Roman"/>
          <w:sz w:val="24"/>
          <w:szCs w:val="24"/>
        </w:rPr>
        <w:t xml:space="preserve"> procentpunktiem</w:t>
      </w:r>
      <w:r w:rsidRPr="00962DEF">
        <w:rPr>
          <w:rFonts w:ascii="Times New Roman" w:eastAsia="Times New Roman" w:hAnsi="Times New Roman" w:cs="Times New Roman"/>
          <w:sz w:val="24"/>
          <w:szCs w:val="24"/>
        </w:rPr>
        <w:t xml:space="preserve"> un 0,3 </w:t>
      </w:r>
      <w:r w:rsidR="008F7F0D">
        <w:rPr>
          <w:rFonts w:ascii="Times New Roman" w:eastAsia="Times New Roman" w:hAnsi="Times New Roman" w:cs="Times New Roman"/>
          <w:sz w:val="24"/>
          <w:szCs w:val="24"/>
        </w:rPr>
        <w:t>procentpunktiem</w:t>
      </w:r>
      <w:r w:rsidRPr="00962DEF">
        <w:rPr>
          <w:rFonts w:ascii="Times New Roman" w:eastAsia="Times New Roman" w:hAnsi="Times New Roman" w:cs="Times New Roman"/>
          <w:sz w:val="24"/>
          <w:szCs w:val="24"/>
        </w:rPr>
        <w:t xml:space="preserve"> salīdzinot ar nemainīgas politikas scenāriju, savukārt 2020.gadā būs par 0,03 procentpunktiem lielāks. Nodokļu sloga un nodokļu ieņēmumu izmaiņas ir tādas pašas kā izmaiņas kopējos ieņēmumos un arī izriet no nodokļu pamatnostādņu īstenošanas.</w:t>
      </w:r>
    </w:p>
    <w:p w14:paraId="0057BE4D" w14:textId="237D852F" w:rsidR="00503163" w:rsidRPr="00962DEF" w:rsidRDefault="00503163" w:rsidP="004D5E99">
      <w:pPr>
        <w:spacing w:after="0" w:line="240" w:lineRule="auto"/>
        <w:ind w:firstLine="720"/>
        <w:jc w:val="both"/>
        <w:rPr>
          <w:rFonts w:ascii="Times New Roman" w:eastAsia="Times New Roman" w:hAnsi="Times New Roman" w:cs="Times New Roman"/>
          <w:sz w:val="24"/>
          <w:szCs w:val="24"/>
        </w:rPr>
      </w:pPr>
      <w:r w:rsidRPr="00962DEF">
        <w:rPr>
          <w:rFonts w:ascii="Times New Roman" w:eastAsia="Times New Roman" w:hAnsi="Times New Roman" w:cs="Times New Roman"/>
          <w:sz w:val="24"/>
          <w:szCs w:val="24"/>
        </w:rPr>
        <w:t>Vispārējās valdības</w:t>
      </w:r>
      <w:r w:rsidR="008F7F0D">
        <w:rPr>
          <w:rFonts w:ascii="Times New Roman" w:eastAsia="Times New Roman" w:hAnsi="Times New Roman" w:cs="Times New Roman"/>
          <w:sz w:val="24"/>
          <w:szCs w:val="24"/>
        </w:rPr>
        <w:t xml:space="preserve"> izdevumi 2018., 2019. un 2020.</w:t>
      </w:r>
      <w:r w:rsidRPr="00962DEF">
        <w:rPr>
          <w:rFonts w:ascii="Times New Roman" w:eastAsia="Times New Roman" w:hAnsi="Times New Roman" w:cs="Times New Roman"/>
          <w:sz w:val="24"/>
          <w:szCs w:val="24"/>
        </w:rPr>
        <w:t xml:space="preserve">gadā pieaugs attiecīgi par 0,7 </w:t>
      </w:r>
      <w:r w:rsidR="008F7F0D">
        <w:rPr>
          <w:rFonts w:ascii="Times New Roman" w:eastAsia="Times New Roman" w:hAnsi="Times New Roman" w:cs="Times New Roman"/>
          <w:sz w:val="24"/>
          <w:szCs w:val="24"/>
        </w:rPr>
        <w:t>procentpunktiem</w:t>
      </w:r>
      <w:r w:rsidRPr="00962DEF">
        <w:rPr>
          <w:rFonts w:ascii="Times New Roman" w:eastAsia="Times New Roman" w:hAnsi="Times New Roman" w:cs="Times New Roman"/>
          <w:sz w:val="24"/>
          <w:szCs w:val="24"/>
        </w:rPr>
        <w:t>, 1,2</w:t>
      </w:r>
      <w:r w:rsidR="008F7F0D">
        <w:rPr>
          <w:rFonts w:ascii="Times New Roman" w:eastAsia="Times New Roman" w:hAnsi="Times New Roman" w:cs="Times New Roman"/>
          <w:sz w:val="24"/>
          <w:szCs w:val="24"/>
        </w:rPr>
        <w:t xml:space="preserve"> procentpunktiem</w:t>
      </w:r>
      <w:r w:rsidR="008F7F0D" w:rsidRPr="00962DEF">
        <w:rPr>
          <w:rFonts w:ascii="Times New Roman" w:eastAsia="Times New Roman" w:hAnsi="Times New Roman" w:cs="Times New Roman"/>
          <w:sz w:val="24"/>
          <w:szCs w:val="24"/>
        </w:rPr>
        <w:t xml:space="preserve"> </w:t>
      </w:r>
      <w:r w:rsidRPr="00962DEF">
        <w:rPr>
          <w:rFonts w:ascii="Times New Roman" w:eastAsia="Times New Roman" w:hAnsi="Times New Roman" w:cs="Times New Roman"/>
          <w:sz w:val="24"/>
          <w:szCs w:val="24"/>
        </w:rPr>
        <w:t>un 1,4</w:t>
      </w:r>
      <w:r w:rsidR="008F7F0D">
        <w:rPr>
          <w:rFonts w:ascii="Times New Roman" w:eastAsia="Times New Roman" w:hAnsi="Times New Roman" w:cs="Times New Roman"/>
          <w:sz w:val="24"/>
          <w:szCs w:val="24"/>
        </w:rPr>
        <w:t xml:space="preserve"> procentpunktiem</w:t>
      </w:r>
      <w:r w:rsidRPr="00962DEF">
        <w:rPr>
          <w:rFonts w:ascii="Times New Roman" w:eastAsia="Times New Roman" w:hAnsi="Times New Roman" w:cs="Times New Roman"/>
          <w:sz w:val="24"/>
          <w:szCs w:val="24"/>
        </w:rPr>
        <w:t>, salīdzinot ar nemainīgas politikas scenāriju, ko pamatā noteiks izdevumu palielinājums, kas izriet no nodokļu pamatnostādņu īstenošanas, veselības reformas īstenošanas un proporcionālas atlikušās fiskālās telpas sadales.</w:t>
      </w:r>
    </w:p>
    <w:p w14:paraId="412C3DE7" w14:textId="77777777" w:rsidR="00503163" w:rsidRPr="00962DEF" w:rsidRDefault="00503163" w:rsidP="005048C8">
      <w:pPr>
        <w:spacing w:before="120" w:after="60" w:line="240" w:lineRule="auto"/>
        <w:ind w:firstLine="720"/>
        <w:jc w:val="both"/>
        <w:rPr>
          <w:rFonts w:ascii="Times New Roman" w:eastAsia="Times New Roman" w:hAnsi="Times New Roman" w:cs="Times New Roman"/>
          <w:b/>
          <w:color w:val="000000"/>
          <w:sz w:val="24"/>
          <w:szCs w:val="20"/>
        </w:rPr>
      </w:pPr>
      <w:r w:rsidRPr="00962DEF">
        <w:rPr>
          <w:rFonts w:ascii="Times New Roman" w:eastAsia="Times New Roman" w:hAnsi="Times New Roman" w:cs="Times New Roman"/>
          <w:b/>
          <w:color w:val="000000"/>
          <w:sz w:val="24"/>
          <w:szCs w:val="20"/>
        </w:rPr>
        <w:t>Centrālās valdības budžetā:</w:t>
      </w:r>
    </w:p>
    <w:p w14:paraId="594FAE05" w14:textId="3CB74384" w:rsidR="00503163" w:rsidRPr="00962DEF" w:rsidRDefault="00503163" w:rsidP="00503163">
      <w:pPr>
        <w:numPr>
          <w:ilvl w:val="0"/>
          <w:numId w:val="30"/>
        </w:numPr>
        <w:spacing w:before="120" w:after="0" w:line="240" w:lineRule="auto"/>
        <w:contextualSpacing/>
        <w:jc w:val="both"/>
        <w:rPr>
          <w:rFonts w:ascii="Times New Roman" w:eastAsia="Calibri" w:hAnsi="Times New Roman" w:cs="Times New Roman"/>
          <w:strike/>
          <w:color w:val="000000"/>
          <w:sz w:val="24"/>
        </w:rPr>
      </w:pPr>
      <w:r w:rsidRPr="00962DEF">
        <w:rPr>
          <w:rFonts w:ascii="Times New Roman" w:eastAsia="Calibri" w:hAnsi="Times New Roman" w:cs="Times New Roman"/>
          <w:color w:val="000000"/>
          <w:sz w:val="24"/>
        </w:rPr>
        <w:t>Gan 2018.gadā, gan turpmākajos divos gados centrālās valdības budžeta deficīts palielināsies par attiecīgi 1,6</w:t>
      </w:r>
      <w:r w:rsidR="008F7F0D">
        <w:rPr>
          <w:rFonts w:ascii="Times New Roman" w:eastAsia="Calibri" w:hAnsi="Times New Roman" w:cs="Times New Roman"/>
          <w:color w:val="000000"/>
          <w:sz w:val="24"/>
        </w:rPr>
        <w:t xml:space="preserve"> </w:t>
      </w:r>
      <w:r w:rsidR="008F7F0D">
        <w:rPr>
          <w:rFonts w:ascii="Times New Roman" w:eastAsia="Times New Roman" w:hAnsi="Times New Roman" w:cs="Times New Roman"/>
          <w:sz w:val="24"/>
          <w:szCs w:val="24"/>
        </w:rPr>
        <w:t>procentpunktiem</w:t>
      </w:r>
      <w:r w:rsidRPr="00962DEF">
        <w:rPr>
          <w:rFonts w:ascii="Times New Roman" w:eastAsia="Calibri" w:hAnsi="Times New Roman" w:cs="Times New Roman"/>
          <w:color w:val="000000"/>
          <w:sz w:val="24"/>
        </w:rPr>
        <w:t>, 1,8</w:t>
      </w:r>
      <w:r w:rsidR="008F7F0D">
        <w:rPr>
          <w:rFonts w:ascii="Times New Roman" w:eastAsia="Calibri" w:hAnsi="Times New Roman" w:cs="Times New Roman"/>
          <w:color w:val="000000"/>
          <w:sz w:val="24"/>
        </w:rPr>
        <w:t xml:space="preserve"> </w:t>
      </w:r>
      <w:r w:rsidR="008F7F0D">
        <w:rPr>
          <w:rFonts w:ascii="Times New Roman" w:eastAsia="Times New Roman" w:hAnsi="Times New Roman" w:cs="Times New Roman"/>
          <w:sz w:val="24"/>
          <w:szCs w:val="24"/>
        </w:rPr>
        <w:t>procentpunktiem</w:t>
      </w:r>
      <w:r w:rsidR="008F7F0D" w:rsidRPr="00962DEF">
        <w:rPr>
          <w:rFonts w:ascii="Times New Roman" w:eastAsia="Calibri" w:hAnsi="Times New Roman" w:cs="Times New Roman"/>
          <w:color w:val="000000"/>
          <w:sz w:val="24"/>
        </w:rPr>
        <w:t xml:space="preserve"> </w:t>
      </w:r>
      <w:r w:rsidRPr="00962DEF">
        <w:rPr>
          <w:rFonts w:ascii="Times New Roman" w:eastAsia="Calibri" w:hAnsi="Times New Roman" w:cs="Times New Roman"/>
          <w:color w:val="000000"/>
          <w:sz w:val="24"/>
        </w:rPr>
        <w:t>un 1,7</w:t>
      </w:r>
      <w:r w:rsidR="008F7F0D">
        <w:rPr>
          <w:rFonts w:ascii="Times New Roman" w:eastAsia="Calibri" w:hAnsi="Times New Roman" w:cs="Times New Roman"/>
          <w:color w:val="000000"/>
          <w:sz w:val="24"/>
        </w:rPr>
        <w:t xml:space="preserve"> </w:t>
      </w:r>
      <w:r w:rsidR="008F7F0D">
        <w:rPr>
          <w:rFonts w:ascii="Times New Roman" w:eastAsia="Times New Roman" w:hAnsi="Times New Roman" w:cs="Times New Roman"/>
          <w:sz w:val="24"/>
          <w:szCs w:val="24"/>
        </w:rPr>
        <w:t>procentpunktiem</w:t>
      </w:r>
      <w:r w:rsidRPr="00962DEF">
        <w:rPr>
          <w:rFonts w:ascii="Times New Roman" w:eastAsia="Calibri" w:hAnsi="Times New Roman" w:cs="Times New Roman"/>
          <w:color w:val="000000"/>
          <w:sz w:val="24"/>
        </w:rPr>
        <w:t>. Ieņēmumu lejupvērstas izmaiņas noteiks nodokļu ieņēmumu samazinājums sakarā ar nodokļu pamatnostādņu ieviešanu. Būtiskākā negatīvā ietekme ir paredzama no IIN ieņēmumu krituma (attiecīgi -0,1% no IKP; -0,2</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-0,2</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Solidaritātes</w:t>
      </w:r>
      <w:r w:rsidR="008F7F0D">
        <w:rPr>
          <w:rFonts w:ascii="Times New Roman" w:eastAsia="Calibri" w:hAnsi="Times New Roman" w:cs="Times New Roman"/>
          <w:color w:val="000000"/>
          <w:sz w:val="24"/>
        </w:rPr>
        <w:t xml:space="preserve"> nodokļa ieņēmumu krituma (-0,2</w:t>
      </w:r>
      <w:r w:rsidRPr="00962DEF">
        <w:rPr>
          <w:rFonts w:ascii="Times New Roman" w:eastAsia="Calibri" w:hAnsi="Times New Roman" w:cs="Times New Roman"/>
          <w:color w:val="000000"/>
          <w:sz w:val="24"/>
        </w:rPr>
        <w:t>% no  IKP visos trijos gados) un UIN ieņēmumu krituma ( attiecīgi -1,2% no IKP; -0,5</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-0,4</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savukārt pozitīva ietekme tiek prognozēta no PVN ieņēmumu palielinājuma (attiecīgi +0,5% no IKP; +0,5</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+0,6</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un akcīzes nodokļa ieņēmumu palielinājuma (attiecīgi +0,2% no IKP; +0,2</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+0,3</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w:t>
      </w:r>
    </w:p>
    <w:p w14:paraId="3A9E1D03" w14:textId="70776181" w:rsidR="00503163" w:rsidRPr="00962DEF" w:rsidRDefault="00503163" w:rsidP="00503163">
      <w:pPr>
        <w:spacing w:before="120" w:after="0" w:line="240" w:lineRule="auto"/>
        <w:ind w:left="1500"/>
        <w:contextualSpacing/>
        <w:jc w:val="both"/>
        <w:rPr>
          <w:rFonts w:ascii="Times New Roman" w:eastAsia="Calibri" w:hAnsi="Times New Roman" w:cs="Times New Roman"/>
          <w:color w:val="000000"/>
          <w:sz w:val="24"/>
        </w:rPr>
      </w:pPr>
      <w:r w:rsidRPr="00962DEF">
        <w:rPr>
          <w:rFonts w:ascii="Times New Roman" w:eastAsia="Calibri" w:hAnsi="Times New Roman" w:cs="Times New Roman"/>
          <w:color w:val="000000"/>
          <w:sz w:val="24"/>
        </w:rPr>
        <w:t>Centrālās valdības izdevumu palielinājumu turpmākajos gados noteiks nodokļu pamatnostādņu ieviešanas rezultātā paredzētie izdevumi minimālās darba algas palielināšanas nodrošināšanai (0,1% no IKP katru gadu)</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kā arī plānotais izdevumu palielinājums autoceļu uzturēšanai (0,1% no IKP katru gadu). Tāpat būtisku ietekmi uz izdevumu palielinājumu dos veselības ref</w:t>
      </w:r>
      <w:r w:rsidR="008F7F0D">
        <w:rPr>
          <w:rFonts w:ascii="Times New Roman" w:eastAsia="Calibri" w:hAnsi="Times New Roman" w:cs="Times New Roman"/>
          <w:color w:val="000000"/>
          <w:sz w:val="24"/>
        </w:rPr>
        <w:t>ormu īstenošana, 2018. un 2019.</w:t>
      </w:r>
      <w:r w:rsidRPr="00962DEF">
        <w:rPr>
          <w:rFonts w:ascii="Times New Roman" w:eastAsia="Calibri" w:hAnsi="Times New Roman" w:cs="Times New Roman"/>
          <w:color w:val="000000"/>
          <w:sz w:val="24"/>
        </w:rPr>
        <w:t>gadā palielinot izdevumus attiecīgi par 0,4</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un 0,5% no IKP.  Lai mazinātu negatīvo ietekmi uz vietējās valdības budžetu no IIN likmju samazinājuma, tiek paredzēta kompensācija no centrālās valdības puses. Kompensācijas mehānisms paredz vietējai valdībai nodrošināt fiksētu nodokļu ieņēmumu proporciju pret valdības kopējiem nodokļu ieņēmumiem 19,5% apmērā. Līdz ar to pieaug centrālās valdības izdevumi, attiecīg</w:t>
      </w:r>
      <w:r w:rsidR="008F7F0D">
        <w:rPr>
          <w:rFonts w:ascii="Times New Roman" w:eastAsia="Calibri" w:hAnsi="Times New Roman" w:cs="Times New Roman"/>
          <w:color w:val="000000"/>
          <w:sz w:val="24"/>
        </w:rPr>
        <w:t>i 0,3% no IKP; 0,8% no IKP; 0,8</w:t>
      </w:r>
      <w:r w:rsidRPr="00962DEF">
        <w:rPr>
          <w:rFonts w:ascii="Times New Roman" w:eastAsia="Calibri" w:hAnsi="Times New Roman" w:cs="Times New Roman"/>
          <w:color w:val="000000"/>
          <w:sz w:val="24"/>
        </w:rPr>
        <w:t>% no IKP. Tiek pieņemts, ka turpmākajos trīs gados atlikusī fiskālā telpa tiks novirzīta tikai centrālās valdības izdevumu palielinājumam (attiecīgi 0</w:t>
      </w:r>
      <w:r w:rsidR="008F7F0D">
        <w:rPr>
          <w:rFonts w:ascii="Times New Roman" w:eastAsia="Calibri" w:hAnsi="Times New Roman" w:cs="Times New Roman"/>
          <w:color w:val="000000"/>
          <w:sz w:val="24"/>
        </w:rPr>
        <w:t>,03% no IKP; 0,39% no IKP; 0,95</w:t>
      </w:r>
      <w:r w:rsidRPr="00962DEF">
        <w:rPr>
          <w:rFonts w:ascii="Times New Roman" w:eastAsia="Calibri" w:hAnsi="Times New Roman" w:cs="Times New Roman"/>
          <w:color w:val="000000"/>
          <w:sz w:val="24"/>
        </w:rPr>
        <w:t xml:space="preserve">% no IKP). </w:t>
      </w:r>
    </w:p>
    <w:p w14:paraId="4BB5AA53" w14:textId="77777777" w:rsidR="00503163" w:rsidRPr="00962DEF" w:rsidRDefault="00503163" w:rsidP="005048C8">
      <w:pPr>
        <w:spacing w:before="120" w:after="60" w:line="240" w:lineRule="auto"/>
        <w:ind w:firstLine="720"/>
        <w:jc w:val="both"/>
        <w:rPr>
          <w:rFonts w:ascii="Times New Roman" w:eastAsia="Times New Roman" w:hAnsi="Times New Roman" w:cs="Times New Roman"/>
          <w:sz w:val="24"/>
          <w:szCs w:val="24"/>
        </w:rPr>
      </w:pPr>
      <w:r w:rsidRPr="00962DEF">
        <w:rPr>
          <w:rFonts w:ascii="Times New Roman" w:eastAsia="Calibri" w:hAnsi="Times New Roman" w:cs="Times New Roman"/>
          <w:color w:val="000000"/>
          <w:sz w:val="24"/>
        </w:rPr>
        <w:t xml:space="preserve"> </w:t>
      </w:r>
      <w:r w:rsidRPr="008F7F0D">
        <w:rPr>
          <w:rFonts w:ascii="Times New Roman" w:eastAsia="Times New Roman" w:hAnsi="Times New Roman" w:cs="Times New Roman"/>
          <w:b/>
          <w:color w:val="000000"/>
          <w:sz w:val="24"/>
          <w:szCs w:val="20"/>
        </w:rPr>
        <w:t>Sociālās nodrošināšanas fondos:</w:t>
      </w:r>
      <w:r w:rsidRPr="00962DEF">
        <w:rPr>
          <w:rFonts w:ascii="Times New Roman" w:eastAsia="Times New Roman" w:hAnsi="Times New Roman" w:cs="Times New Roman"/>
          <w:sz w:val="24"/>
          <w:szCs w:val="24"/>
        </w:rPr>
        <w:t xml:space="preserve"> </w:t>
      </w:r>
    </w:p>
    <w:p w14:paraId="135409E5" w14:textId="235CAA12" w:rsidR="00503163" w:rsidRPr="00962DEF" w:rsidRDefault="00503163" w:rsidP="008F7F0D">
      <w:pPr>
        <w:numPr>
          <w:ilvl w:val="0"/>
          <w:numId w:val="28"/>
        </w:numPr>
        <w:spacing w:after="0" w:line="240" w:lineRule="auto"/>
        <w:ind w:left="1435" w:hanging="357"/>
        <w:jc w:val="both"/>
        <w:rPr>
          <w:rFonts w:ascii="Times New Roman" w:eastAsia="Calibri" w:hAnsi="Times New Roman" w:cs="Times New Roman"/>
          <w:sz w:val="24"/>
          <w:szCs w:val="24"/>
        </w:rPr>
      </w:pPr>
      <w:r w:rsidRPr="00962DEF">
        <w:rPr>
          <w:rFonts w:ascii="Times New Roman" w:eastAsia="Calibri" w:hAnsi="Times New Roman" w:cs="Times New Roman"/>
          <w:color w:val="000000"/>
          <w:sz w:val="24"/>
        </w:rPr>
        <w:t xml:space="preserve">Gan </w:t>
      </w:r>
      <w:r w:rsidRPr="00962DEF">
        <w:rPr>
          <w:rFonts w:ascii="Times New Roman" w:eastAsia="Calibri" w:hAnsi="Times New Roman" w:cs="Times New Roman"/>
          <w:noProof/>
          <w:color w:val="000000"/>
          <w:sz w:val="24"/>
        </w:rPr>
        <w:t>2</w:t>
      </w:r>
      <w:r w:rsidRPr="00962DEF">
        <w:rPr>
          <w:rFonts w:ascii="Times New Roman" w:eastAsia="Calibri" w:hAnsi="Times New Roman" w:cs="Times New Roman"/>
          <w:noProof/>
          <w:sz w:val="24"/>
          <w:szCs w:val="24"/>
        </w:rPr>
        <w:t xml:space="preserve">018., gan 2019.gadā, gan 2020.gadā sociālās nodrošināšanas fondu bilance uzlabosies attiecīgi par 0,3 </w:t>
      </w:r>
      <w:r w:rsidR="008F7F0D">
        <w:rPr>
          <w:rFonts w:ascii="Times New Roman" w:eastAsia="Times New Roman" w:hAnsi="Times New Roman" w:cs="Times New Roman"/>
          <w:sz w:val="24"/>
          <w:szCs w:val="24"/>
        </w:rPr>
        <w:t>procentpunktiem</w:t>
      </w:r>
      <w:r w:rsidR="008F7F0D" w:rsidRPr="00962DEF">
        <w:rPr>
          <w:rFonts w:ascii="Times New Roman" w:eastAsia="Calibri" w:hAnsi="Times New Roman" w:cs="Times New Roman"/>
          <w:noProof/>
          <w:sz w:val="24"/>
          <w:szCs w:val="24"/>
        </w:rPr>
        <w:t xml:space="preserve"> </w:t>
      </w:r>
      <w:r w:rsidRPr="00962DEF">
        <w:rPr>
          <w:rFonts w:ascii="Times New Roman" w:eastAsia="Calibri" w:hAnsi="Times New Roman" w:cs="Times New Roman"/>
          <w:noProof/>
          <w:sz w:val="24"/>
          <w:szCs w:val="24"/>
        </w:rPr>
        <w:t>katrā gadā salīdzinot ar nemainīgas politikas scenāriju.</w:t>
      </w:r>
    </w:p>
    <w:p w14:paraId="1A0C6492" w14:textId="360AB629" w:rsidR="00503163" w:rsidRPr="00962DEF" w:rsidRDefault="00503163" w:rsidP="008F7F0D">
      <w:pPr>
        <w:spacing w:after="0" w:line="240" w:lineRule="auto"/>
        <w:ind w:left="1435"/>
        <w:jc w:val="both"/>
        <w:rPr>
          <w:rFonts w:ascii="Times New Roman" w:eastAsia="Calibri" w:hAnsi="Times New Roman" w:cs="Times New Roman"/>
          <w:sz w:val="24"/>
          <w:szCs w:val="24"/>
        </w:rPr>
      </w:pPr>
      <w:r w:rsidRPr="00962DEF">
        <w:rPr>
          <w:rFonts w:ascii="Times New Roman" w:eastAsia="Calibri" w:hAnsi="Times New Roman" w:cs="Times New Roman"/>
          <w:noProof/>
          <w:sz w:val="24"/>
          <w:szCs w:val="24"/>
        </w:rPr>
        <w:t xml:space="preserve">Ieņēmumu daļā nodokļu pamatnostādņu ieviešanas dēļ tiek prognozēta pozitīva ietekme no </w:t>
      </w:r>
      <w:r w:rsidRPr="00962DEF">
        <w:rPr>
          <w:rFonts w:ascii="Times New Roman" w:eastAsia="Calibri" w:hAnsi="Times New Roman" w:cs="Times New Roman"/>
          <w:color w:val="000000"/>
          <w:sz w:val="24"/>
        </w:rPr>
        <w:t>VSAOI pieauguma (attiecīgi +0,4% no IKP; +0,4</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no IKP; +0,5</w:t>
      </w:r>
      <w:r w:rsidR="008F7F0D">
        <w:rPr>
          <w:rFonts w:ascii="Times New Roman" w:eastAsia="Calibri" w:hAnsi="Times New Roman" w:cs="Times New Roman"/>
          <w:color w:val="000000"/>
          <w:sz w:val="24"/>
        </w:rPr>
        <w:t>%</w:t>
      </w:r>
      <w:r w:rsidRPr="00962DEF">
        <w:rPr>
          <w:rFonts w:ascii="Times New Roman" w:eastAsia="Calibri" w:hAnsi="Times New Roman" w:cs="Times New Roman"/>
          <w:color w:val="000000"/>
          <w:sz w:val="24"/>
        </w:rPr>
        <w:t xml:space="preserve"> </w:t>
      </w:r>
      <w:r w:rsidRPr="00962DEF">
        <w:rPr>
          <w:rFonts w:ascii="Times New Roman" w:eastAsia="Calibri" w:hAnsi="Times New Roman" w:cs="Times New Roman"/>
          <w:color w:val="000000"/>
          <w:sz w:val="24"/>
        </w:rPr>
        <w:lastRenderedPageBreak/>
        <w:t xml:space="preserve">no IKP), savukārt izdevumu daļā tiek paredzēts palielinājums (0,1% no IKP katru gadu), kas izriet no apstākļa, ka atsevišķos gadījumos pieaugot iemaksām sociālās apdrošināšanas sistēmā palielinās arī ar iemaksu pieaugumu saistītās izmaksas no sociālās apdrošināšanas sistēmas. </w:t>
      </w:r>
    </w:p>
    <w:p w14:paraId="687AE85D" w14:textId="77777777" w:rsidR="00503163" w:rsidRPr="005048C8" w:rsidRDefault="00503163" w:rsidP="005048C8">
      <w:pPr>
        <w:spacing w:before="120" w:after="60" w:line="240" w:lineRule="auto"/>
        <w:ind w:firstLine="720"/>
        <w:jc w:val="both"/>
        <w:rPr>
          <w:rFonts w:ascii="Times New Roman" w:eastAsia="Times New Roman" w:hAnsi="Times New Roman" w:cs="Times New Roman"/>
          <w:b/>
          <w:color w:val="000000"/>
          <w:sz w:val="24"/>
          <w:szCs w:val="20"/>
        </w:rPr>
      </w:pPr>
      <w:r w:rsidRPr="00962DEF">
        <w:rPr>
          <w:rFonts w:ascii="Times New Roman" w:eastAsia="Times New Roman" w:hAnsi="Times New Roman" w:cs="Times New Roman"/>
          <w:b/>
          <w:color w:val="000000"/>
          <w:sz w:val="24"/>
          <w:szCs w:val="20"/>
        </w:rPr>
        <w:t>Vietējās valdības budžetā</w:t>
      </w:r>
      <w:r w:rsidRPr="008F7F0D">
        <w:rPr>
          <w:rFonts w:ascii="Times New Roman" w:eastAsia="Times New Roman" w:hAnsi="Times New Roman" w:cs="Times New Roman"/>
          <w:b/>
          <w:color w:val="000000"/>
          <w:sz w:val="24"/>
          <w:szCs w:val="20"/>
        </w:rPr>
        <w:t>:</w:t>
      </w:r>
    </w:p>
    <w:p w14:paraId="736DE091" w14:textId="77777777" w:rsidR="004D5E99" w:rsidRPr="004D5E99" w:rsidRDefault="00503163" w:rsidP="004D5E99">
      <w:pPr>
        <w:pStyle w:val="ListParagraph"/>
        <w:numPr>
          <w:ilvl w:val="0"/>
          <w:numId w:val="28"/>
        </w:numPr>
        <w:spacing w:after="0" w:line="240" w:lineRule="auto"/>
        <w:jc w:val="both"/>
        <w:rPr>
          <w:rFonts w:ascii="Times New Roman" w:eastAsia="Calibri" w:hAnsi="Times New Roman" w:cs="Times New Roman"/>
          <w:color w:val="000000"/>
          <w:sz w:val="24"/>
        </w:rPr>
      </w:pPr>
      <w:r w:rsidRPr="00962DEF">
        <w:rPr>
          <w:rFonts w:ascii="Times New Roman" w:eastAsia="Calibri" w:hAnsi="Times New Roman" w:cs="Times New Roman"/>
          <w:color w:val="000000"/>
          <w:sz w:val="24"/>
        </w:rPr>
        <w:t xml:space="preserve">Gan </w:t>
      </w:r>
      <w:r w:rsidRPr="00962DEF">
        <w:rPr>
          <w:rFonts w:ascii="Times New Roman" w:eastAsia="Calibri" w:hAnsi="Times New Roman" w:cs="Times New Roman"/>
          <w:noProof/>
          <w:color w:val="000000"/>
          <w:sz w:val="24"/>
        </w:rPr>
        <w:t>2</w:t>
      </w:r>
      <w:r w:rsidRPr="00962DEF">
        <w:rPr>
          <w:rFonts w:ascii="Times New Roman" w:eastAsia="Calibri" w:hAnsi="Times New Roman" w:cs="Times New Roman"/>
          <w:noProof/>
          <w:sz w:val="24"/>
          <w:szCs w:val="24"/>
        </w:rPr>
        <w:t>018., gan 2019.gadā, gan 2020.gadā vietējas valdības budžeta bilance kopumā paliks gandrīz bez izmaiņām.</w:t>
      </w:r>
    </w:p>
    <w:p w14:paraId="56D1A165" w14:textId="0BABBA8D" w:rsidR="00503163" w:rsidRPr="004D5E99" w:rsidRDefault="00503163" w:rsidP="004D5E99">
      <w:pPr>
        <w:pStyle w:val="ListParagraph"/>
        <w:spacing w:after="0" w:line="240" w:lineRule="auto"/>
        <w:ind w:left="1440"/>
        <w:jc w:val="both"/>
        <w:rPr>
          <w:rFonts w:ascii="Times New Roman" w:eastAsia="Calibri" w:hAnsi="Times New Roman" w:cs="Times New Roman"/>
          <w:color w:val="000000"/>
          <w:sz w:val="24"/>
        </w:rPr>
      </w:pPr>
      <w:r w:rsidRPr="004D5E99">
        <w:rPr>
          <w:rFonts w:ascii="Times New Roman" w:eastAsia="Calibri" w:hAnsi="Times New Roman" w:cs="Times New Roman"/>
          <w:color w:val="000000"/>
          <w:sz w:val="24"/>
        </w:rPr>
        <w:t>Ieņēmumu pusē samazinājumu pamatā ietekmē nodokļu pamatnostādnēs paredzētais IIN likmes samazinājums no 23% uz 20%, kuras rezultātā IIN ieņēmumi būtiski samazināsies (attiecīgi -0,4% no IKP; -0,9</w:t>
      </w:r>
      <w:r w:rsidR="008F7F0D">
        <w:rPr>
          <w:rFonts w:ascii="Times New Roman" w:eastAsia="Calibri" w:hAnsi="Times New Roman" w:cs="Times New Roman"/>
          <w:color w:val="000000"/>
          <w:sz w:val="24"/>
        </w:rPr>
        <w:t>%</w:t>
      </w:r>
      <w:r w:rsidRPr="004D5E99">
        <w:rPr>
          <w:rFonts w:ascii="Times New Roman" w:eastAsia="Calibri" w:hAnsi="Times New Roman" w:cs="Times New Roman"/>
          <w:color w:val="000000"/>
          <w:sz w:val="24"/>
        </w:rPr>
        <w:t xml:space="preserve"> no IKP; -0,8</w:t>
      </w:r>
      <w:r w:rsidR="008F7F0D">
        <w:rPr>
          <w:rFonts w:ascii="Times New Roman" w:eastAsia="Calibri" w:hAnsi="Times New Roman" w:cs="Times New Roman"/>
          <w:color w:val="000000"/>
          <w:sz w:val="24"/>
        </w:rPr>
        <w:t>%</w:t>
      </w:r>
      <w:r w:rsidRPr="004D5E99">
        <w:rPr>
          <w:rFonts w:ascii="Times New Roman" w:eastAsia="Calibri" w:hAnsi="Times New Roman" w:cs="Times New Roman"/>
          <w:color w:val="000000"/>
          <w:sz w:val="24"/>
        </w:rPr>
        <w:t xml:space="preserve"> no IKP). Savukārt kompensācija no centrālās valdības lielā mērā kompensēs vietēj</w:t>
      </w:r>
      <w:r w:rsidR="00962DEF" w:rsidRPr="004D5E99">
        <w:rPr>
          <w:rFonts w:ascii="Times New Roman" w:eastAsia="Calibri" w:hAnsi="Times New Roman" w:cs="Times New Roman"/>
          <w:color w:val="000000"/>
          <w:sz w:val="24"/>
        </w:rPr>
        <w:t>ās valdības ieņēmumu kritumu dēļ</w:t>
      </w:r>
      <w:r w:rsidRPr="004D5E99">
        <w:rPr>
          <w:rFonts w:ascii="Times New Roman" w:eastAsia="Calibri" w:hAnsi="Times New Roman" w:cs="Times New Roman"/>
          <w:color w:val="000000"/>
          <w:sz w:val="24"/>
        </w:rPr>
        <w:t xml:space="preserve"> IIN likmes samazināšanas. Papildus tam tiek pieņemts, ka centrālā valdība neveic ieņēmumu krituma kompensāciju pilnā apmērā, līdz ar to t</w:t>
      </w:r>
      <w:r w:rsidR="008F7F0D">
        <w:rPr>
          <w:rFonts w:ascii="Times New Roman" w:eastAsia="Calibri" w:hAnsi="Times New Roman" w:cs="Times New Roman"/>
          <w:color w:val="000000"/>
          <w:sz w:val="24"/>
        </w:rPr>
        <w:t>iek pieņemts, ka 2018. un 2019.</w:t>
      </w:r>
      <w:r w:rsidRPr="004D5E99">
        <w:rPr>
          <w:rFonts w:ascii="Times New Roman" w:eastAsia="Calibri" w:hAnsi="Times New Roman" w:cs="Times New Roman"/>
          <w:color w:val="000000"/>
          <w:sz w:val="24"/>
        </w:rPr>
        <w:t>gadā vietējās valdības izdevumu pieaugums būs nedaudz zemāks, kā nemainīgas politikas fiskālajā scenā</w:t>
      </w:r>
      <w:r w:rsidR="008F7F0D">
        <w:rPr>
          <w:rFonts w:ascii="Times New Roman" w:eastAsia="Calibri" w:hAnsi="Times New Roman" w:cs="Times New Roman"/>
          <w:color w:val="000000"/>
          <w:sz w:val="24"/>
        </w:rPr>
        <w:t>rijā. Līdz ar to 2018. un 2019.</w:t>
      </w:r>
      <w:r w:rsidRPr="004D5E99">
        <w:rPr>
          <w:rFonts w:ascii="Times New Roman" w:eastAsia="Calibri" w:hAnsi="Times New Roman" w:cs="Times New Roman"/>
          <w:color w:val="000000"/>
          <w:sz w:val="24"/>
        </w:rPr>
        <w:t>gadā veidojas pozitīva ietekme attiecīgi +0,1% no IKP; +0,1 no IKP, savukārt 2</w:t>
      </w:r>
      <w:r w:rsidR="008F7F0D">
        <w:rPr>
          <w:rFonts w:ascii="Times New Roman" w:eastAsia="Calibri" w:hAnsi="Times New Roman" w:cs="Times New Roman"/>
          <w:color w:val="000000"/>
          <w:sz w:val="24"/>
        </w:rPr>
        <w:t>020.</w:t>
      </w:r>
      <w:r w:rsidRPr="004D5E99">
        <w:rPr>
          <w:rFonts w:ascii="Times New Roman" w:eastAsia="Calibri" w:hAnsi="Times New Roman" w:cs="Times New Roman"/>
          <w:color w:val="000000"/>
          <w:sz w:val="24"/>
        </w:rPr>
        <w:t>gadā veidojas situācija, ka centrālās valdības kompensācija pārsniedz vietējās valdības ieņēmumu kritumu, kas rada negatīvu ietekmi -0,02</w:t>
      </w:r>
      <w:r w:rsidR="008F7F0D">
        <w:rPr>
          <w:rFonts w:ascii="Times New Roman" w:eastAsia="Calibri" w:hAnsi="Times New Roman" w:cs="Times New Roman"/>
          <w:color w:val="000000"/>
          <w:sz w:val="24"/>
        </w:rPr>
        <w:t>%</w:t>
      </w:r>
      <w:r w:rsidRPr="004D5E99">
        <w:rPr>
          <w:rFonts w:ascii="Times New Roman" w:eastAsia="Calibri" w:hAnsi="Times New Roman" w:cs="Times New Roman"/>
          <w:color w:val="000000"/>
          <w:sz w:val="24"/>
        </w:rPr>
        <w:t xml:space="preserve"> no IKP. </w:t>
      </w:r>
    </w:p>
    <w:p w14:paraId="43297CD4" w14:textId="77777777" w:rsidR="00503163" w:rsidRPr="00962DEF" w:rsidRDefault="00503163" w:rsidP="008F7F0D">
      <w:pPr>
        <w:spacing w:after="0" w:line="240" w:lineRule="auto"/>
        <w:ind w:firstLine="567"/>
        <w:jc w:val="both"/>
        <w:rPr>
          <w:rFonts w:ascii="Times New Roman" w:eastAsia="Times New Roman" w:hAnsi="Times New Roman" w:cs="Times New Roman"/>
          <w:sz w:val="24"/>
          <w:szCs w:val="24"/>
        </w:rPr>
      </w:pPr>
      <w:r w:rsidRPr="00962DEF">
        <w:rPr>
          <w:rFonts w:ascii="Times New Roman" w:eastAsia="Times New Roman" w:hAnsi="Times New Roman" w:cs="Times New Roman"/>
          <w:sz w:val="24"/>
          <w:szCs w:val="24"/>
        </w:rPr>
        <w:t xml:space="preserve">Jāatzīmē, ka fiskālās attīstības scenārijā tiek pieņemts, ka nodokļu reformas radīto pozitīvo fiskālo ietekmi sociālās nodrošināšanas fondā, likumdevējs nemēģinās pārvērst jaunās, izdevumus palielinošās politikas iniciatīvās, tomēr jāatzīmē, ka tas ir fiskālais risks, kam iestājoties, tiktu pārkāpti fiskālās disciplīnas noteikumi.   </w:t>
      </w:r>
    </w:p>
    <w:p w14:paraId="78B093D7" w14:textId="77777777" w:rsidR="00503163" w:rsidRPr="002370DF" w:rsidRDefault="00503163" w:rsidP="008F7F0D">
      <w:pPr>
        <w:spacing w:before="360" w:after="60" w:line="240" w:lineRule="auto"/>
        <w:ind w:firstLine="567"/>
        <w:jc w:val="both"/>
        <w:rPr>
          <w:rFonts w:ascii="Times New Roman" w:eastAsia="Times New Roman" w:hAnsi="Times New Roman" w:cs="Times New Roman"/>
          <w:b/>
          <w:sz w:val="24"/>
          <w:szCs w:val="24"/>
        </w:rPr>
      </w:pPr>
      <w:r w:rsidRPr="002370DF">
        <w:rPr>
          <w:rFonts w:ascii="Times New Roman" w:eastAsia="Times New Roman" w:hAnsi="Times New Roman" w:cs="Times New Roman"/>
          <w:b/>
          <w:sz w:val="24"/>
          <w:szCs w:val="24"/>
        </w:rPr>
        <w:t>Fiskālā telpa</w:t>
      </w:r>
    </w:p>
    <w:p w14:paraId="7DBB42F6" w14:textId="368F6E8A" w:rsidR="00503163" w:rsidRPr="002370DF" w:rsidRDefault="00503163" w:rsidP="004D5E99">
      <w:pPr>
        <w:spacing w:after="0" w:line="240" w:lineRule="auto"/>
        <w:ind w:firstLine="567"/>
        <w:jc w:val="both"/>
        <w:rPr>
          <w:rFonts w:ascii="Times New Roman" w:eastAsia="Times New Roman" w:hAnsi="Times New Roman" w:cs="Times New Roman"/>
          <w:sz w:val="24"/>
          <w:szCs w:val="24"/>
        </w:rPr>
      </w:pPr>
      <w:r w:rsidRPr="002370DF">
        <w:rPr>
          <w:rFonts w:ascii="Times New Roman" w:eastAsia="Times New Roman" w:hAnsi="Times New Roman" w:cs="Times New Roman"/>
          <w:sz w:val="24"/>
          <w:szCs w:val="24"/>
        </w:rPr>
        <w:t>Starpību starp maksimāli pieļaujamo deficītu un deficītu pie nemainīgas politikas, atskaitot fiskālā nodrošinājuma rezervi veido sākotnējo fiskālo telpu. Ņemot vērā scenārija iekļauto veselības reformu un nodokļu reformu, fiskālā telpa jaunajām politikas iniciatīvām lai</w:t>
      </w:r>
      <w:r w:rsidR="008F7F0D">
        <w:rPr>
          <w:rFonts w:ascii="Times New Roman" w:eastAsia="Times New Roman" w:hAnsi="Times New Roman" w:cs="Times New Roman"/>
          <w:sz w:val="24"/>
          <w:szCs w:val="24"/>
        </w:rPr>
        <w:t>ka posmā no 2018.gada līdz 2020.</w:t>
      </w:r>
      <w:r w:rsidRPr="002370DF">
        <w:rPr>
          <w:rFonts w:ascii="Times New Roman" w:eastAsia="Times New Roman" w:hAnsi="Times New Roman" w:cs="Times New Roman"/>
          <w:sz w:val="24"/>
          <w:szCs w:val="24"/>
        </w:rPr>
        <w:t xml:space="preserve">gadam ir attiecīgi 0,1% no IKP; 0,4% no IKP un 0,9% no IKP.  </w:t>
      </w:r>
    </w:p>
    <w:p w14:paraId="352FE86F" w14:textId="09F4AD17" w:rsidR="00B672CB" w:rsidRPr="00B672CB" w:rsidRDefault="00AF0417" w:rsidP="00B672CB">
      <w:pPr>
        <w:spacing w:before="120" w:after="60" w:line="240" w:lineRule="auto"/>
        <w:ind w:firstLine="720"/>
        <w:jc w:val="right"/>
        <w:rPr>
          <w:rFonts w:ascii="Times New Roman" w:eastAsiaTheme="minorHAnsi" w:hAnsi="Times New Roman" w:cs="Times New Roman"/>
          <w:b/>
          <w:sz w:val="24"/>
          <w:szCs w:val="24"/>
        </w:rPr>
      </w:pPr>
      <w:r>
        <w:rPr>
          <w:rFonts w:ascii="Times New Roman" w:eastAsiaTheme="minorHAnsi" w:hAnsi="Times New Roman" w:cs="Times New Roman"/>
          <w:b/>
          <w:sz w:val="24"/>
          <w:szCs w:val="24"/>
        </w:rPr>
        <w:t>3.27.</w:t>
      </w:r>
      <w:r w:rsidRPr="007901FA">
        <w:rPr>
          <w:rFonts w:ascii="Times New Roman" w:eastAsiaTheme="minorHAnsi" w:hAnsi="Times New Roman" w:cs="Times New Roman"/>
          <w:b/>
          <w:sz w:val="24"/>
          <w:szCs w:val="24"/>
        </w:rPr>
        <w:t xml:space="preserve">tabula. </w:t>
      </w:r>
      <w:r>
        <w:rPr>
          <w:rFonts w:ascii="Times New Roman" w:eastAsiaTheme="minorHAnsi" w:hAnsi="Times New Roman" w:cs="Times New Roman"/>
          <w:b/>
          <w:sz w:val="24"/>
          <w:szCs w:val="24"/>
        </w:rPr>
        <w:t>Fiskālā telpa</w:t>
      </w:r>
      <w:r w:rsidR="00B672CB">
        <w:rPr>
          <w:rFonts w:ascii="Times New Roman" w:eastAsia="Times New Roman" w:hAnsi="Times New Roman" w:cs="Times New Roman"/>
          <w:sz w:val="24"/>
          <w:szCs w:val="24"/>
        </w:rPr>
        <w:fldChar w:fldCharType="begin"/>
      </w:r>
      <w:r w:rsidR="00B672CB">
        <w:rPr>
          <w:rFonts w:ascii="Times New Roman" w:eastAsia="Times New Roman" w:hAnsi="Times New Roman" w:cs="Times New Roman"/>
          <w:sz w:val="24"/>
          <w:szCs w:val="24"/>
        </w:rPr>
        <w:instrText xml:space="preserve"> LINK Excel.Sheet.12 "\\\\fs\\fpd\\FPD\\Tautsaimniecibas_un_fiskalas_parvaldibas_nodala\\Gints\\_Eiropas_semestris\\_SP_2017_2020\\fisk_telpas_tabula.xlsx" "Sheet1!R3C2:R10C5" \f 4 \h \* MERGEFORMAT </w:instrText>
      </w:r>
      <w:r w:rsidR="00B672CB">
        <w:rPr>
          <w:rFonts w:ascii="Times New Roman" w:eastAsia="Times New Roman" w:hAnsi="Times New Roman" w:cs="Times New Roman"/>
          <w:sz w:val="24"/>
          <w:szCs w:val="24"/>
        </w:rPr>
        <w:fldChar w:fldCharType="separate"/>
      </w:r>
    </w:p>
    <w:tbl>
      <w:tblPr>
        <w:tblStyle w:val="GridTable6Colorful-Accent11"/>
        <w:tblW w:w="9209" w:type="dxa"/>
        <w:jc w:val="center"/>
        <w:tblLayout w:type="fixed"/>
        <w:tblLook w:val="04A0" w:firstRow="1" w:lastRow="0" w:firstColumn="1" w:lastColumn="0" w:noHBand="0" w:noVBand="1"/>
      </w:tblPr>
      <w:tblGrid>
        <w:gridCol w:w="6941"/>
        <w:gridCol w:w="733"/>
        <w:gridCol w:w="768"/>
        <w:gridCol w:w="767"/>
      </w:tblGrid>
      <w:tr w:rsidR="00B672CB" w:rsidRPr="00B672CB" w14:paraId="319F362E" w14:textId="77777777" w:rsidTr="00A04FC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8443597" w14:textId="0D23E5B4" w:rsidR="00B672CB" w:rsidRPr="00B672CB" w:rsidRDefault="00B672CB" w:rsidP="00B672CB">
            <w:r w:rsidRPr="00B672CB">
              <w:rPr>
                <w:rFonts w:ascii="Times New Roman" w:eastAsia="Times New Roman" w:hAnsi="Times New Roman" w:cs="Times New Roman"/>
                <w:color w:val="000000"/>
                <w:sz w:val="20"/>
                <w:szCs w:val="20"/>
                <w:lang w:eastAsia="lv-LV"/>
              </w:rPr>
              <w:t> </w:t>
            </w:r>
          </w:p>
        </w:tc>
        <w:tc>
          <w:tcPr>
            <w:tcW w:w="733" w:type="dxa"/>
            <w:noWrap/>
            <w:hideMark/>
          </w:tcPr>
          <w:p w14:paraId="6BC8CFC6" w14:textId="77777777" w:rsidR="00B672CB" w:rsidRPr="00B672CB" w:rsidRDefault="00B672CB" w:rsidP="00B672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672CB">
              <w:rPr>
                <w:rFonts w:ascii="Times New Roman" w:eastAsia="Times New Roman" w:hAnsi="Times New Roman" w:cs="Times New Roman"/>
                <w:color w:val="000000"/>
                <w:sz w:val="20"/>
                <w:szCs w:val="20"/>
                <w:lang w:eastAsia="lv-LV"/>
              </w:rPr>
              <w:t>2018</w:t>
            </w:r>
          </w:p>
        </w:tc>
        <w:tc>
          <w:tcPr>
            <w:tcW w:w="768" w:type="dxa"/>
            <w:noWrap/>
            <w:hideMark/>
          </w:tcPr>
          <w:p w14:paraId="11D7CAC1"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672CB">
              <w:rPr>
                <w:rFonts w:ascii="Times New Roman" w:eastAsia="Times New Roman" w:hAnsi="Times New Roman" w:cs="Times New Roman"/>
                <w:color w:val="000000"/>
                <w:sz w:val="20"/>
                <w:szCs w:val="20"/>
                <w:lang w:eastAsia="lv-LV"/>
              </w:rPr>
              <w:t>2019</w:t>
            </w:r>
          </w:p>
        </w:tc>
        <w:tc>
          <w:tcPr>
            <w:tcW w:w="767" w:type="dxa"/>
            <w:noWrap/>
            <w:hideMark/>
          </w:tcPr>
          <w:p w14:paraId="1E8A1047" w14:textId="77777777" w:rsidR="00B672CB" w:rsidRPr="00B672CB" w:rsidRDefault="00B672CB" w:rsidP="00B672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672CB">
              <w:rPr>
                <w:rFonts w:ascii="Times New Roman" w:eastAsia="Times New Roman" w:hAnsi="Times New Roman" w:cs="Times New Roman"/>
                <w:color w:val="000000"/>
                <w:sz w:val="20"/>
                <w:szCs w:val="20"/>
                <w:lang w:eastAsia="lv-LV"/>
              </w:rPr>
              <w:t>2020</w:t>
            </w:r>
          </w:p>
        </w:tc>
      </w:tr>
      <w:tr w:rsidR="00B672CB" w:rsidRPr="00B672CB" w14:paraId="2BEDFE44" w14:textId="77777777" w:rsidTr="00A04FC6">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6941" w:type="dxa"/>
            <w:vAlign w:val="center"/>
            <w:hideMark/>
          </w:tcPr>
          <w:p w14:paraId="43EE5A01" w14:textId="77777777" w:rsidR="00B672CB" w:rsidRPr="00B672CB" w:rsidRDefault="00B672CB" w:rsidP="00B672CB">
            <w:r w:rsidRPr="00B672CB">
              <w:rPr>
                <w:rFonts w:ascii="Times New Roman" w:eastAsia="Times New Roman" w:hAnsi="Times New Roman" w:cs="Times New Roman"/>
                <w:i/>
                <w:color w:val="000000"/>
                <w:sz w:val="20"/>
                <w:szCs w:val="20"/>
                <w:lang w:eastAsia="lv-LV"/>
              </w:rPr>
              <w:t>Vispārējās valdības budžeta bilance - fiskālās attīstības scenārijs</w:t>
            </w:r>
          </w:p>
        </w:tc>
        <w:tc>
          <w:tcPr>
            <w:tcW w:w="733" w:type="dxa"/>
            <w:noWrap/>
            <w:vAlign w:val="center"/>
            <w:hideMark/>
          </w:tcPr>
          <w:p w14:paraId="29FFA34B" w14:textId="0146975F"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w:t>
            </w:r>
            <w:r w:rsidR="00B672CB" w:rsidRPr="00B672CB">
              <w:rPr>
                <w:rFonts w:ascii="Times New Roman" w:eastAsia="Times New Roman" w:hAnsi="Times New Roman" w:cs="Times New Roman"/>
                <w:color w:val="000000"/>
                <w:sz w:val="20"/>
                <w:szCs w:val="20"/>
                <w:lang w:eastAsia="lv-LV"/>
              </w:rPr>
              <w:t>58</w:t>
            </w:r>
          </w:p>
        </w:tc>
        <w:tc>
          <w:tcPr>
            <w:tcW w:w="768" w:type="dxa"/>
            <w:noWrap/>
            <w:vAlign w:val="center"/>
            <w:hideMark/>
          </w:tcPr>
          <w:p w14:paraId="4F28404C" w14:textId="47E5C079"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w:t>
            </w:r>
            <w:r w:rsidR="00B672CB" w:rsidRPr="00B672CB">
              <w:rPr>
                <w:rFonts w:ascii="Times New Roman" w:eastAsia="Times New Roman" w:hAnsi="Times New Roman" w:cs="Times New Roman"/>
                <w:color w:val="000000"/>
                <w:sz w:val="20"/>
                <w:szCs w:val="20"/>
                <w:lang w:eastAsia="lv-LV"/>
              </w:rPr>
              <w:t>24</w:t>
            </w:r>
          </w:p>
        </w:tc>
        <w:tc>
          <w:tcPr>
            <w:tcW w:w="767" w:type="dxa"/>
            <w:noWrap/>
            <w:vAlign w:val="center"/>
            <w:hideMark/>
          </w:tcPr>
          <w:p w14:paraId="56378B75" w14:textId="4FCF5A56"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55</w:t>
            </w:r>
          </w:p>
        </w:tc>
      </w:tr>
      <w:tr w:rsidR="00B672CB" w:rsidRPr="00B672CB" w14:paraId="6613155C" w14:textId="77777777" w:rsidTr="00A04FC6">
        <w:trPr>
          <w:trHeight w:val="615"/>
          <w:jc w:val="center"/>
        </w:trPr>
        <w:tc>
          <w:tcPr>
            <w:cnfStyle w:val="001000000000" w:firstRow="0" w:lastRow="0" w:firstColumn="1" w:lastColumn="0" w:oddVBand="0" w:evenVBand="0" w:oddHBand="0" w:evenHBand="0" w:firstRowFirstColumn="0" w:firstRowLastColumn="0" w:lastRowFirstColumn="0" w:lastRowLastColumn="0"/>
            <w:tcW w:w="6941" w:type="dxa"/>
            <w:vAlign w:val="center"/>
            <w:hideMark/>
          </w:tcPr>
          <w:p w14:paraId="64404CB8" w14:textId="77777777" w:rsidR="00B672CB" w:rsidRPr="00B672CB" w:rsidRDefault="00B672CB" w:rsidP="00B672CB">
            <w:r w:rsidRPr="00B672CB">
              <w:rPr>
                <w:rFonts w:ascii="Times New Roman" w:eastAsia="Times New Roman" w:hAnsi="Times New Roman" w:cs="Times New Roman"/>
                <w:i/>
                <w:color w:val="000000"/>
                <w:sz w:val="20"/>
                <w:szCs w:val="20"/>
                <w:lang w:eastAsia="lv-LV"/>
              </w:rPr>
              <w:t>Vispārējās valdības budžeta bilance pie nemainīgas politikas scenārija</w:t>
            </w:r>
          </w:p>
        </w:tc>
        <w:tc>
          <w:tcPr>
            <w:tcW w:w="733" w:type="dxa"/>
            <w:noWrap/>
            <w:vAlign w:val="center"/>
            <w:hideMark/>
          </w:tcPr>
          <w:p w14:paraId="11CC1CC4" w14:textId="486E8C4B"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31</w:t>
            </w:r>
          </w:p>
        </w:tc>
        <w:tc>
          <w:tcPr>
            <w:tcW w:w="768" w:type="dxa"/>
            <w:noWrap/>
            <w:vAlign w:val="center"/>
            <w:hideMark/>
          </w:tcPr>
          <w:p w14:paraId="5E785096" w14:textId="2D962C61"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27</w:t>
            </w:r>
          </w:p>
        </w:tc>
        <w:tc>
          <w:tcPr>
            <w:tcW w:w="767" w:type="dxa"/>
            <w:noWrap/>
            <w:vAlign w:val="center"/>
            <w:hideMark/>
          </w:tcPr>
          <w:p w14:paraId="48B86BF9" w14:textId="534CC640"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81</w:t>
            </w:r>
          </w:p>
        </w:tc>
      </w:tr>
      <w:tr w:rsidR="00B672CB" w:rsidRPr="00B672CB" w14:paraId="7DC7744C" w14:textId="77777777" w:rsidTr="00A04FC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41" w:type="dxa"/>
            <w:noWrap/>
            <w:vAlign w:val="center"/>
            <w:hideMark/>
          </w:tcPr>
          <w:p w14:paraId="05274577" w14:textId="297891D5" w:rsidR="00B672CB" w:rsidRPr="00B672CB" w:rsidRDefault="00B672CB" w:rsidP="00B672CB">
            <w:r>
              <w:rPr>
                <w:rFonts w:ascii="Times New Roman" w:eastAsia="Times New Roman" w:hAnsi="Times New Roman" w:cs="Times New Roman"/>
                <w:i/>
                <w:color w:val="000000"/>
                <w:sz w:val="20"/>
                <w:szCs w:val="20"/>
                <w:lang w:eastAsia="lv-LV"/>
              </w:rPr>
              <w:t>F</w:t>
            </w:r>
            <w:r w:rsidRPr="00B672CB">
              <w:rPr>
                <w:rFonts w:ascii="Times New Roman" w:eastAsia="Times New Roman" w:hAnsi="Times New Roman" w:cs="Times New Roman"/>
                <w:i/>
                <w:color w:val="000000"/>
                <w:sz w:val="20"/>
                <w:szCs w:val="20"/>
                <w:lang w:eastAsia="lv-LV"/>
              </w:rPr>
              <w:t>iskālā nodrošinājuma rezerve</w:t>
            </w:r>
          </w:p>
        </w:tc>
        <w:tc>
          <w:tcPr>
            <w:tcW w:w="733" w:type="dxa"/>
            <w:noWrap/>
            <w:vAlign w:val="center"/>
            <w:hideMark/>
          </w:tcPr>
          <w:p w14:paraId="4EA08DF1" w14:textId="67F0FCA4"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10</w:t>
            </w:r>
          </w:p>
        </w:tc>
        <w:tc>
          <w:tcPr>
            <w:tcW w:w="768" w:type="dxa"/>
            <w:noWrap/>
            <w:vAlign w:val="center"/>
            <w:hideMark/>
          </w:tcPr>
          <w:p w14:paraId="00723ABC" w14:textId="65EC45B8"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10</w:t>
            </w:r>
          </w:p>
        </w:tc>
        <w:tc>
          <w:tcPr>
            <w:tcW w:w="767" w:type="dxa"/>
            <w:noWrap/>
            <w:vAlign w:val="center"/>
            <w:hideMark/>
          </w:tcPr>
          <w:p w14:paraId="3943EC27" w14:textId="22697BF3" w:rsidR="00B672CB" w:rsidRPr="00B672CB" w:rsidRDefault="00B672CB" w:rsidP="00C4725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672CB">
              <w:rPr>
                <w:rFonts w:ascii="Times New Roman" w:eastAsia="Times New Roman" w:hAnsi="Times New Roman" w:cs="Times New Roman"/>
                <w:color w:val="000000"/>
                <w:sz w:val="20"/>
                <w:szCs w:val="20"/>
                <w:lang w:eastAsia="lv-LV"/>
              </w:rPr>
              <w:t>0</w:t>
            </w:r>
            <w:r w:rsidR="00C4725E">
              <w:rPr>
                <w:rFonts w:ascii="Times New Roman" w:eastAsia="Times New Roman" w:hAnsi="Times New Roman" w:cs="Times New Roman"/>
                <w:color w:val="000000"/>
                <w:sz w:val="20"/>
                <w:szCs w:val="20"/>
                <w:lang w:eastAsia="lv-LV"/>
              </w:rPr>
              <w:t>,</w:t>
            </w:r>
            <w:r w:rsidRPr="00B672CB">
              <w:rPr>
                <w:rFonts w:ascii="Times New Roman" w:eastAsia="Times New Roman" w:hAnsi="Times New Roman" w:cs="Times New Roman"/>
                <w:color w:val="000000"/>
                <w:sz w:val="20"/>
                <w:szCs w:val="20"/>
                <w:lang w:eastAsia="lv-LV"/>
              </w:rPr>
              <w:t>10</w:t>
            </w:r>
          </w:p>
        </w:tc>
      </w:tr>
      <w:tr w:rsidR="00B672CB" w:rsidRPr="00B672CB" w14:paraId="461D40A8" w14:textId="77777777" w:rsidTr="00A04FC6">
        <w:trPr>
          <w:trHeight w:val="330"/>
          <w:jc w:val="center"/>
        </w:trPr>
        <w:tc>
          <w:tcPr>
            <w:cnfStyle w:val="001000000000" w:firstRow="0" w:lastRow="0" w:firstColumn="1" w:lastColumn="0" w:oddVBand="0" w:evenVBand="0" w:oddHBand="0" w:evenHBand="0" w:firstRowFirstColumn="0" w:firstRowLastColumn="0" w:lastRowFirstColumn="0" w:lastRowLastColumn="0"/>
            <w:tcW w:w="6941" w:type="dxa"/>
            <w:noWrap/>
            <w:vAlign w:val="center"/>
            <w:hideMark/>
          </w:tcPr>
          <w:p w14:paraId="67C594FF" w14:textId="4EDFEF71" w:rsidR="00B672CB" w:rsidRPr="00B672CB" w:rsidRDefault="00B672CB" w:rsidP="00B672CB">
            <w:pPr>
              <w:rPr>
                <w:rFonts w:ascii="Times New Roman" w:eastAsia="Times New Roman" w:hAnsi="Times New Roman" w:cs="Times New Roman"/>
                <w:i/>
                <w:color w:val="000000"/>
                <w:sz w:val="20"/>
                <w:szCs w:val="20"/>
                <w:lang w:eastAsia="lv-LV"/>
              </w:rPr>
            </w:pPr>
            <w:r>
              <w:rPr>
                <w:rFonts w:ascii="Times New Roman" w:eastAsia="Times New Roman" w:hAnsi="Times New Roman" w:cs="Times New Roman"/>
                <w:i/>
                <w:color w:val="000000"/>
                <w:sz w:val="20"/>
                <w:szCs w:val="20"/>
                <w:lang w:eastAsia="lv-LV"/>
              </w:rPr>
              <w:t>S</w:t>
            </w:r>
            <w:r w:rsidRPr="00B672CB">
              <w:rPr>
                <w:rFonts w:ascii="Times New Roman" w:eastAsia="Times New Roman" w:hAnsi="Times New Roman" w:cs="Times New Roman"/>
                <w:i/>
                <w:color w:val="000000"/>
                <w:sz w:val="20"/>
                <w:szCs w:val="20"/>
                <w:lang w:eastAsia="lv-LV"/>
              </w:rPr>
              <w:t>ākotnējā fiskālā telpa</w:t>
            </w:r>
          </w:p>
        </w:tc>
        <w:tc>
          <w:tcPr>
            <w:tcW w:w="733" w:type="dxa"/>
            <w:noWrap/>
            <w:vAlign w:val="center"/>
            <w:hideMark/>
          </w:tcPr>
          <w:p w14:paraId="21F1F18D" w14:textId="7E505358"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w:t>
            </w:r>
            <w:r w:rsidR="00B672CB" w:rsidRPr="00B672CB">
              <w:rPr>
                <w:rFonts w:ascii="Times New Roman" w:eastAsia="Times New Roman" w:hAnsi="Times New Roman" w:cs="Times New Roman"/>
                <w:color w:val="000000"/>
                <w:sz w:val="20"/>
                <w:szCs w:val="20"/>
                <w:lang w:eastAsia="lv-LV"/>
              </w:rPr>
              <w:t>17</w:t>
            </w:r>
          </w:p>
        </w:tc>
        <w:tc>
          <w:tcPr>
            <w:tcW w:w="768" w:type="dxa"/>
            <w:noWrap/>
            <w:vAlign w:val="center"/>
            <w:hideMark/>
          </w:tcPr>
          <w:p w14:paraId="59CC6BD0" w14:textId="7C28521B"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w:t>
            </w:r>
            <w:r w:rsidR="00B672CB" w:rsidRPr="00B672CB">
              <w:rPr>
                <w:rFonts w:ascii="Times New Roman" w:eastAsia="Times New Roman" w:hAnsi="Times New Roman" w:cs="Times New Roman"/>
                <w:color w:val="000000"/>
                <w:sz w:val="20"/>
                <w:szCs w:val="20"/>
                <w:lang w:eastAsia="lv-LV"/>
              </w:rPr>
              <w:t>41</w:t>
            </w:r>
          </w:p>
        </w:tc>
        <w:tc>
          <w:tcPr>
            <w:tcW w:w="767" w:type="dxa"/>
            <w:noWrap/>
            <w:vAlign w:val="center"/>
            <w:hideMark/>
          </w:tcPr>
          <w:p w14:paraId="1250F03E" w14:textId="20BEB099"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w:t>
            </w:r>
            <w:r w:rsidR="00B672CB" w:rsidRPr="00B672CB">
              <w:rPr>
                <w:rFonts w:ascii="Times New Roman" w:eastAsia="Times New Roman" w:hAnsi="Times New Roman" w:cs="Times New Roman"/>
                <w:color w:val="000000"/>
                <w:sz w:val="20"/>
                <w:szCs w:val="20"/>
                <w:lang w:eastAsia="lv-LV"/>
              </w:rPr>
              <w:t>26</w:t>
            </w:r>
          </w:p>
        </w:tc>
      </w:tr>
      <w:tr w:rsidR="00B672CB" w:rsidRPr="00B672CB" w14:paraId="402B897E" w14:textId="77777777" w:rsidTr="00A04FC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41" w:type="dxa"/>
            <w:noWrap/>
            <w:vAlign w:val="center"/>
            <w:hideMark/>
          </w:tcPr>
          <w:p w14:paraId="6B464778" w14:textId="667A3EA5" w:rsidR="00B672CB" w:rsidRPr="00B672CB" w:rsidRDefault="00B672CB" w:rsidP="00B672CB">
            <w:pPr>
              <w:rPr>
                <w:rFonts w:ascii="Times New Roman" w:eastAsia="Times New Roman" w:hAnsi="Times New Roman" w:cs="Times New Roman"/>
                <w:i/>
                <w:color w:val="000000"/>
                <w:sz w:val="20"/>
                <w:szCs w:val="20"/>
                <w:lang w:eastAsia="lv-LV"/>
              </w:rPr>
            </w:pPr>
            <w:r>
              <w:rPr>
                <w:rFonts w:ascii="Times New Roman" w:eastAsia="Times New Roman" w:hAnsi="Times New Roman" w:cs="Times New Roman"/>
                <w:i/>
                <w:color w:val="000000"/>
                <w:sz w:val="20"/>
                <w:szCs w:val="20"/>
                <w:lang w:eastAsia="lv-LV"/>
              </w:rPr>
              <w:t>V</w:t>
            </w:r>
            <w:r w:rsidRPr="00B672CB">
              <w:rPr>
                <w:rFonts w:ascii="Times New Roman" w:eastAsia="Times New Roman" w:hAnsi="Times New Roman" w:cs="Times New Roman"/>
                <w:i/>
                <w:color w:val="000000"/>
                <w:sz w:val="20"/>
                <w:szCs w:val="20"/>
                <w:lang w:eastAsia="lv-LV"/>
              </w:rPr>
              <w:t>eselības reforma</w:t>
            </w:r>
          </w:p>
        </w:tc>
        <w:tc>
          <w:tcPr>
            <w:tcW w:w="733" w:type="dxa"/>
            <w:noWrap/>
            <w:vAlign w:val="center"/>
            <w:hideMark/>
          </w:tcPr>
          <w:p w14:paraId="0230A9A7" w14:textId="453563B8"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40</w:t>
            </w:r>
          </w:p>
        </w:tc>
        <w:tc>
          <w:tcPr>
            <w:tcW w:w="768" w:type="dxa"/>
            <w:noWrap/>
            <w:vAlign w:val="center"/>
            <w:hideMark/>
          </w:tcPr>
          <w:p w14:paraId="1FE9243E" w14:textId="0326AF38"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50</w:t>
            </w:r>
          </w:p>
        </w:tc>
        <w:tc>
          <w:tcPr>
            <w:tcW w:w="767" w:type="dxa"/>
            <w:noWrap/>
            <w:vAlign w:val="center"/>
            <w:hideMark/>
          </w:tcPr>
          <w:p w14:paraId="4E201752" w14:textId="154C3471"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00</w:t>
            </w:r>
          </w:p>
        </w:tc>
      </w:tr>
      <w:tr w:rsidR="00B672CB" w:rsidRPr="00B672CB" w14:paraId="2AF8517E" w14:textId="77777777" w:rsidTr="00A04FC6">
        <w:trPr>
          <w:trHeight w:val="330"/>
          <w:jc w:val="center"/>
        </w:trPr>
        <w:tc>
          <w:tcPr>
            <w:cnfStyle w:val="001000000000" w:firstRow="0" w:lastRow="0" w:firstColumn="1" w:lastColumn="0" w:oddVBand="0" w:evenVBand="0" w:oddHBand="0" w:evenHBand="0" w:firstRowFirstColumn="0" w:firstRowLastColumn="0" w:lastRowFirstColumn="0" w:lastRowLastColumn="0"/>
            <w:tcW w:w="6941" w:type="dxa"/>
            <w:noWrap/>
            <w:vAlign w:val="center"/>
            <w:hideMark/>
          </w:tcPr>
          <w:p w14:paraId="61468568" w14:textId="223783F7" w:rsidR="00B672CB" w:rsidRPr="00B672CB" w:rsidRDefault="00B672CB" w:rsidP="00B672CB">
            <w:pPr>
              <w:rPr>
                <w:rFonts w:ascii="Times New Roman" w:eastAsia="Times New Roman" w:hAnsi="Times New Roman" w:cs="Times New Roman"/>
                <w:i/>
                <w:color w:val="000000"/>
                <w:sz w:val="20"/>
                <w:szCs w:val="20"/>
                <w:lang w:eastAsia="lv-LV"/>
              </w:rPr>
            </w:pPr>
            <w:r>
              <w:rPr>
                <w:rFonts w:ascii="Times New Roman" w:eastAsia="Times New Roman" w:hAnsi="Times New Roman" w:cs="Times New Roman"/>
                <w:i/>
                <w:color w:val="000000"/>
                <w:sz w:val="20"/>
                <w:szCs w:val="20"/>
                <w:lang w:eastAsia="lv-LV"/>
              </w:rPr>
              <w:t>N</w:t>
            </w:r>
            <w:r w:rsidRPr="00B672CB">
              <w:rPr>
                <w:rFonts w:ascii="Times New Roman" w:eastAsia="Times New Roman" w:hAnsi="Times New Roman" w:cs="Times New Roman"/>
                <w:i/>
                <w:color w:val="000000"/>
                <w:sz w:val="20"/>
                <w:szCs w:val="20"/>
                <w:lang w:eastAsia="lv-LV"/>
              </w:rPr>
              <w:t>odokļu reforma</w:t>
            </w:r>
          </w:p>
        </w:tc>
        <w:tc>
          <w:tcPr>
            <w:tcW w:w="733" w:type="dxa"/>
            <w:noWrap/>
            <w:vAlign w:val="center"/>
            <w:hideMark/>
          </w:tcPr>
          <w:p w14:paraId="6978D06E" w14:textId="5B30C07C"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74</w:t>
            </w:r>
          </w:p>
        </w:tc>
        <w:tc>
          <w:tcPr>
            <w:tcW w:w="768" w:type="dxa"/>
            <w:noWrap/>
            <w:vAlign w:val="center"/>
            <w:hideMark/>
          </w:tcPr>
          <w:p w14:paraId="5AE0EA25" w14:textId="219DAE35"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51</w:t>
            </w:r>
          </w:p>
        </w:tc>
        <w:tc>
          <w:tcPr>
            <w:tcW w:w="767" w:type="dxa"/>
            <w:noWrap/>
            <w:vAlign w:val="center"/>
            <w:hideMark/>
          </w:tcPr>
          <w:p w14:paraId="018373A6" w14:textId="0F8C6C67" w:rsidR="00B672CB" w:rsidRPr="00B672CB" w:rsidRDefault="00C4725E" w:rsidP="00A04F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r w:rsidR="00B672CB" w:rsidRPr="00B672CB">
              <w:rPr>
                <w:rFonts w:ascii="Times New Roman" w:eastAsia="Times New Roman" w:hAnsi="Times New Roman" w:cs="Times New Roman"/>
                <w:color w:val="000000"/>
                <w:sz w:val="20"/>
                <w:szCs w:val="20"/>
                <w:lang w:eastAsia="lv-LV"/>
              </w:rPr>
              <w:t>31</w:t>
            </w:r>
          </w:p>
        </w:tc>
      </w:tr>
      <w:tr w:rsidR="00B672CB" w:rsidRPr="00B672CB" w14:paraId="2C9C8EED" w14:textId="77777777" w:rsidTr="00A04FC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41" w:type="dxa"/>
            <w:noWrap/>
            <w:vAlign w:val="center"/>
            <w:hideMark/>
          </w:tcPr>
          <w:p w14:paraId="135B0C5E" w14:textId="01796574" w:rsidR="00B672CB" w:rsidRPr="00B672CB" w:rsidRDefault="00B672CB" w:rsidP="00B672CB">
            <w:pPr>
              <w:rPr>
                <w:rFonts w:ascii="Times New Roman" w:eastAsia="Times New Roman" w:hAnsi="Times New Roman" w:cs="Times New Roman"/>
                <w:bCs w:val="0"/>
                <w:i/>
                <w:color w:val="000000"/>
                <w:sz w:val="20"/>
                <w:szCs w:val="20"/>
                <w:lang w:eastAsia="lv-LV"/>
              </w:rPr>
            </w:pPr>
            <w:r>
              <w:rPr>
                <w:rFonts w:ascii="Times New Roman" w:eastAsia="Times New Roman" w:hAnsi="Times New Roman" w:cs="Times New Roman"/>
                <w:bCs w:val="0"/>
                <w:i/>
                <w:color w:val="000000"/>
                <w:sz w:val="20"/>
                <w:szCs w:val="20"/>
                <w:lang w:eastAsia="lv-LV"/>
              </w:rPr>
              <w:t>F</w:t>
            </w:r>
            <w:r w:rsidRPr="00B672CB">
              <w:rPr>
                <w:rFonts w:ascii="Times New Roman" w:eastAsia="Times New Roman" w:hAnsi="Times New Roman" w:cs="Times New Roman"/>
                <w:bCs w:val="0"/>
                <w:i/>
                <w:color w:val="000000"/>
                <w:sz w:val="20"/>
                <w:szCs w:val="20"/>
                <w:lang w:eastAsia="lv-LV"/>
              </w:rPr>
              <w:t>iskālā telpa</w:t>
            </w:r>
          </w:p>
        </w:tc>
        <w:tc>
          <w:tcPr>
            <w:tcW w:w="733" w:type="dxa"/>
            <w:noWrap/>
            <w:vAlign w:val="center"/>
            <w:hideMark/>
          </w:tcPr>
          <w:p w14:paraId="26F63CF7" w14:textId="45F26A4E" w:rsidR="00B672CB" w:rsidRPr="00B672CB" w:rsidRDefault="00B672CB" w:rsidP="00C4725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B672CB">
              <w:rPr>
                <w:rFonts w:ascii="Times New Roman" w:eastAsia="Times New Roman" w:hAnsi="Times New Roman" w:cs="Times New Roman"/>
                <w:b/>
                <w:bCs/>
                <w:color w:val="000000"/>
                <w:sz w:val="20"/>
                <w:szCs w:val="20"/>
                <w:lang w:eastAsia="lv-LV"/>
              </w:rPr>
              <w:t>0</w:t>
            </w:r>
            <w:r w:rsidR="00C4725E">
              <w:rPr>
                <w:rFonts w:ascii="Times New Roman" w:eastAsia="Times New Roman" w:hAnsi="Times New Roman" w:cs="Times New Roman"/>
                <w:b/>
                <w:bCs/>
                <w:color w:val="000000"/>
                <w:sz w:val="20"/>
                <w:szCs w:val="20"/>
                <w:lang w:eastAsia="lv-LV"/>
              </w:rPr>
              <w:t>,</w:t>
            </w:r>
            <w:r w:rsidRPr="00B672CB">
              <w:rPr>
                <w:rFonts w:ascii="Times New Roman" w:eastAsia="Times New Roman" w:hAnsi="Times New Roman" w:cs="Times New Roman"/>
                <w:b/>
                <w:bCs/>
                <w:color w:val="000000"/>
                <w:sz w:val="20"/>
                <w:szCs w:val="20"/>
                <w:lang w:eastAsia="lv-LV"/>
              </w:rPr>
              <w:t>03</w:t>
            </w:r>
          </w:p>
        </w:tc>
        <w:tc>
          <w:tcPr>
            <w:tcW w:w="768" w:type="dxa"/>
            <w:noWrap/>
            <w:vAlign w:val="center"/>
            <w:hideMark/>
          </w:tcPr>
          <w:p w14:paraId="4F8DA483" w14:textId="53B1A28D"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w:t>
            </w:r>
            <w:r w:rsidR="00B672CB" w:rsidRPr="00B672CB">
              <w:rPr>
                <w:rFonts w:ascii="Times New Roman" w:eastAsia="Times New Roman" w:hAnsi="Times New Roman" w:cs="Times New Roman"/>
                <w:b/>
                <w:bCs/>
                <w:color w:val="000000"/>
                <w:sz w:val="20"/>
                <w:szCs w:val="20"/>
                <w:lang w:eastAsia="lv-LV"/>
              </w:rPr>
              <w:t>39</w:t>
            </w:r>
          </w:p>
        </w:tc>
        <w:tc>
          <w:tcPr>
            <w:tcW w:w="767" w:type="dxa"/>
            <w:noWrap/>
            <w:vAlign w:val="center"/>
            <w:hideMark/>
          </w:tcPr>
          <w:p w14:paraId="07ED1072" w14:textId="22241F0A" w:rsidR="00B672CB" w:rsidRPr="00B672CB" w:rsidRDefault="00C4725E" w:rsidP="00A04FC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w:t>
            </w:r>
            <w:bookmarkStart w:id="21" w:name="_GoBack"/>
            <w:bookmarkEnd w:id="21"/>
            <w:r w:rsidR="00B672CB" w:rsidRPr="00B672CB">
              <w:rPr>
                <w:rFonts w:ascii="Times New Roman" w:eastAsia="Times New Roman" w:hAnsi="Times New Roman" w:cs="Times New Roman"/>
                <w:b/>
                <w:bCs/>
                <w:color w:val="000000"/>
                <w:sz w:val="20"/>
                <w:szCs w:val="20"/>
                <w:lang w:eastAsia="lv-LV"/>
              </w:rPr>
              <w:t>95</w:t>
            </w:r>
          </w:p>
        </w:tc>
      </w:tr>
    </w:tbl>
    <w:p w14:paraId="48DB93AF" w14:textId="6C99216E" w:rsidR="00342AA7" w:rsidRDefault="00B672CB" w:rsidP="00342AA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2721473D" w14:textId="77777777" w:rsidR="00503163" w:rsidRDefault="00503163" w:rsidP="00342AA7">
      <w:pPr>
        <w:spacing w:after="0" w:line="240" w:lineRule="auto"/>
        <w:ind w:firstLine="567"/>
        <w:jc w:val="both"/>
        <w:rPr>
          <w:rFonts w:ascii="Times New Roman" w:eastAsia="Times New Roman" w:hAnsi="Times New Roman" w:cs="Times New Roman"/>
          <w:sz w:val="24"/>
          <w:szCs w:val="24"/>
        </w:rPr>
      </w:pPr>
    </w:p>
    <w:p w14:paraId="7FFFBCE9" w14:textId="1CB59527" w:rsidR="00A34463" w:rsidRDefault="00A34463" w:rsidP="00342AA7">
      <w:pPr>
        <w:pStyle w:val="Heading2"/>
        <w:numPr>
          <w:ilvl w:val="1"/>
          <w:numId w:val="1"/>
        </w:numPr>
        <w:spacing w:before="240" w:after="120"/>
        <w:ind w:left="709"/>
        <w:rPr>
          <w:rFonts w:ascii="Times New Roman" w:hAnsi="Times New Roman" w:cs="Times New Roman"/>
          <w:sz w:val="24"/>
        </w:rPr>
      </w:pPr>
      <w:bookmarkStart w:id="22" w:name="_Toc479331096"/>
      <w:r w:rsidRPr="00F51615">
        <w:rPr>
          <w:rFonts w:ascii="Times New Roman" w:hAnsi="Times New Roman" w:cs="Times New Roman"/>
          <w:sz w:val="24"/>
        </w:rPr>
        <w:lastRenderedPageBreak/>
        <w:t>Valdības parāda vidēja termiņa attīstības tendences</w:t>
      </w:r>
      <w:bookmarkEnd w:id="22"/>
    </w:p>
    <w:p w14:paraId="4BBE86BF" w14:textId="149D148B"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Saskaņā ar valsts budžeta deficīta un parāda 2017.gada aprīļa notifikācijas datiem, kuri sagatavoti atbilstoši EKS 2010 metodoloģijai, vispārējās valdības parāds 2016.gada beigās sasniedza 10,0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jeb 40,1% no </w:t>
      </w:r>
      <w:r>
        <w:rPr>
          <w:rFonts w:ascii="Times New Roman" w:eastAsia="Times New Roman" w:hAnsi="Times New Roman" w:cs="Times New Roman"/>
          <w:sz w:val="24"/>
          <w:szCs w:val="24"/>
        </w:rPr>
        <w:t>IKP</w:t>
      </w:r>
      <w:r w:rsidRPr="00342AA7">
        <w:rPr>
          <w:rFonts w:ascii="Times New Roman" w:eastAsia="Times New Roman" w:hAnsi="Times New Roman" w:cs="Times New Roman"/>
          <w:sz w:val="24"/>
          <w:szCs w:val="24"/>
        </w:rPr>
        <w:t>. Vispārējās valdības parāda līmeni galvenokārt ietekmē valsts parāds, kas 2016.gada beigās bija 9,2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vertAlign w:val="superscript"/>
        </w:rPr>
        <w:footnoteReference w:id="30"/>
      </w:r>
      <w:r w:rsidRPr="00342AA7">
        <w:rPr>
          <w:rFonts w:ascii="Times New Roman" w:eastAsia="Times New Roman" w:hAnsi="Times New Roman" w:cs="Times New Roman"/>
          <w:sz w:val="24"/>
          <w:szCs w:val="24"/>
        </w:rPr>
        <w:t>, 2016.gada laikā pieaugot par 1,2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galvenokārt tādēļ, ka 2016.gadā starptautiskajos finanšu tirgos emitētas eiroobligācijas 1,3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apmērā, piesaistot finansējumu gan kārtējā gada finansēšanas nepieciešamības segšanai, gan 2017.gada sākumā plānotajai valsts parāda atmaksai 1,0 mljrd. ASV dolāru apmērā.</w:t>
      </w:r>
    </w:p>
    <w:p w14:paraId="67441A30" w14:textId="1763AB7D"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 xml:space="preserve">Valsts parāda vadības pamatprincipus un uzdevumus vidējam termiņam nosaka Valsts parāda vadības stratēģija, kuru apstiprina finanšu ministrs. Saskaņā ar Valsts parāda vadības stratēģiju valsts parāda vadības mērķis ir nodrošināt nepieciešamos finanšu resursus valsts parāda pārfinansēšanai, valsts budžeta izpildei un aizdevumu nodrošināšanai ar iespējami zemākām izmaksām, ierobežojot finanšu riskus, kā arī ņemot vērā Latvijas tautsaimniecības attīstību un finanšu tirgus integrāciju kopējā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sz w:val="24"/>
          <w:szCs w:val="24"/>
        </w:rPr>
        <w:t>zonas finanšu tirgū. Valsts parāda un budžeta saistību izpildē tiek izmantota stratēģiska pieeja valsts aizņemšanās un parāda vadības procesa nodrošināšanā, saglabājot pēc iespējas lielāku elastību finanšu tirgos veicamo aizņēmumu nosacījumu (aizņemšanās laiks, valūta, apjoms, termiņš) izvēlē. Tas ļauj ierobežot finanšu riskus vidējā termiņā, kā arī nodrošināt kopējās finansēšanas nepieciešamības segšanai nepieciešamos resursus ar pēc iespējas labvēlīgākiem un izdevīgākiem nosacījumiem.</w:t>
      </w:r>
    </w:p>
    <w:p w14:paraId="3AAD843F" w14:textId="0B277AD6"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 xml:space="preserve">Valsts kredītreitinga stabilizēšanās A reitinga grupā, investoru augstais novērtējums par paveikto Latvijas valsts ekonomikā iepriekšējos gados un pārliecība par Latvijas attīstību ilgtermiņā ļauj valstij aizņemties finanšu resursus starptautiskajos tirgos ar labvēlīgiem nosacījumiem. To apliecina arī 2016.gadā veiktie aizņēmuma  darījumi starptautiskajos finanšu tirgos, sasniedzot zemāko ienesīgumu un tam pakārtotos kuponu maksājumus starp Centrālās un Austrumeiropas, kā arī vairuma Rietumeiropas valstīm attiecīgajam vērtspapīru termiņam 2016.gadā. Apzinoties, ka 2016.gadā paredzēts gan Lielbritānijas referendums par dalību </w:t>
      </w:r>
      <w:r>
        <w:rPr>
          <w:rFonts w:ascii="Times New Roman" w:eastAsia="Times New Roman" w:hAnsi="Times New Roman" w:cs="Times New Roman"/>
          <w:sz w:val="24"/>
          <w:szCs w:val="24"/>
        </w:rPr>
        <w:t>ES</w:t>
      </w:r>
      <w:r w:rsidRPr="00342AA7">
        <w:rPr>
          <w:rFonts w:ascii="Times New Roman" w:eastAsia="Times New Roman" w:hAnsi="Times New Roman" w:cs="Times New Roman"/>
          <w:sz w:val="24"/>
          <w:szCs w:val="24"/>
        </w:rPr>
        <w:t xml:space="preserve"> (jūnijā), gan ASV prezidenta vēlēšanas (novembrī), kopējās finansēšanas nepieciešamības nodrošināšanai piesaistāmais resursu apjoms 1,3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apmērā tika diversificēts, sadalot to divās vienādās daļās, garāka termiņa vērtspapīru emisiju organizējot vispirms. Balstoties uz minēto aizņemšanās risku diversificēšanas pieeju,</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sz w:val="24"/>
          <w:szCs w:val="24"/>
        </w:rPr>
        <w:t>2016.gada maijā veikta 20 gadu eiroobligāciju emisija 650 milj.</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apmērā ar fiksēto procentu (kupona) likmi 1,375% gadā un oktobrī emitētas 10 gadu eiroobligācijas 650 milj.</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apmērā ar viszemāko valsts ārējā aizņēmuma obligāciju fiksēto procentu (kupona) likmi Latvijas vēsturē 0,375% gadā. Lai kapitalizētu ilgtermiņa ieguvumus no pastājošajiem salīdzinoši </w:t>
      </w:r>
      <w:r w:rsidRPr="00342AA7">
        <w:rPr>
          <w:rFonts w:ascii="Times New Roman" w:eastAsia="Calibri" w:hAnsi="Times New Roman" w:cs="Times New Roman"/>
          <w:sz w:val="24"/>
          <w:szCs w:val="24"/>
        </w:rPr>
        <w:t xml:space="preserve">zemiem </w:t>
      </w:r>
      <w:r w:rsidR="003F3595">
        <w:rPr>
          <w:rFonts w:ascii="Times New Roman" w:eastAsia="Calibri" w:hAnsi="Times New Roman" w:cs="Times New Roman"/>
          <w:i/>
          <w:sz w:val="24"/>
          <w:szCs w:val="24"/>
        </w:rPr>
        <w:t>euro</w:t>
      </w:r>
      <w:r w:rsidRPr="00342AA7">
        <w:rPr>
          <w:rFonts w:ascii="Times New Roman" w:eastAsia="Calibri" w:hAnsi="Times New Roman" w:cs="Times New Roman"/>
          <w:sz w:val="24"/>
          <w:szCs w:val="24"/>
        </w:rPr>
        <w:t xml:space="preserve"> procentu likmju līmeņiem</w:t>
      </w:r>
      <w:r w:rsidRPr="00342AA7">
        <w:rPr>
          <w:rFonts w:ascii="Times New Roman" w:eastAsia="Times New Roman" w:hAnsi="Times New Roman" w:cs="Times New Roman"/>
          <w:sz w:val="24"/>
          <w:szCs w:val="24"/>
        </w:rPr>
        <w:t xml:space="preserve"> un uzturētu kvalitatīvu </w:t>
      </w:r>
      <w:r>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peļņas līkni kā referenci jauniem aizņēmumiem, 2017.gada februārī starptautiskajos finanšu tirgos pirmo reizi tika emitētas eiroobligācijas ar līdz šim garāko dzēšanas termiņu 30 gadi, fiksējot procentu (kupona) likmi 2,250% līmenī. Vienlaicīgi ar 30 gadu eiroobligāciju emisiju, kuras rezultātā piesaistīti resursi 500 milj.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apmērā, tika emitēts papildu laidiens 2016.gada oktobrī emitētajām 10 gadu eiroobligācijām 150 milj.</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apmērā ar ienesīgumu 1,062% pie iepriekš noteiktās fiksētās procentu (kupona) likmes 0,375% gadā. 2017.gada sākumā piesaistītais finansējums tiks izmantots gan iepriekš uzņemto valsts parāda saistību pārfinansēšanai 2018.gada sākumā, gan valsts budžeta deficīta finansēšanai un valsts aizdevumu izsniegšanai kārtējā gadā.</w:t>
      </w:r>
    </w:p>
    <w:p w14:paraId="2DB73270" w14:textId="203A9744"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Iekšējā finanšu tirgū tiek turpinātas valsts iekšējā</w:t>
      </w:r>
      <w:r w:rsidR="003F3595">
        <w:rPr>
          <w:rFonts w:ascii="Times New Roman" w:eastAsia="Times New Roman" w:hAnsi="Times New Roman" w:cs="Times New Roman"/>
          <w:sz w:val="24"/>
          <w:szCs w:val="24"/>
        </w:rPr>
        <w:t xml:space="preserve"> aizņēmuma vērtspapīru izsoles,</w:t>
      </w:r>
      <w:r w:rsidRPr="00342AA7">
        <w:rPr>
          <w:rFonts w:ascii="Times New Roman" w:eastAsia="Times New Roman" w:hAnsi="Times New Roman" w:cs="Times New Roman"/>
          <w:sz w:val="24"/>
          <w:szCs w:val="24"/>
        </w:rPr>
        <w:t xml:space="preserve"> pamatā fokusējoties uz obligācijām. </w:t>
      </w:r>
      <w:r w:rsidR="003F3595">
        <w:rPr>
          <w:rFonts w:ascii="Times New Roman" w:eastAsia="Times New Roman" w:hAnsi="Times New Roman" w:cs="Times New Roman"/>
          <w:sz w:val="24"/>
          <w:szCs w:val="24"/>
        </w:rPr>
        <w:t>2016.</w:t>
      </w:r>
      <w:r w:rsidRPr="00342AA7">
        <w:rPr>
          <w:rFonts w:ascii="Times New Roman" w:eastAsia="Times New Roman" w:hAnsi="Times New Roman" w:cs="Times New Roman"/>
          <w:sz w:val="24"/>
          <w:szCs w:val="24"/>
        </w:rPr>
        <w:t xml:space="preserve">gadā izsolēs likmes sasniedza jaunus vēsturiski zemākos līmeņus. Negatīvas likmes sākotnējā izvietošanā tika noteiktas ne tikai parādzīmēm, </w:t>
      </w:r>
      <w:r w:rsidRPr="00342AA7">
        <w:rPr>
          <w:rFonts w:ascii="Times New Roman" w:eastAsia="Times New Roman" w:hAnsi="Times New Roman" w:cs="Times New Roman"/>
          <w:sz w:val="24"/>
          <w:szCs w:val="24"/>
        </w:rPr>
        <w:lastRenderedPageBreak/>
        <w:t>bet pirmo reizi arī 3 gadu obligācijām. Pastāvot iespējai pašreizējā finanšu tirgus situācijā piesaistīt īstermiņa resursus ar negatīvām procentu likmēm, lai iespējami efektīvi naudas līdzekļu un likviditātes vadības ietvaros nodrošinātu valsts budžeta izpildes cikla finansēšanu</w:t>
      </w:r>
      <w:r w:rsidR="003F3595">
        <w:rPr>
          <w:rFonts w:ascii="Times New Roman" w:eastAsia="Times New Roman" w:hAnsi="Times New Roman" w:cs="Times New Roman"/>
          <w:sz w:val="24"/>
          <w:szCs w:val="24"/>
        </w:rPr>
        <w:t xml:space="preserve">, Valsts kase 2016.gada sākumā </w:t>
      </w:r>
      <w:r w:rsidRPr="00342AA7">
        <w:rPr>
          <w:rFonts w:ascii="Times New Roman" w:eastAsia="Times New Roman" w:hAnsi="Times New Roman" w:cs="Times New Roman"/>
          <w:sz w:val="24"/>
          <w:szCs w:val="24"/>
        </w:rPr>
        <w:t>ieviesa jaunu īstermiņa aizņemšanās instrumentu – parādzīmes ar dzēšanas termiņu 21 diena, kuras, pateicoties negatīvajām likmēm, atbilstoši aktuālai finansēšanai nepieciešamībai ar prēmiju tiek emitētas un dzēstas kalendārā mēneša ietvaros. Papildus likviditātes vadības nodrošināšanai tiek izmantotas īstermiņa aizņemšanās iespējas no vietējām un ārvalstu kredītiestādēm Savukārt, lai veicinātu privātpersonu ieguldījumus iekšzemes finanšu tirgus instrumentos, Latvijas iedzīvotājiem (tikai fiziskām personām) ir pieejamas Latvijas valsts krājobligācijas.</w:t>
      </w:r>
    </w:p>
    <w:p w14:paraId="6816CC73" w14:textId="09FC0B5C"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Ņemot vērā līdz 2017.gada 31.martam uzņemtās valsts parāda saistības, saskaņā ar valsts parāda atmaksas grafiku 2017.gada aprīlī – 2020.gada decembrī pārfinansējamo valsts parāda saistību apjoms ir 3,3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(sk</w:t>
      </w:r>
      <w:r w:rsidR="003F3595" w:rsidRPr="003F3595">
        <w:rPr>
          <w:rFonts w:ascii="Times New Roman" w:eastAsia="Times New Roman" w:hAnsi="Times New Roman" w:cs="Times New Roman"/>
          <w:sz w:val="24"/>
          <w:szCs w:val="24"/>
        </w:rPr>
        <w:t>at</w:t>
      </w:r>
      <w:r w:rsidRPr="00342AA7">
        <w:rPr>
          <w:rFonts w:ascii="Times New Roman" w:eastAsia="Times New Roman" w:hAnsi="Times New Roman" w:cs="Times New Roman"/>
          <w:sz w:val="24"/>
          <w:szCs w:val="24"/>
        </w:rPr>
        <w:t xml:space="preserve">. </w:t>
      </w:r>
      <w:r w:rsidR="00C12F8D">
        <w:rPr>
          <w:rFonts w:ascii="Times New Roman" w:eastAsia="Times New Roman" w:hAnsi="Times New Roman" w:cs="Times New Roman"/>
          <w:sz w:val="24"/>
          <w:szCs w:val="24"/>
        </w:rPr>
        <w:t>3.16</w:t>
      </w:r>
      <w:r w:rsidRPr="00342AA7">
        <w:rPr>
          <w:rFonts w:ascii="Times New Roman" w:eastAsia="Times New Roman" w:hAnsi="Times New Roman" w:cs="Times New Roman"/>
          <w:sz w:val="24"/>
          <w:szCs w:val="24"/>
        </w:rPr>
        <w:t xml:space="preserve">.attēlu). Ievērojamu daļu no pārfinansējamā parāda apjoma veido starptautiskajos finanšu tirgos emitētās eiroobligācijas, kā arī starptautiskā aizņēmuma programmas ietvaros saņemtais finansējums no Pasaules Bankas un </w:t>
      </w:r>
      <w:r w:rsidR="003F3595">
        <w:rPr>
          <w:rFonts w:ascii="Times New Roman" w:eastAsia="Times New Roman" w:hAnsi="Times New Roman" w:cs="Times New Roman"/>
          <w:sz w:val="24"/>
          <w:szCs w:val="24"/>
        </w:rPr>
        <w:t>EK</w:t>
      </w:r>
      <w:r w:rsidRPr="00342AA7">
        <w:rPr>
          <w:rFonts w:ascii="Times New Roman" w:eastAsia="Times New Roman" w:hAnsi="Times New Roman" w:cs="Times New Roman"/>
          <w:sz w:val="24"/>
          <w:szCs w:val="24"/>
        </w:rPr>
        <w:t xml:space="preserve">. </w:t>
      </w:r>
    </w:p>
    <w:p w14:paraId="3CFAC28B" w14:textId="77777777" w:rsidR="00342AA7" w:rsidRPr="00342AA7" w:rsidRDefault="00342AA7" w:rsidP="00342AA7">
      <w:pPr>
        <w:spacing w:after="0" w:line="240" w:lineRule="auto"/>
        <w:jc w:val="center"/>
        <w:rPr>
          <w:rFonts w:ascii="Times New Roman" w:eastAsia="Times New Roman" w:hAnsi="Times New Roman" w:cs="Times New Roman"/>
          <w:b/>
          <w:sz w:val="26"/>
          <w:szCs w:val="26"/>
        </w:rPr>
      </w:pPr>
      <w:r w:rsidRPr="00342AA7">
        <w:rPr>
          <w:rFonts w:ascii="Times New Roman" w:eastAsia="Times New Roman" w:hAnsi="Times New Roman" w:cs="Times New Roman"/>
          <w:b/>
          <w:noProof/>
          <w:sz w:val="26"/>
          <w:szCs w:val="26"/>
          <w:lang w:eastAsia="lv-LV"/>
        </w:rPr>
        <w:drawing>
          <wp:inline distT="0" distB="0" distL="0" distR="0" wp14:anchorId="0AB3DD7F" wp14:editId="31450E94">
            <wp:extent cx="5234118" cy="21399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4116" cy="2144038"/>
                    </a:xfrm>
                    <a:prstGeom prst="rect">
                      <a:avLst/>
                    </a:prstGeom>
                    <a:noFill/>
                  </pic:spPr>
                </pic:pic>
              </a:graphicData>
            </a:graphic>
          </wp:inline>
        </w:drawing>
      </w:r>
    </w:p>
    <w:p w14:paraId="7B062F13" w14:textId="77777777" w:rsidR="00342AA7" w:rsidRPr="00342AA7" w:rsidRDefault="00342AA7" w:rsidP="00342AA7">
      <w:pPr>
        <w:spacing w:after="0" w:line="240" w:lineRule="auto"/>
        <w:jc w:val="both"/>
        <w:rPr>
          <w:rFonts w:ascii="Times New Roman" w:eastAsia="Times New Roman" w:hAnsi="Times New Roman" w:cs="Times New Roman"/>
          <w:i/>
          <w:sz w:val="16"/>
          <w:szCs w:val="16"/>
        </w:rPr>
      </w:pPr>
    </w:p>
    <w:p w14:paraId="3748F147" w14:textId="77777777" w:rsidR="00342AA7" w:rsidRPr="00342AA7" w:rsidRDefault="00342AA7" w:rsidP="00342AA7">
      <w:pPr>
        <w:spacing w:after="0" w:line="240" w:lineRule="auto"/>
        <w:jc w:val="both"/>
        <w:rPr>
          <w:rFonts w:ascii="Times New Roman" w:eastAsia="Times New Roman" w:hAnsi="Times New Roman" w:cs="Times New Roman"/>
          <w:i/>
          <w:sz w:val="16"/>
          <w:szCs w:val="16"/>
        </w:rPr>
      </w:pPr>
      <w:r w:rsidRPr="00342AA7">
        <w:rPr>
          <w:rFonts w:ascii="Times New Roman" w:eastAsia="Times New Roman" w:hAnsi="Times New Roman" w:cs="Times New Roman"/>
          <w:i/>
          <w:sz w:val="16"/>
          <w:szCs w:val="16"/>
        </w:rPr>
        <w:t>* nav iekļauti sektori S130130, S130140, S130330, S130340, kā arī pieprasījuma un īstermiņa noguldījumi; aprēķinos izmantoti ECB 30.03.2017. noteiktie valūtu kursi</w:t>
      </w:r>
    </w:p>
    <w:p w14:paraId="39BAB34E" w14:textId="350DBF9F" w:rsidR="00342AA7" w:rsidRPr="00342AA7" w:rsidRDefault="00C12F8D" w:rsidP="00342AA7">
      <w:pPr>
        <w:spacing w:after="0" w:line="240" w:lineRule="auto"/>
        <w:jc w:val="center"/>
        <w:rPr>
          <w:rFonts w:ascii="Times New Roman" w:eastAsia="Times New Roman" w:hAnsi="Times New Roman" w:cs="Times New Roman"/>
          <w:b/>
          <w:sz w:val="24"/>
          <w:szCs w:val="26"/>
        </w:rPr>
      </w:pPr>
      <w:r>
        <w:rPr>
          <w:rFonts w:ascii="Times New Roman" w:eastAsia="Times New Roman" w:hAnsi="Times New Roman" w:cs="Times New Roman"/>
          <w:b/>
          <w:sz w:val="24"/>
          <w:szCs w:val="26"/>
        </w:rPr>
        <w:t>3.16</w:t>
      </w:r>
      <w:r w:rsidR="00342AA7" w:rsidRPr="00342AA7">
        <w:rPr>
          <w:rFonts w:ascii="Times New Roman" w:eastAsia="Times New Roman" w:hAnsi="Times New Roman" w:cs="Times New Roman"/>
          <w:b/>
          <w:sz w:val="24"/>
          <w:szCs w:val="26"/>
        </w:rPr>
        <w:t>.attēls.</w:t>
      </w:r>
      <w:r w:rsidR="00342AA7" w:rsidRPr="00342AA7">
        <w:rPr>
          <w:rFonts w:ascii="Times New Roman" w:eastAsia="Times New Roman" w:hAnsi="Times New Roman" w:cs="Times New Roman"/>
          <w:sz w:val="24"/>
          <w:szCs w:val="26"/>
        </w:rPr>
        <w:t xml:space="preserve"> </w:t>
      </w:r>
      <w:r w:rsidR="00342AA7" w:rsidRPr="00342AA7">
        <w:rPr>
          <w:rFonts w:ascii="Times New Roman" w:eastAsia="Times New Roman" w:hAnsi="Times New Roman" w:cs="Times New Roman"/>
          <w:b/>
          <w:sz w:val="24"/>
          <w:szCs w:val="26"/>
        </w:rPr>
        <w:t>Centrālās valdības aizņēmumu atmaksas grafiks</w:t>
      </w:r>
    </w:p>
    <w:p w14:paraId="4A7D91C6" w14:textId="77777777" w:rsidR="00342AA7" w:rsidRPr="00342AA7" w:rsidRDefault="00342AA7" w:rsidP="00342AA7">
      <w:pPr>
        <w:spacing w:after="120" w:line="240" w:lineRule="auto"/>
        <w:jc w:val="center"/>
        <w:rPr>
          <w:rFonts w:ascii="Times New Roman" w:eastAsia="Times New Roman" w:hAnsi="Times New Roman" w:cs="Times New Roman"/>
          <w:sz w:val="20"/>
          <w:szCs w:val="20"/>
        </w:rPr>
      </w:pPr>
      <w:r w:rsidRPr="00342AA7">
        <w:rPr>
          <w:rFonts w:ascii="Times New Roman" w:eastAsia="Times New Roman" w:hAnsi="Times New Roman" w:cs="Times New Roman"/>
          <w:sz w:val="20"/>
          <w:szCs w:val="20"/>
        </w:rPr>
        <w:t>(līdz 2017.gada 31.martam uzņemtās saistības, nominālvērtībā)</w:t>
      </w:r>
    </w:p>
    <w:p w14:paraId="7C856787" w14:textId="77777777"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Kopējās finansēšanas nepieciešamības segšanai vidējā termiņā plānots veikt šādus pasākumus aizņemšanās jomā:</w:t>
      </w:r>
    </w:p>
    <w:p w14:paraId="24E18E1F" w14:textId="77777777" w:rsidR="00342AA7" w:rsidRPr="00342AA7" w:rsidRDefault="00342AA7" w:rsidP="00342AA7">
      <w:pPr>
        <w:pStyle w:val="ListParagraph"/>
        <w:numPr>
          <w:ilvl w:val="0"/>
          <w:numId w:val="28"/>
        </w:numPr>
        <w:spacing w:after="0" w:line="240" w:lineRule="auto"/>
        <w:ind w:left="1276"/>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nodrošināt savlaicīgu aizņemšanos starptautiskajos finanšu tirgos ar publiskajām valsts parāda vērtspapīru emisijām, saglabājot elastību attiecībā uz aizņēmumu veikšanas laika, valūtu un atmaksas termiņu izvēli, lai nodrošinātu aizņemšanos ar labvēlīgiem nosacījumiem;</w:t>
      </w:r>
    </w:p>
    <w:p w14:paraId="7C15FA46" w14:textId="77777777" w:rsidR="00342AA7" w:rsidRPr="00342AA7" w:rsidRDefault="00342AA7" w:rsidP="00342AA7">
      <w:pPr>
        <w:pStyle w:val="ListParagraph"/>
        <w:numPr>
          <w:ilvl w:val="0"/>
          <w:numId w:val="28"/>
        </w:numPr>
        <w:spacing w:after="0" w:line="240" w:lineRule="auto"/>
        <w:ind w:left="1276"/>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nodrošināt valsts vērtspapīru investoru loka diversifikāciju un paplašināšanu, īstenojot regulāru, pastāvīgu dialogu un ilgtermiņa darbu ar investoru sabiedrību un sadarbības partneriem, lai veicinātu dažādu pasaules reģionu investoru aktīvu dalību valsts ārējā aizņēmuma vērtspapīru sākotnējā izvietošanā;</w:t>
      </w:r>
    </w:p>
    <w:p w14:paraId="722F466A" w14:textId="77777777" w:rsidR="00342AA7" w:rsidRPr="00342AA7" w:rsidRDefault="00342AA7" w:rsidP="00342AA7">
      <w:pPr>
        <w:pStyle w:val="ListParagraph"/>
        <w:numPr>
          <w:ilvl w:val="0"/>
          <w:numId w:val="28"/>
        </w:numPr>
        <w:spacing w:after="0" w:line="240" w:lineRule="auto"/>
        <w:ind w:left="1276"/>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veicināt iekšējā finanšu tirgus attīstību un nodrošināt atbilstošas ieguldījumu iespējas iekšzemes finanšu tirgus dalībniekiem, lai pilnvērtīgāk izmantotu aizņemšanās iekšējā finanšu tirgū potenciālu un sekmētu iekšējā finanšu tirgus attīstību.</w:t>
      </w:r>
    </w:p>
    <w:p w14:paraId="1AAD3B6F" w14:textId="5BD78A6A" w:rsidR="00342AA7" w:rsidRPr="00342AA7" w:rsidRDefault="00342AA7" w:rsidP="00342AA7">
      <w:pPr>
        <w:spacing w:after="0" w:line="240" w:lineRule="auto"/>
        <w:ind w:firstLine="567"/>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Ņemot vērā aizņemšanās stratēģiskos mērķus un valsts parāda atmaksas grafiku vidējam termiņam (skat.</w:t>
      </w:r>
      <w:r w:rsidR="00C12F8D">
        <w:rPr>
          <w:rFonts w:ascii="Times New Roman" w:eastAsia="Times New Roman" w:hAnsi="Times New Roman" w:cs="Times New Roman"/>
          <w:sz w:val="24"/>
          <w:szCs w:val="24"/>
        </w:rPr>
        <w:t xml:space="preserve"> 3.16</w:t>
      </w:r>
      <w:r w:rsidR="003F3595">
        <w:rPr>
          <w:rFonts w:ascii="Times New Roman" w:eastAsia="Times New Roman" w:hAnsi="Times New Roman" w:cs="Times New Roman"/>
          <w:sz w:val="24"/>
          <w:szCs w:val="24"/>
        </w:rPr>
        <w:t>.attēlu</w:t>
      </w:r>
      <w:r w:rsidRPr="00342AA7">
        <w:rPr>
          <w:rFonts w:ascii="Times New Roman" w:eastAsia="Times New Roman" w:hAnsi="Times New Roman" w:cs="Times New Roman"/>
          <w:sz w:val="24"/>
          <w:szCs w:val="24"/>
        </w:rPr>
        <w:t xml:space="preserve">), tuvākajos gados tieši ārējā aizņēmuma instrumenti veidos būtiskāko daļu no kopējā piesaistāmā finanšu resursu apjoma. Aizņēmumus starptautiskajos tirgos plānots balstīt uz publiskiem darījumiem globālajos finanšu tirgos, veicot etalona eiroobligāciju emisijas galvenokārt Eiropas finanšu tirgū, kā arī citu reģionu finanšu tirgos. </w:t>
      </w:r>
      <w:r w:rsidRPr="00342AA7">
        <w:rPr>
          <w:rFonts w:ascii="Times New Roman" w:eastAsia="Times New Roman" w:hAnsi="Times New Roman" w:cs="Times New Roman"/>
          <w:sz w:val="24"/>
          <w:szCs w:val="24"/>
        </w:rPr>
        <w:lastRenderedPageBreak/>
        <w:t>Iekšējā finanšu tirgū arī turpmāk plānots nodrošināt valsts vērtspapīru piedāvājumu, sekmējot valsts vērtspapīru tirgus aktivitāti primāro dīleru sistēmas ietvaros.</w:t>
      </w:r>
    </w:p>
    <w:p w14:paraId="02CDCC99" w14:textId="7283506F"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r w:rsidRPr="00342AA7">
        <w:rPr>
          <w:rFonts w:ascii="Times New Roman" w:eastAsia="Times New Roman" w:hAnsi="Times New Roman" w:cs="Times New Roman"/>
          <w:sz w:val="24"/>
          <w:szCs w:val="24"/>
        </w:rPr>
        <w:t>2016.gadā piesaistot finansējumu ne tikai kārtējā gada finansēšanas nepieciešamības segšanai, bet arī 2017.gada sākumā veiktajai valsts parāda atmaksai 1,0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sz w:val="24"/>
          <w:szCs w:val="24"/>
        </w:rPr>
        <w:t>ASV dolāru apmērā, pieaudzis vispārējās valdības parāda līmenis 2016.gada beigās, attiecīgi nedaudz samazinoties 2017.gadā. Savukārt, 2020.gadā plānota finansējuma savlaicīga piesaiste 2021.gada sākumā plānotajai eiroobligāciju dzēšanai 1,0 mljrd.</w:t>
      </w:r>
      <w:r>
        <w:rPr>
          <w:rFonts w:ascii="Times New Roman" w:eastAsia="Times New Roman" w:hAnsi="Times New Roman" w:cs="Times New Roman"/>
          <w:sz w:val="24"/>
          <w:szCs w:val="24"/>
        </w:rPr>
        <w:t xml:space="preserve"> </w:t>
      </w:r>
      <w:r w:rsidRPr="00342AA7">
        <w:rPr>
          <w:rFonts w:ascii="Times New Roman" w:eastAsia="Times New Roman" w:hAnsi="Times New Roman" w:cs="Times New Roman"/>
          <w:i/>
          <w:sz w:val="24"/>
          <w:szCs w:val="24"/>
        </w:rPr>
        <w:t>euro</w:t>
      </w:r>
      <w:r w:rsidRPr="00342AA7">
        <w:rPr>
          <w:rFonts w:ascii="Times New Roman" w:eastAsia="Times New Roman" w:hAnsi="Times New Roman" w:cs="Times New Roman"/>
          <w:sz w:val="24"/>
          <w:szCs w:val="24"/>
        </w:rPr>
        <w:t xml:space="preserve"> apmērā, kā rezultātā sagaidāms parāda </w:t>
      </w:r>
      <w:r w:rsidR="003F3595">
        <w:rPr>
          <w:rFonts w:ascii="Times New Roman" w:eastAsia="Times New Roman" w:hAnsi="Times New Roman" w:cs="Times New Roman"/>
          <w:sz w:val="24"/>
          <w:szCs w:val="24"/>
        </w:rPr>
        <w:t>līmeņa kāpums 2020.gada beigās.</w:t>
      </w:r>
      <w:r w:rsidRPr="00342AA7">
        <w:rPr>
          <w:rFonts w:ascii="Times New Roman" w:eastAsia="Times New Roman" w:hAnsi="Times New Roman" w:cs="Times New Roman"/>
          <w:sz w:val="24"/>
          <w:szCs w:val="24"/>
        </w:rPr>
        <w:t xml:space="preserve"> Tomēr kopumā, nodrošinot savlaicīgu aizņemšanos vidējā termiņā plānotajai valsts parāda atmaksai un ievērojot atbildīgas fiskālās politikas principus, sagaidāma parāda līmeņa stabilizēšanās ilgtspējīgā līmenī, pārliecinoši ievērojot </w:t>
      </w:r>
      <w:r>
        <w:rPr>
          <w:rFonts w:ascii="Times New Roman" w:eastAsia="Times New Roman" w:hAnsi="Times New Roman" w:cs="Times New Roman"/>
          <w:sz w:val="24"/>
          <w:szCs w:val="24"/>
        </w:rPr>
        <w:t>FDL</w:t>
      </w:r>
      <w:r w:rsidRPr="00342AA7">
        <w:rPr>
          <w:rFonts w:ascii="Times New Roman" w:eastAsia="Times New Roman" w:hAnsi="Times New Roman" w:cs="Times New Roman"/>
          <w:sz w:val="24"/>
          <w:szCs w:val="24"/>
        </w:rPr>
        <w:t xml:space="preserve"> noteikto parāda nosacījumu. </w:t>
      </w:r>
    </w:p>
    <w:p w14:paraId="2C2EB0B2" w14:textId="77777777" w:rsidR="00342AA7" w:rsidRPr="00342AA7" w:rsidRDefault="00342AA7" w:rsidP="00342AA7">
      <w:pPr>
        <w:spacing w:after="0" w:line="240" w:lineRule="auto"/>
        <w:ind w:firstLine="720"/>
        <w:jc w:val="both"/>
        <w:rPr>
          <w:rFonts w:ascii="Times New Roman" w:eastAsia="Times New Roman" w:hAnsi="Times New Roman" w:cs="Times New Roman"/>
          <w:sz w:val="24"/>
          <w:szCs w:val="24"/>
        </w:rPr>
      </w:pPr>
    </w:p>
    <w:p w14:paraId="4DE9E7B2" w14:textId="77777777" w:rsidR="00342AA7" w:rsidRPr="00342AA7" w:rsidRDefault="00342AA7" w:rsidP="00342AA7">
      <w:pPr>
        <w:spacing w:after="120" w:line="240" w:lineRule="auto"/>
        <w:jc w:val="center"/>
        <w:rPr>
          <w:rFonts w:ascii="Times New Roman" w:eastAsia="Times New Roman" w:hAnsi="Times New Roman" w:cs="Times New Roman"/>
          <w:b/>
          <w:bCs/>
          <w:sz w:val="26"/>
          <w:szCs w:val="26"/>
        </w:rPr>
      </w:pPr>
      <w:r w:rsidRPr="00342AA7">
        <w:rPr>
          <w:rFonts w:ascii="Times New Roman" w:eastAsia="Times New Roman" w:hAnsi="Times New Roman" w:cs="Times New Roman"/>
          <w:b/>
          <w:bCs/>
          <w:noProof/>
          <w:sz w:val="26"/>
          <w:szCs w:val="26"/>
          <w:lang w:eastAsia="lv-LV"/>
        </w:rPr>
        <w:drawing>
          <wp:inline distT="0" distB="0" distL="0" distR="0" wp14:anchorId="414D1B82" wp14:editId="4625189A">
            <wp:extent cx="3910930" cy="21782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0155" cy="2183348"/>
                    </a:xfrm>
                    <a:prstGeom prst="rect">
                      <a:avLst/>
                    </a:prstGeom>
                    <a:noFill/>
                  </pic:spPr>
                </pic:pic>
              </a:graphicData>
            </a:graphic>
          </wp:inline>
        </w:drawing>
      </w:r>
    </w:p>
    <w:p w14:paraId="77DAE481" w14:textId="34007D14" w:rsidR="00342AA7" w:rsidRPr="00342AA7" w:rsidRDefault="00C12F8D" w:rsidP="00342AA7">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3.17</w:t>
      </w:r>
      <w:r w:rsidR="00342AA7" w:rsidRPr="00342AA7">
        <w:rPr>
          <w:rFonts w:ascii="Times New Roman" w:eastAsia="Times New Roman" w:hAnsi="Times New Roman" w:cs="Times New Roman"/>
          <w:b/>
          <w:sz w:val="24"/>
          <w:szCs w:val="24"/>
        </w:rPr>
        <w:t>.attēls.</w:t>
      </w:r>
      <w:r w:rsidR="00342AA7" w:rsidRPr="00342AA7">
        <w:rPr>
          <w:rFonts w:ascii="Times New Roman" w:eastAsia="Times New Roman" w:hAnsi="Times New Roman" w:cs="Times New Roman"/>
          <w:sz w:val="24"/>
          <w:szCs w:val="24"/>
        </w:rPr>
        <w:t xml:space="preserve"> </w:t>
      </w:r>
      <w:r w:rsidR="00342AA7" w:rsidRPr="00342AA7">
        <w:rPr>
          <w:rFonts w:ascii="Times New Roman" w:eastAsia="Times New Roman" w:hAnsi="Times New Roman" w:cs="Times New Roman"/>
          <w:b/>
          <w:sz w:val="24"/>
          <w:szCs w:val="24"/>
        </w:rPr>
        <w:t>Vispārējās valdības parāda attīstības tendences (% no IKP)</w:t>
      </w:r>
    </w:p>
    <w:p w14:paraId="5C1423C2" w14:textId="77777777" w:rsidR="00342AA7" w:rsidRPr="00342AA7" w:rsidRDefault="00342AA7" w:rsidP="00342AA7"/>
    <w:p w14:paraId="3ADE6586" w14:textId="77777777" w:rsidR="009D2D01" w:rsidRDefault="009D2D01">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14:paraId="35B25C54" w14:textId="37AE757F" w:rsidR="005536A9" w:rsidRPr="00F51615" w:rsidRDefault="005536A9" w:rsidP="00F512CA">
      <w:pPr>
        <w:pStyle w:val="Heading1"/>
        <w:numPr>
          <w:ilvl w:val="0"/>
          <w:numId w:val="1"/>
        </w:numPr>
        <w:ind w:left="284" w:hanging="283"/>
        <w:jc w:val="center"/>
        <w:rPr>
          <w:rFonts w:ascii="Times New Roman" w:hAnsi="Times New Roman" w:cs="Times New Roman"/>
          <w:sz w:val="32"/>
        </w:rPr>
      </w:pPr>
      <w:bookmarkStart w:id="23" w:name="_Toc479331097"/>
      <w:r w:rsidRPr="00F51615">
        <w:rPr>
          <w:rFonts w:ascii="Times New Roman" w:hAnsi="Times New Roman" w:cs="Times New Roman"/>
          <w:sz w:val="32"/>
        </w:rPr>
        <w:lastRenderedPageBreak/>
        <w:t>Jutīguma analīze un salīdzinājums</w:t>
      </w:r>
      <w:bookmarkEnd w:id="23"/>
    </w:p>
    <w:p w14:paraId="168CE2A7" w14:textId="22AC2873" w:rsidR="00A34463" w:rsidRDefault="00A34463" w:rsidP="002D6792">
      <w:pPr>
        <w:pStyle w:val="Heading2"/>
        <w:numPr>
          <w:ilvl w:val="1"/>
          <w:numId w:val="1"/>
        </w:numPr>
        <w:spacing w:after="120"/>
        <w:ind w:left="709"/>
        <w:rPr>
          <w:rFonts w:ascii="Times New Roman" w:hAnsi="Times New Roman" w:cs="Times New Roman"/>
          <w:sz w:val="24"/>
        </w:rPr>
      </w:pPr>
      <w:bookmarkStart w:id="24" w:name="_Toc479331098"/>
      <w:r w:rsidRPr="00F51615">
        <w:rPr>
          <w:rFonts w:ascii="Times New Roman" w:hAnsi="Times New Roman" w:cs="Times New Roman"/>
          <w:sz w:val="24"/>
        </w:rPr>
        <w:t>Makroekonomiskā scenārija riski</w:t>
      </w:r>
      <w:bookmarkEnd w:id="24"/>
    </w:p>
    <w:p w14:paraId="2B286B2F"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8E57FF">
        <w:rPr>
          <w:rFonts w:ascii="Times New Roman" w:eastAsia="Times New Roman" w:hAnsi="Times New Roman" w:cs="Times New Roman"/>
          <w:sz w:val="24"/>
          <w:szCs w:val="24"/>
          <w:lang w:eastAsia="lv-LV"/>
        </w:rPr>
        <w:t>Makroekonomiskās attīstības scenārijs ir balstīts uz piesardzīgu prognozi un sabalansētiem pozitīviem un negatīviem riskiem.</w:t>
      </w:r>
    </w:p>
    <w:p w14:paraId="70C3BECB" w14:textId="4F61164E" w:rsidR="008E57FF" w:rsidRPr="008E57FF" w:rsidRDefault="008E57FF" w:rsidP="00A5655D">
      <w:pPr>
        <w:spacing w:before="120" w:after="60"/>
        <w:jc w:val="both"/>
        <w:rPr>
          <w:rFonts w:ascii="Times New Roman" w:hAnsi="Times New Roman" w:cs="Times New Roman"/>
          <w:b/>
          <w:sz w:val="24"/>
          <w:szCs w:val="24"/>
        </w:rPr>
      </w:pPr>
      <w:r w:rsidRPr="008E57FF">
        <w:rPr>
          <w:rFonts w:ascii="Times New Roman" w:hAnsi="Times New Roman" w:cs="Times New Roman"/>
          <w:b/>
          <w:sz w:val="24"/>
          <w:szCs w:val="24"/>
        </w:rPr>
        <w:t>Pozitīvie riski:</w:t>
      </w:r>
    </w:p>
    <w:p w14:paraId="207B6AFB" w14:textId="77777777" w:rsidR="008E57FF" w:rsidRPr="008E57FF" w:rsidRDefault="008E57FF" w:rsidP="00E045E3">
      <w:pPr>
        <w:numPr>
          <w:ilvl w:val="0"/>
          <w:numId w:val="25"/>
        </w:numPr>
        <w:autoSpaceDE w:val="0"/>
        <w:autoSpaceDN w:val="0"/>
        <w:adjustRightInd w:val="0"/>
        <w:spacing w:after="0" w:line="240" w:lineRule="auto"/>
        <w:ind w:left="709" w:hanging="357"/>
        <w:jc w:val="both"/>
        <w:rPr>
          <w:rFonts w:ascii="Times New Roman" w:hAnsi="Times New Roman" w:cs="Times New Roman"/>
          <w:sz w:val="24"/>
          <w:szCs w:val="24"/>
        </w:rPr>
      </w:pPr>
      <w:r w:rsidRPr="008E57FF">
        <w:rPr>
          <w:rFonts w:ascii="Times New Roman" w:hAnsi="Times New Roman" w:cs="Times New Roman"/>
          <w:sz w:val="24"/>
          <w:szCs w:val="24"/>
        </w:rPr>
        <w:t>Straujāks nekā prognozēts investīciju pieaugums iespējams, ja ES fondu līdzekļu apguve attīstās straujāk nekā paredzēts pamata scenārijā. Līdz šim starp faktoriem, kas kavēja investīciju projektu uzsākšanu, bija arī kavēšanās ar attiecīgā normatīvā regulējuma pieņemšanu, un pēc šo problēmu novēršanas ES fondu līdzekļu ieplūde ekonomikā var kļūt būtiski straujāka nekā prognozēts pamata scenārijā.</w:t>
      </w:r>
    </w:p>
    <w:p w14:paraId="39C3F521" w14:textId="77777777"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Papildus ES fondu finansējuma pieaugumam varētu palielināties arī pieprasījums pēc kredītiem, nodrošinot papildu iespējas investīcijām un pamatlīdzekļu atjaunošanai.</w:t>
      </w:r>
    </w:p>
    <w:p w14:paraId="2D9FB394" w14:textId="77777777"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Straujāka nekā prognozēts, ekonomiskās situācijas uzlabošanās ES un citās Latvijas tirdzniecības partnervalstīs, balstoties uz jau ilgstošo pasaules preču tirgu stabilitāti un ekonomikas atkopšanos attīstības tirgos.</w:t>
      </w:r>
    </w:p>
    <w:p w14:paraId="62B8FE45" w14:textId="77777777"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Jaunu eksporta virzienu atklāšana veicinās straujāku eksporta pieaugumu, investīciju un ekonomikas pieaugumu.</w:t>
      </w:r>
    </w:p>
    <w:p w14:paraId="6DFF7E2C" w14:textId="0A1E02D2"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Latvijā īsteno</w:t>
      </w:r>
      <w:r w:rsidR="008D2CD3">
        <w:rPr>
          <w:rFonts w:ascii="Times New Roman" w:hAnsi="Times New Roman" w:cs="Times New Roman"/>
          <w:sz w:val="24"/>
          <w:szCs w:val="24"/>
        </w:rPr>
        <w:t>tās strukturālās reformas (piemēram</w:t>
      </w:r>
      <w:r w:rsidRPr="008E57FF">
        <w:rPr>
          <w:rFonts w:ascii="Times New Roman" w:hAnsi="Times New Roman" w:cs="Times New Roman"/>
          <w:sz w:val="24"/>
          <w:szCs w:val="24"/>
        </w:rPr>
        <w:t>, izglītībā, veselības aprūpē, valsts pārvaldē, nodokļu sistēmas reforma) nodrošinās efektīvāku finanšu pārvaldību un spēcinās ekonomisko potenciālu nākotnē.</w:t>
      </w:r>
    </w:p>
    <w:p w14:paraId="7D984768"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p>
    <w:p w14:paraId="55F85080" w14:textId="77777777" w:rsidR="008E57FF" w:rsidRPr="008E57FF" w:rsidRDefault="008E57FF" w:rsidP="00E045E3">
      <w:pPr>
        <w:spacing w:after="60"/>
        <w:jc w:val="both"/>
        <w:rPr>
          <w:rFonts w:ascii="Times New Roman" w:hAnsi="Times New Roman" w:cs="Times New Roman"/>
          <w:b/>
          <w:sz w:val="24"/>
          <w:szCs w:val="24"/>
        </w:rPr>
      </w:pPr>
      <w:r w:rsidRPr="008E57FF">
        <w:rPr>
          <w:rFonts w:ascii="Times New Roman" w:hAnsi="Times New Roman" w:cs="Times New Roman"/>
          <w:b/>
          <w:sz w:val="24"/>
          <w:szCs w:val="24"/>
        </w:rPr>
        <w:t>Negatīvie riski:</w:t>
      </w:r>
    </w:p>
    <w:p w14:paraId="323511BF" w14:textId="77777777"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ES fondu apguves kavēšanās, līdzīgi kā 2016.gadā, var jūtami bremzēt ekonomikas izaugsmes tempus. Investīciju kavēšanos var izraisīt uz ES fondiem balstīto investīciju projektu vēlāka uzsākšana, kā arī iespējamā konkursu rezultātu apstrīdēšana. Līdz ar to kavēšanās īstenot investīciju projektus, lai, piemēram, palielinātu ražošanas jaudas, var negatīvi ietekmēt ekonomikas potenciālo izaugsmi.</w:t>
      </w:r>
    </w:p>
    <w:p w14:paraId="38F69EA9" w14:textId="77777777"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Straujāka ES fondu līdzekļu ieplūde ekonomikā salīdzinājumā ar iepriekšējo gadu un pieprasījuma pieaugums, īpaši būvniecības sektorā, var izraisīt kvalificēta darbaspēka trūkumu un radīt spiedienu uz algu kāpumu visā tautsaimniecībā.</w:t>
      </w:r>
    </w:p>
    <w:p w14:paraId="68317DCD" w14:textId="77777777"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Produktivitātes pieaugumam ilgstoši neatbilstošs algu kāpums. Reālās algas kāpums, kas ilgstoši pārsniedz produktivitātes pieaugumu, var mazināt ekonomikas konkurētspēju un bremzēt ekonomisko izaugsmi.</w:t>
      </w:r>
    </w:p>
    <w:p w14:paraId="4DB41B75" w14:textId="61F0878C" w:rsidR="008E57FF" w:rsidRPr="008E57FF" w:rsidRDefault="008E57FF" w:rsidP="0024257A">
      <w:pPr>
        <w:numPr>
          <w:ilvl w:val="0"/>
          <w:numId w:val="25"/>
        </w:numPr>
        <w:autoSpaceDE w:val="0"/>
        <w:autoSpaceDN w:val="0"/>
        <w:adjustRightInd w:val="0"/>
        <w:spacing w:after="0" w:line="240" w:lineRule="auto"/>
        <w:ind w:left="709"/>
        <w:contextualSpacing/>
        <w:jc w:val="both"/>
        <w:rPr>
          <w:rFonts w:ascii="Times New Roman" w:hAnsi="Times New Roman" w:cs="Times New Roman"/>
          <w:sz w:val="24"/>
          <w:szCs w:val="24"/>
        </w:rPr>
      </w:pPr>
      <w:r w:rsidRPr="008E57FF">
        <w:rPr>
          <w:rFonts w:ascii="Times New Roman" w:hAnsi="Times New Roman" w:cs="Times New Roman"/>
          <w:sz w:val="24"/>
          <w:szCs w:val="24"/>
        </w:rPr>
        <w:t>Ekonomiskās situācijas pasliktināšanās Krievijā un ES, kā arī politiskās domstarpības starp šiem galvenajiem Latvijas tirdzniecības partneriem var samazināt ārējās tirdzniecības aktivitāti. Šis un nākamais gads ir būtiski vēlēšanu gadi</w:t>
      </w:r>
      <w:r w:rsidR="008D2CD3">
        <w:rPr>
          <w:rFonts w:ascii="Times New Roman" w:hAnsi="Times New Roman" w:cs="Times New Roman"/>
          <w:sz w:val="24"/>
          <w:szCs w:val="24"/>
        </w:rPr>
        <w:t xml:space="preserve"> vairākās ES dalībvalstīs (piemēram</w:t>
      </w:r>
      <w:r w:rsidRPr="008E57FF">
        <w:rPr>
          <w:rFonts w:ascii="Times New Roman" w:hAnsi="Times New Roman" w:cs="Times New Roman"/>
          <w:sz w:val="24"/>
          <w:szCs w:val="24"/>
        </w:rPr>
        <w:t xml:space="preserve">, 2017.gadā parlamenta vēlēšanas Vācijā un Francijā, 2018.gadā Zviedrijā </w:t>
      </w:r>
      <w:r w:rsidR="008D2CD3">
        <w:rPr>
          <w:rFonts w:ascii="Times New Roman" w:hAnsi="Times New Roman" w:cs="Times New Roman"/>
          <w:sz w:val="24"/>
          <w:szCs w:val="24"/>
        </w:rPr>
        <w:t>un Itālijā) un Krievijā (2018.gadā</w:t>
      </w:r>
      <w:r w:rsidRPr="008E57FF">
        <w:rPr>
          <w:rFonts w:ascii="Times New Roman" w:hAnsi="Times New Roman" w:cs="Times New Roman"/>
          <w:sz w:val="24"/>
          <w:szCs w:val="24"/>
        </w:rPr>
        <w:t xml:space="preserve"> ir gaidāmas prezidenta vēlēšanas). Augstā nenoteiktība un riski gaidāmo vēlēšanu sakarā var negatīvi ietekmēt Latvijas eksportu un investīciju aktivitāti.</w:t>
      </w:r>
    </w:p>
    <w:p w14:paraId="0E42D48C" w14:textId="77777777" w:rsidR="008E57FF" w:rsidRPr="008E57FF" w:rsidRDefault="008E57FF" w:rsidP="008E57FF"/>
    <w:p w14:paraId="2D55411D" w14:textId="77777777" w:rsidR="008E57FF" w:rsidRDefault="008E57FF">
      <w:pPr>
        <w:rPr>
          <w:rFonts w:ascii="Times New Roman" w:eastAsiaTheme="majorEastAsia" w:hAnsi="Times New Roman" w:cs="Times New Roman"/>
          <w:b/>
          <w:bCs/>
          <w:smallCaps/>
          <w:color w:val="000000" w:themeColor="text1"/>
          <w:sz w:val="24"/>
          <w:szCs w:val="28"/>
        </w:rPr>
      </w:pPr>
      <w:r>
        <w:rPr>
          <w:rFonts w:ascii="Times New Roman" w:hAnsi="Times New Roman" w:cs="Times New Roman"/>
          <w:sz w:val="24"/>
        </w:rPr>
        <w:br w:type="page"/>
      </w:r>
    </w:p>
    <w:p w14:paraId="5C2F43FE" w14:textId="34CCBC01" w:rsidR="00A34463" w:rsidRDefault="00A34463" w:rsidP="00BD3877">
      <w:pPr>
        <w:pStyle w:val="Heading2"/>
        <w:numPr>
          <w:ilvl w:val="1"/>
          <w:numId w:val="1"/>
        </w:numPr>
        <w:spacing w:after="120"/>
        <w:ind w:left="709"/>
        <w:rPr>
          <w:rFonts w:ascii="Times New Roman" w:hAnsi="Times New Roman" w:cs="Times New Roman"/>
          <w:sz w:val="24"/>
        </w:rPr>
      </w:pPr>
      <w:bookmarkStart w:id="25" w:name="_Toc479331099"/>
      <w:r w:rsidRPr="00F51615">
        <w:rPr>
          <w:rFonts w:ascii="Times New Roman" w:hAnsi="Times New Roman" w:cs="Times New Roman"/>
          <w:sz w:val="24"/>
        </w:rPr>
        <w:lastRenderedPageBreak/>
        <w:t>Jutīguma analīze</w:t>
      </w:r>
      <w:bookmarkEnd w:id="25"/>
    </w:p>
    <w:p w14:paraId="176F362D" w14:textId="27B0D653" w:rsidR="008E57FF" w:rsidRPr="00766076" w:rsidRDefault="008E57FF" w:rsidP="008E57FF">
      <w:pPr>
        <w:pStyle w:val="Default"/>
        <w:ind w:firstLine="720"/>
        <w:jc w:val="both"/>
        <w:rPr>
          <w:color w:val="auto"/>
          <w:szCs w:val="23"/>
        </w:rPr>
      </w:pPr>
      <w:r w:rsidRPr="00766076">
        <w:rPr>
          <w:color w:val="auto"/>
          <w:szCs w:val="23"/>
        </w:rPr>
        <w:t>Balstoties uz iepriekšējā nodaļā apskatīto makroekonomisko risku iespējamo ietekmi uz tautsaimniecību, ir izstrādāti divi alternatīvie makroekonomiskās attīstības scenāriji 2017.</w:t>
      </w:r>
      <w:r>
        <w:rPr>
          <w:color w:val="auto"/>
          <w:szCs w:val="23"/>
        </w:rPr>
        <w:noBreakHyphen/>
      </w:r>
      <w:r w:rsidRPr="00766076">
        <w:rPr>
          <w:color w:val="auto"/>
          <w:szCs w:val="23"/>
        </w:rPr>
        <w:t>2020.gadiem.</w:t>
      </w:r>
    </w:p>
    <w:p w14:paraId="24BF9219" w14:textId="04627567" w:rsidR="008E57FF" w:rsidRDefault="00262B9F" w:rsidP="008E57FF">
      <w:pPr>
        <w:pStyle w:val="Heading2"/>
        <w:numPr>
          <w:ilvl w:val="2"/>
          <w:numId w:val="7"/>
        </w:numPr>
        <w:spacing w:after="120"/>
        <w:ind w:left="1418"/>
        <w:rPr>
          <w:rFonts w:ascii="Times New Roman" w:hAnsi="Times New Roman"/>
          <w:color w:val="auto"/>
          <w:sz w:val="24"/>
        </w:rPr>
      </w:pPr>
      <w:bookmarkStart w:id="26" w:name="_Toc479331100"/>
      <w:r w:rsidRPr="005456BA">
        <w:rPr>
          <w:rFonts w:ascii="Times New Roman" w:hAnsi="Times New Roman"/>
          <w:color w:val="auto"/>
          <w:sz w:val="24"/>
        </w:rPr>
        <w:t>Optimistiskais scenārijs</w:t>
      </w:r>
      <w:bookmarkEnd w:id="26"/>
    </w:p>
    <w:p w14:paraId="7C6F956B"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8E57FF">
        <w:rPr>
          <w:rFonts w:ascii="Times New Roman" w:eastAsia="Times New Roman" w:hAnsi="Times New Roman" w:cs="Times New Roman"/>
          <w:sz w:val="24"/>
          <w:szCs w:val="23"/>
          <w:lang w:eastAsia="lv-LV"/>
        </w:rPr>
        <w:t>Ņemot vērā iespējamos riskus ekonomikas izaugsmei, FM ir izstrādājusi alternatīvu ekonomiskās attīstības scenāriju, kas balstīts uz optimistiskiem pieņēmumiem, realizējoties vairākiem pozitīviem riskiem.</w:t>
      </w:r>
    </w:p>
    <w:p w14:paraId="5FC42520"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8E57FF">
        <w:rPr>
          <w:rFonts w:ascii="Times New Roman" w:eastAsia="Times New Roman" w:hAnsi="Times New Roman" w:cs="Times New Roman"/>
          <w:b/>
          <w:sz w:val="24"/>
          <w:szCs w:val="23"/>
          <w:lang w:eastAsia="lv-LV"/>
        </w:rPr>
        <w:t>Ietekme uz ekonomiku.</w:t>
      </w:r>
      <w:r w:rsidRPr="008E57FF">
        <w:rPr>
          <w:rFonts w:ascii="Times New Roman" w:eastAsia="Times New Roman" w:hAnsi="Times New Roman" w:cs="Times New Roman"/>
          <w:sz w:val="24"/>
          <w:szCs w:val="23"/>
          <w:lang w:eastAsia="lv-LV"/>
        </w:rPr>
        <w:t xml:space="preserve"> Galvenais pozitīvais risks augstākai nekā prognozēts ekonomiskajai izaugsmei saistīts ar straujāku ES fondu līdzekļu apguvi, nekā to paredz pamata scenārijs. 2016.gada normatīvie šķēršļi ES fondu apguvei jau ir novērsti, līdz ar to ir iespējams, ka varētu tikt īstenoti, vairāki lieli infrastruktūras projekti, veicinot straujāku ekonomikas, īpaši būvniecības nozares izaugsmi. Uzlabojoties uzņēmumu finanšu rādītājiem, iespējama straujāka arī ar ES fondiem nesaistīto nozaru investīciju kreditēšana, tādējādi kāpinot Latvijas uzņēmēju konkurētspēju un eksportspēju. Optimistiskais scenārijs paredz, ka ES fondu apguve visa prognožu perioda laikā būs par 10% augstāka nekā paredzēts pamata scenārijā.</w:t>
      </w:r>
    </w:p>
    <w:p w14:paraId="02D13530"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8E57FF">
        <w:rPr>
          <w:rFonts w:ascii="Times New Roman" w:eastAsia="Times New Roman" w:hAnsi="Times New Roman" w:cs="Times New Roman"/>
          <w:sz w:val="24"/>
          <w:szCs w:val="23"/>
          <w:lang w:eastAsia="lv-LV"/>
        </w:rPr>
        <w:t>Jau no 2016.gada vidus starptautiskās organizācijas pamazām uzlabo nākotnes attīstības prognozes pasaules ekonomikai kopumā un atsevišķām valstīm, kas liecina, ka pasaules ekonomiskā attīstība, sākot ar 2017.gadu, varētu būt augšupejošā ciklā. Tāpēc papildus investīciju pieaugumam optimistiskais scenārijs paredz, ka eksporta ieņēmumu pieaugums būs par 1 procentpunktu straujāks nekā pamata scenārijā.</w:t>
      </w:r>
    </w:p>
    <w:p w14:paraId="2EF22FE1"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8E57FF">
        <w:rPr>
          <w:rFonts w:ascii="Times New Roman" w:eastAsia="Times New Roman" w:hAnsi="Times New Roman" w:cs="Times New Roman"/>
          <w:sz w:val="24"/>
          <w:szCs w:val="23"/>
          <w:lang w:eastAsia="lv-LV"/>
        </w:rPr>
        <w:t>Atbilstoši optimistiskajam scenārijam, palielinoties ienākumiem no eksporta, arī nodarbināto darba samaksas pieaugums prognozes periodā būtu par aptuveni 0,1 procentpunktu lielāks nekā pamata scenārijā. Straujāks darba samaksas pieaugums uzlabotu mājsaimniecību noskaņojumu un veicinātu pieprasījumu arī pēc kredītiem. Tādējādi privātā patēriņa pieaugums prognozes periodā būtu par 0,3 procentpunktiem straujāks nekā pamata scenārijā.</w:t>
      </w:r>
    </w:p>
    <w:p w14:paraId="1C23A27C" w14:textId="77777777" w:rsidR="008E57FF" w:rsidRPr="008E57FF" w:rsidRDefault="008E57FF" w:rsidP="00E045E3">
      <w:pPr>
        <w:spacing w:before="120" w:after="60" w:line="240" w:lineRule="auto"/>
        <w:jc w:val="right"/>
        <w:rPr>
          <w:rFonts w:ascii="Times New Roman" w:hAnsi="Times New Roman" w:cs="Times New Roman"/>
          <w:b/>
          <w:sz w:val="24"/>
          <w:szCs w:val="24"/>
        </w:rPr>
      </w:pPr>
      <w:r w:rsidRPr="008E57FF">
        <w:rPr>
          <w:rFonts w:ascii="Times New Roman" w:hAnsi="Times New Roman" w:cs="Times New Roman"/>
          <w:b/>
          <w:sz w:val="24"/>
          <w:szCs w:val="24"/>
        </w:rPr>
        <w:t>4.1.tabula. Optimistiskais makroekonomiskais scenārijs</w:t>
      </w:r>
    </w:p>
    <w:tbl>
      <w:tblPr>
        <w:tblStyle w:val="GridTable6Colorful-Accent13"/>
        <w:tblW w:w="9078" w:type="dxa"/>
        <w:jc w:val="center"/>
        <w:tblLayout w:type="fixed"/>
        <w:tblLook w:val="04A0" w:firstRow="1" w:lastRow="0" w:firstColumn="1" w:lastColumn="0" w:noHBand="0" w:noVBand="1"/>
      </w:tblPr>
      <w:tblGrid>
        <w:gridCol w:w="4106"/>
        <w:gridCol w:w="994"/>
        <w:gridCol w:w="994"/>
        <w:gridCol w:w="995"/>
        <w:gridCol w:w="994"/>
        <w:gridCol w:w="995"/>
      </w:tblGrid>
      <w:tr w:rsidR="008E57FF" w:rsidRPr="0024257A" w14:paraId="0AD1DF1F" w14:textId="77777777" w:rsidTr="0077183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tcPr>
          <w:p w14:paraId="1E1D2E10" w14:textId="77777777" w:rsidR="008E57FF" w:rsidRPr="0024257A" w:rsidRDefault="008E57FF" w:rsidP="008E57FF">
            <w:pPr>
              <w:rPr>
                <w:rFonts w:ascii="Times New Roman" w:hAnsi="Times New Roman" w:cs="Times New Roman"/>
                <w:color w:val="auto"/>
                <w:sz w:val="20"/>
                <w:szCs w:val="20"/>
              </w:rPr>
            </w:pPr>
          </w:p>
        </w:tc>
        <w:tc>
          <w:tcPr>
            <w:tcW w:w="994" w:type="dxa"/>
            <w:vAlign w:val="center"/>
          </w:tcPr>
          <w:p w14:paraId="607CEC6F"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2016</w:t>
            </w:r>
          </w:p>
        </w:tc>
        <w:tc>
          <w:tcPr>
            <w:tcW w:w="994" w:type="dxa"/>
            <w:vAlign w:val="center"/>
          </w:tcPr>
          <w:p w14:paraId="3387493F"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2017p</w:t>
            </w:r>
          </w:p>
        </w:tc>
        <w:tc>
          <w:tcPr>
            <w:tcW w:w="995" w:type="dxa"/>
            <w:vAlign w:val="center"/>
          </w:tcPr>
          <w:p w14:paraId="6811D771"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2018p</w:t>
            </w:r>
          </w:p>
        </w:tc>
        <w:tc>
          <w:tcPr>
            <w:tcW w:w="994" w:type="dxa"/>
            <w:vAlign w:val="center"/>
          </w:tcPr>
          <w:p w14:paraId="0F82F6ED"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2019p</w:t>
            </w:r>
          </w:p>
        </w:tc>
        <w:tc>
          <w:tcPr>
            <w:tcW w:w="995" w:type="dxa"/>
            <w:noWrap/>
            <w:vAlign w:val="center"/>
          </w:tcPr>
          <w:p w14:paraId="2E4792A7"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2020p</w:t>
            </w:r>
          </w:p>
        </w:tc>
      </w:tr>
      <w:tr w:rsidR="008E57FF" w:rsidRPr="0024257A" w14:paraId="747E45CC" w14:textId="77777777" w:rsidTr="002425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3069628F" w14:textId="77777777" w:rsidR="008E57FF" w:rsidRPr="0024257A" w:rsidRDefault="008E57FF" w:rsidP="008E57FF">
            <w:pPr>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IKP faktiskajās cenās, milj. </w:t>
            </w:r>
            <w:r w:rsidRPr="0024257A">
              <w:rPr>
                <w:rFonts w:ascii="Times New Roman" w:hAnsi="Times New Roman" w:cs="Times New Roman"/>
                <w:i/>
                <w:color w:val="auto"/>
                <w:sz w:val="20"/>
                <w:szCs w:val="20"/>
              </w:rPr>
              <w:t>euro</w:t>
            </w:r>
          </w:p>
        </w:tc>
        <w:tc>
          <w:tcPr>
            <w:tcW w:w="994" w:type="dxa"/>
            <w:tcMar>
              <w:left w:w="57" w:type="dxa"/>
              <w:right w:w="170" w:type="dxa"/>
            </w:tcMar>
            <w:vAlign w:val="center"/>
          </w:tcPr>
          <w:p w14:paraId="55F6C790"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25021</w:t>
            </w:r>
          </w:p>
        </w:tc>
        <w:tc>
          <w:tcPr>
            <w:tcW w:w="994" w:type="dxa"/>
            <w:tcMar>
              <w:left w:w="57" w:type="dxa"/>
              <w:right w:w="170" w:type="dxa"/>
            </w:tcMar>
            <w:vAlign w:val="center"/>
          </w:tcPr>
          <w:p w14:paraId="7752C151"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26429</w:t>
            </w:r>
          </w:p>
        </w:tc>
        <w:tc>
          <w:tcPr>
            <w:tcW w:w="995" w:type="dxa"/>
            <w:tcMar>
              <w:left w:w="57" w:type="dxa"/>
              <w:right w:w="170" w:type="dxa"/>
            </w:tcMar>
            <w:vAlign w:val="center"/>
          </w:tcPr>
          <w:p w14:paraId="3CCF30BE"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27854</w:t>
            </w:r>
          </w:p>
        </w:tc>
        <w:tc>
          <w:tcPr>
            <w:tcW w:w="994" w:type="dxa"/>
            <w:tcMar>
              <w:left w:w="57" w:type="dxa"/>
              <w:right w:w="170" w:type="dxa"/>
            </w:tcMar>
            <w:vAlign w:val="center"/>
          </w:tcPr>
          <w:p w14:paraId="738DCDA6"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29647</w:t>
            </w:r>
          </w:p>
        </w:tc>
        <w:tc>
          <w:tcPr>
            <w:tcW w:w="995" w:type="dxa"/>
            <w:noWrap/>
            <w:tcMar>
              <w:left w:w="57" w:type="dxa"/>
              <w:right w:w="170" w:type="dxa"/>
            </w:tcMar>
            <w:vAlign w:val="center"/>
          </w:tcPr>
          <w:p w14:paraId="22175756"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31486</w:t>
            </w:r>
          </w:p>
        </w:tc>
      </w:tr>
      <w:tr w:rsidR="008E57FF" w:rsidRPr="0024257A" w14:paraId="52D796B4" w14:textId="77777777" w:rsidTr="0024257A">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2B488EDC" w14:textId="286D19BE" w:rsidR="008E57FF" w:rsidRPr="0024257A" w:rsidRDefault="008D2CD3" w:rsidP="008E57FF">
            <w:pPr>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faktiskajās cenās , %</w:t>
            </w:r>
          </w:p>
        </w:tc>
        <w:tc>
          <w:tcPr>
            <w:tcW w:w="994" w:type="dxa"/>
            <w:tcMar>
              <w:left w:w="57" w:type="dxa"/>
              <w:right w:w="284" w:type="dxa"/>
            </w:tcMar>
            <w:vAlign w:val="center"/>
          </w:tcPr>
          <w:p w14:paraId="199D4931"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2,7</w:t>
            </w:r>
          </w:p>
        </w:tc>
        <w:tc>
          <w:tcPr>
            <w:tcW w:w="994" w:type="dxa"/>
            <w:tcMar>
              <w:left w:w="57" w:type="dxa"/>
              <w:right w:w="284" w:type="dxa"/>
            </w:tcMar>
            <w:vAlign w:val="center"/>
          </w:tcPr>
          <w:p w14:paraId="420DAA47"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5,6</w:t>
            </w:r>
          </w:p>
        </w:tc>
        <w:tc>
          <w:tcPr>
            <w:tcW w:w="995" w:type="dxa"/>
            <w:tcMar>
              <w:left w:w="57" w:type="dxa"/>
              <w:right w:w="284" w:type="dxa"/>
            </w:tcMar>
            <w:vAlign w:val="center"/>
          </w:tcPr>
          <w:p w14:paraId="214A3897"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5,4</w:t>
            </w:r>
          </w:p>
        </w:tc>
        <w:tc>
          <w:tcPr>
            <w:tcW w:w="994" w:type="dxa"/>
            <w:tcMar>
              <w:left w:w="57" w:type="dxa"/>
              <w:right w:w="284" w:type="dxa"/>
            </w:tcMar>
            <w:vAlign w:val="center"/>
          </w:tcPr>
          <w:p w14:paraId="3769C7AE"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6,4</w:t>
            </w:r>
          </w:p>
        </w:tc>
        <w:tc>
          <w:tcPr>
            <w:tcW w:w="995" w:type="dxa"/>
            <w:noWrap/>
            <w:tcMar>
              <w:left w:w="57" w:type="dxa"/>
              <w:right w:w="284" w:type="dxa"/>
            </w:tcMar>
            <w:vAlign w:val="center"/>
          </w:tcPr>
          <w:p w14:paraId="701E3B58"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6,2</w:t>
            </w:r>
          </w:p>
        </w:tc>
      </w:tr>
      <w:tr w:rsidR="008E57FF" w:rsidRPr="0024257A" w14:paraId="646DF872" w14:textId="77777777" w:rsidTr="002425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33BD5B6C" w14:textId="7F91C672" w:rsidR="008E57FF" w:rsidRPr="0024257A" w:rsidRDefault="008D2CD3" w:rsidP="008E57FF">
            <w:pPr>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salīdzināmās cenās, %</w:t>
            </w:r>
          </w:p>
        </w:tc>
        <w:tc>
          <w:tcPr>
            <w:tcW w:w="994" w:type="dxa"/>
            <w:tcMar>
              <w:left w:w="57" w:type="dxa"/>
              <w:right w:w="284" w:type="dxa"/>
            </w:tcMar>
            <w:vAlign w:val="center"/>
          </w:tcPr>
          <w:p w14:paraId="02690485"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c>
          <w:tcPr>
            <w:tcW w:w="994" w:type="dxa"/>
            <w:tcMar>
              <w:left w:w="57" w:type="dxa"/>
              <w:right w:w="284" w:type="dxa"/>
            </w:tcMar>
            <w:vAlign w:val="center"/>
          </w:tcPr>
          <w:p w14:paraId="11DF2455"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3,7</w:t>
            </w:r>
          </w:p>
        </w:tc>
        <w:tc>
          <w:tcPr>
            <w:tcW w:w="995" w:type="dxa"/>
            <w:tcMar>
              <w:left w:w="57" w:type="dxa"/>
              <w:right w:w="284" w:type="dxa"/>
            </w:tcMar>
            <w:vAlign w:val="center"/>
          </w:tcPr>
          <w:p w14:paraId="38818555"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3,8</w:t>
            </w:r>
          </w:p>
        </w:tc>
        <w:tc>
          <w:tcPr>
            <w:tcW w:w="994" w:type="dxa"/>
            <w:tcMar>
              <w:left w:w="57" w:type="dxa"/>
              <w:right w:w="284" w:type="dxa"/>
            </w:tcMar>
            <w:vAlign w:val="center"/>
          </w:tcPr>
          <w:p w14:paraId="5BE4DE0D"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3,7</w:t>
            </w:r>
          </w:p>
        </w:tc>
        <w:tc>
          <w:tcPr>
            <w:tcW w:w="995" w:type="dxa"/>
            <w:noWrap/>
            <w:tcMar>
              <w:left w:w="57" w:type="dxa"/>
              <w:right w:w="284" w:type="dxa"/>
            </w:tcMar>
            <w:vAlign w:val="center"/>
          </w:tcPr>
          <w:p w14:paraId="76278032"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3,5</w:t>
            </w:r>
          </w:p>
        </w:tc>
      </w:tr>
      <w:tr w:rsidR="008E57FF" w:rsidRPr="0024257A" w14:paraId="1EEB0066" w14:textId="77777777" w:rsidTr="0024257A">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69E11809" w14:textId="77777777" w:rsidR="008E57FF" w:rsidRPr="0024257A" w:rsidRDefault="008E57FF" w:rsidP="008E57FF">
            <w:pPr>
              <w:rPr>
                <w:rFonts w:ascii="Times New Roman" w:hAnsi="Times New Roman" w:cs="Times New Roman"/>
                <w:color w:val="auto"/>
                <w:sz w:val="20"/>
                <w:szCs w:val="20"/>
              </w:rPr>
            </w:pPr>
            <w:r w:rsidRPr="0024257A">
              <w:rPr>
                <w:rFonts w:ascii="Times New Roman" w:hAnsi="Times New Roman" w:cs="Times New Roman"/>
                <w:color w:val="auto"/>
                <w:sz w:val="20"/>
                <w:szCs w:val="20"/>
              </w:rPr>
              <w:t>PCI, (gada vidējā), %</w:t>
            </w:r>
          </w:p>
        </w:tc>
        <w:tc>
          <w:tcPr>
            <w:tcW w:w="994" w:type="dxa"/>
            <w:tcMar>
              <w:left w:w="57" w:type="dxa"/>
              <w:right w:w="284" w:type="dxa"/>
            </w:tcMar>
            <w:vAlign w:val="center"/>
          </w:tcPr>
          <w:p w14:paraId="7B63FD50"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0,1</w:t>
            </w:r>
          </w:p>
        </w:tc>
        <w:tc>
          <w:tcPr>
            <w:tcW w:w="994" w:type="dxa"/>
            <w:tcMar>
              <w:left w:w="57" w:type="dxa"/>
              <w:right w:w="284" w:type="dxa"/>
            </w:tcMar>
            <w:vAlign w:val="center"/>
          </w:tcPr>
          <w:p w14:paraId="45F9E36B"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2,3</w:t>
            </w:r>
          </w:p>
        </w:tc>
        <w:tc>
          <w:tcPr>
            <w:tcW w:w="995" w:type="dxa"/>
            <w:tcMar>
              <w:left w:w="57" w:type="dxa"/>
              <w:right w:w="284" w:type="dxa"/>
            </w:tcMar>
            <w:vAlign w:val="center"/>
          </w:tcPr>
          <w:p w14:paraId="1E96555E"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c>
          <w:tcPr>
            <w:tcW w:w="994" w:type="dxa"/>
            <w:tcMar>
              <w:left w:w="57" w:type="dxa"/>
              <w:right w:w="284" w:type="dxa"/>
            </w:tcMar>
            <w:vAlign w:val="center"/>
          </w:tcPr>
          <w:p w14:paraId="0855B44B"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c>
          <w:tcPr>
            <w:tcW w:w="995" w:type="dxa"/>
            <w:noWrap/>
            <w:tcMar>
              <w:left w:w="57" w:type="dxa"/>
              <w:right w:w="284" w:type="dxa"/>
            </w:tcMar>
            <w:vAlign w:val="center"/>
          </w:tcPr>
          <w:p w14:paraId="5AF25D1D"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r>
      <w:tr w:rsidR="008E57FF" w:rsidRPr="0024257A" w14:paraId="1BE3AE22" w14:textId="77777777" w:rsidTr="002425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387AFAE2" w14:textId="77777777" w:rsidR="008E57FF" w:rsidRPr="0024257A" w:rsidRDefault="008E57FF" w:rsidP="008E57FF">
            <w:pPr>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Vidējā darba samaksa tautsaimniecība, </w:t>
            </w:r>
            <w:r w:rsidRPr="0024257A">
              <w:rPr>
                <w:rFonts w:ascii="Times New Roman" w:hAnsi="Times New Roman" w:cs="Times New Roman"/>
                <w:i/>
                <w:color w:val="auto"/>
                <w:sz w:val="20"/>
                <w:szCs w:val="20"/>
              </w:rPr>
              <w:t>euro</w:t>
            </w:r>
          </w:p>
        </w:tc>
        <w:tc>
          <w:tcPr>
            <w:tcW w:w="994" w:type="dxa"/>
            <w:tcMar>
              <w:left w:w="57" w:type="dxa"/>
              <w:right w:w="284" w:type="dxa"/>
            </w:tcMar>
            <w:vAlign w:val="center"/>
          </w:tcPr>
          <w:p w14:paraId="60F781EC"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859</w:t>
            </w:r>
          </w:p>
        </w:tc>
        <w:tc>
          <w:tcPr>
            <w:tcW w:w="994" w:type="dxa"/>
            <w:tcMar>
              <w:left w:w="57" w:type="dxa"/>
              <w:right w:w="284" w:type="dxa"/>
            </w:tcMar>
            <w:vAlign w:val="center"/>
          </w:tcPr>
          <w:p w14:paraId="12402210"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904</w:t>
            </w:r>
          </w:p>
        </w:tc>
        <w:tc>
          <w:tcPr>
            <w:tcW w:w="995" w:type="dxa"/>
            <w:tcMar>
              <w:left w:w="57" w:type="dxa"/>
              <w:right w:w="284" w:type="dxa"/>
            </w:tcMar>
            <w:vAlign w:val="center"/>
          </w:tcPr>
          <w:p w14:paraId="416785CC"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951</w:t>
            </w:r>
          </w:p>
        </w:tc>
        <w:tc>
          <w:tcPr>
            <w:tcW w:w="994" w:type="dxa"/>
            <w:tcMar>
              <w:left w:w="57" w:type="dxa"/>
              <w:right w:w="284" w:type="dxa"/>
            </w:tcMar>
            <w:vAlign w:val="center"/>
          </w:tcPr>
          <w:p w14:paraId="3B84AF9D"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999</w:t>
            </w:r>
          </w:p>
        </w:tc>
        <w:tc>
          <w:tcPr>
            <w:tcW w:w="995" w:type="dxa"/>
            <w:noWrap/>
            <w:tcMar>
              <w:left w:w="57" w:type="dxa"/>
              <w:right w:w="284" w:type="dxa"/>
            </w:tcMar>
            <w:vAlign w:val="center"/>
          </w:tcPr>
          <w:p w14:paraId="6C51DEF8"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1050</w:t>
            </w:r>
          </w:p>
        </w:tc>
      </w:tr>
      <w:tr w:rsidR="008E57FF" w:rsidRPr="0024257A" w14:paraId="0A107303" w14:textId="77777777" w:rsidTr="0024257A">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089C0055" w14:textId="35D9F992" w:rsidR="008E57FF" w:rsidRPr="0024257A" w:rsidRDefault="008D2CD3" w:rsidP="008E57FF">
            <w:pPr>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faktiskajās cenās, %</w:t>
            </w:r>
          </w:p>
        </w:tc>
        <w:tc>
          <w:tcPr>
            <w:tcW w:w="994" w:type="dxa"/>
            <w:tcMar>
              <w:left w:w="57" w:type="dxa"/>
              <w:right w:w="284" w:type="dxa"/>
            </w:tcMar>
            <w:vAlign w:val="center"/>
          </w:tcPr>
          <w:p w14:paraId="63C57646"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5,0</w:t>
            </w:r>
          </w:p>
        </w:tc>
        <w:tc>
          <w:tcPr>
            <w:tcW w:w="994" w:type="dxa"/>
            <w:tcMar>
              <w:left w:w="57" w:type="dxa"/>
              <w:right w:w="284" w:type="dxa"/>
            </w:tcMar>
            <w:vAlign w:val="center"/>
          </w:tcPr>
          <w:p w14:paraId="29573A84"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5,3</w:t>
            </w:r>
          </w:p>
        </w:tc>
        <w:tc>
          <w:tcPr>
            <w:tcW w:w="995" w:type="dxa"/>
            <w:tcMar>
              <w:left w:w="57" w:type="dxa"/>
              <w:right w:w="284" w:type="dxa"/>
            </w:tcMar>
            <w:vAlign w:val="center"/>
          </w:tcPr>
          <w:p w14:paraId="126CA0B0"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5,1</w:t>
            </w:r>
          </w:p>
        </w:tc>
        <w:tc>
          <w:tcPr>
            <w:tcW w:w="994" w:type="dxa"/>
            <w:tcMar>
              <w:left w:w="57" w:type="dxa"/>
              <w:right w:w="284" w:type="dxa"/>
            </w:tcMar>
            <w:vAlign w:val="center"/>
          </w:tcPr>
          <w:p w14:paraId="6C5D4565"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5,1</w:t>
            </w:r>
          </w:p>
        </w:tc>
        <w:tc>
          <w:tcPr>
            <w:tcW w:w="995" w:type="dxa"/>
            <w:noWrap/>
            <w:tcMar>
              <w:left w:w="57" w:type="dxa"/>
              <w:right w:w="284" w:type="dxa"/>
            </w:tcMar>
            <w:vAlign w:val="center"/>
          </w:tcPr>
          <w:p w14:paraId="513C1C24"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5,1</w:t>
            </w:r>
          </w:p>
        </w:tc>
      </w:tr>
      <w:tr w:rsidR="008E57FF" w:rsidRPr="0024257A" w14:paraId="01646B62" w14:textId="77777777" w:rsidTr="002425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3418FD14" w14:textId="77777777" w:rsidR="008E57FF" w:rsidRPr="0024257A" w:rsidRDefault="008E57FF" w:rsidP="008E57FF">
            <w:pPr>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Nodarbinātība, tūkst. cilvēku </w:t>
            </w:r>
          </w:p>
        </w:tc>
        <w:tc>
          <w:tcPr>
            <w:tcW w:w="994" w:type="dxa"/>
            <w:tcMar>
              <w:left w:w="57" w:type="dxa"/>
              <w:right w:w="284" w:type="dxa"/>
            </w:tcMar>
            <w:vAlign w:val="center"/>
          </w:tcPr>
          <w:p w14:paraId="3DB1AA94"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893</w:t>
            </w:r>
          </w:p>
        </w:tc>
        <w:tc>
          <w:tcPr>
            <w:tcW w:w="994" w:type="dxa"/>
            <w:tcMar>
              <w:left w:w="57" w:type="dxa"/>
              <w:right w:w="284" w:type="dxa"/>
            </w:tcMar>
            <w:vAlign w:val="center"/>
          </w:tcPr>
          <w:p w14:paraId="63E9C016"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895</w:t>
            </w:r>
          </w:p>
        </w:tc>
        <w:tc>
          <w:tcPr>
            <w:tcW w:w="995" w:type="dxa"/>
            <w:tcMar>
              <w:left w:w="57" w:type="dxa"/>
              <w:right w:w="284" w:type="dxa"/>
            </w:tcMar>
            <w:vAlign w:val="center"/>
          </w:tcPr>
          <w:p w14:paraId="197B0168"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897</w:t>
            </w:r>
          </w:p>
        </w:tc>
        <w:tc>
          <w:tcPr>
            <w:tcW w:w="994" w:type="dxa"/>
            <w:tcMar>
              <w:left w:w="57" w:type="dxa"/>
              <w:right w:w="284" w:type="dxa"/>
            </w:tcMar>
            <w:vAlign w:val="center"/>
          </w:tcPr>
          <w:p w14:paraId="1EF1BE76"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897</w:t>
            </w:r>
          </w:p>
        </w:tc>
        <w:tc>
          <w:tcPr>
            <w:tcW w:w="995" w:type="dxa"/>
            <w:noWrap/>
            <w:tcMar>
              <w:left w:w="57" w:type="dxa"/>
              <w:right w:w="284" w:type="dxa"/>
            </w:tcMar>
            <w:vAlign w:val="center"/>
          </w:tcPr>
          <w:p w14:paraId="3B2479E0"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897</w:t>
            </w:r>
          </w:p>
        </w:tc>
      </w:tr>
      <w:tr w:rsidR="008E57FF" w:rsidRPr="0024257A" w14:paraId="3CB94345" w14:textId="77777777" w:rsidTr="0024257A">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04783C63" w14:textId="7D156EEF" w:rsidR="008E57FF" w:rsidRPr="0024257A" w:rsidRDefault="008D2CD3" w:rsidP="008E57FF">
            <w:pPr>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w:t>
            </w:r>
          </w:p>
        </w:tc>
        <w:tc>
          <w:tcPr>
            <w:tcW w:w="994" w:type="dxa"/>
            <w:tcMar>
              <w:left w:w="57" w:type="dxa"/>
              <w:right w:w="284" w:type="dxa"/>
            </w:tcMar>
            <w:vAlign w:val="center"/>
          </w:tcPr>
          <w:p w14:paraId="13B154C5"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-0,3</w:t>
            </w:r>
          </w:p>
        </w:tc>
        <w:tc>
          <w:tcPr>
            <w:tcW w:w="994" w:type="dxa"/>
            <w:tcMar>
              <w:left w:w="57" w:type="dxa"/>
              <w:right w:w="284" w:type="dxa"/>
            </w:tcMar>
            <w:vAlign w:val="center"/>
          </w:tcPr>
          <w:p w14:paraId="150DCE63"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0,2</w:t>
            </w:r>
          </w:p>
        </w:tc>
        <w:tc>
          <w:tcPr>
            <w:tcW w:w="995" w:type="dxa"/>
            <w:tcMar>
              <w:left w:w="57" w:type="dxa"/>
              <w:right w:w="284" w:type="dxa"/>
            </w:tcMar>
            <w:vAlign w:val="center"/>
          </w:tcPr>
          <w:p w14:paraId="4DB364BE"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0,2</w:t>
            </w:r>
          </w:p>
        </w:tc>
        <w:tc>
          <w:tcPr>
            <w:tcW w:w="994" w:type="dxa"/>
            <w:tcMar>
              <w:left w:w="57" w:type="dxa"/>
              <w:right w:w="284" w:type="dxa"/>
            </w:tcMar>
            <w:vAlign w:val="center"/>
          </w:tcPr>
          <w:p w14:paraId="762CA292"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0,0</w:t>
            </w:r>
          </w:p>
        </w:tc>
        <w:tc>
          <w:tcPr>
            <w:tcW w:w="995" w:type="dxa"/>
            <w:noWrap/>
            <w:tcMar>
              <w:left w:w="57" w:type="dxa"/>
              <w:right w:w="284" w:type="dxa"/>
            </w:tcMar>
            <w:vAlign w:val="center"/>
          </w:tcPr>
          <w:p w14:paraId="2965AD62"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0,0</w:t>
            </w:r>
          </w:p>
        </w:tc>
      </w:tr>
      <w:tr w:rsidR="008E57FF" w:rsidRPr="0024257A" w14:paraId="50D3898E" w14:textId="77777777" w:rsidTr="002425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2A569086" w14:textId="77777777" w:rsidR="008E57FF" w:rsidRPr="0024257A" w:rsidRDefault="008E57FF" w:rsidP="008E57FF">
            <w:pPr>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Bezdarba līmenis (gada vidējais), </w:t>
            </w:r>
            <w:r w:rsidRPr="0024257A">
              <w:rPr>
                <w:rFonts w:ascii="Times New Roman" w:hAnsi="Times New Roman" w:cs="Times New Roman"/>
                <w:color w:val="auto"/>
                <w:sz w:val="20"/>
                <w:szCs w:val="20"/>
              </w:rPr>
              <w:br/>
              <w:t>% no ekon. aktīviem iedzīvotājiem</w:t>
            </w:r>
          </w:p>
        </w:tc>
        <w:tc>
          <w:tcPr>
            <w:tcW w:w="994" w:type="dxa"/>
            <w:tcMar>
              <w:left w:w="57" w:type="dxa"/>
              <w:right w:w="284" w:type="dxa"/>
            </w:tcMar>
            <w:vAlign w:val="center"/>
          </w:tcPr>
          <w:p w14:paraId="55F33214"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9,6</w:t>
            </w:r>
          </w:p>
        </w:tc>
        <w:tc>
          <w:tcPr>
            <w:tcW w:w="994" w:type="dxa"/>
            <w:tcMar>
              <w:left w:w="57" w:type="dxa"/>
              <w:right w:w="284" w:type="dxa"/>
            </w:tcMar>
            <w:vAlign w:val="center"/>
          </w:tcPr>
          <w:p w14:paraId="6DD51B74"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9,4</w:t>
            </w:r>
          </w:p>
        </w:tc>
        <w:tc>
          <w:tcPr>
            <w:tcW w:w="995" w:type="dxa"/>
            <w:tcMar>
              <w:left w:w="57" w:type="dxa"/>
              <w:right w:w="284" w:type="dxa"/>
            </w:tcMar>
            <w:vAlign w:val="center"/>
          </w:tcPr>
          <w:p w14:paraId="238B2A74"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w:t>
            </w:r>
          </w:p>
        </w:tc>
        <w:tc>
          <w:tcPr>
            <w:tcW w:w="994" w:type="dxa"/>
            <w:tcMar>
              <w:left w:w="57" w:type="dxa"/>
              <w:right w:w="284" w:type="dxa"/>
            </w:tcMar>
            <w:vAlign w:val="center"/>
          </w:tcPr>
          <w:p w14:paraId="2CE85A9D"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8,4</w:t>
            </w:r>
          </w:p>
        </w:tc>
        <w:tc>
          <w:tcPr>
            <w:tcW w:w="995" w:type="dxa"/>
            <w:noWrap/>
            <w:tcMar>
              <w:left w:w="57" w:type="dxa"/>
              <w:right w:w="284" w:type="dxa"/>
            </w:tcMar>
            <w:vAlign w:val="center"/>
          </w:tcPr>
          <w:p w14:paraId="68E914E5"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8,2</w:t>
            </w:r>
          </w:p>
        </w:tc>
      </w:tr>
      <w:tr w:rsidR="008E57FF" w:rsidRPr="0024257A" w14:paraId="5238DFD7" w14:textId="77777777" w:rsidTr="0024257A">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5E50E9CC" w14:textId="77777777" w:rsidR="008E57FF" w:rsidRPr="0024257A" w:rsidRDefault="008E57FF" w:rsidP="008E57FF">
            <w:pPr>
              <w:rPr>
                <w:rFonts w:ascii="Times New Roman" w:hAnsi="Times New Roman" w:cs="Times New Roman"/>
                <w:color w:val="auto"/>
                <w:sz w:val="20"/>
                <w:szCs w:val="20"/>
              </w:rPr>
            </w:pPr>
            <w:r w:rsidRPr="0024257A">
              <w:rPr>
                <w:rFonts w:ascii="Times New Roman" w:hAnsi="Times New Roman" w:cs="Times New Roman"/>
                <w:color w:val="auto"/>
                <w:sz w:val="20"/>
                <w:szCs w:val="20"/>
              </w:rPr>
              <w:t>Eksporta pieauguma tempi faktiskajās cenās, %</w:t>
            </w:r>
          </w:p>
        </w:tc>
        <w:tc>
          <w:tcPr>
            <w:tcW w:w="994" w:type="dxa"/>
            <w:tcMar>
              <w:left w:w="57" w:type="dxa"/>
              <w:right w:w="284" w:type="dxa"/>
            </w:tcMar>
            <w:vAlign w:val="center"/>
          </w:tcPr>
          <w:p w14:paraId="61260F73"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1,0</w:t>
            </w:r>
          </w:p>
        </w:tc>
        <w:tc>
          <w:tcPr>
            <w:tcW w:w="994" w:type="dxa"/>
            <w:tcMar>
              <w:left w:w="57" w:type="dxa"/>
              <w:right w:w="284" w:type="dxa"/>
            </w:tcMar>
            <w:vAlign w:val="center"/>
          </w:tcPr>
          <w:p w14:paraId="0C2B8E8A"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4,8</w:t>
            </w:r>
          </w:p>
        </w:tc>
        <w:tc>
          <w:tcPr>
            <w:tcW w:w="995" w:type="dxa"/>
            <w:tcMar>
              <w:left w:w="57" w:type="dxa"/>
              <w:right w:w="284" w:type="dxa"/>
            </w:tcMar>
            <w:vAlign w:val="center"/>
          </w:tcPr>
          <w:p w14:paraId="7E07FCDA"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8,7</w:t>
            </w:r>
          </w:p>
        </w:tc>
        <w:tc>
          <w:tcPr>
            <w:tcW w:w="994" w:type="dxa"/>
            <w:tcMar>
              <w:left w:w="57" w:type="dxa"/>
              <w:right w:w="284" w:type="dxa"/>
            </w:tcMar>
            <w:vAlign w:val="center"/>
          </w:tcPr>
          <w:p w14:paraId="137C244B"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w:t>
            </w:r>
          </w:p>
        </w:tc>
        <w:tc>
          <w:tcPr>
            <w:tcW w:w="995" w:type="dxa"/>
            <w:noWrap/>
            <w:tcMar>
              <w:left w:w="57" w:type="dxa"/>
              <w:right w:w="284" w:type="dxa"/>
            </w:tcMar>
            <w:vAlign w:val="center"/>
          </w:tcPr>
          <w:p w14:paraId="1C8916B5" w14:textId="77777777" w:rsidR="008E57FF" w:rsidRPr="0024257A" w:rsidRDefault="008E57FF" w:rsidP="0024257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9,3</w:t>
            </w:r>
          </w:p>
        </w:tc>
      </w:tr>
      <w:tr w:rsidR="0024257A" w:rsidRPr="0024257A" w14:paraId="5E9E241F" w14:textId="77777777" w:rsidTr="002425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6AF01CE2" w14:textId="77777777" w:rsidR="008E57FF" w:rsidRPr="0024257A" w:rsidRDefault="008E57FF" w:rsidP="008E57FF">
            <w:pPr>
              <w:rPr>
                <w:rFonts w:ascii="Times New Roman" w:hAnsi="Times New Roman" w:cs="Times New Roman"/>
                <w:color w:val="auto"/>
                <w:sz w:val="20"/>
                <w:szCs w:val="20"/>
              </w:rPr>
            </w:pPr>
            <w:r w:rsidRPr="0024257A">
              <w:rPr>
                <w:rFonts w:ascii="Times New Roman" w:hAnsi="Times New Roman" w:cs="Times New Roman"/>
                <w:color w:val="auto"/>
                <w:sz w:val="20"/>
                <w:szCs w:val="20"/>
              </w:rPr>
              <w:t>Importa pieauguma tempi faktiskajās cenās, %</w:t>
            </w:r>
          </w:p>
        </w:tc>
        <w:tc>
          <w:tcPr>
            <w:tcW w:w="994" w:type="dxa"/>
            <w:tcMar>
              <w:left w:w="57" w:type="dxa"/>
              <w:right w:w="284" w:type="dxa"/>
            </w:tcMar>
            <w:vAlign w:val="center"/>
          </w:tcPr>
          <w:p w14:paraId="18910BE1"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-1,8</w:t>
            </w:r>
          </w:p>
        </w:tc>
        <w:tc>
          <w:tcPr>
            <w:tcW w:w="994" w:type="dxa"/>
            <w:tcMar>
              <w:left w:w="57" w:type="dxa"/>
              <w:right w:w="284" w:type="dxa"/>
            </w:tcMar>
            <w:vAlign w:val="center"/>
          </w:tcPr>
          <w:p w14:paraId="0F81814C"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3,3</w:t>
            </w:r>
          </w:p>
        </w:tc>
        <w:tc>
          <w:tcPr>
            <w:tcW w:w="995" w:type="dxa"/>
            <w:tcMar>
              <w:left w:w="57" w:type="dxa"/>
              <w:right w:w="284" w:type="dxa"/>
            </w:tcMar>
            <w:vAlign w:val="center"/>
          </w:tcPr>
          <w:p w14:paraId="7649E9D1"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3,5</w:t>
            </w:r>
          </w:p>
        </w:tc>
        <w:tc>
          <w:tcPr>
            <w:tcW w:w="994" w:type="dxa"/>
            <w:tcMar>
              <w:left w:w="57" w:type="dxa"/>
              <w:right w:w="284" w:type="dxa"/>
            </w:tcMar>
            <w:vAlign w:val="center"/>
          </w:tcPr>
          <w:p w14:paraId="0C9BF363"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3,7</w:t>
            </w:r>
          </w:p>
        </w:tc>
        <w:tc>
          <w:tcPr>
            <w:tcW w:w="995" w:type="dxa"/>
            <w:noWrap/>
            <w:tcMar>
              <w:left w:w="57" w:type="dxa"/>
              <w:right w:w="284" w:type="dxa"/>
            </w:tcMar>
            <w:vAlign w:val="center"/>
          </w:tcPr>
          <w:p w14:paraId="55D4C533"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4,1</w:t>
            </w:r>
          </w:p>
        </w:tc>
      </w:tr>
    </w:tbl>
    <w:p w14:paraId="73DC96FF" w14:textId="77777777" w:rsidR="008E57FF" w:rsidRPr="008E57FF" w:rsidRDefault="008E57FF" w:rsidP="00486BB4">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Rezultātā uzlabotos uzņēmēju un investoru noskaņojums, vēl vairāk veicinot investīcijas. Tādējādi salīdzinājumā ar pamata scenāriju būtu sagaidāms straujāks investīciju un eksporta pieauguma temps, kas vienlaikus ar patēriņu stimulējošiem faktoriem, kā darba algu pieaugumu, veicinātu straujāku nekā pamata scenārijā prognozēts privātā patēriņa izaugsmi. </w:t>
      </w:r>
      <w:r w:rsidRPr="008E57FF">
        <w:rPr>
          <w:rFonts w:ascii="Times New Roman" w:eastAsia="Times New Roman" w:hAnsi="Times New Roman" w:cs="Times New Roman"/>
          <w:color w:val="000000"/>
          <w:sz w:val="24"/>
          <w:szCs w:val="24"/>
          <w:lang w:eastAsia="lv-LV"/>
        </w:rPr>
        <w:lastRenderedPageBreak/>
        <w:t>Optimistiskā scenārija gadījumā Latvijas IKP izaugsme salīdzināmās cenās vidējā termiņā būtu vidēji par 0,4 procentpunktiem straujāka nekā pamata scenārijā.</w:t>
      </w:r>
    </w:p>
    <w:p w14:paraId="70999764" w14:textId="6D98E02F"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b/>
          <w:color w:val="000000"/>
          <w:sz w:val="24"/>
          <w:szCs w:val="24"/>
          <w:lang w:eastAsia="lv-LV"/>
        </w:rPr>
        <w:t>Ietekme uz budžetu un parāda apkalpošanu.</w:t>
      </w:r>
      <w:r w:rsidR="00486BB4">
        <w:rPr>
          <w:rFonts w:ascii="Times New Roman" w:eastAsia="Times New Roman" w:hAnsi="Times New Roman" w:cs="Times New Roman"/>
          <w:color w:val="000000"/>
          <w:sz w:val="24"/>
          <w:szCs w:val="24"/>
          <w:lang w:eastAsia="lv-LV"/>
        </w:rPr>
        <w:t xml:space="preserve"> Īstenojoties optimistiskajam </w:t>
      </w:r>
      <w:r w:rsidRPr="008E57FF">
        <w:rPr>
          <w:rFonts w:ascii="Times New Roman" w:eastAsia="Times New Roman" w:hAnsi="Times New Roman" w:cs="Times New Roman"/>
          <w:color w:val="000000"/>
          <w:sz w:val="24"/>
          <w:szCs w:val="24"/>
          <w:lang w:eastAsia="lv-LV"/>
        </w:rPr>
        <w:t xml:space="preserve">scenārijam, kurā palielinās nodokļu un ne-nodokļu ieņēmumi, uzlabotos vispārējās valdības budžeta bilance. Salīdzinājumā ar pamata scenāriju pie nemainīgas politikas optimistiskā scenārija gadījumā vispārējās valdības deficīts 2017.gadā samazinātos par 35,9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0,1 procentpunktu no IKP. Savukārt 2018., 2019. un 2020.gadā vispārējās valdības bilance uzlabotos attiecīgi par 0,2 (50,3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0,3 (92,1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un 0,4 (138,3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procentpunktiem no IKP salīdzinājumā ar pamata scenāriju.</w:t>
      </w:r>
    </w:p>
    <w:p w14:paraId="4F51C0C0" w14:textId="77777777"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Izpildoties optimistiskajam scenārijam, aptuveni puse no vidējā termiņā vispārējās valdības ieņēmumu pieauguma būtu attiecināma uz centrālās valdības budžetu. Attiecīgi centrālās valdības bilance salīdzinājumā ar pamata scenāriju pie nemainīgas politikas uzlabotos par 19,7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2017.gadā, 27,5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2018.gadā, 50,3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2019.gadā un 74,5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2020.gadā. Attiecībā pret IKP pozitīvās izmaiņas centrālās valdībās budžetā būtu vērtējamas 0,1 procentpunkta apmērā 2017. un 2018.gados, kā arī 0,2 procentpunktu apmērā 2019. un 2020.gadā.</w:t>
      </w:r>
    </w:p>
    <w:p w14:paraId="0E5C7579" w14:textId="77777777"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Optimistiskā scenārija gadījumā pieaugtu nodokļu ieņēmumi. Salīdzinājumā ar pamata scenāriju pie nemainīgas politikas nodokļu ieņēmumi 2017.gadā būtu par 34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0,1 procentpunktu no IKP augstāki kā pamata scenārijā. Savukārt 2018., 2019. un 2020.gadā nodokļu ieņēmumi būtu attiecīgi par 0,2 (47,7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0,3 (87,5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un 0,4 (133,8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procentpunktu no IKP augstāki kā pamata scenārijā.</w:t>
      </w:r>
    </w:p>
    <w:p w14:paraId="0C134FC5" w14:textId="77777777"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Īstenojoties ekonomiskās attīstības optimistiskajam scenārijam, nodokļu ieņēmumu palielināšanās ietekmē uzlabotos vispārējās valdības budžeta finansiālā bilance, kā rezultātā samazinātos kopējā finansēšanas nepieciešamība un attiecīgi arī aizņemšanās apjoms attiecīgajā periodā, salīdzinot ar pamata scenāriju. Mazāki aizņēmumi izraisītu ietaupījumu procentu izdevumos. Optimistiskā scenārija gadījumā procentu izdevumi 2018.gadā būtu par 0,4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0,001 procentpunktu no IKP mazāki, 2019.gadā par 1,9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0,006 procentpunktus no IKP un 2020.gadā attiecīgi par 4,7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0,015 procentpunktiem no IKP mazāki nekā pamata scenārijā.</w:t>
      </w:r>
    </w:p>
    <w:p w14:paraId="6DA8BD93" w14:textId="1B7E45B7" w:rsidR="00262B9F" w:rsidRDefault="00262B9F" w:rsidP="00CE6BCD">
      <w:pPr>
        <w:pStyle w:val="Heading2"/>
        <w:numPr>
          <w:ilvl w:val="2"/>
          <w:numId w:val="7"/>
        </w:numPr>
        <w:spacing w:after="120"/>
        <w:ind w:left="1418"/>
        <w:rPr>
          <w:rFonts w:ascii="Times New Roman" w:hAnsi="Times New Roman"/>
          <w:color w:val="auto"/>
          <w:sz w:val="24"/>
        </w:rPr>
      </w:pPr>
      <w:bookmarkStart w:id="27" w:name="_Toc479331101"/>
      <w:r w:rsidRPr="005456BA">
        <w:rPr>
          <w:rFonts w:ascii="Times New Roman" w:hAnsi="Times New Roman"/>
          <w:color w:val="auto"/>
          <w:sz w:val="24"/>
        </w:rPr>
        <w:t>Pesimistiskais scenārijs</w:t>
      </w:r>
      <w:bookmarkEnd w:id="27"/>
    </w:p>
    <w:p w14:paraId="6D247289"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Ņemot vērā iespējamos riskus ekonomikas izaugsmei, FM ir izstrādājusi alternatīvu ekonomikas attīstības scenāriju, kas balstīts uz pesimistiskākiem pieņēmumiem, realizējoties vairākiem negatīvajiem riskiem.</w:t>
      </w:r>
    </w:p>
    <w:p w14:paraId="2A4ADFB1"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b/>
          <w:color w:val="000000"/>
          <w:sz w:val="24"/>
          <w:szCs w:val="24"/>
          <w:lang w:eastAsia="lv-LV"/>
        </w:rPr>
        <w:t>Ietekme uz ekonomiku.</w:t>
      </w:r>
      <w:r w:rsidRPr="008E57FF">
        <w:rPr>
          <w:rFonts w:ascii="Times New Roman" w:eastAsia="Times New Roman" w:hAnsi="Times New Roman" w:cs="Times New Roman"/>
          <w:color w:val="000000"/>
          <w:sz w:val="24"/>
          <w:szCs w:val="24"/>
          <w:lang w:eastAsia="lv-LV"/>
        </w:rPr>
        <w:t xml:space="preserve"> Galvenais risks ekonomiskajai attīstībai ir saistīts ar vājiem ES fondu apgūšanas tempiem. Iepriekšējos gados būtiska aizkavēšanās ar jaunā finansēšanas perioda ES fondu apguvi radīja nenoteiktību saistībā ar projektu sagatavošanu un realizāciju, atliekot nozīmīgus investīciju projektus uz vēlāku laiku. Pesimistiskais scenārijs paredz, ka ES fondu apguve laikā līdz 2020.gadam ir par 20% mazāka nekā paredzēts pamata scenārijā. Projektu realizācija pesimistiskā scenārija īstenošanās gadījumā varētu kavēties vairāku iemeslu dēļ, t.sk., konkursu pārsūdzību dēļ. Arī būvniecības nozares infrastruktūra un darbaspēka resursi var izrādīties nepietiekami, tādējādi kavējot investīcijas un straujāku ekonomisko attīstību.</w:t>
      </w:r>
    </w:p>
    <w:p w14:paraId="15744EC3"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Papildus šiem iekšējiem faktoriem scenārijs paredz arī pasaules un ES ekonomikas izaugsmes tempu sabremzēšanos, laikā līdz 2020.gadam mazinot Latvijas eksporta pieaugumu par 1 procentpunktu. Pesimistiskais scenārijs paredz, ka pēdējos gados vērojamā investīciju aktivitātes bremzēšanās ES varētu turpināties arī turpmākajos gados, kas ir saistīts, t.sk., arī ar politisko nenoteiktību vairākās ES valstīs paredzēto vēlēšanu sakarā. Savukārt ASV, pieaugot inflācijas līmenim, izvēlētos paaugstināt procentu likmes straujāk, nekā tirgus sagaida, un tas pieaugošu parāda maksājumu dēļ negatīvi ietekmētu attīstības valstu ekonomikas izaugsmi.</w:t>
      </w:r>
    </w:p>
    <w:p w14:paraId="29FE50EE"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lastRenderedPageBreak/>
        <w:t>Atbilstoši pesimistiskajam scenārijam, mazinoties ienākumiem no eksporta salīdzinājumā ar pamata scenāriju, arī nodarbināto darba samaksas pieaugums būtu vidēji par 0,4 procentpunktiem mazāks. Līdz ar to arī privātā patēriņa pieaugums visā prognožu periodā būtu par 0,3 procentpunktiem mazāks nekā paredzēts pamata scenārijā.</w:t>
      </w:r>
    </w:p>
    <w:p w14:paraId="1C7375E2" w14:textId="77777777" w:rsidR="008E57FF" w:rsidRPr="008E57FF" w:rsidRDefault="008E57FF" w:rsidP="00E045E3">
      <w:pPr>
        <w:spacing w:before="120" w:after="60" w:line="240" w:lineRule="auto"/>
        <w:jc w:val="right"/>
        <w:rPr>
          <w:rFonts w:ascii="Times New Roman" w:hAnsi="Times New Roman" w:cs="Times New Roman"/>
          <w:b/>
          <w:sz w:val="24"/>
          <w:szCs w:val="24"/>
        </w:rPr>
      </w:pPr>
      <w:r w:rsidRPr="008E57FF">
        <w:rPr>
          <w:rFonts w:ascii="Times New Roman" w:hAnsi="Times New Roman" w:cs="Times New Roman"/>
          <w:b/>
          <w:sz w:val="24"/>
          <w:szCs w:val="24"/>
        </w:rPr>
        <w:t>4.2.tabula. Pesimistiskais makroekonomiskais scenārijs</w:t>
      </w:r>
    </w:p>
    <w:tbl>
      <w:tblPr>
        <w:tblStyle w:val="GridTable6Colorful-Accent12"/>
        <w:tblW w:w="9078" w:type="dxa"/>
        <w:jc w:val="center"/>
        <w:tblLayout w:type="fixed"/>
        <w:tblLook w:val="04A0" w:firstRow="1" w:lastRow="0" w:firstColumn="1" w:lastColumn="0" w:noHBand="0" w:noVBand="1"/>
      </w:tblPr>
      <w:tblGrid>
        <w:gridCol w:w="4106"/>
        <w:gridCol w:w="994"/>
        <w:gridCol w:w="994"/>
        <w:gridCol w:w="995"/>
        <w:gridCol w:w="994"/>
        <w:gridCol w:w="995"/>
      </w:tblGrid>
      <w:tr w:rsidR="008E57FF" w:rsidRPr="0024257A" w14:paraId="4AD2DBF1" w14:textId="77777777" w:rsidTr="0077183B">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4106" w:type="dxa"/>
            <w:noWrap/>
          </w:tcPr>
          <w:p w14:paraId="147E1427" w14:textId="77777777" w:rsidR="008E57FF" w:rsidRPr="0024257A" w:rsidRDefault="008E57FF" w:rsidP="008E57FF">
            <w:pPr>
              <w:jc w:val="both"/>
              <w:rPr>
                <w:rFonts w:ascii="Times New Roman" w:hAnsi="Times New Roman" w:cs="Times New Roman"/>
                <w:color w:val="auto"/>
                <w:sz w:val="20"/>
                <w:szCs w:val="20"/>
              </w:rPr>
            </w:pPr>
          </w:p>
        </w:tc>
        <w:tc>
          <w:tcPr>
            <w:tcW w:w="994" w:type="dxa"/>
            <w:vAlign w:val="center"/>
          </w:tcPr>
          <w:p w14:paraId="43D7E6B9"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2016</w:t>
            </w:r>
          </w:p>
        </w:tc>
        <w:tc>
          <w:tcPr>
            <w:tcW w:w="994" w:type="dxa"/>
            <w:vAlign w:val="center"/>
          </w:tcPr>
          <w:p w14:paraId="4CBB16C8"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2017p</w:t>
            </w:r>
          </w:p>
        </w:tc>
        <w:tc>
          <w:tcPr>
            <w:tcW w:w="995" w:type="dxa"/>
            <w:vAlign w:val="center"/>
          </w:tcPr>
          <w:p w14:paraId="4065CCC0"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2018p</w:t>
            </w:r>
          </w:p>
        </w:tc>
        <w:tc>
          <w:tcPr>
            <w:tcW w:w="994" w:type="dxa"/>
            <w:vAlign w:val="center"/>
          </w:tcPr>
          <w:p w14:paraId="1C6CB047"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2019p</w:t>
            </w:r>
          </w:p>
        </w:tc>
        <w:tc>
          <w:tcPr>
            <w:tcW w:w="995" w:type="dxa"/>
            <w:noWrap/>
            <w:vAlign w:val="center"/>
          </w:tcPr>
          <w:p w14:paraId="10B3550F" w14:textId="77777777" w:rsidR="008E57FF" w:rsidRPr="0024257A" w:rsidRDefault="008E57FF" w:rsidP="008E5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2020p</w:t>
            </w:r>
          </w:p>
        </w:tc>
      </w:tr>
      <w:tr w:rsidR="008E57FF" w:rsidRPr="0024257A" w14:paraId="57B1D990" w14:textId="77777777" w:rsidTr="002425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164C8EEF" w14:textId="77777777" w:rsidR="008E57FF" w:rsidRPr="0024257A" w:rsidRDefault="008E57FF" w:rsidP="008E57FF">
            <w:pPr>
              <w:jc w:val="both"/>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IKP, faktiskajās cenās, milj. </w:t>
            </w:r>
            <w:r w:rsidRPr="0024257A">
              <w:rPr>
                <w:rFonts w:ascii="Times New Roman" w:hAnsi="Times New Roman" w:cs="Times New Roman"/>
                <w:i/>
                <w:color w:val="auto"/>
                <w:sz w:val="20"/>
                <w:szCs w:val="20"/>
              </w:rPr>
              <w:t>euro</w:t>
            </w:r>
          </w:p>
        </w:tc>
        <w:tc>
          <w:tcPr>
            <w:tcW w:w="994" w:type="dxa"/>
            <w:tcMar>
              <w:left w:w="57" w:type="dxa"/>
              <w:right w:w="170" w:type="dxa"/>
            </w:tcMar>
            <w:vAlign w:val="center"/>
          </w:tcPr>
          <w:p w14:paraId="12142D43"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25021</w:t>
            </w:r>
          </w:p>
        </w:tc>
        <w:tc>
          <w:tcPr>
            <w:tcW w:w="994" w:type="dxa"/>
            <w:tcMar>
              <w:left w:w="57" w:type="dxa"/>
              <w:right w:w="170" w:type="dxa"/>
            </w:tcMar>
            <w:vAlign w:val="center"/>
          </w:tcPr>
          <w:p w14:paraId="2B190CED"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26112</w:t>
            </w:r>
          </w:p>
        </w:tc>
        <w:tc>
          <w:tcPr>
            <w:tcW w:w="995" w:type="dxa"/>
            <w:tcMar>
              <w:left w:w="57" w:type="dxa"/>
              <w:right w:w="170" w:type="dxa"/>
            </w:tcMar>
            <w:vAlign w:val="center"/>
          </w:tcPr>
          <w:p w14:paraId="7B11B2AA"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27267</w:t>
            </w:r>
          </w:p>
        </w:tc>
        <w:tc>
          <w:tcPr>
            <w:tcW w:w="994" w:type="dxa"/>
            <w:tcMar>
              <w:left w:w="57" w:type="dxa"/>
              <w:right w:w="170" w:type="dxa"/>
            </w:tcMar>
            <w:vAlign w:val="center"/>
          </w:tcPr>
          <w:p w14:paraId="71002A67"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28774</w:t>
            </w:r>
          </w:p>
        </w:tc>
        <w:tc>
          <w:tcPr>
            <w:tcW w:w="995" w:type="dxa"/>
            <w:noWrap/>
            <w:tcMar>
              <w:left w:w="57" w:type="dxa"/>
              <w:right w:w="170" w:type="dxa"/>
            </w:tcMar>
            <w:vAlign w:val="center"/>
          </w:tcPr>
          <w:p w14:paraId="2E679AFE" w14:textId="77777777" w:rsidR="008E57FF" w:rsidRPr="0024257A" w:rsidRDefault="008E57FF" w:rsidP="0024257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30281</w:t>
            </w:r>
          </w:p>
        </w:tc>
      </w:tr>
      <w:tr w:rsidR="008E57FF" w:rsidRPr="0024257A" w14:paraId="29DF3767" w14:textId="77777777" w:rsidTr="00E045E3">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5CF45A9A" w14:textId="47B90F0D" w:rsidR="008E57FF" w:rsidRPr="0024257A" w:rsidRDefault="00486BB4" w:rsidP="008E57FF">
            <w:pPr>
              <w:jc w:val="both"/>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faktiskajās cenās , %</w:t>
            </w:r>
          </w:p>
        </w:tc>
        <w:tc>
          <w:tcPr>
            <w:tcW w:w="994" w:type="dxa"/>
            <w:tcMar>
              <w:left w:w="57" w:type="dxa"/>
              <w:right w:w="284" w:type="dxa"/>
            </w:tcMar>
            <w:vAlign w:val="center"/>
          </w:tcPr>
          <w:p w14:paraId="2544B85D"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2,7</w:t>
            </w:r>
          </w:p>
        </w:tc>
        <w:tc>
          <w:tcPr>
            <w:tcW w:w="994" w:type="dxa"/>
            <w:tcMar>
              <w:left w:w="57" w:type="dxa"/>
              <w:right w:w="284" w:type="dxa"/>
            </w:tcMar>
            <w:vAlign w:val="center"/>
          </w:tcPr>
          <w:p w14:paraId="58618945"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4,4</w:t>
            </w:r>
          </w:p>
        </w:tc>
        <w:tc>
          <w:tcPr>
            <w:tcW w:w="995" w:type="dxa"/>
            <w:tcMar>
              <w:left w:w="57" w:type="dxa"/>
              <w:right w:w="284" w:type="dxa"/>
            </w:tcMar>
            <w:vAlign w:val="center"/>
          </w:tcPr>
          <w:p w14:paraId="30DC12D4"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4,4</w:t>
            </w:r>
          </w:p>
        </w:tc>
        <w:tc>
          <w:tcPr>
            <w:tcW w:w="994" w:type="dxa"/>
            <w:tcMar>
              <w:left w:w="57" w:type="dxa"/>
              <w:right w:w="284" w:type="dxa"/>
            </w:tcMar>
            <w:vAlign w:val="center"/>
          </w:tcPr>
          <w:p w14:paraId="05CB250A"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5,5</w:t>
            </w:r>
          </w:p>
        </w:tc>
        <w:tc>
          <w:tcPr>
            <w:tcW w:w="995" w:type="dxa"/>
            <w:noWrap/>
            <w:tcMar>
              <w:left w:w="57" w:type="dxa"/>
              <w:right w:w="284" w:type="dxa"/>
            </w:tcMar>
            <w:vAlign w:val="center"/>
          </w:tcPr>
          <w:p w14:paraId="5D5891D3"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5,2</w:t>
            </w:r>
          </w:p>
        </w:tc>
      </w:tr>
      <w:tr w:rsidR="008E57FF" w:rsidRPr="0024257A" w14:paraId="2672935E" w14:textId="77777777" w:rsidTr="00E045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735D2589" w14:textId="4BBD9A53" w:rsidR="008E57FF" w:rsidRPr="0024257A" w:rsidRDefault="00486BB4" w:rsidP="008E57FF">
            <w:pPr>
              <w:jc w:val="both"/>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salīdzināmās cenās, %</w:t>
            </w:r>
          </w:p>
        </w:tc>
        <w:tc>
          <w:tcPr>
            <w:tcW w:w="994" w:type="dxa"/>
            <w:tcMar>
              <w:left w:w="57" w:type="dxa"/>
              <w:right w:w="284" w:type="dxa"/>
            </w:tcMar>
            <w:vAlign w:val="center"/>
          </w:tcPr>
          <w:p w14:paraId="5775DEAC"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c>
          <w:tcPr>
            <w:tcW w:w="994" w:type="dxa"/>
            <w:tcMar>
              <w:left w:w="57" w:type="dxa"/>
              <w:right w:w="284" w:type="dxa"/>
            </w:tcMar>
            <w:vAlign w:val="center"/>
          </w:tcPr>
          <w:p w14:paraId="5FEC4785"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2,5</w:t>
            </w:r>
          </w:p>
        </w:tc>
        <w:tc>
          <w:tcPr>
            <w:tcW w:w="995" w:type="dxa"/>
            <w:tcMar>
              <w:left w:w="57" w:type="dxa"/>
              <w:right w:w="284" w:type="dxa"/>
            </w:tcMar>
            <w:vAlign w:val="center"/>
          </w:tcPr>
          <w:p w14:paraId="0680ADC2"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2,9</w:t>
            </w:r>
          </w:p>
        </w:tc>
        <w:tc>
          <w:tcPr>
            <w:tcW w:w="994" w:type="dxa"/>
            <w:tcMar>
              <w:left w:w="57" w:type="dxa"/>
              <w:right w:w="284" w:type="dxa"/>
            </w:tcMar>
            <w:vAlign w:val="center"/>
          </w:tcPr>
          <w:p w14:paraId="1196A94C"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2,8</w:t>
            </w:r>
          </w:p>
        </w:tc>
        <w:tc>
          <w:tcPr>
            <w:tcW w:w="995" w:type="dxa"/>
            <w:noWrap/>
            <w:tcMar>
              <w:left w:w="57" w:type="dxa"/>
              <w:right w:w="284" w:type="dxa"/>
            </w:tcMar>
            <w:vAlign w:val="center"/>
          </w:tcPr>
          <w:p w14:paraId="5BE97677"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2,5</w:t>
            </w:r>
          </w:p>
        </w:tc>
      </w:tr>
      <w:tr w:rsidR="008E57FF" w:rsidRPr="0024257A" w14:paraId="67030B6C" w14:textId="77777777" w:rsidTr="00E045E3">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148C325A" w14:textId="77777777" w:rsidR="008E57FF" w:rsidRPr="0024257A" w:rsidRDefault="008E57FF" w:rsidP="008E57FF">
            <w:pPr>
              <w:jc w:val="both"/>
              <w:rPr>
                <w:rFonts w:ascii="Times New Roman" w:hAnsi="Times New Roman" w:cs="Times New Roman"/>
                <w:color w:val="auto"/>
                <w:sz w:val="20"/>
                <w:szCs w:val="20"/>
              </w:rPr>
            </w:pPr>
            <w:r w:rsidRPr="0024257A">
              <w:rPr>
                <w:rFonts w:ascii="Times New Roman" w:hAnsi="Times New Roman" w:cs="Times New Roman"/>
                <w:color w:val="auto"/>
                <w:sz w:val="20"/>
                <w:szCs w:val="20"/>
              </w:rPr>
              <w:t>PCI, (gada vidējā), %</w:t>
            </w:r>
          </w:p>
        </w:tc>
        <w:tc>
          <w:tcPr>
            <w:tcW w:w="994" w:type="dxa"/>
            <w:tcMar>
              <w:left w:w="57" w:type="dxa"/>
              <w:right w:w="284" w:type="dxa"/>
            </w:tcMar>
            <w:vAlign w:val="center"/>
          </w:tcPr>
          <w:p w14:paraId="617458D2"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0,1</w:t>
            </w:r>
          </w:p>
        </w:tc>
        <w:tc>
          <w:tcPr>
            <w:tcW w:w="994" w:type="dxa"/>
            <w:tcMar>
              <w:left w:w="57" w:type="dxa"/>
              <w:right w:w="284" w:type="dxa"/>
            </w:tcMar>
            <w:vAlign w:val="center"/>
          </w:tcPr>
          <w:p w14:paraId="47805DFC"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2,3</w:t>
            </w:r>
          </w:p>
        </w:tc>
        <w:tc>
          <w:tcPr>
            <w:tcW w:w="995" w:type="dxa"/>
            <w:tcMar>
              <w:left w:w="57" w:type="dxa"/>
              <w:right w:w="284" w:type="dxa"/>
            </w:tcMar>
            <w:vAlign w:val="center"/>
          </w:tcPr>
          <w:p w14:paraId="22A26364"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c>
          <w:tcPr>
            <w:tcW w:w="994" w:type="dxa"/>
            <w:tcMar>
              <w:left w:w="57" w:type="dxa"/>
              <w:right w:w="284" w:type="dxa"/>
            </w:tcMar>
            <w:vAlign w:val="center"/>
          </w:tcPr>
          <w:p w14:paraId="4ACBBACF"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c>
          <w:tcPr>
            <w:tcW w:w="995" w:type="dxa"/>
            <w:noWrap/>
            <w:tcMar>
              <w:left w:w="57" w:type="dxa"/>
              <w:right w:w="284" w:type="dxa"/>
            </w:tcMar>
            <w:vAlign w:val="center"/>
          </w:tcPr>
          <w:p w14:paraId="04CA7BFB"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2,0</w:t>
            </w:r>
          </w:p>
        </w:tc>
      </w:tr>
      <w:tr w:rsidR="008E57FF" w:rsidRPr="0024257A" w14:paraId="357308EF" w14:textId="77777777" w:rsidTr="00E045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7ADA13C2" w14:textId="77777777" w:rsidR="008E57FF" w:rsidRPr="0024257A" w:rsidRDefault="008E57FF" w:rsidP="008E57FF">
            <w:pPr>
              <w:jc w:val="both"/>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Vidējā darba samaksa tautsaimniecība, </w:t>
            </w:r>
            <w:r w:rsidRPr="0024257A">
              <w:rPr>
                <w:rFonts w:ascii="Times New Roman" w:hAnsi="Times New Roman" w:cs="Times New Roman"/>
                <w:i/>
                <w:color w:val="auto"/>
                <w:sz w:val="20"/>
                <w:szCs w:val="20"/>
              </w:rPr>
              <w:t>euro</w:t>
            </w:r>
          </w:p>
        </w:tc>
        <w:tc>
          <w:tcPr>
            <w:tcW w:w="994" w:type="dxa"/>
            <w:tcMar>
              <w:left w:w="57" w:type="dxa"/>
              <w:right w:w="284" w:type="dxa"/>
            </w:tcMar>
            <w:vAlign w:val="center"/>
          </w:tcPr>
          <w:p w14:paraId="1B34FE67"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859</w:t>
            </w:r>
          </w:p>
        </w:tc>
        <w:tc>
          <w:tcPr>
            <w:tcW w:w="994" w:type="dxa"/>
            <w:tcMar>
              <w:left w:w="57" w:type="dxa"/>
              <w:right w:w="284" w:type="dxa"/>
            </w:tcMar>
            <w:vAlign w:val="center"/>
          </w:tcPr>
          <w:p w14:paraId="5B1071E2"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904</w:t>
            </w:r>
          </w:p>
        </w:tc>
        <w:tc>
          <w:tcPr>
            <w:tcW w:w="995" w:type="dxa"/>
            <w:tcMar>
              <w:left w:w="57" w:type="dxa"/>
              <w:right w:w="284" w:type="dxa"/>
            </w:tcMar>
            <w:vAlign w:val="center"/>
          </w:tcPr>
          <w:p w14:paraId="20EDDB59"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948</w:t>
            </w:r>
          </w:p>
        </w:tc>
        <w:tc>
          <w:tcPr>
            <w:tcW w:w="994" w:type="dxa"/>
            <w:tcMar>
              <w:left w:w="57" w:type="dxa"/>
              <w:right w:w="284" w:type="dxa"/>
            </w:tcMar>
            <w:vAlign w:val="center"/>
          </w:tcPr>
          <w:p w14:paraId="60049C8D"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990</w:t>
            </w:r>
          </w:p>
        </w:tc>
        <w:tc>
          <w:tcPr>
            <w:tcW w:w="995" w:type="dxa"/>
            <w:noWrap/>
            <w:tcMar>
              <w:left w:w="57" w:type="dxa"/>
              <w:right w:w="284" w:type="dxa"/>
            </w:tcMar>
            <w:vAlign w:val="center"/>
          </w:tcPr>
          <w:p w14:paraId="2BF6C868"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1035</w:t>
            </w:r>
          </w:p>
        </w:tc>
      </w:tr>
      <w:tr w:rsidR="008E57FF" w:rsidRPr="0024257A" w14:paraId="0F2AC986" w14:textId="77777777" w:rsidTr="00E045E3">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192A99C9" w14:textId="48B9F959" w:rsidR="008E57FF" w:rsidRPr="0024257A" w:rsidRDefault="00486BB4" w:rsidP="008E57FF">
            <w:pPr>
              <w:jc w:val="both"/>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faktiskajās cenās, %</w:t>
            </w:r>
          </w:p>
        </w:tc>
        <w:tc>
          <w:tcPr>
            <w:tcW w:w="994" w:type="dxa"/>
            <w:tcMar>
              <w:left w:w="57" w:type="dxa"/>
              <w:right w:w="284" w:type="dxa"/>
            </w:tcMar>
            <w:vAlign w:val="center"/>
          </w:tcPr>
          <w:p w14:paraId="125A6926"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5,0</w:t>
            </w:r>
          </w:p>
        </w:tc>
        <w:tc>
          <w:tcPr>
            <w:tcW w:w="994" w:type="dxa"/>
            <w:tcMar>
              <w:left w:w="57" w:type="dxa"/>
              <w:right w:w="284" w:type="dxa"/>
            </w:tcMar>
            <w:vAlign w:val="center"/>
          </w:tcPr>
          <w:p w14:paraId="318081F7"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5,3</w:t>
            </w:r>
          </w:p>
        </w:tc>
        <w:tc>
          <w:tcPr>
            <w:tcW w:w="995" w:type="dxa"/>
            <w:tcMar>
              <w:left w:w="57" w:type="dxa"/>
              <w:right w:w="284" w:type="dxa"/>
            </w:tcMar>
            <w:vAlign w:val="center"/>
          </w:tcPr>
          <w:p w14:paraId="2A06AC2F"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4,8</w:t>
            </w:r>
          </w:p>
        </w:tc>
        <w:tc>
          <w:tcPr>
            <w:tcW w:w="994" w:type="dxa"/>
            <w:tcMar>
              <w:left w:w="57" w:type="dxa"/>
              <w:right w:w="284" w:type="dxa"/>
            </w:tcMar>
            <w:vAlign w:val="center"/>
          </w:tcPr>
          <w:p w14:paraId="5D085D8A"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4,5</w:t>
            </w:r>
          </w:p>
        </w:tc>
        <w:tc>
          <w:tcPr>
            <w:tcW w:w="995" w:type="dxa"/>
            <w:noWrap/>
            <w:tcMar>
              <w:left w:w="57" w:type="dxa"/>
              <w:right w:w="284" w:type="dxa"/>
            </w:tcMar>
            <w:vAlign w:val="center"/>
          </w:tcPr>
          <w:p w14:paraId="24F96880"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4,5</w:t>
            </w:r>
          </w:p>
        </w:tc>
      </w:tr>
      <w:tr w:rsidR="0024257A" w:rsidRPr="0024257A" w14:paraId="47ED5447" w14:textId="77777777" w:rsidTr="00E045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7781D70B" w14:textId="77777777" w:rsidR="008E57FF" w:rsidRPr="0024257A" w:rsidRDefault="008E57FF" w:rsidP="008E57FF">
            <w:pPr>
              <w:jc w:val="both"/>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Nodarbinātība, tūkst. cilvēku </w:t>
            </w:r>
          </w:p>
        </w:tc>
        <w:tc>
          <w:tcPr>
            <w:tcW w:w="994" w:type="dxa"/>
            <w:tcMar>
              <w:left w:w="57" w:type="dxa"/>
              <w:right w:w="284" w:type="dxa"/>
            </w:tcMar>
            <w:vAlign w:val="center"/>
          </w:tcPr>
          <w:p w14:paraId="4B23B822"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893</w:t>
            </w:r>
          </w:p>
        </w:tc>
        <w:tc>
          <w:tcPr>
            <w:tcW w:w="994" w:type="dxa"/>
            <w:tcMar>
              <w:left w:w="57" w:type="dxa"/>
              <w:right w:w="284" w:type="dxa"/>
            </w:tcMar>
            <w:vAlign w:val="center"/>
          </w:tcPr>
          <w:p w14:paraId="345BC300"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895</w:t>
            </w:r>
          </w:p>
        </w:tc>
        <w:tc>
          <w:tcPr>
            <w:tcW w:w="995" w:type="dxa"/>
            <w:tcMar>
              <w:left w:w="57" w:type="dxa"/>
              <w:right w:w="284" w:type="dxa"/>
            </w:tcMar>
            <w:vAlign w:val="center"/>
          </w:tcPr>
          <w:p w14:paraId="3F5497E3"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897</w:t>
            </w:r>
          </w:p>
        </w:tc>
        <w:tc>
          <w:tcPr>
            <w:tcW w:w="994" w:type="dxa"/>
            <w:tcMar>
              <w:left w:w="57" w:type="dxa"/>
              <w:right w:w="284" w:type="dxa"/>
            </w:tcMar>
            <w:vAlign w:val="center"/>
          </w:tcPr>
          <w:p w14:paraId="2B53C4D8"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897</w:t>
            </w:r>
          </w:p>
        </w:tc>
        <w:tc>
          <w:tcPr>
            <w:tcW w:w="995" w:type="dxa"/>
            <w:noWrap/>
            <w:tcMar>
              <w:left w:w="57" w:type="dxa"/>
              <w:right w:w="284" w:type="dxa"/>
            </w:tcMar>
            <w:vAlign w:val="center"/>
          </w:tcPr>
          <w:p w14:paraId="47B36317"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897</w:t>
            </w:r>
          </w:p>
        </w:tc>
      </w:tr>
      <w:tr w:rsidR="0024257A" w:rsidRPr="0024257A" w14:paraId="73B9F87E" w14:textId="77777777" w:rsidTr="00E045E3">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76C70959" w14:textId="28B5035C" w:rsidR="008E57FF" w:rsidRPr="0024257A" w:rsidRDefault="00486BB4" w:rsidP="008E57FF">
            <w:pPr>
              <w:jc w:val="both"/>
              <w:rPr>
                <w:rFonts w:ascii="Times New Roman" w:hAnsi="Times New Roman" w:cs="Times New Roman"/>
                <w:color w:val="auto"/>
                <w:sz w:val="20"/>
                <w:szCs w:val="20"/>
              </w:rPr>
            </w:pPr>
            <w:r>
              <w:rPr>
                <w:rFonts w:ascii="Times New Roman" w:hAnsi="Times New Roman" w:cs="Times New Roman"/>
                <w:color w:val="auto"/>
                <w:sz w:val="20"/>
                <w:szCs w:val="20"/>
              </w:rPr>
              <w:t>P</w:t>
            </w:r>
            <w:r w:rsidR="008E57FF" w:rsidRPr="0024257A">
              <w:rPr>
                <w:rFonts w:ascii="Times New Roman" w:hAnsi="Times New Roman" w:cs="Times New Roman"/>
                <w:color w:val="auto"/>
                <w:sz w:val="20"/>
                <w:szCs w:val="20"/>
              </w:rPr>
              <w:t>ieaugums, %</w:t>
            </w:r>
          </w:p>
        </w:tc>
        <w:tc>
          <w:tcPr>
            <w:tcW w:w="994" w:type="dxa"/>
            <w:tcMar>
              <w:left w:w="57" w:type="dxa"/>
              <w:right w:w="284" w:type="dxa"/>
            </w:tcMar>
            <w:vAlign w:val="center"/>
          </w:tcPr>
          <w:p w14:paraId="4CBE8834"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-0,3</w:t>
            </w:r>
          </w:p>
        </w:tc>
        <w:tc>
          <w:tcPr>
            <w:tcW w:w="994" w:type="dxa"/>
            <w:tcMar>
              <w:left w:w="57" w:type="dxa"/>
              <w:right w:w="284" w:type="dxa"/>
            </w:tcMar>
            <w:vAlign w:val="center"/>
          </w:tcPr>
          <w:p w14:paraId="447C09E2"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0,2</w:t>
            </w:r>
          </w:p>
        </w:tc>
        <w:tc>
          <w:tcPr>
            <w:tcW w:w="995" w:type="dxa"/>
            <w:tcMar>
              <w:left w:w="57" w:type="dxa"/>
              <w:right w:w="284" w:type="dxa"/>
            </w:tcMar>
            <w:vAlign w:val="center"/>
          </w:tcPr>
          <w:p w14:paraId="6593F885"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0,2</w:t>
            </w:r>
          </w:p>
        </w:tc>
        <w:tc>
          <w:tcPr>
            <w:tcW w:w="994" w:type="dxa"/>
            <w:tcMar>
              <w:left w:w="57" w:type="dxa"/>
              <w:right w:w="284" w:type="dxa"/>
            </w:tcMar>
            <w:vAlign w:val="center"/>
          </w:tcPr>
          <w:p w14:paraId="78B1E2DA"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0,0</w:t>
            </w:r>
          </w:p>
        </w:tc>
        <w:tc>
          <w:tcPr>
            <w:tcW w:w="995" w:type="dxa"/>
            <w:noWrap/>
            <w:tcMar>
              <w:left w:w="57" w:type="dxa"/>
              <w:right w:w="284" w:type="dxa"/>
            </w:tcMar>
            <w:vAlign w:val="center"/>
          </w:tcPr>
          <w:p w14:paraId="5B58AB8C"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0,0</w:t>
            </w:r>
          </w:p>
        </w:tc>
      </w:tr>
      <w:tr w:rsidR="0024257A" w:rsidRPr="0024257A" w14:paraId="01E392E0" w14:textId="77777777" w:rsidTr="00E045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407EE36C" w14:textId="77777777" w:rsidR="008E57FF" w:rsidRPr="0024257A" w:rsidRDefault="008E57FF" w:rsidP="008E57FF">
            <w:pPr>
              <w:jc w:val="both"/>
              <w:rPr>
                <w:rFonts w:ascii="Times New Roman" w:hAnsi="Times New Roman" w:cs="Times New Roman"/>
                <w:color w:val="auto"/>
                <w:sz w:val="20"/>
                <w:szCs w:val="20"/>
              </w:rPr>
            </w:pPr>
            <w:r w:rsidRPr="0024257A">
              <w:rPr>
                <w:rFonts w:ascii="Times New Roman" w:hAnsi="Times New Roman" w:cs="Times New Roman"/>
                <w:color w:val="auto"/>
                <w:sz w:val="20"/>
                <w:szCs w:val="20"/>
              </w:rPr>
              <w:t xml:space="preserve">Bezdarba līmenis (gada vidējais), </w:t>
            </w:r>
            <w:r w:rsidRPr="0024257A">
              <w:rPr>
                <w:rFonts w:ascii="Times New Roman" w:hAnsi="Times New Roman" w:cs="Times New Roman"/>
                <w:color w:val="auto"/>
                <w:sz w:val="20"/>
                <w:szCs w:val="20"/>
              </w:rPr>
              <w:br/>
              <w:t>% no ekon. aktīviem iedzīvotājiem</w:t>
            </w:r>
          </w:p>
        </w:tc>
        <w:tc>
          <w:tcPr>
            <w:tcW w:w="994" w:type="dxa"/>
            <w:tcMar>
              <w:left w:w="57" w:type="dxa"/>
              <w:right w:w="284" w:type="dxa"/>
            </w:tcMar>
            <w:vAlign w:val="center"/>
          </w:tcPr>
          <w:p w14:paraId="5EE78491"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9,6</w:t>
            </w:r>
          </w:p>
        </w:tc>
        <w:tc>
          <w:tcPr>
            <w:tcW w:w="994" w:type="dxa"/>
            <w:tcMar>
              <w:left w:w="57" w:type="dxa"/>
              <w:right w:w="284" w:type="dxa"/>
            </w:tcMar>
            <w:vAlign w:val="center"/>
          </w:tcPr>
          <w:p w14:paraId="72D5A2D0"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9,4</w:t>
            </w:r>
          </w:p>
        </w:tc>
        <w:tc>
          <w:tcPr>
            <w:tcW w:w="995" w:type="dxa"/>
            <w:tcMar>
              <w:left w:w="57" w:type="dxa"/>
              <w:right w:w="284" w:type="dxa"/>
            </w:tcMar>
            <w:vAlign w:val="center"/>
          </w:tcPr>
          <w:p w14:paraId="08D3F43C"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8,9</w:t>
            </w:r>
          </w:p>
        </w:tc>
        <w:tc>
          <w:tcPr>
            <w:tcW w:w="994" w:type="dxa"/>
            <w:tcMar>
              <w:left w:w="57" w:type="dxa"/>
              <w:right w:w="284" w:type="dxa"/>
            </w:tcMar>
            <w:vAlign w:val="center"/>
          </w:tcPr>
          <w:p w14:paraId="464D6036"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8,4</w:t>
            </w:r>
          </w:p>
        </w:tc>
        <w:tc>
          <w:tcPr>
            <w:tcW w:w="995" w:type="dxa"/>
            <w:noWrap/>
            <w:tcMar>
              <w:left w:w="57" w:type="dxa"/>
              <w:right w:w="284" w:type="dxa"/>
            </w:tcMar>
            <w:vAlign w:val="center"/>
          </w:tcPr>
          <w:p w14:paraId="2170DD39"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8,2</w:t>
            </w:r>
          </w:p>
        </w:tc>
      </w:tr>
      <w:tr w:rsidR="0024257A" w:rsidRPr="0024257A" w14:paraId="07416B8D" w14:textId="77777777" w:rsidTr="00E045E3">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12865393" w14:textId="77777777" w:rsidR="008E57FF" w:rsidRPr="0024257A" w:rsidRDefault="008E57FF" w:rsidP="008E57FF">
            <w:pPr>
              <w:jc w:val="both"/>
              <w:rPr>
                <w:rFonts w:ascii="Times New Roman" w:hAnsi="Times New Roman" w:cs="Times New Roman"/>
                <w:color w:val="auto"/>
                <w:sz w:val="20"/>
                <w:szCs w:val="20"/>
              </w:rPr>
            </w:pPr>
            <w:r w:rsidRPr="0024257A">
              <w:rPr>
                <w:rFonts w:ascii="Times New Roman" w:hAnsi="Times New Roman" w:cs="Times New Roman"/>
                <w:color w:val="auto"/>
                <w:sz w:val="20"/>
                <w:szCs w:val="20"/>
              </w:rPr>
              <w:t>Eksporta pieauguma tempi faktiskajās cenās, %</w:t>
            </w:r>
          </w:p>
        </w:tc>
        <w:tc>
          <w:tcPr>
            <w:tcW w:w="994" w:type="dxa"/>
            <w:tcMar>
              <w:left w:w="57" w:type="dxa"/>
              <w:right w:w="284" w:type="dxa"/>
            </w:tcMar>
            <w:vAlign w:val="center"/>
          </w:tcPr>
          <w:p w14:paraId="4640EAB9"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1,0</w:t>
            </w:r>
          </w:p>
        </w:tc>
        <w:tc>
          <w:tcPr>
            <w:tcW w:w="994" w:type="dxa"/>
            <w:tcMar>
              <w:left w:w="57" w:type="dxa"/>
              <w:right w:w="284" w:type="dxa"/>
            </w:tcMar>
            <w:vAlign w:val="center"/>
          </w:tcPr>
          <w:p w14:paraId="43798E27"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2,6</w:t>
            </w:r>
          </w:p>
        </w:tc>
        <w:tc>
          <w:tcPr>
            <w:tcW w:w="995" w:type="dxa"/>
            <w:tcMar>
              <w:left w:w="57" w:type="dxa"/>
              <w:right w:w="284" w:type="dxa"/>
            </w:tcMar>
            <w:vAlign w:val="center"/>
          </w:tcPr>
          <w:p w14:paraId="294F4AEE"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6,6</w:t>
            </w:r>
          </w:p>
        </w:tc>
        <w:tc>
          <w:tcPr>
            <w:tcW w:w="994" w:type="dxa"/>
            <w:tcMar>
              <w:left w:w="57" w:type="dxa"/>
              <w:right w:w="284" w:type="dxa"/>
            </w:tcMar>
            <w:vAlign w:val="center"/>
          </w:tcPr>
          <w:p w14:paraId="61FA615A"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6,7</w:t>
            </w:r>
          </w:p>
        </w:tc>
        <w:tc>
          <w:tcPr>
            <w:tcW w:w="995" w:type="dxa"/>
            <w:noWrap/>
            <w:tcMar>
              <w:left w:w="57" w:type="dxa"/>
              <w:right w:w="284" w:type="dxa"/>
            </w:tcMar>
            <w:vAlign w:val="center"/>
          </w:tcPr>
          <w:p w14:paraId="5D75B22E" w14:textId="77777777" w:rsidR="008E57FF" w:rsidRPr="0024257A" w:rsidRDefault="008E57FF" w:rsidP="00E045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7,2</w:t>
            </w:r>
          </w:p>
        </w:tc>
      </w:tr>
      <w:tr w:rsidR="0024257A" w:rsidRPr="0024257A" w14:paraId="3E280023" w14:textId="77777777" w:rsidTr="00E045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73C7B5B8" w14:textId="77777777" w:rsidR="008E57FF" w:rsidRPr="0024257A" w:rsidRDefault="008E57FF" w:rsidP="008E57FF">
            <w:pPr>
              <w:jc w:val="both"/>
              <w:rPr>
                <w:rFonts w:ascii="Times New Roman" w:hAnsi="Times New Roman" w:cs="Times New Roman"/>
                <w:color w:val="auto"/>
                <w:sz w:val="20"/>
                <w:szCs w:val="20"/>
              </w:rPr>
            </w:pPr>
            <w:r w:rsidRPr="0024257A">
              <w:rPr>
                <w:rFonts w:ascii="Times New Roman" w:hAnsi="Times New Roman" w:cs="Times New Roman"/>
                <w:color w:val="auto"/>
                <w:sz w:val="20"/>
                <w:szCs w:val="20"/>
              </w:rPr>
              <w:t>Importa pieauguma tempi faktiskajās cenās, %</w:t>
            </w:r>
          </w:p>
        </w:tc>
        <w:tc>
          <w:tcPr>
            <w:tcW w:w="994" w:type="dxa"/>
            <w:tcMar>
              <w:left w:w="57" w:type="dxa"/>
              <w:right w:w="284" w:type="dxa"/>
            </w:tcMar>
            <w:vAlign w:val="center"/>
          </w:tcPr>
          <w:p w14:paraId="4F934835"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-1,8</w:t>
            </w:r>
          </w:p>
        </w:tc>
        <w:tc>
          <w:tcPr>
            <w:tcW w:w="994" w:type="dxa"/>
            <w:tcMar>
              <w:left w:w="57" w:type="dxa"/>
              <w:right w:w="284" w:type="dxa"/>
            </w:tcMar>
            <w:vAlign w:val="center"/>
          </w:tcPr>
          <w:p w14:paraId="6045F68A"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3,3</w:t>
            </w:r>
          </w:p>
        </w:tc>
        <w:tc>
          <w:tcPr>
            <w:tcW w:w="995" w:type="dxa"/>
            <w:tcMar>
              <w:left w:w="57" w:type="dxa"/>
              <w:right w:w="284" w:type="dxa"/>
            </w:tcMar>
            <w:vAlign w:val="center"/>
          </w:tcPr>
          <w:p w14:paraId="770FEB70"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3,5</w:t>
            </w:r>
          </w:p>
        </w:tc>
        <w:tc>
          <w:tcPr>
            <w:tcW w:w="994" w:type="dxa"/>
            <w:tcMar>
              <w:left w:w="57" w:type="dxa"/>
              <w:right w:w="284" w:type="dxa"/>
            </w:tcMar>
            <w:vAlign w:val="center"/>
          </w:tcPr>
          <w:p w14:paraId="38C829B0"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3,7</w:t>
            </w:r>
          </w:p>
        </w:tc>
        <w:tc>
          <w:tcPr>
            <w:tcW w:w="995" w:type="dxa"/>
            <w:noWrap/>
            <w:tcMar>
              <w:left w:w="57" w:type="dxa"/>
              <w:right w:w="284" w:type="dxa"/>
            </w:tcMar>
            <w:vAlign w:val="center"/>
          </w:tcPr>
          <w:p w14:paraId="71F42478" w14:textId="77777777" w:rsidR="008E57FF" w:rsidRPr="0024257A" w:rsidRDefault="008E57FF" w:rsidP="00E04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4257A">
              <w:rPr>
                <w:rFonts w:ascii="Times New Roman" w:hAnsi="Times New Roman" w:cs="Times New Roman"/>
                <w:color w:val="auto"/>
                <w:sz w:val="20"/>
                <w:szCs w:val="20"/>
              </w:rPr>
              <w:t>4,1</w:t>
            </w:r>
          </w:p>
        </w:tc>
      </w:tr>
    </w:tbl>
    <w:p w14:paraId="1F9A11F6" w14:textId="77777777" w:rsidR="008E57FF" w:rsidRPr="008E57FF" w:rsidRDefault="008E57FF" w:rsidP="008E57FF">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Pesimistiskā scenārija gadījumā Latvijas IKP izaugsme salīdzināmās cenās 2017.gadā būtu par 0,7 procentpunktiem lēnāka nekā pamata scenārijā un 2018.gadā, kā arī nākamajos gados – vidēji par 0,5 procentpunktiem lēnāka. Atbilstoši pesimistiskajam scenārijam, ekonomika nespētu atgūt iepriekšējos izaugsmes tempus, jo investīciju kavēšanās nozīmīgi ietekmētu ekonomikas potenciālu.</w:t>
      </w:r>
    </w:p>
    <w:p w14:paraId="74AFDCA3"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b/>
          <w:color w:val="000000"/>
          <w:sz w:val="24"/>
          <w:szCs w:val="24"/>
          <w:lang w:eastAsia="lv-LV"/>
        </w:rPr>
        <w:t xml:space="preserve">Ietekme uz budžetu un parāda apkalpošanu. </w:t>
      </w:r>
      <w:r w:rsidRPr="008E57FF">
        <w:rPr>
          <w:rFonts w:ascii="Times New Roman" w:eastAsia="Times New Roman" w:hAnsi="Times New Roman" w:cs="Times New Roman"/>
          <w:color w:val="000000"/>
          <w:sz w:val="24"/>
          <w:szCs w:val="24"/>
          <w:lang w:eastAsia="lv-LV"/>
        </w:rPr>
        <w:t xml:space="preserve">Īstenojoties pesimistiskajam scenārijam, būtiski samazinātos nodokļu ieņēmumi, pasliktinātos vispārējās valdības budžeta bilance. Salīdzinājumā ar pamata scenāriju pie nemainīgas politikas pesimistiskā scenārija gadījumā vispārējās valdības deficīts 2017.gadā pieaugtu par 54,1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0,2 procentpunktiem no IKP. Savukārt 2018., 2019. un 2020.gadā vispārējās valdības bilance pasliktinātos attiecīgi par 0,4 (97,2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0,5 (140,4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un 0,6 (186,5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procentpunktiem no IKP salīdzinājumā ar pamata scenāriju. Nomināli vispārējās valdības deficīts 2017.gadā pieaugtu līdz 1,0% no IKP, 2018.gadā līdz 0,7% no IKP, 2019.gadā no pārpalikuma pamata scenārijā veidotos 0,2% no IKP deficīts, turpretī 2020.gadā veidotos pārpalikums 0,2% apmērā.</w:t>
      </w:r>
    </w:p>
    <w:p w14:paraId="19B043FE" w14:textId="77777777" w:rsidR="008E57FF" w:rsidRPr="008E57FF" w:rsidRDefault="008E57FF" w:rsidP="008E57FF">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Izpildoties pesimistiskajam scenārijam, aptuveni puse no vidējā termiņā vispārējās valdības ieņēmumu samazinājuma būtu attiecināma uz centrālās valdības budžetu. Centrālās valdības budžeta bilance pret pamata scenāriju pie nemainīgas politikas pasliktinātos par 29,7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0,1 procentpunkta apmērā no IKP 2017.gadā, par 53,2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0,2 procentpunktu apmērā no IKP 2018.gadā, par 76,7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0,3 procentpunktiem no IKP 2019.gadā un par 100,5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0,3 procentpunktiem no IKP 2020.gadā.</w:t>
      </w:r>
    </w:p>
    <w:p w14:paraId="1A2D149C" w14:textId="0D238B0B"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sz w:val="24"/>
          <w:szCs w:val="20"/>
          <w:lang w:eastAsia="lv-LV"/>
        </w:rPr>
      </w:pPr>
      <w:r w:rsidRPr="008E57FF">
        <w:rPr>
          <w:rFonts w:ascii="Times New Roman" w:eastAsia="Times New Roman" w:hAnsi="Times New Roman" w:cs="Times New Roman"/>
          <w:color w:val="000000"/>
          <w:sz w:val="24"/>
          <w:szCs w:val="24"/>
          <w:lang w:eastAsia="lv-LV"/>
        </w:rPr>
        <w:t xml:space="preserve">Saskaņā ar </w:t>
      </w:r>
      <w:r w:rsidR="00486BB4">
        <w:rPr>
          <w:rFonts w:ascii="Times New Roman" w:eastAsia="Times New Roman" w:hAnsi="Times New Roman" w:cs="Times New Roman"/>
          <w:color w:val="000000"/>
          <w:sz w:val="24"/>
          <w:szCs w:val="24"/>
          <w:lang w:eastAsia="lv-LV"/>
        </w:rPr>
        <w:t xml:space="preserve">LBFV </w:t>
      </w:r>
      <w:r w:rsidRPr="008E57FF">
        <w:rPr>
          <w:rFonts w:ascii="Times New Roman" w:eastAsia="Times New Roman" w:hAnsi="Times New Roman" w:cs="Times New Roman"/>
          <w:color w:val="000000"/>
          <w:sz w:val="24"/>
          <w:szCs w:val="24"/>
          <w:lang w:eastAsia="lv-LV"/>
        </w:rPr>
        <w:t>25.panta (2</w:t>
      </w:r>
      <w:r w:rsidRPr="008E57FF">
        <w:rPr>
          <w:rFonts w:ascii="Times New Roman" w:eastAsia="Times New Roman" w:hAnsi="Times New Roman" w:cs="Times New Roman"/>
          <w:color w:val="000000"/>
          <w:sz w:val="24"/>
          <w:szCs w:val="24"/>
          <w:vertAlign w:val="superscript"/>
          <w:lang w:eastAsia="lv-LV"/>
        </w:rPr>
        <w:t>2</w:t>
      </w:r>
      <w:r w:rsidRPr="008E57FF">
        <w:rPr>
          <w:rFonts w:ascii="Times New Roman" w:eastAsia="Times New Roman" w:hAnsi="Times New Roman" w:cs="Times New Roman"/>
          <w:color w:val="000000"/>
          <w:sz w:val="24"/>
          <w:szCs w:val="24"/>
          <w:lang w:eastAsia="lv-LV"/>
        </w:rPr>
        <w:t xml:space="preserve">) daļu, gadījumā, ja triju mēnešu </w:t>
      </w:r>
      <w:r w:rsidRPr="008E57FF">
        <w:rPr>
          <w:rFonts w:ascii="Times New Roman" w:eastAsia="Times New Roman" w:hAnsi="Times New Roman" w:cs="Times New Roman"/>
          <w:sz w:val="24"/>
          <w:szCs w:val="20"/>
          <w:lang w:eastAsia="lv-LV"/>
        </w:rPr>
        <w:t xml:space="preserve">periodā valsts budžeta nodokļu un ne-nodokļu faktiskie ieņēmumi attiecībā pret attiecīgajā periodā paredzētajiem ieņēmumiem samazinās vairāk nekā par 0,5 procentiem no gadskārtējā valsts budžeta likumā noteiktās </w:t>
      </w:r>
      <w:r w:rsidR="00486BB4">
        <w:rPr>
          <w:rFonts w:ascii="Times New Roman" w:eastAsia="Times New Roman" w:hAnsi="Times New Roman" w:cs="Times New Roman"/>
          <w:sz w:val="24"/>
          <w:szCs w:val="20"/>
          <w:lang w:eastAsia="lv-LV"/>
        </w:rPr>
        <w:t>IKP</w:t>
      </w:r>
      <w:r w:rsidRPr="008E57FF">
        <w:rPr>
          <w:rFonts w:ascii="Times New Roman" w:eastAsia="Times New Roman" w:hAnsi="Times New Roman" w:cs="Times New Roman"/>
          <w:sz w:val="24"/>
          <w:szCs w:val="20"/>
          <w:lang w:eastAsia="lv-LV"/>
        </w:rPr>
        <w:t xml:space="preserve"> prognozes vai faktiskais uzkrātais valsts budžeta finansiālais deficīts triju mēnešu periodā pārsniedz attiecīgajam periodam paredzēto valsts budžeta finansiālo deficītu vairāk nekā par 0,5 procentiem no gadskārtējā valsts budžeta likumā noteiktās </w:t>
      </w:r>
      <w:r w:rsidR="00486BB4">
        <w:rPr>
          <w:rFonts w:ascii="Times New Roman" w:eastAsia="Times New Roman" w:hAnsi="Times New Roman" w:cs="Times New Roman"/>
          <w:sz w:val="24"/>
          <w:szCs w:val="20"/>
          <w:lang w:eastAsia="lv-LV"/>
        </w:rPr>
        <w:t>IKP</w:t>
      </w:r>
      <w:r w:rsidRPr="008E57FF">
        <w:rPr>
          <w:rFonts w:ascii="Times New Roman" w:eastAsia="Times New Roman" w:hAnsi="Times New Roman" w:cs="Times New Roman"/>
          <w:sz w:val="24"/>
          <w:szCs w:val="20"/>
          <w:lang w:eastAsia="lv-LV"/>
        </w:rPr>
        <w:t xml:space="preserve"> prognozes, vai </w:t>
      </w:r>
      <w:r w:rsidR="00486BB4">
        <w:rPr>
          <w:rFonts w:ascii="Times New Roman" w:eastAsia="Times New Roman" w:hAnsi="Times New Roman" w:cs="Times New Roman"/>
          <w:sz w:val="24"/>
          <w:szCs w:val="20"/>
          <w:lang w:eastAsia="lv-LV"/>
        </w:rPr>
        <w:t>VK</w:t>
      </w:r>
      <w:r w:rsidRPr="008E57FF">
        <w:rPr>
          <w:rFonts w:ascii="Times New Roman" w:eastAsia="Times New Roman" w:hAnsi="Times New Roman" w:cs="Times New Roman"/>
          <w:sz w:val="24"/>
          <w:szCs w:val="20"/>
          <w:lang w:eastAsia="lv-LV"/>
        </w:rPr>
        <w:t xml:space="preserve"> budžeta kontos nav pietiekama līdzekļu apjoma, lai segtu nākamajam mēnesim</w:t>
      </w:r>
      <w:r w:rsidR="00486BB4">
        <w:rPr>
          <w:rFonts w:ascii="Times New Roman" w:eastAsia="Times New Roman" w:hAnsi="Times New Roman" w:cs="Times New Roman"/>
          <w:sz w:val="24"/>
          <w:szCs w:val="20"/>
          <w:lang w:eastAsia="lv-LV"/>
        </w:rPr>
        <w:t xml:space="preserve"> plānotās maksājumu saistības, f</w:t>
      </w:r>
      <w:r w:rsidRPr="008E57FF">
        <w:rPr>
          <w:rFonts w:ascii="Times New Roman" w:eastAsia="Times New Roman" w:hAnsi="Times New Roman" w:cs="Times New Roman"/>
          <w:sz w:val="24"/>
          <w:szCs w:val="20"/>
          <w:lang w:eastAsia="lv-LV"/>
        </w:rPr>
        <w:t xml:space="preserve">inanšu ministram ir tiesības dot rīkojumu </w:t>
      </w:r>
      <w:r w:rsidR="00486BB4">
        <w:rPr>
          <w:rFonts w:ascii="Times New Roman" w:eastAsia="Times New Roman" w:hAnsi="Times New Roman" w:cs="Times New Roman"/>
          <w:sz w:val="24"/>
          <w:szCs w:val="20"/>
          <w:lang w:eastAsia="lv-LV"/>
        </w:rPr>
        <w:t>VK</w:t>
      </w:r>
      <w:r w:rsidRPr="008E57FF">
        <w:rPr>
          <w:rFonts w:ascii="Times New Roman" w:eastAsia="Times New Roman" w:hAnsi="Times New Roman" w:cs="Times New Roman"/>
          <w:sz w:val="24"/>
          <w:szCs w:val="20"/>
          <w:lang w:eastAsia="lv-LV"/>
        </w:rPr>
        <w:t xml:space="preserve"> noteiktam periodam </w:t>
      </w:r>
      <w:r w:rsidRPr="008E57FF">
        <w:rPr>
          <w:rFonts w:ascii="Times New Roman" w:eastAsia="Times New Roman" w:hAnsi="Times New Roman" w:cs="Times New Roman"/>
          <w:sz w:val="24"/>
          <w:szCs w:val="20"/>
          <w:lang w:eastAsia="lv-LV"/>
        </w:rPr>
        <w:lastRenderedPageBreak/>
        <w:t xml:space="preserve">aizkavēt vai samazināt asignējumus, ja šāda darbība nav pretrunā ar Satversmi, likumiem un </w:t>
      </w:r>
      <w:r w:rsidR="00486BB4">
        <w:rPr>
          <w:rFonts w:ascii="Times New Roman" w:eastAsia="Times New Roman" w:hAnsi="Times New Roman" w:cs="Times New Roman"/>
          <w:sz w:val="24"/>
          <w:szCs w:val="20"/>
          <w:lang w:eastAsia="lv-LV"/>
        </w:rPr>
        <w:t>MK</w:t>
      </w:r>
      <w:r w:rsidRPr="008E57FF">
        <w:rPr>
          <w:rFonts w:ascii="Times New Roman" w:eastAsia="Times New Roman" w:hAnsi="Times New Roman" w:cs="Times New Roman"/>
          <w:sz w:val="24"/>
          <w:szCs w:val="20"/>
          <w:lang w:eastAsia="lv-LV"/>
        </w:rPr>
        <w:t xml:space="preserve"> noteikumiem. Tādējādi normatīvos tiek paredzēts regulējums gadījumiem, kas var iestāties pesimistiskā scenārijā.</w:t>
      </w:r>
    </w:p>
    <w:p w14:paraId="4E7C5407" w14:textId="77777777"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sz w:val="24"/>
          <w:szCs w:val="20"/>
          <w:lang w:eastAsia="lv-LV"/>
        </w:rPr>
        <w:t>Pesimistiskā scenārija iestāšanās samazinātu ekonomiskās izaugsmes tempus, kas nozīmētu arī samazinājumu atsevišķās izdevumu pozīcijās, piemēram, zemāki IKP pieauguma tempi rezultētos zemākās iemaksās ES budžetā, kas piesaistītas IKP, dodot arī nelielu pozitīvo efektu.</w:t>
      </w:r>
    </w:p>
    <w:p w14:paraId="12B06298" w14:textId="77777777"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Pesimistiskā scenārija gadījumā krasi samazinātos nodokļu ieņēmumi. Salīdzinājumā ar pamata scenāriju pie nemainīgas politikas nodokļu ieņēmumi 2017.gadā būtu par 51,3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0,2 procentpunktiem no IKP zemāki nekā pamata scenārijā. Savukārt 2018., 2019. un 2020.gadā nodokļu ieņēmumi būtu attiecīgi par 0,3 (92,1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0,5 (133,3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un 0,6 (180,4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procentpunktiem no IKP zemāki nekā pamata scenārijā.</w:t>
      </w:r>
    </w:p>
    <w:p w14:paraId="13C310BA" w14:textId="77777777" w:rsidR="008E57FF" w:rsidRPr="008E57FF" w:rsidRDefault="008E57FF" w:rsidP="00486B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Pesimistiskajā scenārijā iekļautais nodokļu ieņēmumu samazinājums un deficīta pieaugums palielinātu kopējo finansēšanās nepieciešamību un attiecīgi arī aizņemšanās apjomu attiecīgajā periodā. Papildu aizņemšanās izraisītu procentu izdevumu pieaugumu vidējā termiņā. Pesimistiskā scenārija gadījumā procentu izdevumi 2018.gadā būtu par 0,7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0,003 procentpunktiem no IKP lielāki, 2019.gadā par 3,3 milj. </w:t>
      </w:r>
      <w:r w:rsidRPr="008E57FF">
        <w:rPr>
          <w:rFonts w:ascii="Times New Roman" w:eastAsia="Times New Roman" w:hAnsi="Times New Roman" w:cs="Times New Roman"/>
          <w:i/>
          <w:color w:val="000000"/>
          <w:sz w:val="24"/>
          <w:szCs w:val="24"/>
          <w:lang w:eastAsia="lv-LV"/>
        </w:rPr>
        <w:t>euro</w:t>
      </w:r>
      <w:r w:rsidRPr="008E57FF">
        <w:rPr>
          <w:rFonts w:ascii="Times New Roman" w:eastAsia="Times New Roman" w:hAnsi="Times New Roman" w:cs="Times New Roman"/>
          <w:color w:val="000000"/>
          <w:sz w:val="24"/>
          <w:szCs w:val="24"/>
          <w:lang w:eastAsia="lv-LV"/>
        </w:rPr>
        <w:t xml:space="preserve"> jeb 0,011 procentpunktiem no IKP un 2020.gadā attiecīgi par 7,5 milj. </w:t>
      </w:r>
      <w:r w:rsidRPr="008E57FF">
        <w:rPr>
          <w:rFonts w:ascii="Times New Roman" w:eastAsia="Times New Roman" w:hAnsi="Times New Roman" w:cs="Times New Roman"/>
          <w:i/>
          <w:color w:val="000000"/>
          <w:sz w:val="24"/>
          <w:szCs w:val="24"/>
          <w:lang w:eastAsia="lv-LV"/>
        </w:rPr>
        <w:t xml:space="preserve">euro </w:t>
      </w:r>
      <w:r w:rsidRPr="008E57FF">
        <w:rPr>
          <w:rFonts w:ascii="Times New Roman" w:eastAsia="Times New Roman" w:hAnsi="Times New Roman" w:cs="Times New Roman"/>
          <w:color w:val="000000"/>
          <w:sz w:val="24"/>
          <w:szCs w:val="24"/>
          <w:lang w:eastAsia="lv-LV"/>
        </w:rPr>
        <w:t>jeb 0,025 procentpunktiem no IKP lielāki nekā pamata scenārijā.</w:t>
      </w:r>
    </w:p>
    <w:p w14:paraId="77066790" w14:textId="77777777" w:rsidR="008E57FF" w:rsidRPr="008E57FF" w:rsidRDefault="008E57FF" w:rsidP="008E57FF"/>
    <w:p w14:paraId="11D5E159" w14:textId="77777777" w:rsidR="009D2D01" w:rsidRDefault="009D2D01">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14:paraId="41E5D435" w14:textId="3D9C4241" w:rsidR="005536A9" w:rsidRPr="00F51615" w:rsidRDefault="005536A9" w:rsidP="00F512CA">
      <w:pPr>
        <w:pStyle w:val="Heading1"/>
        <w:numPr>
          <w:ilvl w:val="0"/>
          <w:numId w:val="1"/>
        </w:numPr>
        <w:ind w:left="284" w:hanging="283"/>
        <w:jc w:val="center"/>
        <w:rPr>
          <w:rFonts w:ascii="Times New Roman" w:hAnsi="Times New Roman" w:cs="Times New Roman"/>
          <w:sz w:val="32"/>
        </w:rPr>
      </w:pPr>
      <w:bookmarkStart w:id="28" w:name="_Toc479331102"/>
      <w:r w:rsidRPr="00F51615">
        <w:rPr>
          <w:rFonts w:ascii="Times New Roman" w:hAnsi="Times New Roman" w:cs="Times New Roman"/>
          <w:sz w:val="32"/>
        </w:rPr>
        <w:lastRenderedPageBreak/>
        <w:t>Vispārējās valdības budžeta bilances un parāda prognožu salīdzinājums ar Latvijas Stabilitātes programmu 201</w:t>
      </w:r>
      <w:r w:rsidR="00486BB4">
        <w:rPr>
          <w:rFonts w:ascii="Times New Roman" w:hAnsi="Times New Roman" w:cs="Times New Roman"/>
          <w:sz w:val="32"/>
        </w:rPr>
        <w:t>6</w:t>
      </w:r>
      <w:r w:rsidRPr="00F51615">
        <w:rPr>
          <w:rFonts w:ascii="Times New Roman" w:hAnsi="Times New Roman" w:cs="Times New Roman"/>
          <w:sz w:val="32"/>
        </w:rPr>
        <w:t>.-201</w:t>
      </w:r>
      <w:r w:rsidR="00486BB4">
        <w:rPr>
          <w:rFonts w:ascii="Times New Roman" w:hAnsi="Times New Roman" w:cs="Times New Roman"/>
          <w:sz w:val="32"/>
        </w:rPr>
        <w:t>9</w:t>
      </w:r>
      <w:r w:rsidRPr="00F51615">
        <w:rPr>
          <w:rFonts w:ascii="Times New Roman" w:hAnsi="Times New Roman" w:cs="Times New Roman"/>
          <w:sz w:val="32"/>
        </w:rPr>
        <w:t>.gadam</w:t>
      </w:r>
      <w:bookmarkEnd w:id="28"/>
    </w:p>
    <w:p w14:paraId="42883F90" w14:textId="1C91A026" w:rsidR="001C4856" w:rsidRPr="001C4856" w:rsidRDefault="001C4856" w:rsidP="001C4856">
      <w:pPr>
        <w:spacing w:after="120" w:line="240" w:lineRule="auto"/>
        <w:ind w:firstLine="720"/>
        <w:jc w:val="both"/>
        <w:rPr>
          <w:rFonts w:ascii="Times New Roman" w:eastAsia="Calibri" w:hAnsi="Times New Roman" w:cs="Times New Roman"/>
          <w:sz w:val="24"/>
          <w:szCs w:val="24"/>
        </w:rPr>
      </w:pPr>
      <w:r w:rsidRPr="001C4856">
        <w:rPr>
          <w:rFonts w:ascii="Times New Roman" w:eastAsia="Calibri" w:hAnsi="Times New Roman" w:cs="Times New Roman"/>
          <w:sz w:val="24"/>
          <w:szCs w:val="24"/>
        </w:rPr>
        <w:t>IKP pieaugums 2016.gadā bija lēnāks, nekā to paredzēja Latvijas Stabilitātes programmas 2016.-2019.gadam scenārijs. Vājāka ekonomiskā izaugsme saistīta ar ievērojamo investīciju kritumu pretstatā iepriekš prognozētajam pieaugumam, ko noteica kavēšanās ar ES Fondu investīciju ieviešanu pērn. Tāpat, eksporta pieaugums, kā arī sabiedriskā patēriņa kāpums 2016.gadā bija nedaudz lēnāks salīdzinājumā ar pirms gada prognozēto. Tajā pašā laikā importa izaugsmes prognoze bija zemāka par faktisko pieaugumu. Atbilstoši jaunākajam izaugsmes scenārijam, IKP pieauguma prognoze 2017.gadam ir 3,2%, kas ir par 0,1 procentpunktu zemāka nekā paredzēja iepriekšējās Stab</w:t>
      </w:r>
      <w:r w:rsidR="00486BB4">
        <w:rPr>
          <w:rFonts w:ascii="Times New Roman" w:eastAsia="Calibri" w:hAnsi="Times New Roman" w:cs="Times New Roman"/>
          <w:sz w:val="24"/>
          <w:szCs w:val="24"/>
        </w:rPr>
        <w:t>ilitātes programmas 2016.-2019.</w:t>
      </w:r>
      <w:r w:rsidRPr="001C4856">
        <w:rPr>
          <w:rFonts w:ascii="Times New Roman" w:eastAsia="Calibri" w:hAnsi="Times New Roman" w:cs="Times New Roman"/>
          <w:sz w:val="24"/>
          <w:szCs w:val="24"/>
        </w:rPr>
        <w:t>gadam scenārijs. Savukārt 2018.gada izaugsmes prognozes atstātas nemainīgas 3,4% līmenī, taču turpmākajos gados ekonomiskā izaugsme ir samazināta atbilstoši potenciālajam izaugsmes tempam vidējā termiņā.</w:t>
      </w:r>
    </w:p>
    <w:p w14:paraId="7FFB4C0E" w14:textId="77777777" w:rsidR="001C4856" w:rsidRPr="001C4856" w:rsidRDefault="001C4856" w:rsidP="00E045E3">
      <w:pPr>
        <w:keepNext/>
        <w:spacing w:before="120" w:after="60" w:line="240" w:lineRule="auto"/>
        <w:jc w:val="right"/>
        <w:rPr>
          <w:rFonts w:ascii="Times New Roman" w:eastAsia="Times New Roman" w:hAnsi="Times New Roman" w:cs="Times New Roman"/>
          <w:b/>
          <w:sz w:val="24"/>
          <w:szCs w:val="20"/>
        </w:rPr>
      </w:pPr>
      <w:r w:rsidRPr="001C4856">
        <w:rPr>
          <w:rFonts w:ascii="Times New Roman" w:eastAsia="Times New Roman" w:hAnsi="Times New Roman" w:cs="Times New Roman"/>
          <w:b/>
          <w:sz w:val="24"/>
          <w:szCs w:val="20"/>
        </w:rPr>
        <w:t>5.1.tabula. Salīdzinājums ar 2016. – 2019.gada Stabilitātes programmas prognozēm</w:t>
      </w:r>
    </w:p>
    <w:tbl>
      <w:tblPr>
        <w:tblStyle w:val="GridTable6Colorful-Accent1"/>
        <w:tblW w:w="9063" w:type="dxa"/>
        <w:tblLayout w:type="fixed"/>
        <w:tblLook w:val="04A0" w:firstRow="1" w:lastRow="0" w:firstColumn="1" w:lastColumn="0" w:noHBand="0" w:noVBand="1"/>
      </w:tblPr>
      <w:tblGrid>
        <w:gridCol w:w="3687"/>
        <w:gridCol w:w="1124"/>
        <w:gridCol w:w="850"/>
        <w:gridCol w:w="851"/>
        <w:gridCol w:w="850"/>
        <w:gridCol w:w="851"/>
        <w:gridCol w:w="850"/>
      </w:tblGrid>
      <w:tr w:rsidR="00E045E3" w:rsidRPr="00E045E3" w14:paraId="649D2C28" w14:textId="77777777" w:rsidTr="00F32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66A19FA2" w14:textId="77777777" w:rsidR="001C4856" w:rsidRPr="00E045E3" w:rsidRDefault="001C4856" w:rsidP="001C4856">
            <w:pPr>
              <w:rPr>
                <w:rFonts w:ascii="Times New Roman" w:eastAsia="Times New Roman" w:hAnsi="Times New Roman" w:cs="Times New Roman"/>
                <w:b w:val="0"/>
                <w:bCs w:val="0"/>
                <w:color w:val="auto"/>
                <w:sz w:val="20"/>
                <w:szCs w:val="20"/>
              </w:rPr>
            </w:pPr>
          </w:p>
        </w:tc>
        <w:tc>
          <w:tcPr>
            <w:tcW w:w="1124" w:type="dxa"/>
          </w:tcPr>
          <w:p w14:paraId="6175EF14" w14:textId="77777777" w:rsidR="001C4856" w:rsidRPr="00E045E3" w:rsidRDefault="001C4856" w:rsidP="00E045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rPr>
            </w:pPr>
            <w:r w:rsidRPr="00E045E3">
              <w:rPr>
                <w:rFonts w:ascii="Times New Roman" w:eastAsia="Times New Roman" w:hAnsi="Times New Roman" w:cs="Times New Roman"/>
                <w:bCs w:val="0"/>
                <w:color w:val="auto"/>
                <w:sz w:val="20"/>
                <w:szCs w:val="20"/>
              </w:rPr>
              <w:t>EKS kods</w:t>
            </w:r>
          </w:p>
        </w:tc>
        <w:tc>
          <w:tcPr>
            <w:tcW w:w="850" w:type="dxa"/>
          </w:tcPr>
          <w:p w14:paraId="0461BB52" w14:textId="77777777" w:rsidR="001C4856" w:rsidRPr="00E045E3" w:rsidRDefault="001C4856" w:rsidP="00E045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rPr>
            </w:pPr>
            <w:r w:rsidRPr="00E045E3">
              <w:rPr>
                <w:rFonts w:ascii="Times New Roman" w:eastAsia="Times New Roman" w:hAnsi="Times New Roman" w:cs="Times New Roman"/>
                <w:bCs w:val="0"/>
                <w:color w:val="auto"/>
                <w:sz w:val="20"/>
                <w:szCs w:val="20"/>
              </w:rPr>
              <w:t>2016</w:t>
            </w:r>
          </w:p>
        </w:tc>
        <w:tc>
          <w:tcPr>
            <w:tcW w:w="851" w:type="dxa"/>
          </w:tcPr>
          <w:p w14:paraId="345BDF3A" w14:textId="77777777" w:rsidR="001C4856" w:rsidRPr="00E045E3" w:rsidRDefault="001C4856" w:rsidP="00E045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rPr>
            </w:pPr>
            <w:r w:rsidRPr="00E045E3">
              <w:rPr>
                <w:rFonts w:ascii="Times New Roman" w:eastAsia="Times New Roman" w:hAnsi="Times New Roman" w:cs="Times New Roman"/>
                <w:bCs w:val="0"/>
                <w:color w:val="auto"/>
                <w:sz w:val="20"/>
                <w:szCs w:val="20"/>
              </w:rPr>
              <w:t>2017</w:t>
            </w:r>
          </w:p>
        </w:tc>
        <w:tc>
          <w:tcPr>
            <w:tcW w:w="850" w:type="dxa"/>
          </w:tcPr>
          <w:p w14:paraId="438F94E1" w14:textId="77777777" w:rsidR="001C4856" w:rsidRPr="00E045E3" w:rsidRDefault="001C4856" w:rsidP="00E045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rPr>
            </w:pPr>
            <w:r w:rsidRPr="00E045E3">
              <w:rPr>
                <w:rFonts w:ascii="Times New Roman" w:eastAsia="Times New Roman" w:hAnsi="Times New Roman" w:cs="Times New Roman"/>
                <w:bCs w:val="0"/>
                <w:color w:val="auto"/>
                <w:sz w:val="20"/>
                <w:szCs w:val="20"/>
              </w:rPr>
              <w:t>2018</w:t>
            </w:r>
          </w:p>
        </w:tc>
        <w:tc>
          <w:tcPr>
            <w:tcW w:w="851" w:type="dxa"/>
          </w:tcPr>
          <w:p w14:paraId="764F4949" w14:textId="77777777" w:rsidR="001C4856" w:rsidRPr="00E045E3" w:rsidRDefault="001C4856" w:rsidP="00E045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rPr>
            </w:pPr>
            <w:r w:rsidRPr="00E045E3">
              <w:rPr>
                <w:rFonts w:ascii="Times New Roman" w:eastAsia="Times New Roman" w:hAnsi="Times New Roman" w:cs="Times New Roman"/>
                <w:bCs w:val="0"/>
                <w:color w:val="auto"/>
                <w:sz w:val="20"/>
                <w:szCs w:val="20"/>
              </w:rPr>
              <w:t>2019</w:t>
            </w:r>
          </w:p>
        </w:tc>
        <w:tc>
          <w:tcPr>
            <w:tcW w:w="850" w:type="dxa"/>
          </w:tcPr>
          <w:p w14:paraId="5ABB75A5" w14:textId="77777777" w:rsidR="001C4856" w:rsidRPr="00E045E3" w:rsidRDefault="001C4856" w:rsidP="00E045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rPr>
            </w:pPr>
            <w:r w:rsidRPr="00E045E3">
              <w:rPr>
                <w:rFonts w:ascii="Times New Roman" w:eastAsia="Times New Roman" w:hAnsi="Times New Roman" w:cs="Times New Roman"/>
                <w:bCs w:val="0"/>
                <w:color w:val="auto"/>
                <w:sz w:val="20"/>
                <w:szCs w:val="20"/>
              </w:rPr>
              <w:t>2020</w:t>
            </w:r>
          </w:p>
        </w:tc>
      </w:tr>
      <w:tr w:rsidR="00E045E3" w:rsidRPr="00E045E3" w14:paraId="2989A9C7"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7CB3E5FA" w14:textId="77777777" w:rsidR="001C4856" w:rsidRPr="00E045E3" w:rsidRDefault="001C4856" w:rsidP="001C4856">
            <w:pPr>
              <w:rPr>
                <w:rFonts w:ascii="Times New Roman" w:eastAsia="Times New Roman" w:hAnsi="Times New Roman" w:cs="Times New Roman"/>
                <w:b w:val="0"/>
                <w:bCs w:val="0"/>
                <w:snapToGrid w:val="0"/>
                <w:color w:val="auto"/>
                <w:sz w:val="20"/>
                <w:szCs w:val="20"/>
              </w:rPr>
            </w:pPr>
            <w:r w:rsidRPr="00E045E3">
              <w:rPr>
                <w:rFonts w:ascii="Times New Roman" w:eastAsia="Times New Roman" w:hAnsi="Times New Roman" w:cs="Times New Roman"/>
                <w:bCs w:val="0"/>
                <w:color w:val="auto"/>
                <w:sz w:val="20"/>
                <w:szCs w:val="20"/>
              </w:rPr>
              <w:t>IKP pieaugums (%)</w:t>
            </w:r>
          </w:p>
        </w:tc>
        <w:tc>
          <w:tcPr>
            <w:tcW w:w="1124" w:type="dxa"/>
          </w:tcPr>
          <w:p w14:paraId="1C8A93CB" w14:textId="77777777" w:rsidR="001C4856" w:rsidRPr="00E045E3" w:rsidRDefault="001C4856" w:rsidP="00486B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B1g</w:t>
            </w:r>
          </w:p>
        </w:tc>
        <w:tc>
          <w:tcPr>
            <w:tcW w:w="850" w:type="dxa"/>
          </w:tcPr>
          <w:p w14:paraId="0B54A2D9" w14:textId="77777777" w:rsidR="001C4856" w:rsidRPr="00E045E3" w:rsidRDefault="001C4856" w:rsidP="001C48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tcPr>
          <w:p w14:paraId="48F818FA" w14:textId="77777777" w:rsidR="001C4856" w:rsidRPr="00E045E3" w:rsidRDefault="001C4856" w:rsidP="001C48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70E306DC" w14:textId="77777777" w:rsidR="001C4856" w:rsidRPr="00E045E3" w:rsidRDefault="001C4856" w:rsidP="001C4856">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p>
        </w:tc>
        <w:tc>
          <w:tcPr>
            <w:tcW w:w="851" w:type="dxa"/>
          </w:tcPr>
          <w:p w14:paraId="508B102B" w14:textId="77777777" w:rsidR="001C4856" w:rsidRPr="00E045E3" w:rsidRDefault="001C4856" w:rsidP="001C48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01F83158" w14:textId="77777777" w:rsidR="001C4856" w:rsidRPr="00E045E3" w:rsidRDefault="001C4856" w:rsidP="001C48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E045E3" w:rsidRPr="00E045E3" w14:paraId="01BB7789" w14:textId="77777777" w:rsidTr="00F3248F">
        <w:tc>
          <w:tcPr>
            <w:cnfStyle w:val="001000000000" w:firstRow="0" w:lastRow="0" w:firstColumn="1" w:lastColumn="0" w:oddVBand="0" w:evenVBand="0" w:oddHBand="0" w:evenHBand="0" w:firstRowFirstColumn="0" w:firstRowLastColumn="0" w:lastRowFirstColumn="0" w:lastRowLastColumn="0"/>
            <w:tcW w:w="3687" w:type="dxa"/>
          </w:tcPr>
          <w:p w14:paraId="2143029A" w14:textId="5F8FBE5F" w:rsidR="001C4856" w:rsidRPr="001E5D9F" w:rsidRDefault="001C4856" w:rsidP="001E5D9F">
            <w:pPr>
              <w:jc w:val="right"/>
              <w:rPr>
                <w:rFonts w:ascii="Times New Roman" w:eastAsia="Times New Roman" w:hAnsi="Times New Roman" w:cs="Times New Roman"/>
                <w:b w:val="0"/>
                <w:bCs w:val="0"/>
                <w:color w:val="auto"/>
                <w:sz w:val="20"/>
                <w:szCs w:val="20"/>
              </w:rPr>
            </w:pPr>
            <w:r w:rsidRPr="001E5D9F">
              <w:rPr>
                <w:rFonts w:ascii="Times New Roman" w:eastAsia="Times New Roman" w:hAnsi="Times New Roman" w:cs="Times New Roman"/>
                <w:b w:val="0"/>
                <w:bCs w:val="0"/>
                <w:color w:val="auto"/>
                <w:sz w:val="20"/>
                <w:szCs w:val="20"/>
              </w:rPr>
              <w:t>2016.</w:t>
            </w:r>
            <w:r w:rsidR="001E5D9F" w:rsidRPr="001E5D9F">
              <w:rPr>
                <w:rFonts w:ascii="Times New Roman" w:eastAsia="Times New Roman" w:hAnsi="Times New Roman" w:cs="Times New Roman"/>
                <w:b w:val="0"/>
                <w:bCs w:val="0"/>
                <w:color w:val="auto"/>
                <w:sz w:val="20"/>
                <w:szCs w:val="20"/>
              </w:rPr>
              <w:t>-2019.gada Stabilitātes programma</w:t>
            </w:r>
          </w:p>
        </w:tc>
        <w:tc>
          <w:tcPr>
            <w:tcW w:w="1124" w:type="dxa"/>
          </w:tcPr>
          <w:p w14:paraId="22C7871E" w14:textId="77777777" w:rsidR="001C4856" w:rsidRPr="00E045E3" w:rsidRDefault="001C4856" w:rsidP="00486B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5B975413"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3,0</w:t>
            </w:r>
          </w:p>
        </w:tc>
        <w:tc>
          <w:tcPr>
            <w:tcW w:w="851" w:type="dxa"/>
          </w:tcPr>
          <w:p w14:paraId="5781565C"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3,3</w:t>
            </w:r>
          </w:p>
        </w:tc>
        <w:tc>
          <w:tcPr>
            <w:tcW w:w="850" w:type="dxa"/>
          </w:tcPr>
          <w:p w14:paraId="17DAF21F"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3,4</w:t>
            </w:r>
          </w:p>
        </w:tc>
        <w:tc>
          <w:tcPr>
            <w:tcW w:w="851" w:type="dxa"/>
          </w:tcPr>
          <w:p w14:paraId="45875BEA"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3,4</w:t>
            </w:r>
          </w:p>
        </w:tc>
        <w:tc>
          <w:tcPr>
            <w:tcW w:w="850" w:type="dxa"/>
          </w:tcPr>
          <w:p w14:paraId="74DDF2E0"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w:t>
            </w:r>
          </w:p>
        </w:tc>
      </w:tr>
      <w:tr w:rsidR="00E045E3" w:rsidRPr="00E045E3" w14:paraId="1F077B5C"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FE57580" w14:textId="66208B7E" w:rsidR="001C4856" w:rsidRPr="001E5D9F" w:rsidRDefault="001C4856" w:rsidP="001C4856">
            <w:pPr>
              <w:jc w:val="right"/>
              <w:rPr>
                <w:rFonts w:ascii="Times New Roman" w:eastAsia="Times New Roman" w:hAnsi="Times New Roman" w:cs="Times New Roman"/>
                <w:b w:val="0"/>
                <w:bCs w:val="0"/>
                <w:color w:val="auto"/>
                <w:sz w:val="20"/>
                <w:szCs w:val="20"/>
              </w:rPr>
            </w:pPr>
            <w:r w:rsidRPr="001E5D9F">
              <w:rPr>
                <w:rFonts w:ascii="Times New Roman" w:eastAsia="Times New Roman" w:hAnsi="Times New Roman" w:cs="Times New Roman"/>
                <w:b w:val="0"/>
                <w:bCs w:val="0"/>
                <w:color w:val="auto"/>
                <w:sz w:val="20"/>
                <w:szCs w:val="20"/>
              </w:rPr>
              <w:t>2017</w:t>
            </w:r>
            <w:r w:rsidR="001E5D9F" w:rsidRPr="001E5D9F">
              <w:rPr>
                <w:rFonts w:ascii="Times New Roman" w:eastAsia="Times New Roman" w:hAnsi="Times New Roman" w:cs="Times New Roman"/>
                <w:b w:val="0"/>
                <w:bCs w:val="0"/>
                <w:color w:val="auto"/>
                <w:sz w:val="20"/>
                <w:szCs w:val="20"/>
              </w:rPr>
              <w:t>.-2020.gada Stabilitātes programma</w:t>
            </w:r>
          </w:p>
        </w:tc>
        <w:tc>
          <w:tcPr>
            <w:tcW w:w="1124" w:type="dxa"/>
          </w:tcPr>
          <w:p w14:paraId="70D961DA" w14:textId="77777777" w:rsidR="001C4856" w:rsidRPr="00E045E3" w:rsidRDefault="001C4856" w:rsidP="00486B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5E8BDB6F" w14:textId="77777777" w:rsidR="001C4856" w:rsidRPr="00E045E3" w:rsidRDefault="001C4856" w:rsidP="00E045E3">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2,0</w:t>
            </w:r>
          </w:p>
        </w:tc>
        <w:tc>
          <w:tcPr>
            <w:tcW w:w="851" w:type="dxa"/>
          </w:tcPr>
          <w:p w14:paraId="366E1940" w14:textId="77777777" w:rsidR="001C4856" w:rsidRPr="00E045E3" w:rsidRDefault="001C4856" w:rsidP="00E045E3">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3,2</w:t>
            </w:r>
          </w:p>
        </w:tc>
        <w:tc>
          <w:tcPr>
            <w:tcW w:w="850" w:type="dxa"/>
          </w:tcPr>
          <w:p w14:paraId="38CB839E" w14:textId="77777777" w:rsidR="001C4856" w:rsidRPr="00E045E3" w:rsidRDefault="001C4856" w:rsidP="00E045E3">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3,4</w:t>
            </w:r>
          </w:p>
        </w:tc>
        <w:tc>
          <w:tcPr>
            <w:tcW w:w="851" w:type="dxa"/>
          </w:tcPr>
          <w:p w14:paraId="7285164B" w14:textId="77777777" w:rsidR="001C4856" w:rsidRPr="00E045E3" w:rsidRDefault="001C4856" w:rsidP="00E045E3">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3,2</w:t>
            </w:r>
          </w:p>
        </w:tc>
        <w:tc>
          <w:tcPr>
            <w:tcW w:w="850" w:type="dxa"/>
          </w:tcPr>
          <w:p w14:paraId="76B5298A" w14:textId="77777777" w:rsidR="001C4856" w:rsidRPr="00E045E3" w:rsidRDefault="001C4856" w:rsidP="00E045E3">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3,0</w:t>
            </w:r>
          </w:p>
        </w:tc>
      </w:tr>
      <w:tr w:rsidR="00E045E3" w:rsidRPr="00E045E3" w14:paraId="60C1F0F0" w14:textId="77777777" w:rsidTr="00F3248F">
        <w:tc>
          <w:tcPr>
            <w:cnfStyle w:val="001000000000" w:firstRow="0" w:lastRow="0" w:firstColumn="1" w:lastColumn="0" w:oddVBand="0" w:evenVBand="0" w:oddHBand="0" w:evenHBand="0" w:firstRowFirstColumn="0" w:firstRowLastColumn="0" w:lastRowFirstColumn="0" w:lastRowLastColumn="0"/>
            <w:tcW w:w="3687" w:type="dxa"/>
          </w:tcPr>
          <w:p w14:paraId="7D14455F" w14:textId="77777777" w:rsidR="001C4856" w:rsidRPr="001E5D9F" w:rsidRDefault="001C4856" w:rsidP="001C4856">
            <w:pPr>
              <w:jc w:val="right"/>
              <w:rPr>
                <w:rFonts w:ascii="Times New Roman" w:eastAsia="Times New Roman" w:hAnsi="Times New Roman" w:cs="Times New Roman"/>
                <w:bCs w:val="0"/>
                <w:snapToGrid w:val="0"/>
                <w:color w:val="auto"/>
                <w:sz w:val="20"/>
                <w:szCs w:val="20"/>
              </w:rPr>
            </w:pPr>
            <w:r w:rsidRPr="001E5D9F">
              <w:rPr>
                <w:rFonts w:ascii="Times New Roman" w:eastAsia="Times New Roman" w:hAnsi="Times New Roman" w:cs="Times New Roman"/>
                <w:bCs w:val="0"/>
                <w:snapToGrid w:val="0"/>
                <w:color w:val="auto"/>
                <w:sz w:val="20"/>
                <w:szCs w:val="20"/>
              </w:rPr>
              <w:t>Izmaiņas</w:t>
            </w:r>
          </w:p>
        </w:tc>
        <w:tc>
          <w:tcPr>
            <w:tcW w:w="1124" w:type="dxa"/>
          </w:tcPr>
          <w:p w14:paraId="0DB63C42" w14:textId="77777777" w:rsidR="001C4856" w:rsidRPr="00E045E3" w:rsidRDefault="001C4856" w:rsidP="00486B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23327570"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-1,0</w:t>
            </w:r>
          </w:p>
        </w:tc>
        <w:tc>
          <w:tcPr>
            <w:tcW w:w="851" w:type="dxa"/>
          </w:tcPr>
          <w:p w14:paraId="61D00BC6"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-0,1</w:t>
            </w:r>
          </w:p>
        </w:tc>
        <w:tc>
          <w:tcPr>
            <w:tcW w:w="850" w:type="dxa"/>
          </w:tcPr>
          <w:p w14:paraId="05608CB7"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0</w:t>
            </w:r>
          </w:p>
        </w:tc>
        <w:tc>
          <w:tcPr>
            <w:tcW w:w="851" w:type="dxa"/>
          </w:tcPr>
          <w:p w14:paraId="6402FD87"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-0,2</w:t>
            </w:r>
          </w:p>
        </w:tc>
        <w:tc>
          <w:tcPr>
            <w:tcW w:w="850" w:type="dxa"/>
          </w:tcPr>
          <w:p w14:paraId="61C514F5"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E045E3">
              <w:rPr>
                <w:rFonts w:ascii="Times New Roman" w:eastAsia="Calibri" w:hAnsi="Times New Roman" w:cs="Times New Roman"/>
                <w:color w:val="auto"/>
                <w:sz w:val="20"/>
                <w:szCs w:val="20"/>
              </w:rPr>
              <w:t>-</w:t>
            </w:r>
          </w:p>
        </w:tc>
      </w:tr>
      <w:tr w:rsidR="00E045E3" w:rsidRPr="00E045E3" w14:paraId="31CA4B55"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B4523A6" w14:textId="77777777" w:rsidR="001C4856" w:rsidRPr="00E045E3" w:rsidRDefault="001C4856" w:rsidP="001C4856">
            <w:pPr>
              <w:rPr>
                <w:rFonts w:ascii="Times New Roman" w:eastAsia="Times New Roman" w:hAnsi="Times New Roman" w:cs="Times New Roman"/>
                <w:bCs w:val="0"/>
                <w:color w:val="auto"/>
                <w:sz w:val="20"/>
                <w:szCs w:val="20"/>
              </w:rPr>
            </w:pPr>
            <w:r w:rsidRPr="00E045E3">
              <w:rPr>
                <w:rFonts w:ascii="Times New Roman" w:eastAsia="Times New Roman" w:hAnsi="Times New Roman" w:cs="Times New Roman"/>
                <w:bCs w:val="0"/>
                <w:color w:val="auto"/>
                <w:sz w:val="20"/>
                <w:szCs w:val="20"/>
              </w:rPr>
              <w:t>Faktiskā budžeta bilance</w:t>
            </w:r>
          </w:p>
          <w:p w14:paraId="76753F77" w14:textId="77777777" w:rsidR="001C4856" w:rsidRPr="00E045E3" w:rsidRDefault="001C4856" w:rsidP="001C4856">
            <w:pPr>
              <w:rPr>
                <w:rFonts w:ascii="Times New Roman" w:eastAsia="Times New Roman" w:hAnsi="Times New Roman" w:cs="Times New Roman"/>
                <w:b w:val="0"/>
                <w:bCs w:val="0"/>
                <w:snapToGrid w:val="0"/>
                <w:color w:val="auto"/>
                <w:sz w:val="20"/>
                <w:szCs w:val="20"/>
              </w:rPr>
            </w:pPr>
            <w:r w:rsidRPr="00E045E3">
              <w:rPr>
                <w:rFonts w:ascii="Times New Roman" w:eastAsia="Times New Roman" w:hAnsi="Times New Roman" w:cs="Times New Roman"/>
                <w:bCs w:val="0"/>
                <w:color w:val="auto"/>
                <w:sz w:val="20"/>
                <w:szCs w:val="20"/>
              </w:rPr>
              <w:t>(% no IKP)</w:t>
            </w:r>
          </w:p>
        </w:tc>
        <w:tc>
          <w:tcPr>
            <w:tcW w:w="1124" w:type="dxa"/>
          </w:tcPr>
          <w:p w14:paraId="0B109FDC" w14:textId="77777777" w:rsidR="001C4856" w:rsidRPr="00E045E3" w:rsidRDefault="001C4856" w:rsidP="00486B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B.9</w:t>
            </w:r>
          </w:p>
        </w:tc>
        <w:tc>
          <w:tcPr>
            <w:tcW w:w="850" w:type="dxa"/>
          </w:tcPr>
          <w:p w14:paraId="17D1767E" w14:textId="77777777" w:rsidR="001C4856" w:rsidRPr="00E045E3" w:rsidRDefault="001C4856" w:rsidP="001C4856">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tcPr>
          <w:p w14:paraId="59BB82C2" w14:textId="77777777" w:rsidR="001C4856" w:rsidRPr="00E045E3" w:rsidRDefault="001C4856" w:rsidP="001C4856">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09943528" w14:textId="77777777" w:rsidR="001C4856" w:rsidRPr="00E045E3" w:rsidRDefault="001C4856" w:rsidP="001C4856">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tcPr>
          <w:p w14:paraId="15C7E97E" w14:textId="77777777" w:rsidR="001C4856" w:rsidRPr="00E045E3" w:rsidRDefault="001C4856" w:rsidP="001C4856">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p>
        </w:tc>
        <w:tc>
          <w:tcPr>
            <w:tcW w:w="850" w:type="dxa"/>
          </w:tcPr>
          <w:p w14:paraId="315555D3" w14:textId="77777777" w:rsidR="001C4856" w:rsidRPr="00E045E3" w:rsidRDefault="001C4856" w:rsidP="001C4856">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E045E3" w:rsidRPr="00E045E3" w14:paraId="5C07B4F3" w14:textId="77777777" w:rsidTr="00F3248F">
        <w:tc>
          <w:tcPr>
            <w:cnfStyle w:val="001000000000" w:firstRow="0" w:lastRow="0" w:firstColumn="1" w:lastColumn="0" w:oddVBand="0" w:evenVBand="0" w:oddHBand="0" w:evenHBand="0" w:firstRowFirstColumn="0" w:firstRowLastColumn="0" w:lastRowFirstColumn="0" w:lastRowLastColumn="0"/>
            <w:tcW w:w="3687" w:type="dxa"/>
          </w:tcPr>
          <w:p w14:paraId="38B8C0E3" w14:textId="676AA0C0" w:rsidR="001C4856" w:rsidRPr="001E5D9F" w:rsidRDefault="001E5D9F" w:rsidP="001C4856">
            <w:pPr>
              <w:jc w:val="right"/>
              <w:rPr>
                <w:rFonts w:ascii="Times New Roman" w:eastAsia="Times New Roman" w:hAnsi="Times New Roman" w:cs="Times New Roman"/>
                <w:b w:val="0"/>
                <w:bCs w:val="0"/>
                <w:color w:val="auto"/>
                <w:sz w:val="20"/>
                <w:szCs w:val="20"/>
              </w:rPr>
            </w:pPr>
            <w:r w:rsidRPr="001E5D9F">
              <w:rPr>
                <w:rFonts w:ascii="Times New Roman" w:eastAsia="Times New Roman" w:hAnsi="Times New Roman" w:cs="Times New Roman"/>
                <w:b w:val="0"/>
                <w:bCs w:val="0"/>
                <w:color w:val="auto"/>
                <w:sz w:val="20"/>
                <w:szCs w:val="20"/>
              </w:rPr>
              <w:t>2016.-2019.gada Stabilitātes programma</w:t>
            </w:r>
          </w:p>
        </w:tc>
        <w:tc>
          <w:tcPr>
            <w:tcW w:w="1124" w:type="dxa"/>
          </w:tcPr>
          <w:p w14:paraId="22CCA978" w14:textId="77777777" w:rsidR="001C4856" w:rsidRPr="00E045E3" w:rsidRDefault="001C4856" w:rsidP="001C48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208E34BE"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-1,0</w:t>
            </w:r>
          </w:p>
        </w:tc>
        <w:tc>
          <w:tcPr>
            <w:tcW w:w="851" w:type="dxa"/>
          </w:tcPr>
          <w:p w14:paraId="0A8A0FD4"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-1,0</w:t>
            </w:r>
          </w:p>
        </w:tc>
        <w:tc>
          <w:tcPr>
            <w:tcW w:w="850" w:type="dxa"/>
          </w:tcPr>
          <w:p w14:paraId="6D8DF155"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-1,0</w:t>
            </w:r>
          </w:p>
        </w:tc>
        <w:tc>
          <w:tcPr>
            <w:tcW w:w="851" w:type="dxa"/>
          </w:tcPr>
          <w:p w14:paraId="7970485B"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-0,5</w:t>
            </w:r>
          </w:p>
        </w:tc>
        <w:tc>
          <w:tcPr>
            <w:tcW w:w="850" w:type="dxa"/>
          </w:tcPr>
          <w:p w14:paraId="6394BC46" w14:textId="77777777" w:rsidR="001C4856" w:rsidRPr="00E045E3" w:rsidRDefault="001C4856" w:rsidP="00E045E3">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w:t>
            </w:r>
          </w:p>
        </w:tc>
      </w:tr>
      <w:tr w:rsidR="001E5D9F" w:rsidRPr="00E045E3" w14:paraId="45CE3D33"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2EB5C138" w14:textId="435261AA" w:rsidR="001E5D9F" w:rsidRPr="001E5D9F" w:rsidRDefault="001E5D9F" w:rsidP="001E5D9F">
            <w:pPr>
              <w:jc w:val="right"/>
              <w:rPr>
                <w:rFonts w:ascii="Times New Roman" w:eastAsia="Times New Roman" w:hAnsi="Times New Roman" w:cs="Times New Roman"/>
                <w:b w:val="0"/>
                <w:bCs w:val="0"/>
                <w:color w:val="auto"/>
                <w:sz w:val="20"/>
                <w:szCs w:val="20"/>
              </w:rPr>
            </w:pPr>
            <w:r w:rsidRPr="001E5D9F">
              <w:rPr>
                <w:rFonts w:ascii="Times New Roman" w:eastAsia="Times New Roman" w:hAnsi="Times New Roman" w:cs="Times New Roman"/>
                <w:b w:val="0"/>
                <w:bCs w:val="0"/>
                <w:color w:val="auto"/>
                <w:sz w:val="20"/>
                <w:szCs w:val="20"/>
              </w:rPr>
              <w:t>2017.-2020.gada Stabilitātes programma</w:t>
            </w:r>
          </w:p>
        </w:tc>
        <w:tc>
          <w:tcPr>
            <w:tcW w:w="1124" w:type="dxa"/>
          </w:tcPr>
          <w:p w14:paraId="0DC24D40" w14:textId="77777777" w:rsidR="001E5D9F" w:rsidRPr="00E045E3" w:rsidRDefault="001E5D9F" w:rsidP="001E5D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721A43CC" w14:textId="77777777" w:rsidR="001E5D9F" w:rsidRPr="00E045E3" w:rsidRDefault="001E5D9F"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0</w:t>
            </w:r>
          </w:p>
        </w:tc>
        <w:tc>
          <w:tcPr>
            <w:tcW w:w="851" w:type="dxa"/>
          </w:tcPr>
          <w:p w14:paraId="74A7E81C" w14:textId="77777777" w:rsidR="001E5D9F" w:rsidRPr="00E045E3" w:rsidRDefault="001E5D9F"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-0,8</w:t>
            </w:r>
          </w:p>
        </w:tc>
        <w:tc>
          <w:tcPr>
            <w:tcW w:w="850" w:type="dxa"/>
          </w:tcPr>
          <w:p w14:paraId="688075E0" w14:textId="77777777" w:rsidR="001E5D9F" w:rsidRPr="00E045E3" w:rsidRDefault="001E5D9F"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-1,6</w:t>
            </w:r>
          </w:p>
        </w:tc>
        <w:tc>
          <w:tcPr>
            <w:tcW w:w="851" w:type="dxa"/>
          </w:tcPr>
          <w:p w14:paraId="23370E62" w14:textId="77777777" w:rsidR="001E5D9F" w:rsidRPr="00E045E3" w:rsidRDefault="001E5D9F"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-1,2</w:t>
            </w:r>
          </w:p>
        </w:tc>
        <w:tc>
          <w:tcPr>
            <w:tcW w:w="850" w:type="dxa"/>
          </w:tcPr>
          <w:p w14:paraId="122F90AF" w14:textId="77777777" w:rsidR="001E5D9F" w:rsidRPr="00E045E3" w:rsidRDefault="001E5D9F"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-0,5</w:t>
            </w:r>
          </w:p>
        </w:tc>
      </w:tr>
      <w:tr w:rsidR="001E5D9F" w:rsidRPr="00E045E3" w14:paraId="5580ED32" w14:textId="77777777" w:rsidTr="00F3248F">
        <w:tc>
          <w:tcPr>
            <w:cnfStyle w:val="001000000000" w:firstRow="0" w:lastRow="0" w:firstColumn="1" w:lastColumn="0" w:oddVBand="0" w:evenVBand="0" w:oddHBand="0" w:evenHBand="0" w:firstRowFirstColumn="0" w:firstRowLastColumn="0" w:lastRowFirstColumn="0" w:lastRowLastColumn="0"/>
            <w:tcW w:w="3687" w:type="dxa"/>
          </w:tcPr>
          <w:p w14:paraId="140EAD24" w14:textId="77777777" w:rsidR="001E5D9F" w:rsidRPr="001E5D9F" w:rsidRDefault="001E5D9F" w:rsidP="001E5D9F">
            <w:pPr>
              <w:jc w:val="right"/>
              <w:rPr>
                <w:rFonts w:ascii="Times New Roman" w:eastAsia="Times New Roman" w:hAnsi="Times New Roman" w:cs="Times New Roman"/>
                <w:bCs w:val="0"/>
                <w:snapToGrid w:val="0"/>
                <w:color w:val="auto"/>
                <w:sz w:val="20"/>
                <w:szCs w:val="20"/>
              </w:rPr>
            </w:pPr>
            <w:r w:rsidRPr="001E5D9F">
              <w:rPr>
                <w:rFonts w:ascii="Times New Roman" w:eastAsia="Times New Roman" w:hAnsi="Times New Roman" w:cs="Times New Roman"/>
                <w:bCs w:val="0"/>
                <w:snapToGrid w:val="0"/>
                <w:color w:val="auto"/>
                <w:sz w:val="20"/>
                <w:szCs w:val="20"/>
              </w:rPr>
              <w:t>Izmaiņas</w:t>
            </w:r>
          </w:p>
        </w:tc>
        <w:tc>
          <w:tcPr>
            <w:tcW w:w="1124" w:type="dxa"/>
          </w:tcPr>
          <w:p w14:paraId="1214E8DE" w14:textId="77777777" w:rsidR="001E5D9F" w:rsidRPr="00E045E3" w:rsidRDefault="001E5D9F" w:rsidP="001E5D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47363542" w14:textId="77777777" w:rsidR="001E5D9F" w:rsidRPr="00E045E3"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1,0</w:t>
            </w:r>
          </w:p>
        </w:tc>
        <w:tc>
          <w:tcPr>
            <w:tcW w:w="851" w:type="dxa"/>
          </w:tcPr>
          <w:p w14:paraId="05A6100E" w14:textId="77777777" w:rsidR="001E5D9F" w:rsidRPr="00E045E3"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0,2</w:t>
            </w:r>
          </w:p>
        </w:tc>
        <w:tc>
          <w:tcPr>
            <w:tcW w:w="850" w:type="dxa"/>
          </w:tcPr>
          <w:p w14:paraId="4EC28BDA" w14:textId="77777777" w:rsidR="001E5D9F" w:rsidRPr="00E045E3"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-0,6</w:t>
            </w:r>
          </w:p>
        </w:tc>
        <w:tc>
          <w:tcPr>
            <w:tcW w:w="851" w:type="dxa"/>
          </w:tcPr>
          <w:p w14:paraId="187C0ED4" w14:textId="77777777" w:rsidR="001E5D9F" w:rsidRPr="00E045E3"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-0,7</w:t>
            </w:r>
          </w:p>
        </w:tc>
        <w:tc>
          <w:tcPr>
            <w:tcW w:w="850" w:type="dxa"/>
          </w:tcPr>
          <w:p w14:paraId="6A518C51" w14:textId="77777777" w:rsidR="001E5D9F" w:rsidRPr="00E045E3"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E045E3">
              <w:rPr>
                <w:rFonts w:ascii="Times New Roman" w:eastAsia="Arial Unicode MS" w:hAnsi="Times New Roman" w:cs="Times New Roman"/>
                <w:color w:val="auto"/>
                <w:sz w:val="20"/>
                <w:szCs w:val="20"/>
              </w:rPr>
              <w:t>-</w:t>
            </w:r>
          </w:p>
        </w:tc>
      </w:tr>
      <w:tr w:rsidR="001E5D9F" w:rsidRPr="00E045E3" w14:paraId="008F8E6B"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4E1874F9" w14:textId="77777777" w:rsidR="001E5D9F" w:rsidRPr="00E045E3" w:rsidRDefault="001E5D9F" w:rsidP="001E5D9F">
            <w:pPr>
              <w:rPr>
                <w:rFonts w:ascii="Times New Roman" w:eastAsia="Times New Roman" w:hAnsi="Times New Roman" w:cs="Times New Roman"/>
                <w:b w:val="0"/>
                <w:bCs w:val="0"/>
                <w:snapToGrid w:val="0"/>
                <w:color w:val="auto"/>
                <w:sz w:val="20"/>
                <w:szCs w:val="20"/>
              </w:rPr>
            </w:pPr>
            <w:r w:rsidRPr="00E045E3">
              <w:rPr>
                <w:rFonts w:ascii="Times New Roman" w:eastAsia="Times New Roman" w:hAnsi="Times New Roman" w:cs="Times New Roman"/>
                <w:bCs w:val="0"/>
                <w:color w:val="auto"/>
                <w:sz w:val="20"/>
                <w:szCs w:val="20"/>
              </w:rPr>
              <w:t>Vispārējās valdības kopējais parāds (% no IKP)</w:t>
            </w:r>
          </w:p>
        </w:tc>
        <w:tc>
          <w:tcPr>
            <w:tcW w:w="1124" w:type="dxa"/>
          </w:tcPr>
          <w:p w14:paraId="1B4C5E2F" w14:textId="77777777" w:rsidR="001E5D9F" w:rsidRPr="00E045E3" w:rsidRDefault="001E5D9F" w:rsidP="001E5D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tcPr>
          <w:p w14:paraId="5BC5EFDD" w14:textId="77777777" w:rsidR="001E5D9F" w:rsidRPr="00E045E3" w:rsidRDefault="001E5D9F" w:rsidP="001E5D9F">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1" w:type="dxa"/>
          </w:tcPr>
          <w:p w14:paraId="538FD35E" w14:textId="77777777" w:rsidR="001E5D9F" w:rsidRPr="00E045E3" w:rsidRDefault="001E5D9F" w:rsidP="001E5D9F">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0" w:type="dxa"/>
          </w:tcPr>
          <w:p w14:paraId="4FAC8E12" w14:textId="77777777" w:rsidR="001E5D9F" w:rsidRPr="00E045E3" w:rsidRDefault="001E5D9F" w:rsidP="001E5D9F">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1" w:type="dxa"/>
          </w:tcPr>
          <w:p w14:paraId="29D328F9" w14:textId="77777777" w:rsidR="001E5D9F" w:rsidRPr="00E045E3" w:rsidRDefault="001E5D9F" w:rsidP="001E5D9F">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highlight w:val="yellow"/>
              </w:rPr>
            </w:pPr>
          </w:p>
        </w:tc>
        <w:tc>
          <w:tcPr>
            <w:tcW w:w="850" w:type="dxa"/>
          </w:tcPr>
          <w:p w14:paraId="24D7A988" w14:textId="77777777" w:rsidR="001E5D9F" w:rsidRPr="00E045E3" w:rsidRDefault="001E5D9F"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1E5D9F" w:rsidRPr="00E045E3" w14:paraId="5A4AF95B" w14:textId="77777777" w:rsidTr="00F3248F">
        <w:tc>
          <w:tcPr>
            <w:cnfStyle w:val="001000000000" w:firstRow="0" w:lastRow="0" w:firstColumn="1" w:lastColumn="0" w:oddVBand="0" w:evenVBand="0" w:oddHBand="0" w:evenHBand="0" w:firstRowFirstColumn="0" w:firstRowLastColumn="0" w:lastRowFirstColumn="0" w:lastRowLastColumn="0"/>
            <w:tcW w:w="3687" w:type="dxa"/>
          </w:tcPr>
          <w:p w14:paraId="1E574157" w14:textId="03EF327A" w:rsidR="001E5D9F" w:rsidRPr="001E5D9F" w:rsidRDefault="001E5D9F" w:rsidP="001E5D9F">
            <w:pPr>
              <w:jc w:val="right"/>
              <w:rPr>
                <w:rFonts w:ascii="Times New Roman" w:eastAsia="Times New Roman" w:hAnsi="Times New Roman" w:cs="Times New Roman"/>
                <w:b w:val="0"/>
                <w:bCs w:val="0"/>
                <w:color w:val="auto"/>
                <w:sz w:val="20"/>
                <w:szCs w:val="20"/>
              </w:rPr>
            </w:pPr>
            <w:r w:rsidRPr="001E5D9F">
              <w:rPr>
                <w:rFonts w:ascii="Times New Roman" w:eastAsia="Times New Roman" w:hAnsi="Times New Roman" w:cs="Times New Roman"/>
                <w:b w:val="0"/>
                <w:bCs w:val="0"/>
                <w:color w:val="auto"/>
                <w:sz w:val="20"/>
                <w:szCs w:val="20"/>
              </w:rPr>
              <w:t>2016.-2019.gada Stabilitātes programma</w:t>
            </w:r>
          </w:p>
        </w:tc>
        <w:tc>
          <w:tcPr>
            <w:tcW w:w="1124" w:type="dxa"/>
          </w:tcPr>
          <w:p w14:paraId="14726F5D" w14:textId="77777777" w:rsidR="001E5D9F" w:rsidRPr="00E045E3" w:rsidRDefault="001E5D9F" w:rsidP="001E5D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0" w:type="dxa"/>
          </w:tcPr>
          <w:p w14:paraId="05271014" w14:textId="77777777" w:rsidR="001E5D9F" w:rsidRPr="00F65896"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40,3</w:t>
            </w:r>
          </w:p>
        </w:tc>
        <w:tc>
          <w:tcPr>
            <w:tcW w:w="851" w:type="dxa"/>
          </w:tcPr>
          <w:p w14:paraId="46A07D75" w14:textId="77777777" w:rsidR="001E5D9F" w:rsidRPr="00F65896"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38,3</w:t>
            </w:r>
          </w:p>
        </w:tc>
        <w:tc>
          <w:tcPr>
            <w:tcW w:w="850" w:type="dxa"/>
          </w:tcPr>
          <w:p w14:paraId="15F9DDD1" w14:textId="77777777" w:rsidR="001E5D9F" w:rsidRPr="00F65896"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37,5</w:t>
            </w:r>
          </w:p>
        </w:tc>
        <w:tc>
          <w:tcPr>
            <w:tcW w:w="851" w:type="dxa"/>
          </w:tcPr>
          <w:p w14:paraId="2DBF50BA" w14:textId="77777777" w:rsidR="001E5D9F" w:rsidRPr="00F65896" w:rsidRDefault="001E5D9F" w:rsidP="001E5D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38,2</w:t>
            </w:r>
          </w:p>
        </w:tc>
        <w:tc>
          <w:tcPr>
            <w:tcW w:w="850" w:type="dxa"/>
          </w:tcPr>
          <w:p w14:paraId="1F88B315" w14:textId="77777777" w:rsidR="001E5D9F" w:rsidRPr="00F65896" w:rsidRDefault="001E5D9F" w:rsidP="001E5D9F">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w:t>
            </w:r>
          </w:p>
        </w:tc>
      </w:tr>
      <w:tr w:rsidR="001E5D9F" w:rsidRPr="00E045E3" w14:paraId="24EBBF04" w14:textId="77777777" w:rsidTr="00F3248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7" w:type="dxa"/>
          </w:tcPr>
          <w:p w14:paraId="094CF1E7" w14:textId="70C49926" w:rsidR="001E5D9F" w:rsidRPr="001E5D9F" w:rsidRDefault="001E5D9F" w:rsidP="001E5D9F">
            <w:pPr>
              <w:jc w:val="right"/>
              <w:rPr>
                <w:rFonts w:ascii="Times New Roman" w:eastAsia="Times New Roman" w:hAnsi="Times New Roman" w:cs="Times New Roman"/>
                <w:b w:val="0"/>
                <w:bCs w:val="0"/>
                <w:color w:val="auto"/>
                <w:sz w:val="20"/>
                <w:szCs w:val="20"/>
              </w:rPr>
            </w:pPr>
            <w:r w:rsidRPr="001E5D9F">
              <w:rPr>
                <w:rFonts w:ascii="Times New Roman" w:eastAsia="Times New Roman" w:hAnsi="Times New Roman" w:cs="Times New Roman"/>
                <w:b w:val="0"/>
                <w:bCs w:val="0"/>
                <w:color w:val="auto"/>
                <w:sz w:val="20"/>
                <w:szCs w:val="20"/>
              </w:rPr>
              <w:t>2017.-2020.gada Stabilitātes programma</w:t>
            </w:r>
          </w:p>
        </w:tc>
        <w:tc>
          <w:tcPr>
            <w:tcW w:w="1124" w:type="dxa"/>
          </w:tcPr>
          <w:p w14:paraId="67E8D639" w14:textId="77777777" w:rsidR="001E5D9F" w:rsidRPr="00E045E3" w:rsidRDefault="001E5D9F" w:rsidP="001E5D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0" w:type="dxa"/>
          </w:tcPr>
          <w:p w14:paraId="6A6F4875" w14:textId="17C6852C" w:rsidR="001E5D9F" w:rsidRPr="00F65896" w:rsidRDefault="001E5D9F" w:rsidP="00F65896">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40,</w:t>
            </w:r>
            <w:r w:rsidR="00F65896" w:rsidRPr="00F65896">
              <w:rPr>
                <w:rFonts w:ascii="Times New Roman" w:eastAsia="Times New Roman" w:hAnsi="Times New Roman" w:cs="Times New Roman"/>
                <w:color w:val="auto"/>
                <w:sz w:val="20"/>
                <w:szCs w:val="20"/>
              </w:rPr>
              <w:t>1</w:t>
            </w:r>
          </w:p>
        </w:tc>
        <w:tc>
          <w:tcPr>
            <w:tcW w:w="851" w:type="dxa"/>
          </w:tcPr>
          <w:p w14:paraId="4A3BA518" w14:textId="0A160D77" w:rsidR="001E5D9F" w:rsidRPr="00F65896" w:rsidRDefault="00F65896"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39,2</w:t>
            </w:r>
          </w:p>
        </w:tc>
        <w:tc>
          <w:tcPr>
            <w:tcW w:w="850" w:type="dxa"/>
          </w:tcPr>
          <w:p w14:paraId="6D395578" w14:textId="51E8186F" w:rsidR="001E5D9F" w:rsidRPr="00F65896" w:rsidRDefault="00F65896"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38,2</w:t>
            </w:r>
          </w:p>
        </w:tc>
        <w:tc>
          <w:tcPr>
            <w:tcW w:w="851" w:type="dxa"/>
          </w:tcPr>
          <w:p w14:paraId="4B90CEEF" w14:textId="096EE222" w:rsidR="001E5D9F" w:rsidRPr="00F65896" w:rsidRDefault="00F65896"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39,4</w:t>
            </w:r>
          </w:p>
        </w:tc>
        <w:tc>
          <w:tcPr>
            <w:tcW w:w="850" w:type="dxa"/>
          </w:tcPr>
          <w:p w14:paraId="0D5F87DC" w14:textId="0B98D8ED" w:rsidR="001E5D9F" w:rsidRPr="00F65896" w:rsidRDefault="00F65896" w:rsidP="001E5D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40,4</w:t>
            </w:r>
          </w:p>
        </w:tc>
      </w:tr>
      <w:tr w:rsidR="001E5D9F" w:rsidRPr="00E045E3" w14:paraId="30420B9B" w14:textId="77777777" w:rsidTr="00F3248F">
        <w:tc>
          <w:tcPr>
            <w:cnfStyle w:val="001000000000" w:firstRow="0" w:lastRow="0" w:firstColumn="1" w:lastColumn="0" w:oddVBand="0" w:evenVBand="0" w:oddHBand="0" w:evenHBand="0" w:firstRowFirstColumn="0" w:firstRowLastColumn="0" w:lastRowFirstColumn="0" w:lastRowLastColumn="0"/>
            <w:tcW w:w="3687" w:type="dxa"/>
          </w:tcPr>
          <w:p w14:paraId="030BC9DC" w14:textId="77777777" w:rsidR="001E5D9F" w:rsidRPr="001E5D9F" w:rsidRDefault="001E5D9F" w:rsidP="001E5D9F">
            <w:pPr>
              <w:jc w:val="right"/>
              <w:rPr>
                <w:rFonts w:ascii="Times New Roman" w:eastAsia="Times New Roman" w:hAnsi="Times New Roman" w:cs="Times New Roman"/>
                <w:bCs w:val="0"/>
                <w:snapToGrid w:val="0"/>
                <w:color w:val="auto"/>
                <w:sz w:val="20"/>
                <w:szCs w:val="20"/>
              </w:rPr>
            </w:pPr>
            <w:r w:rsidRPr="001E5D9F">
              <w:rPr>
                <w:rFonts w:ascii="Times New Roman" w:eastAsia="Times New Roman" w:hAnsi="Times New Roman" w:cs="Times New Roman"/>
                <w:bCs w:val="0"/>
                <w:snapToGrid w:val="0"/>
                <w:color w:val="auto"/>
                <w:sz w:val="20"/>
                <w:szCs w:val="20"/>
              </w:rPr>
              <w:t>Izmaiņas</w:t>
            </w:r>
          </w:p>
        </w:tc>
        <w:tc>
          <w:tcPr>
            <w:tcW w:w="1124" w:type="dxa"/>
          </w:tcPr>
          <w:p w14:paraId="764BA262" w14:textId="77777777" w:rsidR="001E5D9F" w:rsidRPr="00E045E3" w:rsidRDefault="001E5D9F" w:rsidP="001E5D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0" w:type="dxa"/>
          </w:tcPr>
          <w:p w14:paraId="4EA182EA" w14:textId="6D3BEBBC" w:rsidR="001E5D9F" w:rsidRPr="00F65896" w:rsidRDefault="00F65896" w:rsidP="00F6589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-0,2</w:t>
            </w:r>
          </w:p>
        </w:tc>
        <w:tc>
          <w:tcPr>
            <w:tcW w:w="851" w:type="dxa"/>
          </w:tcPr>
          <w:p w14:paraId="25281869" w14:textId="615C8F4F" w:rsidR="001E5D9F" w:rsidRPr="00F65896" w:rsidRDefault="001E5D9F" w:rsidP="00F6589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w:t>
            </w:r>
            <w:r w:rsidR="00F65896" w:rsidRPr="00F65896">
              <w:rPr>
                <w:rFonts w:ascii="Times New Roman" w:eastAsia="Times New Roman" w:hAnsi="Times New Roman" w:cs="Times New Roman"/>
                <w:color w:val="auto"/>
                <w:sz w:val="20"/>
                <w:szCs w:val="20"/>
              </w:rPr>
              <w:t>0,9</w:t>
            </w:r>
          </w:p>
        </w:tc>
        <w:tc>
          <w:tcPr>
            <w:tcW w:w="850" w:type="dxa"/>
          </w:tcPr>
          <w:p w14:paraId="0E3D3FFA" w14:textId="78DDF143" w:rsidR="001E5D9F" w:rsidRPr="00F65896" w:rsidRDefault="001E5D9F" w:rsidP="00F6589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w:t>
            </w:r>
            <w:r w:rsidR="00F65896" w:rsidRPr="00F65896">
              <w:rPr>
                <w:rFonts w:ascii="Times New Roman" w:eastAsia="Times New Roman" w:hAnsi="Times New Roman" w:cs="Times New Roman"/>
                <w:color w:val="auto"/>
                <w:sz w:val="20"/>
                <w:szCs w:val="20"/>
              </w:rPr>
              <w:t>0,7</w:t>
            </w:r>
          </w:p>
        </w:tc>
        <w:tc>
          <w:tcPr>
            <w:tcW w:w="851" w:type="dxa"/>
          </w:tcPr>
          <w:p w14:paraId="5ECC0667" w14:textId="57086685" w:rsidR="001E5D9F" w:rsidRPr="00F65896" w:rsidRDefault="001E5D9F" w:rsidP="00F6589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w:t>
            </w:r>
            <w:r w:rsidR="00F65896" w:rsidRPr="00F65896">
              <w:rPr>
                <w:rFonts w:ascii="Times New Roman" w:eastAsia="Times New Roman" w:hAnsi="Times New Roman" w:cs="Times New Roman"/>
                <w:color w:val="auto"/>
                <w:sz w:val="20"/>
                <w:szCs w:val="20"/>
              </w:rPr>
              <w:t>1,2</w:t>
            </w:r>
          </w:p>
        </w:tc>
        <w:tc>
          <w:tcPr>
            <w:tcW w:w="850" w:type="dxa"/>
          </w:tcPr>
          <w:p w14:paraId="541E7A2E" w14:textId="77777777" w:rsidR="001E5D9F" w:rsidRPr="00F65896" w:rsidRDefault="001E5D9F" w:rsidP="001E5D9F">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65896">
              <w:rPr>
                <w:rFonts w:ascii="Times New Roman" w:eastAsia="Times New Roman" w:hAnsi="Times New Roman" w:cs="Times New Roman"/>
                <w:color w:val="auto"/>
                <w:sz w:val="20"/>
                <w:szCs w:val="20"/>
              </w:rPr>
              <w:t>-</w:t>
            </w:r>
          </w:p>
        </w:tc>
      </w:tr>
    </w:tbl>
    <w:p w14:paraId="70C40B6D" w14:textId="24E8FDF4" w:rsidR="001C4856" w:rsidRPr="001C4856" w:rsidRDefault="001C4856" w:rsidP="00E045E3">
      <w:pPr>
        <w:spacing w:before="120" w:after="0" w:line="240" w:lineRule="auto"/>
        <w:ind w:firstLine="720"/>
        <w:jc w:val="both"/>
        <w:rPr>
          <w:rFonts w:ascii="Times New Roman" w:eastAsia="Calibri" w:hAnsi="Times New Roman" w:cs="Times New Roman"/>
          <w:sz w:val="24"/>
          <w:szCs w:val="24"/>
        </w:rPr>
      </w:pPr>
      <w:r w:rsidRPr="001C4856">
        <w:rPr>
          <w:rFonts w:ascii="Times New Roman" w:eastAsia="Calibri" w:hAnsi="Times New Roman" w:cs="Times New Roman"/>
          <w:sz w:val="24"/>
          <w:szCs w:val="24"/>
        </w:rPr>
        <w:t>FM vērtējumā vispārējās valdības budžeta deficīts 2016.gadā bija par 1 procentpunktu zemāks nekā tika prognozēts iepriekšējā Stabilitātes programmā 2016-2019.gadam. Gandrīz sabalansētu budžetu 201</w:t>
      </w:r>
      <w:r w:rsidR="00486BB4">
        <w:rPr>
          <w:rFonts w:ascii="Times New Roman" w:eastAsia="Calibri" w:hAnsi="Times New Roman" w:cs="Times New Roman"/>
          <w:sz w:val="24"/>
          <w:szCs w:val="24"/>
        </w:rPr>
        <w:t>6.gadā nodrošināja gan augstāki</w:t>
      </w:r>
      <w:r w:rsidRPr="001C4856">
        <w:rPr>
          <w:rFonts w:ascii="Times New Roman" w:eastAsia="Calibri" w:hAnsi="Times New Roman" w:cs="Times New Roman"/>
          <w:sz w:val="24"/>
          <w:szCs w:val="24"/>
        </w:rPr>
        <w:t xml:space="preserve"> nodokļu un ne-nodokļu ieņēmumi, gan arī zemāki izdevumi, jo tika ietaupīti līdzekļi galvenokārt subsīdijām un dotācijām, precēm un pakalpojumiem, kā arī iemaksām ES budžetā. </w:t>
      </w:r>
    </w:p>
    <w:p w14:paraId="2BF757CC" w14:textId="27DFB382" w:rsidR="001C4856" w:rsidRPr="001C4856" w:rsidRDefault="001C4856" w:rsidP="00E045E3">
      <w:pPr>
        <w:spacing w:after="0" w:line="240" w:lineRule="auto"/>
        <w:ind w:firstLine="720"/>
        <w:jc w:val="both"/>
        <w:rPr>
          <w:rFonts w:ascii="Times New Roman" w:eastAsia="Calibri" w:hAnsi="Times New Roman" w:cs="Times New Roman"/>
          <w:sz w:val="24"/>
          <w:szCs w:val="24"/>
        </w:rPr>
      </w:pPr>
      <w:r w:rsidRPr="001C4856">
        <w:rPr>
          <w:rFonts w:ascii="Times New Roman" w:eastAsia="Calibri" w:hAnsi="Times New Roman" w:cs="Times New Roman"/>
          <w:sz w:val="24"/>
          <w:szCs w:val="24"/>
        </w:rPr>
        <w:t xml:space="preserve">Aktualizētās vispārējās valdības budžeta </w:t>
      </w:r>
      <w:r w:rsidR="00486BB4">
        <w:rPr>
          <w:rFonts w:ascii="Times New Roman" w:eastAsia="Calibri" w:hAnsi="Times New Roman" w:cs="Times New Roman"/>
          <w:sz w:val="24"/>
          <w:szCs w:val="24"/>
        </w:rPr>
        <w:t>prognozes paredz deficītu 2017.gadā 0,8% apmērā no IKP, 2018.</w:t>
      </w:r>
      <w:r w:rsidRPr="001C4856">
        <w:rPr>
          <w:rFonts w:ascii="Times New Roman" w:eastAsia="Calibri" w:hAnsi="Times New Roman" w:cs="Times New Roman"/>
          <w:sz w:val="24"/>
          <w:szCs w:val="24"/>
        </w:rPr>
        <w:t>gadā 1,6% apmērā no IKP, 20</w:t>
      </w:r>
      <w:r w:rsidR="00486BB4">
        <w:rPr>
          <w:rFonts w:ascii="Times New Roman" w:eastAsia="Calibri" w:hAnsi="Times New Roman" w:cs="Times New Roman"/>
          <w:sz w:val="24"/>
          <w:szCs w:val="24"/>
        </w:rPr>
        <w:t>19.</w:t>
      </w:r>
      <w:r w:rsidRPr="001C4856">
        <w:rPr>
          <w:rFonts w:ascii="Times New Roman" w:eastAsia="Calibri" w:hAnsi="Times New Roman" w:cs="Times New Roman"/>
          <w:sz w:val="24"/>
          <w:szCs w:val="24"/>
        </w:rPr>
        <w:t>g</w:t>
      </w:r>
      <w:r w:rsidR="00486BB4">
        <w:rPr>
          <w:rFonts w:ascii="Times New Roman" w:eastAsia="Calibri" w:hAnsi="Times New Roman" w:cs="Times New Roman"/>
          <w:sz w:val="24"/>
          <w:szCs w:val="24"/>
        </w:rPr>
        <w:t>adā 1,2% apmērā no IKP un 2020.</w:t>
      </w:r>
      <w:r w:rsidRPr="001C4856">
        <w:rPr>
          <w:rFonts w:ascii="Times New Roman" w:eastAsia="Calibri" w:hAnsi="Times New Roman" w:cs="Times New Roman"/>
          <w:sz w:val="24"/>
          <w:szCs w:val="24"/>
        </w:rPr>
        <w:t xml:space="preserve">gadā 0,5% apmērā no IKP. Vispārējās valdības budžeta deficīta prognozes ir balstītas uz aktualizētajiem budžeta </w:t>
      </w:r>
      <w:r w:rsidR="00486BB4" w:rsidRPr="001C4856">
        <w:rPr>
          <w:rFonts w:ascii="Times New Roman" w:eastAsia="Calibri" w:hAnsi="Times New Roman" w:cs="Times New Roman"/>
          <w:sz w:val="24"/>
          <w:szCs w:val="24"/>
        </w:rPr>
        <w:t xml:space="preserve">strukturālās </w:t>
      </w:r>
      <w:r w:rsidRPr="001C4856">
        <w:rPr>
          <w:rFonts w:ascii="Times New Roman" w:eastAsia="Calibri" w:hAnsi="Times New Roman" w:cs="Times New Roman"/>
          <w:sz w:val="24"/>
          <w:szCs w:val="24"/>
        </w:rPr>
        <w:t xml:space="preserve">bilances mērķiem, izmaiņām budžeta bilances cikliskajā komponentē, kā arī valdības plānoto nodokļu politikas reformu sākot ar 2018.gadu. </w:t>
      </w:r>
    </w:p>
    <w:p w14:paraId="6D49B0E6" w14:textId="3FB61AFF" w:rsidR="00F65896" w:rsidRPr="00F65896" w:rsidRDefault="00F65896" w:rsidP="00F65896">
      <w:pPr>
        <w:spacing w:after="0" w:line="240" w:lineRule="auto"/>
        <w:ind w:firstLine="720"/>
        <w:jc w:val="both"/>
        <w:rPr>
          <w:rFonts w:ascii="Times New Roman" w:eastAsia="Calibri" w:hAnsi="Times New Roman" w:cs="Times New Roman"/>
          <w:sz w:val="24"/>
          <w:szCs w:val="24"/>
        </w:rPr>
      </w:pPr>
      <w:r w:rsidRPr="00F65896">
        <w:rPr>
          <w:rFonts w:ascii="Times New Roman" w:eastAsia="Calibri" w:hAnsi="Times New Roman" w:cs="Times New Roman"/>
          <w:sz w:val="24"/>
          <w:szCs w:val="24"/>
        </w:rPr>
        <w:t>Vispārējās valdības parāda prognoze 2017.-2020.gadā ir pal</w:t>
      </w:r>
      <w:r w:rsidR="002F2779">
        <w:rPr>
          <w:rFonts w:ascii="Times New Roman" w:eastAsia="Calibri" w:hAnsi="Times New Roman" w:cs="Times New Roman"/>
          <w:sz w:val="24"/>
          <w:szCs w:val="24"/>
        </w:rPr>
        <w:t>ielināta, salīdzinot ar 2016.–</w:t>
      </w:r>
      <w:r w:rsidRPr="00F65896">
        <w:rPr>
          <w:rFonts w:ascii="Times New Roman" w:eastAsia="Calibri" w:hAnsi="Times New Roman" w:cs="Times New Roman"/>
          <w:sz w:val="24"/>
          <w:szCs w:val="24"/>
        </w:rPr>
        <w:t xml:space="preserve">2019.gada Stabilitātes programmas prognozēm, ņemot vērā aktualizētās valsts budžeta finansiālās bilances, „fiskālās telpas” jeb pieejamo budžeta līdzekļu jaunu politikas prioritāšu finansēšanai prognozes, precizētu aizņemšanās stratēģiju vidējam termiņam, kā arī aktualizētās ekonomikas attīstības prognozes. Vispārējās valdības parāda pieaugumu noteica arī Latvijā apgrozībā esošo </w:t>
      </w:r>
      <w:r>
        <w:rPr>
          <w:rFonts w:ascii="Times New Roman" w:eastAsia="Calibri" w:hAnsi="Times New Roman" w:cs="Times New Roman"/>
          <w:i/>
          <w:sz w:val="24"/>
          <w:szCs w:val="24"/>
        </w:rPr>
        <w:t>euro</w:t>
      </w:r>
      <w:r w:rsidRPr="00F65896">
        <w:rPr>
          <w:rFonts w:ascii="Times New Roman" w:eastAsia="Calibri" w:hAnsi="Times New Roman" w:cs="Times New Roman"/>
          <w:sz w:val="24"/>
          <w:szCs w:val="24"/>
        </w:rPr>
        <w:t xml:space="preserve"> monētu, kuras emitē Latvijas Banka, iekļaušana vispārējās </w:t>
      </w:r>
      <w:r w:rsidR="002F2779">
        <w:rPr>
          <w:rFonts w:ascii="Times New Roman" w:eastAsia="Calibri" w:hAnsi="Times New Roman" w:cs="Times New Roman"/>
          <w:sz w:val="24"/>
          <w:szCs w:val="24"/>
        </w:rPr>
        <w:t>valdības parādā, sākot ar 2017.</w:t>
      </w:r>
      <w:r w:rsidRPr="00F65896">
        <w:rPr>
          <w:rFonts w:ascii="Times New Roman" w:eastAsia="Calibri" w:hAnsi="Times New Roman" w:cs="Times New Roman"/>
          <w:sz w:val="24"/>
          <w:szCs w:val="24"/>
        </w:rPr>
        <w:t xml:space="preserve">gada aprīļa notifikāciju, lai nodrošinātu vienveidīgu datu atspoguļojumu visās </w:t>
      </w:r>
      <w:r>
        <w:rPr>
          <w:rFonts w:ascii="Times New Roman" w:eastAsia="Calibri" w:hAnsi="Times New Roman" w:cs="Times New Roman"/>
          <w:sz w:val="24"/>
          <w:szCs w:val="24"/>
        </w:rPr>
        <w:t>ES</w:t>
      </w:r>
      <w:r w:rsidRPr="00F65896">
        <w:rPr>
          <w:rFonts w:ascii="Times New Roman" w:eastAsia="Calibri" w:hAnsi="Times New Roman" w:cs="Times New Roman"/>
          <w:sz w:val="24"/>
          <w:szCs w:val="24"/>
        </w:rPr>
        <w:t xml:space="preserve"> dalībvalstīs atbilstoši EKS 2010 5.2.ierāmējuma prasībām.</w:t>
      </w:r>
    </w:p>
    <w:p w14:paraId="2D93CD3B" w14:textId="77777777" w:rsidR="000B788C" w:rsidRDefault="000B788C">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14:paraId="2B43B472" w14:textId="3F43F827" w:rsidR="005536A9" w:rsidRPr="00F51615" w:rsidRDefault="005536A9" w:rsidP="00F512CA">
      <w:pPr>
        <w:pStyle w:val="Heading1"/>
        <w:numPr>
          <w:ilvl w:val="0"/>
          <w:numId w:val="1"/>
        </w:numPr>
        <w:ind w:left="284" w:hanging="283"/>
        <w:jc w:val="center"/>
        <w:rPr>
          <w:rFonts w:ascii="Times New Roman" w:hAnsi="Times New Roman" w:cs="Times New Roman"/>
          <w:sz w:val="32"/>
        </w:rPr>
      </w:pPr>
      <w:bookmarkStart w:id="29" w:name="_Toc479331103"/>
      <w:r w:rsidRPr="00F51615">
        <w:rPr>
          <w:rFonts w:ascii="Times New Roman" w:hAnsi="Times New Roman" w:cs="Times New Roman"/>
          <w:sz w:val="32"/>
        </w:rPr>
        <w:lastRenderedPageBreak/>
        <w:t>Valsts finanšu kvalitāte</w:t>
      </w:r>
      <w:bookmarkEnd w:id="29"/>
    </w:p>
    <w:p w14:paraId="5F6E319C" w14:textId="77777777" w:rsidR="00A34463" w:rsidRPr="00551458" w:rsidRDefault="00A34463" w:rsidP="00551458">
      <w:pPr>
        <w:pStyle w:val="Heading2"/>
        <w:numPr>
          <w:ilvl w:val="1"/>
          <w:numId w:val="1"/>
        </w:numPr>
        <w:spacing w:before="240" w:after="120"/>
        <w:ind w:left="709"/>
        <w:rPr>
          <w:rFonts w:ascii="Times New Roman" w:hAnsi="Times New Roman" w:cs="Times New Roman"/>
        </w:rPr>
      </w:pPr>
      <w:bookmarkStart w:id="30" w:name="_Toc479331104"/>
      <w:r w:rsidRPr="00551458">
        <w:rPr>
          <w:rFonts w:ascii="Times New Roman" w:hAnsi="Times New Roman" w:cs="Times New Roman"/>
        </w:rPr>
        <w:t>Valsts budžeta līdzekļu efektivitāte un izlietojuma kontrole</w:t>
      </w:r>
      <w:bookmarkEnd w:id="30"/>
    </w:p>
    <w:p w14:paraId="235B8762" w14:textId="7EA5123D" w:rsidR="000A334F" w:rsidRPr="000A334F" w:rsidRDefault="000A334F" w:rsidP="00907B96">
      <w:pPr>
        <w:pStyle w:val="BodyTextIndent2"/>
        <w:spacing w:before="0" w:after="0"/>
        <w:ind w:firstLine="709"/>
        <w:rPr>
          <w:szCs w:val="24"/>
        </w:rPr>
      </w:pPr>
      <w:r w:rsidRPr="000A334F">
        <w:rPr>
          <w:szCs w:val="24"/>
        </w:rPr>
        <w:t xml:space="preserve">Valsts budžeta izstrādāšanas, apstiprināšanas un izpildes kārtību un atbildību budžeta procesā nosaka LBFV. Par valsts budžeta izpildes procesa organizāciju un vadību, kā arī </w:t>
      </w:r>
      <w:r w:rsidR="00347278">
        <w:rPr>
          <w:szCs w:val="24"/>
        </w:rPr>
        <w:t>VK</w:t>
      </w:r>
      <w:r w:rsidRPr="000A334F">
        <w:rPr>
          <w:szCs w:val="24"/>
        </w:rPr>
        <w:t xml:space="preserve"> darbības uzraudzību atbilstoši LBFV prasībām ir atbildīgs finanšu ministrs.</w:t>
      </w:r>
    </w:p>
    <w:p w14:paraId="096590FF" w14:textId="77777777" w:rsidR="000A334F" w:rsidRPr="000A334F" w:rsidRDefault="000A334F" w:rsidP="00907B96">
      <w:pPr>
        <w:pStyle w:val="BodyTextIndent2"/>
        <w:spacing w:before="0" w:after="0"/>
        <w:ind w:firstLine="709"/>
        <w:rPr>
          <w:szCs w:val="24"/>
        </w:rPr>
      </w:pPr>
      <w:r w:rsidRPr="000A334F">
        <w:rPr>
          <w:szCs w:val="24"/>
        </w:rPr>
        <w:t xml:space="preserve">Saskaņā ar LBFV budžeta finansētu institūciju, budžeta nefinansētu iestāžu un pašvaldību, kā arī kapitālsabiedrību, kurās ieguldīta valsts vai pašvaldību kapitāla daļa, vadītāji ir atbildīgi par minētajā likumā noteiktās kārtības un prasību ievērošanu, izpildi un kontroli, kā arī par budžeta līdzekļu efektīvu un ekonomisku izlietošanu atbilstoši paredzētajiem mērķiem. </w:t>
      </w:r>
    </w:p>
    <w:p w14:paraId="18784AAD" w14:textId="2C94213F" w:rsidR="000A334F" w:rsidRPr="000A334F" w:rsidRDefault="000A334F" w:rsidP="00907B96">
      <w:pPr>
        <w:pStyle w:val="BodyTextIndent2"/>
        <w:spacing w:before="0" w:after="0"/>
        <w:ind w:firstLine="709"/>
        <w:rPr>
          <w:szCs w:val="24"/>
        </w:rPr>
      </w:pPr>
      <w:r w:rsidRPr="000A334F">
        <w:rPr>
          <w:szCs w:val="24"/>
        </w:rPr>
        <w:t xml:space="preserve">Saskaņā ar LBFV finanšu ministrs nodrošina gadskārtējā valsts budžeta likuma projekta izstrādi, pamatojoties uz </w:t>
      </w:r>
      <w:r w:rsidR="00347278">
        <w:rPr>
          <w:szCs w:val="24"/>
          <w:lang w:val="lv-LV"/>
        </w:rPr>
        <w:t>Ietvara likumu</w:t>
      </w:r>
      <w:r w:rsidRPr="000A334F">
        <w:rPr>
          <w:szCs w:val="24"/>
        </w:rPr>
        <w:t xml:space="preserve"> un budžeta pieprasījumiem. Finanšu ministrs izvērtē budžeta pieprasījumu atbilstību </w:t>
      </w:r>
      <w:r w:rsidR="00347278">
        <w:rPr>
          <w:szCs w:val="24"/>
          <w:lang w:val="lv-LV"/>
        </w:rPr>
        <w:t>Ietvara likumā</w:t>
      </w:r>
      <w:r w:rsidRPr="000A334F">
        <w:rPr>
          <w:szCs w:val="24"/>
        </w:rPr>
        <w:t xml:space="preserve"> noteiktajiem budžeta mērķiem un prioritārajiem attīstības virzieniem, kā arī</w:t>
      </w:r>
      <w:r w:rsidR="00882754">
        <w:rPr>
          <w:szCs w:val="24"/>
        </w:rPr>
        <w:t xml:space="preserve"> </w:t>
      </w:r>
      <w:r w:rsidRPr="000A334F">
        <w:rPr>
          <w:szCs w:val="24"/>
        </w:rPr>
        <w:t>ekonomiskuma un efektivitātes principiem</w:t>
      </w:r>
      <w:r w:rsidR="00882754">
        <w:rPr>
          <w:szCs w:val="24"/>
        </w:rPr>
        <w:t xml:space="preserve"> </w:t>
      </w:r>
      <w:r w:rsidRPr="000A334F">
        <w:rPr>
          <w:szCs w:val="24"/>
        </w:rPr>
        <w:t>un, ja nepieciešams, pieprasa papildu informāciju. Pamatojoties uz izvērtējumu un sniegto informāciju, finanšu ministrs (līdz gadskārtējā valsts budžeta likuma projekta iesniegšanai MK) pieņem lēmumu par budžeta pieprasījumu iekļaušanu gadskārtējā valsts budžeta likuma projektā. Finanšu ministrs jebkurā valsts budžeta likuma projekta izskatīšanas stadijā var izteikt savu viedokli, pievienot nepieciešamos atzinumus, kā arī atsevišķu revīziju rezultātus.</w:t>
      </w:r>
    </w:p>
    <w:p w14:paraId="59D57FA0" w14:textId="552763EF" w:rsidR="000A334F" w:rsidRPr="000A334F" w:rsidRDefault="000A334F" w:rsidP="00907B96">
      <w:pPr>
        <w:pStyle w:val="BodyTextIndent2"/>
        <w:spacing w:before="0" w:after="0"/>
        <w:ind w:firstLine="709"/>
        <w:rPr>
          <w:szCs w:val="24"/>
        </w:rPr>
      </w:pPr>
      <w:r w:rsidRPr="000A334F">
        <w:rPr>
          <w:szCs w:val="24"/>
        </w:rPr>
        <w:t xml:space="preserve">Ar 2016.gada 1.janvāri LBFV ir iekļauta norma, kas paredz MK nodrošināt pastāvīgu un </w:t>
      </w:r>
      <w:r w:rsidRPr="001E5D9F">
        <w:rPr>
          <w:b/>
          <w:szCs w:val="24"/>
        </w:rPr>
        <w:t>sistemātisku valsts budžeta izdevumu pārskatīšanu</w:t>
      </w:r>
      <w:r w:rsidRPr="000A334F">
        <w:rPr>
          <w:szCs w:val="24"/>
        </w:rPr>
        <w:t xml:space="preserve">, ļaujot efektīvāk un ekonomiskāk īstenot valsts politiku, kā arī optimizēt budžeta izdevumus un izvērtēt to atbilstību attīstības plānošanas dokumentos noteiktajām prioritātēm un mērķiem. MK ik gadu pieņems lēmumu par valsts budžeta izdevumu pārskatīšanas tvērumu vienlaikus ar </w:t>
      </w:r>
      <w:r w:rsidR="00347278">
        <w:rPr>
          <w:szCs w:val="24"/>
          <w:lang w:val="lv-LV"/>
        </w:rPr>
        <w:t>Ietvara likuma</w:t>
      </w:r>
      <w:r w:rsidRPr="000A334F">
        <w:rPr>
          <w:szCs w:val="24"/>
        </w:rPr>
        <w:t xml:space="preserve"> projekta un gadskārtējā valsts budžeta likuma projekta izstrādes un iesniegšanas grafika apstiprināšanu. Savukārt, finanšu ministrs atbilstoši minētajam grafikam iesniegs MK valsts budžeta izdevumu pārskatīšanas rezultātus un priekšlikumus par šo rezultātu izmantošanu </w:t>
      </w:r>
      <w:r w:rsidR="00347278">
        <w:rPr>
          <w:szCs w:val="24"/>
          <w:lang w:val="lv-LV"/>
        </w:rPr>
        <w:t>Ietvara likuma</w:t>
      </w:r>
      <w:r w:rsidRPr="000A334F">
        <w:rPr>
          <w:szCs w:val="24"/>
        </w:rPr>
        <w:t xml:space="preserve"> projekta un gadskārtējā valsts budžeta likuma projekta izstrādes procesā.</w:t>
      </w:r>
    </w:p>
    <w:p w14:paraId="6E8E007A" w14:textId="77777777" w:rsidR="000A334F" w:rsidRPr="000A334F" w:rsidRDefault="000A334F" w:rsidP="00907B96">
      <w:pPr>
        <w:pStyle w:val="BodyTextIndent2"/>
        <w:spacing w:before="0" w:after="0"/>
        <w:ind w:firstLine="709"/>
        <w:rPr>
          <w:szCs w:val="24"/>
        </w:rPr>
      </w:pPr>
      <w:r w:rsidRPr="000A334F">
        <w:rPr>
          <w:szCs w:val="24"/>
        </w:rPr>
        <w:t xml:space="preserve">Saskaņā ar LBFV valsts budžeta izpildītāji var veikt valsts budžeta izdevumus vai uzņemties īstermiņa saistības tikai to finansēšanas plānos noteikto asignējumu ietvaros, kurus izsniedz VK. Savukārt VK piešķir asignējumus izdevumiem, pamatojoties uz gadskārtējā valsts budžeta likumā noteikto apropriāciju un nodrošina to izpildi MK noteiktajā kārtībā. Ministrijas un citas centrālās valsts iestādes ir atbildīgas par gadskārtējā valsts budžeta likumā noteiktās apropriācijas izpildes kontroles sistēmas izveidi un par VK norēķinu kontos ieskaitīto valsts budžeta līdzekļu izlietojuma kontroli atbilstoši paredzētajiem mērķiem. </w:t>
      </w:r>
    </w:p>
    <w:p w14:paraId="58B542FA" w14:textId="77777777" w:rsidR="000A334F" w:rsidRPr="000A334F" w:rsidRDefault="000A334F" w:rsidP="00907B96">
      <w:pPr>
        <w:pStyle w:val="BodyTextIndent2"/>
        <w:spacing w:before="0" w:after="0"/>
        <w:rPr>
          <w:szCs w:val="24"/>
        </w:rPr>
      </w:pPr>
      <w:r w:rsidRPr="000A334F">
        <w:rPr>
          <w:szCs w:val="24"/>
        </w:rPr>
        <w:t>Budžeta iestādes var uzņemties valsts budžeta ilgtermiņa saistības, nepārsniedzot saimnieciskā gada valsts budžeta likumā noteiktos valsts budžeta ilgtermiņa saistību maksimāli pieļaujamos apjomus.</w:t>
      </w:r>
    </w:p>
    <w:p w14:paraId="3CD757FF" w14:textId="77777777" w:rsidR="000A334F" w:rsidRPr="000A334F" w:rsidRDefault="000A334F" w:rsidP="00907B96">
      <w:pPr>
        <w:pStyle w:val="BodyTextIndent2"/>
        <w:spacing w:before="0" w:after="0"/>
        <w:rPr>
          <w:szCs w:val="24"/>
        </w:rPr>
      </w:pPr>
      <w:r w:rsidRPr="000A334F">
        <w:rPr>
          <w:szCs w:val="24"/>
        </w:rPr>
        <w:t>Bez tam LBFV ir noteikts, ka valsts budžeta iestādes asignējumu saņemšanai un izdevumu veikšanai no valsts budžeta līdzekļiem atver valsts pamatbudžeta un valsts speciālā budžeta kontus tikai VK. Budžeta nefinansētas iestādes atver norēķinu kontus tikai VK. Valsts budžeta līdzekļu saņemšanai un no tiem finansēto izdevumu izdarīšanai budžeta finansētas institūcijas (izņemot valsts budžeta iestādes) atver norēķinu kontus tikai VK, ja citos normatīvajos aktos nav noteikts citādi. Pašvaldības un no valsts budžeta daļēji finansētas atvasinātas publiskas personas, kā arī kapitālsabiedrības, kurās ieguldīta valsts vai pašvaldību kapitāla daļa, var atvērt norēķinu kontus VK.</w:t>
      </w:r>
    </w:p>
    <w:p w14:paraId="2C57B00C" w14:textId="77777777" w:rsidR="000A334F" w:rsidRPr="000A334F" w:rsidRDefault="000A334F" w:rsidP="00907B96">
      <w:pPr>
        <w:pStyle w:val="BodyTextIndent2"/>
        <w:spacing w:before="0" w:after="0"/>
        <w:rPr>
          <w:szCs w:val="24"/>
        </w:rPr>
      </w:pPr>
      <w:r w:rsidRPr="000A334F">
        <w:rPr>
          <w:szCs w:val="24"/>
        </w:rPr>
        <w:t xml:space="preserve">Ministrijas un citas centrālās valsts budžeta iestādes un pašvaldības MK noteiktajā kārtībā sagatavo un iesniedz VK mēneša, ceturkšņa un gada pārskatus, savukārt, VK kārto valsts budžeta finanšu uzskaiti. VK sagatavo regulārus oficiālos un operatīvos pārskatus un </w:t>
      </w:r>
      <w:r w:rsidRPr="000A334F">
        <w:rPr>
          <w:szCs w:val="24"/>
        </w:rPr>
        <w:lastRenderedPageBreak/>
        <w:t>sniedz informāciju par valsts un pašvaldību budžetu izpildi, nodrošinot FM, citu iestāžu, kā arī sabiedrības informēšanu par budžeta izpildes gaitu.</w:t>
      </w:r>
    </w:p>
    <w:p w14:paraId="3B09911B" w14:textId="77777777" w:rsidR="000A334F" w:rsidRPr="000A334F" w:rsidRDefault="000A334F" w:rsidP="00907B96">
      <w:pPr>
        <w:pStyle w:val="BodyTextIndent2"/>
        <w:spacing w:before="0" w:after="0"/>
        <w:rPr>
          <w:szCs w:val="24"/>
        </w:rPr>
      </w:pPr>
      <w:r w:rsidRPr="000A334F">
        <w:rPr>
          <w:szCs w:val="24"/>
        </w:rPr>
        <w:t xml:space="preserve">Vienlaikus budžeta mērķu sasniegšanai nozaru ministrijas un citas centrālās valsts iestādes reizi ceturksnī sagatavo pārskatus par valsts budžeta izpildes gaitu un iesniedz tos FM. Pārskatos tiek sniegta informācija par valsts budžeta izpildi attiecīgajā pārskata periodā – veikto izdevumu salīdzinājums ar iepriekšējā gada pārskata periodu, salīdzinājums ar pārskata perioda plānu, pārskats par veiktajām un neveiktajām aktivitātēm, informācija par finanšu vadības uzlabošanas pasākumiem u.c. </w:t>
      </w:r>
    </w:p>
    <w:p w14:paraId="79107CFD" w14:textId="77777777" w:rsidR="000A334F" w:rsidRPr="000A334F" w:rsidRDefault="000A334F" w:rsidP="00907B96">
      <w:pPr>
        <w:pStyle w:val="BodyTextIndent2"/>
        <w:spacing w:before="0" w:after="0"/>
        <w:rPr>
          <w:szCs w:val="24"/>
        </w:rPr>
      </w:pPr>
      <w:r w:rsidRPr="000A334F">
        <w:rPr>
          <w:szCs w:val="24"/>
        </w:rPr>
        <w:t>Finanšu ministrs informē Saeimas Budžeta un finanšu (nodokļu) komisiju gadskārtējā valsts budžeta likumprojekta vai tā grozījumu izstrādes procesa laikā par valsts budžeta plānošanas gaitu, kā arī ne retāk kā reizi ceturksnī — par valsts budžeta izpildes gaitu.</w:t>
      </w:r>
    </w:p>
    <w:p w14:paraId="0898015B" w14:textId="77777777" w:rsidR="000A334F" w:rsidRPr="000A334F" w:rsidRDefault="000A334F" w:rsidP="00907B96">
      <w:pPr>
        <w:pStyle w:val="BodyTextIndent2"/>
        <w:spacing w:before="0" w:after="0"/>
        <w:rPr>
          <w:szCs w:val="24"/>
        </w:rPr>
      </w:pPr>
      <w:r w:rsidRPr="000A334F">
        <w:rPr>
          <w:szCs w:val="24"/>
        </w:rPr>
        <w:t xml:space="preserve">Saskaņā ar 2012.gada 31.jūlija MK noteikumiem Nr.523 “Noteikumi par budžeta pieprasījumu izstrādāšanas un iesniegšanas pamatprincipiem” budžeta programmu struktūra tiek noteikta atbilstoši institūcijas darbības stratēģijā definētajiem darbības (rīcības) virzieniem vai atbilstoši ministrijas vai citas centrālās valsts iestādes nolikumā noteiktajām funkcijām. Ministrijas un citas centrālās valsts iestādes to izpildē esošajām budžeta programmām un apakšprogrammām izvirza noteiktu mērķi ar tā sasniegšanas pakāpi raksturojošiem darbības rezultātiem un to rezultatīvajiem rādītājiem, kuriem tiek plānotas tendences arī vidējā termiņā un vienlaikus atspoguļota vēsturiskā informācija trīs gadu periodam. </w:t>
      </w:r>
    </w:p>
    <w:p w14:paraId="4A78B4E2" w14:textId="77777777" w:rsidR="000A334F" w:rsidRPr="000A334F" w:rsidRDefault="000A334F" w:rsidP="00907B96">
      <w:pPr>
        <w:pStyle w:val="BodyTextIndent2"/>
        <w:spacing w:before="0" w:after="0"/>
        <w:rPr>
          <w:szCs w:val="24"/>
        </w:rPr>
      </w:pPr>
      <w:r w:rsidRPr="000A334F">
        <w:rPr>
          <w:szCs w:val="24"/>
        </w:rPr>
        <w:t>Sagatavojot pārskatu par valsts budžeta izpildes analīzi, ministrijas un citas centrālās valsts iestādes sniedz skaidrojumus par iepriekš plānotajiem darbības rezultātiem un to rezultatīvajiem rādītājiem, to izpildi gada laikā, kā arī par rezultatīvo rādītāju vērtību izpildes novirzēm no plānotajām rezultatīvo rādītāju vērtībām, kas pārsniedz 15 procentus (gan pozitīvā, gan negatīvā nozīmē). FM apkopo, izvērtē un nodrošina valsts budžeta programmu (apakšprogrammu) darbības rezultātu un to rezultatīvo rādītāju uzkrāšanu.</w:t>
      </w:r>
      <w:r w:rsidRPr="000A334F">
        <w:rPr>
          <w:szCs w:val="24"/>
        </w:rPr>
        <w:tab/>
        <w:t xml:space="preserve"> </w:t>
      </w:r>
    </w:p>
    <w:p w14:paraId="13C01E1E" w14:textId="77777777" w:rsidR="000A334F" w:rsidRPr="000A334F" w:rsidRDefault="000A334F" w:rsidP="00907B96">
      <w:pPr>
        <w:pStyle w:val="BodyTextIndent2"/>
        <w:spacing w:before="0" w:after="0"/>
        <w:rPr>
          <w:szCs w:val="24"/>
        </w:rPr>
      </w:pPr>
      <w:r w:rsidRPr="000A334F">
        <w:rPr>
          <w:szCs w:val="24"/>
        </w:rPr>
        <w:t xml:space="preserve">Politikas rezultātus primāri plāno attīstības plānošanas dokumentos. Par politikas plānošanas dokumentiem tiek sagatavoti pārskata dokumenti informatīvo ziņojumu veidā gan politikas plānošanas dokumenta ieviešanas vidus posmā, gan arī pēc tā darbības termiņa beigām. </w:t>
      </w:r>
    </w:p>
    <w:p w14:paraId="4C501A79" w14:textId="28DA1BA3" w:rsidR="000A334F" w:rsidRPr="000A334F" w:rsidRDefault="000A334F" w:rsidP="00907B96">
      <w:pPr>
        <w:pStyle w:val="BodyTextIndent2"/>
        <w:spacing w:before="0" w:after="0"/>
        <w:rPr>
          <w:szCs w:val="24"/>
        </w:rPr>
      </w:pPr>
      <w:r w:rsidRPr="000A334F">
        <w:rPr>
          <w:szCs w:val="24"/>
        </w:rPr>
        <w:t xml:space="preserve">Lai stiprinātu līdzekļu izlietojuma kontroles iespējas, LBFV ir ietverta norma, kas nosaka, ka finanšu ministram ir tiesības dot rīkojumu VK aizkavēt vai samazināt asignējumu uz laiku līdz trim mēnešiem, ja finanšu ministrs ir saņēmis rakstveida ziņojumu par vismaz viena šāda nosacījuma iestāšanos: </w:t>
      </w:r>
    </w:p>
    <w:p w14:paraId="381468ED" w14:textId="77777777" w:rsidR="000A334F" w:rsidRPr="000A334F" w:rsidRDefault="000A334F" w:rsidP="00CE6BCD">
      <w:pPr>
        <w:pStyle w:val="Default"/>
        <w:numPr>
          <w:ilvl w:val="0"/>
          <w:numId w:val="6"/>
        </w:numPr>
        <w:ind w:left="1134" w:hanging="357"/>
        <w:jc w:val="both"/>
        <w:rPr>
          <w:color w:val="auto"/>
          <w:szCs w:val="28"/>
        </w:rPr>
      </w:pPr>
      <w:r w:rsidRPr="000A334F">
        <w:rPr>
          <w:color w:val="auto"/>
          <w:szCs w:val="28"/>
        </w:rPr>
        <w:t xml:space="preserve">triju mēnešu periodā valsts budžeta nodokļu un nenodokļu faktiskie ieņēmumi attiecībā pret attiecīgajā periodā paredzētajiem ieņēmumiem samazinās vairāk nekā par 0,5 % no gadskārtējā valsts budžeta likumā noteiktās IKP prognozes; </w:t>
      </w:r>
    </w:p>
    <w:p w14:paraId="020A2531" w14:textId="77777777" w:rsidR="000A334F" w:rsidRPr="000A334F" w:rsidRDefault="000A334F" w:rsidP="00CE6BCD">
      <w:pPr>
        <w:pStyle w:val="Default"/>
        <w:numPr>
          <w:ilvl w:val="0"/>
          <w:numId w:val="6"/>
        </w:numPr>
        <w:ind w:left="1134" w:hanging="357"/>
        <w:jc w:val="both"/>
        <w:rPr>
          <w:color w:val="auto"/>
          <w:szCs w:val="28"/>
        </w:rPr>
      </w:pPr>
      <w:r w:rsidRPr="000A334F">
        <w:rPr>
          <w:color w:val="auto"/>
          <w:szCs w:val="28"/>
        </w:rPr>
        <w:t>faktiskais uzkrātais valsts budžeta finansiālais deficīts triju mēnešu periodā pārsniedz attiecīgajam periodam paredzēto valsts budžeta finansiālo deficītu vairāk nekā par 0,5 % no gadskārtējā valsts budžeta likumā noteiktās IKP prognozes;</w:t>
      </w:r>
    </w:p>
    <w:p w14:paraId="1D1E6369" w14:textId="641E8A7D" w:rsidR="000A334F" w:rsidRPr="000A334F" w:rsidRDefault="000A334F" w:rsidP="00CE6BCD">
      <w:pPr>
        <w:pStyle w:val="Default"/>
        <w:numPr>
          <w:ilvl w:val="0"/>
          <w:numId w:val="6"/>
        </w:numPr>
        <w:ind w:left="1134" w:hanging="357"/>
        <w:jc w:val="both"/>
        <w:rPr>
          <w:color w:val="auto"/>
          <w:szCs w:val="28"/>
        </w:rPr>
      </w:pPr>
      <w:r w:rsidRPr="000A334F">
        <w:rPr>
          <w:color w:val="auto"/>
          <w:szCs w:val="28"/>
        </w:rPr>
        <w:t xml:space="preserve">ja VK budžeta kontos nav pietiekama līdzekļu apjoma, lai segtu nākamajam mēnesim plānotās maksājumu saistības. </w:t>
      </w:r>
    </w:p>
    <w:p w14:paraId="570AE63E" w14:textId="72C3FD65" w:rsidR="000A334F" w:rsidRPr="000A334F" w:rsidRDefault="000A334F" w:rsidP="00907B96">
      <w:pPr>
        <w:pStyle w:val="BodyTextIndent2"/>
        <w:spacing w:before="0" w:after="0"/>
        <w:rPr>
          <w:szCs w:val="24"/>
        </w:rPr>
      </w:pPr>
      <w:r w:rsidRPr="000A334F">
        <w:rPr>
          <w:szCs w:val="24"/>
        </w:rPr>
        <w:t xml:space="preserve">Galvenās LBFV noteiktās sankcijas par neatbilstošu rīcību ar budžeta līdzekļiem: </w:t>
      </w:r>
    </w:p>
    <w:p w14:paraId="582FB38F" w14:textId="77777777" w:rsidR="000A334F" w:rsidRPr="000A334F" w:rsidRDefault="000A334F" w:rsidP="00CE6BCD">
      <w:pPr>
        <w:pStyle w:val="Default"/>
        <w:numPr>
          <w:ilvl w:val="0"/>
          <w:numId w:val="6"/>
        </w:numPr>
        <w:ind w:left="1134" w:hanging="357"/>
        <w:jc w:val="both"/>
        <w:rPr>
          <w:color w:val="auto"/>
          <w:szCs w:val="28"/>
        </w:rPr>
      </w:pPr>
      <w:r w:rsidRPr="000A334F">
        <w:rPr>
          <w:color w:val="auto"/>
          <w:szCs w:val="28"/>
        </w:rPr>
        <w:t xml:space="preserve">par valsts budžetam pienākošos summu nesavlaicīgu vai nepilnīgu iemaksu VK budžeta kontos – VK (ja tas nav paredzēts citas valsts institūcijas kompetencē) piedzen iemaksāšanai pamatbudžeta ieņēmumos neiemaksāto summu un var piedzīt nokavējuma naudu 0,1 % apmērā no laikā nenomaksātās summas par katru nokavēto maksājuma dienu, ja normatīvajos aktos nav noteikta cita kārtība; </w:t>
      </w:r>
    </w:p>
    <w:p w14:paraId="39086963" w14:textId="77777777" w:rsidR="000A334F" w:rsidRPr="000A334F" w:rsidRDefault="000A334F" w:rsidP="00CE6BCD">
      <w:pPr>
        <w:pStyle w:val="Default"/>
        <w:numPr>
          <w:ilvl w:val="0"/>
          <w:numId w:val="6"/>
        </w:numPr>
        <w:ind w:left="1134" w:hanging="357"/>
        <w:jc w:val="both"/>
        <w:rPr>
          <w:color w:val="auto"/>
          <w:szCs w:val="28"/>
        </w:rPr>
      </w:pPr>
      <w:r w:rsidRPr="000A334F">
        <w:rPr>
          <w:color w:val="auto"/>
          <w:szCs w:val="28"/>
        </w:rPr>
        <w:t xml:space="preserve">ja jāsedz budžetam radušies zaudējumi – VK var ieskaitīt summas pamatbudžeta ieņēmumos, atsaukt vai apturēt asignējumus, ja nav laikā iesniegti vai ir nepilnīgi ziņojumi par budžetu un finanšu vadību, ja likumā noteiktajā kārtībā nav reģistrēti </w:t>
      </w:r>
      <w:r w:rsidRPr="000A334F">
        <w:rPr>
          <w:color w:val="auto"/>
          <w:szCs w:val="28"/>
        </w:rPr>
        <w:lastRenderedPageBreak/>
        <w:t xml:space="preserve">budžeta līdzekļi un darījumi ar šiem līdzekļiem, kā arī nav ziņots par tiem, ja uzskaite neatbilst noteiktajai kārtībai un tādējādi tiek slēpti budžetam pienākošie līdzekļi, kā arī, ja budžeta finansētas institūcijas vadītājs ir uzņēmies saistības, pārsniedzot VK sniegto asignējumu; </w:t>
      </w:r>
    </w:p>
    <w:p w14:paraId="12BFDF26" w14:textId="77777777" w:rsidR="000A334F" w:rsidRPr="000A334F" w:rsidRDefault="000A334F" w:rsidP="00CE6BCD">
      <w:pPr>
        <w:pStyle w:val="Default"/>
        <w:numPr>
          <w:ilvl w:val="0"/>
          <w:numId w:val="6"/>
        </w:numPr>
        <w:ind w:left="1134" w:hanging="357"/>
        <w:jc w:val="both"/>
        <w:rPr>
          <w:color w:val="auto"/>
          <w:szCs w:val="28"/>
        </w:rPr>
      </w:pPr>
      <w:r w:rsidRPr="000A334F">
        <w:rPr>
          <w:color w:val="auto"/>
          <w:szCs w:val="28"/>
        </w:rPr>
        <w:t xml:space="preserve">ja budžeta finansētas institūcijas, budžeta nefinansētas iestādes un pašvaldības, kā arī kapitālsabiedrības, kurās ir ieguldīta valsts vai pašvaldību kapitāla daļa, ir pārkāpušas LBFV paredzētos finanšu vadības noteikumus, finanšu ministrs, VK pārvaldnieks, ministriju un citu centrālo valsts iestāžu vadītāji (atbilstoši savai kompetencei) var uz laiku atņemt pilnvarojumu asignēt vai rīkot budžeta ieņēmumus vai izdevumus, noteikt kontu lietošanas ierobežojumus, atsaukt vai apturēt asignējumus, lai tiktu atlīdzināti nelikumīgi izlietotie līdzekļi, vai arī pieprasīt nelikumīgi izlietoto līdzekļu atmaksāšanu, iesniegt tiesā civilprasību vai nodot materiālus kompetentajām amatpersonām jautājuma par kriminālprocesa uzsākšanu izlemšanai, kā arī atsaukt vai apturēt maksājumus; </w:t>
      </w:r>
    </w:p>
    <w:p w14:paraId="6C35CD86" w14:textId="6E5C2161" w:rsidR="000A334F" w:rsidRPr="000B788C" w:rsidRDefault="000A334F" w:rsidP="00CE6BCD">
      <w:pPr>
        <w:pStyle w:val="Default"/>
        <w:numPr>
          <w:ilvl w:val="0"/>
          <w:numId w:val="6"/>
        </w:numPr>
        <w:ind w:left="1134" w:hanging="357"/>
        <w:jc w:val="both"/>
        <w:rPr>
          <w:color w:val="auto"/>
          <w:szCs w:val="28"/>
        </w:rPr>
      </w:pPr>
      <w:r w:rsidRPr="000A334F">
        <w:rPr>
          <w:color w:val="auto"/>
          <w:szCs w:val="28"/>
        </w:rPr>
        <w:t xml:space="preserve">VK atbilstoši Pašvaldību finanšu izlīdzināšanas likumam ir tiesības bezstrīdus kārtībā piedzīt no pašvaldības budžeta līdzekļiem naudas summas, ko attiecīgā pašvaldība nav savlaicīgi vai pilnā apmērā ieskaitījusi pašvaldību finanšu izlīdzināšanas fondā, norakstot šīs summas no attiecīgās pašvaldības budžeta. </w:t>
      </w:r>
    </w:p>
    <w:p w14:paraId="671A8F9A" w14:textId="77777777" w:rsidR="000A334F" w:rsidRPr="000A334F" w:rsidRDefault="000A334F" w:rsidP="00907B96">
      <w:pPr>
        <w:pStyle w:val="BodyTextIndent2"/>
        <w:spacing w:before="0" w:after="0"/>
        <w:rPr>
          <w:szCs w:val="24"/>
        </w:rPr>
      </w:pPr>
      <w:r w:rsidRPr="000A334F">
        <w:rPr>
          <w:szCs w:val="24"/>
        </w:rPr>
        <w:t>Lai saglabātu vispārējo ekonomisko līdzsvaru un nodrošinātu vienotu valsts finansiālo politiku, gadskārtējā valsts budžeta likumā atsevišķi tiek noteikti pašvaldību aizņēmumu un galvojumu kopējā palielinājuma apjomi.</w:t>
      </w:r>
    </w:p>
    <w:p w14:paraId="1265108D" w14:textId="41653B3F" w:rsidR="000A334F" w:rsidRPr="000A334F" w:rsidRDefault="000A334F" w:rsidP="00907B96">
      <w:pPr>
        <w:pStyle w:val="BodyTextIndent2"/>
        <w:spacing w:before="0" w:after="0"/>
        <w:rPr>
          <w:szCs w:val="24"/>
        </w:rPr>
      </w:pPr>
      <w:r w:rsidRPr="000A334F">
        <w:rPr>
          <w:szCs w:val="24"/>
        </w:rPr>
        <w:t xml:space="preserve">No summas, kas pašvaldībai pienākas no iedzīvotāju ienākuma nodokļa, vai no pašvaldību finanšu izlīdzināšanas fonda dotācijas VK ir tiesības ieturēt summas šādos gadījumos un šādā apmērā: </w:t>
      </w:r>
    </w:p>
    <w:p w14:paraId="4A389976" w14:textId="77777777" w:rsidR="000A334F" w:rsidRPr="000A334F" w:rsidRDefault="000A334F" w:rsidP="00CE6BCD">
      <w:pPr>
        <w:pStyle w:val="Default"/>
        <w:numPr>
          <w:ilvl w:val="0"/>
          <w:numId w:val="6"/>
        </w:numPr>
        <w:ind w:left="1134" w:hanging="357"/>
        <w:jc w:val="both"/>
        <w:rPr>
          <w:color w:val="auto"/>
          <w:szCs w:val="28"/>
        </w:rPr>
      </w:pPr>
      <w:r w:rsidRPr="000A334F">
        <w:rPr>
          <w:color w:val="auto"/>
          <w:szCs w:val="28"/>
        </w:rPr>
        <w:t xml:space="preserve">ja pašvaldība nenodrošina valsts aizdevumu līgumos noteikto saistību savlaicīgu izpildi – savlaicīgi nesamaksātās summas apmērā; </w:t>
      </w:r>
    </w:p>
    <w:p w14:paraId="78641799" w14:textId="77777777" w:rsidR="000A334F" w:rsidRPr="000A334F" w:rsidRDefault="000A334F" w:rsidP="00CE6BCD">
      <w:pPr>
        <w:pStyle w:val="Default"/>
        <w:numPr>
          <w:ilvl w:val="0"/>
          <w:numId w:val="6"/>
        </w:numPr>
        <w:ind w:left="1134" w:hanging="357"/>
        <w:jc w:val="both"/>
        <w:rPr>
          <w:color w:val="auto"/>
          <w:szCs w:val="28"/>
        </w:rPr>
      </w:pPr>
      <w:r w:rsidRPr="000A334F">
        <w:rPr>
          <w:color w:val="auto"/>
          <w:szCs w:val="28"/>
        </w:rPr>
        <w:t>ja pašvaldība nenodrošina valsts aizdevuma izmantošanu atbilstoši aizdevumu līgumā noteiktajam mērķim – pēc finanšu ministra rīkojuma neatbilstoši līgumā noteiktajam mērķim izmantotās aizdevuma summas apmērā.</w:t>
      </w:r>
    </w:p>
    <w:p w14:paraId="505CAF76" w14:textId="77777777" w:rsidR="00C27667" w:rsidRPr="00F51615" w:rsidRDefault="00C27667" w:rsidP="00C27667">
      <w:pPr>
        <w:pStyle w:val="Default"/>
        <w:tabs>
          <w:tab w:val="left" w:pos="851"/>
        </w:tabs>
        <w:spacing w:after="60"/>
        <w:jc w:val="both"/>
        <w:rPr>
          <w:rFonts w:eastAsiaTheme="majorEastAsia"/>
          <w:b/>
          <w:bCs/>
          <w:smallCaps/>
          <w:color w:val="000000" w:themeColor="text1"/>
          <w:szCs w:val="28"/>
        </w:rPr>
      </w:pPr>
    </w:p>
    <w:p w14:paraId="5A47E389" w14:textId="29B661D8" w:rsidR="00A34463" w:rsidRDefault="00A34463" w:rsidP="00A24A4C">
      <w:pPr>
        <w:pStyle w:val="Heading2"/>
        <w:numPr>
          <w:ilvl w:val="1"/>
          <w:numId w:val="1"/>
        </w:numPr>
        <w:spacing w:after="120"/>
        <w:ind w:left="709"/>
        <w:rPr>
          <w:rFonts w:ascii="Times New Roman" w:hAnsi="Times New Roman" w:cs="Times New Roman"/>
          <w:sz w:val="24"/>
        </w:rPr>
      </w:pPr>
      <w:bookmarkStart w:id="31" w:name="_Toc479331105"/>
      <w:r w:rsidRPr="00F51615">
        <w:rPr>
          <w:rFonts w:ascii="Times New Roman" w:hAnsi="Times New Roman" w:cs="Times New Roman"/>
          <w:sz w:val="24"/>
        </w:rPr>
        <w:t>Ieņēmumu struktūras un sistēmas efektivitāte</w:t>
      </w:r>
      <w:bookmarkEnd w:id="31"/>
    </w:p>
    <w:p w14:paraId="3460A802" w14:textId="77777777" w:rsidR="00CE6BCD" w:rsidRPr="00CE6BCD" w:rsidRDefault="00CE6BCD" w:rsidP="00906268">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Iepriekšējos gados ir uzsākts un 2017.gadā tiks pabeigts darbs pie valsts nodokļu politikas pamatnostādņu 2017.-2021.gadam izstrādes. Valsts nodokļu politikas pamatnostādņu mērķis ir ieviest stabilu un prognozējamu nodokļu politiku, kas vērsta uz tautsaimniecības izaugsmi un konkurētspēju, kā arī ienākumu nevienlīdzības valstī ierobežošanu, vienlaikus nodrošinot stabilus un pietiekamus nodokļu ieņēmumus publiskās pārvaldes un pakalpojumu finansēšanai.</w:t>
      </w:r>
    </w:p>
    <w:p w14:paraId="7B1A2CFD" w14:textId="460617E1" w:rsidR="00CE6BCD" w:rsidRPr="00CE6BCD" w:rsidRDefault="00906268" w:rsidP="00E045E3">
      <w:pPr>
        <w:keepNext/>
        <w:spacing w:before="120" w:after="60" w:line="240" w:lineRule="auto"/>
        <w:ind w:left="567"/>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6.1.</w:t>
      </w:r>
      <w:r w:rsidR="00CE6BCD" w:rsidRPr="00CE6BCD">
        <w:rPr>
          <w:rFonts w:ascii="Times New Roman" w:eastAsia="Times New Roman" w:hAnsi="Times New Roman" w:cs="Times New Roman"/>
          <w:b/>
          <w:sz w:val="24"/>
          <w:szCs w:val="20"/>
        </w:rPr>
        <w:t>tabula. Nodokļu ieņēmumi vispārējās valdības budžetā (S.13), milj. </w:t>
      </w:r>
      <w:r w:rsidR="00CE6BCD" w:rsidRPr="00CE6BCD">
        <w:rPr>
          <w:rFonts w:ascii="Times New Roman" w:eastAsia="Times New Roman" w:hAnsi="Times New Roman" w:cs="Times New Roman"/>
          <w:b/>
          <w:i/>
          <w:sz w:val="24"/>
          <w:szCs w:val="24"/>
        </w:rPr>
        <w:t>euro</w:t>
      </w:r>
    </w:p>
    <w:tbl>
      <w:tblPr>
        <w:tblStyle w:val="GridTable6Colorful-Accent1"/>
        <w:tblW w:w="9078" w:type="dxa"/>
        <w:tblLayout w:type="fixed"/>
        <w:tblLook w:val="04A0" w:firstRow="1" w:lastRow="0" w:firstColumn="1" w:lastColumn="0" w:noHBand="0" w:noVBand="1"/>
      </w:tblPr>
      <w:tblGrid>
        <w:gridCol w:w="2689"/>
        <w:gridCol w:w="1286"/>
        <w:gridCol w:w="992"/>
        <w:gridCol w:w="993"/>
        <w:gridCol w:w="1134"/>
        <w:gridCol w:w="992"/>
        <w:gridCol w:w="992"/>
      </w:tblGrid>
      <w:tr w:rsidR="00E045E3" w:rsidRPr="00E045E3" w14:paraId="2BAB4C04" w14:textId="77777777" w:rsidTr="00F32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3CE510" w14:textId="77777777" w:rsidR="00CE6BCD" w:rsidRPr="00E045E3" w:rsidRDefault="00CE6BCD" w:rsidP="00CE6BCD">
            <w:pPr>
              <w:rPr>
                <w:rFonts w:ascii="Times New Roman" w:eastAsia="Times New Roman" w:hAnsi="Times New Roman" w:cs="Times New Roman"/>
                <w:color w:val="auto"/>
                <w:sz w:val="20"/>
                <w:szCs w:val="20"/>
              </w:rPr>
            </w:pPr>
          </w:p>
        </w:tc>
        <w:tc>
          <w:tcPr>
            <w:tcW w:w="1286" w:type="dxa"/>
          </w:tcPr>
          <w:p w14:paraId="592C7A17" w14:textId="77777777" w:rsidR="00CE6BCD" w:rsidRPr="00E045E3" w:rsidRDefault="00CE6BCD" w:rsidP="00CE6BC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Kods (EKS)</w:t>
            </w:r>
          </w:p>
        </w:tc>
        <w:tc>
          <w:tcPr>
            <w:tcW w:w="992" w:type="dxa"/>
          </w:tcPr>
          <w:p w14:paraId="1A54B80C" w14:textId="77777777" w:rsidR="00CE6BCD" w:rsidRPr="00E045E3"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2016</w:t>
            </w:r>
          </w:p>
        </w:tc>
        <w:tc>
          <w:tcPr>
            <w:tcW w:w="993" w:type="dxa"/>
          </w:tcPr>
          <w:p w14:paraId="3F256938" w14:textId="77777777" w:rsidR="00CE6BCD" w:rsidRPr="00E045E3"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2017</w:t>
            </w:r>
          </w:p>
        </w:tc>
        <w:tc>
          <w:tcPr>
            <w:tcW w:w="1134" w:type="dxa"/>
          </w:tcPr>
          <w:p w14:paraId="1942606A" w14:textId="77777777" w:rsidR="00CE6BCD" w:rsidRPr="00E045E3"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2018</w:t>
            </w:r>
          </w:p>
        </w:tc>
        <w:tc>
          <w:tcPr>
            <w:tcW w:w="992" w:type="dxa"/>
          </w:tcPr>
          <w:p w14:paraId="22797889" w14:textId="77777777" w:rsidR="00CE6BCD" w:rsidRPr="00E045E3"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2019</w:t>
            </w:r>
          </w:p>
        </w:tc>
        <w:tc>
          <w:tcPr>
            <w:tcW w:w="992" w:type="dxa"/>
          </w:tcPr>
          <w:p w14:paraId="2911D1D3" w14:textId="77777777" w:rsidR="00CE6BCD" w:rsidRPr="00E045E3"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2020</w:t>
            </w:r>
          </w:p>
        </w:tc>
      </w:tr>
      <w:tr w:rsidR="00E045E3" w:rsidRPr="00E045E3" w14:paraId="31E79547"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90106A" w14:textId="77777777" w:rsidR="00CE6BCD" w:rsidRPr="00E045E3" w:rsidRDefault="00CE6BCD" w:rsidP="00CE6BCD">
            <w:pPr>
              <w:rPr>
                <w:rFonts w:ascii="Times New Roman" w:eastAsia="Times New Roman" w:hAnsi="Times New Roman" w:cs="Times New Roman"/>
                <w:b w:val="0"/>
                <w:color w:val="auto"/>
                <w:sz w:val="20"/>
                <w:szCs w:val="20"/>
              </w:rPr>
            </w:pPr>
            <w:r w:rsidRPr="00E045E3">
              <w:rPr>
                <w:rFonts w:ascii="Times New Roman" w:eastAsia="Times New Roman" w:hAnsi="Times New Roman" w:cs="Times New Roman"/>
                <w:b w:val="0"/>
                <w:color w:val="auto"/>
                <w:sz w:val="20"/>
                <w:szCs w:val="20"/>
              </w:rPr>
              <w:t>Nodokļu ieņēmumi</w:t>
            </w:r>
          </w:p>
        </w:tc>
        <w:tc>
          <w:tcPr>
            <w:tcW w:w="1286" w:type="dxa"/>
          </w:tcPr>
          <w:p w14:paraId="62D29FFA" w14:textId="77777777" w:rsidR="00CE6BCD" w:rsidRPr="00E045E3" w:rsidRDefault="00CE6BCD" w:rsidP="00CE6B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2" w:type="dxa"/>
          </w:tcPr>
          <w:p w14:paraId="4550221F" w14:textId="77777777" w:rsidR="00CE6BCD" w:rsidRPr="00E045E3" w:rsidRDefault="00CE6BCD" w:rsidP="00CE6BCD">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3" w:type="dxa"/>
          </w:tcPr>
          <w:p w14:paraId="2E39D31C" w14:textId="77777777" w:rsidR="00CE6BCD" w:rsidRPr="00E045E3" w:rsidRDefault="00CE6BCD" w:rsidP="00CE6BCD">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1134" w:type="dxa"/>
          </w:tcPr>
          <w:p w14:paraId="7B649676" w14:textId="77777777" w:rsidR="00CE6BCD" w:rsidRPr="00E045E3" w:rsidRDefault="00CE6BCD" w:rsidP="00CE6BCD">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2" w:type="dxa"/>
          </w:tcPr>
          <w:p w14:paraId="5CED1D09" w14:textId="77777777" w:rsidR="00CE6BCD" w:rsidRPr="00E045E3" w:rsidRDefault="00CE6BCD" w:rsidP="00CE6BCD">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2" w:type="dxa"/>
          </w:tcPr>
          <w:p w14:paraId="0F7FB8F7" w14:textId="77777777" w:rsidR="00CE6BCD" w:rsidRPr="00E045E3" w:rsidRDefault="00CE6BCD" w:rsidP="00CE6BCD">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r>
      <w:tr w:rsidR="00E045E3" w:rsidRPr="00E045E3" w14:paraId="1B524262" w14:textId="77777777" w:rsidTr="00F3248F">
        <w:tc>
          <w:tcPr>
            <w:cnfStyle w:val="001000000000" w:firstRow="0" w:lastRow="0" w:firstColumn="1" w:lastColumn="0" w:oddVBand="0" w:evenVBand="0" w:oddHBand="0" w:evenHBand="0" w:firstRowFirstColumn="0" w:firstRowLastColumn="0" w:lastRowFirstColumn="0" w:lastRowLastColumn="0"/>
            <w:tcW w:w="2689" w:type="dxa"/>
          </w:tcPr>
          <w:p w14:paraId="1C568B74" w14:textId="77777777" w:rsidR="00CE6BCD" w:rsidRPr="00E045E3" w:rsidRDefault="00CE6BCD" w:rsidP="00CE6BCD">
            <w:pPr>
              <w:rPr>
                <w:rFonts w:ascii="Times New Roman" w:eastAsia="Times New Roman" w:hAnsi="Times New Roman" w:cs="Times New Roman"/>
                <w:b w:val="0"/>
                <w:color w:val="auto"/>
                <w:sz w:val="20"/>
                <w:szCs w:val="20"/>
              </w:rPr>
            </w:pPr>
            <w:r w:rsidRPr="00E045E3">
              <w:rPr>
                <w:rFonts w:ascii="Times New Roman" w:eastAsia="Times New Roman" w:hAnsi="Times New Roman" w:cs="Times New Roman"/>
                <w:b w:val="0"/>
                <w:color w:val="auto"/>
                <w:sz w:val="20"/>
                <w:szCs w:val="20"/>
              </w:rPr>
              <w:t>1. Ražošanas un importa nodokļi</w:t>
            </w:r>
          </w:p>
        </w:tc>
        <w:tc>
          <w:tcPr>
            <w:tcW w:w="1286" w:type="dxa"/>
            <w:vAlign w:val="center"/>
          </w:tcPr>
          <w:p w14:paraId="3F309FA2" w14:textId="77777777" w:rsidR="00CE6BCD" w:rsidRPr="00E045E3" w:rsidRDefault="00CE6BCD" w:rsidP="00F324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D.2</w:t>
            </w:r>
          </w:p>
        </w:tc>
        <w:tc>
          <w:tcPr>
            <w:tcW w:w="992" w:type="dxa"/>
            <w:vAlign w:val="center"/>
          </w:tcPr>
          <w:p w14:paraId="4768D00F"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3359,9</w:t>
            </w:r>
          </w:p>
        </w:tc>
        <w:tc>
          <w:tcPr>
            <w:tcW w:w="993" w:type="dxa"/>
            <w:vAlign w:val="center"/>
          </w:tcPr>
          <w:p w14:paraId="1B02B0DC"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3589,2</w:t>
            </w:r>
          </w:p>
        </w:tc>
        <w:tc>
          <w:tcPr>
            <w:tcW w:w="1134" w:type="dxa"/>
            <w:vAlign w:val="center"/>
          </w:tcPr>
          <w:p w14:paraId="5147A07E"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3763,9</w:t>
            </w:r>
          </w:p>
        </w:tc>
        <w:tc>
          <w:tcPr>
            <w:tcW w:w="992" w:type="dxa"/>
            <w:vAlign w:val="center"/>
          </w:tcPr>
          <w:p w14:paraId="43E4E0EF"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3963,7</w:t>
            </w:r>
          </w:p>
        </w:tc>
        <w:tc>
          <w:tcPr>
            <w:tcW w:w="992" w:type="dxa"/>
            <w:vAlign w:val="center"/>
          </w:tcPr>
          <w:p w14:paraId="3E95FE86"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4195,0</w:t>
            </w:r>
          </w:p>
        </w:tc>
      </w:tr>
      <w:tr w:rsidR="00E045E3" w:rsidRPr="00E045E3" w14:paraId="7B5A3C3C"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C96C10" w14:textId="77777777" w:rsidR="00CE6BCD" w:rsidRPr="00E045E3" w:rsidRDefault="00CE6BCD" w:rsidP="00CE6BCD">
            <w:pPr>
              <w:rPr>
                <w:rFonts w:ascii="Times New Roman" w:eastAsia="Times New Roman" w:hAnsi="Times New Roman" w:cs="Times New Roman"/>
                <w:b w:val="0"/>
                <w:color w:val="auto"/>
                <w:sz w:val="20"/>
                <w:szCs w:val="20"/>
              </w:rPr>
            </w:pPr>
            <w:r w:rsidRPr="00E045E3">
              <w:rPr>
                <w:rFonts w:ascii="Times New Roman" w:eastAsia="Times New Roman" w:hAnsi="Times New Roman" w:cs="Times New Roman"/>
                <w:b w:val="0"/>
                <w:color w:val="auto"/>
                <w:sz w:val="20"/>
                <w:szCs w:val="20"/>
              </w:rPr>
              <w:t xml:space="preserve">2. </w:t>
            </w:r>
            <w:r w:rsidRPr="00E045E3">
              <w:rPr>
                <w:rFonts w:ascii="Times New Roman" w:eastAsia="Times New Roman" w:hAnsi="Times New Roman" w:cs="Times New Roman"/>
                <w:b w:val="0"/>
                <w:snapToGrid w:val="0"/>
                <w:color w:val="auto"/>
                <w:sz w:val="20"/>
                <w:szCs w:val="20"/>
              </w:rPr>
              <w:t>Ienākuma un mantas kārtējie nodokļi</w:t>
            </w:r>
          </w:p>
        </w:tc>
        <w:tc>
          <w:tcPr>
            <w:tcW w:w="1286" w:type="dxa"/>
            <w:vAlign w:val="center"/>
          </w:tcPr>
          <w:p w14:paraId="73438012" w14:textId="77777777" w:rsidR="00CE6BCD" w:rsidRPr="00E045E3"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D.5</w:t>
            </w:r>
          </w:p>
        </w:tc>
        <w:tc>
          <w:tcPr>
            <w:tcW w:w="992" w:type="dxa"/>
            <w:vAlign w:val="center"/>
          </w:tcPr>
          <w:p w14:paraId="7F951FB5"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2096,8</w:t>
            </w:r>
          </w:p>
        </w:tc>
        <w:tc>
          <w:tcPr>
            <w:tcW w:w="993" w:type="dxa"/>
            <w:vAlign w:val="center"/>
          </w:tcPr>
          <w:p w14:paraId="16EE559F"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2226,6</w:t>
            </w:r>
          </w:p>
        </w:tc>
        <w:tc>
          <w:tcPr>
            <w:tcW w:w="1134" w:type="dxa"/>
            <w:vAlign w:val="center"/>
          </w:tcPr>
          <w:p w14:paraId="505779C5"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2344,2</w:t>
            </w:r>
          </w:p>
        </w:tc>
        <w:tc>
          <w:tcPr>
            <w:tcW w:w="992" w:type="dxa"/>
            <w:vAlign w:val="center"/>
          </w:tcPr>
          <w:p w14:paraId="46E75F92"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2456,4</w:t>
            </w:r>
          </w:p>
        </w:tc>
        <w:tc>
          <w:tcPr>
            <w:tcW w:w="992" w:type="dxa"/>
            <w:vAlign w:val="center"/>
          </w:tcPr>
          <w:p w14:paraId="354A382F"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2627,1</w:t>
            </w:r>
          </w:p>
        </w:tc>
      </w:tr>
      <w:tr w:rsidR="00E045E3" w:rsidRPr="00E045E3" w14:paraId="485B2F90" w14:textId="77777777" w:rsidTr="00F3248F">
        <w:tc>
          <w:tcPr>
            <w:cnfStyle w:val="001000000000" w:firstRow="0" w:lastRow="0" w:firstColumn="1" w:lastColumn="0" w:oddVBand="0" w:evenVBand="0" w:oddHBand="0" w:evenHBand="0" w:firstRowFirstColumn="0" w:firstRowLastColumn="0" w:lastRowFirstColumn="0" w:lastRowLastColumn="0"/>
            <w:tcW w:w="2689" w:type="dxa"/>
          </w:tcPr>
          <w:p w14:paraId="4FC5CFD8" w14:textId="77777777" w:rsidR="00CE6BCD" w:rsidRPr="00E045E3" w:rsidRDefault="00CE6BCD" w:rsidP="00CE6BCD">
            <w:pPr>
              <w:rPr>
                <w:rFonts w:ascii="Times New Roman" w:eastAsia="Times New Roman" w:hAnsi="Times New Roman" w:cs="Times New Roman"/>
                <w:b w:val="0"/>
                <w:color w:val="auto"/>
                <w:sz w:val="20"/>
                <w:szCs w:val="20"/>
              </w:rPr>
            </w:pPr>
            <w:r w:rsidRPr="00E045E3">
              <w:rPr>
                <w:rFonts w:ascii="Times New Roman" w:eastAsia="Times New Roman" w:hAnsi="Times New Roman" w:cs="Times New Roman"/>
                <w:b w:val="0"/>
                <w:color w:val="auto"/>
                <w:sz w:val="20"/>
                <w:szCs w:val="20"/>
              </w:rPr>
              <w:t>3. Kapitāla nodokļi</w:t>
            </w:r>
          </w:p>
        </w:tc>
        <w:tc>
          <w:tcPr>
            <w:tcW w:w="1286" w:type="dxa"/>
            <w:vAlign w:val="center"/>
          </w:tcPr>
          <w:p w14:paraId="72C369A8" w14:textId="77777777" w:rsidR="00CE6BCD" w:rsidRPr="00E045E3" w:rsidRDefault="00CE6BCD" w:rsidP="00F324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D.91</w:t>
            </w:r>
          </w:p>
        </w:tc>
        <w:tc>
          <w:tcPr>
            <w:tcW w:w="992" w:type="dxa"/>
            <w:vAlign w:val="center"/>
          </w:tcPr>
          <w:p w14:paraId="4DB94A37"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2,8</w:t>
            </w:r>
          </w:p>
        </w:tc>
        <w:tc>
          <w:tcPr>
            <w:tcW w:w="993" w:type="dxa"/>
            <w:vAlign w:val="center"/>
          </w:tcPr>
          <w:p w14:paraId="5861074E"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2,8</w:t>
            </w:r>
          </w:p>
        </w:tc>
        <w:tc>
          <w:tcPr>
            <w:tcW w:w="1134" w:type="dxa"/>
            <w:vAlign w:val="center"/>
          </w:tcPr>
          <w:p w14:paraId="1D6227AF"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3,0</w:t>
            </w:r>
          </w:p>
        </w:tc>
        <w:tc>
          <w:tcPr>
            <w:tcW w:w="992" w:type="dxa"/>
            <w:vAlign w:val="center"/>
          </w:tcPr>
          <w:p w14:paraId="59993113"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3,3</w:t>
            </w:r>
          </w:p>
        </w:tc>
        <w:tc>
          <w:tcPr>
            <w:tcW w:w="992" w:type="dxa"/>
            <w:vAlign w:val="center"/>
          </w:tcPr>
          <w:p w14:paraId="64FC9133"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3,3</w:t>
            </w:r>
          </w:p>
        </w:tc>
      </w:tr>
      <w:tr w:rsidR="00E045E3" w:rsidRPr="00E045E3" w14:paraId="6E5EE220"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3C7F93" w14:textId="77777777" w:rsidR="00CE6BCD" w:rsidRPr="00E045E3" w:rsidRDefault="00CE6BCD" w:rsidP="00CE6BCD">
            <w:pPr>
              <w:rPr>
                <w:rFonts w:ascii="Times New Roman" w:eastAsia="Times New Roman" w:hAnsi="Times New Roman" w:cs="Times New Roman"/>
                <w:b w:val="0"/>
                <w:color w:val="auto"/>
                <w:sz w:val="20"/>
                <w:szCs w:val="20"/>
              </w:rPr>
            </w:pPr>
            <w:r w:rsidRPr="00E045E3">
              <w:rPr>
                <w:rFonts w:ascii="Times New Roman" w:eastAsia="Times New Roman" w:hAnsi="Times New Roman" w:cs="Times New Roman"/>
                <w:b w:val="0"/>
                <w:color w:val="auto"/>
                <w:sz w:val="20"/>
                <w:szCs w:val="20"/>
              </w:rPr>
              <w:t>4. Sociālās iemaksas</w:t>
            </w:r>
          </w:p>
        </w:tc>
        <w:tc>
          <w:tcPr>
            <w:tcW w:w="1286" w:type="dxa"/>
            <w:vAlign w:val="center"/>
          </w:tcPr>
          <w:p w14:paraId="44F7298E" w14:textId="77777777" w:rsidR="00CE6BCD" w:rsidRPr="00E045E3"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D.61</w:t>
            </w:r>
          </w:p>
        </w:tc>
        <w:tc>
          <w:tcPr>
            <w:tcW w:w="992" w:type="dxa"/>
            <w:vAlign w:val="center"/>
          </w:tcPr>
          <w:p w14:paraId="59020FDD"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2172,1</w:t>
            </w:r>
          </w:p>
        </w:tc>
        <w:tc>
          <w:tcPr>
            <w:tcW w:w="993" w:type="dxa"/>
            <w:vAlign w:val="center"/>
          </w:tcPr>
          <w:p w14:paraId="3F2784FA"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2314,6</w:t>
            </w:r>
          </w:p>
        </w:tc>
        <w:tc>
          <w:tcPr>
            <w:tcW w:w="1134" w:type="dxa"/>
            <w:vAlign w:val="center"/>
          </w:tcPr>
          <w:p w14:paraId="6A252FAD"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2487,3</w:t>
            </w:r>
          </w:p>
        </w:tc>
        <w:tc>
          <w:tcPr>
            <w:tcW w:w="992" w:type="dxa"/>
            <w:vAlign w:val="center"/>
          </w:tcPr>
          <w:p w14:paraId="2FA2FD47"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2630,5</w:t>
            </w:r>
          </w:p>
        </w:tc>
        <w:tc>
          <w:tcPr>
            <w:tcW w:w="992" w:type="dxa"/>
            <w:vAlign w:val="center"/>
          </w:tcPr>
          <w:p w14:paraId="1ADB692F" w14:textId="77777777" w:rsidR="00CE6BCD" w:rsidRPr="00E045E3"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45E3">
              <w:rPr>
                <w:rFonts w:ascii="Times New Roman" w:eastAsia="Times New Roman" w:hAnsi="Times New Roman" w:cs="Times New Roman"/>
                <w:color w:val="auto"/>
                <w:sz w:val="20"/>
                <w:szCs w:val="20"/>
              </w:rPr>
              <w:t>2760,4</w:t>
            </w:r>
          </w:p>
        </w:tc>
      </w:tr>
      <w:tr w:rsidR="00E045E3" w:rsidRPr="00E045E3" w14:paraId="42EB8A19" w14:textId="77777777" w:rsidTr="00F3248F">
        <w:trPr>
          <w:trHeight w:val="191"/>
        </w:trPr>
        <w:tc>
          <w:tcPr>
            <w:cnfStyle w:val="001000000000" w:firstRow="0" w:lastRow="0" w:firstColumn="1" w:lastColumn="0" w:oddVBand="0" w:evenVBand="0" w:oddHBand="0" w:evenHBand="0" w:firstRowFirstColumn="0" w:firstRowLastColumn="0" w:lastRowFirstColumn="0" w:lastRowLastColumn="0"/>
            <w:tcW w:w="2689" w:type="dxa"/>
          </w:tcPr>
          <w:p w14:paraId="4915CC5A" w14:textId="77777777" w:rsidR="00CE6BCD" w:rsidRPr="00E045E3" w:rsidRDefault="00CE6BCD" w:rsidP="00CE6BCD">
            <w:pPr>
              <w:jc w:val="right"/>
              <w:rPr>
                <w:rFonts w:ascii="Times New Roman" w:eastAsia="Times New Roman" w:hAnsi="Times New Roman" w:cs="Times New Roman"/>
                <w:b w:val="0"/>
                <w:i/>
                <w:color w:val="auto"/>
                <w:sz w:val="20"/>
                <w:szCs w:val="20"/>
              </w:rPr>
            </w:pPr>
            <w:r w:rsidRPr="00E045E3">
              <w:rPr>
                <w:rFonts w:ascii="Times New Roman" w:eastAsia="Times New Roman" w:hAnsi="Times New Roman" w:cs="Times New Roman"/>
                <w:b w:val="0"/>
                <w:i/>
                <w:color w:val="auto"/>
                <w:sz w:val="20"/>
                <w:szCs w:val="20"/>
              </w:rPr>
              <w:t xml:space="preserve">   No tā faktiskās sociālās iemaksas</w:t>
            </w:r>
          </w:p>
        </w:tc>
        <w:tc>
          <w:tcPr>
            <w:tcW w:w="1286" w:type="dxa"/>
            <w:vAlign w:val="center"/>
          </w:tcPr>
          <w:p w14:paraId="644D73BB" w14:textId="77777777" w:rsidR="00CE6BCD" w:rsidRPr="00E045E3" w:rsidRDefault="00CE6BCD" w:rsidP="00F324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rPr>
            </w:pPr>
            <w:r w:rsidRPr="00E045E3">
              <w:rPr>
                <w:rFonts w:ascii="Times New Roman" w:eastAsia="Times New Roman" w:hAnsi="Times New Roman" w:cs="Times New Roman"/>
                <w:i/>
                <w:color w:val="auto"/>
                <w:sz w:val="20"/>
                <w:szCs w:val="20"/>
              </w:rPr>
              <w:t>D.611 un D.613</w:t>
            </w:r>
          </w:p>
        </w:tc>
        <w:tc>
          <w:tcPr>
            <w:tcW w:w="992" w:type="dxa"/>
            <w:vAlign w:val="center"/>
          </w:tcPr>
          <w:p w14:paraId="0A5DC160"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rPr>
            </w:pPr>
            <w:r w:rsidRPr="00E045E3">
              <w:rPr>
                <w:rFonts w:ascii="Times New Roman" w:eastAsia="Times New Roman" w:hAnsi="Times New Roman" w:cs="Times New Roman"/>
                <w:color w:val="auto"/>
                <w:sz w:val="20"/>
                <w:szCs w:val="20"/>
              </w:rPr>
              <w:t xml:space="preserve"> 2 085,5 </w:t>
            </w:r>
          </w:p>
        </w:tc>
        <w:tc>
          <w:tcPr>
            <w:tcW w:w="993" w:type="dxa"/>
            <w:vAlign w:val="center"/>
          </w:tcPr>
          <w:p w14:paraId="49D03DB1"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rPr>
            </w:pPr>
            <w:r w:rsidRPr="00E045E3">
              <w:rPr>
                <w:rFonts w:ascii="Times New Roman" w:eastAsia="Times New Roman" w:hAnsi="Times New Roman" w:cs="Times New Roman"/>
                <w:color w:val="auto"/>
                <w:sz w:val="20"/>
                <w:szCs w:val="20"/>
              </w:rPr>
              <w:t xml:space="preserve"> 2 228,0 </w:t>
            </w:r>
          </w:p>
        </w:tc>
        <w:tc>
          <w:tcPr>
            <w:tcW w:w="1134" w:type="dxa"/>
            <w:vAlign w:val="center"/>
          </w:tcPr>
          <w:p w14:paraId="54DB8385"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rPr>
            </w:pPr>
            <w:r w:rsidRPr="00E045E3">
              <w:rPr>
                <w:rFonts w:ascii="Times New Roman" w:eastAsia="Times New Roman" w:hAnsi="Times New Roman" w:cs="Times New Roman"/>
                <w:color w:val="auto"/>
                <w:sz w:val="20"/>
                <w:szCs w:val="20"/>
              </w:rPr>
              <w:t xml:space="preserve"> 2 400,7</w:t>
            </w:r>
          </w:p>
        </w:tc>
        <w:tc>
          <w:tcPr>
            <w:tcW w:w="992" w:type="dxa"/>
            <w:vAlign w:val="center"/>
          </w:tcPr>
          <w:p w14:paraId="04516574"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rPr>
            </w:pPr>
            <w:r w:rsidRPr="00E045E3">
              <w:rPr>
                <w:rFonts w:ascii="Times New Roman" w:eastAsia="Times New Roman" w:hAnsi="Times New Roman" w:cs="Times New Roman"/>
                <w:color w:val="auto"/>
                <w:sz w:val="20"/>
                <w:szCs w:val="20"/>
              </w:rPr>
              <w:t xml:space="preserve"> 2 543,9 </w:t>
            </w:r>
          </w:p>
        </w:tc>
        <w:tc>
          <w:tcPr>
            <w:tcW w:w="992" w:type="dxa"/>
            <w:vAlign w:val="center"/>
          </w:tcPr>
          <w:p w14:paraId="41ADC857" w14:textId="77777777" w:rsidR="00CE6BCD" w:rsidRPr="00E045E3"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rPr>
            </w:pPr>
            <w:r w:rsidRPr="00E045E3">
              <w:rPr>
                <w:rFonts w:ascii="Times New Roman" w:eastAsia="Times New Roman" w:hAnsi="Times New Roman" w:cs="Times New Roman"/>
                <w:color w:val="auto"/>
                <w:sz w:val="20"/>
                <w:szCs w:val="20"/>
              </w:rPr>
              <w:t xml:space="preserve"> 2 673,8 </w:t>
            </w:r>
          </w:p>
        </w:tc>
      </w:tr>
    </w:tbl>
    <w:p w14:paraId="49D2C159" w14:textId="110AB333" w:rsidR="00CE6BCD" w:rsidRPr="00CE6BCD" w:rsidRDefault="00CE6BCD" w:rsidP="00E045E3">
      <w:pPr>
        <w:spacing w:before="120" w:after="12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Latvijā lielāko daļu no visiem nodokļu ieņēmumiem veido darba nodokļi. Darba nodokļu īpatsvars palielinās no 46,7</w:t>
      </w:r>
      <w:r w:rsidR="00990AC9">
        <w:rPr>
          <w:rFonts w:ascii="Times New Roman" w:eastAsia="Times New Roman" w:hAnsi="Times New Roman" w:cs="Times New Roman"/>
          <w:sz w:val="24"/>
          <w:szCs w:val="20"/>
        </w:rPr>
        <w:t>% 2016.gadā līdz 47,3% 2020.</w:t>
      </w:r>
      <w:r w:rsidRPr="00CE6BCD">
        <w:rPr>
          <w:rFonts w:ascii="Times New Roman" w:eastAsia="Times New Roman" w:hAnsi="Times New Roman" w:cs="Times New Roman"/>
          <w:sz w:val="24"/>
          <w:szCs w:val="20"/>
        </w:rPr>
        <w:t xml:space="preserve">gadā, līdz ar to patēriņa un kapitāla </w:t>
      </w:r>
      <w:r w:rsidRPr="00CE6BCD">
        <w:rPr>
          <w:rFonts w:ascii="Times New Roman" w:eastAsia="Times New Roman" w:hAnsi="Times New Roman" w:cs="Times New Roman"/>
          <w:sz w:val="24"/>
          <w:szCs w:val="20"/>
        </w:rPr>
        <w:lastRenderedPageBreak/>
        <w:t>nodokļu ieņēmumu īpatsvars kopējos nodokļu ieņēmumo</w:t>
      </w:r>
      <w:r w:rsidR="00990AC9">
        <w:rPr>
          <w:rFonts w:ascii="Times New Roman" w:eastAsia="Times New Roman" w:hAnsi="Times New Roman" w:cs="Times New Roman"/>
          <w:sz w:val="24"/>
          <w:szCs w:val="20"/>
        </w:rPr>
        <w:t>s pakāpeniski samazinās no 53,3% 2016.gadā līdz 52,7% 2020.</w:t>
      </w:r>
      <w:r w:rsidRPr="00CE6BCD">
        <w:rPr>
          <w:rFonts w:ascii="Times New Roman" w:eastAsia="Times New Roman" w:hAnsi="Times New Roman" w:cs="Times New Roman"/>
          <w:sz w:val="24"/>
          <w:szCs w:val="20"/>
        </w:rPr>
        <w:t>gadā.</w:t>
      </w:r>
    </w:p>
    <w:p w14:paraId="3550612E" w14:textId="77777777" w:rsidR="00CE6BCD" w:rsidRPr="00CE6BCD" w:rsidRDefault="00CE6BCD" w:rsidP="00502866">
      <w:pPr>
        <w:spacing w:after="120" w:line="240" w:lineRule="auto"/>
        <w:jc w:val="both"/>
        <w:rPr>
          <w:rFonts w:ascii="Times New Roman" w:eastAsia="Times New Roman" w:hAnsi="Times New Roman" w:cs="Times New Roman"/>
          <w:sz w:val="24"/>
          <w:szCs w:val="20"/>
        </w:rPr>
      </w:pPr>
      <w:r w:rsidRPr="00CE6BCD">
        <w:rPr>
          <w:rFonts w:ascii="Times New Roman" w:eastAsia="Times New Roman" w:hAnsi="Times New Roman" w:cs="Times New Roman"/>
          <w:noProof/>
          <w:sz w:val="24"/>
          <w:szCs w:val="20"/>
          <w:lang w:eastAsia="lv-LV"/>
        </w:rPr>
        <w:drawing>
          <wp:inline distT="0" distB="0" distL="0" distR="0" wp14:anchorId="739D2495" wp14:editId="5DA022B9">
            <wp:extent cx="5762625" cy="2743184"/>
            <wp:effectExtent l="19050" t="19050" r="952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74" t="29040" r="3474" b="2535"/>
                    <a:stretch/>
                  </pic:blipFill>
                  <pic:spPr bwMode="auto">
                    <a:xfrm>
                      <a:off x="0" y="0"/>
                      <a:ext cx="5827923" cy="2774268"/>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14:paraId="67ACE020" w14:textId="6482A19E" w:rsidR="00CE6BCD" w:rsidRPr="00CE6BCD" w:rsidRDefault="00CE6BCD" w:rsidP="002F2779">
      <w:pPr>
        <w:spacing w:before="60" w:after="120" w:line="240" w:lineRule="auto"/>
        <w:ind w:firstLine="567"/>
        <w:jc w:val="center"/>
        <w:rPr>
          <w:rFonts w:ascii="Times New Roman" w:eastAsia="Times New Roman" w:hAnsi="Times New Roman" w:cs="Times New Roman"/>
          <w:sz w:val="24"/>
          <w:szCs w:val="20"/>
        </w:rPr>
      </w:pPr>
      <w:r w:rsidRPr="00CE6BCD">
        <w:rPr>
          <w:rFonts w:ascii="Times New Roman" w:eastAsia="Times New Roman" w:hAnsi="Times New Roman" w:cs="Times New Roman"/>
          <w:b/>
          <w:sz w:val="24"/>
          <w:szCs w:val="24"/>
        </w:rPr>
        <w:t>6.</w:t>
      </w:r>
      <w:r w:rsidR="00906268">
        <w:rPr>
          <w:rFonts w:ascii="Times New Roman" w:eastAsia="Times New Roman" w:hAnsi="Times New Roman" w:cs="Times New Roman"/>
          <w:b/>
          <w:sz w:val="24"/>
          <w:szCs w:val="24"/>
        </w:rPr>
        <w:t>1.</w:t>
      </w:r>
      <w:r w:rsidRPr="00CE6BCD">
        <w:rPr>
          <w:rFonts w:ascii="Times New Roman" w:eastAsia="Times New Roman" w:hAnsi="Times New Roman" w:cs="Times New Roman"/>
          <w:b/>
          <w:sz w:val="24"/>
          <w:szCs w:val="24"/>
        </w:rPr>
        <w:t>att</w:t>
      </w:r>
      <w:r w:rsidR="00906268">
        <w:rPr>
          <w:rFonts w:ascii="Times New Roman" w:eastAsia="Times New Roman" w:hAnsi="Times New Roman" w:cs="Times New Roman"/>
          <w:b/>
          <w:sz w:val="24"/>
          <w:szCs w:val="24"/>
        </w:rPr>
        <w:t>ēls</w:t>
      </w:r>
      <w:r w:rsidRPr="00CE6BCD">
        <w:rPr>
          <w:rFonts w:ascii="Times New Roman" w:eastAsia="Times New Roman" w:hAnsi="Times New Roman" w:cs="Times New Roman"/>
          <w:b/>
          <w:sz w:val="24"/>
          <w:szCs w:val="24"/>
        </w:rPr>
        <w:t>. Nodokļu ieņēmumi atbilstoši ekonomiskajām funkcijām, % no IKP</w:t>
      </w:r>
    </w:p>
    <w:p w14:paraId="6E1F113A" w14:textId="77777777" w:rsidR="00CE6BCD" w:rsidRPr="00CE6BCD" w:rsidRDefault="00CE6BCD" w:rsidP="00990AC9">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Vidēja termiņa nodokļu politikā par galvenajiem virzieniem noteikti ēnu ekonomikas apkarošana, resursu efektīvāka izmantošana, nodokļu optimizācijas ierobežošana, kā arī konkurētspējas un uzņēmējdarbības vides uzlabošana.</w:t>
      </w:r>
    </w:p>
    <w:p w14:paraId="38E4C399" w14:textId="0E0DE467"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Tādejādi 2017.gada budžeta izstrādes laikā tika atbalstīta tādu nodokļ</w:t>
      </w:r>
      <w:r w:rsidR="00990AC9">
        <w:rPr>
          <w:rFonts w:ascii="Times New Roman" w:eastAsia="Times New Roman" w:hAnsi="Times New Roman" w:cs="Times New Roman"/>
          <w:sz w:val="24"/>
          <w:szCs w:val="20"/>
        </w:rPr>
        <w:t>u pasākumu ieviešana, kas vērsta</w:t>
      </w:r>
      <w:r w:rsidRPr="00CE6BCD">
        <w:rPr>
          <w:rFonts w:ascii="Times New Roman" w:eastAsia="Times New Roman" w:hAnsi="Times New Roman" w:cs="Times New Roman"/>
          <w:sz w:val="24"/>
          <w:szCs w:val="20"/>
        </w:rPr>
        <w:t xml:space="preserve"> uz ēnu ekonomikas samazināšanu, kā arī pārskatot atsevišķu nodokļu atvieglojumu piemērošanu un likmes, neveicot būtis</w:t>
      </w:r>
      <w:r w:rsidR="00990AC9">
        <w:rPr>
          <w:rFonts w:ascii="Times New Roman" w:eastAsia="Times New Roman" w:hAnsi="Times New Roman" w:cs="Times New Roman"/>
          <w:sz w:val="24"/>
          <w:szCs w:val="20"/>
        </w:rPr>
        <w:t xml:space="preserve">kas izmaiņas lielākajos </w:t>
      </w:r>
      <w:r w:rsidRPr="00CE6BCD">
        <w:rPr>
          <w:rFonts w:ascii="Times New Roman" w:eastAsia="Times New Roman" w:hAnsi="Times New Roman" w:cs="Times New Roman"/>
          <w:sz w:val="24"/>
          <w:szCs w:val="20"/>
        </w:rPr>
        <w:t>nodokļos.</w:t>
      </w:r>
    </w:p>
    <w:p w14:paraId="3B30A338" w14:textId="43E6D11C"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Nodokļu politikas jomā </w:t>
      </w:r>
      <w:r w:rsidRPr="00CE6BCD">
        <w:rPr>
          <w:rFonts w:ascii="Times New Roman" w:eastAsia="Times New Roman" w:hAnsi="Times New Roman" w:cs="Times New Roman"/>
          <w:b/>
          <w:sz w:val="24"/>
          <w:szCs w:val="20"/>
        </w:rPr>
        <w:t>“reformēta” transportlīdzekļu nodokļu politika</w:t>
      </w:r>
      <w:r w:rsidRPr="00CE6BCD">
        <w:rPr>
          <w:rFonts w:ascii="Times New Roman" w:eastAsia="Times New Roman" w:hAnsi="Times New Roman" w:cs="Times New Roman"/>
          <w:sz w:val="24"/>
          <w:szCs w:val="20"/>
        </w:rPr>
        <w:t>, atceļot vieglo automobiļu un motociklu nodokli, vienlaikus pārskatot transportl</w:t>
      </w:r>
      <w:r w:rsidR="00990AC9">
        <w:rPr>
          <w:rFonts w:ascii="Times New Roman" w:eastAsia="Times New Roman" w:hAnsi="Times New Roman" w:cs="Times New Roman"/>
          <w:sz w:val="24"/>
          <w:szCs w:val="20"/>
        </w:rPr>
        <w:t xml:space="preserve">īdzekļu ekspluatācijas nodokļa </w:t>
      </w:r>
      <w:r w:rsidRPr="00CE6BCD">
        <w:rPr>
          <w:rFonts w:ascii="Times New Roman" w:eastAsia="Times New Roman" w:hAnsi="Times New Roman" w:cs="Times New Roman"/>
          <w:sz w:val="24"/>
          <w:szCs w:val="20"/>
        </w:rPr>
        <w:t>likmes, vienlaicīgi saglabājot līdzšinējo nodokļa maksāšanas kārtību, kad transportlīdzekļu ekspluatācijas nodoklis tiek maksāts par kalendāro gadu.</w:t>
      </w:r>
    </w:p>
    <w:p w14:paraId="53F25EA1" w14:textId="5267371A"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Tāpat tiek </w:t>
      </w:r>
      <w:r w:rsidRPr="00CE6BCD">
        <w:rPr>
          <w:rFonts w:ascii="Times New Roman" w:eastAsia="Times New Roman" w:hAnsi="Times New Roman" w:cs="Times New Roman"/>
          <w:b/>
          <w:sz w:val="24"/>
          <w:szCs w:val="20"/>
        </w:rPr>
        <w:t>palielinātas dabas resursu nodokļa likmes</w:t>
      </w:r>
      <w:r w:rsidRPr="00CE6BCD">
        <w:rPr>
          <w:rFonts w:ascii="Times New Roman" w:eastAsia="Times New Roman" w:hAnsi="Times New Roman" w:cs="Times New Roman"/>
          <w:sz w:val="24"/>
          <w:szCs w:val="20"/>
        </w:rPr>
        <w:t>, vienlaicīgi pildot starptautiskās rekomendācijas par nodokļa sloga pārnešanu no darbaspēka u</w:t>
      </w:r>
      <w:r w:rsidR="00990AC9">
        <w:rPr>
          <w:rFonts w:ascii="Times New Roman" w:eastAsia="Times New Roman" w:hAnsi="Times New Roman" w:cs="Times New Roman"/>
          <w:sz w:val="24"/>
          <w:szCs w:val="20"/>
        </w:rPr>
        <w:t>z vides un</w:t>
      </w:r>
      <w:r w:rsidRPr="00CE6BCD">
        <w:rPr>
          <w:rFonts w:ascii="Times New Roman" w:eastAsia="Times New Roman" w:hAnsi="Times New Roman" w:cs="Times New Roman"/>
          <w:sz w:val="24"/>
          <w:szCs w:val="20"/>
        </w:rPr>
        <w:t xml:space="preserve"> patēriņa nodokļiem.</w:t>
      </w:r>
    </w:p>
    <w:p w14:paraId="142524AD" w14:textId="1944F004"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Panākta vienošanās par </w:t>
      </w:r>
      <w:r w:rsidR="00990AC9">
        <w:rPr>
          <w:rFonts w:ascii="Times New Roman" w:eastAsia="Times New Roman" w:hAnsi="Times New Roman" w:cs="Times New Roman"/>
          <w:b/>
          <w:sz w:val="24"/>
          <w:szCs w:val="20"/>
        </w:rPr>
        <w:t>UIN</w:t>
      </w:r>
      <w:r w:rsidRPr="00CE6BCD">
        <w:rPr>
          <w:rFonts w:ascii="Times New Roman" w:eastAsia="Times New Roman" w:hAnsi="Times New Roman" w:cs="Times New Roman"/>
          <w:b/>
          <w:sz w:val="24"/>
          <w:szCs w:val="20"/>
        </w:rPr>
        <w:t xml:space="preserve"> zaudējumu pārnešanas iespēju ierobežošanu</w:t>
      </w:r>
      <w:r w:rsidRPr="00CE6BCD">
        <w:rPr>
          <w:rFonts w:ascii="Times New Roman" w:eastAsia="Times New Roman" w:hAnsi="Times New Roman" w:cs="Times New Roman"/>
          <w:sz w:val="24"/>
          <w:szCs w:val="20"/>
        </w:rPr>
        <w:t>. Sākot ar taksācijas periodu, kas sākas 2017.gadā un turpmākajos taksācijas periodos iepriekšējo taksācijas periodu zaudējumus (sākot ar zaudējumiem, kas radušies taksācijas periodā, sākot ar 2008.gadu un turpmākajos taksācijas periodos) ir tiesības segt apmērā, kas nepārsniedz 75% no attiecīgā taksācijas perioda ar UIN apliekamā ienākuma.</w:t>
      </w:r>
    </w:p>
    <w:p w14:paraId="6FFCC0AF" w14:textId="24F19AF9"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rPr>
        <w:t>No 2017. gada spēkā stā</w:t>
      </w:r>
      <w:r w:rsidRPr="00CE6BCD">
        <w:rPr>
          <w:rFonts w:ascii="Times New Roman" w:eastAsia="Times New Roman" w:hAnsi="Times New Roman" w:cs="Times New Roman"/>
          <w:sz w:val="24"/>
          <w:szCs w:val="20"/>
        </w:rPr>
        <w:t>j</w:t>
      </w:r>
      <w:r w:rsidR="00990AC9">
        <w:rPr>
          <w:rFonts w:ascii="Times New Roman" w:eastAsia="Times New Roman" w:hAnsi="Times New Roman" w:cs="Times New Roman"/>
          <w:sz w:val="24"/>
        </w:rPr>
        <w:t xml:space="preserve">ies </w:t>
      </w:r>
      <w:r w:rsidRPr="00CE6BCD">
        <w:rPr>
          <w:rFonts w:ascii="Times New Roman" w:eastAsia="Times New Roman" w:hAnsi="Times New Roman" w:cs="Times New Roman"/>
          <w:sz w:val="24"/>
        </w:rPr>
        <w:t xml:space="preserve">Jaunuzņēmumu darbības atbalsta likums. Likuma mērķis ir </w:t>
      </w:r>
      <w:r w:rsidRPr="00CE6BCD">
        <w:rPr>
          <w:rFonts w:ascii="Times New Roman" w:eastAsia="Times New Roman" w:hAnsi="Times New Roman" w:cs="Times New Roman"/>
          <w:b/>
          <w:sz w:val="24"/>
        </w:rPr>
        <w:t>veicināt jaunuzņēmumu veidošanos Latvijā</w:t>
      </w:r>
      <w:r w:rsidRPr="00CE6BCD">
        <w:rPr>
          <w:rFonts w:ascii="Times New Roman" w:eastAsia="Times New Roman" w:hAnsi="Times New Roman" w:cs="Times New Roman"/>
          <w:sz w:val="24"/>
        </w:rPr>
        <w:t>, tādējādi sekmējot pētniecību, kā arī inovatīvu ideju, produktu vai procesu izmantošanu saimnieciskajā darbībā (pētniecības produktu komercializāciju).</w:t>
      </w:r>
    </w:p>
    <w:p w14:paraId="4E78F07C" w14:textId="77777777"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b/>
          <w:sz w:val="24"/>
          <w:szCs w:val="20"/>
        </w:rPr>
        <w:t>Atcelti elektroenerģijas nodokļa atbrīvojumi</w:t>
      </w:r>
      <w:r w:rsidRPr="00CE6BCD">
        <w:rPr>
          <w:rFonts w:ascii="Times New Roman" w:eastAsia="Times New Roman" w:hAnsi="Times New Roman" w:cs="Times New Roman"/>
          <w:sz w:val="24"/>
          <w:szCs w:val="20"/>
        </w:rPr>
        <w:t xml:space="preserve"> elektroenerģijai, kas iegūta no atjaunojamiem energoresursiem; hidroelektrostacijās un koģenerācijas stacijās, kā arī elektroenerģijai, kuru izmanto elektroenerģijas ražošanai un siltumenerģijas un elektroenerģijas ražošanai koģenerācijā, atstājot spēkā atbrīvojumus preču pārvadājumiem un sabiedriskajiem pasažieru pārvadājumiem, tajā skaitā dzelzceļa transportā un pilsētu sabiedriskajos pasažieru pārvadājumos un mājsaimniecību lietotājiem.</w:t>
      </w:r>
    </w:p>
    <w:p w14:paraId="10AEA914" w14:textId="77777777" w:rsidR="00CE6BCD" w:rsidRPr="00CE6BCD" w:rsidRDefault="00CE6BCD" w:rsidP="00990AC9">
      <w:pPr>
        <w:spacing w:after="0" w:line="240" w:lineRule="auto"/>
        <w:ind w:firstLine="709"/>
        <w:jc w:val="both"/>
        <w:rPr>
          <w:rFonts w:ascii="Times New Roman" w:eastAsia="Times New Roman" w:hAnsi="Times New Roman" w:cs="Times New Roman"/>
          <w:sz w:val="24"/>
          <w:szCs w:val="24"/>
          <w:lang w:eastAsia="lv-LV"/>
        </w:rPr>
      </w:pPr>
      <w:r w:rsidRPr="00CE6BCD">
        <w:rPr>
          <w:rFonts w:ascii="Times New Roman" w:eastAsia="Times New Roman" w:hAnsi="Times New Roman" w:cs="Times New Roman"/>
          <w:sz w:val="24"/>
          <w:szCs w:val="24"/>
          <w:lang w:eastAsia="lv-LV"/>
        </w:rPr>
        <w:t xml:space="preserve">No 2017.gada 1.janvāra </w:t>
      </w:r>
      <w:r w:rsidRPr="00CE6BCD">
        <w:rPr>
          <w:rFonts w:ascii="Times New Roman" w:eastAsia="Times New Roman" w:hAnsi="Times New Roman" w:cs="Times New Roman"/>
          <w:b/>
          <w:sz w:val="24"/>
          <w:szCs w:val="24"/>
          <w:lang w:eastAsia="lv-LV"/>
        </w:rPr>
        <w:t>paaugstinātas akcīzes nodokļa likmes cigāriem un cigarellām, citai smēķējamai tabakai, tabakas lapām, karsējamai tabakai</w:t>
      </w:r>
      <w:r w:rsidRPr="00CE6BCD">
        <w:rPr>
          <w:rFonts w:ascii="Times New Roman" w:eastAsia="Times New Roman" w:hAnsi="Times New Roman" w:cs="Times New Roman"/>
          <w:sz w:val="24"/>
          <w:szCs w:val="24"/>
          <w:lang w:eastAsia="lv-LV"/>
        </w:rPr>
        <w:t xml:space="preserve"> un smalki sagrieztai tabakai cigarešu uztīšanai.</w:t>
      </w:r>
    </w:p>
    <w:p w14:paraId="17992A8D" w14:textId="77777777" w:rsidR="00CE6BCD" w:rsidRPr="00CE6BCD" w:rsidRDefault="00CE6BCD" w:rsidP="00990AC9">
      <w:pPr>
        <w:spacing w:after="0" w:line="240" w:lineRule="auto"/>
        <w:ind w:firstLine="709"/>
        <w:jc w:val="both"/>
        <w:rPr>
          <w:rFonts w:ascii="Times New Roman" w:eastAsia="Times New Roman" w:hAnsi="Times New Roman" w:cs="Times New Roman"/>
          <w:b/>
          <w:sz w:val="24"/>
          <w:szCs w:val="24"/>
          <w:lang w:eastAsia="lv-LV"/>
        </w:rPr>
      </w:pPr>
      <w:r w:rsidRPr="00CE6BCD">
        <w:rPr>
          <w:rFonts w:ascii="Times New Roman" w:eastAsia="Times New Roman" w:hAnsi="Times New Roman" w:cs="Times New Roman"/>
          <w:sz w:val="24"/>
          <w:szCs w:val="24"/>
          <w:lang w:eastAsia="lv-LV"/>
        </w:rPr>
        <w:lastRenderedPageBreak/>
        <w:t xml:space="preserve">Ar 2017.gada 1.martu </w:t>
      </w:r>
      <w:r w:rsidRPr="00CE6BCD">
        <w:rPr>
          <w:rFonts w:ascii="Times New Roman" w:eastAsia="Times New Roman" w:hAnsi="Times New Roman" w:cs="Times New Roman"/>
          <w:b/>
          <w:sz w:val="24"/>
          <w:szCs w:val="24"/>
          <w:lang w:eastAsia="lv-LV"/>
        </w:rPr>
        <w:t>paaugstinātas akcīzes nodokļa likmes alkoholiskajiem dzērieniem.</w:t>
      </w:r>
    </w:p>
    <w:p w14:paraId="6A02253B" w14:textId="77777777" w:rsidR="00CE6BCD" w:rsidRPr="00CE6BCD" w:rsidRDefault="00CE6BCD" w:rsidP="00990AC9">
      <w:pPr>
        <w:spacing w:after="0" w:line="240" w:lineRule="auto"/>
        <w:ind w:firstLine="709"/>
        <w:jc w:val="both"/>
        <w:rPr>
          <w:rFonts w:ascii="Times New Roman" w:eastAsia="Times New Roman" w:hAnsi="Times New Roman" w:cs="Times New Roman"/>
          <w:sz w:val="24"/>
          <w:szCs w:val="24"/>
          <w:lang w:eastAsia="lv-LV"/>
        </w:rPr>
      </w:pPr>
      <w:r w:rsidRPr="00CE6BCD">
        <w:rPr>
          <w:rFonts w:ascii="Times New Roman" w:eastAsia="Times New Roman" w:hAnsi="Times New Roman" w:cs="Times New Roman"/>
          <w:sz w:val="24"/>
          <w:szCs w:val="24"/>
          <w:lang w:eastAsia="lv-LV"/>
        </w:rPr>
        <w:t xml:space="preserve">No 2017.gada 1.jūlija tiks </w:t>
      </w:r>
      <w:r w:rsidRPr="00CE6BCD">
        <w:rPr>
          <w:rFonts w:ascii="Times New Roman" w:eastAsia="Times New Roman" w:hAnsi="Times New Roman" w:cs="Times New Roman"/>
          <w:b/>
          <w:sz w:val="24"/>
          <w:szCs w:val="24"/>
          <w:lang w:eastAsia="lv-LV"/>
        </w:rPr>
        <w:t>paaugstināta akcīzes nodokļa likme cigaretēm</w:t>
      </w:r>
      <w:r w:rsidRPr="00CE6BCD">
        <w:rPr>
          <w:rFonts w:ascii="Times New Roman" w:eastAsia="Times New Roman" w:hAnsi="Times New Roman" w:cs="Times New Roman"/>
          <w:sz w:val="24"/>
          <w:szCs w:val="24"/>
          <w:lang w:eastAsia="lv-LV"/>
        </w:rPr>
        <w:t>.</w:t>
      </w:r>
    </w:p>
    <w:p w14:paraId="6F5B499B" w14:textId="08F2B88C"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Darbaspēka nodokļu jomā </w:t>
      </w:r>
      <w:r w:rsidRPr="00CE6BCD">
        <w:rPr>
          <w:rFonts w:ascii="Times New Roman" w:eastAsia="Times New Roman" w:hAnsi="Times New Roman" w:cs="Times New Roman"/>
          <w:b/>
          <w:sz w:val="24"/>
          <w:szCs w:val="20"/>
        </w:rPr>
        <w:t>ieviestas normas, kas novērš nodokļu plānošanu, veicot iemaksas privātajos pensiju fondos</w:t>
      </w:r>
      <w:r w:rsidRPr="00CE6BCD">
        <w:rPr>
          <w:rFonts w:ascii="Times New Roman" w:eastAsia="Times New Roman" w:hAnsi="Times New Roman" w:cs="Times New Roman"/>
          <w:sz w:val="24"/>
          <w:szCs w:val="20"/>
        </w:rPr>
        <w:t xml:space="preserve">. Turpmāk </w:t>
      </w:r>
      <w:r w:rsidR="00990AC9">
        <w:rPr>
          <w:rFonts w:ascii="Times New Roman" w:eastAsia="Times New Roman" w:hAnsi="Times New Roman" w:cs="Times New Roman"/>
          <w:sz w:val="24"/>
          <w:szCs w:val="20"/>
        </w:rPr>
        <w:t>IIN</w:t>
      </w:r>
      <w:r w:rsidRPr="00CE6BCD">
        <w:rPr>
          <w:rFonts w:ascii="Times New Roman" w:eastAsia="Times New Roman" w:hAnsi="Times New Roman" w:cs="Times New Roman"/>
          <w:sz w:val="24"/>
          <w:szCs w:val="20"/>
        </w:rPr>
        <w:t xml:space="preserve"> atvieglojumu nevarēs piemērot, ja pensijas fondā iemaksātā nauda tiks izņemta tajā pašā vai nākamajā gadā.</w:t>
      </w:r>
    </w:p>
    <w:p w14:paraId="1C23C535" w14:textId="51CD9122" w:rsidR="00CE6BCD" w:rsidRPr="00CE6BCD" w:rsidRDefault="00CE6BCD" w:rsidP="00990AC9">
      <w:pPr>
        <w:spacing w:after="0" w:line="240" w:lineRule="auto"/>
        <w:ind w:firstLine="709"/>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Ieviests jauns </w:t>
      </w:r>
      <w:r w:rsidR="00990AC9">
        <w:rPr>
          <w:rFonts w:ascii="Times New Roman" w:eastAsia="Times New Roman" w:hAnsi="Times New Roman" w:cs="Times New Roman"/>
          <w:b/>
          <w:sz w:val="24"/>
          <w:szCs w:val="20"/>
        </w:rPr>
        <w:t>IIN</w:t>
      </w:r>
      <w:r w:rsidRPr="00CE6BCD">
        <w:rPr>
          <w:rFonts w:ascii="Times New Roman" w:eastAsia="Times New Roman" w:hAnsi="Times New Roman" w:cs="Times New Roman"/>
          <w:b/>
          <w:sz w:val="24"/>
          <w:szCs w:val="20"/>
        </w:rPr>
        <w:t xml:space="preserve"> atvieglojums</w:t>
      </w:r>
      <w:r w:rsidRPr="00CE6BCD">
        <w:rPr>
          <w:rFonts w:ascii="Times New Roman" w:eastAsia="Times New Roman" w:hAnsi="Times New Roman" w:cs="Times New Roman"/>
          <w:sz w:val="24"/>
          <w:szCs w:val="20"/>
        </w:rPr>
        <w:t xml:space="preserve">, kas paredz ar </w:t>
      </w:r>
      <w:r w:rsidR="00990AC9">
        <w:rPr>
          <w:rFonts w:ascii="Times New Roman" w:eastAsia="Times New Roman" w:hAnsi="Times New Roman" w:cs="Times New Roman"/>
          <w:sz w:val="24"/>
          <w:szCs w:val="20"/>
        </w:rPr>
        <w:t>IIN</w:t>
      </w:r>
      <w:r w:rsidRPr="00CE6BCD">
        <w:rPr>
          <w:rFonts w:ascii="Times New Roman" w:eastAsia="Times New Roman" w:hAnsi="Times New Roman" w:cs="Times New Roman"/>
          <w:sz w:val="24"/>
          <w:szCs w:val="20"/>
        </w:rPr>
        <w:t xml:space="preserve"> neaplikt darba devēja apmaksātos koplīgumā noteiktos darbinieka ēdināšanas izdevumus, ja tie nepārsniedz 480 </w:t>
      </w:r>
      <w:r w:rsidRPr="00CE6BCD">
        <w:rPr>
          <w:rFonts w:ascii="Times New Roman" w:eastAsia="Times New Roman" w:hAnsi="Times New Roman" w:cs="Times New Roman"/>
          <w:i/>
          <w:sz w:val="24"/>
          <w:szCs w:val="20"/>
        </w:rPr>
        <w:t>euro</w:t>
      </w:r>
      <w:r w:rsidRPr="00CE6BCD">
        <w:rPr>
          <w:rFonts w:ascii="Times New Roman" w:eastAsia="Times New Roman" w:hAnsi="Times New Roman" w:cs="Times New Roman"/>
          <w:sz w:val="24"/>
          <w:szCs w:val="20"/>
        </w:rPr>
        <w:t xml:space="preserve"> gadā (40 </w:t>
      </w:r>
      <w:r w:rsidRPr="00CE6BCD">
        <w:rPr>
          <w:rFonts w:ascii="Times New Roman" w:eastAsia="Times New Roman" w:hAnsi="Times New Roman" w:cs="Times New Roman"/>
          <w:i/>
          <w:sz w:val="24"/>
          <w:szCs w:val="20"/>
        </w:rPr>
        <w:t>euro</w:t>
      </w:r>
      <w:r w:rsidRPr="00CE6BCD">
        <w:rPr>
          <w:rFonts w:ascii="Times New Roman" w:eastAsia="Times New Roman" w:hAnsi="Times New Roman" w:cs="Times New Roman"/>
          <w:sz w:val="24"/>
          <w:szCs w:val="20"/>
        </w:rPr>
        <w:t xml:space="preserve"> mēnesī).</w:t>
      </w:r>
    </w:p>
    <w:p w14:paraId="23514C83" w14:textId="5CC47F57" w:rsidR="00CE6BCD" w:rsidRPr="00CE6BCD" w:rsidRDefault="00CE6BCD" w:rsidP="00990AC9">
      <w:pPr>
        <w:spacing w:after="0" w:line="240" w:lineRule="auto"/>
        <w:ind w:firstLine="709"/>
        <w:jc w:val="both"/>
        <w:rPr>
          <w:rFonts w:ascii="Times New Roman" w:eastAsia="Times New Roman" w:hAnsi="Times New Roman" w:cs="Times New Roman"/>
          <w:bCs/>
          <w:sz w:val="24"/>
          <w:szCs w:val="20"/>
        </w:rPr>
      </w:pPr>
      <w:r w:rsidRPr="00CE6BCD">
        <w:rPr>
          <w:rFonts w:ascii="Times New Roman" w:eastAsia="Times New Roman" w:hAnsi="Times New Roman" w:cs="Times New Roman"/>
          <w:b/>
          <w:bCs/>
          <w:sz w:val="24"/>
          <w:szCs w:val="20"/>
        </w:rPr>
        <w:t>Ēnu ekonomika</w:t>
      </w:r>
      <w:r w:rsidRPr="00CE6BCD">
        <w:rPr>
          <w:rFonts w:ascii="Times New Roman" w:eastAsia="Times New Roman" w:hAnsi="Times New Roman" w:cs="Times New Roman"/>
          <w:bCs/>
          <w:sz w:val="24"/>
          <w:szCs w:val="20"/>
        </w:rPr>
        <w:t xml:space="preserve"> atstāj negatīvu ietekmi uz kopējo valsts ekonomikas izaugsmi, kā arī apdraud valsts tiesiskumu un godīgu konkurenci uzņēmējdarbībā. Līdz ar to viena no valdības darbības prioritātēm ir ēnu ekonomikas mazināšana </w:t>
      </w:r>
      <w:r w:rsidR="00990AC9">
        <w:rPr>
          <w:rFonts w:ascii="Times New Roman" w:eastAsia="Times New Roman" w:hAnsi="Times New Roman" w:cs="Times New Roman"/>
          <w:bCs/>
          <w:sz w:val="24"/>
          <w:szCs w:val="20"/>
        </w:rPr>
        <w:t>valstī, kuras īstenošanai 2014.gada 16.</w:t>
      </w:r>
      <w:r w:rsidRPr="00CE6BCD">
        <w:rPr>
          <w:rFonts w:ascii="Times New Roman" w:eastAsia="Times New Roman" w:hAnsi="Times New Roman" w:cs="Times New Roman"/>
          <w:bCs/>
          <w:sz w:val="24"/>
          <w:szCs w:val="20"/>
        </w:rPr>
        <w:t>septembrī ir izveidota Ēnu ekonomikas apkarošanas padome. Padomes uzdevums ir ēnu ekonomikas apkarošanas jomā koordinēt un uzraudzī</w:t>
      </w:r>
      <w:r w:rsidR="00990AC9">
        <w:rPr>
          <w:rFonts w:ascii="Times New Roman" w:eastAsia="Times New Roman" w:hAnsi="Times New Roman" w:cs="Times New Roman"/>
          <w:bCs/>
          <w:sz w:val="24"/>
          <w:szCs w:val="20"/>
        </w:rPr>
        <w:t>t atbildīgo institūciju darbību</w:t>
      </w:r>
      <w:r w:rsidRPr="00CE6BCD">
        <w:rPr>
          <w:rFonts w:ascii="Times New Roman" w:eastAsia="Times New Roman" w:hAnsi="Times New Roman" w:cs="Times New Roman"/>
          <w:bCs/>
          <w:sz w:val="24"/>
          <w:szCs w:val="20"/>
        </w:rPr>
        <w:t xml:space="preserve"> ar mērķi būtiski mazināt “aplokšņu algas”, apkarot nodokļu izkrāpšanas shēmas un citus negodprātīgas uzņēmējdarbības principus, kam vidējā termiņā tiks pievērsta pastiprināta uzmanība </w:t>
      </w:r>
      <w:r w:rsidR="00990AC9">
        <w:rPr>
          <w:rFonts w:ascii="Times New Roman" w:eastAsia="Times New Roman" w:hAnsi="Times New Roman" w:cs="Times New Roman"/>
          <w:bCs/>
          <w:sz w:val="24"/>
          <w:szCs w:val="20"/>
        </w:rPr>
        <w:t>–</w:t>
      </w:r>
      <w:r w:rsidRPr="00CE6BCD">
        <w:rPr>
          <w:rFonts w:ascii="Times New Roman" w:eastAsia="Times New Roman" w:hAnsi="Times New Roman" w:cs="Times New Roman"/>
          <w:bCs/>
          <w:sz w:val="24"/>
          <w:szCs w:val="20"/>
        </w:rPr>
        <w:t xml:space="preserve"> it īpaši </w:t>
      </w:r>
      <w:r w:rsidR="00990AC9">
        <w:rPr>
          <w:rFonts w:ascii="Times New Roman" w:eastAsia="Times New Roman" w:hAnsi="Times New Roman" w:cs="Times New Roman"/>
          <w:bCs/>
          <w:sz w:val="24"/>
          <w:szCs w:val="20"/>
        </w:rPr>
        <w:t>VID</w:t>
      </w:r>
      <w:r w:rsidRPr="00CE6BCD">
        <w:rPr>
          <w:rFonts w:ascii="Times New Roman" w:eastAsia="Times New Roman" w:hAnsi="Times New Roman" w:cs="Times New Roman"/>
          <w:bCs/>
          <w:sz w:val="24"/>
          <w:szCs w:val="20"/>
        </w:rPr>
        <w:t xml:space="preserve"> aktīva vēršanās pret nodokļu nemaksāšanu, tādejādi uzlabojot nodokļu iekasēšanu.</w:t>
      </w:r>
    </w:p>
    <w:p w14:paraId="00F0F14B" w14:textId="38B53746" w:rsidR="00CE6BCD" w:rsidRPr="00CE6BCD" w:rsidRDefault="00CE6BCD" w:rsidP="00990AC9">
      <w:pPr>
        <w:tabs>
          <w:tab w:val="left" w:pos="851"/>
        </w:tabs>
        <w:spacing w:after="0" w:line="240" w:lineRule="auto"/>
        <w:ind w:firstLine="567"/>
        <w:jc w:val="both"/>
        <w:rPr>
          <w:rFonts w:ascii="Times New Roman" w:eastAsia="Times New Roman" w:hAnsi="Times New Roman" w:cs="Times New Roman"/>
          <w:bCs/>
          <w:sz w:val="24"/>
          <w:szCs w:val="20"/>
        </w:rPr>
      </w:pPr>
      <w:r w:rsidRPr="00CE6BCD">
        <w:rPr>
          <w:rFonts w:ascii="Times New Roman" w:eastAsia="Times New Roman" w:hAnsi="Times New Roman" w:cs="Times New Roman"/>
          <w:bCs/>
          <w:sz w:val="24"/>
          <w:szCs w:val="20"/>
        </w:rPr>
        <w:t>Ar 2</w:t>
      </w:r>
      <w:r w:rsidR="00990AC9">
        <w:rPr>
          <w:rFonts w:ascii="Times New Roman" w:eastAsia="Times New Roman" w:hAnsi="Times New Roman" w:cs="Times New Roman"/>
          <w:bCs/>
          <w:sz w:val="24"/>
          <w:szCs w:val="20"/>
        </w:rPr>
        <w:t>017.gadu</w:t>
      </w:r>
      <w:r w:rsidRPr="00CE6BCD">
        <w:rPr>
          <w:rFonts w:ascii="Times New Roman" w:eastAsia="Times New Roman" w:hAnsi="Times New Roman" w:cs="Times New Roman"/>
          <w:bCs/>
          <w:sz w:val="24"/>
          <w:szCs w:val="20"/>
        </w:rPr>
        <w:t xml:space="preserve"> stājas spēkā šādi ēnu ekonomikas apkarošanas pasākumi:</w:t>
      </w:r>
    </w:p>
    <w:p w14:paraId="36658A76" w14:textId="758139BB"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risku vadības sistēm</w:t>
      </w:r>
      <w:r w:rsidR="00990AC9" w:rsidRPr="00990AC9">
        <w:rPr>
          <w:rFonts w:ascii="Times New Roman" w:eastAsia="Times New Roman" w:hAnsi="Times New Roman" w:cs="Times New Roman"/>
          <w:color w:val="000000"/>
          <w:sz w:val="24"/>
          <w:szCs w:val="24"/>
          <w:lang w:eastAsia="ar-SA"/>
        </w:rPr>
        <w:t>as ieviešana Uzņēmumu reģistrā;</w:t>
      </w:r>
    </w:p>
    <w:p w14:paraId="707D9DE4" w14:textId="50BC378A"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solidārās atbildības ieviešana ģenerāluzņēmumam vai apa</w:t>
      </w:r>
      <w:r w:rsidR="00990AC9" w:rsidRPr="00990AC9">
        <w:rPr>
          <w:rFonts w:ascii="Times New Roman" w:eastAsia="Times New Roman" w:hAnsi="Times New Roman" w:cs="Times New Roman"/>
          <w:color w:val="000000"/>
          <w:sz w:val="24"/>
          <w:szCs w:val="24"/>
          <w:lang w:eastAsia="ar-SA"/>
        </w:rPr>
        <w:t>kšuzņēmumam būvniecības nozarē;</w:t>
      </w:r>
    </w:p>
    <w:p w14:paraId="1E1F3502" w14:textId="77777777"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skaidras naudas darījumu ierobežošana starp fiziskām personām;</w:t>
      </w:r>
    </w:p>
    <w:p w14:paraId="2E4146E6" w14:textId="77777777"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subjektu, kam jāziņo par aizdomīgiem darījumiem, loka paplašināšana un uzraudzības nodrošināšana;</w:t>
      </w:r>
    </w:p>
    <w:p w14:paraId="1949AFBD" w14:textId="730EC4E5"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 xml:space="preserve">ieviest ātru, ērtu un efektīvu risinājumu piedziņas vēršanai uz naudas līdzekļiem parādnieku banku kontos nodrošinot </w:t>
      </w:r>
      <w:r w:rsidR="00990AC9">
        <w:rPr>
          <w:rFonts w:ascii="Times New Roman" w:eastAsia="Times New Roman" w:hAnsi="Times New Roman" w:cs="Times New Roman"/>
          <w:color w:val="000000"/>
          <w:sz w:val="24"/>
          <w:szCs w:val="24"/>
          <w:lang w:eastAsia="ar-SA"/>
        </w:rPr>
        <w:t>VID</w:t>
      </w:r>
      <w:r w:rsidRPr="00990AC9">
        <w:rPr>
          <w:rFonts w:ascii="Times New Roman" w:eastAsia="Times New Roman" w:hAnsi="Times New Roman" w:cs="Times New Roman"/>
          <w:color w:val="000000"/>
          <w:sz w:val="24"/>
          <w:szCs w:val="24"/>
          <w:lang w:eastAsia="ar-SA"/>
        </w:rPr>
        <w:t xml:space="preserve"> un kredītiestāžu elektronisko datu apmaiņu;</w:t>
      </w:r>
    </w:p>
    <w:p w14:paraId="3AE79265" w14:textId="77777777"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e-komercijas uzraudzības un kontroles nodrošināšana un VID tiesību paplašināšana;</w:t>
      </w:r>
    </w:p>
    <w:p w14:paraId="60E7F106" w14:textId="77777777"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apkarot un ierobežot nelegālā audiovizuālā tirgus (televīzijas programmu un filmu) izplatīšanu;</w:t>
      </w:r>
    </w:p>
    <w:p w14:paraId="3D166632" w14:textId="77777777" w:rsidR="00CE6BCD" w:rsidRPr="00990AC9" w:rsidRDefault="00CE6BCD" w:rsidP="0024257A">
      <w:pPr>
        <w:numPr>
          <w:ilvl w:val="0"/>
          <w:numId w:val="11"/>
        </w:numPr>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pilnveidot nosacījumus lietotu transportlīdzekļu reģistrācijai;</w:t>
      </w:r>
    </w:p>
    <w:p w14:paraId="1F5B5F09" w14:textId="77777777" w:rsidR="00CE6BCD" w:rsidRPr="00990AC9" w:rsidRDefault="00CE6BCD" w:rsidP="0024257A">
      <w:pPr>
        <w:numPr>
          <w:ilvl w:val="0"/>
          <w:numId w:val="11"/>
        </w:numPr>
        <w:suppressAutoHyphens/>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ierobežot negodīgu komersantu iesaistīšanos apsardzes pakalpojumu darījumu shēmās;</w:t>
      </w:r>
    </w:p>
    <w:p w14:paraId="0F59B211" w14:textId="77777777" w:rsidR="00CE6BCD" w:rsidRPr="00990AC9" w:rsidRDefault="00CE6BCD" w:rsidP="0024257A">
      <w:pPr>
        <w:numPr>
          <w:ilvl w:val="0"/>
          <w:numId w:val="11"/>
        </w:numPr>
        <w:suppressAutoHyphens/>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mazināt iespējas Latvijas teritorijā noliet, uzglabāt un tirgot ar atvieglojumiem ievesto degvielu (starptautisko kravas autopārvadājumu transporta līdzekļu degvielas tvertnēs);</w:t>
      </w:r>
    </w:p>
    <w:p w14:paraId="7F10E8D3" w14:textId="77777777" w:rsidR="00CE6BCD" w:rsidRPr="00990AC9" w:rsidRDefault="00CE6BCD" w:rsidP="0024257A">
      <w:pPr>
        <w:numPr>
          <w:ilvl w:val="0"/>
          <w:numId w:val="11"/>
        </w:numPr>
        <w:suppressAutoHyphens/>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reversais PVN dārgmetālu jomā;</w:t>
      </w:r>
    </w:p>
    <w:p w14:paraId="46C0DEC3" w14:textId="77777777" w:rsidR="00CE6BCD" w:rsidRPr="00990AC9" w:rsidRDefault="00CE6BCD" w:rsidP="0024257A">
      <w:pPr>
        <w:numPr>
          <w:ilvl w:val="0"/>
          <w:numId w:val="11"/>
        </w:numPr>
        <w:suppressAutoHyphens/>
        <w:spacing w:after="0" w:line="240" w:lineRule="auto"/>
        <w:ind w:left="1276" w:hanging="357"/>
        <w:jc w:val="both"/>
        <w:rPr>
          <w:rFonts w:ascii="Times New Roman" w:eastAsia="Times New Roman" w:hAnsi="Times New Roman" w:cs="Times New Roman"/>
          <w:color w:val="000000"/>
          <w:sz w:val="24"/>
          <w:szCs w:val="24"/>
          <w:lang w:eastAsia="ar-SA"/>
        </w:rPr>
      </w:pPr>
      <w:r w:rsidRPr="00990AC9">
        <w:rPr>
          <w:rFonts w:ascii="Times New Roman" w:eastAsia="Times New Roman" w:hAnsi="Times New Roman" w:cs="Times New Roman"/>
          <w:color w:val="000000"/>
          <w:sz w:val="24"/>
          <w:szCs w:val="24"/>
          <w:lang w:eastAsia="ar-SA"/>
        </w:rPr>
        <w:t>nodokļa avansa ieviešana taksometru nozarei.</w:t>
      </w:r>
    </w:p>
    <w:p w14:paraId="4C6CB180" w14:textId="01A2AEF7" w:rsidR="00CE6BCD" w:rsidRPr="00CE6BCD" w:rsidRDefault="00CE6BCD" w:rsidP="00990AC9">
      <w:pPr>
        <w:spacing w:after="0" w:line="240" w:lineRule="auto"/>
        <w:ind w:firstLine="709"/>
        <w:jc w:val="both"/>
        <w:rPr>
          <w:rFonts w:ascii="Times New Roman" w:eastAsia="Times New Roman" w:hAnsi="Times New Roman" w:cs="Times New Roman"/>
          <w:bCs/>
          <w:sz w:val="24"/>
          <w:szCs w:val="20"/>
        </w:rPr>
      </w:pPr>
      <w:r w:rsidRPr="00CE6BCD">
        <w:rPr>
          <w:rFonts w:ascii="Times New Roman" w:eastAsia="Times New Roman" w:hAnsi="Times New Roman" w:cs="Times New Roman"/>
          <w:bCs/>
          <w:sz w:val="24"/>
          <w:szCs w:val="20"/>
        </w:rPr>
        <w:t>Valdības rīcības plāna Deklarācija nosaka, ka vidējā termiņā tiks veikts uzņēmēju un sabiedrības motivāciju veicinošs pasākumu kopums ēnu ekonomikas mazināšanai, ik gadu palielino</w:t>
      </w:r>
      <w:r w:rsidR="00990AC9">
        <w:rPr>
          <w:rFonts w:ascii="Times New Roman" w:eastAsia="Times New Roman" w:hAnsi="Times New Roman" w:cs="Times New Roman"/>
          <w:bCs/>
          <w:sz w:val="24"/>
          <w:szCs w:val="20"/>
        </w:rPr>
        <w:t>t nodokļu iekasējamību un 2018.</w:t>
      </w:r>
      <w:r w:rsidRPr="00CE6BCD">
        <w:rPr>
          <w:rFonts w:ascii="Times New Roman" w:eastAsia="Times New Roman" w:hAnsi="Times New Roman" w:cs="Times New Roman"/>
          <w:bCs/>
          <w:sz w:val="24"/>
          <w:szCs w:val="20"/>
        </w:rPr>
        <w:t>gadā sasniedzot 1 procentpunkta nodokļu iekasējamības pieaugumu pret IKP.</w:t>
      </w:r>
    </w:p>
    <w:p w14:paraId="1E3538EA" w14:textId="77777777" w:rsidR="00990AC9" w:rsidRDefault="00990AC9" w:rsidP="00990AC9">
      <w:pPr>
        <w:spacing w:after="0" w:line="240" w:lineRule="auto"/>
        <w:ind w:left="567"/>
        <w:outlineLvl w:val="3"/>
        <w:rPr>
          <w:rFonts w:ascii="Times New Roman" w:eastAsia="Times New Roman" w:hAnsi="Times New Roman" w:cs="Times New Roman"/>
          <w:b/>
          <w:sz w:val="24"/>
          <w:szCs w:val="24"/>
        </w:rPr>
      </w:pPr>
    </w:p>
    <w:p w14:paraId="090A1896" w14:textId="34FB0D2D" w:rsidR="00CE6BCD" w:rsidRPr="00CE6BCD" w:rsidRDefault="00CE6BCD" w:rsidP="00990AC9">
      <w:pPr>
        <w:spacing w:after="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Pievienotās vērtības nodoklis</w:t>
      </w:r>
    </w:p>
    <w:p w14:paraId="635DF301" w14:textId="22EC51CF" w:rsidR="00CE6BCD" w:rsidRPr="00CE6BCD" w:rsidRDefault="00CE6BCD" w:rsidP="00990AC9">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Atbilstoši prognozētajai valsts ekonomikas izaugsmei, kā arī ņemot vērā pēdējo gadu </w:t>
      </w:r>
      <w:r w:rsidR="00990AC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ieņēmumu īpatsvara IKP palielināšanos, sagaidāms</w:t>
      </w:r>
      <w:r w:rsidRPr="00CE6BCD">
        <w:rPr>
          <w:rFonts w:ascii="Times New Roman" w:eastAsia="Times New Roman" w:hAnsi="Times New Roman" w:cs="Times New Roman"/>
          <w:sz w:val="24"/>
          <w:szCs w:val="24"/>
        </w:rPr>
        <w:t xml:space="preserve"> stabils </w:t>
      </w:r>
      <w:r w:rsidR="00990AC9">
        <w:rPr>
          <w:rFonts w:ascii="Times New Roman" w:eastAsia="Times New Roman" w:hAnsi="Times New Roman" w:cs="Times New Roman"/>
          <w:sz w:val="24"/>
          <w:szCs w:val="24"/>
        </w:rPr>
        <w:t>PVN</w:t>
      </w:r>
      <w:r w:rsidRPr="00CE6BCD">
        <w:rPr>
          <w:rFonts w:ascii="Times New Roman" w:eastAsia="Times New Roman" w:hAnsi="Times New Roman" w:cs="Times New Roman"/>
          <w:sz w:val="24"/>
          <w:szCs w:val="24"/>
        </w:rPr>
        <w:t xml:space="preserve"> ieņēmumu kāpums. </w:t>
      </w:r>
      <w:r w:rsidRPr="00CE6BCD">
        <w:rPr>
          <w:rFonts w:ascii="Times New Roman" w:eastAsia="Times New Roman" w:hAnsi="Times New Roman" w:cs="Times New Roman"/>
          <w:sz w:val="24"/>
          <w:szCs w:val="20"/>
        </w:rPr>
        <w:t xml:space="preserve">Turklāt </w:t>
      </w:r>
      <w:r w:rsidR="00990AC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ieņēmumu pieaugums vidējā termiņā tiks veicināts, turpinot īstenot valdības pieņemtos pasākumus – cīņu pret nodokļu nemaksāšanu un izvairīšanos no nodokļu </w:t>
      </w:r>
      <w:r w:rsidRPr="00CE6BCD">
        <w:rPr>
          <w:rFonts w:ascii="Times New Roman" w:eastAsia="Times New Roman" w:hAnsi="Times New Roman" w:cs="Times New Roman"/>
          <w:sz w:val="24"/>
          <w:szCs w:val="20"/>
        </w:rPr>
        <w:lastRenderedPageBreak/>
        <w:t>maksāšanas, uzlabojot nodokļa iekasēšanas efektivitāti. Uzlabojot nodokļa iekasējamību, pakāpeniski pieaugs nodokļa ieņēmumu apjoms pret IKP</w:t>
      </w:r>
      <w:r w:rsidRPr="00CE6BCD">
        <w:rPr>
          <w:rFonts w:ascii="Arial" w:eastAsia="Times New Roman" w:hAnsi="Arial" w:cs="Arial"/>
          <w:sz w:val="24"/>
          <w:szCs w:val="20"/>
        </w:rPr>
        <w:t>.</w:t>
      </w:r>
      <w:r w:rsidRPr="00CE6BCD">
        <w:rPr>
          <w:rFonts w:ascii="Times New Roman" w:eastAsia="Times New Roman" w:hAnsi="Times New Roman" w:cs="Times New Roman"/>
          <w:sz w:val="24"/>
          <w:szCs w:val="20"/>
        </w:rPr>
        <w:t xml:space="preserve"> </w:t>
      </w:r>
    </w:p>
    <w:p w14:paraId="264061C4" w14:textId="3234796B" w:rsidR="00CE6BCD" w:rsidRPr="00CE6BCD" w:rsidRDefault="00990AC9" w:rsidP="00990AC9">
      <w:pPr>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PVN ieņēmumus 2017.</w:t>
      </w:r>
      <w:r w:rsidR="00CE6BCD" w:rsidRPr="00CE6BCD">
        <w:rPr>
          <w:rFonts w:ascii="Times New Roman" w:eastAsia="Times New Roman" w:hAnsi="Times New Roman" w:cs="Times New Roman"/>
          <w:sz w:val="24"/>
          <w:szCs w:val="20"/>
        </w:rPr>
        <w:t>gadā ietekmēs arī iepriekšējos gados pieņemtie grozījumi Pievi</w:t>
      </w:r>
      <w:r w:rsidR="00DF51E9">
        <w:rPr>
          <w:rFonts w:ascii="Times New Roman" w:eastAsia="Times New Roman" w:hAnsi="Times New Roman" w:cs="Times New Roman"/>
          <w:sz w:val="24"/>
          <w:szCs w:val="20"/>
        </w:rPr>
        <w:t>enotās vērtības nodokļa likumā:</w:t>
      </w:r>
    </w:p>
    <w:p w14:paraId="0EF369AF" w14:textId="65A58C47" w:rsidR="00CE6BCD" w:rsidRPr="00CE6BCD" w:rsidRDefault="00DF51E9" w:rsidP="0024257A">
      <w:pPr>
        <w:numPr>
          <w:ilvl w:val="0"/>
          <w:numId w:val="16"/>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saskaņā ar 2015.gada 30.</w:t>
      </w:r>
      <w:r w:rsidR="00CE6BCD" w:rsidRPr="00CE6BCD">
        <w:rPr>
          <w:rFonts w:ascii="Times New Roman" w:eastAsia="Times New Roman" w:hAnsi="Times New Roman" w:cs="Times New Roman"/>
          <w:sz w:val="24"/>
          <w:szCs w:val="20"/>
        </w:rPr>
        <w:t>novembrī pieņemtajiem grozījumiem:</w:t>
      </w:r>
    </w:p>
    <w:p w14:paraId="2B2A0B02" w14:textId="6003695A" w:rsidR="00CE6BCD" w:rsidRPr="00CE6BCD" w:rsidRDefault="00DF51E9" w:rsidP="0024257A">
      <w:pPr>
        <w:numPr>
          <w:ilvl w:val="1"/>
          <w:numId w:val="18"/>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ar 2016.gada 1.</w:t>
      </w:r>
      <w:r w:rsidR="00CE6BCD" w:rsidRPr="00CE6BCD">
        <w:rPr>
          <w:rFonts w:ascii="Times New Roman" w:eastAsia="Times New Roman" w:hAnsi="Times New Roman" w:cs="Times New Roman"/>
          <w:sz w:val="24"/>
          <w:szCs w:val="20"/>
        </w:rPr>
        <w:t xml:space="preserve">aprīli ieviesta </w:t>
      </w:r>
      <w:r>
        <w:rPr>
          <w:rFonts w:ascii="Times New Roman" w:eastAsia="Times New Roman" w:hAnsi="Times New Roman" w:cs="Times New Roman"/>
          <w:sz w:val="24"/>
          <w:szCs w:val="20"/>
        </w:rPr>
        <w:t>PVN</w:t>
      </w:r>
      <w:r w:rsidR="00CE6BCD" w:rsidRPr="00CE6BCD">
        <w:rPr>
          <w:rFonts w:ascii="Times New Roman" w:eastAsia="Times New Roman" w:hAnsi="Times New Roman" w:cs="Times New Roman"/>
          <w:sz w:val="24"/>
          <w:szCs w:val="20"/>
        </w:rPr>
        <w:t xml:space="preserve"> apgrieztā maksāšanas kārtība mobilajiem telefoniem, klēpjdatoriem, planšetdatoriem un integrālās shēmas ierīcēm;</w:t>
      </w:r>
    </w:p>
    <w:p w14:paraId="06F51A8E" w14:textId="548A3E26" w:rsidR="00CE6BCD" w:rsidRPr="00CE6BCD" w:rsidRDefault="00CE6BCD" w:rsidP="0024257A">
      <w:pPr>
        <w:numPr>
          <w:ilvl w:val="1"/>
          <w:numId w:val="18"/>
        </w:numPr>
        <w:spacing w:after="0" w:line="240" w:lineRule="auto"/>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atbilstoši </w:t>
      </w:r>
      <w:r w:rsidR="00DF51E9">
        <w:rPr>
          <w:rFonts w:ascii="Times New Roman" w:eastAsia="Times New Roman" w:hAnsi="Times New Roman" w:cs="Times New Roman"/>
          <w:sz w:val="24"/>
          <w:szCs w:val="20"/>
        </w:rPr>
        <w:t>EK pārkāpumu procedūrai ar 2016.gada 1.</w:t>
      </w:r>
      <w:r w:rsidRPr="00CE6BCD">
        <w:rPr>
          <w:rFonts w:ascii="Times New Roman" w:eastAsia="Times New Roman" w:hAnsi="Times New Roman" w:cs="Times New Roman"/>
          <w:sz w:val="24"/>
          <w:szCs w:val="20"/>
        </w:rPr>
        <w:t xml:space="preserve">jūliju </w:t>
      </w:r>
      <w:r w:rsidR="00DF51E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piemēro arī par dzīvokļu īpašnieku kooperatīvo sabiedrību biedriem sniegtajiem dzīvojamo māju uzturēšanas un pārvaldīšanas pakalpojumiem, piemērojot tiem </w:t>
      </w:r>
      <w:r w:rsidR="00DF51E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standartlikmi 21% apmērā;</w:t>
      </w:r>
    </w:p>
    <w:p w14:paraId="0408705D" w14:textId="35CB7CF6" w:rsidR="00CE6BCD" w:rsidRPr="00CE6BCD" w:rsidRDefault="00DF51E9" w:rsidP="0024257A">
      <w:pPr>
        <w:numPr>
          <w:ilvl w:val="0"/>
          <w:numId w:val="16"/>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saskaņā ar 2016.gada 16.</w:t>
      </w:r>
      <w:r w:rsidR="00CE6BCD" w:rsidRPr="00CE6BCD">
        <w:rPr>
          <w:rFonts w:ascii="Times New Roman" w:eastAsia="Times New Roman" w:hAnsi="Times New Roman" w:cs="Times New Roman"/>
          <w:sz w:val="24"/>
          <w:szCs w:val="20"/>
        </w:rPr>
        <w:t>jūnijā pi</w:t>
      </w:r>
      <w:r>
        <w:rPr>
          <w:rFonts w:ascii="Times New Roman" w:eastAsia="Times New Roman" w:hAnsi="Times New Roman" w:cs="Times New Roman"/>
          <w:sz w:val="24"/>
          <w:szCs w:val="20"/>
        </w:rPr>
        <w:t>eņemtajiem grozījumiem ar 2016.gada 1.j</w:t>
      </w:r>
      <w:r w:rsidR="00CE6BCD" w:rsidRPr="00CE6BCD">
        <w:rPr>
          <w:rFonts w:ascii="Times New Roman" w:eastAsia="Times New Roman" w:hAnsi="Times New Roman" w:cs="Times New Roman"/>
          <w:sz w:val="24"/>
          <w:szCs w:val="20"/>
        </w:rPr>
        <w:t xml:space="preserve">ūliju ieviesta </w:t>
      </w:r>
      <w:r>
        <w:rPr>
          <w:rFonts w:ascii="Times New Roman" w:eastAsia="Times New Roman" w:hAnsi="Times New Roman" w:cs="Times New Roman"/>
          <w:sz w:val="24"/>
          <w:szCs w:val="20"/>
        </w:rPr>
        <w:t>PVN</w:t>
      </w:r>
      <w:r w:rsidR="00CE6BCD" w:rsidRPr="00CE6BCD">
        <w:rPr>
          <w:rFonts w:ascii="Times New Roman" w:eastAsia="Times New Roman" w:hAnsi="Times New Roman" w:cs="Times New Roman"/>
          <w:sz w:val="24"/>
          <w:szCs w:val="20"/>
        </w:rPr>
        <w:t xml:space="preserve"> apgrieztās maksāšanas kārtība graudaugu un tehnisko kult</w:t>
      </w:r>
      <w:r>
        <w:rPr>
          <w:rFonts w:ascii="Times New Roman" w:eastAsia="Times New Roman" w:hAnsi="Times New Roman" w:cs="Times New Roman"/>
          <w:sz w:val="24"/>
          <w:szCs w:val="20"/>
        </w:rPr>
        <w:t xml:space="preserve">ūru (tostarp eļļas augu sēklu) </w:t>
      </w:r>
      <w:r w:rsidR="00CE6BCD" w:rsidRPr="00CE6BCD">
        <w:rPr>
          <w:rFonts w:ascii="Times New Roman" w:eastAsia="Times New Roman" w:hAnsi="Times New Roman" w:cs="Times New Roman"/>
          <w:sz w:val="24"/>
          <w:szCs w:val="20"/>
        </w:rPr>
        <w:t>piegādēm.</w:t>
      </w:r>
    </w:p>
    <w:p w14:paraId="52CB4ACB" w14:textId="4C894413" w:rsidR="00CE6BCD" w:rsidRPr="00CE6BCD" w:rsidRDefault="00DF51E9" w:rsidP="00990AC9">
      <w:pPr>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Savukārt saskaņā ar 2016.gada 23.</w:t>
      </w:r>
      <w:r w:rsidR="00CE6BCD" w:rsidRPr="00CE6BCD">
        <w:rPr>
          <w:rFonts w:ascii="Times New Roman" w:eastAsia="Times New Roman" w:hAnsi="Times New Roman" w:cs="Times New Roman"/>
          <w:sz w:val="24"/>
          <w:szCs w:val="20"/>
        </w:rPr>
        <w:t>novembrī pieņemtajiem grozījumiem Pievienotās v</w:t>
      </w:r>
      <w:r>
        <w:rPr>
          <w:rFonts w:ascii="Times New Roman" w:eastAsia="Times New Roman" w:hAnsi="Times New Roman" w:cs="Times New Roman"/>
          <w:sz w:val="24"/>
          <w:szCs w:val="20"/>
        </w:rPr>
        <w:t>ērtības nodokļa likumā ar 2017.gada 1.</w:t>
      </w:r>
      <w:r w:rsidR="00CE6BCD" w:rsidRPr="00CE6BCD">
        <w:rPr>
          <w:rFonts w:ascii="Times New Roman" w:eastAsia="Times New Roman" w:hAnsi="Times New Roman" w:cs="Times New Roman"/>
          <w:sz w:val="24"/>
          <w:szCs w:val="20"/>
        </w:rPr>
        <w:t>janvāri:</w:t>
      </w:r>
    </w:p>
    <w:p w14:paraId="5C0131A0" w14:textId="3A69D88D" w:rsidR="00CE6BCD" w:rsidRPr="00CE6BCD" w:rsidRDefault="00CE6BCD" w:rsidP="0024257A">
      <w:pPr>
        <w:numPr>
          <w:ilvl w:val="0"/>
          <w:numId w:val="17"/>
        </w:numPr>
        <w:spacing w:after="0" w:line="240" w:lineRule="auto"/>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atcelta </w:t>
      </w:r>
      <w:r w:rsidR="00DF51E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priekšnodokļa atskaitīšana N1 kategorijas kravas transportlīdzekļiem ar pilnu masu līdz 3 tonnām, kuras vērtība vienlaikus pārsniedz </w:t>
      </w:r>
      <w:r w:rsidR="00DF51E9">
        <w:rPr>
          <w:rFonts w:ascii="Times New Roman" w:eastAsia="Times New Roman" w:hAnsi="Times New Roman" w:cs="Times New Roman"/>
          <w:sz w:val="24"/>
          <w:szCs w:val="20"/>
        </w:rPr>
        <w:t>UIN</w:t>
      </w:r>
      <w:r w:rsidRPr="00CE6BCD">
        <w:rPr>
          <w:rFonts w:ascii="Times New Roman" w:eastAsia="Times New Roman" w:hAnsi="Times New Roman" w:cs="Times New Roman"/>
          <w:sz w:val="24"/>
          <w:szCs w:val="20"/>
        </w:rPr>
        <w:t xml:space="preserve"> regulējošajos normatīvajos aktos noteikto reprezentatīvā automobiļa vērtību;</w:t>
      </w:r>
    </w:p>
    <w:p w14:paraId="34D9A5D6" w14:textId="0CDA5188" w:rsidR="00CE6BCD" w:rsidRPr="00CE6BCD" w:rsidRDefault="00CE6BCD" w:rsidP="0024257A">
      <w:pPr>
        <w:numPr>
          <w:ilvl w:val="0"/>
          <w:numId w:val="17"/>
        </w:numPr>
        <w:spacing w:after="0" w:line="240" w:lineRule="auto"/>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ieviesta </w:t>
      </w:r>
      <w:r w:rsidRPr="00CE6BCD">
        <w:rPr>
          <w:rFonts w:ascii="Times New Roman" w:eastAsia="Times New Roman" w:hAnsi="Times New Roman" w:cs="Times New Roman"/>
          <w:sz w:val="24"/>
          <w:szCs w:val="25"/>
        </w:rPr>
        <w:t xml:space="preserve">apgrieztā </w:t>
      </w:r>
      <w:r w:rsidR="00DF51E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w:t>
      </w:r>
      <w:r w:rsidRPr="00CE6BCD">
        <w:rPr>
          <w:rFonts w:ascii="Times New Roman" w:eastAsia="Times New Roman" w:hAnsi="Times New Roman" w:cs="Times New Roman"/>
          <w:sz w:val="24"/>
          <w:szCs w:val="25"/>
        </w:rPr>
        <w:t xml:space="preserve">maksāšanas kārtība </w:t>
      </w:r>
      <w:r w:rsidRPr="00CE6BCD">
        <w:rPr>
          <w:rFonts w:ascii="Times New Roman" w:eastAsia="Times New Roman" w:hAnsi="Times New Roman" w:cs="Times New Roman"/>
          <w:sz w:val="24"/>
          <w:szCs w:val="20"/>
        </w:rPr>
        <w:t>neapstrādātu dārgmetālu un to pusfabrikātu, dārgmetālu sakausējumu un to pusfabrikātu, dārgmetālu plaķētu metālu, dārgmetālu lūžņu un atlūzu piegādēm.</w:t>
      </w:r>
    </w:p>
    <w:p w14:paraId="1CBBCD00" w14:textId="16E41D42" w:rsidR="00CE6BCD" w:rsidRPr="00CE6BCD" w:rsidRDefault="00CE6BCD" w:rsidP="00906268">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Papildus minētajām izmaiņām </w:t>
      </w:r>
      <w:r w:rsidR="00DF51E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ieņēmumus ietekmē arī pasāk</w:t>
      </w:r>
      <w:r w:rsidR="00DF51E9">
        <w:rPr>
          <w:rFonts w:ascii="Times New Roman" w:eastAsia="Times New Roman" w:hAnsi="Times New Roman" w:cs="Times New Roman"/>
          <w:sz w:val="24"/>
          <w:szCs w:val="20"/>
        </w:rPr>
        <w:t>umi, kas nav tieši saistīti ar P</w:t>
      </w:r>
      <w:r w:rsidRPr="00CE6BCD">
        <w:rPr>
          <w:rFonts w:ascii="Times New Roman" w:eastAsia="Times New Roman" w:hAnsi="Times New Roman" w:cs="Times New Roman"/>
          <w:sz w:val="24"/>
          <w:szCs w:val="20"/>
        </w:rPr>
        <w:t xml:space="preserve">ievienotās vērtības nodokļa likuma izmaiņām, bet veicinās tā ieņēmumu pieaugumu, piemēram, izmaiņas akcīzes nodokļa piemērošanā, mēneša minimālās algas paaugstināšana (sk. 6.2. tabulu, kurā atspoguļoti visi </w:t>
      </w:r>
      <w:r w:rsidR="00DF51E9">
        <w:rPr>
          <w:rFonts w:ascii="Times New Roman" w:eastAsia="Times New Roman" w:hAnsi="Times New Roman" w:cs="Times New Roman"/>
          <w:sz w:val="24"/>
          <w:szCs w:val="20"/>
        </w:rPr>
        <w:t>PVN</w:t>
      </w:r>
      <w:r w:rsidRPr="00CE6BCD">
        <w:rPr>
          <w:rFonts w:ascii="Times New Roman" w:eastAsia="Times New Roman" w:hAnsi="Times New Roman" w:cs="Times New Roman"/>
          <w:sz w:val="24"/>
          <w:szCs w:val="20"/>
        </w:rPr>
        <w:t xml:space="preserve"> ieņēmumus ietekmējoš</w:t>
      </w:r>
      <w:r w:rsidR="00DF51E9">
        <w:rPr>
          <w:rFonts w:ascii="Times New Roman" w:eastAsia="Times New Roman" w:hAnsi="Times New Roman" w:cs="Times New Roman"/>
          <w:sz w:val="24"/>
          <w:szCs w:val="20"/>
        </w:rPr>
        <w:t>ie nodokļu politikas pasākumi).</w:t>
      </w:r>
    </w:p>
    <w:p w14:paraId="609D8516" w14:textId="77777777" w:rsidR="00BE6FBC" w:rsidRDefault="00BE6FBC">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6BB42CB3" w14:textId="7749ADCD" w:rsidR="00CE6BCD" w:rsidRPr="00CE6BCD" w:rsidRDefault="00CE6BCD" w:rsidP="00502866">
      <w:pPr>
        <w:keepNext/>
        <w:spacing w:before="120" w:after="60" w:line="240" w:lineRule="auto"/>
        <w:jc w:val="right"/>
        <w:rPr>
          <w:rFonts w:ascii="Times New Roman" w:eastAsia="Times New Roman" w:hAnsi="Times New Roman" w:cs="Times New Roman"/>
          <w:b/>
          <w:i/>
          <w:sz w:val="24"/>
          <w:szCs w:val="24"/>
        </w:rPr>
      </w:pPr>
      <w:r w:rsidRPr="00CE6BCD">
        <w:rPr>
          <w:rFonts w:ascii="Times New Roman" w:eastAsia="Times New Roman" w:hAnsi="Times New Roman" w:cs="Times New Roman"/>
          <w:b/>
          <w:sz w:val="24"/>
          <w:szCs w:val="20"/>
        </w:rPr>
        <w:lastRenderedPageBreak/>
        <w:t>6.2.tabula.</w:t>
      </w:r>
      <w:r w:rsidRPr="00CE6BCD">
        <w:rPr>
          <w:rFonts w:ascii="Times New Roman" w:eastAsia="Times New Roman" w:hAnsi="Times New Roman" w:cs="Times New Roman"/>
          <w:b/>
          <w:sz w:val="24"/>
          <w:szCs w:val="24"/>
        </w:rPr>
        <w:t xml:space="preserve"> Nodokļu politikas izmaiņu ietekme</w:t>
      </w:r>
      <w:r w:rsidRPr="00CE6BCD">
        <w:rPr>
          <w:rFonts w:ascii="Times New Roman" w:eastAsia="Times New Roman" w:hAnsi="Times New Roman" w:cs="Times New Roman"/>
          <w:b/>
          <w:sz w:val="24"/>
          <w:szCs w:val="24"/>
          <w:vertAlign w:val="superscript"/>
        </w:rPr>
        <w:footnoteReference w:id="31"/>
      </w:r>
      <w:r w:rsidRPr="00CE6BCD">
        <w:rPr>
          <w:rFonts w:ascii="Times New Roman" w:eastAsia="Times New Roman" w:hAnsi="Times New Roman" w:cs="Times New Roman"/>
          <w:b/>
          <w:sz w:val="24"/>
          <w:szCs w:val="24"/>
        </w:rPr>
        <w:t xml:space="preserve"> uz </w:t>
      </w:r>
      <w:r w:rsidR="00996613">
        <w:rPr>
          <w:rFonts w:ascii="Times New Roman" w:eastAsia="Times New Roman" w:hAnsi="Times New Roman" w:cs="Times New Roman"/>
          <w:b/>
          <w:sz w:val="24"/>
          <w:szCs w:val="24"/>
        </w:rPr>
        <w:t>PVN</w:t>
      </w:r>
      <w:r w:rsidRPr="00CE6BCD">
        <w:rPr>
          <w:rFonts w:ascii="Times New Roman" w:eastAsia="Times New Roman" w:hAnsi="Times New Roman" w:cs="Times New Roman"/>
          <w:b/>
          <w:sz w:val="24"/>
          <w:szCs w:val="24"/>
        </w:rPr>
        <w:t xml:space="preserve"> ieņēmumiem, milj. </w:t>
      </w:r>
      <w:r w:rsidRPr="00CE6BCD">
        <w:rPr>
          <w:rFonts w:ascii="Times New Roman" w:eastAsia="Times New Roman" w:hAnsi="Times New Roman" w:cs="Times New Roman"/>
          <w:b/>
          <w:i/>
          <w:sz w:val="24"/>
          <w:szCs w:val="24"/>
        </w:rPr>
        <w:t>euro</w:t>
      </w:r>
    </w:p>
    <w:tbl>
      <w:tblPr>
        <w:tblStyle w:val="GridTable6Colorful-Accent1"/>
        <w:tblW w:w="9214" w:type="dxa"/>
        <w:tblLayout w:type="fixed"/>
        <w:tblLook w:val="04A0" w:firstRow="1" w:lastRow="0" w:firstColumn="1" w:lastColumn="0" w:noHBand="0" w:noVBand="1"/>
      </w:tblPr>
      <w:tblGrid>
        <w:gridCol w:w="6379"/>
        <w:gridCol w:w="709"/>
        <w:gridCol w:w="708"/>
        <w:gridCol w:w="709"/>
        <w:gridCol w:w="709"/>
      </w:tblGrid>
      <w:tr w:rsidR="00616BA1" w:rsidRPr="00616BA1" w14:paraId="631BE831" w14:textId="77777777" w:rsidTr="00F32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7A23B59A" w14:textId="77777777" w:rsidR="00CE6BCD" w:rsidRPr="00616BA1" w:rsidRDefault="00CE6BCD" w:rsidP="00CE6BCD">
            <w:pPr>
              <w:rPr>
                <w:rFonts w:ascii="Times New Roman" w:eastAsia="Times New Roman" w:hAnsi="Times New Roman" w:cs="Times New Roman"/>
                <w:b w:val="0"/>
                <w:color w:val="auto"/>
                <w:sz w:val="20"/>
                <w:szCs w:val="20"/>
              </w:rPr>
            </w:pPr>
          </w:p>
        </w:tc>
        <w:tc>
          <w:tcPr>
            <w:tcW w:w="709" w:type="dxa"/>
          </w:tcPr>
          <w:p w14:paraId="46FAC869"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2017</w:t>
            </w:r>
          </w:p>
        </w:tc>
        <w:tc>
          <w:tcPr>
            <w:tcW w:w="708" w:type="dxa"/>
          </w:tcPr>
          <w:p w14:paraId="1DE73A8A"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2018</w:t>
            </w:r>
          </w:p>
        </w:tc>
        <w:tc>
          <w:tcPr>
            <w:tcW w:w="709" w:type="dxa"/>
          </w:tcPr>
          <w:p w14:paraId="4ABD842B"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2019</w:t>
            </w:r>
          </w:p>
        </w:tc>
        <w:tc>
          <w:tcPr>
            <w:tcW w:w="709" w:type="dxa"/>
          </w:tcPr>
          <w:p w14:paraId="63843CC3"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2020</w:t>
            </w:r>
          </w:p>
        </w:tc>
      </w:tr>
      <w:tr w:rsidR="00616BA1" w:rsidRPr="00616BA1" w14:paraId="5470E4BE"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0A79A75"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Kases aparātu, hibrīda kases aparātu, kases sistēmu, specializēto ierīču un iekārtu tehnisko prasību pilnveidošana</w:t>
            </w:r>
          </w:p>
        </w:tc>
        <w:tc>
          <w:tcPr>
            <w:tcW w:w="709" w:type="dxa"/>
            <w:vAlign w:val="center"/>
          </w:tcPr>
          <w:p w14:paraId="78DD619A"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+18,1</w:t>
            </w:r>
          </w:p>
        </w:tc>
        <w:tc>
          <w:tcPr>
            <w:tcW w:w="708" w:type="dxa"/>
            <w:vAlign w:val="center"/>
          </w:tcPr>
          <w:p w14:paraId="5FF64EC0"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0737F4B2"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08B2F515"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3597DAD1" w14:textId="77777777" w:rsidTr="00F3248F">
        <w:tc>
          <w:tcPr>
            <w:cnfStyle w:val="001000000000" w:firstRow="0" w:lastRow="0" w:firstColumn="1" w:lastColumn="0" w:oddVBand="0" w:evenVBand="0" w:oddHBand="0" w:evenHBand="0" w:firstRowFirstColumn="0" w:firstRowLastColumn="0" w:lastRowFirstColumn="0" w:lastRowLastColumn="0"/>
            <w:tcW w:w="6379" w:type="dxa"/>
          </w:tcPr>
          <w:p w14:paraId="0A043D1F"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PVN piemērošana dzīvojamo telpu apsaimniekošanai (atbilstoši EK pārkāpumu procedūrai)</w:t>
            </w:r>
          </w:p>
        </w:tc>
        <w:tc>
          <w:tcPr>
            <w:tcW w:w="709" w:type="dxa"/>
            <w:vAlign w:val="center"/>
          </w:tcPr>
          <w:p w14:paraId="5FA9778C"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+11,2</w:t>
            </w:r>
          </w:p>
        </w:tc>
        <w:tc>
          <w:tcPr>
            <w:tcW w:w="708" w:type="dxa"/>
            <w:vAlign w:val="center"/>
          </w:tcPr>
          <w:p w14:paraId="035C12ED"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7E4EB222"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2C14D0B8"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4F409F85"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DB251B4"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PVN apgrieztās maksāšanas kārtības ieviešana mobilajiem telefoniem, klēpjdatoriem, planšetdatoriem un integrālās shēmas ierīcēm</w:t>
            </w:r>
          </w:p>
        </w:tc>
        <w:tc>
          <w:tcPr>
            <w:tcW w:w="709" w:type="dxa"/>
            <w:vAlign w:val="center"/>
          </w:tcPr>
          <w:p w14:paraId="5CF52EB2"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+1,0</w:t>
            </w:r>
          </w:p>
        </w:tc>
        <w:tc>
          <w:tcPr>
            <w:tcW w:w="708" w:type="dxa"/>
            <w:vAlign w:val="center"/>
          </w:tcPr>
          <w:p w14:paraId="450D475E"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2977BFC9"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7205454D"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0CB18B82" w14:textId="77777777" w:rsidTr="00F3248F">
        <w:tc>
          <w:tcPr>
            <w:cnfStyle w:val="001000000000" w:firstRow="0" w:lastRow="0" w:firstColumn="1" w:lastColumn="0" w:oddVBand="0" w:evenVBand="0" w:oddHBand="0" w:evenHBand="0" w:firstRowFirstColumn="0" w:firstRowLastColumn="0" w:lastRowFirstColumn="0" w:lastRowLastColumn="0"/>
            <w:tcW w:w="6379" w:type="dxa"/>
          </w:tcPr>
          <w:p w14:paraId="7D349797"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Akcīzes nodokļa paaugstināšana alkoholiskajiem dzērieniem un alum</w:t>
            </w:r>
          </w:p>
        </w:tc>
        <w:tc>
          <w:tcPr>
            <w:tcW w:w="709" w:type="dxa"/>
            <w:vAlign w:val="center"/>
          </w:tcPr>
          <w:p w14:paraId="65A879BC"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+1,2</w:t>
            </w:r>
          </w:p>
        </w:tc>
        <w:tc>
          <w:tcPr>
            <w:tcW w:w="708" w:type="dxa"/>
            <w:vAlign w:val="center"/>
          </w:tcPr>
          <w:p w14:paraId="0B530122"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+1,2</w:t>
            </w:r>
          </w:p>
        </w:tc>
        <w:tc>
          <w:tcPr>
            <w:tcW w:w="709" w:type="dxa"/>
            <w:vAlign w:val="center"/>
          </w:tcPr>
          <w:p w14:paraId="0A5F350B"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+0,2</w:t>
            </w:r>
          </w:p>
        </w:tc>
        <w:tc>
          <w:tcPr>
            <w:tcW w:w="709" w:type="dxa"/>
            <w:vAlign w:val="center"/>
          </w:tcPr>
          <w:p w14:paraId="0182A99D"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3E0B64C7"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241B8CC"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PVN apgrieztās maksāšanas kārtības ieviešana graudaugu un tehnisko kultūru piegādēm (ar 01.07.2016.)</w:t>
            </w:r>
          </w:p>
        </w:tc>
        <w:tc>
          <w:tcPr>
            <w:tcW w:w="709" w:type="dxa"/>
            <w:vAlign w:val="center"/>
          </w:tcPr>
          <w:p w14:paraId="7E5B1C6C"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+2,8</w:t>
            </w:r>
          </w:p>
        </w:tc>
        <w:tc>
          <w:tcPr>
            <w:tcW w:w="708" w:type="dxa"/>
            <w:vAlign w:val="center"/>
          </w:tcPr>
          <w:p w14:paraId="085E472C"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23DD1C75"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-4,3</w:t>
            </w:r>
          </w:p>
        </w:tc>
        <w:tc>
          <w:tcPr>
            <w:tcW w:w="709" w:type="dxa"/>
            <w:vAlign w:val="center"/>
          </w:tcPr>
          <w:p w14:paraId="74997431"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057D8772" w14:textId="77777777" w:rsidTr="00F3248F">
        <w:tc>
          <w:tcPr>
            <w:cnfStyle w:val="001000000000" w:firstRow="0" w:lastRow="0" w:firstColumn="1" w:lastColumn="0" w:oddVBand="0" w:evenVBand="0" w:oddHBand="0" w:evenHBand="0" w:firstRowFirstColumn="0" w:firstRowLastColumn="0" w:lastRowFirstColumn="0" w:lastRowLastColumn="0"/>
            <w:tcW w:w="6379" w:type="dxa"/>
          </w:tcPr>
          <w:p w14:paraId="5625EC33"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Cīņa ar ēnu ekonomiku un citi pasākumi, lai uzlabotu nodokļu administrēšanu (nodokļu administrēšanas uzlabošanas pasākumi u.c. pasākumi)</w:t>
            </w:r>
          </w:p>
        </w:tc>
        <w:tc>
          <w:tcPr>
            <w:tcW w:w="709" w:type="dxa"/>
            <w:vAlign w:val="center"/>
          </w:tcPr>
          <w:p w14:paraId="07E34C6E"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+7,8</w:t>
            </w:r>
          </w:p>
        </w:tc>
        <w:tc>
          <w:tcPr>
            <w:tcW w:w="708" w:type="dxa"/>
            <w:vAlign w:val="center"/>
          </w:tcPr>
          <w:p w14:paraId="35F7BAA7"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7BC07653"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2188504E"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05790008"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3BC1E25A" w14:textId="77777777" w:rsidR="00CE6BCD" w:rsidRPr="00616BA1" w:rsidRDefault="00CE6BCD" w:rsidP="00CE6BCD">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Mēneša minimālās algas paaugstināšana no 370 </w:t>
            </w:r>
            <w:r w:rsidRPr="00616BA1">
              <w:rPr>
                <w:rFonts w:ascii="Times New Roman" w:eastAsia="Times New Roman" w:hAnsi="Times New Roman" w:cs="Times New Roman"/>
                <w:b w:val="0"/>
                <w:i/>
                <w:color w:val="auto"/>
                <w:sz w:val="20"/>
                <w:szCs w:val="20"/>
              </w:rPr>
              <w:t>euro</w:t>
            </w:r>
            <w:r w:rsidRPr="00616BA1">
              <w:rPr>
                <w:rFonts w:ascii="Times New Roman" w:eastAsia="Times New Roman" w:hAnsi="Times New Roman" w:cs="Times New Roman"/>
                <w:b w:val="0"/>
                <w:color w:val="auto"/>
                <w:sz w:val="20"/>
                <w:szCs w:val="20"/>
              </w:rPr>
              <w:t xml:space="preserve"> līdz 380 </w:t>
            </w:r>
            <w:r w:rsidRPr="00616BA1">
              <w:rPr>
                <w:rFonts w:ascii="Times New Roman" w:eastAsia="Times New Roman" w:hAnsi="Times New Roman" w:cs="Times New Roman"/>
                <w:b w:val="0"/>
                <w:i/>
                <w:color w:val="auto"/>
                <w:sz w:val="20"/>
                <w:szCs w:val="20"/>
              </w:rPr>
              <w:t>euro</w:t>
            </w:r>
          </w:p>
        </w:tc>
        <w:tc>
          <w:tcPr>
            <w:tcW w:w="709" w:type="dxa"/>
            <w:vAlign w:val="center"/>
          </w:tcPr>
          <w:p w14:paraId="18156A8B"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+1,1</w:t>
            </w:r>
          </w:p>
        </w:tc>
        <w:tc>
          <w:tcPr>
            <w:tcW w:w="708" w:type="dxa"/>
            <w:vAlign w:val="center"/>
          </w:tcPr>
          <w:p w14:paraId="08A513CB"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3FF4F630"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3395660E"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178CAD8A" w14:textId="77777777" w:rsidTr="00F3248F">
        <w:tc>
          <w:tcPr>
            <w:cnfStyle w:val="001000000000" w:firstRow="0" w:lastRow="0" w:firstColumn="1" w:lastColumn="0" w:oddVBand="0" w:evenVBand="0" w:oddHBand="0" w:evenHBand="0" w:firstRowFirstColumn="0" w:firstRowLastColumn="0" w:lastRowFirstColumn="0" w:lastRowLastColumn="0"/>
            <w:tcW w:w="6379" w:type="dxa"/>
          </w:tcPr>
          <w:p w14:paraId="0E02D753" w14:textId="77777777" w:rsidR="00CE6BCD" w:rsidRPr="00616BA1" w:rsidRDefault="00CE6BCD" w:rsidP="00CE6BCD">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Nodokļu nemaksāšanas risku ierobežošana transportlīdzekļu apkopes un remonta nozarē, kad kā apdrošināšanas atlīdzības veids tiek izvēlēts remonta pakalpojuma kompensācija</w:t>
            </w:r>
          </w:p>
        </w:tc>
        <w:tc>
          <w:tcPr>
            <w:tcW w:w="709" w:type="dxa"/>
            <w:vAlign w:val="center"/>
          </w:tcPr>
          <w:p w14:paraId="1E0B4945"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+0,1</w:t>
            </w:r>
          </w:p>
        </w:tc>
        <w:tc>
          <w:tcPr>
            <w:tcW w:w="708" w:type="dxa"/>
            <w:vAlign w:val="center"/>
          </w:tcPr>
          <w:p w14:paraId="3206A5CC"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c>
          <w:tcPr>
            <w:tcW w:w="709" w:type="dxa"/>
            <w:vAlign w:val="center"/>
          </w:tcPr>
          <w:p w14:paraId="441352C2"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c>
          <w:tcPr>
            <w:tcW w:w="709" w:type="dxa"/>
            <w:vAlign w:val="center"/>
          </w:tcPr>
          <w:p w14:paraId="345AB98A"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r>
      <w:tr w:rsidR="00616BA1" w:rsidRPr="00616BA1" w14:paraId="60C62CBE"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0AEA48C6" w14:textId="0D7D82D0" w:rsidR="00CE6BCD" w:rsidRPr="00616BA1" w:rsidRDefault="00CE6BCD" w:rsidP="00996613">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PVN priekšnodokļa atskaitīšanas atcelšana N1 kategorijas kravas transportlīdzekļiem ar pilnu masu līdz 3 tonnām un vienlaikus, kuras vērtība pārsniedz </w:t>
            </w:r>
            <w:r w:rsidR="00996613" w:rsidRPr="00616BA1">
              <w:rPr>
                <w:rFonts w:ascii="Times New Roman" w:eastAsia="Times New Roman" w:hAnsi="Times New Roman" w:cs="Times New Roman"/>
                <w:b w:val="0"/>
                <w:color w:val="auto"/>
                <w:sz w:val="20"/>
                <w:szCs w:val="20"/>
              </w:rPr>
              <w:t>UIN</w:t>
            </w:r>
            <w:r w:rsidRPr="00616BA1">
              <w:rPr>
                <w:rFonts w:ascii="Times New Roman" w:eastAsia="Times New Roman" w:hAnsi="Times New Roman" w:cs="Times New Roman"/>
                <w:b w:val="0"/>
                <w:color w:val="auto"/>
                <w:sz w:val="20"/>
                <w:szCs w:val="20"/>
              </w:rPr>
              <w:t xml:space="preserve"> regulējošajos normatīvajos aktos noteikto reprezentatīvā automobiļa vērtību</w:t>
            </w:r>
          </w:p>
        </w:tc>
        <w:tc>
          <w:tcPr>
            <w:tcW w:w="709" w:type="dxa"/>
            <w:vAlign w:val="center"/>
          </w:tcPr>
          <w:p w14:paraId="58F68BE6"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+0,2</w:t>
            </w:r>
          </w:p>
        </w:tc>
        <w:tc>
          <w:tcPr>
            <w:tcW w:w="708" w:type="dxa"/>
            <w:vAlign w:val="center"/>
          </w:tcPr>
          <w:p w14:paraId="0561EAB3"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187576F9"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709" w:type="dxa"/>
            <w:vAlign w:val="center"/>
          </w:tcPr>
          <w:p w14:paraId="6D61ECCC"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r>
      <w:tr w:rsidR="00616BA1" w:rsidRPr="00616BA1" w14:paraId="1277ABC5" w14:textId="77777777" w:rsidTr="00F3248F">
        <w:tc>
          <w:tcPr>
            <w:cnfStyle w:val="001000000000" w:firstRow="0" w:lastRow="0" w:firstColumn="1" w:lastColumn="0" w:oddVBand="0" w:evenVBand="0" w:oddHBand="0" w:evenHBand="0" w:firstRowFirstColumn="0" w:firstRowLastColumn="0" w:lastRowFirstColumn="0" w:lastRowLastColumn="0"/>
            <w:tcW w:w="6379" w:type="dxa"/>
          </w:tcPr>
          <w:p w14:paraId="2DAF5EC0" w14:textId="10A08E73" w:rsidR="00CE6BCD" w:rsidRPr="00616BA1" w:rsidRDefault="00996613" w:rsidP="00CE6BCD">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PVN</w:t>
            </w:r>
            <w:r w:rsidR="00CE6BCD" w:rsidRPr="00616BA1">
              <w:rPr>
                <w:rFonts w:ascii="Times New Roman" w:eastAsia="Times New Roman" w:hAnsi="Times New Roman" w:cs="Times New Roman"/>
                <w:b w:val="0"/>
                <w:color w:val="auto"/>
                <w:sz w:val="20"/>
                <w:szCs w:val="20"/>
              </w:rPr>
              <w:t xml:space="preserve"> apgrieztās maksāšanas kārtības ieviešana neapstrādātu dārgmetālu, dārgmetālu sakausējumu, dārgmetālu plaķētu metālu, dārgmetālu lūžņu un atlūzu piegādēm</w:t>
            </w:r>
          </w:p>
        </w:tc>
        <w:tc>
          <w:tcPr>
            <w:tcW w:w="709" w:type="dxa"/>
            <w:vAlign w:val="center"/>
          </w:tcPr>
          <w:p w14:paraId="3BD2AA8A"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+0,5</w:t>
            </w:r>
          </w:p>
        </w:tc>
        <w:tc>
          <w:tcPr>
            <w:tcW w:w="708" w:type="dxa"/>
            <w:vAlign w:val="center"/>
          </w:tcPr>
          <w:p w14:paraId="1BE55237"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478FD8E7"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color w:val="auto"/>
                <w:sz w:val="20"/>
                <w:szCs w:val="20"/>
              </w:rPr>
              <w:t>-0,5</w:t>
            </w:r>
          </w:p>
        </w:tc>
        <w:tc>
          <w:tcPr>
            <w:tcW w:w="709" w:type="dxa"/>
            <w:vAlign w:val="center"/>
          </w:tcPr>
          <w:p w14:paraId="7480F659"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r>
      <w:tr w:rsidR="00616BA1" w:rsidRPr="00616BA1" w14:paraId="03B0AD5F"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4056CBA"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Jaunuzņēmumu darbības atbalsta likums</w:t>
            </w:r>
          </w:p>
        </w:tc>
        <w:tc>
          <w:tcPr>
            <w:tcW w:w="709" w:type="dxa"/>
            <w:vAlign w:val="center"/>
          </w:tcPr>
          <w:p w14:paraId="2F28CBFA"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+0,4</w:t>
            </w:r>
          </w:p>
        </w:tc>
        <w:tc>
          <w:tcPr>
            <w:tcW w:w="708" w:type="dxa"/>
            <w:vAlign w:val="center"/>
          </w:tcPr>
          <w:p w14:paraId="4B25F655"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0A6803C8"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5365CE85"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2CCF5982" w14:textId="77777777" w:rsidTr="00F3248F">
        <w:trPr>
          <w:trHeight w:val="246"/>
        </w:trPr>
        <w:tc>
          <w:tcPr>
            <w:cnfStyle w:val="001000000000" w:firstRow="0" w:lastRow="0" w:firstColumn="1" w:lastColumn="0" w:oddVBand="0" w:evenVBand="0" w:oddHBand="0" w:evenHBand="0" w:firstRowFirstColumn="0" w:firstRowLastColumn="0" w:lastRowFirstColumn="0" w:lastRowLastColumn="0"/>
            <w:tcW w:w="6379" w:type="dxa"/>
          </w:tcPr>
          <w:p w14:paraId="2BF7BBF4"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Akcīzes nodokļa likmes paaugstināšana cigaretēm, cigāriem un cigarillām un smēķējamai tabakai</w:t>
            </w:r>
          </w:p>
        </w:tc>
        <w:tc>
          <w:tcPr>
            <w:tcW w:w="709" w:type="dxa"/>
            <w:vAlign w:val="center"/>
          </w:tcPr>
          <w:p w14:paraId="59F23A15"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+1,1</w:t>
            </w:r>
          </w:p>
        </w:tc>
        <w:tc>
          <w:tcPr>
            <w:tcW w:w="708" w:type="dxa"/>
            <w:vAlign w:val="center"/>
          </w:tcPr>
          <w:p w14:paraId="3CAB2B8B"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+1,2</w:t>
            </w:r>
          </w:p>
        </w:tc>
        <w:tc>
          <w:tcPr>
            <w:tcW w:w="709" w:type="dxa"/>
            <w:vAlign w:val="center"/>
          </w:tcPr>
          <w:p w14:paraId="0DB24D43"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+0,3</w:t>
            </w:r>
          </w:p>
        </w:tc>
        <w:tc>
          <w:tcPr>
            <w:tcW w:w="709" w:type="dxa"/>
            <w:vAlign w:val="center"/>
          </w:tcPr>
          <w:p w14:paraId="0C4ACE0C"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1F3D7B9B" w14:textId="77777777" w:rsidTr="00F324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379" w:type="dxa"/>
          </w:tcPr>
          <w:p w14:paraId="29A99E14" w14:textId="1E2B978D"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Pārējās izmaiņas (akcīzes nodokļa piemērošana elektroniskās smēķēšanas ierīču uzpildes šķidrumiem, akcīzes nodokļa un PVN atbrīvojumu</w:t>
            </w:r>
            <w:r w:rsidR="00996613" w:rsidRPr="00616BA1">
              <w:rPr>
                <w:rFonts w:ascii="Times New Roman" w:eastAsia="Times New Roman" w:hAnsi="Times New Roman" w:cs="Times New Roman"/>
                <w:b w:val="0"/>
                <w:color w:val="auto"/>
                <w:sz w:val="20"/>
                <w:szCs w:val="20"/>
              </w:rPr>
              <w:t xml:space="preserve"> </w:t>
            </w:r>
            <w:r w:rsidRPr="00616BA1">
              <w:rPr>
                <w:rFonts w:ascii="Times New Roman" w:eastAsia="Times New Roman" w:hAnsi="Times New Roman" w:cs="Times New Roman"/>
                <w:b w:val="0"/>
                <w:color w:val="auto"/>
                <w:sz w:val="20"/>
                <w:szCs w:val="20"/>
              </w:rPr>
              <w:t>ierobežojumu pārskatīšana diplomātiem un starptautisko organizāciju personālam, u.c.)</w:t>
            </w:r>
          </w:p>
        </w:tc>
        <w:tc>
          <w:tcPr>
            <w:tcW w:w="709" w:type="dxa"/>
            <w:vAlign w:val="center"/>
          </w:tcPr>
          <w:p w14:paraId="6B22348A"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-0,4</w:t>
            </w:r>
          </w:p>
        </w:tc>
        <w:tc>
          <w:tcPr>
            <w:tcW w:w="708" w:type="dxa"/>
            <w:vAlign w:val="center"/>
          </w:tcPr>
          <w:p w14:paraId="1A4672B8"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1BABB591"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14:paraId="25614269" w14:textId="77777777" w:rsidR="00CE6BCD" w:rsidRPr="00616BA1"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15B2ADFF" w14:textId="77777777" w:rsidTr="00F3248F">
        <w:tc>
          <w:tcPr>
            <w:cnfStyle w:val="001000000000" w:firstRow="0" w:lastRow="0" w:firstColumn="1" w:lastColumn="0" w:oddVBand="0" w:evenVBand="0" w:oddHBand="0" w:evenHBand="0" w:firstRowFirstColumn="0" w:firstRowLastColumn="0" w:lastRowFirstColumn="0" w:lastRowLastColumn="0"/>
            <w:tcW w:w="6379" w:type="dxa"/>
          </w:tcPr>
          <w:p w14:paraId="14BBAB66" w14:textId="77777777" w:rsidR="00CE6BCD" w:rsidRPr="00616BA1" w:rsidRDefault="00CE6BCD" w:rsidP="00616BA1">
            <w:pPr>
              <w:jc w:val="right"/>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Izmaiņu ietekme kopā:</w:t>
            </w:r>
          </w:p>
        </w:tc>
        <w:tc>
          <w:tcPr>
            <w:tcW w:w="709" w:type="dxa"/>
            <w:vAlign w:val="center"/>
          </w:tcPr>
          <w:p w14:paraId="7EAB2378"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+45,0</w:t>
            </w:r>
          </w:p>
        </w:tc>
        <w:tc>
          <w:tcPr>
            <w:tcW w:w="708" w:type="dxa"/>
            <w:vAlign w:val="center"/>
          </w:tcPr>
          <w:p w14:paraId="067CB460"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+2,4</w:t>
            </w:r>
          </w:p>
        </w:tc>
        <w:tc>
          <w:tcPr>
            <w:tcW w:w="709" w:type="dxa"/>
            <w:vAlign w:val="center"/>
          </w:tcPr>
          <w:p w14:paraId="79206B10"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-4,3</w:t>
            </w:r>
          </w:p>
        </w:tc>
        <w:tc>
          <w:tcPr>
            <w:tcW w:w="709" w:type="dxa"/>
            <w:vAlign w:val="center"/>
          </w:tcPr>
          <w:p w14:paraId="6BB83ABF" w14:textId="77777777" w:rsidR="00CE6BCD" w:rsidRPr="00616BA1"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r>
    </w:tbl>
    <w:p w14:paraId="11B67C8E" w14:textId="77777777" w:rsidR="00CE6BCD" w:rsidRPr="00CE6BCD" w:rsidRDefault="00CE6BCD" w:rsidP="00CE6BCD">
      <w:pPr>
        <w:keepNext/>
        <w:spacing w:after="0" w:line="240" w:lineRule="auto"/>
        <w:jc w:val="right"/>
        <w:rPr>
          <w:rFonts w:ascii="Times New Roman" w:eastAsia="Times New Roman" w:hAnsi="Times New Roman" w:cs="Times New Roman"/>
          <w:b/>
          <w:sz w:val="24"/>
          <w:szCs w:val="24"/>
          <w:highlight w:val="yellow"/>
        </w:rPr>
      </w:pPr>
    </w:p>
    <w:p w14:paraId="20D50BB6" w14:textId="77777777" w:rsidR="00CE6BCD" w:rsidRPr="00CE6BCD" w:rsidRDefault="00CE6BCD" w:rsidP="00CE6BCD">
      <w:pPr>
        <w:spacing w:before="120" w:after="12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Uzņēmumu ienākuma nodoklis</w:t>
      </w:r>
    </w:p>
    <w:p w14:paraId="282F1179" w14:textId="74C84E9A" w:rsidR="00CE6BCD" w:rsidRPr="00CE6BCD" w:rsidRDefault="00CE6BCD" w:rsidP="001D6752">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Ekonomikai sekmīgi attīstoties un uzlabojoties uzņēmumu</w:t>
      </w:r>
      <w:r w:rsidR="00996613">
        <w:rPr>
          <w:rFonts w:ascii="Times New Roman" w:eastAsia="Times New Roman" w:hAnsi="Times New Roman" w:cs="Times New Roman"/>
          <w:sz w:val="24"/>
          <w:szCs w:val="20"/>
        </w:rPr>
        <w:t xml:space="preserve"> finanšu rādītājiem, kopš 2011.</w:t>
      </w:r>
      <w:r w:rsidRPr="00CE6BCD">
        <w:rPr>
          <w:rFonts w:ascii="Times New Roman" w:eastAsia="Times New Roman" w:hAnsi="Times New Roman" w:cs="Times New Roman"/>
          <w:sz w:val="24"/>
          <w:szCs w:val="20"/>
        </w:rPr>
        <w:t xml:space="preserve">gada </w:t>
      </w:r>
      <w:r w:rsidR="00996613">
        <w:rPr>
          <w:rFonts w:ascii="Times New Roman" w:eastAsia="Times New Roman" w:hAnsi="Times New Roman" w:cs="Times New Roman"/>
          <w:sz w:val="24"/>
          <w:szCs w:val="20"/>
        </w:rPr>
        <w:t>UIN</w:t>
      </w:r>
      <w:r w:rsidRPr="00CE6BCD">
        <w:rPr>
          <w:rFonts w:ascii="Times New Roman" w:eastAsia="Times New Roman" w:hAnsi="Times New Roman" w:cs="Times New Roman"/>
          <w:sz w:val="24"/>
          <w:szCs w:val="20"/>
        </w:rPr>
        <w:t xml:space="preserve"> ieņēmumi ir būtiski pieauguši un tiek prognozēts arī to pieaugums turpmākajos gados.</w:t>
      </w:r>
    </w:p>
    <w:p w14:paraId="30BE05F5" w14:textId="16DCAAB9" w:rsidR="00CE6BCD" w:rsidRPr="00CE6BCD" w:rsidRDefault="00CE6BCD" w:rsidP="001D6752">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iCs/>
          <w:sz w:val="24"/>
          <w:szCs w:val="20"/>
        </w:rPr>
        <w:t xml:space="preserve">Izmaiņas, kas ietekmēs </w:t>
      </w:r>
      <w:r w:rsidR="00996613">
        <w:rPr>
          <w:rFonts w:ascii="Times New Roman" w:eastAsia="Times New Roman" w:hAnsi="Times New Roman" w:cs="Times New Roman"/>
          <w:sz w:val="24"/>
          <w:szCs w:val="20"/>
        </w:rPr>
        <w:t>UIN</w:t>
      </w:r>
      <w:r w:rsidR="00996613">
        <w:rPr>
          <w:rFonts w:ascii="Times New Roman" w:eastAsia="Times New Roman" w:hAnsi="Times New Roman" w:cs="Times New Roman"/>
          <w:iCs/>
          <w:sz w:val="24"/>
          <w:szCs w:val="20"/>
        </w:rPr>
        <w:t xml:space="preserve"> ieņēmumus 2017</w:t>
      </w:r>
      <w:r w:rsidRPr="00CE6BCD">
        <w:rPr>
          <w:rFonts w:ascii="Times New Roman" w:eastAsia="Times New Roman" w:hAnsi="Times New Roman" w:cs="Times New Roman"/>
          <w:iCs/>
          <w:sz w:val="24"/>
          <w:szCs w:val="20"/>
        </w:rPr>
        <w:t>gadā, saistās ar</w:t>
      </w:r>
      <w:r w:rsidRPr="00CE6BCD">
        <w:rPr>
          <w:rFonts w:ascii="Times New Roman" w:eastAsia="Times New Roman" w:hAnsi="Times New Roman" w:cs="Times New Roman"/>
          <w:sz w:val="24"/>
          <w:szCs w:val="24"/>
        </w:rPr>
        <w:t xml:space="preserve"> </w:t>
      </w:r>
      <w:r w:rsidRPr="00CE6BCD">
        <w:rPr>
          <w:rFonts w:ascii="Times New Roman" w:eastAsia="Times New Roman" w:hAnsi="Times New Roman" w:cs="Times New Roman"/>
          <w:sz w:val="24"/>
          <w:szCs w:val="20"/>
        </w:rPr>
        <w:t>cīņu ar ēnu ekonomiku un citiem pasākumiem, lai uzlabotu nodokļu administrēšanu,</w:t>
      </w:r>
      <w:r w:rsidRPr="00CE6BCD">
        <w:rPr>
          <w:rFonts w:ascii="Times New Roman" w:eastAsia="Times New Roman" w:hAnsi="Times New Roman" w:cs="Times New Roman"/>
          <w:sz w:val="24"/>
          <w:szCs w:val="24"/>
        </w:rPr>
        <w:t xml:space="preserve"> </w:t>
      </w:r>
      <w:r w:rsidR="00996613">
        <w:rPr>
          <w:rFonts w:ascii="Times New Roman" w:eastAsia="Times New Roman" w:hAnsi="Times New Roman" w:cs="Times New Roman"/>
          <w:sz w:val="24"/>
          <w:szCs w:val="24"/>
        </w:rPr>
        <w:t>PVN</w:t>
      </w:r>
      <w:r w:rsidRPr="00CE6BCD">
        <w:rPr>
          <w:rFonts w:ascii="Times New Roman" w:eastAsia="Times New Roman" w:hAnsi="Times New Roman" w:cs="Times New Roman"/>
          <w:sz w:val="24"/>
          <w:szCs w:val="20"/>
        </w:rPr>
        <w:t xml:space="preserve"> priekšnodokļa atskaitīšanas ierobežojumiem par pasažieru vieglo automobili, </w:t>
      </w:r>
      <w:r w:rsidR="00996613">
        <w:rPr>
          <w:rFonts w:ascii="Times New Roman" w:eastAsia="Times New Roman" w:hAnsi="Times New Roman" w:cs="Times New Roman"/>
          <w:sz w:val="24"/>
          <w:szCs w:val="20"/>
        </w:rPr>
        <w:t>IIN</w:t>
      </w:r>
      <w:r w:rsidRPr="00CE6BCD">
        <w:rPr>
          <w:rFonts w:ascii="Times New Roman" w:eastAsia="Times New Roman" w:hAnsi="Times New Roman" w:cs="Times New Roman"/>
          <w:sz w:val="24"/>
          <w:szCs w:val="20"/>
        </w:rPr>
        <w:t xml:space="preserve"> atvieglojuma ieviešanu darbinieku ēšanas izdevumiem, ja ir noslēgts koplīgums, </w:t>
      </w:r>
      <w:r w:rsidRPr="00CE6BCD">
        <w:rPr>
          <w:rFonts w:ascii="Times New Roman" w:eastAsia="Times New Roman" w:hAnsi="Times New Roman" w:cs="Times New Roman"/>
          <w:sz w:val="24"/>
          <w:szCs w:val="24"/>
        </w:rPr>
        <w:t>kā arī mikrouzņēmumu nodokļa likmes palielināšanu</w:t>
      </w:r>
      <w:r w:rsidRPr="00CE6BCD">
        <w:rPr>
          <w:rFonts w:ascii="Times New Roman" w:eastAsia="Times New Roman" w:hAnsi="Times New Roman" w:cs="Times New Roman"/>
          <w:sz w:val="24"/>
          <w:szCs w:val="20"/>
        </w:rPr>
        <w:t>.</w:t>
      </w:r>
    </w:p>
    <w:p w14:paraId="04F747EC" w14:textId="77777777" w:rsidR="00CE6BCD" w:rsidRPr="00CE6BCD" w:rsidRDefault="00CE6BCD" w:rsidP="00906268">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Tāpat ir veiktas likumdošanas izmaiņas 2017. gadā, kas ietekmē arī turpmāko gadu uzņēmumu ienākuma nodokļa</w:t>
      </w:r>
      <w:r w:rsidRPr="00CE6BCD">
        <w:rPr>
          <w:rFonts w:ascii="Times New Roman" w:eastAsia="Times New Roman" w:hAnsi="Times New Roman" w:cs="Times New Roman"/>
          <w:iCs/>
          <w:sz w:val="24"/>
          <w:szCs w:val="20"/>
        </w:rPr>
        <w:t xml:space="preserve"> ieņēmumus</w:t>
      </w:r>
      <w:r w:rsidRPr="00CE6BCD">
        <w:rPr>
          <w:rFonts w:ascii="Times New Roman" w:eastAsia="Times New Roman" w:hAnsi="Times New Roman" w:cs="Times New Roman"/>
          <w:sz w:val="24"/>
          <w:szCs w:val="20"/>
        </w:rPr>
        <w:t xml:space="preserve"> – </w:t>
      </w:r>
      <w:r w:rsidRPr="00CE6BCD">
        <w:rPr>
          <w:rFonts w:ascii="Times New Roman" w:eastAsia="Times New Roman" w:hAnsi="Times New Roman" w:cs="Times New Roman"/>
          <w:sz w:val="24"/>
          <w:szCs w:val="24"/>
        </w:rPr>
        <w:t>pievienotās vērtības nodokļa</w:t>
      </w:r>
      <w:r w:rsidRPr="00CE6BCD">
        <w:rPr>
          <w:rFonts w:ascii="Times New Roman" w:eastAsia="Times New Roman" w:hAnsi="Times New Roman" w:cs="Times New Roman"/>
          <w:sz w:val="24"/>
          <w:szCs w:val="20"/>
        </w:rPr>
        <w:t xml:space="preserve"> priekšnodokļa atskaitīšanas atcelšana N1 kategorijas kravas transportlīdzekļiem ar pilnu masu līdz 3 tonnām un vienlaikus, kuru vērtība pārsniedz uzņēmumu ienākuma nodokli regulējošajos normatīvajos aktos noteikto reprezentatīvā automobiļa vērtību, uzņēmumu ienākuma nodokļa zaudējumu pārnešanas ierobežošana, kā arī </w:t>
      </w:r>
      <w:r w:rsidRPr="00CE6BCD">
        <w:rPr>
          <w:rFonts w:ascii="Times New Roman" w:eastAsia="Times New Roman" w:hAnsi="Times New Roman" w:cs="Times New Roman"/>
          <w:sz w:val="24"/>
          <w:szCs w:val="24"/>
        </w:rPr>
        <w:t>mikrouzņēmumu nodokļa likmes palielināšana</w:t>
      </w:r>
      <w:r w:rsidRPr="00CE6BCD">
        <w:rPr>
          <w:rFonts w:ascii="Times New Roman" w:eastAsia="Times New Roman" w:hAnsi="Times New Roman" w:cs="Times New Roman"/>
          <w:bCs/>
          <w:sz w:val="24"/>
          <w:szCs w:val="20"/>
        </w:rPr>
        <w:t>.</w:t>
      </w:r>
    </w:p>
    <w:p w14:paraId="42D52E84" w14:textId="77777777" w:rsidR="00BE6FBC" w:rsidRDefault="00BE6FBC">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1D8ED9E4" w14:textId="6D78800C" w:rsidR="00CE6BCD" w:rsidRPr="00CE6BCD" w:rsidRDefault="00906268" w:rsidP="00502866">
      <w:pPr>
        <w:keepNext/>
        <w:spacing w:before="120" w:after="60" w:line="240" w:lineRule="auto"/>
        <w:jc w:val="right"/>
        <w:rPr>
          <w:rFonts w:ascii="Times New Roman" w:eastAsia="Times New Roman" w:hAnsi="Times New Roman" w:cs="Times New Roman"/>
          <w:b/>
          <w:i/>
          <w:sz w:val="24"/>
          <w:szCs w:val="24"/>
        </w:rPr>
      </w:pPr>
      <w:r>
        <w:rPr>
          <w:rFonts w:ascii="Times New Roman" w:eastAsia="Times New Roman" w:hAnsi="Times New Roman" w:cs="Times New Roman"/>
          <w:b/>
          <w:sz w:val="24"/>
          <w:szCs w:val="20"/>
        </w:rPr>
        <w:lastRenderedPageBreak/>
        <w:t>6.3.</w:t>
      </w:r>
      <w:r w:rsidR="00CE6BCD" w:rsidRPr="00CE6BCD">
        <w:rPr>
          <w:rFonts w:ascii="Times New Roman" w:eastAsia="Times New Roman" w:hAnsi="Times New Roman" w:cs="Times New Roman"/>
          <w:b/>
          <w:sz w:val="24"/>
          <w:szCs w:val="20"/>
        </w:rPr>
        <w:t xml:space="preserve">tabula. Nodokļu politikas izmaiņu ietekme uz </w:t>
      </w:r>
      <w:r w:rsidR="001D6752">
        <w:rPr>
          <w:rFonts w:ascii="Times New Roman" w:eastAsia="Times New Roman" w:hAnsi="Times New Roman" w:cs="Times New Roman"/>
          <w:b/>
          <w:sz w:val="24"/>
          <w:szCs w:val="20"/>
        </w:rPr>
        <w:t>UIN</w:t>
      </w:r>
      <w:r w:rsidR="00CE6BCD" w:rsidRPr="00CE6BCD">
        <w:rPr>
          <w:rFonts w:ascii="Times New Roman" w:eastAsia="Times New Roman" w:hAnsi="Times New Roman" w:cs="Times New Roman"/>
          <w:b/>
          <w:sz w:val="24"/>
          <w:szCs w:val="20"/>
        </w:rPr>
        <w:t xml:space="preserve"> ieņēmumiem, milj. </w:t>
      </w:r>
      <w:r w:rsidR="00CE6BCD" w:rsidRPr="00CE6BCD">
        <w:rPr>
          <w:rFonts w:ascii="Times New Roman" w:eastAsia="Times New Roman" w:hAnsi="Times New Roman" w:cs="Times New Roman"/>
          <w:b/>
          <w:i/>
          <w:sz w:val="24"/>
          <w:szCs w:val="24"/>
        </w:rPr>
        <w:t>euro</w:t>
      </w:r>
    </w:p>
    <w:tbl>
      <w:tblPr>
        <w:tblStyle w:val="GridTable6Colorful-Accent1"/>
        <w:tblW w:w="9066" w:type="dxa"/>
        <w:tblLayout w:type="fixed"/>
        <w:tblLook w:val="04A0" w:firstRow="1" w:lastRow="0" w:firstColumn="1" w:lastColumn="0" w:noHBand="0" w:noVBand="1"/>
      </w:tblPr>
      <w:tblGrid>
        <w:gridCol w:w="5665"/>
        <w:gridCol w:w="850"/>
        <w:gridCol w:w="851"/>
        <w:gridCol w:w="850"/>
        <w:gridCol w:w="850"/>
      </w:tblGrid>
      <w:tr w:rsidR="00616BA1" w:rsidRPr="00616BA1" w14:paraId="2A3D24BC" w14:textId="77777777" w:rsidTr="00F32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C49B94D" w14:textId="77777777" w:rsidR="00CE6BCD" w:rsidRPr="00616BA1" w:rsidRDefault="00CE6BCD" w:rsidP="00CE6BCD">
            <w:pPr>
              <w:rPr>
                <w:rFonts w:ascii="Times New Roman" w:eastAsia="Times New Roman" w:hAnsi="Times New Roman" w:cs="Times New Roman"/>
                <w:color w:val="auto"/>
                <w:sz w:val="20"/>
                <w:szCs w:val="20"/>
              </w:rPr>
            </w:pPr>
          </w:p>
        </w:tc>
        <w:tc>
          <w:tcPr>
            <w:tcW w:w="850" w:type="dxa"/>
          </w:tcPr>
          <w:p w14:paraId="03567EAA"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2017</w:t>
            </w:r>
          </w:p>
        </w:tc>
        <w:tc>
          <w:tcPr>
            <w:tcW w:w="851" w:type="dxa"/>
          </w:tcPr>
          <w:p w14:paraId="2846025F"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2018</w:t>
            </w:r>
          </w:p>
        </w:tc>
        <w:tc>
          <w:tcPr>
            <w:tcW w:w="850" w:type="dxa"/>
          </w:tcPr>
          <w:p w14:paraId="20D5BC59"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2019</w:t>
            </w:r>
          </w:p>
        </w:tc>
        <w:tc>
          <w:tcPr>
            <w:tcW w:w="850" w:type="dxa"/>
          </w:tcPr>
          <w:p w14:paraId="42A760E6"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2020</w:t>
            </w:r>
          </w:p>
        </w:tc>
      </w:tr>
      <w:tr w:rsidR="00616BA1" w:rsidRPr="00616BA1" w14:paraId="68B51101" w14:textId="77777777" w:rsidTr="00F3248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665" w:type="dxa"/>
          </w:tcPr>
          <w:p w14:paraId="06B6F739"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Cīņa ar ēnu ekonomiku un citi pasākumi, lai uzlabotu nodokļu administrēšanu</w:t>
            </w:r>
          </w:p>
        </w:tc>
        <w:tc>
          <w:tcPr>
            <w:tcW w:w="850" w:type="dxa"/>
            <w:vAlign w:val="center"/>
          </w:tcPr>
          <w:p w14:paraId="3436FEA7"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+1,4</w:t>
            </w:r>
          </w:p>
        </w:tc>
        <w:tc>
          <w:tcPr>
            <w:tcW w:w="851" w:type="dxa"/>
            <w:vAlign w:val="center"/>
          </w:tcPr>
          <w:p w14:paraId="3CD4284E"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321B17CC"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546CB052"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1E89E775" w14:textId="77777777" w:rsidTr="00F3248F">
        <w:trPr>
          <w:trHeight w:val="447"/>
        </w:trPr>
        <w:tc>
          <w:tcPr>
            <w:cnfStyle w:val="001000000000" w:firstRow="0" w:lastRow="0" w:firstColumn="1" w:lastColumn="0" w:oddVBand="0" w:evenVBand="0" w:oddHBand="0" w:evenHBand="0" w:firstRowFirstColumn="0" w:firstRowLastColumn="0" w:lastRowFirstColumn="0" w:lastRowLastColumn="0"/>
            <w:tcW w:w="5665" w:type="dxa"/>
          </w:tcPr>
          <w:p w14:paraId="055A3DB1" w14:textId="151C33B9" w:rsidR="00CE6BCD" w:rsidRPr="00616BA1" w:rsidRDefault="001D6752"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PVN</w:t>
            </w:r>
            <w:r w:rsidR="00CE6BCD" w:rsidRPr="00616BA1">
              <w:rPr>
                <w:rFonts w:ascii="Times New Roman" w:eastAsia="Times New Roman" w:hAnsi="Times New Roman" w:cs="Times New Roman"/>
                <w:b w:val="0"/>
                <w:color w:val="auto"/>
                <w:sz w:val="20"/>
                <w:szCs w:val="20"/>
              </w:rPr>
              <w:t xml:space="preserve"> priekšnodokļa atskaitīšanas ierobežojumi par pasažieru vieglo automobili</w:t>
            </w:r>
          </w:p>
        </w:tc>
        <w:tc>
          <w:tcPr>
            <w:tcW w:w="850" w:type="dxa"/>
            <w:vAlign w:val="center"/>
          </w:tcPr>
          <w:p w14:paraId="71FD591C"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-1,2</w:t>
            </w:r>
          </w:p>
        </w:tc>
        <w:tc>
          <w:tcPr>
            <w:tcW w:w="851" w:type="dxa"/>
            <w:vAlign w:val="center"/>
          </w:tcPr>
          <w:p w14:paraId="1F506EA6"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6BB1AA4C"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19DF1734"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60F8BF76"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B812482" w14:textId="51D703E9" w:rsidR="00CE6BCD" w:rsidRPr="00616BA1" w:rsidRDefault="001D6752" w:rsidP="00CE6BCD">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IIN</w:t>
            </w:r>
            <w:r w:rsidR="00CE6BCD" w:rsidRPr="00616BA1">
              <w:rPr>
                <w:rFonts w:ascii="Times New Roman" w:eastAsia="Times New Roman" w:hAnsi="Times New Roman" w:cs="Times New Roman"/>
                <w:b w:val="0"/>
                <w:color w:val="auto"/>
                <w:sz w:val="20"/>
                <w:szCs w:val="20"/>
              </w:rPr>
              <w:t xml:space="preserve"> atvieglojuma ieviešanu darbinieku ēšanas izdevumiem</w:t>
            </w:r>
          </w:p>
        </w:tc>
        <w:tc>
          <w:tcPr>
            <w:tcW w:w="850" w:type="dxa"/>
            <w:vAlign w:val="center"/>
          </w:tcPr>
          <w:p w14:paraId="14626120"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-0,8</w:t>
            </w:r>
          </w:p>
        </w:tc>
        <w:tc>
          <w:tcPr>
            <w:tcW w:w="851" w:type="dxa"/>
            <w:vAlign w:val="center"/>
          </w:tcPr>
          <w:p w14:paraId="1D34D08F"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0E31BFD1"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25985B71"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7090AB28" w14:textId="77777777" w:rsidTr="00F3248F">
        <w:tc>
          <w:tcPr>
            <w:cnfStyle w:val="001000000000" w:firstRow="0" w:lastRow="0" w:firstColumn="1" w:lastColumn="0" w:oddVBand="0" w:evenVBand="0" w:oddHBand="0" w:evenHBand="0" w:firstRowFirstColumn="0" w:firstRowLastColumn="0" w:lastRowFirstColumn="0" w:lastRowLastColumn="0"/>
            <w:tcW w:w="5665" w:type="dxa"/>
          </w:tcPr>
          <w:p w14:paraId="41D601A9" w14:textId="77777777" w:rsidR="00CE6BCD" w:rsidRPr="00616BA1" w:rsidRDefault="00CE6BCD" w:rsidP="00CE6BCD">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Mikrouzņēmumu nodokļa likmes palielināšana</w:t>
            </w:r>
          </w:p>
        </w:tc>
        <w:tc>
          <w:tcPr>
            <w:tcW w:w="850" w:type="dxa"/>
            <w:vAlign w:val="center"/>
          </w:tcPr>
          <w:p w14:paraId="4A0A8A88"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+0,1</w:t>
            </w:r>
          </w:p>
        </w:tc>
        <w:tc>
          <w:tcPr>
            <w:tcW w:w="851" w:type="dxa"/>
            <w:vAlign w:val="center"/>
          </w:tcPr>
          <w:p w14:paraId="117170F4"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-0,4</w:t>
            </w:r>
          </w:p>
        </w:tc>
        <w:tc>
          <w:tcPr>
            <w:tcW w:w="850" w:type="dxa"/>
            <w:vAlign w:val="center"/>
          </w:tcPr>
          <w:p w14:paraId="4807098C"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51060F95"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6128547C"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9030A2D" w14:textId="7F2B7423" w:rsidR="00CE6BCD" w:rsidRPr="00616BA1" w:rsidRDefault="001D6752" w:rsidP="00CE6BCD">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PVN</w:t>
            </w:r>
            <w:r w:rsidR="00CE6BCD" w:rsidRPr="00616BA1">
              <w:rPr>
                <w:rFonts w:ascii="Times New Roman" w:eastAsia="Times New Roman" w:hAnsi="Times New Roman" w:cs="Times New Roman"/>
                <w:b w:val="0"/>
                <w:color w:val="auto"/>
                <w:sz w:val="20"/>
                <w:szCs w:val="20"/>
              </w:rPr>
              <w:t xml:space="preserve"> priekšnodokļa atskaitīšanas atcelšana N1 kategorijas kravas transportlīdzekļiem</w:t>
            </w:r>
          </w:p>
        </w:tc>
        <w:tc>
          <w:tcPr>
            <w:tcW w:w="850" w:type="dxa"/>
            <w:vAlign w:val="center"/>
          </w:tcPr>
          <w:p w14:paraId="04AA48E0"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851" w:type="dxa"/>
            <w:vAlign w:val="center"/>
          </w:tcPr>
          <w:p w14:paraId="13BA7BD7"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+0,02</w:t>
            </w:r>
          </w:p>
        </w:tc>
        <w:tc>
          <w:tcPr>
            <w:tcW w:w="850" w:type="dxa"/>
            <w:vAlign w:val="center"/>
          </w:tcPr>
          <w:p w14:paraId="742D9F00"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850" w:type="dxa"/>
            <w:vAlign w:val="center"/>
          </w:tcPr>
          <w:p w14:paraId="1539B02C"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r>
      <w:tr w:rsidR="00616BA1" w:rsidRPr="00616BA1" w14:paraId="5A71815B" w14:textId="77777777" w:rsidTr="00F3248F">
        <w:tc>
          <w:tcPr>
            <w:cnfStyle w:val="001000000000" w:firstRow="0" w:lastRow="0" w:firstColumn="1" w:lastColumn="0" w:oddVBand="0" w:evenVBand="0" w:oddHBand="0" w:evenHBand="0" w:firstRowFirstColumn="0" w:firstRowLastColumn="0" w:lastRowFirstColumn="0" w:lastRowLastColumn="0"/>
            <w:tcW w:w="5665" w:type="dxa"/>
          </w:tcPr>
          <w:p w14:paraId="633E0458" w14:textId="3860689E" w:rsidR="00CE6BCD" w:rsidRPr="00616BA1" w:rsidRDefault="001D6752" w:rsidP="00CE6BCD">
            <w:pPr>
              <w:jc w:val="both"/>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UIN</w:t>
            </w:r>
            <w:r w:rsidR="00CE6BCD" w:rsidRPr="00616BA1">
              <w:rPr>
                <w:rFonts w:ascii="Times New Roman" w:eastAsia="Times New Roman" w:hAnsi="Times New Roman" w:cs="Times New Roman"/>
                <w:b w:val="0"/>
                <w:color w:val="auto"/>
                <w:sz w:val="20"/>
                <w:szCs w:val="20"/>
              </w:rPr>
              <w:t xml:space="preserve"> zaudējumu pārnešanas ierobežošana</w:t>
            </w:r>
          </w:p>
        </w:tc>
        <w:tc>
          <w:tcPr>
            <w:tcW w:w="850" w:type="dxa"/>
            <w:vAlign w:val="center"/>
          </w:tcPr>
          <w:p w14:paraId="5D398201"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c>
          <w:tcPr>
            <w:tcW w:w="851" w:type="dxa"/>
            <w:vAlign w:val="center"/>
          </w:tcPr>
          <w:p w14:paraId="023D38A2"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+12,5</w:t>
            </w:r>
          </w:p>
        </w:tc>
        <w:tc>
          <w:tcPr>
            <w:tcW w:w="850" w:type="dxa"/>
            <w:vAlign w:val="center"/>
          </w:tcPr>
          <w:p w14:paraId="01B25148"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c>
          <w:tcPr>
            <w:tcW w:w="850" w:type="dxa"/>
            <w:vAlign w:val="center"/>
          </w:tcPr>
          <w:p w14:paraId="30E4F400"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r>
      <w:tr w:rsidR="00616BA1" w:rsidRPr="00616BA1" w14:paraId="4DAB3AD6" w14:textId="77777777" w:rsidTr="00F32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F7C5EB1" w14:textId="77777777" w:rsidR="00CE6BCD" w:rsidRPr="00616BA1" w:rsidRDefault="00CE6BCD" w:rsidP="00616BA1">
            <w:pPr>
              <w:jc w:val="right"/>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Izmaiņu ietekme kopā:</w:t>
            </w:r>
          </w:p>
        </w:tc>
        <w:tc>
          <w:tcPr>
            <w:tcW w:w="850" w:type="dxa"/>
            <w:vAlign w:val="center"/>
          </w:tcPr>
          <w:p w14:paraId="714995F2"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-0,5</w:t>
            </w:r>
          </w:p>
        </w:tc>
        <w:tc>
          <w:tcPr>
            <w:tcW w:w="851" w:type="dxa"/>
            <w:vAlign w:val="center"/>
          </w:tcPr>
          <w:p w14:paraId="2F0A6977"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+12,1</w:t>
            </w:r>
          </w:p>
        </w:tc>
        <w:tc>
          <w:tcPr>
            <w:tcW w:w="850" w:type="dxa"/>
            <w:vAlign w:val="center"/>
          </w:tcPr>
          <w:p w14:paraId="3D7CBA25"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850" w:type="dxa"/>
            <w:vAlign w:val="center"/>
          </w:tcPr>
          <w:p w14:paraId="74FDF4F4"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r>
    </w:tbl>
    <w:p w14:paraId="229DD5BE" w14:textId="77777777" w:rsidR="00616BA1" w:rsidRDefault="00616BA1" w:rsidP="00CE6BCD">
      <w:pPr>
        <w:spacing w:before="120" w:after="120" w:line="240" w:lineRule="auto"/>
        <w:ind w:left="567"/>
        <w:outlineLvl w:val="3"/>
        <w:rPr>
          <w:rFonts w:ascii="Times New Roman" w:eastAsia="Times New Roman" w:hAnsi="Times New Roman" w:cs="Times New Roman"/>
          <w:b/>
          <w:sz w:val="24"/>
          <w:szCs w:val="24"/>
        </w:rPr>
      </w:pPr>
    </w:p>
    <w:p w14:paraId="3FF57DEE" w14:textId="25DCCC7E" w:rsidR="00CE6BCD" w:rsidRPr="00CE6BCD" w:rsidRDefault="00CE6BCD" w:rsidP="00CE6BCD">
      <w:pPr>
        <w:spacing w:before="120" w:after="12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Akcīzes nodoklis</w:t>
      </w:r>
    </w:p>
    <w:p w14:paraId="47ECF8C4" w14:textId="77777777" w:rsidR="00CE6BCD" w:rsidRPr="00CE6BCD" w:rsidRDefault="00CE6BCD" w:rsidP="00CE6BCD">
      <w:pPr>
        <w:spacing w:after="0" w:line="240" w:lineRule="auto"/>
        <w:ind w:firstLine="567"/>
        <w:jc w:val="both"/>
        <w:rPr>
          <w:rFonts w:ascii="Times New Roman" w:eastAsia="Times New Roman" w:hAnsi="Times New Roman" w:cs="Times New Roman"/>
          <w:color w:val="000000"/>
          <w:sz w:val="24"/>
          <w:szCs w:val="24"/>
        </w:rPr>
      </w:pPr>
      <w:r w:rsidRPr="00CE6BCD">
        <w:rPr>
          <w:rFonts w:ascii="Times New Roman" w:eastAsia="Times New Roman" w:hAnsi="Times New Roman" w:cs="Times New Roman"/>
          <w:color w:val="000000"/>
          <w:sz w:val="24"/>
          <w:szCs w:val="24"/>
        </w:rPr>
        <w:t>Akcīzes nodokļa tabakas izstrādājumiem pakāpenisks paaugstinājums bija plānots jau ar iepriekšējos gados pieņemtajiem grozījumiem likumā „Par akcīzes nodokli”:</w:t>
      </w:r>
    </w:p>
    <w:p w14:paraId="691040DB" w14:textId="1E6756B4" w:rsidR="00CE6BCD" w:rsidRPr="00CE6BCD" w:rsidRDefault="00D4339B" w:rsidP="004D5182">
      <w:pPr>
        <w:numPr>
          <w:ilvl w:val="0"/>
          <w:numId w:val="19"/>
        </w:numPr>
        <w:spacing w:after="0" w:line="240" w:lineRule="auto"/>
        <w:ind w:left="1134"/>
        <w:jc w:val="both"/>
        <w:rPr>
          <w:rFonts w:ascii="Times New Roman" w:eastAsia="Times New Roman" w:hAnsi="Times New Roman" w:cs="Times New Roman"/>
          <w:color w:val="000000"/>
          <w:sz w:val="24"/>
          <w:szCs w:val="24"/>
          <w:lang w:val="x-none" w:eastAsia="x-none"/>
        </w:rPr>
      </w:pPr>
      <w:r>
        <w:rPr>
          <w:rFonts w:ascii="Times New Roman" w:eastAsia="Times New Roman" w:hAnsi="Times New Roman" w:cs="Times New Roman"/>
          <w:color w:val="000000"/>
          <w:sz w:val="24"/>
          <w:szCs w:val="24"/>
          <w:lang w:val="x-none" w:eastAsia="x-none"/>
        </w:rPr>
        <w:t>saskaņā ar 2011.gada 14.</w:t>
      </w:r>
      <w:r w:rsidR="00CE6BCD" w:rsidRPr="00CE6BCD">
        <w:rPr>
          <w:rFonts w:ascii="Times New Roman" w:eastAsia="Times New Roman" w:hAnsi="Times New Roman" w:cs="Times New Roman"/>
          <w:color w:val="000000"/>
          <w:sz w:val="24"/>
          <w:szCs w:val="24"/>
          <w:lang w:val="x-none" w:eastAsia="x-none"/>
        </w:rPr>
        <w:t xml:space="preserve">aprīlī </w:t>
      </w:r>
      <w:r>
        <w:rPr>
          <w:rFonts w:ascii="Times New Roman" w:eastAsia="Times New Roman" w:hAnsi="Times New Roman" w:cs="Times New Roman"/>
          <w:color w:val="000000"/>
          <w:sz w:val="24"/>
          <w:szCs w:val="24"/>
          <w:lang w:val="x-none" w:eastAsia="x-none"/>
        </w:rPr>
        <w:t>veiktajiem grozījumiem ar 2018.gada 1.</w:t>
      </w:r>
      <w:r w:rsidR="00CE6BCD" w:rsidRPr="00CE6BCD">
        <w:rPr>
          <w:rFonts w:ascii="Times New Roman" w:eastAsia="Times New Roman" w:hAnsi="Times New Roman" w:cs="Times New Roman"/>
          <w:color w:val="000000"/>
          <w:sz w:val="24"/>
          <w:szCs w:val="24"/>
          <w:lang w:val="x-none" w:eastAsia="x-none"/>
        </w:rPr>
        <w:t xml:space="preserve">janvāri tika plānots paaugstināt akcīzes nodokļa likmi cigāriem un cigarillām no 42,69 </w:t>
      </w:r>
      <w:r w:rsidR="00CE6BCD" w:rsidRPr="00CE6BCD">
        <w:rPr>
          <w:rFonts w:ascii="Times New Roman" w:eastAsia="Times New Roman" w:hAnsi="Times New Roman" w:cs="Times New Roman"/>
          <w:i/>
          <w:color w:val="000000"/>
          <w:sz w:val="24"/>
          <w:szCs w:val="24"/>
          <w:lang w:val="x-none" w:eastAsia="x-none"/>
        </w:rPr>
        <w:t>euro</w:t>
      </w:r>
      <w:r w:rsidR="00CE6BCD" w:rsidRPr="00CE6BCD">
        <w:rPr>
          <w:rFonts w:ascii="Times New Roman" w:eastAsia="Times New Roman" w:hAnsi="Times New Roman" w:cs="Times New Roman"/>
          <w:color w:val="000000"/>
          <w:sz w:val="24"/>
          <w:szCs w:val="24"/>
          <w:lang w:val="x-none" w:eastAsia="x-none"/>
        </w:rPr>
        <w:t xml:space="preserve"> līdz 45,0</w:t>
      </w:r>
      <w:r>
        <w:rPr>
          <w:rFonts w:ascii="Times New Roman" w:eastAsia="Times New Roman" w:hAnsi="Times New Roman" w:cs="Times New Roman"/>
          <w:i/>
          <w:color w:val="000000"/>
          <w:sz w:val="24"/>
          <w:szCs w:val="24"/>
          <w:lang w:val="x-none" w:eastAsia="x-none"/>
        </w:rPr>
        <w:t xml:space="preserve"> </w:t>
      </w:r>
      <w:r w:rsidR="00CE6BCD" w:rsidRPr="00CE6BCD">
        <w:rPr>
          <w:rFonts w:ascii="Times New Roman" w:eastAsia="Times New Roman" w:hAnsi="Times New Roman" w:cs="Times New Roman"/>
          <w:i/>
          <w:color w:val="000000"/>
          <w:sz w:val="24"/>
          <w:szCs w:val="24"/>
          <w:lang w:val="x-none" w:eastAsia="x-none"/>
        </w:rPr>
        <w:t xml:space="preserve">euro </w:t>
      </w:r>
      <w:r w:rsidR="00CE6BCD" w:rsidRPr="00CE6BCD">
        <w:rPr>
          <w:rFonts w:ascii="Times New Roman" w:eastAsia="Times New Roman" w:hAnsi="Times New Roman" w:cs="Times New Roman"/>
          <w:color w:val="000000"/>
          <w:sz w:val="24"/>
          <w:szCs w:val="24"/>
          <w:lang w:val="x-none" w:eastAsia="x-none"/>
        </w:rPr>
        <w:t>par 1 000 cigāriem vai cigarillām</w:t>
      </w:r>
      <w:r w:rsidR="00CE6BCD" w:rsidRPr="00CE6BCD">
        <w:rPr>
          <w:rFonts w:ascii="Times New Roman" w:eastAsia="Times New Roman" w:hAnsi="Times New Roman" w:cs="Times New Roman"/>
          <w:color w:val="000000"/>
          <w:sz w:val="24"/>
          <w:szCs w:val="24"/>
          <w:lang w:eastAsia="x-none"/>
        </w:rPr>
        <w:t>;</w:t>
      </w:r>
    </w:p>
    <w:p w14:paraId="2F95009B" w14:textId="044875B7" w:rsidR="00CE6BCD" w:rsidRPr="00CE6BCD" w:rsidRDefault="00D4339B" w:rsidP="004D5182">
      <w:pPr>
        <w:numPr>
          <w:ilvl w:val="0"/>
          <w:numId w:val="19"/>
        </w:numPr>
        <w:spacing w:after="0" w:line="240" w:lineRule="auto"/>
        <w:ind w:left="1134"/>
        <w:jc w:val="both"/>
        <w:rPr>
          <w:rFonts w:ascii="Times New Roman" w:eastAsia="Times New Roman" w:hAnsi="Times New Roman" w:cs="Times New Roman"/>
          <w:color w:val="000000"/>
          <w:sz w:val="24"/>
          <w:szCs w:val="24"/>
          <w:lang w:val="x-none" w:eastAsia="x-none"/>
        </w:rPr>
      </w:pPr>
      <w:r>
        <w:rPr>
          <w:rFonts w:ascii="Times New Roman" w:eastAsia="Times New Roman" w:hAnsi="Times New Roman" w:cs="Times New Roman"/>
          <w:color w:val="000000"/>
          <w:sz w:val="24"/>
          <w:szCs w:val="24"/>
          <w:lang w:val="x-none" w:eastAsia="x-none"/>
        </w:rPr>
        <w:t>saskaņā ar 2013.gada 6.</w:t>
      </w:r>
      <w:r w:rsidR="00CE6BCD" w:rsidRPr="00CE6BCD">
        <w:rPr>
          <w:rFonts w:ascii="Times New Roman" w:eastAsia="Times New Roman" w:hAnsi="Times New Roman" w:cs="Times New Roman"/>
          <w:color w:val="000000"/>
          <w:sz w:val="24"/>
          <w:szCs w:val="24"/>
          <w:lang w:val="x-none" w:eastAsia="x-none"/>
        </w:rPr>
        <w:t>novembr</w:t>
      </w:r>
      <w:r w:rsidR="00CE6BCD" w:rsidRPr="00CE6BCD">
        <w:rPr>
          <w:rFonts w:ascii="Times New Roman" w:eastAsia="Times New Roman" w:hAnsi="Times New Roman" w:cs="Times New Roman"/>
          <w:color w:val="000000"/>
          <w:sz w:val="24"/>
          <w:szCs w:val="24"/>
          <w:lang w:eastAsia="x-none"/>
        </w:rPr>
        <w:t>ī</w:t>
      </w:r>
      <w:r w:rsidR="00CE6BCD" w:rsidRPr="00CE6BCD">
        <w:rPr>
          <w:rFonts w:ascii="Times New Roman" w:eastAsia="Times New Roman" w:hAnsi="Times New Roman" w:cs="Times New Roman"/>
          <w:color w:val="000000"/>
          <w:sz w:val="24"/>
          <w:szCs w:val="24"/>
          <w:lang w:val="x-none" w:eastAsia="x-none"/>
        </w:rPr>
        <w:t xml:space="preserve"> </w:t>
      </w:r>
      <w:r>
        <w:rPr>
          <w:rFonts w:ascii="Times New Roman" w:eastAsia="Times New Roman" w:hAnsi="Times New Roman" w:cs="Times New Roman"/>
          <w:color w:val="000000"/>
          <w:sz w:val="24"/>
          <w:szCs w:val="24"/>
          <w:lang w:val="x-none" w:eastAsia="x-none"/>
        </w:rPr>
        <w:t>veiktajiem grozījumiem ar 2017.gada 1.</w:t>
      </w:r>
      <w:r w:rsidR="00CE6BCD" w:rsidRPr="00CE6BCD">
        <w:rPr>
          <w:rFonts w:ascii="Times New Roman" w:eastAsia="Times New Roman" w:hAnsi="Times New Roman" w:cs="Times New Roman"/>
          <w:color w:val="000000"/>
          <w:sz w:val="24"/>
          <w:szCs w:val="24"/>
          <w:lang w:val="x-none" w:eastAsia="x-none"/>
        </w:rPr>
        <w:t>jūliju bija paredzēts paaugstināt akcīzes nodokļa cig</w:t>
      </w:r>
      <w:r>
        <w:rPr>
          <w:rFonts w:ascii="Times New Roman" w:eastAsia="Times New Roman" w:hAnsi="Times New Roman" w:cs="Times New Roman"/>
          <w:color w:val="000000"/>
          <w:sz w:val="24"/>
          <w:szCs w:val="24"/>
          <w:lang w:val="x-none" w:eastAsia="x-none"/>
        </w:rPr>
        <w:t xml:space="preserve">aretēm specifisko likmi no 56,2 </w:t>
      </w:r>
      <w:r w:rsidR="00CE6BCD" w:rsidRPr="00CE6BCD">
        <w:rPr>
          <w:rFonts w:ascii="Times New Roman" w:eastAsia="Times New Roman" w:hAnsi="Times New Roman" w:cs="Times New Roman"/>
          <w:i/>
          <w:color w:val="000000"/>
          <w:sz w:val="24"/>
          <w:szCs w:val="24"/>
          <w:lang w:val="x-none" w:eastAsia="x-none"/>
        </w:rPr>
        <w:t>euro</w:t>
      </w:r>
      <w:r>
        <w:rPr>
          <w:rFonts w:ascii="Times New Roman" w:eastAsia="Times New Roman" w:hAnsi="Times New Roman" w:cs="Times New Roman"/>
          <w:color w:val="000000"/>
          <w:sz w:val="24"/>
          <w:szCs w:val="24"/>
          <w:lang w:val="x-none" w:eastAsia="x-none"/>
        </w:rPr>
        <w:t xml:space="preserve"> līdz 58,2 </w:t>
      </w:r>
      <w:r w:rsidR="00CE6BCD" w:rsidRPr="00CE6BCD">
        <w:rPr>
          <w:rFonts w:ascii="Times New Roman" w:eastAsia="Times New Roman" w:hAnsi="Times New Roman" w:cs="Times New Roman"/>
          <w:i/>
          <w:color w:val="000000"/>
          <w:sz w:val="24"/>
          <w:szCs w:val="24"/>
          <w:lang w:val="x-none" w:eastAsia="x-none"/>
        </w:rPr>
        <w:t>euro</w:t>
      </w:r>
      <w:r w:rsidR="00CE6BCD" w:rsidRPr="00CE6BCD">
        <w:rPr>
          <w:rFonts w:ascii="Times New Roman" w:eastAsia="Times New Roman" w:hAnsi="Times New Roman" w:cs="Times New Roman"/>
          <w:color w:val="000000"/>
          <w:sz w:val="24"/>
          <w:szCs w:val="24"/>
          <w:lang w:val="x-none" w:eastAsia="x-none"/>
        </w:rPr>
        <w:t xml:space="preserve"> un </w:t>
      </w:r>
      <w:r>
        <w:rPr>
          <w:rFonts w:ascii="Times New Roman" w:eastAsia="Times New Roman" w:hAnsi="Times New Roman" w:cs="Times New Roman"/>
          <w:color w:val="000000"/>
          <w:sz w:val="24"/>
          <w:szCs w:val="24"/>
          <w:lang w:val="x-none" w:eastAsia="x-none"/>
        </w:rPr>
        <w:t xml:space="preserve">minimālo nodokļa līmeni no 93,7 </w:t>
      </w:r>
      <w:r w:rsidR="00CE6BCD" w:rsidRPr="00CE6BCD">
        <w:rPr>
          <w:rFonts w:ascii="Times New Roman" w:eastAsia="Times New Roman" w:hAnsi="Times New Roman" w:cs="Times New Roman"/>
          <w:i/>
          <w:color w:val="000000"/>
          <w:sz w:val="24"/>
          <w:szCs w:val="24"/>
          <w:lang w:val="x-none" w:eastAsia="x-none"/>
        </w:rPr>
        <w:t>euro</w:t>
      </w:r>
      <w:r w:rsidR="00CE6BCD" w:rsidRPr="00CE6BCD">
        <w:rPr>
          <w:rFonts w:ascii="Times New Roman" w:eastAsia="Times New Roman" w:hAnsi="Times New Roman" w:cs="Times New Roman"/>
          <w:color w:val="000000"/>
          <w:sz w:val="24"/>
          <w:szCs w:val="24"/>
          <w:lang w:val="x-none" w:eastAsia="x-none"/>
        </w:rPr>
        <w:t xml:space="preserve"> līd</w:t>
      </w:r>
      <w:r>
        <w:rPr>
          <w:rFonts w:ascii="Times New Roman" w:eastAsia="Times New Roman" w:hAnsi="Times New Roman" w:cs="Times New Roman"/>
          <w:color w:val="000000"/>
          <w:sz w:val="24"/>
          <w:szCs w:val="24"/>
          <w:lang w:val="x-none" w:eastAsia="x-none"/>
        </w:rPr>
        <w:t xml:space="preserve">z 97,0 </w:t>
      </w:r>
      <w:r w:rsidR="00CE6BCD" w:rsidRPr="00CE6BCD">
        <w:rPr>
          <w:rFonts w:ascii="Times New Roman" w:eastAsia="Times New Roman" w:hAnsi="Times New Roman" w:cs="Times New Roman"/>
          <w:i/>
          <w:color w:val="000000"/>
          <w:sz w:val="24"/>
          <w:szCs w:val="24"/>
          <w:lang w:val="x-none" w:eastAsia="x-none"/>
        </w:rPr>
        <w:t>euro</w:t>
      </w:r>
      <w:r>
        <w:rPr>
          <w:rFonts w:ascii="Times New Roman" w:eastAsia="Times New Roman" w:hAnsi="Times New Roman" w:cs="Times New Roman"/>
          <w:color w:val="000000"/>
          <w:sz w:val="24"/>
          <w:szCs w:val="24"/>
          <w:lang w:val="x-none" w:eastAsia="x-none"/>
        </w:rPr>
        <w:t xml:space="preserve"> par 1 000 cigaretēm, bet ar 2018.gada 1.</w:t>
      </w:r>
      <w:r w:rsidR="00CE6BCD" w:rsidRPr="00CE6BCD">
        <w:rPr>
          <w:rFonts w:ascii="Times New Roman" w:eastAsia="Times New Roman" w:hAnsi="Times New Roman" w:cs="Times New Roman"/>
          <w:color w:val="000000"/>
          <w:sz w:val="24"/>
          <w:szCs w:val="24"/>
          <w:lang w:val="x-none" w:eastAsia="x-none"/>
        </w:rPr>
        <w:t>jūliju akcīzes nodokļa cigaretēm specifi</w:t>
      </w:r>
      <w:r>
        <w:rPr>
          <w:rFonts w:ascii="Times New Roman" w:eastAsia="Times New Roman" w:hAnsi="Times New Roman" w:cs="Times New Roman"/>
          <w:color w:val="000000"/>
          <w:sz w:val="24"/>
          <w:szCs w:val="24"/>
          <w:lang w:val="x-none" w:eastAsia="x-none"/>
        </w:rPr>
        <w:t xml:space="preserve">sko likmi paaugstināt līdz 60,0 </w:t>
      </w:r>
      <w:r w:rsidR="00CE6BCD" w:rsidRPr="00CE6BCD">
        <w:rPr>
          <w:rFonts w:ascii="Times New Roman" w:eastAsia="Times New Roman" w:hAnsi="Times New Roman" w:cs="Times New Roman"/>
          <w:i/>
          <w:color w:val="000000"/>
          <w:sz w:val="24"/>
          <w:szCs w:val="24"/>
          <w:lang w:val="x-none" w:eastAsia="x-none"/>
        </w:rPr>
        <w:t xml:space="preserve">euro </w:t>
      </w:r>
      <w:r w:rsidR="00CE6BCD" w:rsidRPr="00CE6BCD">
        <w:rPr>
          <w:rFonts w:ascii="Times New Roman" w:eastAsia="Times New Roman" w:hAnsi="Times New Roman" w:cs="Times New Roman"/>
          <w:color w:val="000000"/>
          <w:sz w:val="24"/>
          <w:szCs w:val="24"/>
          <w:lang w:val="x-none" w:eastAsia="x-none"/>
        </w:rPr>
        <w:t xml:space="preserve">un minimālo nodokļa līmeni līdz 100,00 </w:t>
      </w:r>
      <w:r w:rsidR="00CE6BCD" w:rsidRPr="00CE6BCD">
        <w:rPr>
          <w:rFonts w:ascii="Times New Roman" w:eastAsia="Times New Roman" w:hAnsi="Times New Roman" w:cs="Times New Roman"/>
          <w:i/>
          <w:color w:val="000000"/>
          <w:sz w:val="24"/>
          <w:szCs w:val="24"/>
          <w:lang w:val="x-none" w:eastAsia="x-none"/>
        </w:rPr>
        <w:t>euro</w:t>
      </w:r>
      <w:r w:rsidR="00CE6BCD" w:rsidRPr="00CE6BCD">
        <w:rPr>
          <w:rFonts w:ascii="Times New Roman" w:eastAsia="Times New Roman" w:hAnsi="Times New Roman" w:cs="Times New Roman"/>
          <w:color w:val="000000"/>
          <w:sz w:val="24"/>
          <w:szCs w:val="24"/>
          <w:lang w:val="x-none" w:eastAsia="x-none"/>
        </w:rPr>
        <w:t xml:space="preserve"> par 1 000 cigaretēm. Akcīzes nodokļa cigaretēm procentuālo likmes daļu bija paredzēts saglabāt nemainīgu – 25% līmenī;</w:t>
      </w:r>
    </w:p>
    <w:p w14:paraId="0244F522" w14:textId="4F9CEF69" w:rsidR="00CE6BCD" w:rsidRPr="00CE6BCD" w:rsidRDefault="00CE6BCD" w:rsidP="004D5182">
      <w:pPr>
        <w:numPr>
          <w:ilvl w:val="0"/>
          <w:numId w:val="19"/>
        </w:numPr>
        <w:spacing w:after="0" w:line="240" w:lineRule="auto"/>
        <w:ind w:left="1134"/>
        <w:jc w:val="both"/>
        <w:rPr>
          <w:rFonts w:ascii="Times New Roman" w:eastAsia="Times New Roman" w:hAnsi="Times New Roman" w:cs="Times New Roman"/>
          <w:color w:val="000000"/>
          <w:sz w:val="24"/>
          <w:szCs w:val="24"/>
          <w:lang w:val="x-none" w:eastAsia="x-none"/>
        </w:rPr>
      </w:pPr>
      <w:r w:rsidRPr="00CE6BCD">
        <w:rPr>
          <w:rFonts w:ascii="Times New Roman" w:eastAsia="Times New Roman" w:hAnsi="Times New Roman" w:cs="Times New Roman"/>
          <w:color w:val="000000"/>
          <w:sz w:val="24"/>
          <w:szCs w:val="24"/>
          <w:lang w:val="x-none" w:eastAsia="x-none"/>
        </w:rPr>
        <w:t xml:space="preserve">saskaņā </w:t>
      </w:r>
      <w:r w:rsidRPr="00CE6BCD">
        <w:rPr>
          <w:rFonts w:ascii="Times New Roman" w:eastAsia="Times New Roman" w:hAnsi="Times New Roman" w:cs="Times New Roman"/>
          <w:color w:val="000000"/>
          <w:sz w:val="24"/>
          <w:szCs w:val="24"/>
          <w:lang w:eastAsia="x-none"/>
        </w:rPr>
        <w:t>a</w:t>
      </w:r>
      <w:r w:rsidR="00D4339B">
        <w:rPr>
          <w:rFonts w:ascii="Times New Roman" w:eastAsia="Times New Roman" w:hAnsi="Times New Roman" w:cs="Times New Roman"/>
          <w:color w:val="000000"/>
          <w:sz w:val="24"/>
          <w:szCs w:val="24"/>
          <w:lang w:val="x-none" w:eastAsia="x-none"/>
        </w:rPr>
        <w:t>r 2015.gada 30.</w:t>
      </w:r>
      <w:r w:rsidRPr="00CE6BCD">
        <w:rPr>
          <w:rFonts w:ascii="Times New Roman" w:eastAsia="Times New Roman" w:hAnsi="Times New Roman" w:cs="Times New Roman"/>
          <w:color w:val="000000"/>
          <w:sz w:val="24"/>
          <w:szCs w:val="24"/>
          <w:lang w:val="x-none" w:eastAsia="x-none"/>
        </w:rPr>
        <w:t>novembrī pieņemtajiem grozījumiem tika paredzēts akcīzes nodokļa likmju pieaugums smēķējamai t</w:t>
      </w:r>
      <w:r w:rsidR="00D4339B">
        <w:rPr>
          <w:rFonts w:ascii="Times New Roman" w:eastAsia="Times New Roman" w:hAnsi="Times New Roman" w:cs="Times New Roman"/>
          <w:color w:val="000000"/>
          <w:sz w:val="24"/>
          <w:szCs w:val="24"/>
          <w:lang w:val="x-none" w:eastAsia="x-none"/>
        </w:rPr>
        <w:t xml:space="preserve">abakai, tabakas lapām, ar 2017.gada 1.janvāri to paaugstinot no 58,0 </w:t>
      </w:r>
      <w:r w:rsidRPr="00CE6BCD">
        <w:rPr>
          <w:rFonts w:ascii="Times New Roman" w:eastAsia="Times New Roman" w:hAnsi="Times New Roman" w:cs="Times New Roman"/>
          <w:i/>
          <w:color w:val="000000"/>
          <w:sz w:val="24"/>
          <w:szCs w:val="24"/>
          <w:lang w:val="x-none" w:eastAsia="x-none"/>
        </w:rPr>
        <w:t>euro</w:t>
      </w:r>
      <w:r w:rsidRPr="00CE6BCD">
        <w:rPr>
          <w:rFonts w:ascii="Times New Roman" w:eastAsia="Times New Roman" w:hAnsi="Times New Roman" w:cs="Times New Roman"/>
          <w:color w:val="000000"/>
          <w:sz w:val="24"/>
          <w:szCs w:val="24"/>
          <w:lang w:val="x-none" w:eastAsia="x-none"/>
        </w:rPr>
        <w:t xml:space="preserve"> līdz 60,0</w:t>
      </w:r>
      <w:r w:rsidR="00D4339B">
        <w:rPr>
          <w:rFonts w:ascii="Times New Roman" w:eastAsia="Times New Roman" w:hAnsi="Times New Roman" w:cs="Times New Roman"/>
          <w:i/>
          <w:sz w:val="24"/>
          <w:szCs w:val="24"/>
          <w:lang w:val="x-none" w:eastAsia="x-none"/>
        </w:rPr>
        <w:t xml:space="preserve"> </w:t>
      </w:r>
      <w:r w:rsidRPr="00CE6BCD">
        <w:rPr>
          <w:rFonts w:ascii="Times New Roman" w:eastAsia="Times New Roman" w:hAnsi="Times New Roman" w:cs="Times New Roman"/>
          <w:i/>
          <w:sz w:val="24"/>
          <w:szCs w:val="24"/>
          <w:lang w:val="x-none" w:eastAsia="x-none"/>
        </w:rPr>
        <w:t xml:space="preserve">euro </w:t>
      </w:r>
      <w:r w:rsidRPr="00CE6BCD">
        <w:rPr>
          <w:rFonts w:ascii="Times New Roman" w:eastAsia="Times New Roman" w:hAnsi="Times New Roman" w:cs="Times New Roman"/>
          <w:sz w:val="24"/>
          <w:szCs w:val="24"/>
          <w:lang w:val="x-none" w:eastAsia="x-none"/>
        </w:rPr>
        <w:t>un ar 2</w:t>
      </w:r>
      <w:r w:rsidR="00D4339B">
        <w:rPr>
          <w:rFonts w:ascii="Times New Roman" w:eastAsia="Times New Roman" w:hAnsi="Times New Roman" w:cs="Times New Roman"/>
          <w:sz w:val="24"/>
          <w:szCs w:val="24"/>
          <w:lang w:val="x-none" w:eastAsia="x-none"/>
        </w:rPr>
        <w:t>018.</w:t>
      </w:r>
      <w:r w:rsidRPr="00CE6BCD">
        <w:rPr>
          <w:rFonts w:ascii="Times New Roman" w:eastAsia="Times New Roman" w:hAnsi="Times New Roman" w:cs="Times New Roman"/>
          <w:sz w:val="24"/>
          <w:szCs w:val="24"/>
          <w:lang w:val="x-none" w:eastAsia="x-none"/>
        </w:rPr>
        <w:t xml:space="preserve">gada </w:t>
      </w:r>
      <w:r w:rsidR="00D4339B">
        <w:rPr>
          <w:rFonts w:ascii="Times New Roman" w:eastAsia="Times New Roman" w:hAnsi="Times New Roman" w:cs="Times New Roman"/>
          <w:sz w:val="24"/>
          <w:szCs w:val="24"/>
          <w:lang w:val="x-none" w:eastAsia="x-none"/>
        </w:rPr>
        <w:t xml:space="preserve">1.janvāri līdz 62,0 </w:t>
      </w:r>
      <w:r w:rsidRPr="00CE6BCD">
        <w:rPr>
          <w:rFonts w:ascii="Times New Roman" w:eastAsia="Times New Roman" w:hAnsi="Times New Roman" w:cs="Times New Roman"/>
          <w:i/>
          <w:sz w:val="24"/>
          <w:szCs w:val="24"/>
          <w:lang w:val="x-none" w:eastAsia="x-none"/>
        </w:rPr>
        <w:t>euro</w:t>
      </w:r>
      <w:r w:rsidR="00D4339B">
        <w:rPr>
          <w:rFonts w:ascii="Times New Roman" w:eastAsia="Times New Roman" w:hAnsi="Times New Roman" w:cs="Times New Roman"/>
          <w:sz w:val="24"/>
          <w:szCs w:val="24"/>
          <w:lang w:val="x-none" w:eastAsia="x-none"/>
        </w:rPr>
        <w:t xml:space="preserve"> par 1 000 </w:t>
      </w:r>
      <w:r w:rsidRPr="00CE6BCD">
        <w:rPr>
          <w:rFonts w:ascii="Times New Roman" w:eastAsia="Times New Roman" w:hAnsi="Times New Roman" w:cs="Times New Roman"/>
          <w:sz w:val="24"/>
          <w:szCs w:val="24"/>
          <w:lang w:val="x-none" w:eastAsia="x-none"/>
        </w:rPr>
        <w:t xml:space="preserve">gramiem tabakas. </w:t>
      </w:r>
      <w:r w:rsidR="00D4339B">
        <w:rPr>
          <w:rFonts w:ascii="Times New Roman" w:eastAsia="Times New Roman" w:hAnsi="Times New Roman" w:cs="Times New Roman"/>
          <w:sz w:val="24"/>
          <w:szCs w:val="24"/>
          <w:lang w:val="x-none" w:eastAsia="x-none"/>
        </w:rPr>
        <w:t>Papildus tika noteikts ar 2016.</w:t>
      </w:r>
      <w:r w:rsidRPr="00CE6BCD">
        <w:rPr>
          <w:rFonts w:ascii="Times New Roman" w:eastAsia="Times New Roman" w:hAnsi="Times New Roman" w:cs="Times New Roman"/>
          <w:sz w:val="24"/>
          <w:szCs w:val="24"/>
          <w:lang w:val="x-none" w:eastAsia="x-none"/>
        </w:rPr>
        <w:t xml:space="preserve">gada 1.jūliju piemērot akcīzes nodokli </w:t>
      </w:r>
      <w:r w:rsidRPr="00CE6BCD">
        <w:rPr>
          <w:rFonts w:ascii="Times New Roman" w:eastAsia="Times New Roman" w:hAnsi="Times New Roman" w:cs="Times New Roman"/>
          <w:color w:val="000000"/>
          <w:sz w:val="24"/>
          <w:szCs w:val="24"/>
          <w:lang w:val="x-none" w:eastAsia="x-none"/>
        </w:rPr>
        <w:t>elektroniskās smēķēšanas ierīču uzpildes šķidrumiem.</w:t>
      </w:r>
    </w:p>
    <w:p w14:paraId="2A7CBD05" w14:textId="295EDC8A" w:rsidR="00CE6BCD" w:rsidRPr="00CE6BCD" w:rsidRDefault="00D4339B" w:rsidP="004D5182">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Tomēr ar 2016.gada 23.</w:t>
      </w:r>
      <w:r w:rsidR="00CE6BCD" w:rsidRPr="00CE6BCD">
        <w:rPr>
          <w:rFonts w:ascii="Times New Roman" w:eastAsia="Times New Roman" w:hAnsi="Times New Roman" w:cs="Times New Roman"/>
          <w:color w:val="000000"/>
          <w:sz w:val="24"/>
          <w:szCs w:val="24"/>
        </w:rPr>
        <w:t>novembra grozījumiem likumā „Par akcīzes nodokli” tika noteikts straujāks akcīzes nodokļa pieaugums visiem tabakas izstrādājumiem (sk. 6.4. tabulu).</w:t>
      </w:r>
    </w:p>
    <w:p w14:paraId="672CB366" w14:textId="48D6F276" w:rsidR="00CE6BCD" w:rsidRPr="00CE6BCD" w:rsidRDefault="00906268" w:rsidP="00502866">
      <w:pPr>
        <w:keepNext/>
        <w:spacing w:before="120" w:after="6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6.4.</w:t>
      </w:r>
      <w:r w:rsidR="00CE6BCD" w:rsidRPr="00CE6BCD">
        <w:rPr>
          <w:rFonts w:ascii="Times New Roman" w:eastAsia="Times New Roman" w:hAnsi="Times New Roman" w:cs="Times New Roman"/>
          <w:b/>
          <w:sz w:val="24"/>
          <w:szCs w:val="20"/>
        </w:rPr>
        <w:t>tabula. Akcīzes nodokļa likmes tabakas izstrādājumiem</w:t>
      </w:r>
    </w:p>
    <w:tbl>
      <w:tblPr>
        <w:tblStyle w:val="GridTable6Colorful-Accent1"/>
        <w:tblW w:w="9073" w:type="dxa"/>
        <w:tblLook w:val="04A0" w:firstRow="1" w:lastRow="0" w:firstColumn="1" w:lastColumn="0" w:noHBand="0" w:noVBand="1"/>
      </w:tblPr>
      <w:tblGrid>
        <w:gridCol w:w="4820"/>
        <w:gridCol w:w="1418"/>
        <w:gridCol w:w="1417"/>
        <w:gridCol w:w="1418"/>
      </w:tblGrid>
      <w:tr w:rsidR="00CE6BCD" w:rsidRPr="00CE6BCD" w14:paraId="2DA44E43" w14:textId="77777777" w:rsidTr="00F3248F">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vAlign w:val="center"/>
            <w:hideMark/>
          </w:tcPr>
          <w:p w14:paraId="38EB3941" w14:textId="77777777" w:rsidR="00CE6BCD" w:rsidRPr="00616BA1" w:rsidRDefault="00CE6BCD" w:rsidP="00F3248F">
            <w:pPr>
              <w:jc w:val="center"/>
              <w:rPr>
                <w:rFonts w:ascii="Times New Roman" w:eastAsia="Times New Roman" w:hAnsi="Times New Roman" w:cs="Times New Roman"/>
                <w:color w:val="000000"/>
                <w:sz w:val="20"/>
                <w:szCs w:val="20"/>
                <w:lang w:eastAsia="lv-LV"/>
              </w:rPr>
            </w:pPr>
            <w:r w:rsidRPr="00616BA1">
              <w:rPr>
                <w:rFonts w:ascii="Times New Roman" w:eastAsia="Times New Roman" w:hAnsi="Times New Roman" w:cs="Times New Roman"/>
                <w:color w:val="000000"/>
                <w:sz w:val="20"/>
                <w:szCs w:val="20"/>
                <w:lang w:eastAsia="lv-LV"/>
              </w:rPr>
              <w:t>Akcīzes nodokļa objekts</w:t>
            </w:r>
          </w:p>
        </w:tc>
        <w:tc>
          <w:tcPr>
            <w:tcW w:w="4253" w:type="dxa"/>
            <w:gridSpan w:val="3"/>
            <w:noWrap/>
            <w:vAlign w:val="center"/>
            <w:hideMark/>
          </w:tcPr>
          <w:p w14:paraId="33004D5A" w14:textId="77777777" w:rsidR="00CE6BCD" w:rsidRPr="00616BA1" w:rsidRDefault="00CE6BCD" w:rsidP="00F324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616BA1">
              <w:rPr>
                <w:rFonts w:ascii="Times New Roman" w:eastAsia="Times New Roman" w:hAnsi="Times New Roman" w:cs="Times New Roman"/>
                <w:color w:val="000000"/>
                <w:sz w:val="20"/>
                <w:szCs w:val="20"/>
                <w:lang w:eastAsia="lv-LV"/>
              </w:rPr>
              <w:t>Likmes spēkā stāšanās datums</w:t>
            </w:r>
          </w:p>
        </w:tc>
      </w:tr>
      <w:tr w:rsidR="00CE6BCD" w:rsidRPr="00CE6BCD" w14:paraId="5235C16D" w14:textId="77777777" w:rsidTr="00F3248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35B2EA5" w14:textId="77777777" w:rsidR="00CE6BCD" w:rsidRPr="00616BA1" w:rsidRDefault="00CE6BCD" w:rsidP="00CE6BCD">
            <w:pPr>
              <w:rPr>
                <w:rFonts w:ascii="Times New Roman" w:eastAsia="Times New Roman" w:hAnsi="Times New Roman" w:cs="Times New Roman"/>
                <w:bCs w:val="0"/>
                <w:color w:val="000000"/>
                <w:sz w:val="20"/>
                <w:szCs w:val="20"/>
                <w:lang w:eastAsia="lv-LV"/>
              </w:rPr>
            </w:pPr>
            <w:r w:rsidRPr="00616BA1">
              <w:rPr>
                <w:rFonts w:ascii="Times New Roman" w:eastAsia="Times New Roman" w:hAnsi="Times New Roman" w:cs="Times New Roman"/>
                <w:bCs w:val="0"/>
                <w:color w:val="000000"/>
                <w:sz w:val="20"/>
                <w:szCs w:val="20"/>
                <w:lang w:eastAsia="lv-LV"/>
              </w:rPr>
              <w:t>Cigaretes</w:t>
            </w:r>
          </w:p>
        </w:tc>
        <w:tc>
          <w:tcPr>
            <w:tcW w:w="1418" w:type="dxa"/>
            <w:noWrap/>
            <w:vAlign w:val="center"/>
            <w:hideMark/>
          </w:tcPr>
          <w:p w14:paraId="2C191C4D"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01.07.2016.</w:t>
            </w:r>
          </w:p>
        </w:tc>
        <w:tc>
          <w:tcPr>
            <w:tcW w:w="1417" w:type="dxa"/>
            <w:noWrap/>
            <w:vAlign w:val="center"/>
            <w:hideMark/>
          </w:tcPr>
          <w:p w14:paraId="5A5F7DD4"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01.07.2017.</w:t>
            </w:r>
          </w:p>
        </w:tc>
        <w:tc>
          <w:tcPr>
            <w:tcW w:w="1418" w:type="dxa"/>
            <w:noWrap/>
            <w:vAlign w:val="center"/>
            <w:hideMark/>
          </w:tcPr>
          <w:p w14:paraId="1C6B0F46"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01.07.2018.</w:t>
            </w:r>
          </w:p>
        </w:tc>
      </w:tr>
      <w:tr w:rsidR="00CE6BCD" w:rsidRPr="00CE6BCD" w14:paraId="08BC75D1" w14:textId="77777777" w:rsidTr="00F3248F">
        <w:trPr>
          <w:trHeight w:val="292"/>
        </w:trPr>
        <w:tc>
          <w:tcPr>
            <w:cnfStyle w:val="001000000000" w:firstRow="0" w:lastRow="0" w:firstColumn="1" w:lastColumn="0" w:oddVBand="0" w:evenVBand="0" w:oddHBand="0" w:evenHBand="0" w:firstRowFirstColumn="0" w:firstRowLastColumn="0" w:lastRowFirstColumn="0" w:lastRowLastColumn="0"/>
            <w:tcW w:w="4820" w:type="dxa"/>
            <w:hideMark/>
          </w:tcPr>
          <w:p w14:paraId="734A59FF" w14:textId="77777777" w:rsidR="00CE6BCD" w:rsidRPr="00616BA1" w:rsidRDefault="00CE6BCD" w:rsidP="00CE6BCD">
            <w:pPr>
              <w:ind w:left="313"/>
              <w:rPr>
                <w:rFonts w:ascii="Times New Roman" w:eastAsia="Times New Roman" w:hAnsi="Times New Roman" w:cs="Times New Roman"/>
                <w:b w:val="0"/>
                <w:color w:val="000000"/>
                <w:sz w:val="20"/>
                <w:szCs w:val="20"/>
                <w:lang w:eastAsia="lv-LV"/>
              </w:rPr>
            </w:pPr>
            <w:r w:rsidRPr="00616BA1">
              <w:rPr>
                <w:rFonts w:ascii="Times New Roman" w:eastAsia="Times New Roman" w:hAnsi="Times New Roman" w:cs="Times New Roman"/>
                <w:b w:val="0"/>
                <w:color w:val="000000"/>
                <w:sz w:val="20"/>
                <w:szCs w:val="20"/>
                <w:lang w:eastAsia="lv-LV"/>
              </w:rPr>
              <w:t xml:space="preserve">Nodokļa likme, </w:t>
            </w:r>
            <w:r w:rsidRPr="00616BA1">
              <w:rPr>
                <w:rFonts w:ascii="Times New Roman" w:eastAsia="Times New Roman" w:hAnsi="Times New Roman" w:cs="Times New Roman"/>
                <w:b w:val="0"/>
                <w:i/>
                <w:color w:val="000000"/>
                <w:sz w:val="20"/>
                <w:szCs w:val="20"/>
                <w:lang w:eastAsia="lv-LV"/>
              </w:rPr>
              <w:t>euro</w:t>
            </w:r>
            <w:r w:rsidRPr="00616BA1">
              <w:rPr>
                <w:rFonts w:ascii="Times New Roman" w:eastAsia="Times New Roman" w:hAnsi="Times New Roman" w:cs="Times New Roman"/>
                <w:b w:val="0"/>
                <w:color w:val="000000"/>
                <w:sz w:val="20"/>
                <w:szCs w:val="20"/>
                <w:lang w:eastAsia="lv-LV"/>
              </w:rPr>
              <w:t xml:space="preserve"> par 1000 gab.</w:t>
            </w:r>
          </w:p>
        </w:tc>
        <w:tc>
          <w:tcPr>
            <w:tcW w:w="1418" w:type="dxa"/>
            <w:noWrap/>
            <w:vAlign w:val="center"/>
            <w:hideMark/>
          </w:tcPr>
          <w:p w14:paraId="066B7EF5"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56.2</w:t>
            </w:r>
          </w:p>
        </w:tc>
        <w:tc>
          <w:tcPr>
            <w:tcW w:w="1417" w:type="dxa"/>
            <w:noWrap/>
            <w:vAlign w:val="center"/>
            <w:hideMark/>
          </w:tcPr>
          <w:p w14:paraId="64F21F18"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67.0</w:t>
            </w:r>
          </w:p>
        </w:tc>
        <w:tc>
          <w:tcPr>
            <w:tcW w:w="1418" w:type="dxa"/>
            <w:noWrap/>
            <w:vAlign w:val="center"/>
            <w:hideMark/>
          </w:tcPr>
          <w:p w14:paraId="379FCE5C"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69.5</w:t>
            </w:r>
          </w:p>
        </w:tc>
      </w:tr>
      <w:tr w:rsidR="00CE6BCD" w:rsidRPr="00CE6BCD" w14:paraId="490F6656" w14:textId="77777777" w:rsidTr="00F3248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hideMark/>
          </w:tcPr>
          <w:p w14:paraId="410096F6" w14:textId="77777777" w:rsidR="00CE6BCD" w:rsidRPr="00616BA1" w:rsidRDefault="00CE6BCD" w:rsidP="00CE6BCD">
            <w:pPr>
              <w:ind w:left="313"/>
              <w:rPr>
                <w:rFonts w:ascii="Times New Roman" w:eastAsia="Times New Roman" w:hAnsi="Times New Roman" w:cs="Times New Roman"/>
                <w:b w:val="0"/>
                <w:color w:val="000000"/>
                <w:sz w:val="20"/>
                <w:szCs w:val="20"/>
                <w:lang w:eastAsia="lv-LV"/>
              </w:rPr>
            </w:pPr>
            <w:r w:rsidRPr="00616BA1">
              <w:rPr>
                <w:rFonts w:ascii="Times New Roman" w:eastAsia="Times New Roman" w:hAnsi="Times New Roman" w:cs="Times New Roman"/>
                <w:b w:val="0"/>
                <w:color w:val="000000"/>
                <w:sz w:val="20"/>
                <w:szCs w:val="20"/>
                <w:lang w:eastAsia="lv-LV"/>
              </w:rPr>
              <w:t xml:space="preserve">Nodokļa minimālais līmenis, </w:t>
            </w:r>
            <w:r w:rsidRPr="00616BA1">
              <w:rPr>
                <w:rFonts w:ascii="Times New Roman" w:eastAsia="Times New Roman" w:hAnsi="Times New Roman" w:cs="Times New Roman"/>
                <w:b w:val="0"/>
                <w:i/>
                <w:color w:val="000000"/>
                <w:sz w:val="20"/>
                <w:szCs w:val="20"/>
                <w:lang w:eastAsia="lv-LV"/>
              </w:rPr>
              <w:t>euro</w:t>
            </w:r>
            <w:r w:rsidRPr="00616BA1">
              <w:rPr>
                <w:rFonts w:ascii="Times New Roman" w:eastAsia="Times New Roman" w:hAnsi="Times New Roman" w:cs="Times New Roman"/>
                <w:b w:val="0"/>
                <w:color w:val="000000"/>
                <w:sz w:val="20"/>
                <w:szCs w:val="20"/>
                <w:lang w:eastAsia="lv-LV"/>
              </w:rPr>
              <w:t xml:space="preserve"> par 1000 gab.</w:t>
            </w:r>
          </w:p>
        </w:tc>
        <w:tc>
          <w:tcPr>
            <w:tcW w:w="1418" w:type="dxa"/>
            <w:noWrap/>
            <w:vAlign w:val="center"/>
            <w:hideMark/>
          </w:tcPr>
          <w:p w14:paraId="4EAC3282"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93.7</w:t>
            </w:r>
          </w:p>
        </w:tc>
        <w:tc>
          <w:tcPr>
            <w:tcW w:w="1417" w:type="dxa"/>
            <w:noWrap/>
            <w:vAlign w:val="center"/>
            <w:hideMark/>
          </w:tcPr>
          <w:p w14:paraId="3F1A8895"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99.0</w:t>
            </w:r>
          </w:p>
        </w:tc>
        <w:tc>
          <w:tcPr>
            <w:tcW w:w="1418" w:type="dxa"/>
            <w:noWrap/>
            <w:vAlign w:val="center"/>
            <w:hideMark/>
          </w:tcPr>
          <w:p w14:paraId="77F6906C"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103.5</w:t>
            </w:r>
          </w:p>
        </w:tc>
      </w:tr>
      <w:tr w:rsidR="00CE6BCD" w:rsidRPr="00CE6BCD" w14:paraId="0F2675D2" w14:textId="77777777" w:rsidTr="00F3248F">
        <w:trPr>
          <w:trHeight w:val="292"/>
        </w:trPr>
        <w:tc>
          <w:tcPr>
            <w:cnfStyle w:val="001000000000" w:firstRow="0" w:lastRow="0" w:firstColumn="1" w:lastColumn="0" w:oddVBand="0" w:evenVBand="0" w:oddHBand="0" w:evenHBand="0" w:firstRowFirstColumn="0" w:firstRowLastColumn="0" w:lastRowFirstColumn="0" w:lastRowLastColumn="0"/>
            <w:tcW w:w="4820" w:type="dxa"/>
            <w:hideMark/>
          </w:tcPr>
          <w:p w14:paraId="6ED5C8AE" w14:textId="77777777" w:rsidR="00CE6BCD" w:rsidRPr="00616BA1" w:rsidRDefault="00CE6BCD" w:rsidP="00CE6BCD">
            <w:pPr>
              <w:ind w:left="313"/>
              <w:rPr>
                <w:rFonts w:ascii="Times New Roman" w:eastAsia="Times New Roman" w:hAnsi="Times New Roman" w:cs="Times New Roman"/>
                <w:b w:val="0"/>
                <w:color w:val="000000"/>
                <w:sz w:val="20"/>
                <w:szCs w:val="20"/>
                <w:lang w:eastAsia="lv-LV"/>
              </w:rPr>
            </w:pPr>
            <w:r w:rsidRPr="00616BA1">
              <w:rPr>
                <w:rFonts w:ascii="Times New Roman" w:eastAsia="Times New Roman" w:hAnsi="Times New Roman" w:cs="Times New Roman"/>
                <w:b w:val="0"/>
                <w:color w:val="000000"/>
                <w:sz w:val="20"/>
                <w:szCs w:val="20"/>
                <w:lang w:eastAsia="lv-LV"/>
              </w:rPr>
              <w:t>Procentuālā likme no mazumtirdzniecības cenas</w:t>
            </w:r>
          </w:p>
        </w:tc>
        <w:tc>
          <w:tcPr>
            <w:tcW w:w="1418" w:type="dxa"/>
            <w:noWrap/>
            <w:vAlign w:val="center"/>
            <w:hideMark/>
          </w:tcPr>
          <w:p w14:paraId="1A80BA71"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25%</w:t>
            </w:r>
          </w:p>
        </w:tc>
        <w:tc>
          <w:tcPr>
            <w:tcW w:w="1417" w:type="dxa"/>
            <w:noWrap/>
            <w:vAlign w:val="center"/>
            <w:hideMark/>
          </w:tcPr>
          <w:p w14:paraId="577D4502"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20%</w:t>
            </w:r>
          </w:p>
        </w:tc>
        <w:tc>
          <w:tcPr>
            <w:tcW w:w="1418" w:type="dxa"/>
            <w:noWrap/>
            <w:vAlign w:val="center"/>
            <w:hideMark/>
          </w:tcPr>
          <w:p w14:paraId="7BCD5443"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20%</w:t>
            </w:r>
          </w:p>
        </w:tc>
      </w:tr>
      <w:tr w:rsidR="00CE6BCD" w:rsidRPr="00CE6BCD" w14:paraId="15049816" w14:textId="77777777" w:rsidTr="00F3248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182A6EB" w14:textId="77777777" w:rsidR="00CE6BCD" w:rsidRPr="00616BA1" w:rsidRDefault="00CE6BCD" w:rsidP="00CE6BCD">
            <w:pPr>
              <w:rPr>
                <w:rFonts w:ascii="Times New Roman" w:eastAsia="Times New Roman" w:hAnsi="Times New Roman" w:cs="Times New Roman"/>
                <w:bCs w:val="0"/>
                <w:color w:val="000000"/>
                <w:sz w:val="20"/>
                <w:szCs w:val="20"/>
                <w:lang w:eastAsia="lv-LV"/>
              </w:rPr>
            </w:pPr>
            <w:r w:rsidRPr="00616BA1">
              <w:rPr>
                <w:rFonts w:ascii="Times New Roman" w:eastAsia="Times New Roman" w:hAnsi="Times New Roman" w:cs="Times New Roman"/>
                <w:bCs w:val="0"/>
                <w:color w:val="000000"/>
                <w:sz w:val="20"/>
                <w:szCs w:val="20"/>
                <w:lang w:eastAsia="lv-LV"/>
              </w:rPr>
              <w:t>Cigāri un cigarillas</w:t>
            </w:r>
          </w:p>
        </w:tc>
        <w:tc>
          <w:tcPr>
            <w:tcW w:w="1418" w:type="dxa"/>
            <w:noWrap/>
            <w:vAlign w:val="center"/>
            <w:hideMark/>
          </w:tcPr>
          <w:p w14:paraId="1C4A76F7"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01.01.2017.</w:t>
            </w:r>
          </w:p>
        </w:tc>
        <w:tc>
          <w:tcPr>
            <w:tcW w:w="1417" w:type="dxa"/>
            <w:noWrap/>
            <w:vAlign w:val="center"/>
            <w:hideMark/>
          </w:tcPr>
          <w:p w14:paraId="6FC2A34A"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01.01.2018.</w:t>
            </w:r>
          </w:p>
        </w:tc>
        <w:tc>
          <w:tcPr>
            <w:tcW w:w="1418" w:type="dxa"/>
            <w:noWrap/>
            <w:vAlign w:val="center"/>
            <w:hideMark/>
          </w:tcPr>
          <w:p w14:paraId="18FF4B9D"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01.01.2019.</w:t>
            </w:r>
          </w:p>
        </w:tc>
      </w:tr>
      <w:tr w:rsidR="00CE6BCD" w:rsidRPr="00CE6BCD" w14:paraId="4707B300" w14:textId="77777777" w:rsidTr="00F3248F">
        <w:trPr>
          <w:trHeight w:val="292"/>
        </w:trPr>
        <w:tc>
          <w:tcPr>
            <w:cnfStyle w:val="001000000000" w:firstRow="0" w:lastRow="0" w:firstColumn="1" w:lastColumn="0" w:oddVBand="0" w:evenVBand="0" w:oddHBand="0" w:evenHBand="0" w:firstRowFirstColumn="0" w:firstRowLastColumn="0" w:lastRowFirstColumn="0" w:lastRowLastColumn="0"/>
            <w:tcW w:w="4820" w:type="dxa"/>
            <w:hideMark/>
          </w:tcPr>
          <w:p w14:paraId="6C4B337F" w14:textId="77777777" w:rsidR="00CE6BCD" w:rsidRPr="00616BA1" w:rsidRDefault="00CE6BCD" w:rsidP="00CE6BCD">
            <w:pPr>
              <w:ind w:left="313"/>
              <w:rPr>
                <w:rFonts w:ascii="Times New Roman" w:eastAsia="Times New Roman" w:hAnsi="Times New Roman" w:cs="Times New Roman"/>
                <w:b w:val="0"/>
                <w:color w:val="000000"/>
                <w:sz w:val="20"/>
                <w:szCs w:val="20"/>
                <w:lang w:eastAsia="lv-LV"/>
              </w:rPr>
            </w:pPr>
            <w:r w:rsidRPr="00616BA1">
              <w:rPr>
                <w:rFonts w:ascii="Times New Roman" w:eastAsia="Times New Roman" w:hAnsi="Times New Roman" w:cs="Times New Roman"/>
                <w:b w:val="0"/>
                <w:color w:val="000000"/>
                <w:sz w:val="20"/>
                <w:szCs w:val="20"/>
                <w:lang w:eastAsia="lv-LV"/>
              </w:rPr>
              <w:t xml:space="preserve">Nodokļa likme, </w:t>
            </w:r>
            <w:r w:rsidRPr="00616BA1">
              <w:rPr>
                <w:rFonts w:ascii="Times New Roman" w:eastAsia="Times New Roman" w:hAnsi="Times New Roman" w:cs="Times New Roman"/>
                <w:b w:val="0"/>
                <w:i/>
                <w:color w:val="000000"/>
                <w:sz w:val="20"/>
                <w:szCs w:val="20"/>
                <w:lang w:eastAsia="lv-LV"/>
              </w:rPr>
              <w:t>euro</w:t>
            </w:r>
            <w:r w:rsidRPr="00616BA1">
              <w:rPr>
                <w:rFonts w:ascii="Times New Roman" w:eastAsia="Times New Roman" w:hAnsi="Times New Roman" w:cs="Times New Roman"/>
                <w:b w:val="0"/>
                <w:color w:val="000000"/>
                <w:sz w:val="20"/>
                <w:szCs w:val="20"/>
                <w:lang w:eastAsia="lv-LV"/>
              </w:rPr>
              <w:t xml:space="preserve"> par 1000 gab.</w:t>
            </w:r>
          </w:p>
        </w:tc>
        <w:tc>
          <w:tcPr>
            <w:tcW w:w="1418" w:type="dxa"/>
            <w:noWrap/>
            <w:vAlign w:val="center"/>
            <w:hideMark/>
          </w:tcPr>
          <w:p w14:paraId="1C036F1F"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58.0</w:t>
            </w:r>
          </w:p>
        </w:tc>
        <w:tc>
          <w:tcPr>
            <w:tcW w:w="1417" w:type="dxa"/>
            <w:noWrap/>
            <w:vAlign w:val="center"/>
            <w:hideMark/>
          </w:tcPr>
          <w:p w14:paraId="4ACAC5F6"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73.0</w:t>
            </w:r>
          </w:p>
        </w:tc>
        <w:tc>
          <w:tcPr>
            <w:tcW w:w="1418" w:type="dxa"/>
            <w:noWrap/>
            <w:vAlign w:val="center"/>
            <w:hideMark/>
          </w:tcPr>
          <w:p w14:paraId="60195611"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88.0</w:t>
            </w:r>
          </w:p>
        </w:tc>
      </w:tr>
      <w:tr w:rsidR="00CE6BCD" w:rsidRPr="00CE6BCD" w14:paraId="4A7E01FF" w14:textId="77777777" w:rsidTr="00F3248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D6AE543" w14:textId="77777777" w:rsidR="00CE6BCD" w:rsidRPr="00616BA1" w:rsidRDefault="00CE6BCD" w:rsidP="00CE6BCD">
            <w:pPr>
              <w:rPr>
                <w:rFonts w:ascii="Times New Roman" w:eastAsia="Times New Roman" w:hAnsi="Times New Roman" w:cs="Times New Roman"/>
                <w:bCs w:val="0"/>
                <w:color w:val="000000"/>
                <w:sz w:val="20"/>
                <w:szCs w:val="20"/>
                <w:lang w:eastAsia="lv-LV"/>
              </w:rPr>
            </w:pPr>
            <w:r w:rsidRPr="00616BA1">
              <w:rPr>
                <w:rFonts w:ascii="Times New Roman" w:eastAsia="Times New Roman" w:hAnsi="Times New Roman" w:cs="Times New Roman"/>
                <w:bCs w:val="0"/>
                <w:color w:val="000000"/>
                <w:sz w:val="20"/>
                <w:szCs w:val="20"/>
                <w:lang w:eastAsia="lv-LV"/>
              </w:rPr>
              <w:t>Smēķējamā tabaka</w:t>
            </w:r>
          </w:p>
        </w:tc>
        <w:tc>
          <w:tcPr>
            <w:tcW w:w="1418" w:type="dxa"/>
            <w:noWrap/>
            <w:vAlign w:val="center"/>
            <w:hideMark/>
          </w:tcPr>
          <w:p w14:paraId="58EA0225"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01.01.2017.</w:t>
            </w:r>
          </w:p>
        </w:tc>
        <w:tc>
          <w:tcPr>
            <w:tcW w:w="1417" w:type="dxa"/>
            <w:noWrap/>
            <w:vAlign w:val="center"/>
            <w:hideMark/>
          </w:tcPr>
          <w:p w14:paraId="2461383C"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01.01.2018.</w:t>
            </w:r>
          </w:p>
        </w:tc>
        <w:tc>
          <w:tcPr>
            <w:tcW w:w="1418" w:type="dxa"/>
            <w:noWrap/>
            <w:vAlign w:val="center"/>
            <w:hideMark/>
          </w:tcPr>
          <w:p w14:paraId="40B713C3" w14:textId="77777777" w:rsidR="00CE6BCD" w:rsidRPr="00CE6BCD" w:rsidRDefault="00CE6BCD" w:rsidP="00F324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CE6BCD">
              <w:rPr>
                <w:rFonts w:ascii="Times New Roman" w:eastAsia="Times New Roman" w:hAnsi="Times New Roman" w:cs="Times New Roman"/>
                <w:b/>
                <w:bCs/>
                <w:color w:val="000000"/>
                <w:sz w:val="20"/>
                <w:szCs w:val="20"/>
                <w:lang w:eastAsia="lv-LV"/>
              </w:rPr>
              <w:t>01.01.2019.</w:t>
            </w:r>
          </w:p>
        </w:tc>
      </w:tr>
      <w:tr w:rsidR="00CE6BCD" w:rsidRPr="00CE6BCD" w14:paraId="1DF2E5B5" w14:textId="77777777" w:rsidTr="00F3248F">
        <w:trPr>
          <w:trHeight w:val="599"/>
        </w:trPr>
        <w:tc>
          <w:tcPr>
            <w:cnfStyle w:val="001000000000" w:firstRow="0" w:lastRow="0" w:firstColumn="1" w:lastColumn="0" w:oddVBand="0" w:evenVBand="0" w:oddHBand="0" w:evenHBand="0" w:firstRowFirstColumn="0" w:firstRowLastColumn="0" w:lastRowFirstColumn="0" w:lastRowLastColumn="0"/>
            <w:tcW w:w="4820" w:type="dxa"/>
            <w:hideMark/>
          </w:tcPr>
          <w:p w14:paraId="5F1F6B87" w14:textId="77777777" w:rsidR="00CE6BCD" w:rsidRPr="00616BA1" w:rsidRDefault="00CE6BCD" w:rsidP="00CE6BCD">
            <w:pPr>
              <w:ind w:left="313"/>
              <w:rPr>
                <w:rFonts w:ascii="Times New Roman" w:eastAsia="Times New Roman" w:hAnsi="Times New Roman" w:cs="Times New Roman"/>
                <w:b w:val="0"/>
                <w:color w:val="000000"/>
                <w:sz w:val="20"/>
                <w:szCs w:val="20"/>
                <w:lang w:eastAsia="lv-LV"/>
              </w:rPr>
            </w:pPr>
            <w:r w:rsidRPr="00616BA1">
              <w:rPr>
                <w:rFonts w:ascii="Times New Roman" w:eastAsia="Times New Roman" w:hAnsi="Times New Roman" w:cs="Times New Roman"/>
                <w:b w:val="0"/>
                <w:color w:val="000000"/>
                <w:sz w:val="20"/>
                <w:szCs w:val="20"/>
                <w:lang w:eastAsia="lv-LV"/>
              </w:rPr>
              <w:t xml:space="preserve">Smalki sagriezta tabaka, cita smēķējamā tabaka, tabakas lapas, karsējamā tabaka, </w:t>
            </w:r>
            <w:r w:rsidRPr="00616BA1">
              <w:rPr>
                <w:rFonts w:ascii="Times New Roman" w:eastAsia="Times New Roman" w:hAnsi="Times New Roman" w:cs="Times New Roman"/>
                <w:b w:val="0"/>
                <w:i/>
                <w:color w:val="000000"/>
                <w:sz w:val="20"/>
                <w:szCs w:val="20"/>
                <w:lang w:eastAsia="lv-LV"/>
              </w:rPr>
              <w:t>euro</w:t>
            </w:r>
            <w:r w:rsidRPr="00616BA1">
              <w:rPr>
                <w:rFonts w:ascii="Times New Roman" w:eastAsia="Times New Roman" w:hAnsi="Times New Roman" w:cs="Times New Roman"/>
                <w:b w:val="0"/>
                <w:color w:val="000000"/>
                <w:sz w:val="20"/>
                <w:szCs w:val="20"/>
                <w:lang w:eastAsia="lv-LV"/>
              </w:rPr>
              <w:t xml:space="preserve"> par 1000 g.</w:t>
            </w:r>
          </w:p>
        </w:tc>
        <w:tc>
          <w:tcPr>
            <w:tcW w:w="1418" w:type="dxa"/>
            <w:noWrap/>
            <w:vAlign w:val="center"/>
            <w:hideMark/>
          </w:tcPr>
          <w:p w14:paraId="536CF65B"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62.0</w:t>
            </w:r>
          </w:p>
        </w:tc>
        <w:tc>
          <w:tcPr>
            <w:tcW w:w="1417" w:type="dxa"/>
            <w:noWrap/>
            <w:vAlign w:val="center"/>
            <w:hideMark/>
          </w:tcPr>
          <w:p w14:paraId="1633D282"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66.0</w:t>
            </w:r>
          </w:p>
        </w:tc>
        <w:tc>
          <w:tcPr>
            <w:tcW w:w="1418" w:type="dxa"/>
            <w:noWrap/>
            <w:vAlign w:val="center"/>
            <w:hideMark/>
          </w:tcPr>
          <w:p w14:paraId="5D1F89B6"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CE6BCD">
              <w:rPr>
                <w:rFonts w:ascii="Times New Roman" w:eastAsia="Times New Roman" w:hAnsi="Times New Roman" w:cs="Times New Roman"/>
                <w:color w:val="000000"/>
                <w:sz w:val="20"/>
                <w:szCs w:val="20"/>
                <w:lang w:eastAsia="lv-LV"/>
              </w:rPr>
              <w:t>70.0</w:t>
            </w:r>
          </w:p>
        </w:tc>
      </w:tr>
    </w:tbl>
    <w:p w14:paraId="171E5526" w14:textId="6B5E11C0" w:rsidR="00CE6BCD" w:rsidRPr="00CE6BCD" w:rsidRDefault="00D4339B" w:rsidP="00906268">
      <w:pPr>
        <w:spacing w:before="120"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redzams 6.4.tabulā, ar 2017.gada 1.</w:t>
      </w:r>
      <w:r w:rsidR="00CE6BCD" w:rsidRPr="00CE6BCD">
        <w:rPr>
          <w:rFonts w:ascii="Times New Roman" w:eastAsia="Times New Roman" w:hAnsi="Times New Roman" w:cs="Times New Roman"/>
          <w:color w:val="000000"/>
          <w:sz w:val="24"/>
          <w:szCs w:val="24"/>
        </w:rPr>
        <w:t>jūliju paredzēts ne vien paaugstināt akcīzes nodokļa cigaretēm specifisko daļu un minimālo līmeni, bet arī samazināt nodokļa procentuālo daļu no 25% līdz 20% no maksimālās mazumtirdzniecības cenas.</w:t>
      </w:r>
    </w:p>
    <w:p w14:paraId="01B53E6B" w14:textId="5B37B7BB" w:rsidR="00CE6BCD" w:rsidRPr="00CE6BCD" w:rsidRDefault="00D4339B" w:rsidP="004D5182">
      <w:pPr>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color w:val="000000"/>
          <w:sz w:val="24"/>
          <w:szCs w:val="24"/>
        </w:rPr>
        <w:lastRenderedPageBreak/>
        <w:t>Vienlaicīgi ar 2016.gada 23.</w:t>
      </w:r>
      <w:r w:rsidR="00CE6BCD" w:rsidRPr="00CE6BCD">
        <w:rPr>
          <w:rFonts w:ascii="Times New Roman" w:eastAsia="Times New Roman" w:hAnsi="Times New Roman" w:cs="Times New Roman"/>
          <w:color w:val="000000"/>
          <w:sz w:val="24"/>
          <w:szCs w:val="24"/>
        </w:rPr>
        <w:t>novembrī pieņemtajiem grozījumiem likumā</w:t>
      </w:r>
      <w:r>
        <w:rPr>
          <w:rFonts w:ascii="Times New Roman" w:eastAsia="Times New Roman" w:hAnsi="Times New Roman" w:cs="Times New Roman"/>
          <w:color w:val="000000"/>
          <w:sz w:val="24"/>
          <w:szCs w:val="24"/>
        </w:rPr>
        <w:t xml:space="preserve"> “Par akcīzes nodokli” ar 2017.gada 1.</w:t>
      </w:r>
      <w:r w:rsidR="00CE6BCD" w:rsidRPr="00CE6BCD">
        <w:rPr>
          <w:rFonts w:ascii="Times New Roman" w:eastAsia="Times New Roman" w:hAnsi="Times New Roman" w:cs="Times New Roman"/>
          <w:color w:val="000000"/>
          <w:sz w:val="24"/>
          <w:szCs w:val="24"/>
        </w:rPr>
        <w:t xml:space="preserve">janvāri tika noteikts </w:t>
      </w:r>
      <w:r w:rsidR="00CE6BCD" w:rsidRPr="00CE6BCD">
        <w:rPr>
          <w:rFonts w:ascii="Times New Roman" w:eastAsia="Times New Roman" w:hAnsi="Times New Roman" w:cs="Times New Roman"/>
          <w:sz w:val="24"/>
          <w:szCs w:val="20"/>
        </w:rPr>
        <w:t>maksimālais tabakas izstrādājumu un alkoholisko dzērienu daudzums, ko var iegādāties diplomātisko un konsulāro pārstāvniecību diplomātiskie un konsulārie aģenti, administratīvi tehniskais personāls un minēto personu ģimenes locekļi, kā arī starptautisko organizāciju pārstāvniecību darbinieki, piemērojot akcīzes nodokļa atbrīvojumu vai atmaksu. Paredzētie iegādes ierobežojumi vienai personai mēnesī ir šādi:</w:t>
      </w:r>
    </w:p>
    <w:p w14:paraId="21283769" w14:textId="3B3267A2" w:rsidR="00CE6BCD" w:rsidRPr="00D4339B" w:rsidRDefault="00CE6BCD" w:rsidP="004D5182">
      <w:pPr>
        <w:pStyle w:val="ListParagraph"/>
        <w:numPr>
          <w:ilvl w:val="2"/>
          <w:numId w:val="20"/>
        </w:numPr>
        <w:spacing w:after="0" w:line="240" w:lineRule="auto"/>
        <w:ind w:left="1276"/>
        <w:contextualSpacing w:val="0"/>
        <w:jc w:val="both"/>
        <w:rPr>
          <w:rFonts w:ascii="Times New Roman" w:eastAsia="Times New Roman" w:hAnsi="Times New Roman" w:cs="Times New Roman"/>
          <w:sz w:val="24"/>
          <w:szCs w:val="20"/>
        </w:rPr>
      </w:pPr>
      <w:r w:rsidRPr="00D4339B">
        <w:rPr>
          <w:rFonts w:ascii="Times New Roman" w:eastAsia="Times New Roman" w:hAnsi="Times New Roman" w:cs="Times New Roman"/>
          <w:sz w:val="24"/>
          <w:szCs w:val="20"/>
        </w:rPr>
        <w:t>tabakas izstrādājumiem:</w:t>
      </w:r>
    </w:p>
    <w:p w14:paraId="1EE274E4" w14:textId="77777777" w:rsidR="00CE6BCD" w:rsidRPr="00CE6BCD" w:rsidRDefault="00CE6BCD" w:rsidP="004D5182">
      <w:pPr>
        <w:numPr>
          <w:ilvl w:val="0"/>
          <w:numId w:val="21"/>
        </w:numPr>
        <w:spacing w:after="0" w:line="240" w:lineRule="auto"/>
        <w:ind w:left="1701"/>
        <w:jc w:val="both"/>
        <w:rPr>
          <w:rFonts w:ascii="Times New Roman" w:eastAsia="Times New Roman" w:hAnsi="Times New Roman" w:cs="Times New Roman"/>
          <w:sz w:val="24"/>
          <w:szCs w:val="20"/>
          <w:lang w:val="x-none" w:eastAsia="x-none"/>
        </w:rPr>
      </w:pPr>
      <w:r w:rsidRPr="00CE6BCD">
        <w:rPr>
          <w:rFonts w:ascii="Times New Roman" w:eastAsia="Times New Roman" w:hAnsi="Times New Roman" w:cs="Times New Roman"/>
          <w:sz w:val="24"/>
          <w:szCs w:val="20"/>
          <w:lang w:val="x-none" w:eastAsia="x-none"/>
        </w:rPr>
        <w:t>cigaretes – 600 gab.;</w:t>
      </w:r>
    </w:p>
    <w:p w14:paraId="70AB0CB7" w14:textId="77777777" w:rsidR="00CE6BCD" w:rsidRPr="00CE6BCD" w:rsidRDefault="00CE6BCD" w:rsidP="004D5182">
      <w:pPr>
        <w:numPr>
          <w:ilvl w:val="0"/>
          <w:numId w:val="21"/>
        </w:numPr>
        <w:spacing w:after="0" w:line="240" w:lineRule="auto"/>
        <w:ind w:left="1701"/>
        <w:jc w:val="both"/>
        <w:rPr>
          <w:rFonts w:ascii="Times New Roman" w:eastAsia="Times New Roman" w:hAnsi="Times New Roman" w:cs="Times New Roman"/>
          <w:sz w:val="24"/>
          <w:szCs w:val="20"/>
          <w:lang w:val="x-none" w:eastAsia="x-none"/>
        </w:rPr>
      </w:pPr>
      <w:r w:rsidRPr="00CE6BCD">
        <w:rPr>
          <w:rFonts w:ascii="Times New Roman" w:eastAsia="Times New Roman" w:hAnsi="Times New Roman" w:cs="Times New Roman"/>
          <w:sz w:val="24"/>
          <w:szCs w:val="20"/>
          <w:lang w:val="x-none" w:eastAsia="x-none"/>
        </w:rPr>
        <w:t>smēķējamā vai karsējamā tabaka – 600 grami;</w:t>
      </w:r>
    </w:p>
    <w:p w14:paraId="6D13CA07" w14:textId="77777777" w:rsidR="00CE6BCD" w:rsidRPr="00CE6BCD" w:rsidRDefault="00CE6BCD" w:rsidP="004D5182">
      <w:pPr>
        <w:numPr>
          <w:ilvl w:val="0"/>
          <w:numId w:val="21"/>
        </w:numPr>
        <w:spacing w:after="0" w:line="240" w:lineRule="auto"/>
        <w:ind w:left="1701"/>
        <w:jc w:val="both"/>
        <w:rPr>
          <w:rFonts w:ascii="Times New Roman" w:eastAsia="Times New Roman" w:hAnsi="Times New Roman" w:cs="Times New Roman"/>
          <w:sz w:val="24"/>
          <w:szCs w:val="20"/>
          <w:lang w:val="x-none" w:eastAsia="x-none"/>
        </w:rPr>
      </w:pPr>
      <w:r w:rsidRPr="00CE6BCD">
        <w:rPr>
          <w:rFonts w:ascii="Times New Roman" w:eastAsia="Times New Roman" w:hAnsi="Times New Roman" w:cs="Times New Roman"/>
          <w:sz w:val="24"/>
          <w:szCs w:val="20"/>
          <w:lang w:val="x-none" w:eastAsia="x-none"/>
        </w:rPr>
        <w:t>cigāri /cigarillas – 150 gab.</w:t>
      </w:r>
    </w:p>
    <w:p w14:paraId="2B3A70FF" w14:textId="75E13002" w:rsidR="00CE6BCD" w:rsidRPr="00CE6BCD" w:rsidRDefault="00CE6BCD" w:rsidP="004D5182">
      <w:pPr>
        <w:pStyle w:val="ListParagraph"/>
        <w:numPr>
          <w:ilvl w:val="2"/>
          <w:numId w:val="20"/>
        </w:numPr>
        <w:spacing w:after="0" w:line="240" w:lineRule="auto"/>
        <w:ind w:left="1276"/>
        <w:contextualSpacing w:val="0"/>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elektroniskajās cigaretēs izmantojamajam šķidrumam – 600 miligrami nikotīna vai ne vairāk kā 600 mililitri elektroniskajās cigaretēs izmantojamā šķidruma;</w:t>
      </w:r>
    </w:p>
    <w:p w14:paraId="7C0DA340" w14:textId="0D6EA58D" w:rsidR="00CE6BCD" w:rsidRPr="00CE6BCD" w:rsidRDefault="00CE6BCD" w:rsidP="004D5182">
      <w:pPr>
        <w:pStyle w:val="ListParagraph"/>
        <w:numPr>
          <w:ilvl w:val="2"/>
          <w:numId w:val="20"/>
        </w:numPr>
        <w:spacing w:after="0" w:line="240" w:lineRule="auto"/>
        <w:ind w:left="1276"/>
        <w:contextualSpacing w:val="0"/>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alkoholiskajiem dzērieniem:</w:t>
      </w:r>
    </w:p>
    <w:p w14:paraId="323CCC6E" w14:textId="77777777" w:rsidR="00CE6BCD" w:rsidRPr="00CE6BCD" w:rsidRDefault="00CE6BCD" w:rsidP="004D5182">
      <w:pPr>
        <w:numPr>
          <w:ilvl w:val="0"/>
          <w:numId w:val="22"/>
        </w:numPr>
        <w:spacing w:after="0" w:line="240" w:lineRule="auto"/>
        <w:ind w:left="1701"/>
        <w:jc w:val="both"/>
        <w:rPr>
          <w:rFonts w:ascii="Times New Roman" w:eastAsia="Times New Roman" w:hAnsi="Times New Roman" w:cs="Times New Roman"/>
          <w:sz w:val="24"/>
          <w:szCs w:val="20"/>
          <w:lang w:val="x-none" w:eastAsia="x-none"/>
        </w:rPr>
      </w:pPr>
      <w:r w:rsidRPr="00CE6BCD">
        <w:rPr>
          <w:rFonts w:ascii="Times New Roman" w:eastAsia="Times New Roman" w:hAnsi="Times New Roman" w:cs="Times New Roman"/>
          <w:sz w:val="24"/>
          <w:szCs w:val="20"/>
          <w:lang w:val="x-none" w:eastAsia="x-none"/>
        </w:rPr>
        <w:t>alus, raudzētie dzērieni, vīns, starpprodukti ar absolūtā spirta saturu līdz 15 tilpumprocentiem – 25 litri (kopā);</w:t>
      </w:r>
    </w:p>
    <w:p w14:paraId="617B6D4D" w14:textId="77777777" w:rsidR="00CE6BCD" w:rsidRPr="00CE6BCD" w:rsidRDefault="00CE6BCD" w:rsidP="004D5182">
      <w:pPr>
        <w:numPr>
          <w:ilvl w:val="0"/>
          <w:numId w:val="22"/>
        </w:numPr>
        <w:spacing w:after="0" w:line="240" w:lineRule="auto"/>
        <w:ind w:left="1701"/>
        <w:jc w:val="both"/>
        <w:rPr>
          <w:rFonts w:ascii="Times New Roman" w:eastAsia="Times New Roman" w:hAnsi="Times New Roman" w:cs="Times New Roman"/>
          <w:color w:val="000000"/>
          <w:sz w:val="24"/>
          <w:szCs w:val="24"/>
          <w:lang w:val="x-none" w:eastAsia="x-none"/>
        </w:rPr>
      </w:pPr>
      <w:r w:rsidRPr="00CE6BCD">
        <w:rPr>
          <w:rFonts w:ascii="Times New Roman" w:eastAsia="Times New Roman" w:hAnsi="Times New Roman" w:cs="Times New Roman"/>
          <w:sz w:val="24"/>
          <w:szCs w:val="20"/>
          <w:lang w:val="x-none" w:eastAsia="x-none"/>
        </w:rPr>
        <w:t>starpprodukti ar absolūtā spirta saturu no 15 līdz 22 tilpum-procentiem, pārējie alkoholiskie dzērieni - 8 litri (kopā).</w:t>
      </w:r>
    </w:p>
    <w:p w14:paraId="1B47ACEF" w14:textId="7F20845F" w:rsidR="002F2779" w:rsidRDefault="00CE6BCD" w:rsidP="00BE6FBC">
      <w:pPr>
        <w:spacing w:after="0" w:line="240" w:lineRule="auto"/>
        <w:ind w:firstLine="567"/>
        <w:jc w:val="both"/>
        <w:rPr>
          <w:rFonts w:ascii="Times New Roman" w:eastAsia="Times New Roman" w:hAnsi="Times New Roman" w:cs="Times New Roman"/>
          <w:b/>
          <w:sz w:val="24"/>
          <w:szCs w:val="20"/>
        </w:rPr>
      </w:pPr>
      <w:r w:rsidRPr="00CE6BCD">
        <w:rPr>
          <w:rFonts w:ascii="Times New Roman" w:eastAsia="Times New Roman" w:hAnsi="Times New Roman" w:cs="Times New Roman"/>
          <w:color w:val="000000"/>
          <w:sz w:val="24"/>
          <w:szCs w:val="24"/>
        </w:rPr>
        <w:t>Pakāpenisks akcīzes nodokļa paaugstinājums paredzēts arī akcīzes nodoklim alkoholiskajiem dzēri</w:t>
      </w:r>
      <w:r w:rsidR="00D4339B">
        <w:rPr>
          <w:rFonts w:ascii="Times New Roman" w:eastAsia="Times New Roman" w:hAnsi="Times New Roman" w:cs="Times New Roman"/>
          <w:color w:val="000000"/>
          <w:sz w:val="24"/>
          <w:szCs w:val="24"/>
        </w:rPr>
        <w:t>eniem un alum. Saskaņā ar 2015.gada 30.</w:t>
      </w:r>
      <w:r w:rsidRPr="00CE6BCD">
        <w:rPr>
          <w:rFonts w:ascii="Times New Roman" w:eastAsia="Times New Roman" w:hAnsi="Times New Roman" w:cs="Times New Roman"/>
          <w:color w:val="000000"/>
          <w:sz w:val="24"/>
          <w:szCs w:val="24"/>
        </w:rPr>
        <w:t>novembrī pieņemtajiem grozījumiem likumā</w:t>
      </w:r>
      <w:r w:rsidR="00D4339B">
        <w:rPr>
          <w:rFonts w:ascii="Times New Roman" w:eastAsia="Times New Roman" w:hAnsi="Times New Roman" w:cs="Times New Roman"/>
          <w:color w:val="000000"/>
          <w:sz w:val="24"/>
          <w:szCs w:val="24"/>
        </w:rPr>
        <w:t xml:space="preserve"> „Par akcīzes nodokli” ar 2016.gada 1.</w:t>
      </w:r>
      <w:r w:rsidRPr="00CE6BCD">
        <w:rPr>
          <w:rFonts w:ascii="Times New Roman" w:eastAsia="Times New Roman" w:hAnsi="Times New Roman" w:cs="Times New Roman"/>
          <w:color w:val="000000"/>
          <w:sz w:val="24"/>
          <w:szCs w:val="24"/>
        </w:rPr>
        <w:t xml:space="preserve">martu tika paredzēta akcīzes nodokļa alkoholiskajiem dzērieniem un alum likmju paaugstināšana – likmes tika </w:t>
      </w:r>
      <w:r w:rsidR="00D4339B">
        <w:rPr>
          <w:rFonts w:ascii="Times New Roman" w:eastAsia="Times New Roman" w:hAnsi="Times New Roman" w:cs="Times New Roman"/>
          <w:color w:val="000000"/>
          <w:sz w:val="24"/>
          <w:szCs w:val="24"/>
        </w:rPr>
        <w:t>paaugstinātas ar 2016. un 2017.gada 1.</w:t>
      </w:r>
      <w:r w:rsidRPr="00CE6BCD">
        <w:rPr>
          <w:rFonts w:ascii="Times New Roman" w:eastAsia="Times New Roman" w:hAnsi="Times New Roman" w:cs="Times New Roman"/>
          <w:color w:val="000000"/>
          <w:sz w:val="24"/>
          <w:szCs w:val="24"/>
        </w:rPr>
        <w:t xml:space="preserve">martu un tās </w:t>
      </w:r>
      <w:r w:rsidR="00D4339B">
        <w:rPr>
          <w:rFonts w:ascii="Times New Roman" w:eastAsia="Times New Roman" w:hAnsi="Times New Roman" w:cs="Times New Roman"/>
          <w:color w:val="000000"/>
          <w:sz w:val="24"/>
          <w:szCs w:val="24"/>
        </w:rPr>
        <w:t>tiks paaugstinātas arī ar 2018.gada 1.martu (sk. 6.5.</w:t>
      </w:r>
      <w:r w:rsidRPr="00CE6BCD">
        <w:rPr>
          <w:rFonts w:ascii="Times New Roman" w:eastAsia="Times New Roman" w:hAnsi="Times New Roman" w:cs="Times New Roman"/>
          <w:color w:val="000000"/>
          <w:sz w:val="24"/>
          <w:szCs w:val="24"/>
        </w:rPr>
        <w:t xml:space="preserve">tabulu). </w:t>
      </w:r>
    </w:p>
    <w:p w14:paraId="13376E65" w14:textId="5ED13769" w:rsidR="00CE6BCD" w:rsidRPr="00CE6BCD" w:rsidRDefault="006A42EE" w:rsidP="005265A2">
      <w:pPr>
        <w:spacing w:before="120" w:after="60"/>
        <w:jc w:val="right"/>
        <w:rPr>
          <w:rFonts w:ascii="Times New Roman" w:eastAsia="Times New Roman" w:hAnsi="Times New Roman" w:cs="Times New Roman"/>
          <w:b/>
          <w:i/>
          <w:sz w:val="24"/>
          <w:szCs w:val="24"/>
        </w:rPr>
      </w:pPr>
      <w:r>
        <w:rPr>
          <w:rFonts w:ascii="Times New Roman" w:eastAsia="Times New Roman" w:hAnsi="Times New Roman" w:cs="Times New Roman"/>
          <w:b/>
          <w:sz w:val="24"/>
          <w:szCs w:val="20"/>
        </w:rPr>
        <w:t>6.5.</w:t>
      </w:r>
      <w:r w:rsidR="00CE6BCD" w:rsidRPr="00CE6BCD">
        <w:rPr>
          <w:rFonts w:ascii="Times New Roman" w:eastAsia="Times New Roman" w:hAnsi="Times New Roman" w:cs="Times New Roman"/>
          <w:b/>
          <w:sz w:val="24"/>
          <w:szCs w:val="20"/>
        </w:rPr>
        <w:t xml:space="preserve">tabula. Akcīzes nodokļa likmes alkoholiskajiem dzērieniem </w:t>
      </w:r>
    </w:p>
    <w:tbl>
      <w:tblPr>
        <w:tblStyle w:val="GridTable6Colorful-Accent1"/>
        <w:tblW w:w="9072" w:type="dxa"/>
        <w:tblLook w:val="04A0" w:firstRow="1" w:lastRow="0" w:firstColumn="1" w:lastColumn="0" w:noHBand="0" w:noVBand="1"/>
      </w:tblPr>
      <w:tblGrid>
        <w:gridCol w:w="5245"/>
        <w:gridCol w:w="1276"/>
        <w:gridCol w:w="1276"/>
        <w:gridCol w:w="1275"/>
      </w:tblGrid>
      <w:tr w:rsidR="00CE6BCD" w:rsidRPr="00CE6BCD" w14:paraId="32952D68" w14:textId="77777777" w:rsidTr="00F3248F">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245" w:type="dxa"/>
            <w:vMerge w:val="restart"/>
            <w:noWrap/>
            <w:vAlign w:val="center"/>
          </w:tcPr>
          <w:p w14:paraId="5092D070" w14:textId="77777777" w:rsidR="00CE6BCD" w:rsidRPr="00616BA1" w:rsidRDefault="00CE6BCD" w:rsidP="00F3248F">
            <w:pPr>
              <w:jc w:val="center"/>
              <w:rPr>
                <w:rFonts w:ascii="Times New Roman" w:eastAsia="Times New Roman" w:hAnsi="Times New Roman" w:cs="Times New Roman"/>
                <w:color w:val="000000"/>
                <w:sz w:val="20"/>
                <w:szCs w:val="24"/>
                <w:lang w:eastAsia="lv-LV"/>
              </w:rPr>
            </w:pPr>
            <w:r w:rsidRPr="00616BA1">
              <w:rPr>
                <w:rFonts w:ascii="Times New Roman" w:eastAsia="Times New Roman" w:hAnsi="Times New Roman" w:cs="Times New Roman"/>
                <w:color w:val="000000"/>
                <w:sz w:val="20"/>
                <w:szCs w:val="24"/>
                <w:lang w:eastAsia="lv-LV"/>
              </w:rPr>
              <w:t>Alkoholiskā dzēriena veids</w:t>
            </w:r>
          </w:p>
        </w:tc>
        <w:tc>
          <w:tcPr>
            <w:tcW w:w="3827" w:type="dxa"/>
            <w:gridSpan w:val="3"/>
            <w:noWrap/>
          </w:tcPr>
          <w:p w14:paraId="2B5337EC" w14:textId="77777777" w:rsidR="00CE6BCD" w:rsidRPr="00616BA1" w:rsidRDefault="00CE6BCD" w:rsidP="00616B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16BA1">
              <w:rPr>
                <w:rFonts w:ascii="Times New Roman" w:eastAsia="Times New Roman" w:hAnsi="Times New Roman" w:cs="Times New Roman"/>
                <w:color w:val="000000"/>
                <w:sz w:val="20"/>
                <w:szCs w:val="20"/>
                <w:lang w:eastAsia="lv-LV"/>
              </w:rPr>
              <w:t>Likmes spēkā stāšanās datums</w:t>
            </w:r>
          </w:p>
        </w:tc>
      </w:tr>
      <w:tr w:rsidR="00CE6BCD" w:rsidRPr="00CE6BCD" w14:paraId="71F9B28C" w14:textId="77777777" w:rsidTr="00F3248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245" w:type="dxa"/>
            <w:vMerge/>
            <w:noWrap/>
            <w:hideMark/>
          </w:tcPr>
          <w:p w14:paraId="1FFBAC00" w14:textId="77777777" w:rsidR="00CE6BCD" w:rsidRPr="006A42EE" w:rsidRDefault="00CE6BCD" w:rsidP="00CE6BCD">
            <w:pPr>
              <w:rPr>
                <w:rFonts w:ascii="Times New Roman" w:eastAsia="Times New Roman" w:hAnsi="Times New Roman" w:cs="Times New Roman"/>
                <w:b w:val="0"/>
                <w:color w:val="000000"/>
                <w:sz w:val="20"/>
                <w:szCs w:val="24"/>
                <w:lang w:eastAsia="lv-LV"/>
              </w:rPr>
            </w:pPr>
          </w:p>
        </w:tc>
        <w:tc>
          <w:tcPr>
            <w:tcW w:w="1276" w:type="dxa"/>
            <w:noWrap/>
            <w:hideMark/>
          </w:tcPr>
          <w:p w14:paraId="15023ED7" w14:textId="77777777" w:rsidR="00CE6BCD" w:rsidRPr="006A42EE" w:rsidRDefault="00CE6BCD" w:rsidP="00CE6B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6A42EE">
              <w:rPr>
                <w:rFonts w:ascii="Times New Roman" w:eastAsia="Times New Roman" w:hAnsi="Times New Roman" w:cs="Times New Roman"/>
                <w:b/>
                <w:color w:val="000000"/>
                <w:sz w:val="20"/>
                <w:szCs w:val="24"/>
                <w:lang w:eastAsia="lv-LV"/>
              </w:rPr>
              <w:t>01.03.2016.</w:t>
            </w:r>
          </w:p>
        </w:tc>
        <w:tc>
          <w:tcPr>
            <w:tcW w:w="1276" w:type="dxa"/>
            <w:noWrap/>
            <w:hideMark/>
          </w:tcPr>
          <w:p w14:paraId="1231727C" w14:textId="77777777" w:rsidR="00CE6BCD" w:rsidRPr="006A42EE" w:rsidRDefault="00CE6BCD" w:rsidP="00616B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6A42EE">
              <w:rPr>
                <w:rFonts w:ascii="Times New Roman" w:eastAsia="Times New Roman" w:hAnsi="Times New Roman" w:cs="Times New Roman"/>
                <w:b/>
                <w:color w:val="000000"/>
                <w:sz w:val="20"/>
                <w:szCs w:val="24"/>
                <w:lang w:eastAsia="lv-LV"/>
              </w:rPr>
              <w:t>01.03.2017.</w:t>
            </w:r>
          </w:p>
        </w:tc>
        <w:tc>
          <w:tcPr>
            <w:tcW w:w="1275" w:type="dxa"/>
            <w:noWrap/>
            <w:hideMark/>
          </w:tcPr>
          <w:p w14:paraId="0E01B141" w14:textId="77777777" w:rsidR="00CE6BCD" w:rsidRPr="006A42EE" w:rsidRDefault="00CE6BCD" w:rsidP="00616B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6A42EE">
              <w:rPr>
                <w:rFonts w:ascii="Times New Roman" w:eastAsia="Times New Roman" w:hAnsi="Times New Roman" w:cs="Times New Roman"/>
                <w:b/>
                <w:color w:val="000000"/>
                <w:sz w:val="20"/>
                <w:szCs w:val="24"/>
                <w:lang w:eastAsia="lv-LV"/>
              </w:rPr>
              <w:t>01.03.2018.</w:t>
            </w:r>
          </w:p>
        </w:tc>
      </w:tr>
      <w:tr w:rsidR="00CE6BCD" w:rsidRPr="00CE6BCD" w14:paraId="464794C8" w14:textId="77777777" w:rsidTr="00F3248F">
        <w:trPr>
          <w:trHeight w:val="429"/>
        </w:trPr>
        <w:tc>
          <w:tcPr>
            <w:cnfStyle w:val="001000000000" w:firstRow="0" w:lastRow="0" w:firstColumn="1" w:lastColumn="0" w:oddVBand="0" w:evenVBand="0" w:oddHBand="0" w:evenHBand="0" w:firstRowFirstColumn="0" w:firstRowLastColumn="0" w:lastRowFirstColumn="0" w:lastRowLastColumn="0"/>
            <w:tcW w:w="5245" w:type="dxa"/>
            <w:hideMark/>
          </w:tcPr>
          <w:p w14:paraId="13439DF2"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 xml:space="preserve">Vīns, raudzētie dzērieni ar absolūtā spirta saturu virs 6 tilpumprocentiem un starpprodukti ar absolūtā spirta saturu līdz 15 tilpumprocentiem, </w:t>
            </w:r>
            <w:r w:rsidRPr="00616BA1">
              <w:rPr>
                <w:rFonts w:ascii="Times New Roman" w:eastAsia="Times New Roman" w:hAnsi="Times New Roman" w:cs="Times New Roman"/>
                <w:b w:val="0"/>
                <w:i/>
                <w:color w:val="000000"/>
                <w:sz w:val="20"/>
                <w:szCs w:val="24"/>
                <w:lang w:eastAsia="lv-LV"/>
              </w:rPr>
              <w:t>euro</w:t>
            </w:r>
            <w:r w:rsidRPr="00616BA1">
              <w:rPr>
                <w:rFonts w:ascii="Times New Roman" w:eastAsia="Times New Roman" w:hAnsi="Times New Roman" w:cs="Times New Roman"/>
                <w:b w:val="0"/>
                <w:color w:val="000000"/>
                <w:sz w:val="20"/>
                <w:szCs w:val="24"/>
                <w:lang w:eastAsia="lv-LV"/>
              </w:rPr>
              <w:t xml:space="preserve"> par 100 litriem</w:t>
            </w:r>
          </w:p>
        </w:tc>
        <w:tc>
          <w:tcPr>
            <w:tcW w:w="1276" w:type="dxa"/>
            <w:noWrap/>
            <w:vAlign w:val="center"/>
            <w:hideMark/>
          </w:tcPr>
          <w:p w14:paraId="240F14C6"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74,0</w:t>
            </w:r>
          </w:p>
        </w:tc>
        <w:tc>
          <w:tcPr>
            <w:tcW w:w="1276" w:type="dxa"/>
            <w:noWrap/>
            <w:vAlign w:val="center"/>
            <w:hideMark/>
          </w:tcPr>
          <w:p w14:paraId="719CAAD2"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78,0</w:t>
            </w:r>
          </w:p>
        </w:tc>
        <w:tc>
          <w:tcPr>
            <w:tcW w:w="1275" w:type="dxa"/>
            <w:noWrap/>
            <w:vAlign w:val="center"/>
            <w:hideMark/>
          </w:tcPr>
          <w:p w14:paraId="225231A7"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82,0</w:t>
            </w:r>
          </w:p>
        </w:tc>
      </w:tr>
      <w:tr w:rsidR="00CE6BCD" w:rsidRPr="00CE6BCD" w14:paraId="2DACCF3B" w14:textId="77777777" w:rsidTr="00F3248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245" w:type="dxa"/>
            <w:hideMark/>
          </w:tcPr>
          <w:p w14:paraId="43239093"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 xml:space="preserve">Raudzētie dzērieni ar absolūtā spirta saturu līdz 6 tilpumprocentiem, </w:t>
            </w:r>
            <w:r w:rsidRPr="00616BA1">
              <w:rPr>
                <w:rFonts w:ascii="Times New Roman" w:eastAsia="Times New Roman" w:hAnsi="Times New Roman" w:cs="Times New Roman"/>
                <w:b w:val="0"/>
                <w:i/>
                <w:color w:val="000000"/>
                <w:sz w:val="20"/>
                <w:szCs w:val="24"/>
                <w:lang w:eastAsia="lv-LV"/>
              </w:rPr>
              <w:t>euro</w:t>
            </w:r>
            <w:r w:rsidRPr="00616BA1">
              <w:rPr>
                <w:rFonts w:ascii="Times New Roman" w:eastAsia="Times New Roman" w:hAnsi="Times New Roman" w:cs="Times New Roman"/>
                <w:b w:val="0"/>
                <w:color w:val="000000"/>
                <w:sz w:val="20"/>
                <w:szCs w:val="24"/>
                <w:lang w:eastAsia="lv-LV"/>
              </w:rPr>
              <w:t xml:space="preserve"> par 100 litriem</w:t>
            </w:r>
          </w:p>
        </w:tc>
        <w:tc>
          <w:tcPr>
            <w:tcW w:w="1276" w:type="dxa"/>
            <w:noWrap/>
            <w:vAlign w:val="center"/>
            <w:hideMark/>
          </w:tcPr>
          <w:p w14:paraId="466E4206"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64,0</w:t>
            </w:r>
          </w:p>
        </w:tc>
        <w:tc>
          <w:tcPr>
            <w:tcW w:w="1276" w:type="dxa"/>
            <w:noWrap/>
            <w:vAlign w:val="center"/>
            <w:hideMark/>
          </w:tcPr>
          <w:p w14:paraId="0EE7CC3B"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64,0</w:t>
            </w:r>
          </w:p>
        </w:tc>
        <w:tc>
          <w:tcPr>
            <w:tcW w:w="1275" w:type="dxa"/>
            <w:noWrap/>
            <w:vAlign w:val="center"/>
            <w:hideMark/>
          </w:tcPr>
          <w:p w14:paraId="6D92A40F"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64,0</w:t>
            </w:r>
          </w:p>
        </w:tc>
      </w:tr>
      <w:tr w:rsidR="00CE6BCD" w:rsidRPr="00CE6BCD" w14:paraId="24BB1F22" w14:textId="77777777" w:rsidTr="00F3248F">
        <w:trPr>
          <w:trHeight w:val="286"/>
        </w:trPr>
        <w:tc>
          <w:tcPr>
            <w:cnfStyle w:val="001000000000" w:firstRow="0" w:lastRow="0" w:firstColumn="1" w:lastColumn="0" w:oddVBand="0" w:evenVBand="0" w:oddHBand="0" w:evenHBand="0" w:firstRowFirstColumn="0" w:firstRowLastColumn="0" w:lastRowFirstColumn="0" w:lastRowLastColumn="0"/>
            <w:tcW w:w="5245" w:type="dxa"/>
            <w:hideMark/>
          </w:tcPr>
          <w:p w14:paraId="5996E6F8"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 xml:space="preserve">Starpprodukti ar absolūtā spirta saturu no 15 tilpumprocentiem līdz 22 tilpumprocentiem, </w:t>
            </w:r>
            <w:r w:rsidRPr="00616BA1">
              <w:rPr>
                <w:rFonts w:ascii="Times New Roman" w:eastAsia="Times New Roman" w:hAnsi="Times New Roman" w:cs="Times New Roman"/>
                <w:b w:val="0"/>
                <w:i/>
                <w:color w:val="000000"/>
                <w:sz w:val="20"/>
                <w:szCs w:val="24"/>
                <w:lang w:eastAsia="lv-LV"/>
              </w:rPr>
              <w:t>euro</w:t>
            </w:r>
            <w:r w:rsidRPr="00616BA1">
              <w:rPr>
                <w:rFonts w:ascii="Times New Roman" w:eastAsia="Times New Roman" w:hAnsi="Times New Roman" w:cs="Times New Roman"/>
                <w:b w:val="0"/>
                <w:color w:val="000000"/>
                <w:sz w:val="20"/>
                <w:szCs w:val="24"/>
                <w:lang w:eastAsia="lv-LV"/>
              </w:rPr>
              <w:t xml:space="preserve"> par 100 litriem</w:t>
            </w:r>
          </w:p>
        </w:tc>
        <w:tc>
          <w:tcPr>
            <w:tcW w:w="1276" w:type="dxa"/>
            <w:noWrap/>
            <w:vAlign w:val="center"/>
            <w:hideMark/>
          </w:tcPr>
          <w:p w14:paraId="0D279E73"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120,0</w:t>
            </w:r>
          </w:p>
        </w:tc>
        <w:tc>
          <w:tcPr>
            <w:tcW w:w="1276" w:type="dxa"/>
            <w:noWrap/>
            <w:vAlign w:val="center"/>
            <w:hideMark/>
          </w:tcPr>
          <w:p w14:paraId="43F659E6"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130,0</w:t>
            </w:r>
          </w:p>
        </w:tc>
        <w:tc>
          <w:tcPr>
            <w:tcW w:w="1275" w:type="dxa"/>
            <w:noWrap/>
            <w:vAlign w:val="center"/>
            <w:hideMark/>
          </w:tcPr>
          <w:p w14:paraId="5CE3A844"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135,0</w:t>
            </w:r>
          </w:p>
        </w:tc>
      </w:tr>
      <w:tr w:rsidR="00CE6BCD" w:rsidRPr="00CE6BCD" w14:paraId="28C01BF9" w14:textId="77777777" w:rsidTr="00F3248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245" w:type="dxa"/>
            <w:hideMark/>
          </w:tcPr>
          <w:p w14:paraId="39A61A71"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 xml:space="preserve">Pārējie alkoholiskie dzērieni, </w:t>
            </w:r>
            <w:r w:rsidRPr="00616BA1">
              <w:rPr>
                <w:rFonts w:ascii="Times New Roman" w:eastAsia="Times New Roman" w:hAnsi="Times New Roman" w:cs="Times New Roman"/>
                <w:b w:val="0"/>
                <w:i/>
                <w:color w:val="000000"/>
                <w:sz w:val="20"/>
                <w:szCs w:val="24"/>
                <w:lang w:eastAsia="lv-LV"/>
              </w:rPr>
              <w:t>euro</w:t>
            </w:r>
            <w:r w:rsidRPr="00616BA1">
              <w:rPr>
                <w:rFonts w:ascii="Times New Roman" w:eastAsia="Times New Roman" w:hAnsi="Times New Roman" w:cs="Times New Roman"/>
                <w:b w:val="0"/>
                <w:color w:val="000000"/>
                <w:sz w:val="20"/>
                <w:szCs w:val="24"/>
                <w:lang w:eastAsia="lv-LV"/>
              </w:rPr>
              <w:t xml:space="preserve"> par 100 litriem absolūta spirta</w:t>
            </w:r>
          </w:p>
        </w:tc>
        <w:tc>
          <w:tcPr>
            <w:tcW w:w="1276" w:type="dxa"/>
            <w:noWrap/>
            <w:vAlign w:val="center"/>
            <w:hideMark/>
          </w:tcPr>
          <w:p w14:paraId="345138A5"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1 400,0</w:t>
            </w:r>
          </w:p>
        </w:tc>
        <w:tc>
          <w:tcPr>
            <w:tcW w:w="1276" w:type="dxa"/>
            <w:noWrap/>
            <w:vAlign w:val="center"/>
            <w:hideMark/>
          </w:tcPr>
          <w:p w14:paraId="2AF6D262"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1 450,0</w:t>
            </w:r>
          </w:p>
        </w:tc>
        <w:tc>
          <w:tcPr>
            <w:tcW w:w="1275" w:type="dxa"/>
            <w:noWrap/>
            <w:vAlign w:val="center"/>
            <w:hideMark/>
          </w:tcPr>
          <w:p w14:paraId="59F1B52B"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1 500,0</w:t>
            </w:r>
          </w:p>
        </w:tc>
      </w:tr>
      <w:tr w:rsidR="00CE6BCD" w:rsidRPr="00CE6BCD" w14:paraId="19323FE2" w14:textId="77777777" w:rsidTr="00F3248F">
        <w:trPr>
          <w:trHeight w:val="143"/>
        </w:trPr>
        <w:tc>
          <w:tcPr>
            <w:cnfStyle w:val="001000000000" w:firstRow="0" w:lastRow="0" w:firstColumn="1" w:lastColumn="0" w:oddVBand="0" w:evenVBand="0" w:oddHBand="0" w:evenHBand="0" w:firstRowFirstColumn="0" w:firstRowLastColumn="0" w:lastRowFirstColumn="0" w:lastRowLastColumn="0"/>
            <w:tcW w:w="5245" w:type="dxa"/>
            <w:hideMark/>
          </w:tcPr>
          <w:p w14:paraId="6CFDE1C4"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 xml:space="preserve">Alus,  </w:t>
            </w:r>
            <w:r w:rsidRPr="00616BA1">
              <w:rPr>
                <w:rFonts w:ascii="Times New Roman" w:eastAsia="Times New Roman" w:hAnsi="Times New Roman" w:cs="Times New Roman"/>
                <w:b w:val="0"/>
                <w:i/>
                <w:color w:val="000000"/>
                <w:sz w:val="20"/>
                <w:szCs w:val="24"/>
                <w:lang w:eastAsia="lv-LV"/>
              </w:rPr>
              <w:t>euro</w:t>
            </w:r>
            <w:r w:rsidRPr="00616BA1">
              <w:rPr>
                <w:rFonts w:ascii="Times New Roman" w:eastAsia="Times New Roman" w:hAnsi="Times New Roman" w:cs="Times New Roman"/>
                <w:b w:val="0"/>
                <w:color w:val="000000"/>
                <w:sz w:val="20"/>
                <w:szCs w:val="24"/>
                <w:lang w:eastAsia="lv-LV"/>
              </w:rPr>
              <w:t xml:space="preserve"> par katru absolūtā spirta tilpumprocentu par 100 litriem</w:t>
            </w:r>
          </w:p>
        </w:tc>
        <w:tc>
          <w:tcPr>
            <w:tcW w:w="1276" w:type="dxa"/>
            <w:noWrap/>
            <w:vAlign w:val="center"/>
            <w:hideMark/>
          </w:tcPr>
          <w:p w14:paraId="62CB12E3"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4,2</w:t>
            </w:r>
          </w:p>
        </w:tc>
        <w:tc>
          <w:tcPr>
            <w:tcW w:w="1276" w:type="dxa"/>
            <w:noWrap/>
            <w:vAlign w:val="center"/>
            <w:hideMark/>
          </w:tcPr>
          <w:p w14:paraId="23A083E1"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4,5</w:t>
            </w:r>
          </w:p>
        </w:tc>
        <w:tc>
          <w:tcPr>
            <w:tcW w:w="1275" w:type="dxa"/>
            <w:noWrap/>
            <w:vAlign w:val="center"/>
            <w:hideMark/>
          </w:tcPr>
          <w:p w14:paraId="5FF01A6A" w14:textId="77777777" w:rsidR="00CE6BCD" w:rsidRPr="00CE6BCD" w:rsidRDefault="00CE6BCD" w:rsidP="00F324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4,8</w:t>
            </w:r>
          </w:p>
        </w:tc>
      </w:tr>
      <w:tr w:rsidR="00CE6BCD" w:rsidRPr="00CE6BCD" w14:paraId="51D16195" w14:textId="77777777" w:rsidTr="00F3248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245" w:type="dxa"/>
            <w:hideMark/>
          </w:tcPr>
          <w:p w14:paraId="37C97FBE"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Akcīzes nodokļa minimālais līmenis par 100 litriem alus</w:t>
            </w:r>
          </w:p>
        </w:tc>
        <w:tc>
          <w:tcPr>
            <w:tcW w:w="1276" w:type="dxa"/>
            <w:noWrap/>
            <w:vAlign w:val="center"/>
            <w:hideMark/>
          </w:tcPr>
          <w:p w14:paraId="4836702B"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7,8</w:t>
            </w:r>
          </w:p>
        </w:tc>
        <w:tc>
          <w:tcPr>
            <w:tcW w:w="1276" w:type="dxa"/>
            <w:noWrap/>
            <w:vAlign w:val="center"/>
            <w:hideMark/>
          </w:tcPr>
          <w:p w14:paraId="6B79FAC9"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8,2</w:t>
            </w:r>
          </w:p>
        </w:tc>
        <w:tc>
          <w:tcPr>
            <w:tcW w:w="1275" w:type="dxa"/>
            <w:noWrap/>
            <w:vAlign w:val="center"/>
            <w:hideMark/>
          </w:tcPr>
          <w:p w14:paraId="4196D0B4" w14:textId="77777777" w:rsidR="00CE6BCD" w:rsidRPr="00CE6BCD" w:rsidRDefault="00CE6BCD" w:rsidP="00F324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8,6</w:t>
            </w:r>
          </w:p>
        </w:tc>
      </w:tr>
    </w:tbl>
    <w:p w14:paraId="5F75EB9A" w14:textId="364774D5" w:rsidR="00CE6BCD" w:rsidRPr="00CE6BCD" w:rsidRDefault="00D4339B" w:rsidP="006A42EE">
      <w:pPr>
        <w:spacing w:before="120"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 2016.gada 29.</w:t>
      </w:r>
      <w:r w:rsidR="00CE6BCD" w:rsidRPr="00CE6BCD">
        <w:rPr>
          <w:rFonts w:ascii="Times New Roman" w:eastAsia="Times New Roman" w:hAnsi="Times New Roman" w:cs="Times New Roman"/>
          <w:color w:val="000000"/>
          <w:sz w:val="24"/>
          <w:szCs w:val="24"/>
        </w:rPr>
        <w:t xml:space="preserve">novembrī pieņemtajiem grozījumiem </w:t>
      </w:r>
      <w:r>
        <w:rPr>
          <w:rFonts w:ascii="Times New Roman" w:eastAsia="Times New Roman" w:hAnsi="Times New Roman" w:cs="Times New Roman"/>
          <w:color w:val="000000"/>
          <w:sz w:val="24"/>
          <w:szCs w:val="24"/>
        </w:rPr>
        <w:t>MK 2005.gada 30.augusta noteikumos Nr.</w:t>
      </w:r>
      <w:r w:rsidR="00CE6BCD" w:rsidRPr="00CE6BCD">
        <w:rPr>
          <w:rFonts w:ascii="Times New Roman" w:eastAsia="Times New Roman" w:hAnsi="Times New Roman" w:cs="Times New Roman"/>
          <w:color w:val="000000"/>
          <w:sz w:val="24"/>
          <w:szCs w:val="24"/>
        </w:rPr>
        <w:t xml:space="preserve">662 "Akcīzes </w:t>
      </w:r>
      <w:r>
        <w:rPr>
          <w:rFonts w:ascii="Times New Roman" w:eastAsia="Times New Roman" w:hAnsi="Times New Roman" w:cs="Times New Roman"/>
          <w:color w:val="000000"/>
          <w:sz w:val="24"/>
          <w:szCs w:val="24"/>
        </w:rPr>
        <w:t>preču aprites kārtība" ar 2017.</w:t>
      </w:r>
      <w:r w:rsidR="00CE6BCD" w:rsidRPr="00CE6BCD">
        <w:rPr>
          <w:rFonts w:ascii="Times New Roman" w:eastAsia="Times New Roman" w:hAnsi="Times New Roman" w:cs="Times New Roman"/>
          <w:color w:val="000000"/>
          <w:sz w:val="24"/>
          <w:szCs w:val="24"/>
        </w:rPr>
        <w:t>gada 1.janvāri tika precizēta alkoholisko dzērienu ražošanas procesa definīcija, nosakot, ka ar to saprot alkoholisko dzērienu apstrādi, pārstrādi un fasēšanu, kā arī tika samazināta pieļaujamā zuduma norma fasētajiem alkoholiskajiem dzērieniem to uzglabāšanas un pārvietošanas procesā no 0,2% uz 0,1%. Tā rezultātā tiek mazināta alkoholisko dzērienu nepamatota norakstīšana zudumos katrā to ražošanas posmā.</w:t>
      </w:r>
    </w:p>
    <w:p w14:paraId="49DC5F4B" w14:textId="65E82740" w:rsidR="00CE6BCD" w:rsidRPr="00CE6BCD" w:rsidRDefault="00CE6BCD" w:rsidP="00D4339B">
      <w:pPr>
        <w:spacing w:after="0" w:line="240" w:lineRule="auto"/>
        <w:ind w:firstLine="567"/>
        <w:jc w:val="both"/>
        <w:rPr>
          <w:rFonts w:ascii="Times New Roman" w:eastAsia="Times New Roman" w:hAnsi="Times New Roman" w:cs="Times New Roman"/>
          <w:sz w:val="24"/>
          <w:szCs w:val="24"/>
        </w:rPr>
      </w:pPr>
      <w:r w:rsidRPr="00CE6BCD">
        <w:rPr>
          <w:rFonts w:ascii="Times New Roman" w:eastAsia="Times New Roman" w:hAnsi="Times New Roman" w:cs="Times New Roman"/>
          <w:color w:val="000000"/>
          <w:sz w:val="24"/>
          <w:szCs w:val="24"/>
        </w:rPr>
        <w:t xml:space="preserve">Saskaņā ar </w:t>
      </w:r>
      <w:r w:rsidR="00D4339B">
        <w:rPr>
          <w:rFonts w:ascii="Times New Roman" w:eastAsia="Times New Roman" w:hAnsi="Times New Roman" w:cs="Times New Roman"/>
          <w:sz w:val="24"/>
          <w:szCs w:val="24"/>
        </w:rPr>
        <w:t>2016.gada 26.</w:t>
      </w:r>
      <w:r w:rsidRPr="00CE6BCD">
        <w:rPr>
          <w:rFonts w:ascii="Times New Roman" w:eastAsia="Times New Roman" w:hAnsi="Times New Roman" w:cs="Times New Roman"/>
          <w:sz w:val="24"/>
          <w:szCs w:val="24"/>
        </w:rPr>
        <w:t xml:space="preserve">maijā </w:t>
      </w:r>
      <w:r w:rsidR="00D4339B">
        <w:rPr>
          <w:rFonts w:ascii="Times New Roman" w:eastAsia="Times New Roman" w:hAnsi="Times New Roman" w:cs="Times New Roman"/>
          <w:sz w:val="24"/>
          <w:szCs w:val="24"/>
        </w:rPr>
        <w:t>MK</w:t>
      </w:r>
      <w:r w:rsidRPr="00CE6BCD">
        <w:rPr>
          <w:rFonts w:ascii="Times New Roman" w:eastAsia="Times New Roman" w:hAnsi="Times New Roman" w:cs="Times New Roman"/>
          <w:sz w:val="24"/>
          <w:szCs w:val="24"/>
        </w:rPr>
        <w:t xml:space="preserve"> pieņemto lēmumu par grozījumiem </w:t>
      </w:r>
      <w:r w:rsidR="00D4339B">
        <w:rPr>
          <w:rFonts w:ascii="Times New Roman" w:eastAsia="Times New Roman" w:hAnsi="Times New Roman" w:cs="Times New Roman"/>
          <w:sz w:val="24"/>
          <w:szCs w:val="24"/>
        </w:rPr>
        <w:t>MK noteikumos Nr.194, kas</w:t>
      </w:r>
      <w:r w:rsidRPr="00CE6BCD">
        <w:rPr>
          <w:rFonts w:ascii="Times New Roman" w:eastAsia="Times New Roman" w:hAnsi="Times New Roman" w:cs="Times New Roman"/>
          <w:sz w:val="24"/>
          <w:szCs w:val="24"/>
        </w:rPr>
        <w:t xml:space="preserve"> paredz, ka, administrējot degvielas ar samazināto akcīzes nodokļ</w:t>
      </w:r>
      <w:r w:rsidR="00D4339B">
        <w:rPr>
          <w:rFonts w:ascii="Times New Roman" w:eastAsia="Times New Roman" w:hAnsi="Times New Roman" w:cs="Times New Roman"/>
          <w:sz w:val="24"/>
          <w:szCs w:val="24"/>
        </w:rPr>
        <w:t>a likmi piešķiršanu 2017./2018.</w:t>
      </w:r>
      <w:r w:rsidRPr="00CE6BCD">
        <w:rPr>
          <w:rFonts w:ascii="Times New Roman" w:eastAsia="Times New Roman" w:hAnsi="Times New Roman" w:cs="Times New Roman"/>
          <w:sz w:val="24"/>
          <w:szCs w:val="24"/>
        </w:rPr>
        <w:t xml:space="preserve">saimnieciskajam gadam un turpmākajiem gadiem, ieņēmumos neiekļaus par iepriekšējo gadu </w:t>
      </w:r>
      <w:r w:rsidR="00D4339B">
        <w:rPr>
          <w:rFonts w:ascii="Times New Roman" w:eastAsia="Times New Roman" w:hAnsi="Times New Roman" w:cs="Times New Roman"/>
          <w:sz w:val="24"/>
          <w:szCs w:val="24"/>
        </w:rPr>
        <w:t>ES</w:t>
      </w:r>
      <w:r w:rsidRPr="00CE6BCD">
        <w:rPr>
          <w:rFonts w:ascii="Times New Roman" w:eastAsia="Times New Roman" w:hAnsi="Times New Roman" w:cs="Times New Roman"/>
          <w:sz w:val="24"/>
          <w:szCs w:val="24"/>
        </w:rPr>
        <w:t xml:space="preserve"> atbalsta pasākumos "Bioloģiskā lauksaimniecība" un "Agrovide un klimats" saņemtās maksājumu</w:t>
      </w:r>
      <w:r w:rsidR="00D4339B">
        <w:rPr>
          <w:rFonts w:ascii="Times New Roman" w:eastAsia="Times New Roman" w:hAnsi="Times New Roman" w:cs="Times New Roman"/>
          <w:sz w:val="24"/>
          <w:szCs w:val="24"/>
        </w:rPr>
        <w:t xml:space="preserve"> summas. Līdz ar to 2017./2018.</w:t>
      </w:r>
      <w:r w:rsidRPr="00CE6BCD">
        <w:rPr>
          <w:rFonts w:ascii="Times New Roman" w:eastAsia="Times New Roman" w:hAnsi="Times New Roman" w:cs="Times New Roman"/>
          <w:sz w:val="24"/>
          <w:szCs w:val="24"/>
        </w:rPr>
        <w:t xml:space="preserve">saimnieciskajā gadā un turpmākajos gados samazināsies zemes platības, par kurām piešķirs tiesības iegādāties </w:t>
      </w:r>
      <w:r w:rsidRPr="00CE6BCD">
        <w:rPr>
          <w:rFonts w:ascii="Times New Roman" w:eastAsia="Times New Roman" w:hAnsi="Times New Roman" w:cs="Times New Roman"/>
          <w:sz w:val="24"/>
          <w:szCs w:val="24"/>
        </w:rPr>
        <w:lastRenderedPageBreak/>
        <w:t xml:space="preserve">dīzeļdegvielu ar samazināto akcīzes nodokļa likmi, un pieaugs akcīzes nodokļa ieņēmumi no dīzeļdegvielas. </w:t>
      </w:r>
    </w:p>
    <w:p w14:paraId="26408CC0" w14:textId="4D08652B" w:rsidR="00CE6BCD" w:rsidRPr="00CE6BCD" w:rsidRDefault="00D4339B" w:rsidP="00D4339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2016.gada 23.</w:t>
      </w:r>
      <w:r w:rsidR="00CE6BCD" w:rsidRPr="00CE6BCD">
        <w:rPr>
          <w:rFonts w:ascii="Times New Roman" w:eastAsia="Times New Roman" w:hAnsi="Times New Roman" w:cs="Times New Roman"/>
          <w:sz w:val="24"/>
          <w:szCs w:val="24"/>
        </w:rPr>
        <w:t>novembrī Saeimā pieņemtajiem grozījumiem likumā “Par akcīzes nodokli”</w:t>
      </w:r>
      <w:r>
        <w:rPr>
          <w:rFonts w:ascii="Times New Roman" w:eastAsia="Times New Roman" w:hAnsi="Times New Roman" w:cs="Times New Roman"/>
          <w:sz w:val="24"/>
          <w:szCs w:val="24"/>
        </w:rPr>
        <w:t xml:space="preserve"> paredzēts sākot ar 2017./2018.</w:t>
      </w:r>
      <w:r w:rsidR="00CE6BCD" w:rsidRPr="00CE6BCD">
        <w:rPr>
          <w:rFonts w:ascii="Times New Roman" w:eastAsia="Times New Roman" w:hAnsi="Times New Roman" w:cs="Times New Roman"/>
          <w:sz w:val="24"/>
          <w:szCs w:val="24"/>
        </w:rPr>
        <w:t>saimniecisko gadu atcelt tiesības iegādāties dīzeļdegvielu ar samazināto akcīzes nodokļa likmi par zemes platībām, kurās audzē kukurūzu biogāzes ieguvei (kultūraugu kods 791).</w:t>
      </w:r>
    </w:p>
    <w:p w14:paraId="156466B0" w14:textId="2539D8BE" w:rsidR="00CE6BCD" w:rsidRPr="00CE6BCD" w:rsidRDefault="00D4339B" w:rsidP="00D4339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2016.gada 23.</w:t>
      </w:r>
      <w:r w:rsidR="00CE6BCD" w:rsidRPr="00CE6BCD">
        <w:rPr>
          <w:rFonts w:ascii="Times New Roman" w:eastAsia="Times New Roman" w:hAnsi="Times New Roman" w:cs="Times New Roman"/>
          <w:sz w:val="24"/>
          <w:szCs w:val="24"/>
        </w:rPr>
        <w:t>novembrī Saeimā pieņemtajiem groz</w:t>
      </w:r>
      <w:r>
        <w:rPr>
          <w:rFonts w:ascii="Times New Roman" w:eastAsia="Times New Roman" w:hAnsi="Times New Roman" w:cs="Times New Roman"/>
          <w:sz w:val="24"/>
          <w:szCs w:val="24"/>
        </w:rPr>
        <w:t>ījumiem Muitas likumā, ar 2017.gada 1.</w:t>
      </w:r>
      <w:r w:rsidR="00CE6BCD" w:rsidRPr="00CE6BCD">
        <w:rPr>
          <w:rFonts w:ascii="Times New Roman" w:eastAsia="Times New Roman" w:hAnsi="Times New Roman" w:cs="Times New Roman"/>
          <w:sz w:val="24"/>
          <w:szCs w:val="24"/>
        </w:rPr>
        <w:t>janvāri tiek pastiprināta s</w:t>
      </w:r>
      <w:r w:rsidR="00CE6BCD" w:rsidRPr="00CE6BCD">
        <w:rPr>
          <w:rFonts w:ascii="Times New Roman" w:eastAsia="Times New Roman" w:hAnsi="Times New Roman" w:cs="Times New Roman"/>
          <w:sz w:val="24"/>
          <w:szCs w:val="20"/>
        </w:rPr>
        <w:t>tarptautisko kravas autopārvadājumu transporta līdzekļu degvielas tvertņu kontrole, kas mazina iespējas Latvijas teritorijā noliet, uzglabāt un tirgot ar atvieglojumiem ievesto degvielu</w:t>
      </w:r>
      <w:r w:rsidR="00CE6BCD" w:rsidRPr="00CE6BCD">
        <w:rPr>
          <w:rFonts w:ascii="Times New Roman" w:eastAsia="Times New Roman" w:hAnsi="Times New Roman" w:cs="Times New Roman"/>
          <w:sz w:val="24"/>
          <w:szCs w:val="24"/>
        </w:rPr>
        <w:t xml:space="preserve">. </w:t>
      </w:r>
    </w:p>
    <w:p w14:paraId="47C4259C" w14:textId="327CD899" w:rsidR="00CE6BCD" w:rsidRPr="00CE6BCD" w:rsidRDefault="00CE6BCD" w:rsidP="00502866">
      <w:pPr>
        <w:keepNext/>
        <w:spacing w:before="120" w:after="60" w:line="240" w:lineRule="auto"/>
        <w:jc w:val="right"/>
        <w:rPr>
          <w:rFonts w:ascii="Times New Roman" w:eastAsia="Times New Roman" w:hAnsi="Times New Roman" w:cs="Times New Roman"/>
          <w:b/>
          <w:sz w:val="24"/>
          <w:szCs w:val="20"/>
        </w:rPr>
      </w:pPr>
      <w:r w:rsidRPr="00CE6BCD">
        <w:rPr>
          <w:rFonts w:ascii="Times New Roman" w:eastAsia="Times New Roman" w:hAnsi="Times New Roman" w:cs="Times New Roman"/>
          <w:b/>
          <w:sz w:val="24"/>
          <w:szCs w:val="20"/>
        </w:rPr>
        <w:t>6.6.tabula. Nodokļu politikas izmaiņu ietekme uz akcīzes nodokļa ieņēmumiem, milj. </w:t>
      </w:r>
      <w:r w:rsidRPr="00CE6BCD">
        <w:rPr>
          <w:rFonts w:ascii="Times New Roman" w:eastAsia="Times New Roman" w:hAnsi="Times New Roman" w:cs="Times New Roman"/>
          <w:b/>
          <w:i/>
          <w:sz w:val="24"/>
          <w:szCs w:val="20"/>
        </w:rPr>
        <w:t>euro</w:t>
      </w:r>
    </w:p>
    <w:tbl>
      <w:tblPr>
        <w:tblStyle w:val="GridTable6Colorful-Accent1"/>
        <w:tblW w:w="9322" w:type="dxa"/>
        <w:jc w:val="center"/>
        <w:tblLayout w:type="fixed"/>
        <w:tblLook w:val="04A0" w:firstRow="1" w:lastRow="0" w:firstColumn="1" w:lastColumn="0" w:noHBand="0" w:noVBand="1"/>
      </w:tblPr>
      <w:tblGrid>
        <w:gridCol w:w="5637"/>
        <w:gridCol w:w="992"/>
        <w:gridCol w:w="992"/>
        <w:gridCol w:w="851"/>
        <w:gridCol w:w="850"/>
      </w:tblGrid>
      <w:tr w:rsidR="00616BA1" w:rsidRPr="00616BA1" w14:paraId="49BC743F" w14:textId="77777777" w:rsidTr="00F324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4AE3A9F0" w14:textId="77777777" w:rsidR="00CE6BCD" w:rsidRPr="00616BA1" w:rsidRDefault="00CE6BCD" w:rsidP="00CE6BCD">
            <w:pPr>
              <w:rPr>
                <w:rFonts w:ascii="Times New Roman" w:eastAsia="Times New Roman" w:hAnsi="Times New Roman" w:cs="Times New Roman"/>
                <w:color w:val="auto"/>
                <w:sz w:val="20"/>
                <w:szCs w:val="20"/>
                <w:highlight w:val="yellow"/>
              </w:rPr>
            </w:pPr>
          </w:p>
        </w:tc>
        <w:tc>
          <w:tcPr>
            <w:tcW w:w="992" w:type="dxa"/>
          </w:tcPr>
          <w:p w14:paraId="1AFB34FB"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2017</w:t>
            </w:r>
          </w:p>
        </w:tc>
        <w:tc>
          <w:tcPr>
            <w:tcW w:w="992" w:type="dxa"/>
          </w:tcPr>
          <w:p w14:paraId="322C3E07"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2018</w:t>
            </w:r>
          </w:p>
        </w:tc>
        <w:tc>
          <w:tcPr>
            <w:tcW w:w="851" w:type="dxa"/>
          </w:tcPr>
          <w:p w14:paraId="665458E6"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2019</w:t>
            </w:r>
          </w:p>
        </w:tc>
        <w:tc>
          <w:tcPr>
            <w:tcW w:w="850" w:type="dxa"/>
          </w:tcPr>
          <w:p w14:paraId="4CE35EE6"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2020</w:t>
            </w:r>
          </w:p>
        </w:tc>
      </w:tr>
      <w:tr w:rsidR="00616BA1" w:rsidRPr="00616BA1" w14:paraId="524E3A9F"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5DC474CB"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Akcīzes nodokļa likmju paaugstināšana cigaretēm, cigāriem, cigarillām un smēķējamai tabakai</w:t>
            </w:r>
          </w:p>
        </w:tc>
        <w:tc>
          <w:tcPr>
            <w:tcW w:w="992" w:type="dxa"/>
            <w:vAlign w:val="center"/>
          </w:tcPr>
          <w:p w14:paraId="54C17CC4"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+5,4</w:t>
            </w:r>
          </w:p>
        </w:tc>
        <w:tc>
          <w:tcPr>
            <w:tcW w:w="992" w:type="dxa"/>
            <w:vAlign w:val="center"/>
          </w:tcPr>
          <w:p w14:paraId="1DDC500F"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+5,9</w:t>
            </w:r>
          </w:p>
        </w:tc>
        <w:tc>
          <w:tcPr>
            <w:tcW w:w="851" w:type="dxa"/>
            <w:vAlign w:val="center"/>
          </w:tcPr>
          <w:p w14:paraId="27F815A9"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+1,7</w:t>
            </w:r>
          </w:p>
        </w:tc>
        <w:tc>
          <w:tcPr>
            <w:tcW w:w="850" w:type="dxa"/>
            <w:vAlign w:val="center"/>
          </w:tcPr>
          <w:p w14:paraId="7363AF6F"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1E003FD7"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1E2BC4FF" w14:textId="77777777" w:rsidR="00CE6BCD" w:rsidRPr="00616BA1" w:rsidRDefault="00CE6BCD" w:rsidP="00CE6BCD">
            <w:pPr>
              <w:rPr>
                <w:rFonts w:ascii="Times New Roman" w:eastAsia="Times New Roman" w:hAnsi="Times New Roman" w:cs="Times New Roman"/>
                <w:b w:val="0"/>
                <w:color w:val="auto"/>
                <w:sz w:val="20"/>
                <w:szCs w:val="20"/>
                <w:highlight w:val="yellow"/>
              </w:rPr>
            </w:pPr>
            <w:r w:rsidRPr="00616BA1">
              <w:rPr>
                <w:rFonts w:ascii="Times New Roman" w:eastAsia="Times New Roman" w:hAnsi="Times New Roman" w:cs="Times New Roman"/>
                <w:b w:val="0"/>
                <w:color w:val="auto"/>
                <w:sz w:val="20"/>
                <w:szCs w:val="20"/>
              </w:rPr>
              <w:t>Akcīzes nodokļa paaugstināšana alkoholiskajiem dzērieniem un alum</w:t>
            </w:r>
          </w:p>
        </w:tc>
        <w:tc>
          <w:tcPr>
            <w:tcW w:w="992" w:type="dxa"/>
            <w:vAlign w:val="center"/>
          </w:tcPr>
          <w:p w14:paraId="10313F4F"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+5,5</w:t>
            </w:r>
          </w:p>
        </w:tc>
        <w:tc>
          <w:tcPr>
            <w:tcW w:w="992" w:type="dxa"/>
            <w:vAlign w:val="center"/>
          </w:tcPr>
          <w:p w14:paraId="4C5676EA"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+5,6</w:t>
            </w:r>
          </w:p>
        </w:tc>
        <w:tc>
          <w:tcPr>
            <w:tcW w:w="851" w:type="dxa"/>
            <w:vAlign w:val="center"/>
          </w:tcPr>
          <w:p w14:paraId="2C1CD835"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+0,9</w:t>
            </w:r>
          </w:p>
        </w:tc>
        <w:tc>
          <w:tcPr>
            <w:tcW w:w="850" w:type="dxa"/>
            <w:vAlign w:val="center"/>
          </w:tcPr>
          <w:p w14:paraId="699F43FD"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616BA1" w:rsidRPr="00616BA1" w14:paraId="1276F132"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0A9DE969" w14:textId="0B1A3E69" w:rsidR="00CE6BCD" w:rsidRPr="00616BA1" w:rsidRDefault="00CE6BCD" w:rsidP="00D4339B">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Administrējot degvielas ar samazināto akcīzes nodokļa likmi piešķiršanu 2017./2018.saimnieciskajam gadam un turpmākajiem gadiem, ieņēmumos neiekļaus par iepriekšējo gadu </w:t>
            </w:r>
            <w:r w:rsidR="00D4339B" w:rsidRPr="00616BA1">
              <w:rPr>
                <w:rFonts w:ascii="Times New Roman" w:eastAsia="Times New Roman" w:hAnsi="Times New Roman" w:cs="Times New Roman"/>
                <w:b w:val="0"/>
                <w:color w:val="auto"/>
                <w:sz w:val="20"/>
                <w:szCs w:val="20"/>
              </w:rPr>
              <w:t>ES</w:t>
            </w:r>
            <w:r w:rsidRPr="00616BA1">
              <w:rPr>
                <w:rFonts w:ascii="Times New Roman" w:eastAsia="Times New Roman" w:hAnsi="Times New Roman" w:cs="Times New Roman"/>
                <w:b w:val="0"/>
                <w:color w:val="auto"/>
                <w:sz w:val="20"/>
                <w:szCs w:val="20"/>
              </w:rPr>
              <w:t xml:space="preserve"> atbalsta pasākumos "Bioloģiskā lauksaimniecība" un "Agrovide un klimats" saņemtās maksājumu summas</w:t>
            </w:r>
          </w:p>
        </w:tc>
        <w:tc>
          <w:tcPr>
            <w:tcW w:w="992" w:type="dxa"/>
            <w:vAlign w:val="center"/>
          </w:tcPr>
          <w:p w14:paraId="67100D80"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+0,9</w:t>
            </w:r>
          </w:p>
        </w:tc>
        <w:tc>
          <w:tcPr>
            <w:tcW w:w="992" w:type="dxa"/>
            <w:vAlign w:val="center"/>
          </w:tcPr>
          <w:p w14:paraId="6DE2D5B8"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+0,9</w:t>
            </w:r>
          </w:p>
        </w:tc>
        <w:tc>
          <w:tcPr>
            <w:tcW w:w="851" w:type="dxa"/>
            <w:vAlign w:val="center"/>
          </w:tcPr>
          <w:p w14:paraId="322DD51A"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23551798"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616BA1" w:rsidRPr="00616BA1" w14:paraId="5747FF50"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780FCFDF"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Alkoholisko dzērienu pieļaujamo zudumu normu pārskatīšana to uzglabāšanas, pārvadāšanas un ražošanas procesos</w:t>
            </w:r>
          </w:p>
        </w:tc>
        <w:tc>
          <w:tcPr>
            <w:tcW w:w="992" w:type="dxa"/>
            <w:vAlign w:val="center"/>
          </w:tcPr>
          <w:p w14:paraId="11A68D82"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+0,2</w:t>
            </w:r>
          </w:p>
        </w:tc>
        <w:tc>
          <w:tcPr>
            <w:tcW w:w="992" w:type="dxa"/>
            <w:vAlign w:val="center"/>
          </w:tcPr>
          <w:p w14:paraId="3D8F727E"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1" w:type="dxa"/>
            <w:vAlign w:val="center"/>
          </w:tcPr>
          <w:p w14:paraId="43282371"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0" w:type="dxa"/>
            <w:vAlign w:val="center"/>
          </w:tcPr>
          <w:p w14:paraId="75E46D74"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616BA1" w:rsidRPr="00616BA1" w14:paraId="77546486"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001A89CA"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Akcīzes nodokļa piemērošana elektroniskās smēķēšanas ierīču uzpildes šķidrumiem</w:t>
            </w:r>
          </w:p>
        </w:tc>
        <w:tc>
          <w:tcPr>
            <w:tcW w:w="992" w:type="dxa"/>
            <w:vAlign w:val="center"/>
          </w:tcPr>
          <w:p w14:paraId="1524C92D"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+0,3</w:t>
            </w:r>
          </w:p>
        </w:tc>
        <w:tc>
          <w:tcPr>
            <w:tcW w:w="992" w:type="dxa"/>
            <w:vAlign w:val="center"/>
          </w:tcPr>
          <w:p w14:paraId="3F467F11"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1" w:type="dxa"/>
            <w:vAlign w:val="center"/>
          </w:tcPr>
          <w:p w14:paraId="0E858E78"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c>
          <w:tcPr>
            <w:tcW w:w="850" w:type="dxa"/>
            <w:vAlign w:val="center"/>
          </w:tcPr>
          <w:p w14:paraId="34B74EBC"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616BA1" w:rsidRPr="00616BA1" w14:paraId="7803F1CB"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7BA16DE6"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Akcīzes nodokļa un PVN atbrīvojumu ierobežojumu pārskatīšana diplomātiem un starptautisko organizāciju personālam</w:t>
            </w:r>
          </w:p>
        </w:tc>
        <w:tc>
          <w:tcPr>
            <w:tcW w:w="992" w:type="dxa"/>
            <w:vAlign w:val="center"/>
          </w:tcPr>
          <w:p w14:paraId="7B020F41"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+0,2</w:t>
            </w:r>
          </w:p>
        </w:tc>
        <w:tc>
          <w:tcPr>
            <w:tcW w:w="992" w:type="dxa"/>
            <w:vAlign w:val="center"/>
          </w:tcPr>
          <w:p w14:paraId="191036D0"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vAlign w:val="center"/>
          </w:tcPr>
          <w:p w14:paraId="1E138954"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6E882518"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616BA1" w:rsidRPr="00616BA1" w14:paraId="62D128D5"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4A5FDE20"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Starptautisko kravas autopārvadājumu transporta līdzekļu degvielas tvertņu kontroles pastiprināšana, kas mazina iespējas Latvijas teritorijā noliet, uzglabāt un tirgot ar atvieglojumiem ievesto degvielu </w:t>
            </w:r>
          </w:p>
        </w:tc>
        <w:tc>
          <w:tcPr>
            <w:tcW w:w="992" w:type="dxa"/>
            <w:vAlign w:val="center"/>
          </w:tcPr>
          <w:p w14:paraId="5AD94252"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+0,3</w:t>
            </w:r>
          </w:p>
        </w:tc>
        <w:tc>
          <w:tcPr>
            <w:tcW w:w="992" w:type="dxa"/>
            <w:vAlign w:val="center"/>
          </w:tcPr>
          <w:p w14:paraId="5BD235AE"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vAlign w:val="center"/>
          </w:tcPr>
          <w:p w14:paraId="2A6231A6"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14177431"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616BA1" w:rsidRPr="00616BA1" w14:paraId="70219CD3" w14:textId="77777777" w:rsidTr="00F3248F">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0D185397"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Ar 2017./2018.saimniecisko gadu atceltas tiesības iegādāties dīzeļdegvielu ar samazināto akcīzes nodokļa likmi par zemes platībām, kurās audzē kukurūzu biogāzes ieguvei</w:t>
            </w:r>
          </w:p>
        </w:tc>
        <w:tc>
          <w:tcPr>
            <w:tcW w:w="992" w:type="dxa"/>
            <w:vAlign w:val="center"/>
          </w:tcPr>
          <w:p w14:paraId="794B8405"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+0,1</w:t>
            </w:r>
          </w:p>
        </w:tc>
        <w:tc>
          <w:tcPr>
            <w:tcW w:w="992" w:type="dxa"/>
            <w:vAlign w:val="center"/>
          </w:tcPr>
          <w:p w14:paraId="6114AE8C"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+0,1</w:t>
            </w:r>
          </w:p>
        </w:tc>
        <w:tc>
          <w:tcPr>
            <w:tcW w:w="851" w:type="dxa"/>
            <w:vAlign w:val="center"/>
          </w:tcPr>
          <w:p w14:paraId="71791F14"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4EAA2386" w14:textId="77777777" w:rsidR="00CE6BCD" w:rsidRPr="00616BA1" w:rsidRDefault="00CE6BCD" w:rsidP="00F3248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rPr>
            </w:pPr>
          </w:p>
        </w:tc>
      </w:tr>
      <w:tr w:rsidR="00616BA1" w:rsidRPr="00616BA1" w14:paraId="378EBF00" w14:textId="77777777" w:rsidTr="00F32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548A3FFD" w14:textId="77777777" w:rsidR="00CE6BCD" w:rsidRPr="00616BA1" w:rsidRDefault="00CE6BCD" w:rsidP="00616BA1">
            <w:pPr>
              <w:jc w:val="right"/>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Izmaiņu ietekme kopā:</w:t>
            </w:r>
          </w:p>
        </w:tc>
        <w:tc>
          <w:tcPr>
            <w:tcW w:w="992" w:type="dxa"/>
            <w:vAlign w:val="center"/>
          </w:tcPr>
          <w:p w14:paraId="56C5B822"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+12,9</w:t>
            </w:r>
          </w:p>
        </w:tc>
        <w:tc>
          <w:tcPr>
            <w:tcW w:w="992" w:type="dxa"/>
            <w:vAlign w:val="center"/>
          </w:tcPr>
          <w:p w14:paraId="7A35C76A"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+12,4</w:t>
            </w:r>
          </w:p>
        </w:tc>
        <w:tc>
          <w:tcPr>
            <w:tcW w:w="851" w:type="dxa"/>
            <w:vAlign w:val="center"/>
          </w:tcPr>
          <w:p w14:paraId="7C303041"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+2,6</w:t>
            </w:r>
          </w:p>
        </w:tc>
        <w:tc>
          <w:tcPr>
            <w:tcW w:w="850" w:type="dxa"/>
            <w:vAlign w:val="center"/>
          </w:tcPr>
          <w:p w14:paraId="5FB82C77" w14:textId="77777777" w:rsidR="00CE6BCD" w:rsidRPr="00616BA1" w:rsidRDefault="00CE6BCD" w:rsidP="00F3248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r>
    </w:tbl>
    <w:p w14:paraId="6104DE6A" w14:textId="4C76990A" w:rsidR="00CE6BCD" w:rsidRPr="00CE6BCD" w:rsidRDefault="00CE6BCD" w:rsidP="00D4339B">
      <w:pPr>
        <w:spacing w:after="0" w:line="240" w:lineRule="auto"/>
        <w:jc w:val="both"/>
        <w:rPr>
          <w:rFonts w:ascii="Times New Roman" w:eastAsia="Times New Roman" w:hAnsi="Times New Roman" w:cs="Times New Roman"/>
          <w:sz w:val="24"/>
          <w:szCs w:val="20"/>
        </w:rPr>
      </w:pPr>
    </w:p>
    <w:p w14:paraId="12D57BAD" w14:textId="77777777" w:rsidR="00CE6BCD" w:rsidRPr="00CE6BCD" w:rsidRDefault="00CE6BCD" w:rsidP="00CE6BCD">
      <w:pPr>
        <w:spacing w:before="120" w:after="12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Nekustamā īpašuma nodoklis</w:t>
      </w:r>
    </w:p>
    <w:p w14:paraId="22F6564B" w14:textId="54A7B6D3" w:rsidR="00CE6BCD" w:rsidRPr="00CE6BCD" w:rsidRDefault="00D4339B" w:rsidP="00D4339B">
      <w:pPr>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No 2012.</w:t>
      </w:r>
      <w:r w:rsidR="00CE6BCD" w:rsidRPr="00CE6BCD">
        <w:rPr>
          <w:rFonts w:ascii="Times New Roman" w:eastAsia="Times New Roman" w:hAnsi="Times New Roman" w:cs="Times New Roman"/>
          <w:sz w:val="24"/>
          <w:szCs w:val="20"/>
        </w:rPr>
        <w:t>gada pašvaldībām ir tiesības ar saistošiem noteikumiem noteikt nodokļa likmi no 0,2% līdz 3,0% no nekustamā īpašuma kadastrālās vērtības. Nodokļa likme var pārsniegt 1,5% robežu tikai gadījumos, ja nekustamais īpašums netiek apsaimniekots atbilstoši normatīvajos aktos noteiktajai kārtībai. Pašvaldības arī ir tiesīgas turpināt piemērot nodokļa apmēra pieauguma ierobežojumu zemei vai saglabāt nodokļa apmēru zemei iepriekšējā taksācijas gada līmenī, kā arī noteikt ierobežojuma apmē</w:t>
      </w:r>
      <w:r>
        <w:rPr>
          <w:rFonts w:ascii="Times New Roman" w:eastAsia="Times New Roman" w:hAnsi="Times New Roman" w:cs="Times New Roman"/>
          <w:sz w:val="24"/>
          <w:szCs w:val="20"/>
        </w:rPr>
        <w:t>ru un piemērošanas nosacījumus.</w:t>
      </w:r>
    </w:p>
    <w:p w14:paraId="5F5948CC" w14:textId="6559A3CF" w:rsidR="00CE6BCD" w:rsidRPr="00CE6BCD" w:rsidRDefault="00CE6BCD" w:rsidP="00D4339B">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Pēdējās būtiskākās likumdošanas</w:t>
      </w:r>
      <w:r w:rsidR="00D4339B">
        <w:rPr>
          <w:rFonts w:ascii="Times New Roman" w:eastAsia="Times New Roman" w:hAnsi="Times New Roman" w:cs="Times New Roman"/>
          <w:sz w:val="24"/>
          <w:szCs w:val="20"/>
        </w:rPr>
        <w:t xml:space="preserve"> izmaiņas stājās spēkā ar 2016.gada 1.</w:t>
      </w:r>
      <w:r w:rsidRPr="00CE6BCD">
        <w:rPr>
          <w:rFonts w:ascii="Times New Roman" w:eastAsia="Times New Roman" w:hAnsi="Times New Roman" w:cs="Times New Roman"/>
          <w:sz w:val="24"/>
          <w:szCs w:val="20"/>
        </w:rPr>
        <w:t>janvāri, nosakot, ka lauku zemes, kuru platība pārsniedz 3 ha, kadastrālās vērtības pieaugums nedrīkst pārsniegt 10% no iepriekšējā taksācijas gada noteiktās lauku zemes kadastrālās vērtības.</w:t>
      </w:r>
    </w:p>
    <w:p w14:paraId="7F4A93DF" w14:textId="77777777" w:rsidR="00CE6BCD" w:rsidRPr="00CE6BCD" w:rsidRDefault="00CE6BCD" w:rsidP="00CE6BCD">
      <w:pPr>
        <w:spacing w:after="120" w:line="240" w:lineRule="auto"/>
        <w:jc w:val="both"/>
        <w:rPr>
          <w:rFonts w:ascii="Times New Roman" w:eastAsia="Times New Roman" w:hAnsi="Times New Roman" w:cs="Times New Roman"/>
          <w:sz w:val="24"/>
          <w:szCs w:val="20"/>
          <w:highlight w:val="yellow"/>
        </w:rPr>
      </w:pPr>
    </w:p>
    <w:p w14:paraId="6B17C314" w14:textId="77777777" w:rsidR="00CE6BCD" w:rsidRPr="00CE6BCD" w:rsidRDefault="00CE6BCD" w:rsidP="00CE6BCD">
      <w:pPr>
        <w:spacing w:before="120" w:after="12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Iedzīvotāju ienākuma nodoklis</w:t>
      </w:r>
    </w:p>
    <w:p w14:paraId="09A3B3DB" w14:textId="02AC2BA7" w:rsidR="00CE6BCD" w:rsidRPr="00CE6BCD" w:rsidRDefault="00D4339B" w:rsidP="00D4339B">
      <w:pPr>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IIN</w:t>
      </w:r>
      <w:r w:rsidR="00CE6BCD" w:rsidRPr="00CE6BCD">
        <w:rPr>
          <w:rFonts w:ascii="Times New Roman" w:eastAsia="Times New Roman" w:hAnsi="Times New Roman" w:cs="Times New Roman"/>
          <w:sz w:val="24"/>
          <w:szCs w:val="20"/>
        </w:rPr>
        <w:t xml:space="preserve"> ieņēmumus galvenokārt ietekmē tautsaimniecībā nodarbināto skaits, nodarbināto ienākumi, ar </w:t>
      </w:r>
      <w:r>
        <w:rPr>
          <w:rFonts w:ascii="Times New Roman" w:eastAsia="Times New Roman" w:hAnsi="Times New Roman" w:cs="Times New Roman"/>
          <w:sz w:val="24"/>
          <w:szCs w:val="20"/>
        </w:rPr>
        <w:t>IIN</w:t>
      </w:r>
      <w:r w:rsidR="00CE6BCD" w:rsidRPr="00CE6BCD">
        <w:rPr>
          <w:rFonts w:ascii="Times New Roman" w:eastAsia="Times New Roman" w:hAnsi="Times New Roman" w:cs="Times New Roman"/>
          <w:sz w:val="24"/>
          <w:szCs w:val="20"/>
        </w:rPr>
        <w:t xml:space="preserve"> neapliekamā minimuma un atvieglojumu apmērs, minimālā darba alga, kā arī ieviestās likumdošanas izmaiņas. </w:t>
      </w:r>
    </w:p>
    <w:p w14:paraId="68378716" w14:textId="6170BD63" w:rsidR="00CE6BCD" w:rsidRPr="00CE6BCD" w:rsidRDefault="00CE6BCD" w:rsidP="00D4339B">
      <w:pPr>
        <w:spacing w:after="0" w:line="240" w:lineRule="auto"/>
        <w:ind w:firstLine="567"/>
        <w:jc w:val="both"/>
        <w:rPr>
          <w:rFonts w:ascii="Times New Roman" w:eastAsia="Times New Roman" w:hAnsi="Times New Roman" w:cs="Times New Roman"/>
          <w:sz w:val="24"/>
          <w:szCs w:val="24"/>
          <w:highlight w:val="yellow"/>
        </w:rPr>
      </w:pPr>
      <w:r w:rsidRPr="00CE6BCD">
        <w:rPr>
          <w:rFonts w:ascii="Times New Roman" w:eastAsia="Times New Roman" w:hAnsi="Times New Roman" w:cs="Times New Roman"/>
          <w:iCs/>
          <w:sz w:val="24"/>
          <w:szCs w:val="20"/>
        </w:rPr>
        <w:lastRenderedPageBreak/>
        <w:t xml:space="preserve">Būtiskākās izmaiņas, kas ietekmēs </w:t>
      </w:r>
      <w:r w:rsidR="00D4339B">
        <w:rPr>
          <w:rFonts w:ascii="Times New Roman" w:eastAsia="Times New Roman" w:hAnsi="Times New Roman" w:cs="Times New Roman"/>
          <w:iCs/>
          <w:sz w:val="24"/>
          <w:szCs w:val="20"/>
        </w:rPr>
        <w:t>IIN</w:t>
      </w:r>
      <w:r w:rsidRPr="00CE6BCD">
        <w:rPr>
          <w:rFonts w:ascii="Times New Roman" w:eastAsia="Times New Roman" w:hAnsi="Times New Roman" w:cs="Times New Roman"/>
          <w:iCs/>
          <w:sz w:val="24"/>
          <w:szCs w:val="20"/>
        </w:rPr>
        <w:t xml:space="preserve"> ieņēmumus 2017.gadā, saistāmas ar </w:t>
      </w:r>
      <w:r w:rsidRPr="00CE6BCD">
        <w:rPr>
          <w:rFonts w:ascii="Times New Roman" w:eastAsia="Times New Roman" w:hAnsi="Times New Roman" w:cs="Times New Roman"/>
          <w:sz w:val="24"/>
          <w:szCs w:val="24"/>
        </w:rPr>
        <w:t>minimālās mēneša d</w:t>
      </w:r>
      <w:r w:rsidR="00D4339B">
        <w:rPr>
          <w:rFonts w:ascii="Times New Roman" w:eastAsia="Times New Roman" w:hAnsi="Times New Roman" w:cs="Times New Roman"/>
          <w:sz w:val="24"/>
          <w:szCs w:val="24"/>
        </w:rPr>
        <w:t xml:space="preserve">arba algas palielināšanu no 370 </w:t>
      </w:r>
      <w:r w:rsidRPr="00CE6BCD">
        <w:rPr>
          <w:rFonts w:ascii="Times New Roman" w:eastAsia="Times New Roman" w:hAnsi="Times New Roman" w:cs="Times New Roman"/>
          <w:i/>
          <w:sz w:val="24"/>
          <w:szCs w:val="24"/>
        </w:rPr>
        <w:t>euro</w:t>
      </w:r>
      <w:r w:rsidR="00D4339B">
        <w:rPr>
          <w:rFonts w:ascii="Times New Roman" w:eastAsia="Times New Roman" w:hAnsi="Times New Roman" w:cs="Times New Roman"/>
          <w:sz w:val="24"/>
          <w:szCs w:val="24"/>
        </w:rPr>
        <w:t xml:space="preserve"> līdz 380 </w:t>
      </w:r>
      <w:r w:rsidRPr="00CE6BCD">
        <w:rPr>
          <w:rFonts w:ascii="Times New Roman" w:eastAsia="Times New Roman" w:hAnsi="Times New Roman" w:cs="Times New Roman"/>
          <w:i/>
          <w:sz w:val="24"/>
          <w:szCs w:val="24"/>
        </w:rPr>
        <w:t>euro</w:t>
      </w:r>
      <w:r w:rsidRPr="00CE6BCD">
        <w:rPr>
          <w:rFonts w:ascii="Times New Roman" w:eastAsia="Times New Roman" w:hAnsi="Times New Roman" w:cs="Times New Roman"/>
          <w:sz w:val="24"/>
          <w:szCs w:val="24"/>
        </w:rPr>
        <w:t>.</w:t>
      </w:r>
    </w:p>
    <w:p w14:paraId="35464F7A" w14:textId="5033D9E3" w:rsidR="00CE6BCD" w:rsidRPr="00CE6BCD" w:rsidRDefault="00CE6BCD" w:rsidP="00D4339B">
      <w:pPr>
        <w:spacing w:after="0" w:line="240" w:lineRule="auto"/>
        <w:ind w:firstLine="567"/>
        <w:jc w:val="both"/>
        <w:rPr>
          <w:rFonts w:ascii="Times New Roman" w:eastAsia="Times New Roman" w:hAnsi="Times New Roman" w:cs="Times New Roman"/>
          <w:iCs/>
          <w:sz w:val="24"/>
          <w:szCs w:val="20"/>
        </w:rPr>
      </w:pPr>
      <w:r w:rsidRPr="00CE6BCD">
        <w:rPr>
          <w:rFonts w:ascii="Times New Roman" w:eastAsia="Times New Roman" w:hAnsi="Times New Roman" w:cs="Times New Roman"/>
          <w:iCs/>
          <w:sz w:val="24"/>
          <w:szCs w:val="20"/>
        </w:rPr>
        <w:t xml:space="preserve">Papildus </w:t>
      </w:r>
      <w:r w:rsidR="00D4339B">
        <w:rPr>
          <w:rFonts w:ascii="Times New Roman" w:eastAsia="Times New Roman" w:hAnsi="Times New Roman" w:cs="Times New Roman"/>
          <w:iCs/>
          <w:sz w:val="24"/>
          <w:szCs w:val="20"/>
        </w:rPr>
        <w:t>IIN ieņēmumus 2017.</w:t>
      </w:r>
      <w:r w:rsidRPr="00CE6BCD">
        <w:rPr>
          <w:rFonts w:ascii="Times New Roman" w:eastAsia="Times New Roman" w:hAnsi="Times New Roman" w:cs="Times New Roman"/>
          <w:iCs/>
          <w:sz w:val="24"/>
          <w:szCs w:val="20"/>
        </w:rPr>
        <w:t>gadā ietekmēs arī citas likumdošanas izma</w:t>
      </w:r>
      <w:r w:rsidR="00D4339B">
        <w:rPr>
          <w:rFonts w:ascii="Times New Roman" w:eastAsia="Times New Roman" w:hAnsi="Times New Roman" w:cs="Times New Roman"/>
          <w:iCs/>
          <w:sz w:val="24"/>
          <w:szCs w:val="20"/>
        </w:rPr>
        <w:t>iņas, kas stājas spēkā ar 2017.gada 1.</w:t>
      </w:r>
      <w:r w:rsidRPr="00CE6BCD">
        <w:rPr>
          <w:rFonts w:ascii="Times New Roman" w:eastAsia="Times New Roman" w:hAnsi="Times New Roman" w:cs="Times New Roman"/>
          <w:iCs/>
          <w:sz w:val="24"/>
          <w:szCs w:val="20"/>
        </w:rPr>
        <w:t>janvāri:</w:t>
      </w:r>
    </w:p>
    <w:p w14:paraId="6563D828" w14:textId="6AF9938E" w:rsidR="00CE6BCD" w:rsidRPr="00CE6BCD" w:rsidRDefault="00D4339B" w:rsidP="0024257A">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IIN</w:t>
      </w:r>
      <w:r w:rsidR="00CE6BCD" w:rsidRPr="00CE6BCD">
        <w:rPr>
          <w:rFonts w:ascii="Times New Roman" w:eastAsia="Times New Roman" w:hAnsi="Times New Roman" w:cs="Times New Roman"/>
          <w:sz w:val="24"/>
          <w:szCs w:val="24"/>
        </w:rPr>
        <w:t xml:space="preserve"> atvieglojuma ieviešana vienai no koplīgumā noteiktajām darbinieku sociālajām garantijām;</w:t>
      </w:r>
    </w:p>
    <w:p w14:paraId="42685265" w14:textId="34E3F1D7" w:rsidR="00CE6BCD" w:rsidRPr="00CE6BCD" w:rsidRDefault="00D4339B" w:rsidP="0024257A">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IIN</w:t>
      </w:r>
      <w:r w:rsidR="00CE6BCD" w:rsidRPr="00CE6BCD">
        <w:rPr>
          <w:rFonts w:ascii="Times New Roman" w:eastAsia="Times New Roman" w:hAnsi="Times New Roman" w:cs="Times New Roman"/>
          <w:sz w:val="24"/>
          <w:szCs w:val="24"/>
        </w:rPr>
        <w:t xml:space="preserve"> regulējuma maiņa attiecībā uz izmaksām no privātajiem pensiju fondiem, ierobežojot atvieglojuma piemērošanu nodokļu plānošanas gadījumā, nosakot, ka ieguldījumam pensiju fondā jābūt vismaz vienu gadu, savādāk nodokļu maksātājam jāatmaksā saņemtā </w:t>
      </w:r>
      <w:r w:rsidR="0035708E">
        <w:rPr>
          <w:rFonts w:ascii="Times New Roman" w:eastAsia="Times New Roman" w:hAnsi="Times New Roman" w:cs="Times New Roman"/>
          <w:sz w:val="24"/>
          <w:szCs w:val="24"/>
        </w:rPr>
        <w:t>IIN</w:t>
      </w:r>
      <w:r w:rsidR="00CE6BCD" w:rsidRPr="00CE6BCD">
        <w:rPr>
          <w:rFonts w:ascii="Times New Roman" w:eastAsia="Times New Roman" w:hAnsi="Times New Roman" w:cs="Times New Roman"/>
          <w:sz w:val="24"/>
          <w:szCs w:val="24"/>
        </w:rPr>
        <w:t xml:space="preserve"> atmaksa par attaisnotajiem izdevumiem;</w:t>
      </w:r>
    </w:p>
    <w:p w14:paraId="372DBAB1" w14:textId="478CBBD5" w:rsidR="00CE6BCD" w:rsidRPr="00CE6BCD" w:rsidRDefault="00CE6BCD" w:rsidP="0024257A">
      <w:pPr>
        <w:numPr>
          <w:ilvl w:val="0"/>
          <w:numId w:val="12"/>
        </w:numPr>
        <w:spacing w:after="0" w:line="240" w:lineRule="auto"/>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lang w:eastAsia="lv-LV"/>
        </w:rPr>
        <w:t>nodokļa avansa i</w:t>
      </w:r>
      <w:r w:rsidR="0035708E">
        <w:rPr>
          <w:rFonts w:ascii="Times New Roman" w:eastAsia="Times New Roman" w:hAnsi="Times New Roman" w:cs="Times New Roman"/>
          <w:sz w:val="24"/>
          <w:szCs w:val="24"/>
          <w:lang w:eastAsia="lv-LV"/>
        </w:rPr>
        <w:t xml:space="preserve">eviešana taksometru nozarei 130 </w:t>
      </w:r>
      <w:r w:rsidRPr="00CE6BCD">
        <w:rPr>
          <w:rFonts w:ascii="Times New Roman" w:eastAsia="Times New Roman" w:hAnsi="Times New Roman" w:cs="Times New Roman"/>
          <w:i/>
          <w:spacing w:val="-6"/>
          <w:sz w:val="24"/>
          <w:szCs w:val="24"/>
          <w:lang w:eastAsia="lv-LV"/>
        </w:rPr>
        <w:t>euro</w:t>
      </w:r>
      <w:r w:rsidRPr="00CE6BCD">
        <w:rPr>
          <w:rFonts w:ascii="Times New Roman" w:eastAsia="Times New Roman" w:hAnsi="Times New Roman" w:cs="Times New Roman"/>
          <w:sz w:val="24"/>
          <w:szCs w:val="24"/>
          <w:lang w:eastAsia="lv-LV"/>
        </w:rPr>
        <w:t xml:space="preserve"> apmērā</w:t>
      </w:r>
      <w:r w:rsidRPr="00CE6BCD">
        <w:rPr>
          <w:rFonts w:ascii="Times New Roman" w:eastAsia="Times New Roman" w:hAnsi="Times New Roman" w:cs="Times New Roman"/>
          <w:sz w:val="24"/>
          <w:szCs w:val="24"/>
        </w:rPr>
        <w:t>;</w:t>
      </w:r>
    </w:p>
    <w:p w14:paraId="705FF582" w14:textId="77777777" w:rsidR="00CE6BCD" w:rsidRPr="00CE6BCD" w:rsidRDefault="00CE6BCD" w:rsidP="0024257A">
      <w:pPr>
        <w:numPr>
          <w:ilvl w:val="0"/>
          <w:numId w:val="12"/>
        </w:numPr>
        <w:spacing w:after="0" w:line="240" w:lineRule="auto"/>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nodokļu nemaksāšanas risku ierobežošana transportlīdzekļu apkopes un remonta nozarē, kad kā apdrošināšanas atlīdzības veids tiek izvēlēts remonta pakalpojuma kompensācija;</w:t>
      </w:r>
    </w:p>
    <w:p w14:paraId="2C5A7AEF" w14:textId="77777777" w:rsidR="00CE6BCD" w:rsidRPr="00CE6BCD" w:rsidRDefault="00CE6BCD" w:rsidP="0024257A">
      <w:pPr>
        <w:numPr>
          <w:ilvl w:val="0"/>
          <w:numId w:val="12"/>
        </w:numPr>
        <w:spacing w:after="0" w:line="240" w:lineRule="auto"/>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galvenā būvdarbu veicēja līdzatbildības ieviešana par apakšuzņēmēja darba ņēmēju, kas nodarbināts galvenā būvdarbu veicēja būvobjektā, nodokļu nomaksu;</w:t>
      </w:r>
    </w:p>
    <w:p w14:paraId="262ADC4C" w14:textId="2E715977" w:rsidR="00CE6BCD" w:rsidRPr="00CE6BCD" w:rsidRDefault="00CE6BCD" w:rsidP="0024257A">
      <w:pPr>
        <w:numPr>
          <w:ilvl w:val="0"/>
          <w:numId w:val="12"/>
        </w:numPr>
        <w:spacing w:after="0" w:line="240" w:lineRule="auto"/>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lang w:eastAsia="lv-LV"/>
        </w:rPr>
        <w:t xml:space="preserve">ātra, ērta un efektīva risinājumu ieviešana piedziņas vēršanai uz naudas līdzekļiem parādnieku banku kontos, nodrošinot </w:t>
      </w:r>
      <w:r w:rsidR="0035708E">
        <w:rPr>
          <w:rFonts w:ascii="Times New Roman" w:eastAsia="Times New Roman" w:hAnsi="Times New Roman" w:cs="Times New Roman"/>
          <w:sz w:val="24"/>
          <w:szCs w:val="24"/>
          <w:lang w:eastAsia="lv-LV"/>
        </w:rPr>
        <w:t>VID</w:t>
      </w:r>
      <w:r w:rsidRPr="00CE6BCD">
        <w:rPr>
          <w:rFonts w:ascii="Times New Roman" w:eastAsia="Times New Roman" w:hAnsi="Times New Roman" w:cs="Times New Roman"/>
          <w:sz w:val="24"/>
          <w:szCs w:val="24"/>
          <w:lang w:eastAsia="lv-LV"/>
        </w:rPr>
        <w:t xml:space="preserve"> un kredītiestāžu elektronisko datu apmaiņu</w:t>
      </w:r>
      <w:r w:rsidRPr="00CE6BCD">
        <w:rPr>
          <w:rFonts w:ascii="Times New Roman" w:eastAsia="Times New Roman" w:hAnsi="Times New Roman" w:cs="Times New Roman"/>
          <w:sz w:val="24"/>
          <w:szCs w:val="24"/>
        </w:rPr>
        <w:t>;</w:t>
      </w:r>
    </w:p>
    <w:p w14:paraId="55520F4C" w14:textId="484BEC45" w:rsidR="00CE6BCD" w:rsidRPr="00CE6BCD" w:rsidRDefault="00CE6BCD" w:rsidP="0024257A">
      <w:pPr>
        <w:numPr>
          <w:ilvl w:val="0"/>
          <w:numId w:val="12"/>
        </w:numPr>
        <w:spacing w:after="0" w:line="240" w:lineRule="auto"/>
        <w:jc w:val="both"/>
        <w:rPr>
          <w:rFonts w:ascii="Times New Roman" w:eastAsia="Times New Roman" w:hAnsi="Times New Roman" w:cs="Times New Roman"/>
          <w:sz w:val="24"/>
          <w:szCs w:val="24"/>
          <w:lang w:eastAsia="lv-LV"/>
        </w:rPr>
      </w:pPr>
      <w:r w:rsidRPr="00CE6BCD">
        <w:rPr>
          <w:rFonts w:ascii="Times New Roman" w:eastAsia="Times New Roman" w:hAnsi="Times New Roman" w:cs="Times New Roman"/>
          <w:sz w:val="24"/>
          <w:szCs w:val="24"/>
          <w:lang w:eastAsia="lv-LV"/>
        </w:rPr>
        <w:t>mēneša minimālās d</w:t>
      </w:r>
      <w:r w:rsidR="0035708E">
        <w:rPr>
          <w:rFonts w:ascii="Times New Roman" w:eastAsia="Times New Roman" w:hAnsi="Times New Roman" w:cs="Times New Roman"/>
          <w:sz w:val="24"/>
          <w:szCs w:val="24"/>
          <w:lang w:eastAsia="lv-LV"/>
        </w:rPr>
        <w:t xml:space="preserve">arba algas palielināšana par 10 </w:t>
      </w:r>
      <w:r w:rsidRPr="00CE6BCD">
        <w:rPr>
          <w:rFonts w:ascii="Times New Roman" w:eastAsia="Times New Roman" w:hAnsi="Times New Roman" w:cs="Times New Roman"/>
          <w:i/>
          <w:sz w:val="24"/>
          <w:szCs w:val="24"/>
          <w:lang w:eastAsia="lv-LV"/>
        </w:rPr>
        <w:t>euro</w:t>
      </w:r>
      <w:r w:rsidRPr="00CE6BCD">
        <w:rPr>
          <w:rFonts w:ascii="Times New Roman" w:eastAsia="Times New Roman" w:hAnsi="Times New Roman" w:cs="Times New Roman"/>
          <w:sz w:val="24"/>
          <w:szCs w:val="24"/>
        </w:rPr>
        <w:t>;</w:t>
      </w:r>
    </w:p>
    <w:p w14:paraId="4821BF95" w14:textId="77777777" w:rsidR="00CE6BCD" w:rsidRPr="00CE6BCD" w:rsidRDefault="00CE6BCD" w:rsidP="0024257A">
      <w:pPr>
        <w:numPr>
          <w:ilvl w:val="0"/>
          <w:numId w:val="12"/>
        </w:numPr>
        <w:spacing w:after="0" w:line="240" w:lineRule="auto"/>
        <w:jc w:val="both"/>
        <w:rPr>
          <w:rFonts w:ascii="Times New Roman" w:eastAsia="Times New Roman" w:hAnsi="Times New Roman" w:cs="Times New Roman"/>
          <w:sz w:val="24"/>
          <w:szCs w:val="24"/>
          <w:lang w:eastAsia="lv-LV"/>
        </w:rPr>
      </w:pPr>
      <w:r w:rsidRPr="00CE6BCD">
        <w:rPr>
          <w:rFonts w:ascii="Times New Roman" w:eastAsia="Times New Roman" w:hAnsi="Times New Roman" w:cs="Times New Roman"/>
          <w:sz w:val="24"/>
          <w:szCs w:val="24"/>
          <w:lang w:eastAsia="lv-LV"/>
        </w:rPr>
        <w:t>Jaunuzņēmumu darbības atbalsta likuma ieviešana, kura mērķis ir veicināt jaunuzņēmumu veidošanos Latvijā, līdz ar to sekmējot pētniecību un inovatīvu ideju, produktu vai procesu izmantošanu saimnieciskajā darbībā;</w:t>
      </w:r>
    </w:p>
    <w:p w14:paraId="51BFA353" w14:textId="539F5344" w:rsidR="00CE6BCD" w:rsidRPr="00CE6BCD" w:rsidRDefault="00CE6BCD" w:rsidP="0024257A">
      <w:pPr>
        <w:numPr>
          <w:ilvl w:val="0"/>
          <w:numId w:val="12"/>
        </w:numPr>
        <w:spacing w:after="0" w:line="240" w:lineRule="auto"/>
        <w:jc w:val="both"/>
        <w:rPr>
          <w:rFonts w:ascii="Times New Roman" w:eastAsia="Times New Roman" w:hAnsi="Times New Roman" w:cs="Times New Roman"/>
          <w:sz w:val="24"/>
          <w:szCs w:val="24"/>
          <w:lang w:eastAsia="lv-LV"/>
        </w:rPr>
      </w:pPr>
      <w:r w:rsidRPr="00CE6BCD">
        <w:rPr>
          <w:rFonts w:ascii="Times New Roman" w:eastAsia="Times New Roman" w:hAnsi="Times New Roman" w:cs="Times New Roman"/>
          <w:sz w:val="24"/>
          <w:szCs w:val="24"/>
          <w:lang w:eastAsia="lv-LV"/>
        </w:rPr>
        <w:t>noteikts, ka mikrouzņēmumam, kas ar vēlas iegūt vai atgūt (ja statuss nav zaudēts šajā likumā noteiktajos gadījumos) mikrouzņēmumu nodokļa maksātāja statusu, vai arī atteikties no mikrouzņēmumu nodokļa</w:t>
      </w:r>
      <w:r w:rsidR="0035708E">
        <w:rPr>
          <w:rFonts w:ascii="Times New Roman" w:eastAsia="Times New Roman" w:hAnsi="Times New Roman" w:cs="Times New Roman"/>
          <w:sz w:val="24"/>
          <w:szCs w:val="24"/>
          <w:lang w:eastAsia="lv-LV"/>
        </w:rPr>
        <w:t xml:space="preserve"> maksātāja statusa, jāiesniedz </w:t>
      </w:r>
      <w:r w:rsidRPr="00CE6BCD">
        <w:rPr>
          <w:rFonts w:ascii="Times New Roman" w:eastAsia="Times New Roman" w:hAnsi="Times New Roman" w:cs="Times New Roman"/>
          <w:sz w:val="24"/>
          <w:szCs w:val="24"/>
          <w:lang w:eastAsia="lv-LV"/>
        </w:rPr>
        <w:t xml:space="preserve">attiecīgs iesniegums </w:t>
      </w:r>
      <w:r w:rsidR="0035708E">
        <w:rPr>
          <w:rFonts w:ascii="Times New Roman" w:eastAsia="Times New Roman" w:hAnsi="Times New Roman" w:cs="Times New Roman"/>
          <w:sz w:val="24"/>
          <w:szCs w:val="24"/>
          <w:lang w:eastAsia="lv-LV"/>
        </w:rPr>
        <w:t>VID</w:t>
      </w:r>
      <w:r w:rsidRPr="00CE6BCD">
        <w:rPr>
          <w:rFonts w:ascii="Times New Roman" w:eastAsia="Times New Roman" w:hAnsi="Times New Roman" w:cs="Times New Roman"/>
          <w:sz w:val="24"/>
          <w:szCs w:val="24"/>
          <w:lang w:eastAsia="lv-LV"/>
        </w:rPr>
        <w:t xml:space="preserve"> līdz 2017.</w:t>
      </w:r>
      <w:r w:rsidR="0035708E">
        <w:rPr>
          <w:rFonts w:ascii="Times New Roman" w:eastAsia="Times New Roman" w:hAnsi="Times New Roman" w:cs="Times New Roman"/>
          <w:sz w:val="24"/>
          <w:szCs w:val="24"/>
          <w:lang w:eastAsia="lv-LV"/>
        </w:rPr>
        <w:t>gada 31.</w:t>
      </w:r>
      <w:r w:rsidRPr="00CE6BCD">
        <w:rPr>
          <w:rFonts w:ascii="Times New Roman" w:eastAsia="Times New Roman" w:hAnsi="Times New Roman" w:cs="Times New Roman"/>
          <w:sz w:val="24"/>
          <w:szCs w:val="24"/>
          <w:lang w:eastAsia="lv-LV"/>
        </w:rPr>
        <w:t>janvārim.</w:t>
      </w:r>
    </w:p>
    <w:p w14:paraId="7DAFCECD" w14:textId="4223A63D" w:rsidR="00CE6BCD" w:rsidRPr="00CE6BCD" w:rsidRDefault="0035708E" w:rsidP="00D4339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2017., 2018. un 2019.</w:t>
      </w:r>
      <w:r w:rsidR="00CE6BCD" w:rsidRPr="00CE6BCD">
        <w:rPr>
          <w:rFonts w:ascii="Times New Roman" w:eastAsia="Times New Roman" w:hAnsi="Times New Roman" w:cs="Times New Roman"/>
          <w:sz w:val="24"/>
          <w:szCs w:val="20"/>
        </w:rPr>
        <w:t xml:space="preserve">gada </w:t>
      </w:r>
      <w:r>
        <w:rPr>
          <w:rFonts w:ascii="Times New Roman" w:eastAsia="Times New Roman" w:hAnsi="Times New Roman" w:cs="Times New Roman"/>
          <w:sz w:val="24"/>
          <w:szCs w:val="20"/>
        </w:rPr>
        <w:t>IIN</w:t>
      </w:r>
      <w:r w:rsidR="00CE6BCD" w:rsidRPr="00CE6BCD">
        <w:rPr>
          <w:rFonts w:ascii="Times New Roman" w:eastAsia="Times New Roman" w:hAnsi="Times New Roman" w:cs="Times New Roman"/>
          <w:sz w:val="24"/>
          <w:szCs w:val="20"/>
        </w:rPr>
        <w:t xml:space="preserve"> ieņēmumus ietekmē arī </w:t>
      </w:r>
      <w:r w:rsidR="00CE6BCD" w:rsidRPr="00CE6BCD">
        <w:rPr>
          <w:rFonts w:ascii="Times New Roman" w:eastAsia="Times New Roman" w:hAnsi="Times New Roman" w:cs="Times New Roman"/>
          <w:sz w:val="24"/>
          <w:szCs w:val="24"/>
        </w:rPr>
        <w:t>iepriekšējos gados pieņemtās likumdošanas izmaiņas:</w:t>
      </w:r>
    </w:p>
    <w:p w14:paraId="5C9D921F" w14:textId="0FF5EBA6" w:rsidR="00CE6BCD" w:rsidRPr="00CE6BCD" w:rsidRDefault="00CE6BCD" w:rsidP="0024257A">
      <w:pPr>
        <w:numPr>
          <w:ilvl w:val="0"/>
          <w:numId w:val="10"/>
        </w:numPr>
        <w:spacing w:after="0" w:line="240" w:lineRule="auto"/>
        <w:ind w:left="1276" w:hanging="425"/>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 xml:space="preserve">diferencētā neapliekamā minimuma ieviešana (gada garumā visiem nodokļu maksātājiem tiek piemērots minimālais mēneša neapliekamais minimums, bet </w:t>
      </w:r>
      <w:r w:rsidRPr="00CE6BCD">
        <w:rPr>
          <w:rFonts w:ascii="Times New Roman" w:eastAsia="Times New Roman" w:hAnsi="Times New Roman" w:cs="Times New Roman"/>
          <w:sz w:val="24"/>
          <w:szCs w:val="24"/>
          <w:lang w:val="x-none" w:eastAsia="x-none"/>
        </w:rPr>
        <w:t xml:space="preserve">gada beigās </w:t>
      </w:r>
      <w:r w:rsidR="0035708E">
        <w:rPr>
          <w:rFonts w:ascii="Times New Roman" w:eastAsia="Times New Roman" w:hAnsi="Times New Roman" w:cs="Times New Roman"/>
          <w:sz w:val="24"/>
          <w:szCs w:val="24"/>
          <w:lang w:eastAsia="x-none"/>
        </w:rPr>
        <w:t>VID</w:t>
      </w:r>
      <w:r w:rsidRPr="00CE6BCD">
        <w:rPr>
          <w:rFonts w:ascii="Times New Roman" w:eastAsia="Times New Roman" w:hAnsi="Times New Roman" w:cs="Times New Roman"/>
          <w:sz w:val="24"/>
          <w:szCs w:val="24"/>
          <w:lang w:val="x-none" w:eastAsia="x-none"/>
        </w:rPr>
        <w:t xml:space="preserve">, balstoties uz apkopotajiem datiem par personas ienākumiem, pārrēķina </w:t>
      </w:r>
      <w:r w:rsidR="0035708E">
        <w:rPr>
          <w:rFonts w:ascii="Times New Roman" w:eastAsia="Times New Roman" w:hAnsi="Times New Roman" w:cs="Times New Roman"/>
          <w:sz w:val="24"/>
          <w:szCs w:val="24"/>
          <w:lang w:eastAsia="x-none"/>
        </w:rPr>
        <w:t>IIN</w:t>
      </w:r>
      <w:r w:rsidRPr="00CE6BCD">
        <w:rPr>
          <w:rFonts w:ascii="Times New Roman" w:eastAsia="Times New Roman" w:hAnsi="Times New Roman" w:cs="Times New Roman"/>
          <w:sz w:val="24"/>
          <w:szCs w:val="24"/>
          <w:lang w:val="x-none" w:eastAsia="x-none"/>
        </w:rPr>
        <w:t>, piemērojot diferencēto neapliekamo minimumu</w:t>
      </w:r>
      <w:r w:rsidRPr="00CE6BCD">
        <w:rPr>
          <w:rFonts w:ascii="Times New Roman" w:eastAsia="Times New Roman" w:hAnsi="Times New Roman" w:cs="Times New Roman"/>
          <w:sz w:val="24"/>
          <w:szCs w:val="24"/>
        </w:rPr>
        <w:t xml:space="preserve"> un </w:t>
      </w:r>
      <w:r w:rsidRPr="00CE6BCD">
        <w:rPr>
          <w:rFonts w:ascii="Times New Roman" w:eastAsia="Times New Roman" w:hAnsi="Times New Roman" w:cs="Times New Roman"/>
          <w:sz w:val="24"/>
          <w:szCs w:val="24"/>
          <w:lang w:val="x-none" w:eastAsia="x-none"/>
        </w:rPr>
        <w:t xml:space="preserve">nodokļa maksātāji ar zemākām algām, iesniedzot </w:t>
      </w:r>
      <w:r w:rsidR="0035708E">
        <w:rPr>
          <w:rFonts w:ascii="Times New Roman" w:eastAsia="Times New Roman" w:hAnsi="Times New Roman" w:cs="Times New Roman"/>
          <w:sz w:val="24"/>
          <w:szCs w:val="24"/>
          <w:lang w:eastAsia="x-none"/>
        </w:rPr>
        <w:t>VID</w:t>
      </w:r>
      <w:r w:rsidRPr="00CE6BCD">
        <w:rPr>
          <w:rFonts w:ascii="Times New Roman" w:eastAsia="Times New Roman" w:hAnsi="Times New Roman" w:cs="Times New Roman"/>
          <w:sz w:val="24"/>
          <w:szCs w:val="24"/>
          <w:lang w:val="x-none" w:eastAsia="x-none"/>
        </w:rPr>
        <w:t xml:space="preserve"> Gada ienākumu deklarāciju, var saņemt pārmaksāto nodokli. Līdz</w:t>
      </w:r>
      <w:r w:rsidRPr="00CE6BCD">
        <w:rPr>
          <w:rFonts w:ascii="Times New Roman" w:eastAsia="Times New Roman" w:hAnsi="Times New Roman" w:cs="Times New Roman"/>
          <w:sz w:val="24"/>
          <w:szCs w:val="24"/>
        </w:rPr>
        <w:t xml:space="preserve"> ar to katram nodokļu maksātājam neapliekamā minimuma apmērs atšķiras atkarībā no nodokļu maksātāja ar nodokli apliekamo ienākumu apmēra):</w:t>
      </w:r>
    </w:p>
    <w:p w14:paraId="23FB8EA6" w14:textId="090DA31C" w:rsidR="00CE6BCD" w:rsidRPr="00CE6BCD" w:rsidRDefault="00CE6BCD" w:rsidP="0024257A">
      <w:pPr>
        <w:numPr>
          <w:ilvl w:val="1"/>
          <w:numId w:val="23"/>
        </w:numPr>
        <w:spacing w:after="0" w:line="240" w:lineRule="auto"/>
        <w:ind w:left="1843"/>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lang w:eastAsia="x-none"/>
        </w:rPr>
        <w:t xml:space="preserve">ar </w:t>
      </w:r>
      <w:r w:rsidRPr="00CE6BCD">
        <w:rPr>
          <w:rFonts w:ascii="Times New Roman" w:eastAsia="Times New Roman" w:hAnsi="Times New Roman" w:cs="Times New Roman"/>
          <w:sz w:val="24"/>
          <w:szCs w:val="24"/>
          <w:lang w:val="x-none" w:eastAsia="x-none"/>
        </w:rPr>
        <w:t xml:space="preserve">2017.gada </w:t>
      </w:r>
      <w:r w:rsidR="0035708E">
        <w:rPr>
          <w:rFonts w:ascii="Times New Roman" w:eastAsia="Times New Roman" w:hAnsi="Times New Roman" w:cs="Times New Roman"/>
          <w:sz w:val="24"/>
          <w:szCs w:val="24"/>
          <w:lang w:eastAsia="x-none"/>
        </w:rPr>
        <w:t>1.</w:t>
      </w:r>
      <w:r w:rsidRPr="00CE6BCD">
        <w:rPr>
          <w:rFonts w:ascii="Times New Roman" w:eastAsia="Times New Roman" w:hAnsi="Times New Roman" w:cs="Times New Roman"/>
          <w:sz w:val="24"/>
          <w:szCs w:val="24"/>
          <w:lang w:eastAsia="x-none"/>
        </w:rPr>
        <w:t>janvāri</w:t>
      </w:r>
      <w:r w:rsidRPr="00CE6BCD">
        <w:rPr>
          <w:rFonts w:ascii="Times New Roman" w:eastAsia="Times New Roman" w:hAnsi="Times New Roman" w:cs="Times New Roman"/>
          <w:sz w:val="24"/>
          <w:szCs w:val="24"/>
          <w:lang w:val="x-none" w:eastAsia="x-none"/>
        </w:rPr>
        <w:t xml:space="preserve"> </w:t>
      </w:r>
      <w:r w:rsidRPr="00CE6BCD">
        <w:rPr>
          <w:rFonts w:ascii="Times New Roman" w:eastAsia="Times New Roman" w:hAnsi="Times New Roman" w:cs="Times New Roman"/>
          <w:sz w:val="24"/>
          <w:szCs w:val="24"/>
          <w:lang w:eastAsia="x-none"/>
        </w:rPr>
        <w:t>mēneša</w:t>
      </w:r>
      <w:r w:rsidRPr="00CE6BCD">
        <w:rPr>
          <w:rFonts w:ascii="Times New Roman" w:eastAsia="Times New Roman" w:hAnsi="Times New Roman" w:cs="Times New Roman"/>
          <w:sz w:val="24"/>
          <w:szCs w:val="24"/>
          <w:lang w:val="x-none" w:eastAsia="x-none"/>
        </w:rPr>
        <w:t xml:space="preserve"> neapliek</w:t>
      </w:r>
      <w:r w:rsidR="0035708E">
        <w:rPr>
          <w:rFonts w:ascii="Times New Roman" w:eastAsia="Times New Roman" w:hAnsi="Times New Roman" w:cs="Times New Roman"/>
          <w:sz w:val="24"/>
          <w:szCs w:val="24"/>
          <w:lang w:val="x-none" w:eastAsia="x-none"/>
        </w:rPr>
        <w:t xml:space="preserve">amais minimums samazināts no 75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w:t>
      </w:r>
      <w:r w:rsidRPr="00CE6BCD">
        <w:rPr>
          <w:rFonts w:ascii="Times New Roman" w:eastAsia="Times New Roman" w:hAnsi="Times New Roman" w:cs="Times New Roman"/>
          <w:sz w:val="24"/>
          <w:szCs w:val="24"/>
          <w:lang w:eastAsia="x-none"/>
        </w:rPr>
        <w:t>līdz</w:t>
      </w:r>
      <w:r w:rsidRPr="00CE6BCD">
        <w:rPr>
          <w:rFonts w:ascii="Times New Roman" w:eastAsia="Times New Roman" w:hAnsi="Times New Roman" w:cs="Times New Roman"/>
          <w:sz w:val="24"/>
          <w:szCs w:val="24"/>
          <w:lang w:val="x-none" w:eastAsia="x-none"/>
        </w:rPr>
        <w:t xml:space="preserve"> 60</w:t>
      </w:r>
      <w:r w:rsidR="0035708E">
        <w:rPr>
          <w:rFonts w:ascii="Times New Roman" w:eastAsia="Times New Roman" w:hAnsi="Times New Roman" w:cs="Times New Roman"/>
          <w:i/>
          <w:sz w:val="24"/>
          <w:szCs w:val="24"/>
          <w:lang w:val="x-none" w:eastAsia="x-none"/>
        </w:rPr>
        <w:t xml:space="preserve">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w:t>
      </w:r>
      <w:r w:rsidRPr="00CE6BCD">
        <w:rPr>
          <w:rFonts w:ascii="Times New Roman" w:eastAsia="Times New Roman" w:hAnsi="Times New Roman" w:cs="Times New Roman"/>
          <w:sz w:val="24"/>
          <w:szCs w:val="24"/>
          <w:lang w:eastAsia="x-none"/>
        </w:rPr>
        <w:t xml:space="preserve">un to </w:t>
      </w:r>
      <w:r w:rsidR="0035708E">
        <w:rPr>
          <w:rFonts w:ascii="Times New Roman" w:eastAsia="Times New Roman" w:hAnsi="Times New Roman" w:cs="Times New Roman"/>
          <w:sz w:val="24"/>
          <w:szCs w:val="24"/>
          <w:lang w:eastAsia="x-none"/>
        </w:rPr>
        <w:t xml:space="preserve">piemēros darba algai virs 1 100 </w:t>
      </w:r>
      <w:r w:rsidRPr="00CE6BCD">
        <w:rPr>
          <w:rFonts w:ascii="Times New Roman" w:eastAsia="Times New Roman" w:hAnsi="Times New Roman" w:cs="Times New Roman"/>
          <w:i/>
          <w:sz w:val="24"/>
          <w:szCs w:val="24"/>
          <w:lang w:eastAsia="x-none"/>
        </w:rPr>
        <w:t>euro</w:t>
      </w:r>
      <w:r w:rsidRPr="00CE6BCD">
        <w:rPr>
          <w:rFonts w:ascii="Times New Roman" w:eastAsia="Times New Roman" w:hAnsi="Times New Roman" w:cs="Times New Roman"/>
          <w:sz w:val="24"/>
          <w:szCs w:val="24"/>
          <w:lang w:eastAsia="x-none"/>
        </w:rPr>
        <w:t xml:space="preserve"> mēnesī, kā arī</w:t>
      </w:r>
      <w:r w:rsidRPr="00CE6BCD">
        <w:rPr>
          <w:rFonts w:ascii="Times New Roman" w:eastAsia="Times New Roman" w:hAnsi="Times New Roman" w:cs="Times New Roman"/>
          <w:sz w:val="24"/>
          <w:szCs w:val="24"/>
          <w:lang w:val="x-none" w:eastAsia="x-none"/>
        </w:rPr>
        <w:t xml:space="preserve"> </w:t>
      </w:r>
      <w:r w:rsidRPr="00CE6BCD">
        <w:rPr>
          <w:rFonts w:ascii="Times New Roman" w:eastAsia="Times New Roman" w:hAnsi="Times New Roman" w:cs="Times New Roman"/>
          <w:sz w:val="24"/>
          <w:szCs w:val="24"/>
          <w:lang w:eastAsia="x-none"/>
        </w:rPr>
        <w:t xml:space="preserve">tiks </w:t>
      </w:r>
      <w:r w:rsidRPr="00CE6BCD">
        <w:rPr>
          <w:rFonts w:ascii="Times New Roman" w:eastAsia="Times New Roman" w:hAnsi="Times New Roman" w:cs="Times New Roman"/>
          <w:sz w:val="24"/>
          <w:szCs w:val="24"/>
          <w:lang w:val="x-none" w:eastAsia="x-none"/>
        </w:rPr>
        <w:t>palielināts maksimālai</w:t>
      </w:r>
      <w:r w:rsidR="0035708E">
        <w:rPr>
          <w:rFonts w:ascii="Times New Roman" w:eastAsia="Times New Roman" w:hAnsi="Times New Roman" w:cs="Times New Roman"/>
          <w:sz w:val="24"/>
          <w:szCs w:val="24"/>
          <w:lang w:val="x-none" w:eastAsia="x-none"/>
        </w:rPr>
        <w:t xml:space="preserve">s neapliekamais minimums no 100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w:t>
      </w:r>
      <w:r w:rsidRPr="00CE6BCD">
        <w:rPr>
          <w:rFonts w:ascii="Times New Roman" w:eastAsia="Times New Roman" w:hAnsi="Times New Roman" w:cs="Times New Roman"/>
          <w:sz w:val="24"/>
          <w:szCs w:val="24"/>
          <w:lang w:eastAsia="x-none"/>
        </w:rPr>
        <w:t>līdz</w:t>
      </w:r>
      <w:r w:rsidR="0035708E">
        <w:rPr>
          <w:rFonts w:ascii="Times New Roman" w:eastAsia="Times New Roman" w:hAnsi="Times New Roman" w:cs="Times New Roman"/>
          <w:sz w:val="24"/>
          <w:szCs w:val="24"/>
          <w:lang w:val="x-none" w:eastAsia="x-none"/>
        </w:rPr>
        <w:t xml:space="preserve"> 115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mēnesī</w:t>
      </w:r>
      <w:r w:rsidRPr="00CE6BCD">
        <w:rPr>
          <w:rFonts w:ascii="Times New Roman" w:eastAsia="Times New Roman" w:hAnsi="Times New Roman" w:cs="Times New Roman"/>
          <w:sz w:val="24"/>
          <w:szCs w:val="24"/>
          <w:lang w:eastAsia="x-none"/>
        </w:rPr>
        <w:t xml:space="preserve"> un to piemēros ap</w:t>
      </w:r>
      <w:r w:rsidR="0035708E">
        <w:rPr>
          <w:rFonts w:ascii="Times New Roman" w:eastAsia="Times New Roman" w:hAnsi="Times New Roman" w:cs="Times New Roman"/>
          <w:sz w:val="24"/>
          <w:szCs w:val="24"/>
          <w:lang w:eastAsia="x-none"/>
        </w:rPr>
        <w:t xml:space="preserve">liekamajiem ienākumiem līdz 400 </w:t>
      </w:r>
      <w:r w:rsidRPr="00CE6BCD">
        <w:rPr>
          <w:rFonts w:ascii="Times New Roman" w:eastAsia="Times New Roman" w:hAnsi="Times New Roman" w:cs="Times New Roman"/>
          <w:i/>
          <w:sz w:val="24"/>
          <w:szCs w:val="24"/>
          <w:lang w:eastAsia="x-none"/>
        </w:rPr>
        <w:t>euro</w:t>
      </w:r>
      <w:r w:rsidRPr="00CE6BCD">
        <w:rPr>
          <w:rFonts w:ascii="Times New Roman" w:eastAsia="Times New Roman" w:hAnsi="Times New Roman" w:cs="Times New Roman"/>
          <w:sz w:val="24"/>
          <w:szCs w:val="24"/>
          <w:lang w:eastAsia="x-none"/>
        </w:rPr>
        <w:t xml:space="preserve"> mēnesī. S</w:t>
      </w:r>
      <w:r w:rsidRPr="00CE6BCD">
        <w:rPr>
          <w:rFonts w:ascii="Times New Roman" w:eastAsia="Times New Roman" w:hAnsi="Times New Roman" w:cs="Times New Roman"/>
          <w:sz w:val="24"/>
          <w:szCs w:val="24"/>
          <w:lang w:val="x-none" w:eastAsia="x-none"/>
        </w:rPr>
        <w:t>trādājošajiem, kas saņ</w:t>
      </w:r>
      <w:r w:rsidR="0035708E">
        <w:rPr>
          <w:rFonts w:ascii="Times New Roman" w:eastAsia="Times New Roman" w:hAnsi="Times New Roman" w:cs="Times New Roman"/>
          <w:sz w:val="24"/>
          <w:szCs w:val="24"/>
          <w:lang w:val="x-none" w:eastAsia="x-none"/>
        </w:rPr>
        <w:t xml:space="preserve">em darba algu no 400 līdz 1 100 </w:t>
      </w:r>
      <w:r w:rsidRPr="00CE6BCD">
        <w:rPr>
          <w:rFonts w:ascii="Times New Roman" w:eastAsia="Times New Roman" w:hAnsi="Times New Roman" w:cs="Times New Roman"/>
          <w:i/>
          <w:sz w:val="24"/>
          <w:szCs w:val="24"/>
          <w:lang w:val="x-none" w:eastAsia="x-none"/>
        </w:rPr>
        <w:t xml:space="preserve">euro </w:t>
      </w:r>
      <w:r w:rsidRPr="00CE6BCD">
        <w:rPr>
          <w:rFonts w:ascii="Times New Roman" w:eastAsia="Times New Roman" w:hAnsi="Times New Roman" w:cs="Times New Roman"/>
          <w:sz w:val="24"/>
          <w:szCs w:val="24"/>
          <w:lang w:val="x-none" w:eastAsia="x-none"/>
        </w:rPr>
        <w:t>mēnesī, neapliekamais minimums, piemērojot formulu, pakāpeniski samazinās</w:t>
      </w:r>
      <w:r w:rsidR="0035708E">
        <w:rPr>
          <w:rFonts w:ascii="Times New Roman" w:eastAsia="Times New Roman" w:hAnsi="Times New Roman" w:cs="Times New Roman"/>
          <w:sz w:val="24"/>
          <w:szCs w:val="24"/>
          <w:lang w:eastAsia="x-none"/>
        </w:rPr>
        <w:t xml:space="preserve">ies līdz 60 </w:t>
      </w:r>
      <w:r w:rsidRPr="00CE6BCD">
        <w:rPr>
          <w:rFonts w:ascii="Times New Roman" w:eastAsia="Times New Roman" w:hAnsi="Times New Roman" w:cs="Times New Roman"/>
          <w:i/>
          <w:sz w:val="24"/>
          <w:szCs w:val="24"/>
          <w:lang w:eastAsia="x-none"/>
        </w:rPr>
        <w:t>euro</w:t>
      </w:r>
      <w:r w:rsidRPr="00CE6BCD">
        <w:rPr>
          <w:rFonts w:ascii="Times New Roman" w:eastAsia="Times New Roman" w:hAnsi="Times New Roman" w:cs="Times New Roman"/>
          <w:sz w:val="24"/>
          <w:szCs w:val="24"/>
          <w:lang w:eastAsia="x-none"/>
        </w:rPr>
        <w:t xml:space="preserve"> mēnesī;</w:t>
      </w:r>
    </w:p>
    <w:p w14:paraId="049C328D" w14:textId="15839283" w:rsidR="00CE6BCD" w:rsidRPr="00CE6BCD" w:rsidRDefault="0035708E" w:rsidP="0024257A">
      <w:pPr>
        <w:numPr>
          <w:ilvl w:val="1"/>
          <w:numId w:val="23"/>
        </w:numPr>
        <w:spacing w:after="0" w:line="24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ar 2018.gada 1.</w:t>
      </w:r>
      <w:r w:rsidR="00CE6BCD" w:rsidRPr="00CE6BCD">
        <w:rPr>
          <w:rFonts w:ascii="Times New Roman" w:eastAsia="Times New Roman" w:hAnsi="Times New Roman" w:cs="Times New Roman"/>
          <w:sz w:val="24"/>
          <w:szCs w:val="24"/>
          <w:lang w:eastAsia="x-none"/>
        </w:rPr>
        <w:t>j</w:t>
      </w:r>
      <w:r>
        <w:rPr>
          <w:rFonts w:ascii="Times New Roman" w:eastAsia="Times New Roman" w:hAnsi="Times New Roman" w:cs="Times New Roman"/>
          <w:sz w:val="24"/>
          <w:szCs w:val="24"/>
          <w:lang w:eastAsia="x-none"/>
        </w:rPr>
        <w:t>anvāri un ar 2019.gada 1.</w:t>
      </w:r>
      <w:r w:rsidR="00CE6BCD" w:rsidRPr="00CE6BCD">
        <w:rPr>
          <w:rFonts w:ascii="Times New Roman" w:eastAsia="Times New Roman" w:hAnsi="Times New Roman" w:cs="Times New Roman"/>
          <w:sz w:val="24"/>
          <w:szCs w:val="24"/>
          <w:lang w:eastAsia="x-none"/>
        </w:rPr>
        <w:t xml:space="preserve">janvāri tiks samazināts maksimālais neapliekamais minimums, palielināts minimālais neapliekamais minimums un tiks veiktas izmaiņas apliekamā ienākuma robežās, kam piemēro neapliekamo minimumu </w:t>
      </w:r>
      <w:r>
        <w:rPr>
          <w:rFonts w:ascii="Times New Roman" w:eastAsia="Times New Roman" w:hAnsi="Times New Roman" w:cs="Times New Roman"/>
          <w:sz w:val="24"/>
          <w:szCs w:val="24"/>
        </w:rPr>
        <w:t>(sk. 6.7.</w:t>
      </w:r>
      <w:r w:rsidR="00CE6BCD" w:rsidRPr="00CE6BCD">
        <w:rPr>
          <w:rFonts w:ascii="Times New Roman" w:eastAsia="Times New Roman" w:hAnsi="Times New Roman" w:cs="Times New Roman"/>
          <w:sz w:val="24"/>
          <w:szCs w:val="24"/>
        </w:rPr>
        <w:t>tabulu)</w:t>
      </w:r>
      <w:r w:rsidR="00CE6BCD" w:rsidRPr="00CE6BCD">
        <w:rPr>
          <w:rFonts w:ascii="Times New Roman" w:eastAsia="Times New Roman" w:hAnsi="Times New Roman" w:cs="Times New Roman"/>
          <w:sz w:val="24"/>
          <w:szCs w:val="24"/>
          <w:lang w:eastAsia="x-none"/>
        </w:rPr>
        <w:t>.</w:t>
      </w:r>
      <w:r w:rsidR="00CE6BCD" w:rsidRPr="00CE6BCD">
        <w:rPr>
          <w:rFonts w:ascii="Times New Roman" w:eastAsia="Times New Roman" w:hAnsi="Times New Roman" w:cs="Times New Roman"/>
          <w:sz w:val="24"/>
          <w:szCs w:val="24"/>
          <w:lang w:val="x-none" w:eastAsia="x-none"/>
        </w:rPr>
        <w:t xml:space="preserve"> </w:t>
      </w:r>
      <w:r w:rsidR="00CE6BCD" w:rsidRPr="00CE6BCD">
        <w:rPr>
          <w:rFonts w:ascii="Times New Roman" w:eastAsia="Times New Roman" w:hAnsi="Times New Roman" w:cs="Times New Roman"/>
          <w:sz w:val="24"/>
          <w:szCs w:val="24"/>
          <w:lang w:eastAsia="x-none"/>
        </w:rPr>
        <w:t xml:space="preserve">Ar </w:t>
      </w:r>
      <w:r w:rsidR="00CE6BCD" w:rsidRPr="00CE6BCD">
        <w:rPr>
          <w:rFonts w:ascii="Times New Roman" w:eastAsia="Times New Roman" w:hAnsi="Times New Roman" w:cs="Times New Roman"/>
          <w:sz w:val="24"/>
          <w:szCs w:val="24"/>
          <w:lang w:val="x-none" w:eastAsia="x-none"/>
        </w:rPr>
        <w:t>2020.gad</w:t>
      </w:r>
      <w:r>
        <w:rPr>
          <w:rFonts w:ascii="Times New Roman" w:eastAsia="Times New Roman" w:hAnsi="Times New Roman" w:cs="Times New Roman"/>
          <w:sz w:val="24"/>
          <w:szCs w:val="24"/>
          <w:lang w:eastAsia="x-none"/>
        </w:rPr>
        <w:t>a 1.</w:t>
      </w:r>
      <w:r w:rsidR="00CE6BCD" w:rsidRPr="00CE6BCD">
        <w:rPr>
          <w:rFonts w:ascii="Times New Roman" w:eastAsia="Times New Roman" w:hAnsi="Times New Roman" w:cs="Times New Roman"/>
          <w:sz w:val="24"/>
          <w:szCs w:val="24"/>
          <w:lang w:eastAsia="x-none"/>
        </w:rPr>
        <w:t>janvāri</w:t>
      </w:r>
      <w:r w:rsidR="00CE6BCD" w:rsidRPr="00CE6BCD">
        <w:rPr>
          <w:rFonts w:ascii="Times New Roman" w:eastAsia="Times New Roman" w:hAnsi="Times New Roman" w:cs="Times New Roman"/>
          <w:sz w:val="24"/>
          <w:szCs w:val="24"/>
          <w:lang w:val="x-none" w:eastAsia="x-none"/>
        </w:rPr>
        <w:t xml:space="preserve"> mēne</w:t>
      </w:r>
      <w:r w:rsidR="00CE6BCD" w:rsidRPr="00CE6BCD">
        <w:rPr>
          <w:rFonts w:ascii="Times New Roman" w:eastAsia="Times New Roman" w:hAnsi="Times New Roman" w:cs="Times New Roman"/>
          <w:sz w:val="24"/>
          <w:szCs w:val="24"/>
          <w:lang w:eastAsia="x-none"/>
        </w:rPr>
        <w:t>ša</w:t>
      </w:r>
      <w:r w:rsidR="00CE6BCD" w:rsidRPr="00CE6BCD">
        <w:rPr>
          <w:rFonts w:ascii="Times New Roman" w:eastAsia="Times New Roman" w:hAnsi="Times New Roman" w:cs="Times New Roman"/>
          <w:sz w:val="24"/>
          <w:szCs w:val="24"/>
          <w:lang w:val="x-none" w:eastAsia="x-none"/>
        </w:rPr>
        <w:t xml:space="preserve"> neapliekamais minimums</w:t>
      </w:r>
      <w:r w:rsidR="00CE6BCD" w:rsidRPr="00CE6BCD">
        <w:rPr>
          <w:rFonts w:ascii="Times New Roman" w:eastAsia="Times New Roman" w:hAnsi="Times New Roman" w:cs="Times New Roman"/>
          <w:sz w:val="24"/>
          <w:szCs w:val="24"/>
          <w:lang w:eastAsia="x-none"/>
        </w:rPr>
        <w:t xml:space="preserve"> būs</w:t>
      </w:r>
      <w:r w:rsidR="00CE6BCD" w:rsidRPr="00CE6BCD">
        <w:rPr>
          <w:rFonts w:ascii="Times New Roman" w:eastAsia="Times New Roman" w:hAnsi="Times New Roman" w:cs="Times New Roman"/>
          <w:sz w:val="24"/>
          <w:szCs w:val="24"/>
          <w:lang w:val="x-none" w:eastAsia="x-none"/>
        </w:rPr>
        <w:t xml:space="preserve"> nulle</w:t>
      </w:r>
      <w:r w:rsidR="00CE6BCD" w:rsidRPr="00CE6BCD">
        <w:rPr>
          <w:rFonts w:ascii="Times New Roman" w:eastAsia="Times New Roman" w:hAnsi="Times New Roman" w:cs="Times New Roman"/>
          <w:sz w:val="24"/>
          <w:szCs w:val="24"/>
          <w:lang w:eastAsia="x-none"/>
        </w:rPr>
        <w:t xml:space="preserve"> un to</w:t>
      </w:r>
      <w:r>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lastRenderedPageBreak/>
        <w:t xml:space="preserve">piemēros ienākumiem virs 1 500 </w:t>
      </w:r>
      <w:r w:rsidR="00CE6BCD" w:rsidRPr="00CE6BCD">
        <w:rPr>
          <w:rFonts w:ascii="Times New Roman" w:eastAsia="Times New Roman" w:hAnsi="Times New Roman" w:cs="Times New Roman"/>
          <w:i/>
          <w:sz w:val="24"/>
          <w:szCs w:val="24"/>
          <w:lang w:eastAsia="x-none"/>
        </w:rPr>
        <w:t>euro</w:t>
      </w:r>
      <w:r w:rsidR="00CE6BCD" w:rsidRPr="00CE6BCD">
        <w:rPr>
          <w:rFonts w:ascii="Times New Roman" w:eastAsia="Times New Roman" w:hAnsi="Times New Roman" w:cs="Times New Roman"/>
          <w:sz w:val="24"/>
          <w:szCs w:val="24"/>
          <w:lang w:eastAsia="x-none"/>
        </w:rPr>
        <w:t xml:space="preserve"> mēnesī</w:t>
      </w:r>
      <w:r w:rsidR="00CE6BCD" w:rsidRPr="00CE6BCD">
        <w:rPr>
          <w:rFonts w:ascii="Times New Roman" w:eastAsia="Times New Roman" w:hAnsi="Times New Roman" w:cs="Times New Roman"/>
          <w:sz w:val="24"/>
          <w:szCs w:val="24"/>
          <w:lang w:val="x-none" w:eastAsia="x-none"/>
        </w:rPr>
        <w:t xml:space="preserve">, bet maksimālais neapliekamais minimums </w:t>
      </w:r>
      <w:r w:rsidR="00CE6BCD" w:rsidRPr="00CE6BCD">
        <w:rPr>
          <w:rFonts w:ascii="Times New Roman" w:eastAsia="Times New Roman" w:hAnsi="Times New Roman" w:cs="Times New Roman"/>
          <w:sz w:val="24"/>
          <w:szCs w:val="24"/>
          <w:lang w:eastAsia="x-none"/>
        </w:rPr>
        <w:t xml:space="preserve">būs </w:t>
      </w:r>
      <w:r>
        <w:rPr>
          <w:rFonts w:ascii="Times New Roman" w:eastAsia="Times New Roman" w:hAnsi="Times New Roman" w:cs="Times New Roman"/>
          <w:sz w:val="24"/>
          <w:szCs w:val="24"/>
          <w:lang w:val="x-none" w:eastAsia="x-none"/>
        </w:rPr>
        <w:t xml:space="preserve">160 </w:t>
      </w:r>
      <w:r w:rsidR="00CE6BCD" w:rsidRPr="00CE6BCD">
        <w:rPr>
          <w:rFonts w:ascii="Times New Roman" w:eastAsia="Times New Roman" w:hAnsi="Times New Roman" w:cs="Times New Roman"/>
          <w:i/>
          <w:sz w:val="24"/>
          <w:szCs w:val="24"/>
          <w:lang w:val="x-none" w:eastAsia="x-none"/>
        </w:rPr>
        <w:t>euro</w:t>
      </w:r>
      <w:r w:rsidR="00CE6BCD" w:rsidRPr="00CE6BCD">
        <w:rPr>
          <w:rFonts w:ascii="Times New Roman" w:eastAsia="Times New Roman" w:hAnsi="Times New Roman" w:cs="Times New Roman"/>
          <w:sz w:val="24"/>
          <w:szCs w:val="24"/>
          <w:lang w:val="x-none" w:eastAsia="x-none"/>
        </w:rPr>
        <w:t xml:space="preserve"> mēnesī</w:t>
      </w:r>
      <w:r w:rsidR="00CE6BCD" w:rsidRPr="00CE6BCD">
        <w:rPr>
          <w:rFonts w:ascii="Times New Roman" w:eastAsia="Times New Roman" w:hAnsi="Times New Roman" w:cs="Times New Roman"/>
          <w:sz w:val="24"/>
          <w:szCs w:val="24"/>
          <w:lang w:eastAsia="x-none"/>
        </w:rPr>
        <w:t>, ku</w:t>
      </w:r>
      <w:r>
        <w:rPr>
          <w:rFonts w:ascii="Times New Roman" w:eastAsia="Times New Roman" w:hAnsi="Times New Roman" w:cs="Times New Roman"/>
          <w:sz w:val="24"/>
          <w:szCs w:val="24"/>
          <w:lang w:eastAsia="x-none"/>
        </w:rPr>
        <w:t xml:space="preserve">ru piemēros ienākumiem līdz 460 </w:t>
      </w:r>
      <w:r w:rsidR="00CE6BCD" w:rsidRPr="00CE6BCD">
        <w:rPr>
          <w:rFonts w:ascii="Times New Roman" w:eastAsia="Times New Roman" w:hAnsi="Times New Roman" w:cs="Times New Roman"/>
          <w:i/>
          <w:sz w:val="24"/>
          <w:szCs w:val="24"/>
          <w:lang w:eastAsia="x-none"/>
        </w:rPr>
        <w:t>euro</w:t>
      </w:r>
      <w:r w:rsidR="00CE6BCD" w:rsidRPr="00CE6BCD">
        <w:rPr>
          <w:rFonts w:ascii="Times New Roman" w:eastAsia="Times New Roman" w:hAnsi="Times New Roman" w:cs="Times New Roman"/>
          <w:sz w:val="24"/>
          <w:szCs w:val="24"/>
          <w:lang w:eastAsia="x-none"/>
        </w:rPr>
        <w:t xml:space="preserve"> mēnesī;</w:t>
      </w:r>
    </w:p>
    <w:p w14:paraId="39B0681D" w14:textId="0D474F45" w:rsidR="00CE6BCD" w:rsidRPr="00CE6BCD" w:rsidRDefault="006A42EE" w:rsidP="006A42EE">
      <w:pPr>
        <w:keepNext/>
        <w:spacing w:before="120" w:after="6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6.7.</w:t>
      </w:r>
      <w:r w:rsidR="00CE6BCD" w:rsidRPr="00CE6BCD">
        <w:rPr>
          <w:rFonts w:ascii="Times New Roman" w:eastAsia="Times New Roman" w:hAnsi="Times New Roman" w:cs="Times New Roman"/>
          <w:b/>
          <w:sz w:val="24"/>
          <w:szCs w:val="20"/>
        </w:rPr>
        <w:t>tabula Diferencētais neapliekamais minimums 20</w:t>
      </w:r>
      <w:r w:rsidR="0035708E">
        <w:rPr>
          <w:rFonts w:ascii="Times New Roman" w:eastAsia="Times New Roman" w:hAnsi="Times New Roman" w:cs="Times New Roman"/>
          <w:b/>
          <w:sz w:val="24"/>
          <w:szCs w:val="20"/>
        </w:rPr>
        <w:t>17.-2020.</w:t>
      </w:r>
      <w:r w:rsidR="00CE6BCD" w:rsidRPr="00CE6BCD">
        <w:rPr>
          <w:rFonts w:ascii="Times New Roman" w:eastAsia="Times New Roman" w:hAnsi="Times New Roman" w:cs="Times New Roman"/>
          <w:b/>
          <w:sz w:val="24"/>
          <w:szCs w:val="20"/>
        </w:rPr>
        <w:t>gadam</w:t>
      </w:r>
    </w:p>
    <w:tbl>
      <w:tblPr>
        <w:tblStyle w:val="GridTable6Colorful-Accent1"/>
        <w:tblW w:w="0" w:type="auto"/>
        <w:jc w:val="center"/>
        <w:tblLayout w:type="fixed"/>
        <w:tblLook w:val="04A0" w:firstRow="1" w:lastRow="0" w:firstColumn="1" w:lastColumn="0" w:noHBand="0" w:noVBand="1"/>
      </w:tblPr>
      <w:tblGrid>
        <w:gridCol w:w="5400"/>
        <w:gridCol w:w="943"/>
        <w:gridCol w:w="943"/>
        <w:gridCol w:w="944"/>
        <w:gridCol w:w="892"/>
      </w:tblGrid>
      <w:tr w:rsidR="00616BA1" w:rsidRPr="00616BA1" w14:paraId="094B575E" w14:textId="77777777" w:rsidTr="00B27659">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400" w:type="dxa"/>
          </w:tcPr>
          <w:p w14:paraId="3F96F461" w14:textId="77777777" w:rsidR="00CE6BCD" w:rsidRPr="00616BA1" w:rsidRDefault="00CE6BCD" w:rsidP="00CE6BCD">
            <w:pPr>
              <w:autoSpaceDE w:val="0"/>
              <w:autoSpaceDN w:val="0"/>
              <w:adjustRightInd w:val="0"/>
              <w:jc w:val="center"/>
              <w:rPr>
                <w:rFonts w:ascii="Times New Roman" w:hAnsi="Times New Roman" w:cs="Times New Roman"/>
                <w:b w:val="0"/>
                <w:bCs w:val="0"/>
                <w:color w:val="auto"/>
                <w:sz w:val="20"/>
                <w:szCs w:val="24"/>
              </w:rPr>
            </w:pPr>
          </w:p>
        </w:tc>
        <w:tc>
          <w:tcPr>
            <w:tcW w:w="943" w:type="dxa"/>
            <w:vAlign w:val="center"/>
          </w:tcPr>
          <w:p w14:paraId="1D2A10E5" w14:textId="77777777" w:rsidR="00CE6BCD" w:rsidRPr="00616BA1" w:rsidRDefault="00CE6BCD" w:rsidP="00B2765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rPr>
            </w:pPr>
            <w:r w:rsidRPr="00616BA1">
              <w:rPr>
                <w:rFonts w:ascii="Times New Roman" w:hAnsi="Times New Roman" w:cs="Times New Roman"/>
                <w:bCs w:val="0"/>
                <w:color w:val="auto"/>
                <w:sz w:val="20"/>
              </w:rPr>
              <w:t>2017</w:t>
            </w:r>
          </w:p>
        </w:tc>
        <w:tc>
          <w:tcPr>
            <w:tcW w:w="943" w:type="dxa"/>
            <w:vAlign w:val="center"/>
          </w:tcPr>
          <w:p w14:paraId="71D6EAFE" w14:textId="77777777" w:rsidR="00CE6BCD" w:rsidRPr="00616BA1" w:rsidRDefault="00CE6BCD" w:rsidP="00B2765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rPr>
            </w:pPr>
            <w:r w:rsidRPr="00616BA1">
              <w:rPr>
                <w:rFonts w:ascii="Times New Roman" w:hAnsi="Times New Roman" w:cs="Times New Roman"/>
                <w:bCs w:val="0"/>
                <w:color w:val="auto"/>
                <w:sz w:val="20"/>
              </w:rPr>
              <w:t>2018</w:t>
            </w:r>
          </w:p>
        </w:tc>
        <w:tc>
          <w:tcPr>
            <w:tcW w:w="944" w:type="dxa"/>
            <w:vAlign w:val="center"/>
          </w:tcPr>
          <w:p w14:paraId="5D020F41" w14:textId="77777777" w:rsidR="00CE6BCD" w:rsidRPr="00616BA1" w:rsidRDefault="00CE6BCD" w:rsidP="00B2765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rPr>
            </w:pPr>
            <w:r w:rsidRPr="00616BA1">
              <w:rPr>
                <w:rFonts w:ascii="Times New Roman" w:hAnsi="Times New Roman" w:cs="Times New Roman"/>
                <w:bCs w:val="0"/>
                <w:color w:val="auto"/>
                <w:sz w:val="20"/>
              </w:rPr>
              <w:t>2019</w:t>
            </w:r>
          </w:p>
        </w:tc>
        <w:tc>
          <w:tcPr>
            <w:tcW w:w="892" w:type="dxa"/>
            <w:vAlign w:val="center"/>
          </w:tcPr>
          <w:p w14:paraId="3310098E" w14:textId="77777777" w:rsidR="00CE6BCD" w:rsidRPr="00616BA1" w:rsidRDefault="00CE6BCD" w:rsidP="00B2765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rPr>
            </w:pPr>
            <w:r w:rsidRPr="00616BA1">
              <w:rPr>
                <w:rFonts w:ascii="Times New Roman" w:hAnsi="Times New Roman" w:cs="Times New Roman"/>
                <w:bCs w:val="0"/>
                <w:color w:val="auto"/>
                <w:sz w:val="20"/>
              </w:rPr>
              <w:t>2020</w:t>
            </w:r>
          </w:p>
        </w:tc>
      </w:tr>
      <w:tr w:rsidR="00616BA1" w:rsidRPr="00616BA1" w14:paraId="46BEB9D8" w14:textId="77777777" w:rsidTr="00B2765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400" w:type="dxa"/>
          </w:tcPr>
          <w:p w14:paraId="2A636F44" w14:textId="77777777" w:rsidR="00CE6BCD" w:rsidRPr="00616BA1" w:rsidRDefault="00CE6BCD" w:rsidP="00CE6BCD">
            <w:pPr>
              <w:autoSpaceDE w:val="0"/>
              <w:autoSpaceDN w:val="0"/>
              <w:adjustRightInd w:val="0"/>
              <w:rPr>
                <w:rFonts w:ascii="Times New Roman" w:hAnsi="Times New Roman" w:cs="Times New Roman"/>
                <w:b w:val="0"/>
                <w:color w:val="auto"/>
                <w:sz w:val="20"/>
                <w:vertAlign w:val="subscript"/>
              </w:rPr>
            </w:pPr>
            <w:r w:rsidRPr="00616BA1">
              <w:rPr>
                <w:rFonts w:ascii="Times New Roman" w:hAnsi="Times New Roman" w:cs="Times New Roman"/>
                <w:b w:val="0"/>
                <w:color w:val="auto"/>
                <w:sz w:val="20"/>
              </w:rPr>
              <w:t>Maksimālais neapliekamais minimums</w:t>
            </w:r>
          </w:p>
        </w:tc>
        <w:tc>
          <w:tcPr>
            <w:tcW w:w="943" w:type="dxa"/>
            <w:vAlign w:val="center"/>
          </w:tcPr>
          <w:p w14:paraId="43B04D6F"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115</w:t>
            </w:r>
          </w:p>
        </w:tc>
        <w:tc>
          <w:tcPr>
            <w:tcW w:w="943" w:type="dxa"/>
            <w:vAlign w:val="center"/>
          </w:tcPr>
          <w:p w14:paraId="5D976AF9"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130</w:t>
            </w:r>
          </w:p>
        </w:tc>
        <w:tc>
          <w:tcPr>
            <w:tcW w:w="944" w:type="dxa"/>
            <w:vAlign w:val="center"/>
          </w:tcPr>
          <w:p w14:paraId="14EFAF85"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145</w:t>
            </w:r>
          </w:p>
        </w:tc>
        <w:tc>
          <w:tcPr>
            <w:tcW w:w="892" w:type="dxa"/>
            <w:vAlign w:val="center"/>
          </w:tcPr>
          <w:p w14:paraId="4A2D4BB8"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160</w:t>
            </w:r>
          </w:p>
        </w:tc>
      </w:tr>
      <w:tr w:rsidR="00616BA1" w:rsidRPr="00616BA1" w14:paraId="042CD988" w14:textId="77777777" w:rsidTr="00B27659">
        <w:trPr>
          <w:trHeight w:val="271"/>
          <w:jc w:val="center"/>
        </w:trPr>
        <w:tc>
          <w:tcPr>
            <w:cnfStyle w:val="001000000000" w:firstRow="0" w:lastRow="0" w:firstColumn="1" w:lastColumn="0" w:oddVBand="0" w:evenVBand="0" w:oddHBand="0" w:evenHBand="0" w:firstRowFirstColumn="0" w:firstRowLastColumn="0" w:lastRowFirstColumn="0" w:lastRowLastColumn="0"/>
            <w:tcW w:w="5400" w:type="dxa"/>
          </w:tcPr>
          <w:p w14:paraId="1DEC71CE" w14:textId="77777777" w:rsidR="00CE6BCD" w:rsidRPr="00616BA1" w:rsidRDefault="00CE6BCD" w:rsidP="00CE6BCD">
            <w:pPr>
              <w:autoSpaceDE w:val="0"/>
              <w:autoSpaceDN w:val="0"/>
              <w:adjustRightInd w:val="0"/>
              <w:rPr>
                <w:rFonts w:ascii="Times New Roman" w:hAnsi="Times New Roman" w:cs="Times New Roman"/>
                <w:b w:val="0"/>
                <w:color w:val="auto"/>
                <w:sz w:val="20"/>
                <w:vertAlign w:val="subscript"/>
              </w:rPr>
            </w:pPr>
            <w:r w:rsidRPr="00616BA1">
              <w:rPr>
                <w:rFonts w:ascii="Times New Roman" w:hAnsi="Times New Roman" w:cs="Times New Roman"/>
                <w:b w:val="0"/>
                <w:color w:val="auto"/>
                <w:sz w:val="20"/>
              </w:rPr>
              <w:t>Minimālais neapliekamais minimums</w:t>
            </w:r>
          </w:p>
        </w:tc>
        <w:tc>
          <w:tcPr>
            <w:tcW w:w="943" w:type="dxa"/>
            <w:vAlign w:val="center"/>
          </w:tcPr>
          <w:p w14:paraId="12D6B99D"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60</w:t>
            </w:r>
          </w:p>
        </w:tc>
        <w:tc>
          <w:tcPr>
            <w:tcW w:w="943" w:type="dxa"/>
            <w:vAlign w:val="center"/>
          </w:tcPr>
          <w:p w14:paraId="529B8457"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40</w:t>
            </w:r>
          </w:p>
        </w:tc>
        <w:tc>
          <w:tcPr>
            <w:tcW w:w="944" w:type="dxa"/>
            <w:vAlign w:val="center"/>
          </w:tcPr>
          <w:p w14:paraId="3330E24F"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20</w:t>
            </w:r>
          </w:p>
        </w:tc>
        <w:tc>
          <w:tcPr>
            <w:tcW w:w="892" w:type="dxa"/>
            <w:vAlign w:val="center"/>
          </w:tcPr>
          <w:p w14:paraId="7566CF55"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rPr>
            </w:pPr>
            <w:r w:rsidRPr="00616BA1">
              <w:rPr>
                <w:rFonts w:ascii="Times New Roman" w:hAnsi="Times New Roman" w:cs="Times New Roman"/>
                <w:bCs/>
                <w:color w:val="auto"/>
                <w:sz w:val="20"/>
              </w:rPr>
              <w:t>0</w:t>
            </w:r>
          </w:p>
        </w:tc>
      </w:tr>
      <w:tr w:rsidR="00616BA1" w:rsidRPr="00616BA1" w14:paraId="6797219E" w14:textId="77777777" w:rsidTr="00B2765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400" w:type="dxa"/>
          </w:tcPr>
          <w:p w14:paraId="47A1EE61" w14:textId="77777777" w:rsidR="00CE6BCD" w:rsidRPr="00616BA1" w:rsidRDefault="00CE6BCD" w:rsidP="00CE6BCD">
            <w:pPr>
              <w:autoSpaceDE w:val="0"/>
              <w:autoSpaceDN w:val="0"/>
              <w:adjustRightInd w:val="0"/>
              <w:rPr>
                <w:rFonts w:ascii="Times New Roman" w:hAnsi="Times New Roman" w:cs="Times New Roman"/>
                <w:b w:val="0"/>
                <w:color w:val="auto"/>
                <w:sz w:val="20"/>
              </w:rPr>
            </w:pPr>
            <w:r w:rsidRPr="00616BA1">
              <w:rPr>
                <w:rFonts w:ascii="Times New Roman" w:hAnsi="Times New Roman" w:cs="Times New Roman"/>
                <w:b w:val="0"/>
                <w:color w:val="auto"/>
                <w:sz w:val="20"/>
              </w:rPr>
              <w:t>Apliekamā ienākuma maksimālā robeža</w:t>
            </w:r>
          </w:p>
        </w:tc>
        <w:tc>
          <w:tcPr>
            <w:tcW w:w="943" w:type="dxa"/>
            <w:vAlign w:val="center"/>
          </w:tcPr>
          <w:p w14:paraId="2A42CD04"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1 100</w:t>
            </w:r>
          </w:p>
        </w:tc>
        <w:tc>
          <w:tcPr>
            <w:tcW w:w="943" w:type="dxa"/>
            <w:vAlign w:val="center"/>
          </w:tcPr>
          <w:p w14:paraId="5FBFDAC2"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1 200</w:t>
            </w:r>
          </w:p>
        </w:tc>
        <w:tc>
          <w:tcPr>
            <w:tcW w:w="944" w:type="dxa"/>
            <w:vAlign w:val="center"/>
          </w:tcPr>
          <w:p w14:paraId="5E38292E"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1 350</w:t>
            </w:r>
          </w:p>
        </w:tc>
        <w:tc>
          <w:tcPr>
            <w:tcW w:w="892" w:type="dxa"/>
            <w:vAlign w:val="center"/>
          </w:tcPr>
          <w:p w14:paraId="2B90A859" w14:textId="77777777" w:rsidR="00CE6BCD" w:rsidRPr="00616BA1" w:rsidRDefault="00CE6BCD" w:rsidP="00B27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1 500</w:t>
            </w:r>
          </w:p>
        </w:tc>
      </w:tr>
      <w:tr w:rsidR="00616BA1" w:rsidRPr="00616BA1" w14:paraId="1CFA9FE4" w14:textId="77777777" w:rsidTr="00B27659">
        <w:trPr>
          <w:trHeight w:val="271"/>
          <w:jc w:val="center"/>
        </w:trPr>
        <w:tc>
          <w:tcPr>
            <w:cnfStyle w:val="001000000000" w:firstRow="0" w:lastRow="0" w:firstColumn="1" w:lastColumn="0" w:oddVBand="0" w:evenVBand="0" w:oddHBand="0" w:evenHBand="0" w:firstRowFirstColumn="0" w:firstRowLastColumn="0" w:lastRowFirstColumn="0" w:lastRowLastColumn="0"/>
            <w:tcW w:w="5400" w:type="dxa"/>
          </w:tcPr>
          <w:p w14:paraId="2BF18896" w14:textId="77777777" w:rsidR="00CE6BCD" w:rsidRPr="00616BA1" w:rsidRDefault="00CE6BCD" w:rsidP="00CE6BCD">
            <w:pPr>
              <w:autoSpaceDE w:val="0"/>
              <w:autoSpaceDN w:val="0"/>
              <w:adjustRightInd w:val="0"/>
              <w:rPr>
                <w:rFonts w:ascii="Times New Roman" w:hAnsi="Times New Roman" w:cs="Times New Roman"/>
                <w:b w:val="0"/>
                <w:color w:val="auto"/>
                <w:sz w:val="20"/>
              </w:rPr>
            </w:pPr>
            <w:r w:rsidRPr="00616BA1">
              <w:rPr>
                <w:rFonts w:ascii="Times New Roman" w:hAnsi="Times New Roman" w:cs="Times New Roman"/>
                <w:b w:val="0"/>
                <w:color w:val="auto"/>
                <w:sz w:val="20"/>
              </w:rPr>
              <w:t>Apliekamā ienākuma minimālā robeža</w:t>
            </w:r>
          </w:p>
        </w:tc>
        <w:tc>
          <w:tcPr>
            <w:tcW w:w="943" w:type="dxa"/>
            <w:vAlign w:val="center"/>
          </w:tcPr>
          <w:p w14:paraId="6C11A254"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400</w:t>
            </w:r>
          </w:p>
        </w:tc>
        <w:tc>
          <w:tcPr>
            <w:tcW w:w="943" w:type="dxa"/>
            <w:vAlign w:val="center"/>
          </w:tcPr>
          <w:p w14:paraId="7B8D676C"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420</w:t>
            </w:r>
          </w:p>
        </w:tc>
        <w:tc>
          <w:tcPr>
            <w:tcW w:w="944" w:type="dxa"/>
            <w:vAlign w:val="center"/>
          </w:tcPr>
          <w:p w14:paraId="7AC5A4A0"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440</w:t>
            </w:r>
          </w:p>
        </w:tc>
        <w:tc>
          <w:tcPr>
            <w:tcW w:w="892" w:type="dxa"/>
            <w:vAlign w:val="center"/>
          </w:tcPr>
          <w:p w14:paraId="0B497AD9" w14:textId="77777777" w:rsidR="00CE6BCD" w:rsidRPr="00616BA1" w:rsidRDefault="00CE6BCD" w:rsidP="00B27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16BA1">
              <w:rPr>
                <w:rFonts w:ascii="Times New Roman" w:hAnsi="Times New Roman" w:cs="Times New Roman"/>
                <w:color w:val="auto"/>
                <w:sz w:val="20"/>
              </w:rPr>
              <w:t>460</w:t>
            </w:r>
          </w:p>
        </w:tc>
      </w:tr>
    </w:tbl>
    <w:p w14:paraId="59CF9869" w14:textId="0D876AB1" w:rsidR="00CE6BCD" w:rsidRPr="00CE6BCD" w:rsidRDefault="00CE6BCD" w:rsidP="002F2779">
      <w:pPr>
        <w:numPr>
          <w:ilvl w:val="0"/>
          <w:numId w:val="10"/>
        </w:numPr>
        <w:spacing w:before="60" w:after="0" w:line="240" w:lineRule="auto"/>
        <w:ind w:left="1276" w:hanging="425"/>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līdz 2</w:t>
      </w:r>
      <w:r w:rsidR="0035708E">
        <w:rPr>
          <w:rFonts w:ascii="Times New Roman" w:eastAsia="Times New Roman" w:hAnsi="Times New Roman" w:cs="Times New Roman"/>
          <w:sz w:val="24"/>
          <w:szCs w:val="24"/>
        </w:rPr>
        <w:t>018.</w:t>
      </w:r>
      <w:r w:rsidRPr="00CE6BCD">
        <w:rPr>
          <w:rFonts w:ascii="Times New Roman" w:eastAsia="Times New Roman" w:hAnsi="Times New Roman" w:cs="Times New Roman"/>
          <w:sz w:val="24"/>
          <w:szCs w:val="24"/>
        </w:rPr>
        <w:t xml:space="preserve">gadam pagarināts </w:t>
      </w:r>
      <w:r w:rsidR="0035708E">
        <w:rPr>
          <w:rFonts w:ascii="Times New Roman" w:eastAsia="Times New Roman" w:hAnsi="Times New Roman" w:cs="Times New Roman"/>
          <w:sz w:val="24"/>
          <w:szCs w:val="24"/>
        </w:rPr>
        <w:t>IIN</w:t>
      </w:r>
      <w:r w:rsidRPr="00CE6BCD">
        <w:rPr>
          <w:rFonts w:ascii="Times New Roman" w:eastAsia="Times New Roman" w:hAnsi="Times New Roman" w:cs="Times New Roman"/>
          <w:sz w:val="24"/>
          <w:szCs w:val="24"/>
        </w:rPr>
        <w:t xml:space="preserve"> atbrīvojums saņemtajām summām, kas izmaksātas kā valsts vai </w:t>
      </w:r>
      <w:r w:rsidR="0035708E">
        <w:rPr>
          <w:rFonts w:ascii="Times New Roman" w:eastAsia="Times New Roman" w:hAnsi="Times New Roman" w:cs="Times New Roman"/>
          <w:sz w:val="24"/>
          <w:szCs w:val="24"/>
        </w:rPr>
        <w:t>ES</w:t>
      </w:r>
      <w:r w:rsidRPr="00CE6BCD">
        <w:rPr>
          <w:rFonts w:ascii="Times New Roman" w:eastAsia="Times New Roman" w:hAnsi="Times New Roman" w:cs="Times New Roman"/>
          <w:sz w:val="24"/>
          <w:szCs w:val="24"/>
        </w:rPr>
        <w:t xml:space="preserve"> atbalsts lauksa</w:t>
      </w:r>
      <w:r w:rsidR="0035708E">
        <w:rPr>
          <w:rFonts w:ascii="Times New Roman" w:eastAsia="Times New Roman" w:hAnsi="Times New Roman" w:cs="Times New Roman"/>
          <w:sz w:val="24"/>
          <w:szCs w:val="24"/>
        </w:rPr>
        <w:t>imniecībai un lauku attīstībai;</w:t>
      </w:r>
    </w:p>
    <w:p w14:paraId="0C16E18B" w14:textId="77777777" w:rsidR="00CE6BCD" w:rsidRPr="00CE6BCD" w:rsidRDefault="00CE6BCD" w:rsidP="0024257A">
      <w:pPr>
        <w:numPr>
          <w:ilvl w:val="0"/>
          <w:numId w:val="10"/>
        </w:numPr>
        <w:spacing w:after="0" w:line="240" w:lineRule="auto"/>
        <w:ind w:left="1276" w:hanging="425"/>
        <w:contextualSpacing/>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attaisnoto izdevumu piemērošana bērnu interešu izglītības programmu apgūšanai;</w:t>
      </w:r>
    </w:p>
    <w:p w14:paraId="64D74C76" w14:textId="77777777" w:rsidR="00CE6BCD" w:rsidRPr="00CE6BCD" w:rsidRDefault="00CE6BCD" w:rsidP="0024257A">
      <w:pPr>
        <w:numPr>
          <w:ilvl w:val="0"/>
          <w:numId w:val="10"/>
        </w:numPr>
        <w:spacing w:after="0" w:line="240" w:lineRule="auto"/>
        <w:ind w:left="1276" w:hanging="425"/>
        <w:contextualSpacing/>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attaisnoto izdevumu piemērošana ziedojuma vai dāvinājuma veidā nodotajām summām Latvijas Republikā reģistrētai politiskajai partijai vai politisko partiju apvienībai;</w:t>
      </w:r>
    </w:p>
    <w:p w14:paraId="329D4933" w14:textId="6A709B2F" w:rsidR="00CE6BCD" w:rsidRPr="00CE6BCD" w:rsidRDefault="00CE6BCD" w:rsidP="0024257A">
      <w:pPr>
        <w:numPr>
          <w:ilvl w:val="0"/>
          <w:numId w:val="10"/>
        </w:numPr>
        <w:spacing w:after="0" w:line="240" w:lineRule="auto"/>
        <w:ind w:left="1276" w:hanging="425"/>
        <w:contextualSpacing/>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 xml:space="preserve">plānveida veselības aprūpes pakalpojumu (olšūnu iegūšana (folikula iegūšanu) punkcijas ceļā un cita veida ar cilvēka organismu savienotu protēžu izgatavošana un iegāde) iekļaušana pilnā apmērā </w:t>
      </w:r>
      <w:r w:rsidR="0035708E">
        <w:rPr>
          <w:rFonts w:ascii="Times New Roman" w:eastAsia="Times New Roman" w:hAnsi="Times New Roman" w:cs="Times New Roman"/>
          <w:sz w:val="24"/>
          <w:szCs w:val="24"/>
        </w:rPr>
        <w:t>IIN</w:t>
      </w:r>
      <w:r w:rsidRPr="00CE6BCD">
        <w:rPr>
          <w:rFonts w:ascii="Times New Roman" w:eastAsia="Times New Roman" w:hAnsi="Times New Roman" w:cs="Times New Roman"/>
          <w:sz w:val="24"/>
          <w:szCs w:val="24"/>
        </w:rPr>
        <w:t xml:space="preserve"> attaisnotajos izdevumos;</w:t>
      </w:r>
    </w:p>
    <w:p w14:paraId="723232E2" w14:textId="09E903AB" w:rsidR="004D5182" w:rsidRPr="002F2779" w:rsidRDefault="0035708E" w:rsidP="0020131C">
      <w:pPr>
        <w:numPr>
          <w:ilvl w:val="0"/>
          <w:numId w:val="10"/>
        </w:numPr>
        <w:spacing w:after="0" w:line="240" w:lineRule="auto"/>
        <w:ind w:left="1276" w:hanging="425"/>
        <w:contextualSpacing/>
        <w:jc w:val="both"/>
        <w:rPr>
          <w:rFonts w:ascii="Times New Roman" w:eastAsia="Times New Roman" w:hAnsi="Times New Roman" w:cs="Times New Roman"/>
          <w:b/>
          <w:sz w:val="24"/>
          <w:szCs w:val="20"/>
        </w:rPr>
      </w:pPr>
      <w:r w:rsidRPr="002F2779">
        <w:rPr>
          <w:rFonts w:ascii="Times New Roman" w:eastAsia="Times New Roman" w:hAnsi="Times New Roman" w:cs="Times New Roman"/>
          <w:sz w:val="24"/>
          <w:szCs w:val="24"/>
        </w:rPr>
        <w:t>IIN</w:t>
      </w:r>
      <w:r w:rsidR="00CE6BCD" w:rsidRPr="002F2779">
        <w:rPr>
          <w:rFonts w:ascii="Times New Roman" w:eastAsia="Times New Roman" w:hAnsi="Times New Roman" w:cs="Times New Roman"/>
          <w:sz w:val="24"/>
          <w:szCs w:val="24"/>
        </w:rPr>
        <w:t xml:space="preserve"> attaisnotajos izdevumos ietveramo izdevumu par izglītības un ārstniecisko pakalpojumu izmantošanu</w:t>
      </w:r>
      <w:r w:rsidR="00CE6BCD" w:rsidRPr="002F2779">
        <w:rPr>
          <w:rFonts w:ascii="Arial" w:eastAsia="Times New Roman" w:hAnsi="Arial" w:cs="Arial"/>
          <w:color w:val="414142"/>
          <w:sz w:val="20"/>
          <w:szCs w:val="20"/>
          <w:shd w:val="clear" w:color="auto" w:fill="F1F1F1"/>
          <w:lang w:eastAsia="x-none"/>
        </w:rPr>
        <w:t xml:space="preserve"> </w:t>
      </w:r>
      <w:r w:rsidR="00CE6BCD" w:rsidRPr="002F2779">
        <w:rPr>
          <w:rFonts w:ascii="Times New Roman" w:eastAsia="Times New Roman" w:hAnsi="Times New Roman" w:cs="Times New Roman"/>
          <w:sz w:val="24"/>
          <w:szCs w:val="24"/>
        </w:rPr>
        <w:t>apmē</w:t>
      </w:r>
      <w:r w:rsidRPr="002F2779">
        <w:rPr>
          <w:rFonts w:ascii="Times New Roman" w:eastAsia="Times New Roman" w:hAnsi="Times New Roman" w:cs="Times New Roman"/>
          <w:sz w:val="24"/>
          <w:szCs w:val="24"/>
        </w:rPr>
        <w:t xml:space="preserve">ra noapaļošana no 213,43 uz 215 </w:t>
      </w:r>
      <w:r w:rsidR="00CE6BCD" w:rsidRPr="002F2779">
        <w:rPr>
          <w:rFonts w:ascii="Times New Roman" w:eastAsia="Times New Roman" w:hAnsi="Times New Roman" w:cs="Times New Roman"/>
          <w:i/>
          <w:sz w:val="24"/>
          <w:szCs w:val="24"/>
        </w:rPr>
        <w:t>euro</w:t>
      </w:r>
      <w:r w:rsidR="00CE6BCD" w:rsidRPr="002F2779">
        <w:rPr>
          <w:rFonts w:ascii="Times New Roman" w:eastAsia="Times New Roman" w:hAnsi="Times New Roman" w:cs="Times New Roman"/>
          <w:sz w:val="24"/>
          <w:szCs w:val="24"/>
        </w:rPr>
        <w:t xml:space="preserve">. </w:t>
      </w:r>
    </w:p>
    <w:p w14:paraId="1B47EDE3" w14:textId="39B8661D" w:rsidR="00CE6BCD" w:rsidRPr="00CE6BCD" w:rsidRDefault="00CE6BCD" w:rsidP="005265A2">
      <w:pPr>
        <w:keepNext/>
        <w:spacing w:before="120" w:after="60" w:line="240" w:lineRule="auto"/>
        <w:jc w:val="right"/>
        <w:rPr>
          <w:rFonts w:ascii="Times New Roman" w:eastAsia="Times New Roman" w:hAnsi="Times New Roman" w:cs="Times New Roman"/>
          <w:b/>
          <w:sz w:val="24"/>
          <w:szCs w:val="20"/>
        </w:rPr>
      </w:pPr>
      <w:r w:rsidRPr="00CE6BCD">
        <w:rPr>
          <w:rFonts w:ascii="Times New Roman" w:eastAsia="Times New Roman" w:hAnsi="Times New Roman" w:cs="Times New Roman"/>
          <w:b/>
          <w:sz w:val="24"/>
          <w:szCs w:val="20"/>
        </w:rPr>
        <w:t xml:space="preserve">6.8.tabula. Nodokļu politikas izmaiņu ietekme uz </w:t>
      </w:r>
      <w:r w:rsidR="0035708E">
        <w:rPr>
          <w:rFonts w:ascii="Times New Roman" w:eastAsia="Times New Roman" w:hAnsi="Times New Roman" w:cs="Times New Roman"/>
          <w:b/>
          <w:sz w:val="24"/>
          <w:szCs w:val="20"/>
        </w:rPr>
        <w:t>IIN</w:t>
      </w:r>
      <w:r w:rsidRPr="00CE6BCD">
        <w:rPr>
          <w:rFonts w:ascii="Times New Roman" w:eastAsia="Times New Roman" w:hAnsi="Times New Roman" w:cs="Times New Roman"/>
          <w:b/>
          <w:sz w:val="24"/>
          <w:szCs w:val="20"/>
        </w:rPr>
        <w:t xml:space="preserve"> ieņēmumiem, milj. </w:t>
      </w:r>
      <w:r w:rsidRPr="00CE6BCD">
        <w:rPr>
          <w:rFonts w:ascii="Times New Roman" w:eastAsia="Times New Roman" w:hAnsi="Times New Roman" w:cs="Times New Roman"/>
          <w:b/>
          <w:i/>
          <w:sz w:val="24"/>
          <w:szCs w:val="24"/>
        </w:rPr>
        <w:t>euro</w:t>
      </w:r>
    </w:p>
    <w:tbl>
      <w:tblPr>
        <w:tblStyle w:val="GridTable6Colorful-Accent1"/>
        <w:tblW w:w="9285" w:type="dxa"/>
        <w:jc w:val="center"/>
        <w:tblLayout w:type="fixed"/>
        <w:tblLook w:val="04A0" w:firstRow="1" w:lastRow="0" w:firstColumn="1" w:lastColumn="0" w:noHBand="0" w:noVBand="1"/>
      </w:tblPr>
      <w:tblGrid>
        <w:gridCol w:w="5313"/>
        <w:gridCol w:w="993"/>
        <w:gridCol w:w="993"/>
        <w:gridCol w:w="993"/>
        <w:gridCol w:w="993"/>
      </w:tblGrid>
      <w:tr w:rsidR="00616BA1" w:rsidRPr="00616BA1" w14:paraId="524DB494" w14:textId="77777777" w:rsidTr="00B276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317DCE2B" w14:textId="77777777" w:rsidR="00CE6BCD" w:rsidRPr="00616BA1" w:rsidRDefault="00CE6BCD" w:rsidP="00CE6BCD">
            <w:pPr>
              <w:rPr>
                <w:rFonts w:ascii="Times New Roman" w:eastAsia="Times New Roman" w:hAnsi="Times New Roman" w:cs="Times New Roman"/>
                <w:color w:val="auto"/>
                <w:sz w:val="20"/>
                <w:szCs w:val="20"/>
              </w:rPr>
            </w:pPr>
          </w:p>
        </w:tc>
        <w:tc>
          <w:tcPr>
            <w:tcW w:w="993" w:type="dxa"/>
          </w:tcPr>
          <w:p w14:paraId="425B2402"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2017</w:t>
            </w:r>
          </w:p>
        </w:tc>
        <w:tc>
          <w:tcPr>
            <w:tcW w:w="993" w:type="dxa"/>
          </w:tcPr>
          <w:p w14:paraId="3D813924"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2018</w:t>
            </w:r>
          </w:p>
        </w:tc>
        <w:tc>
          <w:tcPr>
            <w:tcW w:w="993" w:type="dxa"/>
          </w:tcPr>
          <w:p w14:paraId="217A00CF"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2019</w:t>
            </w:r>
          </w:p>
        </w:tc>
        <w:tc>
          <w:tcPr>
            <w:tcW w:w="993" w:type="dxa"/>
          </w:tcPr>
          <w:p w14:paraId="607DB9CC"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2020</w:t>
            </w:r>
          </w:p>
        </w:tc>
      </w:tr>
      <w:tr w:rsidR="00616BA1" w:rsidRPr="00616BA1" w14:paraId="5E35AC39"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0A157A12"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Pensiju indeksācija 2017. gadā </w:t>
            </w:r>
          </w:p>
        </w:tc>
        <w:tc>
          <w:tcPr>
            <w:tcW w:w="993" w:type="dxa"/>
            <w:vAlign w:val="center"/>
          </w:tcPr>
          <w:p w14:paraId="74F8B205"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+1,7</w:t>
            </w:r>
          </w:p>
        </w:tc>
        <w:tc>
          <w:tcPr>
            <w:tcW w:w="993" w:type="dxa"/>
            <w:vAlign w:val="center"/>
          </w:tcPr>
          <w:p w14:paraId="03D24D7A"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35F2E4EA"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4244A333"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7C636B73"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13" w:type="dxa"/>
          </w:tcPr>
          <w:p w14:paraId="4C1CF899" w14:textId="22DF0DCC" w:rsidR="00CE6BCD" w:rsidRPr="00616BA1" w:rsidRDefault="00CE6BCD" w:rsidP="00D51057">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Mēneša minimālā </w:t>
            </w:r>
            <w:r w:rsidR="00D51057">
              <w:rPr>
                <w:rFonts w:ascii="Times New Roman" w:eastAsia="Times New Roman" w:hAnsi="Times New Roman" w:cs="Times New Roman"/>
                <w:b w:val="0"/>
                <w:color w:val="auto"/>
                <w:sz w:val="20"/>
                <w:szCs w:val="20"/>
              </w:rPr>
              <w:t xml:space="preserve">VSAOI </w:t>
            </w:r>
            <w:r w:rsidRPr="00616BA1">
              <w:rPr>
                <w:rFonts w:ascii="Times New Roman" w:eastAsia="Times New Roman" w:hAnsi="Times New Roman" w:cs="Times New Roman"/>
                <w:b w:val="0"/>
                <w:color w:val="auto"/>
                <w:sz w:val="20"/>
                <w:szCs w:val="20"/>
              </w:rPr>
              <w:t>objekta noteikšana ar 2017. gadu</w:t>
            </w:r>
          </w:p>
        </w:tc>
        <w:tc>
          <w:tcPr>
            <w:tcW w:w="993" w:type="dxa"/>
            <w:vAlign w:val="center"/>
          </w:tcPr>
          <w:p w14:paraId="0E79E305"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+8,7</w:t>
            </w:r>
          </w:p>
        </w:tc>
        <w:tc>
          <w:tcPr>
            <w:tcW w:w="993" w:type="dxa"/>
            <w:vAlign w:val="center"/>
          </w:tcPr>
          <w:p w14:paraId="7506FDB2"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-3,3</w:t>
            </w:r>
          </w:p>
        </w:tc>
        <w:tc>
          <w:tcPr>
            <w:tcW w:w="993" w:type="dxa"/>
            <w:vAlign w:val="center"/>
          </w:tcPr>
          <w:p w14:paraId="283F8F6D"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296E0285"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0324A6B9"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0D1E1164"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Diferencētā neapliekamā minimuma ieviešana</w:t>
            </w:r>
          </w:p>
        </w:tc>
        <w:tc>
          <w:tcPr>
            <w:tcW w:w="993" w:type="dxa"/>
            <w:vAlign w:val="center"/>
          </w:tcPr>
          <w:p w14:paraId="558DF17C"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+2,7</w:t>
            </w:r>
          </w:p>
        </w:tc>
        <w:tc>
          <w:tcPr>
            <w:tcW w:w="993" w:type="dxa"/>
            <w:vAlign w:val="center"/>
          </w:tcPr>
          <w:p w14:paraId="4175F8D0"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+5,6</w:t>
            </w:r>
          </w:p>
        </w:tc>
        <w:tc>
          <w:tcPr>
            <w:tcW w:w="993" w:type="dxa"/>
            <w:vAlign w:val="center"/>
          </w:tcPr>
          <w:p w14:paraId="65D72A70"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-0,5</w:t>
            </w:r>
          </w:p>
        </w:tc>
        <w:tc>
          <w:tcPr>
            <w:tcW w:w="993" w:type="dxa"/>
            <w:vAlign w:val="center"/>
          </w:tcPr>
          <w:p w14:paraId="0A83F397"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-6,9</w:t>
            </w:r>
          </w:p>
        </w:tc>
      </w:tr>
      <w:tr w:rsidR="00616BA1" w:rsidRPr="00616BA1" w14:paraId="30A04917"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13" w:type="dxa"/>
          </w:tcPr>
          <w:p w14:paraId="301CC9E5"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Attaisnoto izdevumu piemērošana ziedojuma vai dāvinājuma veidā nodotajām summām Latvijas Republikā reģistrētai politiskajai partijai vai politisko partiju apvienība</w:t>
            </w:r>
          </w:p>
        </w:tc>
        <w:tc>
          <w:tcPr>
            <w:tcW w:w="993" w:type="dxa"/>
            <w:vAlign w:val="center"/>
          </w:tcPr>
          <w:p w14:paraId="5B7A22FE"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-0,3</w:t>
            </w:r>
          </w:p>
        </w:tc>
        <w:tc>
          <w:tcPr>
            <w:tcW w:w="993" w:type="dxa"/>
            <w:vAlign w:val="center"/>
          </w:tcPr>
          <w:p w14:paraId="779D6215"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6BC8AA79"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0C40E510"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06FC7278"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1020CCA1" w14:textId="147F624A" w:rsidR="00CE6BCD" w:rsidRPr="00616BA1" w:rsidRDefault="00CE6BCD" w:rsidP="0035708E">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Likumdošanas izmaiņas </w:t>
            </w:r>
            <w:r w:rsidR="0035708E" w:rsidRPr="00616BA1">
              <w:rPr>
                <w:rFonts w:ascii="Times New Roman" w:eastAsia="Times New Roman" w:hAnsi="Times New Roman" w:cs="Times New Roman"/>
                <w:b w:val="0"/>
                <w:color w:val="auto"/>
                <w:sz w:val="20"/>
                <w:szCs w:val="20"/>
              </w:rPr>
              <w:t>IIN</w:t>
            </w:r>
            <w:r w:rsidRPr="00616BA1">
              <w:rPr>
                <w:rFonts w:ascii="Times New Roman" w:eastAsia="Times New Roman" w:hAnsi="Times New Roman" w:cs="Times New Roman"/>
                <w:b w:val="0"/>
                <w:color w:val="auto"/>
                <w:sz w:val="20"/>
                <w:szCs w:val="20"/>
              </w:rPr>
              <w:t xml:space="preserve"> attaisnotajos izdevumos par izglītības un ārstniecisko pakalpojumu izmantošanu</w:t>
            </w:r>
          </w:p>
        </w:tc>
        <w:tc>
          <w:tcPr>
            <w:tcW w:w="993" w:type="dxa"/>
            <w:vAlign w:val="center"/>
          </w:tcPr>
          <w:p w14:paraId="5556E4B9"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-4,3</w:t>
            </w:r>
          </w:p>
        </w:tc>
        <w:tc>
          <w:tcPr>
            <w:tcW w:w="993" w:type="dxa"/>
            <w:vAlign w:val="center"/>
          </w:tcPr>
          <w:p w14:paraId="01917BCE"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45474535"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5A36E502"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745246E5"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13" w:type="dxa"/>
          </w:tcPr>
          <w:p w14:paraId="1DC018EC" w14:textId="3FDDE0F3" w:rsidR="00CE6BCD" w:rsidRPr="00616BA1" w:rsidRDefault="00CE6BCD" w:rsidP="0035708E">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Pagarināts </w:t>
            </w:r>
            <w:r w:rsidR="0035708E" w:rsidRPr="00616BA1">
              <w:rPr>
                <w:rFonts w:ascii="Times New Roman" w:eastAsia="Times New Roman" w:hAnsi="Times New Roman" w:cs="Times New Roman"/>
                <w:b w:val="0"/>
                <w:color w:val="auto"/>
                <w:sz w:val="20"/>
                <w:szCs w:val="20"/>
              </w:rPr>
              <w:t>IIN</w:t>
            </w:r>
            <w:r w:rsidRPr="00616BA1">
              <w:rPr>
                <w:rFonts w:ascii="Times New Roman" w:eastAsia="Times New Roman" w:hAnsi="Times New Roman" w:cs="Times New Roman"/>
                <w:b w:val="0"/>
                <w:color w:val="auto"/>
                <w:sz w:val="20"/>
                <w:szCs w:val="20"/>
              </w:rPr>
              <w:t xml:space="preserve"> atbrīvojums saņemtajām summām, kas izmaksātas kā valsts vai ES atbalsts lauksaimniecībai un lauku attīstībai</w:t>
            </w:r>
          </w:p>
        </w:tc>
        <w:tc>
          <w:tcPr>
            <w:tcW w:w="993" w:type="dxa"/>
            <w:vAlign w:val="center"/>
          </w:tcPr>
          <w:p w14:paraId="6D88D978"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360BB23A"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-2,2</w:t>
            </w:r>
          </w:p>
        </w:tc>
        <w:tc>
          <w:tcPr>
            <w:tcW w:w="993" w:type="dxa"/>
            <w:vAlign w:val="center"/>
          </w:tcPr>
          <w:p w14:paraId="79C1289E"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02403588"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+2,2</w:t>
            </w:r>
          </w:p>
        </w:tc>
      </w:tr>
      <w:tr w:rsidR="00616BA1" w:rsidRPr="00616BA1" w14:paraId="755C0A12"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1376AAA5"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Minimālās mēneša darba algas paaugstināšana no 370 </w:t>
            </w:r>
            <w:r w:rsidRPr="00616BA1">
              <w:rPr>
                <w:rFonts w:ascii="Times New Roman" w:eastAsia="Times New Roman" w:hAnsi="Times New Roman" w:cs="Times New Roman"/>
                <w:b w:val="0"/>
                <w:i/>
                <w:color w:val="auto"/>
                <w:sz w:val="20"/>
                <w:szCs w:val="20"/>
              </w:rPr>
              <w:t>euro</w:t>
            </w:r>
            <w:r w:rsidRPr="00616BA1">
              <w:rPr>
                <w:rFonts w:ascii="Times New Roman" w:eastAsia="Times New Roman" w:hAnsi="Times New Roman" w:cs="Times New Roman"/>
                <w:b w:val="0"/>
                <w:color w:val="auto"/>
                <w:sz w:val="20"/>
                <w:szCs w:val="20"/>
              </w:rPr>
              <w:t xml:space="preserve"> līdz 380 </w:t>
            </w:r>
            <w:r w:rsidRPr="00616BA1">
              <w:rPr>
                <w:rFonts w:ascii="Times New Roman" w:eastAsia="Times New Roman" w:hAnsi="Times New Roman" w:cs="Times New Roman"/>
                <w:b w:val="0"/>
                <w:i/>
                <w:color w:val="auto"/>
                <w:sz w:val="20"/>
                <w:szCs w:val="20"/>
              </w:rPr>
              <w:t>euro</w:t>
            </w:r>
          </w:p>
        </w:tc>
        <w:tc>
          <w:tcPr>
            <w:tcW w:w="993" w:type="dxa"/>
            <w:vAlign w:val="center"/>
          </w:tcPr>
          <w:p w14:paraId="4A7D3244"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4,6</w:t>
            </w:r>
          </w:p>
        </w:tc>
        <w:tc>
          <w:tcPr>
            <w:tcW w:w="993" w:type="dxa"/>
            <w:vAlign w:val="center"/>
          </w:tcPr>
          <w:p w14:paraId="3FFE28A1"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14697EBC"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2E2FA866"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342584F5"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13" w:type="dxa"/>
          </w:tcPr>
          <w:p w14:paraId="66FB5D82" w14:textId="5D9C4B6A" w:rsidR="00CE6BCD" w:rsidRPr="00616BA1" w:rsidRDefault="00CE6BCD" w:rsidP="0035708E">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Cīņa ar ēnu ekonomiku un citi pasākumi, lai uzlabotu nodokļu administrēšanu (t.sk., ātra, ērta un efektīva risinājumu ieviešana piedziņas vēršanai uz naudas līdzekļiem parādnieku banku kontos, nodrošinot </w:t>
            </w:r>
            <w:r w:rsidR="0035708E" w:rsidRPr="00616BA1">
              <w:rPr>
                <w:rFonts w:ascii="Times New Roman" w:eastAsia="Times New Roman" w:hAnsi="Times New Roman" w:cs="Times New Roman"/>
                <w:b w:val="0"/>
                <w:color w:val="auto"/>
                <w:sz w:val="20"/>
                <w:szCs w:val="20"/>
              </w:rPr>
              <w:t>VID</w:t>
            </w:r>
            <w:r w:rsidRPr="00616BA1">
              <w:rPr>
                <w:rFonts w:ascii="Times New Roman" w:eastAsia="Times New Roman" w:hAnsi="Times New Roman" w:cs="Times New Roman"/>
                <w:b w:val="0"/>
                <w:color w:val="auto"/>
                <w:sz w:val="20"/>
                <w:szCs w:val="20"/>
              </w:rPr>
              <w:t xml:space="preserve"> un kredītiestāžu elektronisko datu apmaiņu u.c.)</w:t>
            </w:r>
          </w:p>
        </w:tc>
        <w:tc>
          <w:tcPr>
            <w:tcW w:w="993" w:type="dxa"/>
            <w:vAlign w:val="center"/>
          </w:tcPr>
          <w:p w14:paraId="543F1F90"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1,4</w:t>
            </w:r>
          </w:p>
        </w:tc>
        <w:tc>
          <w:tcPr>
            <w:tcW w:w="993" w:type="dxa"/>
            <w:vAlign w:val="center"/>
          </w:tcPr>
          <w:p w14:paraId="14AAC144"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75C4FB08"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20DF5DFD"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652BB6EE"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1E6A80E0" w14:textId="0857E798" w:rsidR="00CE6BCD" w:rsidRPr="00616BA1" w:rsidRDefault="0035708E"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IIN</w:t>
            </w:r>
            <w:r w:rsidR="00CE6BCD" w:rsidRPr="00616BA1">
              <w:rPr>
                <w:rFonts w:ascii="Times New Roman" w:eastAsia="Times New Roman" w:hAnsi="Times New Roman" w:cs="Times New Roman"/>
                <w:b w:val="0"/>
                <w:color w:val="auto"/>
                <w:sz w:val="20"/>
                <w:szCs w:val="20"/>
              </w:rPr>
              <w:t xml:space="preserve"> atvieglojuma ieviešana vienai no koplīgumā noteiktajām darbinieku sociālajām garantijām</w:t>
            </w:r>
          </w:p>
        </w:tc>
        <w:tc>
          <w:tcPr>
            <w:tcW w:w="993" w:type="dxa"/>
            <w:vAlign w:val="center"/>
          </w:tcPr>
          <w:p w14:paraId="76DECAFE"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-1,2</w:t>
            </w:r>
          </w:p>
        </w:tc>
        <w:tc>
          <w:tcPr>
            <w:tcW w:w="993" w:type="dxa"/>
            <w:vAlign w:val="center"/>
          </w:tcPr>
          <w:p w14:paraId="5C1E6643"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1545F913"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3871147C"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58BF78C1"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13" w:type="dxa"/>
          </w:tcPr>
          <w:p w14:paraId="5915B927" w14:textId="3C3E11B8" w:rsidR="00CE6BCD" w:rsidRPr="00616BA1" w:rsidRDefault="0035708E"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IIN</w:t>
            </w:r>
            <w:r w:rsidR="00CE6BCD" w:rsidRPr="00616BA1">
              <w:rPr>
                <w:rFonts w:ascii="Times New Roman" w:eastAsia="Times New Roman" w:hAnsi="Times New Roman" w:cs="Times New Roman"/>
                <w:b w:val="0"/>
                <w:color w:val="auto"/>
                <w:sz w:val="20"/>
                <w:szCs w:val="20"/>
              </w:rPr>
              <w:t xml:space="preserve"> regulējuma maiņa attiecībā uz izmaksām no privātajiem pensiju fondiem</w:t>
            </w:r>
          </w:p>
        </w:tc>
        <w:tc>
          <w:tcPr>
            <w:tcW w:w="993" w:type="dxa"/>
            <w:vAlign w:val="center"/>
          </w:tcPr>
          <w:p w14:paraId="316CEE34"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3AFAFCFC"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+0,9</w:t>
            </w:r>
          </w:p>
        </w:tc>
        <w:tc>
          <w:tcPr>
            <w:tcW w:w="993" w:type="dxa"/>
            <w:vAlign w:val="center"/>
          </w:tcPr>
          <w:p w14:paraId="49C81CF3"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1D0B621B"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4C09311E"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448860E0"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Nodokļa avansa ieviešana taksometru nozarei</w:t>
            </w:r>
          </w:p>
        </w:tc>
        <w:tc>
          <w:tcPr>
            <w:tcW w:w="993" w:type="dxa"/>
            <w:vAlign w:val="center"/>
          </w:tcPr>
          <w:p w14:paraId="3EF94645"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+1,5</w:t>
            </w:r>
          </w:p>
        </w:tc>
        <w:tc>
          <w:tcPr>
            <w:tcW w:w="993" w:type="dxa"/>
            <w:vAlign w:val="center"/>
          </w:tcPr>
          <w:p w14:paraId="7C09972F"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16F9E947"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0C76FE5F"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7CC313E9"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13" w:type="dxa"/>
          </w:tcPr>
          <w:p w14:paraId="17AE24FE"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Jaunuzņēmumu darbības atbalsta likums</w:t>
            </w:r>
          </w:p>
        </w:tc>
        <w:tc>
          <w:tcPr>
            <w:tcW w:w="993" w:type="dxa"/>
            <w:vAlign w:val="center"/>
          </w:tcPr>
          <w:p w14:paraId="0ECDD6A1"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+0,1</w:t>
            </w:r>
          </w:p>
        </w:tc>
        <w:tc>
          <w:tcPr>
            <w:tcW w:w="993" w:type="dxa"/>
            <w:vAlign w:val="center"/>
          </w:tcPr>
          <w:p w14:paraId="09AF945E"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2FDB7E44"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1287BF50"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677AA8DC"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62DFC628"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Mikrouzņēmuma nodokļa likmes noteikšana 12%/15% apmērā</w:t>
            </w:r>
          </w:p>
        </w:tc>
        <w:tc>
          <w:tcPr>
            <w:tcW w:w="993" w:type="dxa"/>
            <w:vAlign w:val="center"/>
          </w:tcPr>
          <w:p w14:paraId="3DC1D7C1"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+8,9</w:t>
            </w:r>
          </w:p>
        </w:tc>
        <w:tc>
          <w:tcPr>
            <w:tcW w:w="993" w:type="dxa"/>
            <w:vAlign w:val="center"/>
          </w:tcPr>
          <w:p w14:paraId="507EDE2E"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-4,6</w:t>
            </w:r>
          </w:p>
        </w:tc>
        <w:tc>
          <w:tcPr>
            <w:tcW w:w="993" w:type="dxa"/>
            <w:vAlign w:val="center"/>
          </w:tcPr>
          <w:p w14:paraId="2E1E6719"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5F66027F"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585A7E3A"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13" w:type="dxa"/>
          </w:tcPr>
          <w:p w14:paraId="67AD013F" w14:textId="6C7B24A4" w:rsidR="00CE6BCD" w:rsidRPr="00616BA1" w:rsidRDefault="00CE6BCD" w:rsidP="00D51057">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Darba ņēmēja un darba devēja pārskata mēneša minimālā </w:t>
            </w:r>
            <w:r w:rsidR="00D51057">
              <w:rPr>
                <w:rFonts w:ascii="Times New Roman" w:eastAsia="Times New Roman" w:hAnsi="Times New Roman" w:cs="Times New Roman"/>
                <w:b w:val="0"/>
                <w:color w:val="auto"/>
                <w:sz w:val="20"/>
                <w:szCs w:val="20"/>
              </w:rPr>
              <w:t>VSAOI</w:t>
            </w:r>
            <w:r w:rsidRPr="00616BA1">
              <w:rPr>
                <w:rFonts w:ascii="Times New Roman" w:eastAsia="Times New Roman" w:hAnsi="Times New Roman" w:cs="Times New Roman"/>
                <w:b w:val="0"/>
                <w:color w:val="auto"/>
                <w:sz w:val="20"/>
                <w:szCs w:val="20"/>
              </w:rPr>
              <w:t xml:space="preserve"> obj</w:t>
            </w:r>
            <w:r w:rsidR="0035708E" w:rsidRPr="00616BA1">
              <w:rPr>
                <w:rFonts w:ascii="Times New Roman" w:eastAsia="Times New Roman" w:hAnsi="Times New Roman" w:cs="Times New Roman"/>
                <w:b w:val="0"/>
                <w:color w:val="auto"/>
                <w:sz w:val="20"/>
                <w:szCs w:val="20"/>
              </w:rPr>
              <w:t>ekta noteikšanu, sākot ar 2017.</w:t>
            </w:r>
            <w:r w:rsidRPr="00616BA1">
              <w:rPr>
                <w:rFonts w:ascii="Times New Roman" w:eastAsia="Times New Roman" w:hAnsi="Times New Roman" w:cs="Times New Roman"/>
                <w:b w:val="0"/>
                <w:color w:val="auto"/>
                <w:sz w:val="20"/>
                <w:szCs w:val="20"/>
              </w:rPr>
              <w:t>gadu atcelšana</w:t>
            </w:r>
          </w:p>
        </w:tc>
        <w:tc>
          <w:tcPr>
            <w:tcW w:w="993" w:type="dxa"/>
            <w:vAlign w:val="center"/>
          </w:tcPr>
          <w:p w14:paraId="7315BB5B"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-8,7</w:t>
            </w:r>
          </w:p>
        </w:tc>
        <w:tc>
          <w:tcPr>
            <w:tcW w:w="993" w:type="dxa"/>
            <w:vAlign w:val="center"/>
          </w:tcPr>
          <w:p w14:paraId="23C17A5C"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+3,3</w:t>
            </w:r>
          </w:p>
        </w:tc>
        <w:tc>
          <w:tcPr>
            <w:tcW w:w="993" w:type="dxa"/>
            <w:vAlign w:val="center"/>
          </w:tcPr>
          <w:p w14:paraId="507FEF44"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14:paraId="570AE75B"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49BA9B9B"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14:paraId="22A94DB1" w14:textId="77777777" w:rsidR="00CE6BCD" w:rsidRPr="00616BA1" w:rsidRDefault="00CE6BCD" w:rsidP="00616BA1">
            <w:pPr>
              <w:jc w:val="right"/>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Izmaiņu ietekme kopā:</w:t>
            </w:r>
          </w:p>
        </w:tc>
        <w:tc>
          <w:tcPr>
            <w:tcW w:w="993" w:type="dxa"/>
            <w:vAlign w:val="center"/>
          </w:tcPr>
          <w:p w14:paraId="541631E0"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+15,1</w:t>
            </w:r>
          </w:p>
        </w:tc>
        <w:tc>
          <w:tcPr>
            <w:tcW w:w="993" w:type="dxa"/>
            <w:vAlign w:val="center"/>
          </w:tcPr>
          <w:p w14:paraId="72844F84"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-0,3</w:t>
            </w:r>
          </w:p>
        </w:tc>
        <w:tc>
          <w:tcPr>
            <w:tcW w:w="993" w:type="dxa"/>
            <w:vAlign w:val="center"/>
          </w:tcPr>
          <w:p w14:paraId="58EB5F6E"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-0,5</w:t>
            </w:r>
          </w:p>
        </w:tc>
        <w:tc>
          <w:tcPr>
            <w:tcW w:w="993" w:type="dxa"/>
            <w:vAlign w:val="center"/>
          </w:tcPr>
          <w:p w14:paraId="58B8EF21"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-4,7</w:t>
            </w:r>
          </w:p>
        </w:tc>
      </w:tr>
    </w:tbl>
    <w:p w14:paraId="1EF5FC08" w14:textId="61902E95" w:rsidR="00CE6BCD" w:rsidRPr="00CE6BCD" w:rsidRDefault="00CE6BCD" w:rsidP="006A42EE">
      <w:pPr>
        <w:spacing w:before="120"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iCs/>
          <w:sz w:val="24"/>
          <w:szCs w:val="20"/>
        </w:rPr>
        <w:lastRenderedPageBreak/>
        <w:t>Vidēja termiņa makroekonomi</w:t>
      </w:r>
      <w:r w:rsidR="0035708E">
        <w:rPr>
          <w:rFonts w:ascii="Times New Roman" w:eastAsia="Times New Roman" w:hAnsi="Times New Roman" w:cs="Times New Roman"/>
          <w:iCs/>
          <w:sz w:val="24"/>
          <w:szCs w:val="20"/>
        </w:rPr>
        <w:t>skās attīstības prognozes 2017.</w:t>
      </w:r>
      <w:r w:rsidRPr="00CE6BCD">
        <w:rPr>
          <w:rFonts w:ascii="Times New Roman" w:eastAsia="Times New Roman" w:hAnsi="Times New Roman" w:cs="Times New Roman"/>
          <w:iCs/>
          <w:sz w:val="24"/>
          <w:szCs w:val="20"/>
        </w:rPr>
        <w:t xml:space="preserve">gadā paredz stabilu darba samaksas fonda palielināšanos, kas savukārt palielinās darba nodokļu ieņēmumus turpmāko gadu laikā, kā arī </w:t>
      </w:r>
      <w:r w:rsidR="0035708E">
        <w:rPr>
          <w:rFonts w:ascii="Times New Roman" w:eastAsia="Times New Roman" w:hAnsi="Times New Roman" w:cs="Times New Roman"/>
          <w:iCs/>
          <w:sz w:val="24"/>
          <w:szCs w:val="20"/>
        </w:rPr>
        <w:t>IIN</w:t>
      </w:r>
      <w:r w:rsidRPr="00CE6BCD">
        <w:rPr>
          <w:rFonts w:ascii="Times New Roman" w:eastAsia="Times New Roman" w:hAnsi="Times New Roman" w:cs="Times New Roman"/>
          <w:iCs/>
          <w:sz w:val="24"/>
          <w:szCs w:val="20"/>
        </w:rPr>
        <w:t xml:space="preserve"> ieņēmumus ietekmēs veiktās likumdošanas izmaiņas.</w:t>
      </w:r>
    </w:p>
    <w:p w14:paraId="6F1318E8" w14:textId="77777777" w:rsidR="00CE6BCD" w:rsidRPr="00CE6BCD" w:rsidRDefault="00CE6BCD" w:rsidP="00502866">
      <w:pPr>
        <w:spacing w:before="360" w:after="6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Sociālās apdrošināšanas iemaksas</w:t>
      </w:r>
      <w:r w:rsidRPr="00CE6BCD">
        <w:rPr>
          <w:rFonts w:ascii="Times New Roman" w:eastAsia="Times New Roman" w:hAnsi="Times New Roman" w:cs="Times New Roman"/>
          <w:b/>
          <w:sz w:val="24"/>
          <w:szCs w:val="24"/>
          <w:vertAlign w:val="superscript"/>
        </w:rPr>
        <w:footnoteReference w:id="32"/>
      </w:r>
    </w:p>
    <w:p w14:paraId="4AAF724B" w14:textId="0676CDE9" w:rsidR="00CE6BCD" w:rsidRPr="00CE6BCD" w:rsidRDefault="00CE6BCD" w:rsidP="0035708E">
      <w:pPr>
        <w:spacing w:after="0" w:line="240" w:lineRule="auto"/>
        <w:ind w:firstLine="567"/>
        <w:jc w:val="both"/>
        <w:rPr>
          <w:rFonts w:ascii="Times New Roman" w:eastAsia="Times New Roman" w:hAnsi="Times New Roman" w:cs="Times New Roman"/>
          <w:iCs/>
          <w:vanish/>
          <w:sz w:val="24"/>
          <w:szCs w:val="20"/>
        </w:rPr>
      </w:pPr>
      <w:r w:rsidRPr="00CE6BCD">
        <w:rPr>
          <w:rFonts w:ascii="Times New Roman" w:eastAsia="Times New Roman" w:hAnsi="Times New Roman" w:cs="Times New Roman"/>
          <w:iCs/>
          <w:sz w:val="24"/>
          <w:szCs w:val="20"/>
        </w:rPr>
        <w:t>Vidēja termiņa sociālās apdrošināšanas iemaksu ieņēmumu dinamiku noteiks ne tikai prognozētais darba samaksas fonda pieaugums, bet arī veiktās izmaiņas likumdošanā un izmaiņas iemaksu likmēs valsts fondēto pensiju shēmā.</w:t>
      </w:r>
      <w:r w:rsidRPr="00CE6BCD">
        <w:rPr>
          <w:rFonts w:ascii="Garamond" w:eastAsia="Times New Roman" w:hAnsi="Garamond" w:cs="Times New Roman"/>
          <w:iCs/>
          <w:sz w:val="20"/>
          <w:szCs w:val="20"/>
          <w:vertAlign w:val="superscript"/>
        </w:rPr>
        <w:footnoteReference w:id="33"/>
      </w:r>
    </w:p>
    <w:p w14:paraId="3FA374F9" w14:textId="180DFC80" w:rsidR="00CE6BCD" w:rsidRPr="00CE6BCD" w:rsidRDefault="00CE6BCD" w:rsidP="0035708E">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Būtiskā</w:t>
      </w:r>
      <w:r w:rsidR="0035708E">
        <w:rPr>
          <w:rFonts w:ascii="Times New Roman" w:eastAsia="Times New Roman" w:hAnsi="Times New Roman" w:cs="Times New Roman"/>
          <w:sz w:val="24"/>
          <w:szCs w:val="20"/>
        </w:rPr>
        <w:t>kās likumdošanas izmaiņas 2017.</w:t>
      </w:r>
      <w:r w:rsidRPr="00CE6BCD">
        <w:rPr>
          <w:rFonts w:ascii="Times New Roman" w:eastAsia="Times New Roman" w:hAnsi="Times New Roman" w:cs="Times New Roman"/>
          <w:sz w:val="24"/>
          <w:szCs w:val="20"/>
        </w:rPr>
        <w:t xml:space="preserve">gadā, kas ietekmē </w:t>
      </w:r>
      <w:r w:rsidRPr="00CE6BCD">
        <w:rPr>
          <w:rFonts w:ascii="Times New Roman" w:eastAsia="Times New Roman" w:hAnsi="Times New Roman" w:cs="Times New Roman"/>
          <w:iCs/>
          <w:sz w:val="24"/>
          <w:szCs w:val="20"/>
        </w:rPr>
        <w:t>sociālās apdrošināšanas iemaksu ieņēmumus,</w:t>
      </w:r>
      <w:r w:rsidRPr="00CE6BCD">
        <w:rPr>
          <w:rFonts w:ascii="Times New Roman" w:eastAsia="Times New Roman" w:hAnsi="Times New Roman" w:cs="Times New Roman"/>
          <w:sz w:val="24"/>
          <w:szCs w:val="20"/>
        </w:rPr>
        <w:t xml:space="preserve"> attiecas uz minimālās mēneša da</w:t>
      </w:r>
      <w:r w:rsidR="0035708E">
        <w:rPr>
          <w:rFonts w:ascii="Times New Roman" w:eastAsia="Times New Roman" w:hAnsi="Times New Roman" w:cs="Times New Roman"/>
          <w:sz w:val="24"/>
          <w:szCs w:val="20"/>
        </w:rPr>
        <w:t xml:space="preserve">rba algas palielināšanas no 370 </w:t>
      </w:r>
      <w:r w:rsidRPr="00CE6BCD">
        <w:rPr>
          <w:rFonts w:ascii="Times New Roman" w:eastAsia="Times New Roman" w:hAnsi="Times New Roman" w:cs="Times New Roman"/>
          <w:i/>
          <w:sz w:val="24"/>
          <w:szCs w:val="24"/>
        </w:rPr>
        <w:t>euro</w:t>
      </w:r>
      <w:r w:rsidR="0035708E">
        <w:rPr>
          <w:rFonts w:ascii="Times New Roman" w:eastAsia="Times New Roman" w:hAnsi="Times New Roman" w:cs="Times New Roman"/>
          <w:sz w:val="24"/>
          <w:szCs w:val="20"/>
        </w:rPr>
        <w:t xml:space="preserve"> līdz 380 </w:t>
      </w:r>
      <w:r w:rsidRPr="00CE6BCD">
        <w:rPr>
          <w:rFonts w:ascii="Times New Roman" w:eastAsia="Times New Roman" w:hAnsi="Times New Roman" w:cs="Times New Roman"/>
          <w:i/>
          <w:sz w:val="24"/>
          <w:szCs w:val="24"/>
        </w:rPr>
        <w:t>euro</w:t>
      </w:r>
      <w:r w:rsidRPr="00CE6BCD">
        <w:rPr>
          <w:rFonts w:ascii="Times New Roman" w:eastAsia="Times New Roman" w:hAnsi="Times New Roman" w:cs="Times New Roman"/>
          <w:sz w:val="24"/>
          <w:szCs w:val="20"/>
        </w:rPr>
        <w:t xml:space="preserve"> un </w:t>
      </w:r>
      <w:r w:rsidR="00D51057">
        <w:rPr>
          <w:rFonts w:ascii="Times New Roman" w:eastAsia="Times New Roman" w:hAnsi="Times New Roman" w:cs="Times New Roman"/>
          <w:sz w:val="24"/>
          <w:szCs w:val="24"/>
        </w:rPr>
        <w:t>VSAOI</w:t>
      </w:r>
      <w:r w:rsidRPr="00CE6BCD">
        <w:rPr>
          <w:rFonts w:ascii="Times New Roman" w:eastAsia="Times New Roman" w:hAnsi="Times New Roman" w:cs="Times New Roman"/>
          <w:sz w:val="24"/>
          <w:szCs w:val="24"/>
        </w:rPr>
        <w:t xml:space="preserve"> objekta maksimālā</w:t>
      </w:r>
      <w:r w:rsidR="0035708E">
        <w:rPr>
          <w:rFonts w:ascii="Times New Roman" w:eastAsia="Times New Roman" w:hAnsi="Times New Roman" w:cs="Times New Roman"/>
          <w:sz w:val="24"/>
          <w:szCs w:val="24"/>
        </w:rPr>
        <w:t xml:space="preserve"> apmēra palielināšana no 48 600 </w:t>
      </w:r>
      <w:r w:rsidRPr="00CE6BCD">
        <w:rPr>
          <w:rFonts w:ascii="Times New Roman" w:eastAsia="Times New Roman" w:hAnsi="Times New Roman" w:cs="Times New Roman"/>
          <w:i/>
          <w:sz w:val="24"/>
          <w:szCs w:val="24"/>
        </w:rPr>
        <w:t>euro</w:t>
      </w:r>
      <w:r w:rsidR="0035708E">
        <w:rPr>
          <w:rFonts w:ascii="Times New Roman" w:eastAsia="Times New Roman" w:hAnsi="Times New Roman" w:cs="Times New Roman"/>
          <w:sz w:val="24"/>
          <w:szCs w:val="24"/>
        </w:rPr>
        <w:t xml:space="preserve"> līdz 52 400 </w:t>
      </w:r>
      <w:r w:rsidRPr="00CE6BCD">
        <w:rPr>
          <w:rFonts w:ascii="Times New Roman" w:eastAsia="Times New Roman" w:hAnsi="Times New Roman" w:cs="Times New Roman"/>
          <w:i/>
          <w:sz w:val="24"/>
          <w:szCs w:val="24"/>
        </w:rPr>
        <w:t>euro</w:t>
      </w:r>
      <w:r w:rsidRPr="00CE6BCD">
        <w:rPr>
          <w:rFonts w:ascii="Times New Roman" w:eastAsia="Times New Roman" w:hAnsi="Times New Roman" w:cs="Times New Roman"/>
          <w:sz w:val="24"/>
          <w:szCs w:val="24"/>
        </w:rPr>
        <w:t>.</w:t>
      </w:r>
    </w:p>
    <w:p w14:paraId="7CCB5855" w14:textId="47D2C395" w:rsidR="00CE6BCD" w:rsidRPr="00CE6BCD" w:rsidRDefault="0035708E" w:rsidP="0035708E">
      <w:pPr>
        <w:spacing w:after="0" w:line="240" w:lineRule="auto"/>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0"/>
        </w:rPr>
        <w:t>2016.gadā tika plānot, ka ar 2017.</w:t>
      </w:r>
      <w:r w:rsidR="00CE6BCD" w:rsidRPr="00CE6BCD">
        <w:rPr>
          <w:rFonts w:ascii="Times New Roman" w:eastAsia="Times New Roman" w:hAnsi="Times New Roman" w:cs="Times New Roman"/>
          <w:bCs/>
          <w:sz w:val="24"/>
          <w:szCs w:val="20"/>
        </w:rPr>
        <w:t xml:space="preserve">gada 1.janvāri tiks ieviests darba ņēmēja un darba devēja minimālais </w:t>
      </w:r>
      <w:r w:rsidR="00D51057">
        <w:rPr>
          <w:rFonts w:ascii="Times New Roman" w:eastAsia="Times New Roman" w:hAnsi="Times New Roman" w:cs="Times New Roman"/>
          <w:bCs/>
          <w:sz w:val="24"/>
          <w:szCs w:val="20"/>
        </w:rPr>
        <w:t>VSAOI</w:t>
      </w:r>
      <w:r w:rsidR="00CE6BCD" w:rsidRPr="00CE6BCD">
        <w:rPr>
          <w:rFonts w:ascii="Times New Roman" w:eastAsia="Times New Roman" w:hAnsi="Times New Roman" w:cs="Times New Roman"/>
          <w:bCs/>
          <w:sz w:val="24"/>
          <w:szCs w:val="20"/>
        </w:rPr>
        <w:t xml:space="preserve"> objekts, kas paredz, ka darba devējam</w:t>
      </w:r>
      <w:r w:rsidR="00CE6BCD" w:rsidRPr="00CE6BCD">
        <w:rPr>
          <w:rFonts w:ascii="Times New Roman" w:eastAsia="Times New Roman" w:hAnsi="Times New Roman" w:cs="Times New Roman"/>
          <w:color w:val="000000"/>
          <w:sz w:val="24"/>
          <w:szCs w:val="20"/>
          <w:shd w:val="clear" w:color="auto" w:fill="FFFFFF"/>
        </w:rPr>
        <w:t xml:space="preserve"> ir noteikts minimālais </w:t>
      </w:r>
      <w:r w:rsidR="00D51057">
        <w:rPr>
          <w:rFonts w:ascii="Times New Roman" w:eastAsia="Times New Roman" w:hAnsi="Times New Roman" w:cs="Times New Roman"/>
          <w:bCs/>
          <w:sz w:val="24"/>
          <w:szCs w:val="20"/>
        </w:rPr>
        <w:t>VSAOI</w:t>
      </w:r>
      <w:r w:rsidR="00CE6BCD" w:rsidRPr="00CE6BCD">
        <w:rPr>
          <w:rFonts w:ascii="Times New Roman" w:eastAsia="Times New Roman" w:hAnsi="Times New Roman" w:cs="Times New Roman"/>
          <w:color w:val="000000"/>
          <w:sz w:val="24"/>
          <w:szCs w:val="20"/>
          <w:shd w:val="clear" w:color="auto" w:fill="FFFFFF"/>
        </w:rPr>
        <w:t xml:space="preserve"> objekts par katru darbinieku, kas nav mazāks par </w:t>
      </w:r>
      <w:r>
        <w:rPr>
          <w:rFonts w:ascii="Times New Roman" w:eastAsia="Times New Roman" w:hAnsi="Times New Roman" w:cs="Times New Roman"/>
          <w:color w:val="000000"/>
          <w:sz w:val="24"/>
          <w:szCs w:val="20"/>
          <w:shd w:val="clear" w:color="auto" w:fill="FFFFFF"/>
        </w:rPr>
        <w:t>MK</w:t>
      </w:r>
      <w:r w:rsidR="00CE6BCD" w:rsidRPr="00CE6BCD">
        <w:rPr>
          <w:rFonts w:ascii="Times New Roman" w:eastAsia="Times New Roman" w:hAnsi="Times New Roman" w:cs="Times New Roman"/>
          <w:color w:val="000000"/>
          <w:sz w:val="24"/>
          <w:szCs w:val="20"/>
          <w:shd w:val="clear" w:color="auto" w:fill="FFFFFF"/>
        </w:rPr>
        <w:t xml:space="preserve"> noteiktās minimālās mēneša darba algas apm</w:t>
      </w:r>
      <w:r>
        <w:rPr>
          <w:rFonts w:ascii="Times New Roman" w:eastAsia="Times New Roman" w:hAnsi="Times New Roman" w:cs="Times New Roman"/>
          <w:color w:val="000000"/>
          <w:sz w:val="24"/>
          <w:szCs w:val="20"/>
          <w:shd w:val="clear" w:color="auto" w:fill="FFFFFF"/>
        </w:rPr>
        <w:t>ēru. 2017.</w:t>
      </w:r>
      <w:r w:rsidR="00CE6BCD" w:rsidRPr="00CE6BCD">
        <w:rPr>
          <w:rFonts w:ascii="Times New Roman" w:eastAsia="Times New Roman" w:hAnsi="Times New Roman" w:cs="Times New Roman"/>
          <w:color w:val="000000"/>
          <w:sz w:val="24"/>
          <w:szCs w:val="20"/>
          <w:shd w:val="clear" w:color="auto" w:fill="FFFFFF"/>
        </w:rPr>
        <w:t>gadā –</w:t>
      </w:r>
      <w:r>
        <w:rPr>
          <w:rFonts w:ascii="Times New Roman" w:eastAsia="Times New Roman" w:hAnsi="Times New Roman" w:cs="Times New Roman"/>
          <w:color w:val="000000"/>
          <w:sz w:val="24"/>
          <w:szCs w:val="20"/>
          <w:shd w:val="clear" w:color="auto" w:fill="FFFFFF"/>
        </w:rPr>
        <w:t xml:space="preserve"> 3/4 no minētās summas un 2018.</w:t>
      </w:r>
      <w:r w:rsidR="00CE6BCD" w:rsidRPr="00CE6BCD">
        <w:rPr>
          <w:rFonts w:ascii="Times New Roman" w:eastAsia="Times New Roman" w:hAnsi="Times New Roman" w:cs="Times New Roman"/>
          <w:color w:val="000000"/>
          <w:sz w:val="24"/>
          <w:szCs w:val="20"/>
          <w:shd w:val="clear" w:color="auto" w:fill="FFFFFF"/>
        </w:rPr>
        <w:t xml:space="preserve">gadā pilnā apmērā. </w:t>
      </w:r>
      <w:r w:rsidR="00CE6BCD" w:rsidRPr="00CE6BCD">
        <w:rPr>
          <w:rFonts w:ascii="Times New Roman" w:eastAsia="Times New Roman" w:hAnsi="Times New Roman" w:cs="Times New Roman"/>
          <w:sz w:val="24"/>
          <w:szCs w:val="24"/>
          <w:lang w:eastAsia="lv-LV"/>
        </w:rPr>
        <w:t>Izvērtējot priekšrocības, atceļot iepriekš minēto izmaiņu ieviešanu, tika secināts, ka mikrouzņēmuma režīmā strādājošie varēs turpināt uzņēmējdarbību kā līdz šim, jo, samazinoties nodokļu slogam, būs mazāk uzņēmumu, kuri būs spiesti atlaist darbiniekus. Turklāt tiks novērsta situācija, ka mikrouzņēmumu nodokļu maksātājiem, kuru uzņēmējdarbībai ir sezonāls raksturs, ir jāmaksā nodokļi pat tad, ja faktiski netiek veikta uzņēmējdarbība.</w:t>
      </w:r>
    </w:p>
    <w:p w14:paraId="2008B9F4" w14:textId="00B21CBF" w:rsidR="00CE6BCD" w:rsidRPr="00CE6BCD" w:rsidRDefault="00CE6BCD" w:rsidP="0035708E">
      <w:pPr>
        <w:spacing w:after="0" w:line="240" w:lineRule="auto"/>
        <w:ind w:firstLine="567"/>
        <w:jc w:val="both"/>
        <w:rPr>
          <w:rFonts w:ascii="Times New Roman" w:eastAsia="Times New Roman" w:hAnsi="Times New Roman" w:cs="Times New Roman"/>
          <w:sz w:val="24"/>
          <w:szCs w:val="24"/>
          <w:lang w:eastAsia="lv-LV"/>
        </w:rPr>
      </w:pPr>
      <w:r w:rsidRPr="00CE6BCD">
        <w:rPr>
          <w:rFonts w:ascii="Times New Roman" w:eastAsia="Times New Roman" w:hAnsi="Times New Roman" w:cs="Times New Roman"/>
          <w:sz w:val="24"/>
          <w:szCs w:val="24"/>
          <w:lang w:eastAsia="lv-LV"/>
        </w:rPr>
        <w:t>Līdz a</w:t>
      </w:r>
      <w:r w:rsidR="0035708E">
        <w:rPr>
          <w:rFonts w:ascii="Times New Roman" w:eastAsia="Times New Roman" w:hAnsi="Times New Roman" w:cs="Times New Roman"/>
          <w:sz w:val="24"/>
          <w:szCs w:val="24"/>
          <w:lang w:eastAsia="lv-LV"/>
        </w:rPr>
        <w:t>r to ar 2017.gada 1.</w:t>
      </w:r>
      <w:r w:rsidRPr="00CE6BCD">
        <w:rPr>
          <w:rFonts w:ascii="Times New Roman" w:eastAsia="Times New Roman" w:hAnsi="Times New Roman" w:cs="Times New Roman"/>
          <w:sz w:val="24"/>
          <w:szCs w:val="24"/>
          <w:lang w:eastAsia="lv-LV"/>
        </w:rPr>
        <w:t>janvāri ir atceltas iepriekšējos gados pieņemtās likumdošana</w:t>
      </w:r>
      <w:r w:rsidR="0035708E">
        <w:rPr>
          <w:rFonts w:ascii="Times New Roman" w:eastAsia="Times New Roman" w:hAnsi="Times New Roman" w:cs="Times New Roman"/>
          <w:sz w:val="24"/>
          <w:szCs w:val="24"/>
          <w:lang w:eastAsia="lv-LV"/>
        </w:rPr>
        <w:t>s izmaiņas, kas iekļautas 2017.</w:t>
      </w:r>
      <w:r w:rsidRPr="00CE6BCD">
        <w:rPr>
          <w:rFonts w:ascii="Times New Roman" w:eastAsia="Times New Roman" w:hAnsi="Times New Roman" w:cs="Times New Roman"/>
          <w:sz w:val="24"/>
          <w:szCs w:val="24"/>
          <w:lang w:eastAsia="lv-LV"/>
        </w:rPr>
        <w:t xml:space="preserve">gada iemaksu bāzes prognozēs – darba ņēmēja un darba devēja minimālā </w:t>
      </w:r>
      <w:r w:rsidR="00D51057">
        <w:rPr>
          <w:rFonts w:ascii="Times New Roman" w:eastAsia="Times New Roman" w:hAnsi="Times New Roman" w:cs="Times New Roman"/>
          <w:sz w:val="24"/>
          <w:szCs w:val="24"/>
          <w:lang w:eastAsia="lv-LV"/>
        </w:rPr>
        <w:t>VSAOI</w:t>
      </w:r>
      <w:r w:rsidRPr="00CE6BCD">
        <w:rPr>
          <w:rFonts w:ascii="Times New Roman" w:eastAsia="Times New Roman" w:hAnsi="Times New Roman" w:cs="Times New Roman"/>
          <w:sz w:val="24"/>
          <w:szCs w:val="24"/>
          <w:lang w:eastAsia="lv-LV"/>
        </w:rPr>
        <w:t xml:space="preserve"> objekta ieviešana. Tā vietā ar fiskāli neitrālu ietekmi ir stājies spēkā normatīvo aktu grozījums Mikrouzņēmumu nodokļa </w:t>
      </w:r>
      <w:r w:rsidR="0035708E">
        <w:rPr>
          <w:rFonts w:ascii="Times New Roman" w:eastAsia="Times New Roman" w:hAnsi="Times New Roman" w:cs="Times New Roman"/>
          <w:sz w:val="24"/>
          <w:szCs w:val="24"/>
          <w:lang w:eastAsia="lv-LV"/>
        </w:rPr>
        <w:t>likumā, kas paredz, ka no 2017.gada 1.</w:t>
      </w:r>
      <w:r w:rsidRPr="00CE6BCD">
        <w:rPr>
          <w:rFonts w:ascii="Times New Roman" w:eastAsia="Times New Roman" w:hAnsi="Times New Roman" w:cs="Times New Roman"/>
          <w:sz w:val="24"/>
          <w:szCs w:val="24"/>
          <w:lang w:eastAsia="lv-LV"/>
        </w:rPr>
        <w:t xml:space="preserve">janvāra mikrouzņēmumu nodokļa likme mikrouzņēmuma apgrozījumam līdz 7 000 </w:t>
      </w:r>
      <w:r w:rsidRPr="00CE6BCD">
        <w:rPr>
          <w:rFonts w:ascii="Times New Roman" w:eastAsia="Times New Roman" w:hAnsi="Times New Roman" w:cs="Times New Roman"/>
          <w:i/>
          <w:sz w:val="24"/>
          <w:szCs w:val="24"/>
          <w:lang w:eastAsia="lv-LV"/>
        </w:rPr>
        <w:t>euro</w:t>
      </w:r>
      <w:r w:rsidRPr="00CE6BCD">
        <w:rPr>
          <w:rFonts w:ascii="Times New Roman" w:eastAsia="Times New Roman" w:hAnsi="Times New Roman" w:cs="Times New Roman"/>
          <w:sz w:val="24"/>
          <w:szCs w:val="24"/>
          <w:lang w:eastAsia="lv-LV"/>
        </w:rPr>
        <w:t xml:space="preserve"> būs 12% un mikrouzņēmumu nodokļa likme mikrouzņēmuma apgrozījumam no 7 000,01 līdz 100 000 </w:t>
      </w:r>
      <w:r w:rsidRPr="00CE6BCD">
        <w:rPr>
          <w:rFonts w:ascii="Times New Roman" w:eastAsia="Times New Roman" w:hAnsi="Times New Roman" w:cs="Times New Roman"/>
          <w:i/>
          <w:sz w:val="24"/>
          <w:szCs w:val="24"/>
          <w:lang w:eastAsia="lv-LV"/>
        </w:rPr>
        <w:t>euro</w:t>
      </w:r>
      <w:r w:rsidR="0035708E">
        <w:rPr>
          <w:rFonts w:ascii="Times New Roman" w:eastAsia="Times New Roman" w:hAnsi="Times New Roman" w:cs="Times New Roman"/>
          <w:sz w:val="24"/>
          <w:szCs w:val="24"/>
          <w:lang w:eastAsia="lv-LV"/>
        </w:rPr>
        <w:t xml:space="preserve"> būs 15%. No 2018.gada 1.j</w:t>
      </w:r>
      <w:r w:rsidRPr="00CE6BCD">
        <w:rPr>
          <w:rFonts w:ascii="Times New Roman" w:eastAsia="Times New Roman" w:hAnsi="Times New Roman" w:cs="Times New Roman"/>
          <w:sz w:val="24"/>
          <w:szCs w:val="24"/>
          <w:lang w:eastAsia="lv-LV"/>
        </w:rPr>
        <w:t>anvāra mik</w:t>
      </w:r>
      <w:r w:rsidR="0035708E">
        <w:rPr>
          <w:rFonts w:ascii="Times New Roman" w:eastAsia="Times New Roman" w:hAnsi="Times New Roman" w:cs="Times New Roman"/>
          <w:sz w:val="24"/>
          <w:szCs w:val="24"/>
          <w:lang w:eastAsia="lv-LV"/>
        </w:rPr>
        <w:t>rouzņēmumu nodokļa likme būs 15 procenti. Tāpat ar 2017.gada 1.</w:t>
      </w:r>
      <w:r w:rsidRPr="00CE6BCD">
        <w:rPr>
          <w:rFonts w:ascii="Times New Roman" w:eastAsia="Times New Roman" w:hAnsi="Times New Roman" w:cs="Times New Roman"/>
          <w:sz w:val="24"/>
          <w:szCs w:val="24"/>
          <w:lang w:eastAsia="lv-LV"/>
        </w:rPr>
        <w:t xml:space="preserve">janvāri ir mainīta mikrouzņēmumu nodokļa sadales kārtība – </w:t>
      </w:r>
      <w:r w:rsidRPr="00CE6BCD">
        <w:rPr>
          <w:rFonts w:ascii="Times New Roman" w:eastAsia="Times New Roman" w:hAnsi="Times New Roman" w:cs="Times New Roman"/>
          <w:sz w:val="24"/>
          <w:szCs w:val="24"/>
        </w:rPr>
        <w:t xml:space="preserve">mikrouzņēmuma nodokļa palielinājums tiek </w:t>
      </w:r>
      <w:r w:rsidRPr="00CE6BCD">
        <w:rPr>
          <w:rFonts w:ascii="Times New Roman" w:eastAsia="Times New Roman" w:hAnsi="Times New Roman" w:cs="Times New Roman"/>
          <w:sz w:val="24"/>
          <w:szCs w:val="24"/>
          <w:lang w:eastAsia="lv-LV"/>
        </w:rPr>
        <w:t>n</w:t>
      </w:r>
      <w:r w:rsidRPr="00CE6BCD">
        <w:rPr>
          <w:rFonts w:ascii="Times New Roman" w:eastAsia="Times New Roman" w:hAnsi="Times New Roman" w:cs="Times New Roman"/>
          <w:sz w:val="24"/>
          <w:szCs w:val="24"/>
        </w:rPr>
        <w:t>ovirzīts sociālās apdrošināšanas iemaksām un par mikrouzņēmuma darbiniekiem samaksātās sociālā</w:t>
      </w:r>
      <w:r w:rsidR="0035708E">
        <w:rPr>
          <w:rFonts w:ascii="Times New Roman" w:eastAsia="Times New Roman" w:hAnsi="Times New Roman" w:cs="Times New Roman"/>
          <w:sz w:val="24"/>
          <w:szCs w:val="24"/>
        </w:rPr>
        <w:t>s apdrošināšanas iemaksas 2017.</w:t>
      </w:r>
      <w:r w:rsidRPr="00CE6BCD">
        <w:rPr>
          <w:rFonts w:ascii="Times New Roman" w:eastAsia="Times New Roman" w:hAnsi="Times New Roman" w:cs="Times New Roman"/>
          <w:sz w:val="24"/>
          <w:szCs w:val="24"/>
        </w:rPr>
        <w:t>gadā vidēji palielināsies (salīdzinot ar šā br</w:t>
      </w:r>
      <w:r w:rsidR="0035708E">
        <w:rPr>
          <w:rFonts w:ascii="Times New Roman" w:eastAsia="Times New Roman" w:hAnsi="Times New Roman" w:cs="Times New Roman"/>
          <w:sz w:val="24"/>
          <w:szCs w:val="24"/>
        </w:rPr>
        <w:t>īža situāciju) par 62% un 2018.</w:t>
      </w:r>
      <w:r w:rsidRPr="00CE6BCD">
        <w:rPr>
          <w:rFonts w:ascii="Times New Roman" w:eastAsia="Times New Roman" w:hAnsi="Times New Roman" w:cs="Times New Roman"/>
          <w:sz w:val="24"/>
          <w:szCs w:val="24"/>
        </w:rPr>
        <w:t xml:space="preserve">gadā par 84%, attiecīgi palielinot darbinieku gan īstermiņa, gan ilgtermiņa sociālās apdrošināšanas pakalpojumu apjomu, vienlaikus veicinot sociālā budžeta ilgtspējību. </w:t>
      </w:r>
    </w:p>
    <w:p w14:paraId="254D004D" w14:textId="77777777" w:rsidR="00BE6FBC" w:rsidRDefault="00BE6FBC">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56808A30" w14:textId="6959638D" w:rsidR="00CE6BCD" w:rsidRPr="00CE6BCD" w:rsidRDefault="006A42EE" w:rsidP="006A42EE">
      <w:pPr>
        <w:keepNext/>
        <w:spacing w:before="120" w:after="6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6.9.</w:t>
      </w:r>
      <w:r w:rsidR="00CE6BCD" w:rsidRPr="00CE6BCD">
        <w:rPr>
          <w:rFonts w:ascii="Times New Roman" w:eastAsia="Times New Roman" w:hAnsi="Times New Roman" w:cs="Times New Roman"/>
          <w:b/>
          <w:sz w:val="24"/>
          <w:szCs w:val="20"/>
        </w:rPr>
        <w:t xml:space="preserve">tabula. Nodokļu politikas izmaiņu ietekme uz sociālās apdrošināšanas iemaksu </w:t>
      </w:r>
      <w:r w:rsidR="00CE6BCD" w:rsidRPr="00616BA1">
        <w:rPr>
          <w:rFonts w:ascii="Times New Roman" w:eastAsia="Times New Roman" w:hAnsi="Times New Roman" w:cs="Times New Roman"/>
          <w:b/>
          <w:sz w:val="24"/>
          <w:szCs w:val="20"/>
        </w:rPr>
        <w:t>ieņēmumiem</w:t>
      </w:r>
      <w:r w:rsidR="00CE6BCD" w:rsidRPr="00616BA1">
        <w:rPr>
          <w:rFonts w:ascii="Times New Roman" w:eastAsia="Times New Roman" w:hAnsi="Times New Roman" w:cs="Times New Roman"/>
          <w:b/>
          <w:sz w:val="20"/>
          <w:szCs w:val="20"/>
          <w:vertAlign w:val="superscript"/>
        </w:rPr>
        <w:footnoteReference w:id="34"/>
      </w:r>
      <w:r w:rsidR="00CE6BCD" w:rsidRPr="00616BA1">
        <w:rPr>
          <w:rFonts w:ascii="Times New Roman" w:eastAsia="Times New Roman" w:hAnsi="Times New Roman" w:cs="Times New Roman"/>
          <w:b/>
          <w:sz w:val="24"/>
          <w:szCs w:val="20"/>
        </w:rPr>
        <w:t>,</w:t>
      </w:r>
      <w:r w:rsidR="00CE6BCD" w:rsidRPr="00CE6BCD">
        <w:rPr>
          <w:rFonts w:ascii="Times New Roman" w:eastAsia="Times New Roman" w:hAnsi="Times New Roman" w:cs="Times New Roman"/>
          <w:b/>
          <w:sz w:val="24"/>
          <w:szCs w:val="20"/>
        </w:rPr>
        <w:t xml:space="preserve"> milj. </w:t>
      </w:r>
      <w:r w:rsidR="00CE6BCD" w:rsidRPr="00CE6BCD">
        <w:rPr>
          <w:rFonts w:ascii="Times New Roman" w:eastAsia="Times New Roman" w:hAnsi="Times New Roman" w:cs="Times New Roman"/>
          <w:b/>
          <w:i/>
          <w:sz w:val="24"/>
          <w:szCs w:val="20"/>
        </w:rPr>
        <w:t>euro</w:t>
      </w:r>
    </w:p>
    <w:tbl>
      <w:tblPr>
        <w:tblStyle w:val="GridTable6Colorful-Accent1"/>
        <w:tblW w:w="9072" w:type="dxa"/>
        <w:jc w:val="center"/>
        <w:tblLayout w:type="fixed"/>
        <w:tblLook w:val="04A0" w:firstRow="1" w:lastRow="0" w:firstColumn="1" w:lastColumn="0" w:noHBand="0" w:noVBand="1"/>
      </w:tblPr>
      <w:tblGrid>
        <w:gridCol w:w="6096"/>
        <w:gridCol w:w="992"/>
        <w:gridCol w:w="992"/>
        <w:gridCol w:w="992"/>
      </w:tblGrid>
      <w:tr w:rsidR="00616BA1" w:rsidRPr="00616BA1" w14:paraId="21D28EDD" w14:textId="77777777" w:rsidTr="00B276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6" w:type="dxa"/>
          </w:tcPr>
          <w:p w14:paraId="1C4246E8" w14:textId="77777777" w:rsidR="00CE6BCD" w:rsidRPr="00616BA1" w:rsidRDefault="00CE6BCD" w:rsidP="00CE6BCD">
            <w:pPr>
              <w:rPr>
                <w:rFonts w:ascii="Times New Roman" w:eastAsia="Times New Roman" w:hAnsi="Times New Roman" w:cs="Times New Roman"/>
                <w:color w:val="auto"/>
                <w:sz w:val="20"/>
                <w:szCs w:val="20"/>
              </w:rPr>
            </w:pPr>
          </w:p>
        </w:tc>
        <w:tc>
          <w:tcPr>
            <w:tcW w:w="992" w:type="dxa"/>
          </w:tcPr>
          <w:p w14:paraId="35A6E23C"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2017</w:t>
            </w:r>
          </w:p>
        </w:tc>
        <w:tc>
          <w:tcPr>
            <w:tcW w:w="992" w:type="dxa"/>
          </w:tcPr>
          <w:p w14:paraId="5E41FB3A"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2018</w:t>
            </w:r>
          </w:p>
        </w:tc>
        <w:tc>
          <w:tcPr>
            <w:tcW w:w="992" w:type="dxa"/>
          </w:tcPr>
          <w:p w14:paraId="244FBB56"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2019</w:t>
            </w:r>
          </w:p>
        </w:tc>
      </w:tr>
      <w:tr w:rsidR="00616BA1" w:rsidRPr="00616BA1" w14:paraId="6340C2EF"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6" w:type="dxa"/>
          </w:tcPr>
          <w:p w14:paraId="25BF65BD" w14:textId="6C6BAFA1" w:rsidR="00CE6BCD" w:rsidRPr="00616BA1" w:rsidRDefault="00CE6BCD" w:rsidP="00D51057">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Mēneša minimālā </w:t>
            </w:r>
            <w:r w:rsidR="00D51057">
              <w:rPr>
                <w:rFonts w:ascii="Times New Roman" w:eastAsia="Times New Roman" w:hAnsi="Times New Roman" w:cs="Times New Roman"/>
                <w:b w:val="0"/>
                <w:color w:val="auto"/>
                <w:sz w:val="20"/>
                <w:szCs w:val="20"/>
              </w:rPr>
              <w:t>VSAOI</w:t>
            </w:r>
            <w:r w:rsidRPr="00616BA1">
              <w:rPr>
                <w:rFonts w:ascii="Times New Roman" w:eastAsia="Times New Roman" w:hAnsi="Times New Roman" w:cs="Times New Roman"/>
                <w:b w:val="0"/>
                <w:color w:val="auto"/>
                <w:sz w:val="20"/>
                <w:szCs w:val="20"/>
              </w:rPr>
              <w:t xml:space="preserve"> objekta noteikšana ar 2017. gadu</w:t>
            </w:r>
          </w:p>
        </w:tc>
        <w:tc>
          <w:tcPr>
            <w:tcW w:w="992" w:type="dxa"/>
            <w:vAlign w:val="center"/>
          </w:tcPr>
          <w:p w14:paraId="3AAED901"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+76,3</w:t>
            </w:r>
          </w:p>
        </w:tc>
        <w:tc>
          <w:tcPr>
            <w:tcW w:w="992" w:type="dxa"/>
            <w:vAlign w:val="center"/>
          </w:tcPr>
          <w:p w14:paraId="60C7D0EE"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+21,7</w:t>
            </w:r>
          </w:p>
        </w:tc>
        <w:tc>
          <w:tcPr>
            <w:tcW w:w="992" w:type="dxa"/>
            <w:vAlign w:val="center"/>
          </w:tcPr>
          <w:p w14:paraId="6CA724EE"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2CA2360E"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6096" w:type="dxa"/>
          </w:tcPr>
          <w:p w14:paraId="46832A0F" w14:textId="78F5A663" w:rsidR="00CE6BCD" w:rsidRPr="00616BA1" w:rsidRDefault="00D51057" w:rsidP="00CE6BCD">
            <w:pPr>
              <w:rPr>
                <w:rFonts w:ascii="Times New Roman" w:eastAsia="Times New Roman" w:hAnsi="Times New Roman" w:cs="Times New Roman"/>
                <w:b w:val="0"/>
                <w:color w:val="auto"/>
                <w:sz w:val="20"/>
                <w:szCs w:val="20"/>
              </w:rPr>
            </w:pPr>
            <w:r>
              <w:rPr>
                <w:rFonts w:ascii="Times New Roman" w:eastAsia="Times New Roman" w:hAnsi="Times New Roman" w:cs="Times New Roman"/>
                <w:b w:val="0"/>
                <w:color w:val="auto"/>
                <w:sz w:val="20"/>
                <w:szCs w:val="20"/>
              </w:rPr>
              <w:t>VSAOI</w:t>
            </w:r>
            <w:r w:rsidR="00CE6BCD" w:rsidRPr="00616BA1">
              <w:rPr>
                <w:rFonts w:ascii="Times New Roman" w:eastAsia="Times New Roman" w:hAnsi="Times New Roman" w:cs="Times New Roman"/>
                <w:b w:val="0"/>
                <w:color w:val="auto"/>
                <w:sz w:val="20"/>
                <w:szCs w:val="20"/>
              </w:rPr>
              <w:t xml:space="preserve"> objekta maksimālā apmēra palielināšana no 48 600 </w:t>
            </w:r>
            <w:r w:rsidR="00CE6BCD" w:rsidRPr="00616BA1">
              <w:rPr>
                <w:rFonts w:ascii="Times New Roman" w:eastAsia="Times New Roman" w:hAnsi="Times New Roman" w:cs="Times New Roman"/>
                <w:b w:val="0"/>
                <w:i/>
                <w:color w:val="auto"/>
                <w:sz w:val="20"/>
                <w:szCs w:val="20"/>
              </w:rPr>
              <w:t>euro</w:t>
            </w:r>
            <w:r w:rsidR="00CE6BCD" w:rsidRPr="00616BA1">
              <w:rPr>
                <w:rFonts w:ascii="Times New Roman" w:eastAsia="Times New Roman" w:hAnsi="Times New Roman" w:cs="Times New Roman"/>
                <w:b w:val="0"/>
                <w:color w:val="auto"/>
                <w:sz w:val="20"/>
                <w:szCs w:val="20"/>
              </w:rPr>
              <w:t xml:space="preserve"> līdz 52 400 </w:t>
            </w:r>
            <w:r w:rsidR="00CE6BCD" w:rsidRPr="00616BA1">
              <w:rPr>
                <w:rFonts w:ascii="Times New Roman" w:eastAsia="Times New Roman" w:hAnsi="Times New Roman" w:cs="Times New Roman"/>
                <w:b w:val="0"/>
                <w:i/>
                <w:color w:val="auto"/>
                <w:sz w:val="20"/>
                <w:szCs w:val="20"/>
              </w:rPr>
              <w:t>euro</w:t>
            </w:r>
            <w:r w:rsidR="00CE6BCD" w:rsidRPr="00616BA1">
              <w:rPr>
                <w:rFonts w:ascii="Times New Roman" w:eastAsia="Times New Roman" w:hAnsi="Times New Roman" w:cs="Times New Roman"/>
                <w:b w:val="0"/>
                <w:color w:val="auto"/>
                <w:sz w:val="20"/>
                <w:szCs w:val="20"/>
              </w:rPr>
              <w:t>.</w:t>
            </w:r>
          </w:p>
        </w:tc>
        <w:tc>
          <w:tcPr>
            <w:tcW w:w="992" w:type="dxa"/>
            <w:vAlign w:val="center"/>
          </w:tcPr>
          <w:p w14:paraId="30F1561F"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+5,3</w:t>
            </w:r>
          </w:p>
        </w:tc>
        <w:tc>
          <w:tcPr>
            <w:tcW w:w="992" w:type="dxa"/>
            <w:vAlign w:val="center"/>
          </w:tcPr>
          <w:p w14:paraId="3581A07B"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2" w:type="dxa"/>
            <w:vAlign w:val="center"/>
          </w:tcPr>
          <w:p w14:paraId="48F65185"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7C8BADE9"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6" w:type="dxa"/>
          </w:tcPr>
          <w:p w14:paraId="66008FA6"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Mēneša minimālās algas paaugstināšana no 370 </w:t>
            </w:r>
            <w:r w:rsidRPr="00616BA1">
              <w:rPr>
                <w:rFonts w:ascii="Times New Roman" w:eastAsia="Times New Roman" w:hAnsi="Times New Roman" w:cs="Times New Roman"/>
                <w:b w:val="0"/>
                <w:i/>
                <w:color w:val="auto"/>
                <w:sz w:val="20"/>
                <w:szCs w:val="20"/>
              </w:rPr>
              <w:t>euro</w:t>
            </w:r>
            <w:r w:rsidRPr="00616BA1">
              <w:rPr>
                <w:rFonts w:ascii="Times New Roman" w:eastAsia="Times New Roman" w:hAnsi="Times New Roman" w:cs="Times New Roman"/>
                <w:b w:val="0"/>
                <w:color w:val="auto"/>
                <w:sz w:val="20"/>
                <w:szCs w:val="20"/>
              </w:rPr>
              <w:t xml:space="preserve"> līdz 380 </w:t>
            </w:r>
            <w:r w:rsidRPr="00616BA1">
              <w:rPr>
                <w:rFonts w:ascii="Times New Roman" w:eastAsia="Times New Roman" w:hAnsi="Times New Roman" w:cs="Times New Roman"/>
                <w:b w:val="0"/>
                <w:i/>
                <w:color w:val="auto"/>
                <w:sz w:val="20"/>
                <w:szCs w:val="20"/>
              </w:rPr>
              <w:t>euro</w:t>
            </w:r>
          </w:p>
        </w:tc>
        <w:tc>
          <w:tcPr>
            <w:tcW w:w="992" w:type="dxa"/>
            <w:vAlign w:val="center"/>
          </w:tcPr>
          <w:p w14:paraId="3E93C7F8"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+6,3</w:t>
            </w:r>
          </w:p>
        </w:tc>
        <w:tc>
          <w:tcPr>
            <w:tcW w:w="992" w:type="dxa"/>
            <w:vAlign w:val="center"/>
          </w:tcPr>
          <w:p w14:paraId="466B47D1"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2" w:type="dxa"/>
            <w:vAlign w:val="center"/>
          </w:tcPr>
          <w:p w14:paraId="1CAEE4C9"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25148C85"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6096" w:type="dxa"/>
          </w:tcPr>
          <w:p w14:paraId="159BBB02" w14:textId="5F348DE9" w:rsidR="00CE6BCD" w:rsidRPr="00616BA1" w:rsidRDefault="00CE6BCD" w:rsidP="0035708E">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Cīņa ar ēnu ekonomiku un citi pasākumi, lai uzlabotu nodokļu administrēšanu (t.sk., ātra, ērta un efektīva risinājumu ieviešana piedziņas vēršanai uz naudas līdzekļiem parādnieku banku kontos, nodrošinot </w:t>
            </w:r>
            <w:r w:rsidR="0035708E" w:rsidRPr="00616BA1">
              <w:rPr>
                <w:rFonts w:ascii="Times New Roman" w:eastAsia="Times New Roman" w:hAnsi="Times New Roman" w:cs="Times New Roman"/>
                <w:b w:val="0"/>
                <w:color w:val="auto"/>
                <w:sz w:val="20"/>
                <w:szCs w:val="20"/>
              </w:rPr>
              <w:t>VID</w:t>
            </w:r>
            <w:r w:rsidRPr="00616BA1">
              <w:rPr>
                <w:rFonts w:ascii="Times New Roman" w:eastAsia="Times New Roman" w:hAnsi="Times New Roman" w:cs="Times New Roman"/>
                <w:b w:val="0"/>
                <w:color w:val="auto"/>
                <w:sz w:val="20"/>
                <w:szCs w:val="20"/>
              </w:rPr>
              <w:t xml:space="preserve"> un kredītiestāžu elektronisko datu apmaiņu u.c.)</w:t>
            </w:r>
          </w:p>
        </w:tc>
        <w:tc>
          <w:tcPr>
            <w:tcW w:w="992" w:type="dxa"/>
            <w:vAlign w:val="center"/>
          </w:tcPr>
          <w:p w14:paraId="1261FCD8"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+1,7</w:t>
            </w:r>
          </w:p>
        </w:tc>
        <w:tc>
          <w:tcPr>
            <w:tcW w:w="992" w:type="dxa"/>
            <w:vAlign w:val="center"/>
          </w:tcPr>
          <w:p w14:paraId="542D9806"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2" w:type="dxa"/>
            <w:vAlign w:val="center"/>
          </w:tcPr>
          <w:p w14:paraId="742E08CD"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73D72211"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6" w:type="dxa"/>
          </w:tcPr>
          <w:p w14:paraId="205FA176" w14:textId="7CC80AAE" w:rsidR="00CE6BCD" w:rsidRPr="00616BA1" w:rsidRDefault="0035708E"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IIN</w:t>
            </w:r>
            <w:r w:rsidR="00CE6BCD" w:rsidRPr="00616BA1">
              <w:rPr>
                <w:rFonts w:ascii="Times New Roman" w:eastAsia="Times New Roman" w:hAnsi="Times New Roman" w:cs="Times New Roman"/>
                <w:b w:val="0"/>
                <w:color w:val="auto"/>
                <w:sz w:val="20"/>
                <w:szCs w:val="20"/>
              </w:rPr>
              <w:t xml:space="preserve"> atvieglojuma ieviešana vienai no koplīgumā noteiktajām darbinieku sociālajām garantijām</w:t>
            </w:r>
          </w:p>
        </w:tc>
        <w:tc>
          <w:tcPr>
            <w:tcW w:w="992" w:type="dxa"/>
            <w:vAlign w:val="center"/>
          </w:tcPr>
          <w:p w14:paraId="0FC1E8DD"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-1,6</w:t>
            </w:r>
          </w:p>
        </w:tc>
        <w:tc>
          <w:tcPr>
            <w:tcW w:w="992" w:type="dxa"/>
            <w:vAlign w:val="center"/>
          </w:tcPr>
          <w:p w14:paraId="1D0F1438"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2" w:type="dxa"/>
            <w:vAlign w:val="center"/>
          </w:tcPr>
          <w:p w14:paraId="66876914"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55B11B92"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6096" w:type="dxa"/>
          </w:tcPr>
          <w:p w14:paraId="1F42E568"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Nodokļa avansa ieviešana taksometru nozarei</w:t>
            </w:r>
          </w:p>
        </w:tc>
        <w:tc>
          <w:tcPr>
            <w:tcW w:w="992" w:type="dxa"/>
            <w:vAlign w:val="center"/>
          </w:tcPr>
          <w:p w14:paraId="64678ABD"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+2,1</w:t>
            </w:r>
          </w:p>
        </w:tc>
        <w:tc>
          <w:tcPr>
            <w:tcW w:w="992" w:type="dxa"/>
            <w:vAlign w:val="center"/>
          </w:tcPr>
          <w:p w14:paraId="73426B32"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2" w:type="dxa"/>
            <w:vAlign w:val="center"/>
          </w:tcPr>
          <w:p w14:paraId="561744A4"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19741670"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6" w:type="dxa"/>
          </w:tcPr>
          <w:p w14:paraId="067BA1A2"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Jaunuzņēmumu darbības atbalsta likums</w:t>
            </w:r>
          </w:p>
        </w:tc>
        <w:tc>
          <w:tcPr>
            <w:tcW w:w="992" w:type="dxa"/>
            <w:vAlign w:val="center"/>
          </w:tcPr>
          <w:p w14:paraId="4FF4856A"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+0,4</w:t>
            </w:r>
          </w:p>
        </w:tc>
        <w:tc>
          <w:tcPr>
            <w:tcW w:w="992" w:type="dxa"/>
            <w:vAlign w:val="center"/>
          </w:tcPr>
          <w:p w14:paraId="72AF0ADF"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2" w:type="dxa"/>
            <w:vAlign w:val="center"/>
          </w:tcPr>
          <w:p w14:paraId="40410546"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505174F7"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6096" w:type="dxa"/>
          </w:tcPr>
          <w:p w14:paraId="158D8F85"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Mikrouzņēmuma nodokļa likmes noteikšana 12%/15% apmērā</w:t>
            </w:r>
          </w:p>
        </w:tc>
        <w:tc>
          <w:tcPr>
            <w:tcW w:w="992" w:type="dxa"/>
            <w:vAlign w:val="center"/>
          </w:tcPr>
          <w:p w14:paraId="72C7AA12"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+57,7</w:t>
            </w:r>
          </w:p>
        </w:tc>
        <w:tc>
          <w:tcPr>
            <w:tcW w:w="992" w:type="dxa"/>
            <w:vAlign w:val="center"/>
          </w:tcPr>
          <w:p w14:paraId="70D45CB0"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+20,0</w:t>
            </w:r>
          </w:p>
        </w:tc>
        <w:tc>
          <w:tcPr>
            <w:tcW w:w="992" w:type="dxa"/>
            <w:vAlign w:val="center"/>
          </w:tcPr>
          <w:p w14:paraId="1DF4B85C"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184C51E5"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6" w:type="dxa"/>
          </w:tcPr>
          <w:p w14:paraId="600115E0" w14:textId="572FB8B3" w:rsidR="00CE6BCD" w:rsidRPr="00616BA1" w:rsidRDefault="00CE6BCD" w:rsidP="00D51057">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 xml:space="preserve">Darba ņēmēja un darba devēja pārskata mēneša minimālā </w:t>
            </w:r>
            <w:r w:rsidR="00D51057">
              <w:rPr>
                <w:rFonts w:ascii="Times New Roman" w:eastAsia="Times New Roman" w:hAnsi="Times New Roman" w:cs="Times New Roman"/>
                <w:b w:val="0"/>
                <w:color w:val="auto"/>
                <w:sz w:val="20"/>
                <w:szCs w:val="20"/>
              </w:rPr>
              <w:t>VSAOI</w:t>
            </w:r>
            <w:r w:rsidRPr="00616BA1">
              <w:rPr>
                <w:rFonts w:ascii="Times New Roman" w:eastAsia="Times New Roman" w:hAnsi="Times New Roman" w:cs="Times New Roman"/>
                <w:b w:val="0"/>
                <w:color w:val="auto"/>
                <w:sz w:val="20"/>
                <w:szCs w:val="20"/>
              </w:rPr>
              <w:t xml:space="preserve"> objekta noteikšanu, sākot ar 2017.gadu atcelšana</w:t>
            </w:r>
          </w:p>
        </w:tc>
        <w:tc>
          <w:tcPr>
            <w:tcW w:w="992" w:type="dxa"/>
            <w:vAlign w:val="center"/>
          </w:tcPr>
          <w:p w14:paraId="24B10CAA"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-57,2</w:t>
            </w:r>
          </w:p>
        </w:tc>
        <w:tc>
          <w:tcPr>
            <w:tcW w:w="992" w:type="dxa"/>
            <w:vAlign w:val="center"/>
          </w:tcPr>
          <w:p w14:paraId="373FAAE1"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-40,8</w:t>
            </w:r>
          </w:p>
        </w:tc>
        <w:tc>
          <w:tcPr>
            <w:tcW w:w="992" w:type="dxa"/>
            <w:vAlign w:val="center"/>
          </w:tcPr>
          <w:p w14:paraId="208B3A67"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16BA1" w:rsidRPr="00616BA1" w14:paraId="5DFE3DCD"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6096" w:type="dxa"/>
          </w:tcPr>
          <w:p w14:paraId="42EE74D0" w14:textId="77777777" w:rsidR="00CE6BCD" w:rsidRPr="00616BA1" w:rsidRDefault="00CE6BCD" w:rsidP="00616BA1">
            <w:pPr>
              <w:jc w:val="right"/>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Izmaiņu ietekme kopā:</w:t>
            </w:r>
          </w:p>
        </w:tc>
        <w:tc>
          <w:tcPr>
            <w:tcW w:w="992" w:type="dxa"/>
            <w:vAlign w:val="center"/>
          </w:tcPr>
          <w:p w14:paraId="5104395C"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+90,9</w:t>
            </w:r>
          </w:p>
        </w:tc>
        <w:tc>
          <w:tcPr>
            <w:tcW w:w="992" w:type="dxa"/>
            <w:vAlign w:val="center"/>
          </w:tcPr>
          <w:p w14:paraId="2A196A8C"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616BA1">
              <w:rPr>
                <w:rFonts w:ascii="Times New Roman" w:eastAsia="Times New Roman" w:hAnsi="Times New Roman" w:cs="Times New Roman"/>
                <w:b/>
                <w:color w:val="auto"/>
                <w:sz w:val="20"/>
                <w:szCs w:val="20"/>
              </w:rPr>
              <w:t>+0,9</w:t>
            </w:r>
          </w:p>
        </w:tc>
        <w:tc>
          <w:tcPr>
            <w:tcW w:w="992" w:type="dxa"/>
            <w:vAlign w:val="center"/>
          </w:tcPr>
          <w:p w14:paraId="2C193475"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p>
        </w:tc>
      </w:tr>
    </w:tbl>
    <w:p w14:paraId="74B5986E" w14:textId="6532434E" w:rsidR="00CE6BCD" w:rsidRPr="00CE6BCD" w:rsidRDefault="00CE6BCD" w:rsidP="006A42EE">
      <w:pPr>
        <w:spacing w:before="120"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Sociālās apdrošināšanas iemaksu apmēru valsts speciālajā budžetā ietekmē arī iemaksu likme valsts f</w:t>
      </w:r>
      <w:r w:rsidR="0035708E">
        <w:rPr>
          <w:rFonts w:ascii="Times New Roman" w:eastAsia="Times New Roman" w:hAnsi="Times New Roman" w:cs="Times New Roman"/>
          <w:sz w:val="24"/>
          <w:szCs w:val="20"/>
        </w:rPr>
        <w:t>ondēto pensiju shēmā, kas 2016.</w:t>
      </w:r>
      <w:r w:rsidRPr="00CE6BCD">
        <w:rPr>
          <w:rFonts w:ascii="Times New Roman" w:eastAsia="Times New Roman" w:hAnsi="Times New Roman" w:cs="Times New Roman"/>
          <w:sz w:val="24"/>
          <w:szCs w:val="20"/>
        </w:rPr>
        <w:t>gadā tika paaugstināta no 5% līdz 6%, bet turpmākajos gados netiek plānotas likmes izmaiņas.</w:t>
      </w:r>
    </w:p>
    <w:p w14:paraId="6E9C1C6B" w14:textId="77777777" w:rsidR="00CE6BCD" w:rsidRPr="00CE6BCD" w:rsidRDefault="00CE6BCD" w:rsidP="00502866">
      <w:pPr>
        <w:spacing w:before="360" w:after="6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Elektroenerģijas nodoklis</w:t>
      </w:r>
    </w:p>
    <w:p w14:paraId="75FB32F9" w14:textId="77777777" w:rsidR="00CE6BCD" w:rsidRPr="00CE6BCD" w:rsidRDefault="00CE6BCD" w:rsidP="0035708E">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 xml:space="preserve">Elektroenerģijas nodokli piemēro sākot ar 2007.gada 1.janvāri un to regulē Elektroenerģijas nodokļa likums, kas nosaka kārtību, kādā elektroenerģiju apliek ar elektroenerģijas nodokli. </w:t>
      </w:r>
    </w:p>
    <w:p w14:paraId="40DF6F45" w14:textId="666DEB5F" w:rsidR="00CE6BCD" w:rsidRPr="00CE6BCD" w:rsidRDefault="00CE6BCD" w:rsidP="0035708E">
      <w:pPr>
        <w:spacing w:after="0" w:line="240" w:lineRule="auto"/>
        <w:ind w:firstLine="567"/>
        <w:jc w:val="both"/>
        <w:rPr>
          <w:rFonts w:ascii="Times New Roman" w:eastAsia="Times New Roman" w:hAnsi="Times New Roman" w:cs="Times New Roman"/>
          <w:i/>
          <w:sz w:val="24"/>
          <w:szCs w:val="20"/>
        </w:rPr>
      </w:pPr>
      <w:r w:rsidRPr="00CE6BCD">
        <w:rPr>
          <w:rFonts w:ascii="Times New Roman" w:eastAsia="Times New Roman" w:hAnsi="Times New Roman" w:cs="Times New Roman"/>
          <w:sz w:val="24"/>
          <w:szCs w:val="20"/>
        </w:rPr>
        <w:t>Elektroenerģijas nodoklis ir daļa no izmaksām, kuras tiek iecenotas tirdzniecības pakalpojumu cenā, jo nodokļu maksātājs ir elektroenerģijas tirgotājs un elektroenerģijas ražotājs. Elektroenerģijas nodokļa likme ir 1,01</w:t>
      </w:r>
      <w:r w:rsidR="0035708E">
        <w:rPr>
          <w:rFonts w:ascii="Times New Roman" w:eastAsia="Times New Roman" w:hAnsi="Times New Roman" w:cs="Times New Roman"/>
          <w:sz w:val="24"/>
          <w:szCs w:val="20"/>
        </w:rPr>
        <w:t xml:space="preserve"> </w:t>
      </w:r>
      <w:r w:rsidRPr="00CE6BCD">
        <w:rPr>
          <w:rFonts w:ascii="Times New Roman" w:eastAsia="Times New Roman" w:hAnsi="Times New Roman" w:cs="Times New Roman"/>
          <w:i/>
          <w:sz w:val="24"/>
          <w:szCs w:val="20"/>
        </w:rPr>
        <w:t>euro</w:t>
      </w:r>
      <w:r w:rsidR="0035708E">
        <w:rPr>
          <w:rFonts w:ascii="Times New Roman" w:eastAsia="Times New Roman" w:hAnsi="Times New Roman" w:cs="Times New Roman"/>
          <w:sz w:val="24"/>
          <w:szCs w:val="20"/>
        </w:rPr>
        <w:t xml:space="preserve"> par megavatstundu, tas ir 0,10 </w:t>
      </w:r>
      <w:r w:rsidRPr="00CE6BCD">
        <w:rPr>
          <w:rFonts w:ascii="Times New Roman" w:eastAsia="Times New Roman" w:hAnsi="Times New Roman" w:cs="Times New Roman"/>
          <w:i/>
          <w:sz w:val="24"/>
          <w:szCs w:val="20"/>
        </w:rPr>
        <w:t>euro</w:t>
      </w:r>
      <w:r w:rsidRPr="00CE6BCD">
        <w:rPr>
          <w:rFonts w:ascii="Times New Roman" w:eastAsia="Times New Roman" w:hAnsi="Times New Roman" w:cs="Times New Roman"/>
          <w:sz w:val="24"/>
          <w:szCs w:val="20"/>
        </w:rPr>
        <w:t xml:space="preserve"> par 100 kilovatiem</w:t>
      </w:r>
      <w:r w:rsidRPr="00CE6BCD">
        <w:rPr>
          <w:rFonts w:ascii="Times New Roman" w:eastAsia="Times New Roman" w:hAnsi="Times New Roman" w:cs="Times New Roman"/>
          <w:i/>
          <w:sz w:val="24"/>
          <w:szCs w:val="20"/>
        </w:rPr>
        <w:t>.</w:t>
      </w:r>
    </w:p>
    <w:p w14:paraId="56BC8ACC" w14:textId="77777777" w:rsidR="00CE6BCD" w:rsidRPr="00CE6BCD" w:rsidRDefault="00CE6BCD" w:rsidP="0035708E">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Latvijā 2013.gada 3.jūnijā savu darbību ir uzsākusi elektroenerģijas birža Nord Pool Spot. Elektroenerģija, ko biržas dalībnieki pērk vai pārdod, izmantojot biržas platformu, atbilstoši biržas darbības principiem, netiek identificēta nosakot tās izcelsmi, proti, pērkot elektroenerģiju biržā nevar noteikt, no kādiem resursiem tā ražota. Līdz ar biržas darbības uzsākšanu Latvijas tirgū ir kļuvis apgrūtinoši piemērot elektroenerģijas nodokļa atbrīvojumus elektroenerģijai, kura iegūta no atjaunojamiem energoresursiem.</w:t>
      </w:r>
    </w:p>
    <w:p w14:paraId="1A25A10F" w14:textId="77777777" w:rsidR="00CE6BCD" w:rsidRPr="00CE6BCD" w:rsidRDefault="00CE6BCD" w:rsidP="0035708E">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Ņemot vērā iepriekš minēto, tika atcelti elektroenerģijas nodokļa atbrīvojumi elektroenerģijai, kas iegūta no atjaunojamiem energoresursiem, hidroelektrostacijās un koģenerācijas stacijās, kā arī elektroenerģijai, kuru izmanto elektroenerģijas ražošanai un siltumenerģijas un elektroenerģijas ražošanai koģenerācijā.</w:t>
      </w:r>
    </w:p>
    <w:p w14:paraId="30A073F9" w14:textId="4DCD0E8B" w:rsidR="00CE6BCD" w:rsidRPr="00CE6BCD" w:rsidRDefault="00CE6BCD" w:rsidP="0035708E">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Līdz ar to, ja līdz šim elektroenerģijai, kas iegūta no atjaunojamiem energoresursiem – hidroelektrostacijās vai efektivitātes kritērijiem atbilstošās koģenerācijas stacijās un elektroenerģijai, kas izmantota elektroenerģijas ražošanai vai siltumenerģijas un elektroenerģijas ražošanai koģen</w:t>
      </w:r>
      <w:r w:rsidR="00C75A4E">
        <w:rPr>
          <w:rFonts w:ascii="Times New Roman" w:eastAsia="Times New Roman" w:hAnsi="Times New Roman" w:cs="Times New Roman"/>
          <w:sz w:val="24"/>
          <w:szCs w:val="20"/>
        </w:rPr>
        <w:t xml:space="preserve">erācijā nodokļa likme bija 0,00 </w:t>
      </w:r>
      <w:r w:rsidRPr="00CE6BCD">
        <w:rPr>
          <w:rFonts w:ascii="Times New Roman" w:eastAsia="Times New Roman" w:hAnsi="Times New Roman" w:cs="Times New Roman"/>
          <w:i/>
          <w:sz w:val="24"/>
          <w:szCs w:val="20"/>
        </w:rPr>
        <w:t>euro</w:t>
      </w:r>
      <w:r w:rsidRPr="00CE6BCD">
        <w:rPr>
          <w:rFonts w:ascii="Times New Roman" w:eastAsia="Times New Roman" w:hAnsi="Times New Roman" w:cs="Times New Roman"/>
          <w:sz w:val="24"/>
          <w:szCs w:val="20"/>
        </w:rPr>
        <w:t xml:space="preserve"> par megavatstundu, tad sākot ar 2017.gada janvāri tirgotājiem būs jāmaksā elektroenerģijas nodoklis pilnā apmērā.</w:t>
      </w:r>
    </w:p>
    <w:p w14:paraId="0FF30794" w14:textId="77777777" w:rsidR="00BE6FBC" w:rsidRDefault="00BE6FBC">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168DE1CA" w14:textId="223CC234" w:rsidR="00CE6BCD" w:rsidRPr="00CE6BCD" w:rsidRDefault="00D64D9E" w:rsidP="006A42EE">
      <w:pPr>
        <w:keepNext/>
        <w:spacing w:before="120" w:after="6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6.10.</w:t>
      </w:r>
      <w:r w:rsidR="00CE6BCD" w:rsidRPr="00CE6BCD">
        <w:rPr>
          <w:rFonts w:ascii="Times New Roman" w:eastAsia="Times New Roman" w:hAnsi="Times New Roman" w:cs="Times New Roman"/>
          <w:b/>
          <w:sz w:val="24"/>
          <w:szCs w:val="20"/>
        </w:rPr>
        <w:t>tabula. Nodokļu politikas izmaiņu ietekme uz elektroenerģijas nodokļa ieņēmumiem, milj. </w:t>
      </w:r>
      <w:r w:rsidR="00CE6BCD" w:rsidRPr="00CE6BCD">
        <w:rPr>
          <w:rFonts w:ascii="Times New Roman" w:eastAsia="Times New Roman" w:hAnsi="Times New Roman" w:cs="Times New Roman"/>
          <w:b/>
          <w:i/>
          <w:sz w:val="24"/>
          <w:szCs w:val="24"/>
        </w:rPr>
        <w:t>euro</w:t>
      </w:r>
    </w:p>
    <w:tbl>
      <w:tblPr>
        <w:tblStyle w:val="GridTable6Colorful-Accent1"/>
        <w:tblW w:w="6313" w:type="dxa"/>
        <w:jc w:val="center"/>
        <w:tblLayout w:type="fixed"/>
        <w:tblLook w:val="04A0" w:firstRow="1" w:lastRow="0" w:firstColumn="1" w:lastColumn="0" w:noHBand="0" w:noVBand="1"/>
      </w:tblPr>
      <w:tblGrid>
        <w:gridCol w:w="5339"/>
        <w:gridCol w:w="974"/>
      </w:tblGrid>
      <w:tr w:rsidR="00616BA1" w:rsidRPr="00616BA1" w14:paraId="7265781C" w14:textId="77777777" w:rsidTr="00B276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14:paraId="5C1BBD0D" w14:textId="77777777" w:rsidR="00CE6BCD" w:rsidRPr="00616BA1" w:rsidRDefault="00CE6BCD" w:rsidP="00CE6BCD">
            <w:pPr>
              <w:rPr>
                <w:rFonts w:ascii="Times New Roman" w:eastAsia="Times New Roman" w:hAnsi="Times New Roman" w:cs="Times New Roman"/>
                <w:color w:val="auto"/>
                <w:sz w:val="20"/>
              </w:rPr>
            </w:pPr>
          </w:p>
        </w:tc>
        <w:tc>
          <w:tcPr>
            <w:tcW w:w="974" w:type="dxa"/>
          </w:tcPr>
          <w:p w14:paraId="2F307E2E"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2017</w:t>
            </w:r>
          </w:p>
        </w:tc>
      </w:tr>
      <w:tr w:rsidR="00616BA1" w:rsidRPr="00616BA1" w14:paraId="1A71F8B3"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14:paraId="39BDBC5D" w14:textId="77777777" w:rsidR="00CE6BCD" w:rsidRPr="00616BA1" w:rsidRDefault="00CE6BCD" w:rsidP="00CE6BCD">
            <w:pPr>
              <w:rPr>
                <w:rFonts w:ascii="Times New Roman" w:eastAsia="Times New Roman" w:hAnsi="Times New Roman" w:cs="Times New Roman"/>
                <w:b w:val="0"/>
                <w:color w:val="auto"/>
                <w:sz w:val="20"/>
              </w:rPr>
            </w:pPr>
            <w:r w:rsidRPr="00616BA1">
              <w:rPr>
                <w:rFonts w:ascii="Times New Roman" w:eastAsia="Times New Roman" w:hAnsi="Times New Roman" w:cs="Times New Roman"/>
                <w:b w:val="0"/>
                <w:color w:val="auto"/>
                <w:sz w:val="20"/>
              </w:rPr>
              <w:t>Elektroenerģijas nodokļa atbrīvojumu atcelšana</w:t>
            </w:r>
          </w:p>
        </w:tc>
        <w:tc>
          <w:tcPr>
            <w:tcW w:w="974" w:type="dxa"/>
            <w:vAlign w:val="center"/>
          </w:tcPr>
          <w:p w14:paraId="3EF00EBB"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rPr>
            </w:pPr>
            <w:r w:rsidRPr="00616BA1">
              <w:rPr>
                <w:rFonts w:ascii="Times New Roman" w:eastAsia="Times New Roman" w:hAnsi="Times New Roman" w:cs="Times New Roman"/>
                <w:bCs/>
                <w:color w:val="auto"/>
                <w:sz w:val="20"/>
              </w:rPr>
              <w:t>+5,4</w:t>
            </w:r>
          </w:p>
        </w:tc>
      </w:tr>
      <w:tr w:rsidR="00616BA1" w:rsidRPr="00616BA1" w14:paraId="3D3BF060"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39" w:type="dxa"/>
          </w:tcPr>
          <w:p w14:paraId="215E998F" w14:textId="77777777" w:rsidR="00CE6BCD" w:rsidRPr="00616BA1" w:rsidRDefault="00CE6BCD" w:rsidP="00CE6BCD">
            <w:pPr>
              <w:jc w:val="both"/>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Izmaiņu ietekme kopā:</w:t>
            </w:r>
          </w:p>
        </w:tc>
        <w:tc>
          <w:tcPr>
            <w:tcW w:w="974" w:type="dxa"/>
            <w:vAlign w:val="center"/>
          </w:tcPr>
          <w:p w14:paraId="4535D512"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rPr>
            </w:pPr>
            <w:r w:rsidRPr="00616BA1">
              <w:rPr>
                <w:rFonts w:ascii="Times New Roman" w:eastAsia="Times New Roman" w:hAnsi="Times New Roman" w:cs="Times New Roman"/>
                <w:b/>
                <w:bCs/>
                <w:color w:val="auto"/>
                <w:sz w:val="20"/>
              </w:rPr>
              <w:t>+5,4</w:t>
            </w:r>
          </w:p>
        </w:tc>
      </w:tr>
    </w:tbl>
    <w:p w14:paraId="3884C8A6" w14:textId="77777777" w:rsidR="00CE6BCD" w:rsidRPr="00CE6BCD" w:rsidRDefault="00CE6BCD" w:rsidP="00616BA1">
      <w:pPr>
        <w:spacing w:before="360" w:after="6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Subsidētās elektroenerģijas nodoklis</w:t>
      </w:r>
    </w:p>
    <w:p w14:paraId="59126810" w14:textId="77777777" w:rsidR="00CE6BCD" w:rsidRPr="00CE6BCD" w:rsidRDefault="00CE6BCD" w:rsidP="00C75A4E">
      <w:pPr>
        <w:spacing w:after="0" w:line="240" w:lineRule="auto"/>
        <w:ind w:firstLine="567"/>
        <w:jc w:val="both"/>
        <w:rPr>
          <w:rFonts w:ascii="Times New Roman" w:eastAsia="Times New Roman" w:hAnsi="Times New Roman" w:cs="Times New Roman"/>
          <w:color w:val="000000"/>
          <w:sz w:val="24"/>
          <w:szCs w:val="28"/>
        </w:rPr>
      </w:pPr>
      <w:r w:rsidRPr="00CE6BCD">
        <w:rPr>
          <w:rFonts w:ascii="Times New Roman" w:eastAsia="Times New Roman" w:hAnsi="Times New Roman" w:cs="Times New Roman"/>
          <w:sz w:val="24"/>
          <w:szCs w:val="20"/>
        </w:rPr>
        <w:t>Subsidētās elektroenerģijas nodoklis tiek piemērots no 2014.gada 1.janvāra un</w:t>
      </w:r>
      <w:r w:rsidRPr="00CE6BCD">
        <w:rPr>
          <w:rFonts w:ascii="Times New Roman" w:eastAsia="Times New Roman" w:hAnsi="Times New Roman" w:cs="Times New Roman"/>
          <w:color w:val="000000"/>
          <w:sz w:val="24"/>
          <w:szCs w:val="28"/>
        </w:rPr>
        <w:t xml:space="preserve"> tā mērķis ir ierobežot elektroenerģijas kopējās cenas pieaugumu, lai nodrošinātu tautsaimniecības konkurētspēju un nepalielinātu mājsaimniecību izdevumus, kā arī lai nodrošinātu elektroenerģijas lietotāju atbalsta pasākumu īstenošanu. Netieši subsidētās elektroenerģijas nodokļa mērķis ir veicināt konkurētspējīgu elektroenerģijas ražošanu no atjaunojamiem energoresursiem un efektīvā koģenerācijā, motivējot ražot enerģiju visefektīvākajā veidā un nodrošinot, ka turpmāk tirgū ienāk tikai konkurētspējīgas tehnoloģijas.</w:t>
      </w:r>
    </w:p>
    <w:p w14:paraId="322F0CE6" w14:textId="6DE66FDF" w:rsidR="00CE6BCD" w:rsidRPr="00CE6BCD" w:rsidRDefault="00CE6BCD" w:rsidP="00C75A4E">
      <w:pPr>
        <w:spacing w:after="0" w:line="240" w:lineRule="auto"/>
        <w:ind w:firstLine="567"/>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Ar subsidētās elektroenerģijas nodokli apliekami ienākumi, kas saņemti no</w:t>
      </w:r>
      <w:r w:rsidRPr="00CE6BCD">
        <w:rPr>
          <w:rFonts w:ascii="Times New Roman" w:eastAsia="Times New Roman" w:hAnsi="Times New Roman" w:cs="Times New Roman"/>
          <w:sz w:val="24"/>
          <w:szCs w:val="20"/>
        </w:rPr>
        <w:t xml:space="preserve"> </w:t>
      </w:r>
      <w:r w:rsidRPr="00CE6BCD">
        <w:rPr>
          <w:rFonts w:ascii="Times New Roman" w:eastAsia="Times New Roman" w:hAnsi="Times New Roman" w:cs="Times New Roman"/>
          <w:sz w:val="24"/>
          <w:szCs w:val="24"/>
        </w:rPr>
        <w:t>obligātā iepirkuma ietvaros pārdotās elektroenerģijas, no saņemtās garantētās maksas par koģenerācijas stacijā vai elektrostacijā uzstādīto elektrisko jaudu, kā arī no pārdotās elektroenerģijas, kas tiek pārdota publiskajam tirgotājam (licencētam elektroenerģijas p</w:t>
      </w:r>
      <w:r w:rsidR="00C75A4E">
        <w:rPr>
          <w:rFonts w:ascii="Times New Roman" w:eastAsia="Times New Roman" w:hAnsi="Times New Roman" w:cs="Times New Roman"/>
          <w:sz w:val="24"/>
          <w:szCs w:val="24"/>
        </w:rPr>
        <w:t>ārvades vai sadales uzņēmumam).</w:t>
      </w:r>
    </w:p>
    <w:p w14:paraId="520E9A49" w14:textId="77777777" w:rsidR="00CE6BCD" w:rsidRPr="00CE6BCD" w:rsidRDefault="00CE6BCD" w:rsidP="00C75A4E">
      <w:pPr>
        <w:spacing w:after="0" w:line="240" w:lineRule="auto"/>
        <w:ind w:firstLine="567"/>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Subsidētās elektroenerģijas nodoklim noteiktas trīs diferencētas likmes – 15% dabasgāzes stacijām, 10% atjaunojamo energoresursu stacijām un 5% stacijām, kas nodrošina ar siltumenerģiju centralizētās sistēmas un kuru subsidētās elektroenerģijas nodokļa likmei ir tieša ietekme uz siltumenerģijas gala tarifu lietotājam.</w:t>
      </w:r>
    </w:p>
    <w:p w14:paraId="1541CE58" w14:textId="77777777" w:rsidR="00CE6BCD" w:rsidRPr="00CE6BCD" w:rsidRDefault="00CE6BCD" w:rsidP="00C75A4E">
      <w:pPr>
        <w:spacing w:after="0" w:line="240" w:lineRule="auto"/>
        <w:ind w:firstLine="567"/>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 xml:space="preserve">Atbilstoši Subsidētās elektroenerģijas nodokļa likuma Pārejas noteikumiem </w:t>
      </w:r>
      <w:r w:rsidRPr="00CE6BCD">
        <w:rPr>
          <w:rFonts w:ascii="Times New Roman" w:eastAsia="Times New Roman" w:hAnsi="Times New Roman" w:cs="Times New Roman"/>
          <w:sz w:val="24"/>
          <w:szCs w:val="20"/>
        </w:rPr>
        <w:t>nodokli piemēro apliekamiem ienākumiem, kas gūti no 2014.gada 1.janvāra līdz 2017.gada 31.decembrim.</w:t>
      </w:r>
    </w:p>
    <w:p w14:paraId="1895C80F" w14:textId="0F564B51" w:rsidR="00CE6BCD" w:rsidRPr="00CE6BCD" w:rsidRDefault="00D64D9E" w:rsidP="006A42EE">
      <w:pPr>
        <w:keepNext/>
        <w:spacing w:before="120" w:after="6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6.11.</w:t>
      </w:r>
      <w:r w:rsidR="00CE6BCD" w:rsidRPr="00CE6BCD">
        <w:rPr>
          <w:rFonts w:ascii="Times New Roman" w:eastAsia="Times New Roman" w:hAnsi="Times New Roman" w:cs="Times New Roman"/>
          <w:b/>
          <w:sz w:val="24"/>
          <w:szCs w:val="20"/>
        </w:rPr>
        <w:t>tabula. Nodokļu politikas izmaiņu ietekme uz subsidētās elektroenerģijas nodokļa ieņēmumiem, milj. </w:t>
      </w:r>
      <w:r w:rsidR="00CE6BCD" w:rsidRPr="00CE6BCD">
        <w:rPr>
          <w:rFonts w:ascii="Times New Roman" w:eastAsia="Times New Roman" w:hAnsi="Times New Roman" w:cs="Times New Roman"/>
          <w:b/>
          <w:i/>
          <w:sz w:val="24"/>
          <w:szCs w:val="24"/>
        </w:rPr>
        <w:t>euro</w:t>
      </w:r>
      <w:r w:rsidR="00CE6BCD" w:rsidRPr="00CE6BCD">
        <w:rPr>
          <w:rFonts w:ascii="Times New Roman" w:eastAsia="Times New Roman" w:hAnsi="Times New Roman" w:cs="Times New Roman"/>
          <w:b/>
          <w:sz w:val="24"/>
          <w:szCs w:val="20"/>
        </w:rPr>
        <w:t xml:space="preserve"> </w:t>
      </w:r>
    </w:p>
    <w:tbl>
      <w:tblPr>
        <w:tblStyle w:val="GridTable6Colorful-Accent1"/>
        <w:tblW w:w="6313" w:type="dxa"/>
        <w:jc w:val="center"/>
        <w:tblLayout w:type="fixed"/>
        <w:tblLook w:val="04A0" w:firstRow="1" w:lastRow="0" w:firstColumn="1" w:lastColumn="0" w:noHBand="0" w:noVBand="1"/>
      </w:tblPr>
      <w:tblGrid>
        <w:gridCol w:w="5339"/>
        <w:gridCol w:w="974"/>
      </w:tblGrid>
      <w:tr w:rsidR="00616BA1" w:rsidRPr="00616BA1" w14:paraId="7E12025D" w14:textId="77777777" w:rsidTr="00B276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14:paraId="4528A2DE" w14:textId="77777777" w:rsidR="00CE6BCD" w:rsidRPr="00616BA1" w:rsidRDefault="00CE6BCD" w:rsidP="00CE6BCD">
            <w:pPr>
              <w:rPr>
                <w:rFonts w:ascii="Times New Roman" w:eastAsia="Times New Roman" w:hAnsi="Times New Roman" w:cs="Times New Roman"/>
                <w:color w:val="auto"/>
                <w:sz w:val="20"/>
                <w:szCs w:val="20"/>
              </w:rPr>
            </w:pPr>
          </w:p>
        </w:tc>
        <w:tc>
          <w:tcPr>
            <w:tcW w:w="974" w:type="dxa"/>
          </w:tcPr>
          <w:p w14:paraId="42FCFA10"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2018</w:t>
            </w:r>
          </w:p>
        </w:tc>
      </w:tr>
      <w:tr w:rsidR="00616BA1" w:rsidRPr="00616BA1" w14:paraId="2A2CE23E"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14:paraId="13F19FBA" w14:textId="77777777" w:rsidR="00CE6BCD" w:rsidRPr="00616BA1" w:rsidRDefault="00CE6BCD" w:rsidP="00CE6BCD">
            <w:pPr>
              <w:rPr>
                <w:rFonts w:ascii="Times New Roman" w:eastAsia="Times New Roman" w:hAnsi="Times New Roman" w:cs="Times New Roman"/>
                <w:b w:val="0"/>
                <w:color w:val="auto"/>
                <w:sz w:val="20"/>
                <w:szCs w:val="20"/>
              </w:rPr>
            </w:pPr>
            <w:r w:rsidRPr="00616BA1">
              <w:rPr>
                <w:rFonts w:ascii="Times New Roman" w:eastAsia="Times New Roman" w:hAnsi="Times New Roman" w:cs="Times New Roman"/>
                <w:b w:val="0"/>
                <w:color w:val="auto"/>
                <w:sz w:val="20"/>
                <w:szCs w:val="20"/>
              </w:rPr>
              <w:t>Subsidētā elektroenerģijas nodokļa atcelšana</w:t>
            </w:r>
          </w:p>
        </w:tc>
        <w:tc>
          <w:tcPr>
            <w:tcW w:w="974" w:type="dxa"/>
            <w:vAlign w:val="center"/>
          </w:tcPr>
          <w:p w14:paraId="37895273"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rPr>
            </w:pPr>
            <w:r w:rsidRPr="00616BA1">
              <w:rPr>
                <w:rFonts w:ascii="Times New Roman" w:eastAsia="Times New Roman" w:hAnsi="Times New Roman" w:cs="Times New Roman"/>
                <w:bCs/>
                <w:color w:val="auto"/>
                <w:sz w:val="20"/>
                <w:szCs w:val="20"/>
              </w:rPr>
              <w:t>-35,8</w:t>
            </w:r>
          </w:p>
        </w:tc>
      </w:tr>
      <w:tr w:rsidR="00616BA1" w:rsidRPr="00616BA1" w14:paraId="626A00C8"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339" w:type="dxa"/>
          </w:tcPr>
          <w:p w14:paraId="16F01D8C" w14:textId="77777777" w:rsidR="00CE6BCD" w:rsidRPr="00616BA1" w:rsidRDefault="00CE6BCD" w:rsidP="00CE6BCD">
            <w:pPr>
              <w:jc w:val="both"/>
              <w:rPr>
                <w:rFonts w:ascii="Times New Roman" w:eastAsia="Times New Roman" w:hAnsi="Times New Roman" w:cs="Times New Roman"/>
                <w:color w:val="auto"/>
                <w:sz w:val="20"/>
                <w:szCs w:val="20"/>
              </w:rPr>
            </w:pPr>
            <w:r w:rsidRPr="00616BA1">
              <w:rPr>
                <w:rFonts w:ascii="Times New Roman" w:eastAsia="Times New Roman" w:hAnsi="Times New Roman" w:cs="Times New Roman"/>
                <w:color w:val="auto"/>
                <w:sz w:val="20"/>
                <w:szCs w:val="20"/>
              </w:rPr>
              <w:t>Izmaiņu ietekme kopā:</w:t>
            </w:r>
          </w:p>
        </w:tc>
        <w:tc>
          <w:tcPr>
            <w:tcW w:w="974" w:type="dxa"/>
            <w:vAlign w:val="center"/>
          </w:tcPr>
          <w:p w14:paraId="14AA401B"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616BA1">
              <w:rPr>
                <w:rFonts w:ascii="Times New Roman" w:eastAsia="Times New Roman" w:hAnsi="Times New Roman" w:cs="Times New Roman"/>
                <w:b/>
                <w:bCs/>
                <w:color w:val="auto"/>
                <w:sz w:val="20"/>
                <w:szCs w:val="20"/>
              </w:rPr>
              <w:t>-35,8</w:t>
            </w:r>
          </w:p>
        </w:tc>
      </w:tr>
    </w:tbl>
    <w:p w14:paraId="552327DB" w14:textId="48E93133" w:rsidR="00CE6BCD" w:rsidRPr="00CE6BCD" w:rsidRDefault="00CE6BCD" w:rsidP="00502866">
      <w:pPr>
        <w:spacing w:before="360" w:after="6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Dabas resursu nodoklis</w:t>
      </w:r>
    </w:p>
    <w:p w14:paraId="40BCDD4B" w14:textId="77777777" w:rsidR="00CE6BCD" w:rsidRPr="00CE6BCD" w:rsidRDefault="00CE6BCD" w:rsidP="00AC62C2">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Dabas resursu nodokļa maksājumi ir tieši saistīti ar Latvijas uzņēmumu ekonomiskajām aktivitātēm un to izraisītajām vides noslodzē</w:t>
      </w:r>
      <w:r w:rsidRPr="00CE6BCD">
        <w:rPr>
          <w:rFonts w:ascii="Times New Roman" w:eastAsia="Times New Roman" w:hAnsi="Times New Roman" w:cs="Times New Roman"/>
          <w:sz w:val="24"/>
          <w:szCs w:val="24"/>
        </w:rPr>
        <w:t xml:space="preserve">m, kā arī veiktajiem vides aizsardzības pasākumiem. </w:t>
      </w:r>
      <w:r w:rsidRPr="00CE6BCD">
        <w:rPr>
          <w:rFonts w:ascii="Times New Roman" w:eastAsia="Times New Roman" w:hAnsi="Times New Roman" w:cs="Times New Roman"/>
          <w:sz w:val="24"/>
          <w:szCs w:val="20"/>
        </w:rPr>
        <w:t>Līdz ar to nodokļa ieņēmumi gan palielinās, palielinoties kopējai ekonomiskai aktivitātei, gan arī samazinās, uzņēmumiem un pašvaldībām veicot vides aizsardzības pasākumus.</w:t>
      </w:r>
    </w:p>
    <w:p w14:paraId="28824CD5" w14:textId="48D6FC23" w:rsidR="00CE6BCD" w:rsidRPr="00CE6BCD" w:rsidRDefault="00CE6BCD" w:rsidP="00AC62C2">
      <w:pPr>
        <w:spacing w:after="0" w:line="240" w:lineRule="auto"/>
        <w:ind w:firstLine="567"/>
        <w:jc w:val="both"/>
        <w:rPr>
          <w:rFonts w:ascii="Times New Roman" w:eastAsia="Times New Roman" w:hAnsi="Times New Roman" w:cs="Times New Roman"/>
          <w:sz w:val="24"/>
          <w:szCs w:val="24"/>
          <w:lang w:val="x-none"/>
        </w:rPr>
      </w:pPr>
      <w:r w:rsidRPr="00CE6BCD">
        <w:rPr>
          <w:rFonts w:ascii="Times New Roman" w:eastAsia="Times New Roman" w:hAnsi="Times New Roman" w:cs="Times New Roman"/>
          <w:sz w:val="24"/>
          <w:szCs w:val="20"/>
        </w:rPr>
        <w:t xml:space="preserve">Lai veicinātu resursu efektīvu un pārdomātu izmantošanu, </w:t>
      </w:r>
      <w:r w:rsidR="00AC62C2">
        <w:rPr>
          <w:rFonts w:ascii="Times New Roman" w:eastAsia="Times New Roman" w:hAnsi="Times New Roman" w:cs="Times New Roman"/>
          <w:sz w:val="24"/>
          <w:szCs w:val="24"/>
        </w:rPr>
        <w:t>2016.gada 23.novembrī un 15.</w:t>
      </w:r>
      <w:r w:rsidRPr="00CE6BCD">
        <w:rPr>
          <w:rFonts w:ascii="Times New Roman" w:eastAsia="Times New Roman" w:hAnsi="Times New Roman" w:cs="Times New Roman"/>
          <w:sz w:val="24"/>
          <w:szCs w:val="24"/>
        </w:rPr>
        <w:t xml:space="preserve">decembrī </w:t>
      </w:r>
      <w:r w:rsidRPr="00CE6BCD">
        <w:rPr>
          <w:rFonts w:ascii="Times New Roman" w:eastAsia="Times New Roman" w:hAnsi="Times New Roman" w:cs="Times New Roman"/>
          <w:sz w:val="24"/>
          <w:szCs w:val="20"/>
        </w:rPr>
        <w:t xml:space="preserve">Saeimā tika pieņemti grozījumi </w:t>
      </w:r>
      <w:r w:rsidRPr="00CE6BCD">
        <w:rPr>
          <w:rFonts w:ascii="Times New Roman" w:eastAsia="Times New Roman" w:hAnsi="Times New Roman" w:cs="Times New Roman"/>
          <w:sz w:val="24"/>
          <w:szCs w:val="24"/>
        </w:rPr>
        <w:t xml:space="preserve">Dabas resursu nodokļa likumā. Saskaņā ar </w:t>
      </w:r>
      <w:r w:rsidR="00AC62C2">
        <w:rPr>
          <w:rFonts w:ascii="Times New Roman" w:eastAsia="Times New Roman" w:hAnsi="Times New Roman" w:cs="Times New Roman"/>
          <w:sz w:val="24"/>
          <w:szCs w:val="24"/>
        </w:rPr>
        <w:t>minētajiem grozījumiem ar 2017.gada 1.</w:t>
      </w:r>
      <w:r w:rsidRPr="00CE6BCD">
        <w:rPr>
          <w:rFonts w:ascii="Times New Roman" w:eastAsia="Times New Roman" w:hAnsi="Times New Roman" w:cs="Times New Roman"/>
          <w:sz w:val="24"/>
          <w:szCs w:val="24"/>
        </w:rPr>
        <w:t xml:space="preserve">janvāri tika paaugstinātas dabas resursu nodokļa likmes virknei dabas resursu nodokļa objektu: </w:t>
      </w:r>
    </w:p>
    <w:p w14:paraId="29CA3EE7" w14:textId="77777777" w:rsidR="00CE6BCD" w:rsidRPr="00CE6BCD" w:rsidRDefault="00CE6BCD" w:rsidP="0024257A">
      <w:pPr>
        <w:numPr>
          <w:ilvl w:val="1"/>
          <w:numId w:val="15"/>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sz w:val="24"/>
          <w:szCs w:val="24"/>
          <w:lang w:val="x-none" w:eastAsia="x-none"/>
        </w:rPr>
        <w:t>akmeņoglēm, koksam un lignītam (brūnoglēm);</w:t>
      </w:r>
    </w:p>
    <w:p w14:paraId="4EDBEE3F" w14:textId="17C3D09C" w:rsidR="00CE6BCD" w:rsidRPr="00CE6BCD" w:rsidRDefault="00CE6BCD" w:rsidP="0024257A">
      <w:pPr>
        <w:numPr>
          <w:ilvl w:val="1"/>
          <w:numId w:val="15"/>
        </w:numPr>
        <w:spacing w:after="0" w:line="240" w:lineRule="auto"/>
        <w:ind w:left="1134"/>
        <w:jc w:val="both"/>
        <w:rPr>
          <w:rFonts w:ascii="Times New Roman" w:eastAsia="Times New Roman" w:hAnsi="Times New Roman" w:cs="Times New Roman"/>
          <w:sz w:val="24"/>
          <w:szCs w:val="24"/>
          <w:lang w:eastAsia="x-none"/>
        </w:rPr>
      </w:pPr>
      <w:r w:rsidRPr="00CE6BCD">
        <w:rPr>
          <w:rFonts w:ascii="Times New Roman" w:eastAsia="Times New Roman" w:hAnsi="Times New Roman" w:cs="Times New Roman"/>
          <w:color w:val="000000"/>
          <w:sz w:val="24"/>
          <w:szCs w:val="24"/>
          <w:shd w:val="clear" w:color="auto" w:fill="FFFFFF"/>
          <w:lang w:val="x-none" w:eastAsia="x-none"/>
        </w:rPr>
        <w:t>preču un izstrādājumu iepakojumam un vienreiz lietojamiem galda traukiem</w:t>
      </w:r>
      <w:r w:rsidR="00AC62C2">
        <w:rPr>
          <w:rFonts w:ascii="Times New Roman" w:eastAsia="Times New Roman" w:hAnsi="Times New Roman" w:cs="Times New Roman"/>
          <w:color w:val="000000"/>
          <w:sz w:val="24"/>
          <w:szCs w:val="24"/>
          <w:shd w:val="clear" w:color="auto" w:fill="FFFFFF"/>
          <w:lang w:val="x-none" w:eastAsia="x-none"/>
        </w:rPr>
        <w:t xml:space="preserve"> un piederumiem no polistirola;</w:t>
      </w:r>
    </w:p>
    <w:p w14:paraId="664FC7EB" w14:textId="77777777" w:rsidR="00CE6BCD" w:rsidRPr="00CE6BCD" w:rsidRDefault="00CE6BCD" w:rsidP="0024257A">
      <w:pPr>
        <w:numPr>
          <w:ilvl w:val="1"/>
          <w:numId w:val="15"/>
        </w:numPr>
        <w:spacing w:after="0" w:line="240" w:lineRule="auto"/>
        <w:ind w:left="1134"/>
        <w:jc w:val="both"/>
        <w:rPr>
          <w:rFonts w:ascii="Times New Roman" w:eastAsia="Times New Roman" w:hAnsi="Times New Roman" w:cs="Times New Roman"/>
          <w:sz w:val="24"/>
          <w:szCs w:val="24"/>
          <w:lang w:eastAsia="x-none"/>
        </w:rPr>
      </w:pPr>
      <w:r w:rsidRPr="00CE6BCD">
        <w:rPr>
          <w:rFonts w:ascii="Times New Roman" w:eastAsia="Times New Roman" w:hAnsi="Times New Roman" w:cs="Times New Roman"/>
          <w:color w:val="000000"/>
          <w:sz w:val="24"/>
          <w:szCs w:val="24"/>
          <w:shd w:val="clear" w:color="auto" w:fill="FFFFFF"/>
          <w:lang w:eastAsia="x-none"/>
        </w:rPr>
        <w:t>derīgo izrakteņu ieguvei (augsnei, dekoratīvajam dolomītam, kaļķiežiem, šūnakmenim, krāsu zemei, sapropelim, dziednieciskajām dūņām);</w:t>
      </w:r>
    </w:p>
    <w:p w14:paraId="1DB564D4" w14:textId="77777777" w:rsidR="00CE6BCD" w:rsidRPr="00CE6BCD" w:rsidRDefault="00CE6BCD" w:rsidP="0024257A">
      <w:pPr>
        <w:numPr>
          <w:ilvl w:val="1"/>
          <w:numId w:val="15"/>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color w:val="000000"/>
          <w:sz w:val="24"/>
          <w:szCs w:val="24"/>
          <w:shd w:val="clear" w:color="auto" w:fill="FFFFFF"/>
          <w:lang w:val="x-none" w:eastAsia="x-none"/>
        </w:rPr>
        <w:t>ārstnieciskiem minerālūdeņiem vai minerālūdeņiem, kurus izmanto ārstniecībā termālās vai ūdensdziedniecības iestādēs ūdens ieguves teritorijā;</w:t>
      </w:r>
    </w:p>
    <w:p w14:paraId="52E9E66A" w14:textId="77777777" w:rsidR="00CE6BCD" w:rsidRPr="00CE6BCD" w:rsidRDefault="00CE6BCD" w:rsidP="0024257A">
      <w:pPr>
        <w:numPr>
          <w:ilvl w:val="1"/>
          <w:numId w:val="15"/>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color w:val="000000"/>
          <w:sz w:val="24"/>
          <w:szCs w:val="24"/>
          <w:shd w:val="clear" w:color="auto" w:fill="FFFFFF"/>
          <w:lang w:val="x-none" w:eastAsia="x-none"/>
        </w:rPr>
        <w:lastRenderedPageBreak/>
        <w:t>pazemes ūdeņiem, arī saldūdeņiem, minerālūdeņiem un avotu ūdeņiem, ko realizē tālāk</w:t>
      </w:r>
      <w:r w:rsidRPr="00CE6BCD">
        <w:rPr>
          <w:rFonts w:ascii="Times New Roman" w:eastAsia="Times New Roman" w:hAnsi="Times New Roman" w:cs="Times New Roman"/>
          <w:color w:val="000000"/>
          <w:sz w:val="24"/>
          <w:szCs w:val="24"/>
          <w:shd w:val="clear" w:color="auto" w:fill="FFFFFF"/>
          <w:lang w:eastAsia="x-none"/>
        </w:rPr>
        <w:t>;</w:t>
      </w:r>
    </w:p>
    <w:p w14:paraId="723962B2" w14:textId="77777777" w:rsidR="00CE6BCD" w:rsidRPr="00CE6BCD" w:rsidRDefault="00CE6BCD" w:rsidP="0024257A">
      <w:pPr>
        <w:numPr>
          <w:ilvl w:val="1"/>
          <w:numId w:val="15"/>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color w:val="000000"/>
          <w:sz w:val="24"/>
          <w:szCs w:val="24"/>
          <w:shd w:val="clear" w:color="auto" w:fill="FFFFFF"/>
          <w:lang w:val="x-none" w:eastAsia="x-none"/>
        </w:rPr>
        <w:t>pazemes ūdeņiem, arī saldūdeņiem, minerālūdeņiem un avotu ūdeņiem, ko izmanto ūdensapgādē</w:t>
      </w:r>
      <w:r w:rsidRPr="00CE6BCD">
        <w:rPr>
          <w:rFonts w:ascii="Times New Roman" w:eastAsia="Times New Roman" w:hAnsi="Times New Roman" w:cs="Times New Roman"/>
          <w:color w:val="000000"/>
          <w:sz w:val="24"/>
          <w:szCs w:val="24"/>
          <w:shd w:val="clear" w:color="auto" w:fill="FFFFFF"/>
          <w:lang w:eastAsia="x-none"/>
        </w:rPr>
        <w:t>;</w:t>
      </w:r>
    </w:p>
    <w:p w14:paraId="1E8C3FFA" w14:textId="77777777" w:rsidR="00CE6BCD" w:rsidRPr="00CE6BCD" w:rsidRDefault="00CE6BCD" w:rsidP="0024257A">
      <w:pPr>
        <w:numPr>
          <w:ilvl w:val="0"/>
          <w:numId w:val="14"/>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color w:val="000000"/>
          <w:sz w:val="24"/>
          <w:szCs w:val="24"/>
          <w:shd w:val="clear" w:color="auto" w:fill="FFFFFF"/>
          <w:lang w:val="x-none" w:eastAsia="x-none"/>
        </w:rPr>
        <w:t>virszemes ūdeņiem</w:t>
      </w:r>
      <w:r w:rsidRPr="00CE6BCD">
        <w:rPr>
          <w:rFonts w:ascii="Times New Roman" w:eastAsia="Times New Roman" w:hAnsi="Times New Roman" w:cs="Times New Roman"/>
          <w:color w:val="000000"/>
          <w:sz w:val="24"/>
          <w:szCs w:val="24"/>
          <w:shd w:val="clear" w:color="auto" w:fill="FFFFFF"/>
          <w:lang w:eastAsia="x-none"/>
        </w:rPr>
        <w:t>;</w:t>
      </w:r>
    </w:p>
    <w:p w14:paraId="057F104C" w14:textId="77777777" w:rsidR="00CE6BCD" w:rsidRPr="00CE6BCD" w:rsidRDefault="00CE6BCD" w:rsidP="0024257A">
      <w:pPr>
        <w:numPr>
          <w:ilvl w:val="0"/>
          <w:numId w:val="14"/>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sz w:val="24"/>
          <w:szCs w:val="24"/>
          <w:shd w:val="clear" w:color="auto" w:fill="FFFFFF"/>
          <w:lang w:val="x-none" w:eastAsia="x-none"/>
        </w:rPr>
        <w:t>oglekļa dioksīda (CO</w:t>
      </w:r>
      <w:r w:rsidRPr="00CE6BCD">
        <w:rPr>
          <w:rFonts w:ascii="Times New Roman" w:eastAsia="Times New Roman" w:hAnsi="Times New Roman" w:cs="Times New Roman"/>
          <w:sz w:val="24"/>
          <w:szCs w:val="24"/>
          <w:shd w:val="clear" w:color="auto" w:fill="FFFFFF"/>
          <w:vertAlign w:val="subscript"/>
          <w:lang w:val="x-none" w:eastAsia="x-none"/>
        </w:rPr>
        <w:t>2</w:t>
      </w:r>
      <w:r w:rsidRPr="00CE6BCD">
        <w:rPr>
          <w:rFonts w:ascii="Times New Roman" w:eastAsia="Times New Roman" w:hAnsi="Times New Roman" w:cs="Times New Roman"/>
          <w:sz w:val="24"/>
          <w:szCs w:val="24"/>
          <w:shd w:val="clear" w:color="auto" w:fill="FFFFFF"/>
          <w:lang w:val="x-none" w:eastAsia="x-none"/>
        </w:rPr>
        <w:t>) emisijām;</w:t>
      </w:r>
    </w:p>
    <w:p w14:paraId="76A0E91B" w14:textId="77777777" w:rsidR="00CE6BCD" w:rsidRPr="00CE6BCD" w:rsidRDefault="00CE6BCD" w:rsidP="0024257A">
      <w:pPr>
        <w:numPr>
          <w:ilvl w:val="0"/>
          <w:numId w:val="14"/>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sz w:val="24"/>
          <w:szCs w:val="24"/>
          <w:shd w:val="clear" w:color="auto" w:fill="FFFFFF"/>
          <w:lang w:val="x-none" w:eastAsia="x-none"/>
        </w:rPr>
        <w:t>pirmo reizi Latvijā pastāvīgi reģistrētiem transportlīdzekļiem;</w:t>
      </w:r>
    </w:p>
    <w:p w14:paraId="161BA52D" w14:textId="77777777" w:rsidR="00CE6BCD" w:rsidRPr="00CE6BCD" w:rsidRDefault="00CE6BCD" w:rsidP="0024257A">
      <w:pPr>
        <w:numPr>
          <w:ilvl w:val="0"/>
          <w:numId w:val="14"/>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color w:val="000000"/>
          <w:sz w:val="24"/>
          <w:szCs w:val="24"/>
          <w:shd w:val="clear" w:color="auto" w:fill="FFFFFF"/>
          <w:lang w:val="x-none" w:eastAsia="x-none"/>
        </w:rPr>
        <w:t>visa veida riepām</w:t>
      </w:r>
      <w:r w:rsidRPr="00CE6BCD">
        <w:rPr>
          <w:rFonts w:ascii="Times New Roman" w:eastAsia="Times New Roman" w:hAnsi="Times New Roman" w:cs="Times New Roman"/>
          <w:color w:val="000000"/>
          <w:sz w:val="24"/>
          <w:szCs w:val="24"/>
          <w:shd w:val="clear" w:color="auto" w:fill="FFFFFF"/>
          <w:lang w:eastAsia="x-none"/>
        </w:rPr>
        <w:t>;</w:t>
      </w:r>
    </w:p>
    <w:p w14:paraId="3D9C6645" w14:textId="77777777" w:rsidR="00CE6BCD" w:rsidRPr="00CE6BCD" w:rsidRDefault="00CE6BCD" w:rsidP="0024257A">
      <w:pPr>
        <w:numPr>
          <w:ilvl w:val="0"/>
          <w:numId w:val="14"/>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sz w:val="24"/>
          <w:szCs w:val="24"/>
          <w:lang w:val="x-none" w:eastAsia="x-none"/>
        </w:rPr>
        <w:t>plastmasas iepirkumu maisiņiem;</w:t>
      </w:r>
    </w:p>
    <w:p w14:paraId="340C4460" w14:textId="04AD51E9" w:rsidR="00CE6BCD" w:rsidRPr="00CE6BCD" w:rsidRDefault="00CE6BCD" w:rsidP="0024257A">
      <w:pPr>
        <w:numPr>
          <w:ilvl w:val="0"/>
          <w:numId w:val="14"/>
        </w:numPr>
        <w:spacing w:after="0" w:line="240" w:lineRule="auto"/>
        <w:ind w:left="1134"/>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sz w:val="24"/>
          <w:szCs w:val="24"/>
          <w:lang w:eastAsia="x-none"/>
        </w:rPr>
        <w:t xml:space="preserve">atkritumu apglabāšanai. </w:t>
      </w:r>
      <w:r w:rsidRPr="00CE6BCD">
        <w:rPr>
          <w:rFonts w:ascii="Times New Roman" w:eastAsia="Times New Roman" w:hAnsi="Times New Roman" w:cs="Times New Roman"/>
          <w:sz w:val="24"/>
          <w:szCs w:val="24"/>
          <w:lang w:val="x-none" w:eastAsia="x-none"/>
        </w:rPr>
        <w:t xml:space="preserve">Dabas resursu nodokļa likme par </w:t>
      </w:r>
      <w:r w:rsidRPr="00CE6BCD">
        <w:rPr>
          <w:rFonts w:ascii="Times New Roman" w:eastAsia="Times New Roman" w:hAnsi="Times New Roman" w:cs="Times New Roman"/>
          <w:color w:val="000000"/>
          <w:sz w:val="24"/>
          <w:szCs w:val="24"/>
          <w:shd w:val="clear" w:color="auto" w:fill="FFFFFF"/>
          <w:lang w:val="x-none" w:eastAsia="x-none"/>
        </w:rPr>
        <w:t>sadzīves atkritumu un ražošanas atkritumu, kas nav uzskatāmi par bīstamiem atkritumiem, apglabāšanu</w:t>
      </w:r>
      <w:r w:rsidR="00AC62C2">
        <w:rPr>
          <w:rFonts w:ascii="Times New Roman" w:eastAsia="Times New Roman" w:hAnsi="Times New Roman" w:cs="Times New Roman"/>
          <w:sz w:val="24"/>
          <w:szCs w:val="24"/>
          <w:lang w:val="x-none" w:eastAsia="x-none"/>
        </w:rPr>
        <w:t xml:space="preserve"> paaugstināta līdz 25,0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par tonnu, bet par bīstamo un ražošanas atkritumu apglabāšanu dabas resursu nodoklis paaugstināts līdz 45,0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par tonnu. Paredzēts, ka nodokļa likme par </w:t>
      </w:r>
      <w:r w:rsidRPr="00CE6BCD">
        <w:rPr>
          <w:rFonts w:ascii="Times New Roman" w:eastAsia="Times New Roman" w:hAnsi="Times New Roman" w:cs="Times New Roman"/>
          <w:color w:val="000000"/>
          <w:sz w:val="24"/>
          <w:szCs w:val="24"/>
          <w:shd w:val="clear" w:color="auto" w:fill="FFFFFF"/>
          <w:lang w:val="x-none" w:eastAsia="x-none"/>
        </w:rPr>
        <w:t>sadzīves atkritumu un ražošanas atkritumu, kas nav uzskatāmi par bīstamiem atkritumiem, apglābšanu</w:t>
      </w:r>
      <w:r w:rsidR="00AC62C2">
        <w:rPr>
          <w:rFonts w:ascii="Times New Roman" w:eastAsia="Times New Roman" w:hAnsi="Times New Roman" w:cs="Times New Roman"/>
          <w:sz w:val="24"/>
          <w:szCs w:val="24"/>
          <w:lang w:val="x-none" w:eastAsia="x-none"/>
        </w:rPr>
        <w:t xml:space="preserve"> 2020.gadā sasniegs 50,0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par tonnu, bet par bīstamo un ražošanas atkritumu apglabāšanu – 60,0 </w:t>
      </w:r>
      <w:r w:rsidRPr="00CE6BCD">
        <w:rPr>
          <w:rFonts w:ascii="Times New Roman" w:eastAsia="Times New Roman" w:hAnsi="Times New Roman" w:cs="Times New Roman"/>
          <w:i/>
          <w:sz w:val="24"/>
          <w:szCs w:val="24"/>
          <w:lang w:val="x-none" w:eastAsia="x-none"/>
        </w:rPr>
        <w:t>euro</w:t>
      </w:r>
      <w:r w:rsidRPr="00CE6BCD">
        <w:rPr>
          <w:rFonts w:ascii="Times New Roman" w:eastAsia="Times New Roman" w:hAnsi="Times New Roman" w:cs="Times New Roman"/>
          <w:sz w:val="24"/>
          <w:szCs w:val="24"/>
          <w:lang w:val="x-none" w:eastAsia="x-none"/>
        </w:rPr>
        <w:t xml:space="preserve"> par tonnu. </w:t>
      </w:r>
    </w:p>
    <w:p w14:paraId="270F6B0D" w14:textId="61445B6A" w:rsidR="00CE6BCD" w:rsidRPr="00CE6BCD" w:rsidRDefault="006A42EE" w:rsidP="00502866">
      <w:pPr>
        <w:spacing w:before="120" w:after="60" w:line="240" w:lineRule="auto"/>
        <w:ind w:right="57" w:firstLine="567"/>
        <w:jc w:val="right"/>
        <w:rPr>
          <w:rFonts w:ascii="Times New Roman" w:eastAsia="Times New Roman" w:hAnsi="Times New Roman" w:cs="Times New Roman"/>
          <w:b/>
          <w:i/>
          <w:sz w:val="24"/>
          <w:szCs w:val="24"/>
        </w:rPr>
      </w:pPr>
      <w:r>
        <w:rPr>
          <w:rFonts w:ascii="Times New Roman" w:eastAsia="Times New Roman" w:hAnsi="Times New Roman" w:cs="Times New Roman"/>
          <w:b/>
          <w:sz w:val="24"/>
          <w:szCs w:val="20"/>
        </w:rPr>
        <w:t>6.12.</w:t>
      </w:r>
      <w:r w:rsidR="00CE6BCD" w:rsidRPr="00CE6BCD">
        <w:rPr>
          <w:rFonts w:ascii="Times New Roman" w:eastAsia="Times New Roman" w:hAnsi="Times New Roman" w:cs="Times New Roman"/>
          <w:b/>
          <w:sz w:val="24"/>
          <w:szCs w:val="20"/>
        </w:rPr>
        <w:t>tabula. Dabas resursu nodokļa likmes par atkritumu apglabāšanu</w:t>
      </w:r>
    </w:p>
    <w:tbl>
      <w:tblPr>
        <w:tblStyle w:val="GridTable6Colorful-Accent1"/>
        <w:tblW w:w="8926" w:type="dxa"/>
        <w:tblLayout w:type="fixed"/>
        <w:tblLook w:val="04A0" w:firstRow="1" w:lastRow="0" w:firstColumn="1" w:lastColumn="0" w:noHBand="0" w:noVBand="1"/>
      </w:tblPr>
      <w:tblGrid>
        <w:gridCol w:w="3823"/>
        <w:gridCol w:w="1275"/>
        <w:gridCol w:w="1276"/>
        <w:gridCol w:w="1276"/>
        <w:gridCol w:w="1276"/>
      </w:tblGrid>
      <w:tr w:rsidR="00CE6BCD" w:rsidRPr="00CE6BCD" w14:paraId="59BDA5F4" w14:textId="77777777" w:rsidTr="00B2765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3" w:type="dxa"/>
            <w:vMerge w:val="restart"/>
            <w:vAlign w:val="center"/>
          </w:tcPr>
          <w:p w14:paraId="158A94F0" w14:textId="77777777" w:rsidR="00CE6BCD" w:rsidRPr="00616BA1" w:rsidRDefault="00CE6BCD" w:rsidP="00B27659">
            <w:pPr>
              <w:jc w:val="center"/>
              <w:rPr>
                <w:rFonts w:ascii="Times New Roman" w:eastAsia="Times New Roman" w:hAnsi="Times New Roman" w:cs="Times New Roman"/>
                <w:color w:val="000000"/>
                <w:sz w:val="20"/>
                <w:szCs w:val="24"/>
                <w:lang w:eastAsia="lv-LV"/>
              </w:rPr>
            </w:pPr>
            <w:r w:rsidRPr="00616BA1">
              <w:rPr>
                <w:rFonts w:ascii="Times New Roman" w:eastAsia="Times New Roman" w:hAnsi="Times New Roman" w:cs="Times New Roman"/>
                <w:color w:val="000000"/>
                <w:sz w:val="20"/>
                <w:szCs w:val="24"/>
                <w:lang w:eastAsia="lv-LV"/>
              </w:rPr>
              <w:t>Atkritumu veids</w:t>
            </w:r>
          </w:p>
        </w:tc>
        <w:tc>
          <w:tcPr>
            <w:tcW w:w="5103" w:type="dxa"/>
            <w:gridSpan w:val="4"/>
          </w:tcPr>
          <w:p w14:paraId="00806C0C" w14:textId="77777777" w:rsidR="00CE6BCD" w:rsidRPr="00CE6BCD" w:rsidRDefault="00CE6BCD" w:rsidP="00616B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Likmes spēkā stāšanās datums</w:t>
            </w:r>
          </w:p>
        </w:tc>
      </w:tr>
      <w:tr w:rsidR="00CE6BCD" w:rsidRPr="00CE6BCD" w14:paraId="489BCA80" w14:textId="77777777" w:rsidTr="00B2765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823" w:type="dxa"/>
            <w:vMerge/>
            <w:hideMark/>
          </w:tcPr>
          <w:p w14:paraId="5B94782D" w14:textId="77777777" w:rsidR="00CE6BCD" w:rsidRPr="00616BA1" w:rsidRDefault="00CE6BCD" w:rsidP="00616BA1">
            <w:pPr>
              <w:jc w:val="center"/>
              <w:rPr>
                <w:rFonts w:ascii="Times New Roman" w:eastAsia="Times New Roman" w:hAnsi="Times New Roman" w:cs="Times New Roman"/>
                <w:b w:val="0"/>
                <w:color w:val="000000"/>
                <w:sz w:val="20"/>
                <w:szCs w:val="24"/>
                <w:lang w:eastAsia="lv-LV"/>
              </w:rPr>
            </w:pPr>
          </w:p>
        </w:tc>
        <w:tc>
          <w:tcPr>
            <w:tcW w:w="1275" w:type="dxa"/>
            <w:hideMark/>
          </w:tcPr>
          <w:p w14:paraId="69D34949" w14:textId="77777777" w:rsidR="00CE6BCD" w:rsidRPr="00CE6BCD" w:rsidRDefault="00CE6BCD" w:rsidP="00616B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01.01.2017. (</w:t>
            </w:r>
            <w:r w:rsidRPr="00CE6BCD">
              <w:rPr>
                <w:rFonts w:ascii="Times New Roman" w:eastAsia="Times New Roman" w:hAnsi="Times New Roman" w:cs="Times New Roman"/>
                <w:i/>
                <w:color w:val="000000"/>
                <w:sz w:val="20"/>
                <w:szCs w:val="24"/>
                <w:lang w:eastAsia="lv-LV"/>
              </w:rPr>
              <w:t>euro</w:t>
            </w:r>
            <w:r w:rsidRPr="00CE6BCD">
              <w:rPr>
                <w:rFonts w:ascii="Times New Roman" w:eastAsia="Times New Roman" w:hAnsi="Times New Roman" w:cs="Times New Roman"/>
                <w:color w:val="000000"/>
                <w:sz w:val="20"/>
                <w:szCs w:val="24"/>
                <w:lang w:eastAsia="lv-LV"/>
              </w:rPr>
              <w:t>/tonna)</w:t>
            </w:r>
          </w:p>
        </w:tc>
        <w:tc>
          <w:tcPr>
            <w:tcW w:w="1276" w:type="dxa"/>
            <w:hideMark/>
          </w:tcPr>
          <w:p w14:paraId="69AF67C8" w14:textId="77777777" w:rsidR="00CE6BCD" w:rsidRPr="00CE6BCD" w:rsidRDefault="00CE6BCD" w:rsidP="00616B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01.01.2018. (</w:t>
            </w:r>
            <w:r w:rsidRPr="00CE6BCD">
              <w:rPr>
                <w:rFonts w:ascii="Times New Roman" w:eastAsia="Times New Roman" w:hAnsi="Times New Roman" w:cs="Times New Roman"/>
                <w:i/>
                <w:color w:val="000000"/>
                <w:sz w:val="20"/>
                <w:szCs w:val="24"/>
                <w:lang w:eastAsia="lv-LV"/>
              </w:rPr>
              <w:t>euro</w:t>
            </w:r>
            <w:r w:rsidRPr="00CE6BCD">
              <w:rPr>
                <w:rFonts w:ascii="Times New Roman" w:eastAsia="Times New Roman" w:hAnsi="Times New Roman" w:cs="Times New Roman"/>
                <w:color w:val="000000"/>
                <w:sz w:val="20"/>
                <w:szCs w:val="24"/>
                <w:lang w:eastAsia="lv-LV"/>
              </w:rPr>
              <w:t>/tonna)</w:t>
            </w:r>
          </w:p>
        </w:tc>
        <w:tc>
          <w:tcPr>
            <w:tcW w:w="1276" w:type="dxa"/>
            <w:hideMark/>
          </w:tcPr>
          <w:p w14:paraId="092D63F0" w14:textId="77777777" w:rsidR="00CE6BCD" w:rsidRPr="00CE6BCD" w:rsidRDefault="00CE6BCD" w:rsidP="00616B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01.01.2019. (</w:t>
            </w:r>
            <w:r w:rsidRPr="00CE6BCD">
              <w:rPr>
                <w:rFonts w:ascii="Times New Roman" w:eastAsia="Times New Roman" w:hAnsi="Times New Roman" w:cs="Times New Roman"/>
                <w:i/>
                <w:color w:val="000000"/>
                <w:sz w:val="20"/>
                <w:szCs w:val="24"/>
                <w:lang w:eastAsia="lv-LV"/>
              </w:rPr>
              <w:t>euro</w:t>
            </w:r>
            <w:r w:rsidRPr="00CE6BCD">
              <w:rPr>
                <w:rFonts w:ascii="Times New Roman" w:eastAsia="Times New Roman" w:hAnsi="Times New Roman" w:cs="Times New Roman"/>
                <w:color w:val="000000"/>
                <w:sz w:val="20"/>
                <w:szCs w:val="24"/>
                <w:lang w:eastAsia="lv-LV"/>
              </w:rPr>
              <w:t>/tonna)</w:t>
            </w:r>
          </w:p>
        </w:tc>
        <w:tc>
          <w:tcPr>
            <w:tcW w:w="1276" w:type="dxa"/>
            <w:hideMark/>
          </w:tcPr>
          <w:p w14:paraId="2D5FA077" w14:textId="77777777" w:rsidR="00CE6BCD" w:rsidRPr="00CE6BCD" w:rsidRDefault="00CE6BCD" w:rsidP="00616B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01.01.2020. (</w:t>
            </w:r>
            <w:r w:rsidRPr="00CE6BCD">
              <w:rPr>
                <w:rFonts w:ascii="Times New Roman" w:eastAsia="Times New Roman" w:hAnsi="Times New Roman" w:cs="Times New Roman"/>
                <w:i/>
                <w:color w:val="000000"/>
                <w:sz w:val="20"/>
                <w:szCs w:val="24"/>
                <w:lang w:eastAsia="lv-LV"/>
              </w:rPr>
              <w:t>euro</w:t>
            </w:r>
            <w:r w:rsidRPr="00CE6BCD">
              <w:rPr>
                <w:rFonts w:ascii="Times New Roman" w:eastAsia="Times New Roman" w:hAnsi="Times New Roman" w:cs="Times New Roman"/>
                <w:color w:val="000000"/>
                <w:sz w:val="20"/>
                <w:szCs w:val="24"/>
                <w:lang w:eastAsia="lv-LV"/>
              </w:rPr>
              <w:t>/tonna)</w:t>
            </w:r>
          </w:p>
        </w:tc>
      </w:tr>
      <w:tr w:rsidR="00CE6BCD" w:rsidRPr="00CE6BCD" w14:paraId="61F78178" w14:textId="77777777" w:rsidTr="00B27659">
        <w:trPr>
          <w:trHeight w:val="446"/>
        </w:trPr>
        <w:tc>
          <w:tcPr>
            <w:cnfStyle w:val="001000000000" w:firstRow="0" w:lastRow="0" w:firstColumn="1" w:lastColumn="0" w:oddVBand="0" w:evenVBand="0" w:oddHBand="0" w:evenHBand="0" w:firstRowFirstColumn="0" w:firstRowLastColumn="0" w:lastRowFirstColumn="0" w:lastRowLastColumn="0"/>
            <w:tcW w:w="3823" w:type="dxa"/>
            <w:hideMark/>
          </w:tcPr>
          <w:p w14:paraId="1BB45F1A"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Sadzīves atkritumi un ražošanas atkritumi, kas nav uzskatāmi par bīstamiem atkritumiem atbilstoši normatīvajiem aktiem par atkritumu klasifikatoru un īpašībām, kuras padara atkritumus bīstamus</w:t>
            </w:r>
          </w:p>
        </w:tc>
        <w:tc>
          <w:tcPr>
            <w:tcW w:w="1275" w:type="dxa"/>
            <w:vAlign w:val="center"/>
            <w:hideMark/>
          </w:tcPr>
          <w:p w14:paraId="71B130AC" w14:textId="77777777" w:rsidR="00CE6BCD" w:rsidRPr="00CE6BCD"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25,00</w:t>
            </w:r>
          </w:p>
        </w:tc>
        <w:tc>
          <w:tcPr>
            <w:tcW w:w="1276" w:type="dxa"/>
            <w:vAlign w:val="center"/>
            <w:hideMark/>
          </w:tcPr>
          <w:p w14:paraId="35A53A95" w14:textId="77777777" w:rsidR="00CE6BCD" w:rsidRPr="00CE6BCD"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35,00</w:t>
            </w:r>
          </w:p>
        </w:tc>
        <w:tc>
          <w:tcPr>
            <w:tcW w:w="1276" w:type="dxa"/>
            <w:vAlign w:val="center"/>
            <w:hideMark/>
          </w:tcPr>
          <w:p w14:paraId="1EC548F6" w14:textId="77777777" w:rsidR="00CE6BCD" w:rsidRPr="00CE6BCD"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43,00</w:t>
            </w:r>
          </w:p>
        </w:tc>
        <w:tc>
          <w:tcPr>
            <w:tcW w:w="1276" w:type="dxa"/>
            <w:vAlign w:val="center"/>
            <w:hideMark/>
          </w:tcPr>
          <w:p w14:paraId="118CCF40" w14:textId="77777777" w:rsidR="00CE6BCD" w:rsidRPr="00CE6BCD"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50,00</w:t>
            </w:r>
          </w:p>
        </w:tc>
      </w:tr>
      <w:tr w:rsidR="00CE6BCD" w:rsidRPr="00CE6BCD" w14:paraId="5867B160" w14:textId="77777777" w:rsidTr="00B2765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823" w:type="dxa"/>
            <w:hideMark/>
          </w:tcPr>
          <w:p w14:paraId="6F2ED3C6" w14:textId="77777777" w:rsidR="00CE6BCD" w:rsidRPr="00616BA1" w:rsidRDefault="00CE6BCD" w:rsidP="00CE6BCD">
            <w:pPr>
              <w:rPr>
                <w:rFonts w:ascii="Times New Roman" w:eastAsia="Times New Roman" w:hAnsi="Times New Roman" w:cs="Times New Roman"/>
                <w:b w:val="0"/>
                <w:color w:val="000000"/>
                <w:sz w:val="20"/>
                <w:szCs w:val="24"/>
                <w:lang w:eastAsia="lv-LV"/>
              </w:rPr>
            </w:pPr>
            <w:r w:rsidRPr="00616BA1">
              <w:rPr>
                <w:rFonts w:ascii="Times New Roman" w:eastAsia="Times New Roman" w:hAnsi="Times New Roman" w:cs="Times New Roman"/>
                <w:b w:val="0"/>
                <w:color w:val="000000"/>
                <w:sz w:val="20"/>
                <w:szCs w:val="24"/>
                <w:lang w:eastAsia="lv-LV"/>
              </w:rPr>
              <w:t>Bīstamie atkritumi un ražošanas atkritumi, kas ir uzskatāmi par bīstamiem atkritumiem atbilstoši normatīvajiem aktiem par atkritumu klasifikatoru un īpašībām, kuras padara atkritumus bīstamus</w:t>
            </w:r>
          </w:p>
        </w:tc>
        <w:tc>
          <w:tcPr>
            <w:tcW w:w="1275" w:type="dxa"/>
            <w:vAlign w:val="center"/>
            <w:hideMark/>
          </w:tcPr>
          <w:p w14:paraId="727F4471" w14:textId="77777777" w:rsidR="00CE6BCD" w:rsidRPr="00CE6BCD"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45,00</w:t>
            </w:r>
          </w:p>
        </w:tc>
        <w:tc>
          <w:tcPr>
            <w:tcW w:w="1276" w:type="dxa"/>
            <w:vAlign w:val="center"/>
            <w:hideMark/>
          </w:tcPr>
          <w:p w14:paraId="1771AA73" w14:textId="77777777" w:rsidR="00CE6BCD" w:rsidRPr="00CE6BCD"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50,00</w:t>
            </w:r>
          </w:p>
        </w:tc>
        <w:tc>
          <w:tcPr>
            <w:tcW w:w="1276" w:type="dxa"/>
            <w:vAlign w:val="center"/>
            <w:hideMark/>
          </w:tcPr>
          <w:p w14:paraId="7EA4B9F1" w14:textId="77777777" w:rsidR="00CE6BCD" w:rsidRPr="00CE6BCD"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55,00</w:t>
            </w:r>
          </w:p>
        </w:tc>
        <w:tc>
          <w:tcPr>
            <w:tcW w:w="1276" w:type="dxa"/>
            <w:vAlign w:val="center"/>
            <w:hideMark/>
          </w:tcPr>
          <w:p w14:paraId="107E4D49" w14:textId="77777777" w:rsidR="00CE6BCD" w:rsidRPr="00CE6BCD"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CE6BCD">
              <w:rPr>
                <w:rFonts w:ascii="Times New Roman" w:eastAsia="Times New Roman" w:hAnsi="Times New Roman" w:cs="Times New Roman"/>
                <w:color w:val="000000"/>
                <w:sz w:val="20"/>
                <w:szCs w:val="24"/>
                <w:lang w:eastAsia="lv-LV"/>
              </w:rPr>
              <w:t>60,00</w:t>
            </w:r>
          </w:p>
        </w:tc>
      </w:tr>
    </w:tbl>
    <w:p w14:paraId="0628965A" w14:textId="46DE0777" w:rsidR="00CE6BCD" w:rsidRPr="00CE6BCD" w:rsidRDefault="00CE6BCD" w:rsidP="00616BA1">
      <w:pPr>
        <w:spacing w:before="120" w:after="0" w:line="240" w:lineRule="auto"/>
        <w:ind w:right="57" w:firstLine="567"/>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Pamatojoties uz pieņemtajie</w:t>
      </w:r>
      <w:r w:rsidR="00AC62C2">
        <w:rPr>
          <w:rFonts w:ascii="Times New Roman" w:eastAsia="Times New Roman" w:hAnsi="Times New Roman" w:cs="Times New Roman"/>
          <w:sz w:val="24"/>
          <w:szCs w:val="24"/>
        </w:rPr>
        <w:t>m grozījumiem, ar 2017.gada 1</w:t>
      </w:r>
      <w:r w:rsidRPr="00CE6BCD">
        <w:rPr>
          <w:rFonts w:ascii="Times New Roman" w:eastAsia="Times New Roman" w:hAnsi="Times New Roman" w:cs="Times New Roman"/>
          <w:sz w:val="24"/>
          <w:szCs w:val="24"/>
        </w:rPr>
        <w:t>janvāri st</w:t>
      </w:r>
      <w:r w:rsidR="00AC62C2">
        <w:rPr>
          <w:rFonts w:ascii="Times New Roman" w:eastAsia="Times New Roman" w:hAnsi="Times New Roman" w:cs="Times New Roman"/>
          <w:sz w:val="24"/>
          <w:szCs w:val="24"/>
        </w:rPr>
        <w:t>ājās spēkā arī citas izmaiņas:</w:t>
      </w:r>
    </w:p>
    <w:p w14:paraId="5E1CBBBB" w14:textId="77777777" w:rsidR="00CE6BCD" w:rsidRPr="00CE6BCD" w:rsidRDefault="00CE6BCD" w:rsidP="0024257A">
      <w:pPr>
        <w:numPr>
          <w:ilvl w:val="0"/>
          <w:numId w:val="13"/>
        </w:numPr>
        <w:spacing w:after="0" w:line="240" w:lineRule="auto"/>
        <w:ind w:left="1077" w:hanging="357"/>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sz w:val="24"/>
          <w:szCs w:val="24"/>
          <w:lang w:val="x-none" w:eastAsia="x-none"/>
        </w:rPr>
        <w:t>dabas resursu nodoklis tiek piemērots arī par ūdens resursu lietošanu elektroenerģijas ražošanai hidroelektrostacijās, kuru kopējā jauda ir lielāka par diviem megavatiem;</w:t>
      </w:r>
    </w:p>
    <w:p w14:paraId="0F5AE840" w14:textId="77777777" w:rsidR="00CE6BCD" w:rsidRPr="00CE6BCD" w:rsidRDefault="00CE6BCD" w:rsidP="0024257A">
      <w:pPr>
        <w:numPr>
          <w:ilvl w:val="0"/>
          <w:numId w:val="13"/>
        </w:numPr>
        <w:spacing w:after="0" w:line="240" w:lineRule="auto"/>
        <w:jc w:val="both"/>
        <w:rPr>
          <w:rFonts w:ascii="Times New Roman" w:eastAsia="Times New Roman" w:hAnsi="Times New Roman" w:cs="Times New Roman"/>
          <w:sz w:val="24"/>
          <w:szCs w:val="24"/>
          <w:lang w:val="x-none" w:eastAsia="x-none"/>
        </w:rPr>
      </w:pPr>
      <w:r w:rsidRPr="00CE6BCD">
        <w:rPr>
          <w:rFonts w:ascii="Times New Roman" w:eastAsia="Times New Roman" w:hAnsi="Times New Roman" w:cs="Times New Roman"/>
          <w:sz w:val="24"/>
          <w:szCs w:val="24"/>
          <w:lang w:val="x-none" w:eastAsia="x-none"/>
        </w:rPr>
        <w:t>dabas resursu nodoklis tiek piemērots arī par derīgo izrakteņu ieguves procesā iegūtiem blakusproduktiem;</w:t>
      </w:r>
    </w:p>
    <w:p w14:paraId="2D8CA7A2" w14:textId="77777777" w:rsidR="00CE6BCD" w:rsidRPr="00CE6BCD" w:rsidRDefault="00CE6BCD" w:rsidP="0024257A">
      <w:pPr>
        <w:numPr>
          <w:ilvl w:val="0"/>
          <w:numId w:val="13"/>
        </w:numPr>
        <w:spacing w:after="0" w:line="240" w:lineRule="auto"/>
        <w:jc w:val="both"/>
        <w:rPr>
          <w:rFonts w:ascii="Calibri" w:eastAsia="Times New Roman" w:hAnsi="Calibri" w:cs="Times New Roman"/>
          <w:szCs w:val="24"/>
          <w:shd w:val="clear" w:color="auto" w:fill="FFFFFF"/>
          <w:lang w:val="x-none" w:eastAsia="x-none"/>
        </w:rPr>
      </w:pPr>
      <w:r w:rsidRPr="00CE6BCD">
        <w:rPr>
          <w:rFonts w:ascii="Times New Roman" w:eastAsia="Times New Roman" w:hAnsi="Times New Roman" w:cs="Times New Roman"/>
          <w:sz w:val="24"/>
          <w:szCs w:val="24"/>
          <w:lang w:val="x-none" w:eastAsia="x-none"/>
        </w:rPr>
        <w:t>no dabas resursu nodokļa objektiem izslēgta zemes dzīļu derīgo īpašību izmantošana, iesūknējot ģeoloģiskajās struktūrās siltumnīcefekta gāzes, jo šāda darbība ir aizliegta;</w:t>
      </w:r>
    </w:p>
    <w:p w14:paraId="0807B72A" w14:textId="77777777" w:rsidR="00CE6BCD" w:rsidRPr="00CE6BCD" w:rsidRDefault="00CE6BCD" w:rsidP="0024257A">
      <w:pPr>
        <w:numPr>
          <w:ilvl w:val="0"/>
          <w:numId w:val="13"/>
        </w:numPr>
        <w:spacing w:after="0" w:line="240" w:lineRule="auto"/>
        <w:jc w:val="both"/>
        <w:rPr>
          <w:rFonts w:ascii="Calibri" w:eastAsia="Times New Roman" w:hAnsi="Calibri" w:cs="Times New Roman"/>
          <w:szCs w:val="24"/>
          <w:shd w:val="clear" w:color="auto" w:fill="FFFFFF"/>
          <w:lang w:val="x-none" w:eastAsia="x-none"/>
        </w:rPr>
      </w:pPr>
      <w:r w:rsidRPr="00CE6BCD">
        <w:rPr>
          <w:rFonts w:ascii="Times New Roman" w:eastAsia="Times New Roman" w:hAnsi="Times New Roman" w:cs="Times New Roman"/>
          <w:sz w:val="24"/>
          <w:szCs w:val="24"/>
          <w:shd w:val="clear" w:color="auto" w:fill="FFFFFF"/>
          <w:lang w:val="x-none" w:eastAsia="x-none"/>
        </w:rPr>
        <w:t>mainīts nodokļa ieņēmumu sadalījums starp valsts un pašvaldību budžetiem</w:t>
      </w:r>
      <w:r w:rsidRPr="00CE6BCD">
        <w:rPr>
          <w:rFonts w:ascii="Times New Roman" w:eastAsia="Times New Roman" w:hAnsi="Times New Roman" w:cs="Times New Roman"/>
          <w:sz w:val="24"/>
          <w:szCs w:val="24"/>
          <w:shd w:val="clear" w:color="auto" w:fill="FFFFFF"/>
          <w:lang w:eastAsia="x-none"/>
        </w:rPr>
        <w:t xml:space="preserve"> no ieņēmumiem par oglekļa dioksīda (CO</w:t>
      </w:r>
      <w:r w:rsidRPr="00CE6BCD">
        <w:rPr>
          <w:rFonts w:ascii="Times New Roman" w:eastAsia="Times New Roman" w:hAnsi="Times New Roman" w:cs="Times New Roman"/>
          <w:sz w:val="24"/>
          <w:szCs w:val="24"/>
          <w:shd w:val="clear" w:color="auto" w:fill="FFFFFF"/>
          <w:vertAlign w:val="subscript"/>
          <w:lang w:eastAsia="x-none"/>
        </w:rPr>
        <w:t>2</w:t>
      </w:r>
      <w:r w:rsidRPr="00CE6BCD">
        <w:rPr>
          <w:rFonts w:ascii="Times New Roman" w:eastAsia="Times New Roman" w:hAnsi="Times New Roman" w:cs="Times New Roman"/>
          <w:sz w:val="24"/>
          <w:szCs w:val="24"/>
          <w:shd w:val="clear" w:color="auto" w:fill="FFFFFF"/>
          <w:lang w:eastAsia="x-none"/>
        </w:rPr>
        <w:t>) emisijām</w:t>
      </w:r>
      <w:r w:rsidRPr="00CE6BCD">
        <w:rPr>
          <w:rFonts w:ascii="Times New Roman" w:eastAsia="Times New Roman" w:hAnsi="Times New Roman" w:cs="Times New Roman"/>
          <w:sz w:val="24"/>
          <w:szCs w:val="24"/>
          <w:shd w:val="clear" w:color="auto" w:fill="FFFFFF"/>
          <w:lang w:val="x-none" w:eastAsia="x-none"/>
        </w:rPr>
        <w:t>, paredzot nodokļa maksājumus 60% apmērā ieskaitīt valsts pamatbudžetā un 40% apmērā tās pašvaldības vides aizsardzības speciālajā budžetā, kuras teritorijā tiek veikta attiecīgā darbība</w:t>
      </w:r>
      <w:r w:rsidRPr="00CE6BCD">
        <w:rPr>
          <w:rFonts w:ascii="Times New Roman" w:eastAsia="Times New Roman" w:hAnsi="Times New Roman" w:cs="Times New Roman"/>
          <w:sz w:val="24"/>
          <w:szCs w:val="24"/>
          <w:shd w:val="clear" w:color="auto" w:fill="FFFFFF"/>
          <w:lang w:eastAsia="x-none"/>
        </w:rPr>
        <w:t>.</w:t>
      </w:r>
    </w:p>
    <w:p w14:paraId="2B0A7A69" w14:textId="7367291B" w:rsidR="00CE6BCD" w:rsidRDefault="00CE6BCD" w:rsidP="00AC62C2">
      <w:pPr>
        <w:spacing w:after="0" w:line="240" w:lineRule="auto"/>
        <w:ind w:right="57" w:firstLine="567"/>
        <w:jc w:val="both"/>
        <w:rPr>
          <w:rFonts w:ascii="Times New Roman" w:eastAsia="Times New Roman" w:hAnsi="Times New Roman" w:cs="Times New Roman"/>
          <w:sz w:val="24"/>
          <w:szCs w:val="24"/>
        </w:rPr>
      </w:pPr>
      <w:r w:rsidRPr="00CE6BCD">
        <w:rPr>
          <w:rFonts w:ascii="Times New Roman" w:eastAsia="Times New Roman" w:hAnsi="Times New Roman" w:cs="Times New Roman"/>
          <w:sz w:val="24"/>
          <w:szCs w:val="24"/>
        </w:rPr>
        <w:t>Dabas resursu nodokļa likmi akmeņoglēm, koksam un lignītam plānots pa</w:t>
      </w:r>
      <w:r w:rsidR="00AC62C2">
        <w:rPr>
          <w:rFonts w:ascii="Times New Roman" w:eastAsia="Times New Roman" w:hAnsi="Times New Roman" w:cs="Times New Roman"/>
          <w:sz w:val="24"/>
          <w:szCs w:val="24"/>
        </w:rPr>
        <w:t>augstināt arī ar 2018. un 2019.</w:t>
      </w:r>
      <w:r w:rsidRPr="00CE6BCD">
        <w:rPr>
          <w:rFonts w:ascii="Times New Roman" w:eastAsia="Times New Roman" w:hAnsi="Times New Roman" w:cs="Times New Roman"/>
          <w:sz w:val="24"/>
          <w:szCs w:val="24"/>
        </w:rPr>
        <w:t>gada</w:t>
      </w:r>
      <w:r w:rsidR="00616BA1">
        <w:rPr>
          <w:rFonts w:ascii="Times New Roman" w:eastAsia="Times New Roman" w:hAnsi="Times New Roman" w:cs="Times New Roman"/>
          <w:sz w:val="24"/>
          <w:szCs w:val="24"/>
        </w:rPr>
        <w:t xml:space="preserve"> 1.janvāri</w:t>
      </w:r>
      <w:r w:rsidR="00AC62C2">
        <w:rPr>
          <w:rFonts w:ascii="Times New Roman" w:eastAsia="Times New Roman" w:hAnsi="Times New Roman" w:cs="Times New Roman"/>
          <w:sz w:val="24"/>
          <w:szCs w:val="24"/>
        </w:rPr>
        <w:t>.</w:t>
      </w:r>
    </w:p>
    <w:p w14:paraId="49DD8D0C" w14:textId="77777777" w:rsidR="00BE6FBC" w:rsidRDefault="00BE6FBC">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4C06D1CE" w14:textId="66AB04A1" w:rsidR="00CE6BCD" w:rsidRPr="00CE6BCD" w:rsidRDefault="006A42EE" w:rsidP="00502866">
      <w:pPr>
        <w:spacing w:before="120" w:after="60" w:line="240" w:lineRule="auto"/>
        <w:ind w:right="57" w:firstLine="567"/>
        <w:jc w:val="right"/>
        <w:rPr>
          <w:rFonts w:ascii="Times New Roman" w:eastAsia="Times New Roman" w:hAnsi="Times New Roman" w:cs="Times New Roman"/>
          <w:sz w:val="24"/>
          <w:szCs w:val="24"/>
        </w:rPr>
      </w:pPr>
      <w:r>
        <w:rPr>
          <w:rFonts w:ascii="Times New Roman" w:eastAsia="Times New Roman" w:hAnsi="Times New Roman" w:cs="Times New Roman"/>
          <w:b/>
          <w:sz w:val="24"/>
          <w:szCs w:val="20"/>
        </w:rPr>
        <w:lastRenderedPageBreak/>
        <w:t>6.13.</w:t>
      </w:r>
      <w:r w:rsidR="00CE6BCD" w:rsidRPr="00CE6BCD">
        <w:rPr>
          <w:rFonts w:ascii="Times New Roman" w:eastAsia="Times New Roman" w:hAnsi="Times New Roman" w:cs="Times New Roman"/>
          <w:b/>
          <w:sz w:val="24"/>
          <w:szCs w:val="20"/>
        </w:rPr>
        <w:t>tabula. Dabas resursu nodokļa likmes par akmeņoglēm, koksu un lignītu</w:t>
      </w:r>
    </w:p>
    <w:tbl>
      <w:tblPr>
        <w:tblStyle w:val="GridTable6Colorful-Accent1"/>
        <w:tblW w:w="9072" w:type="dxa"/>
        <w:jc w:val="center"/>
        <w:tblLook w:val="04A0" w:firstRow="1" w:lastRow="0" w:firstColumn="1" w:lastColumn="0" w:noHBand="0" w:noVBand="1"/>
      </w:tblPr>
      <w:tblGrid>
        <w:gridCol w:w="5103"/>
        <w:gridCol w:w="1290"/>
        <w:gridCol w:w="1262"/>
        <w:gridCol w:w="1417"/>
      </w:tblGrid>
      <w:tr w:rsidR="00616BA1" w:rsidRPr="00616BA1" w14:paraId="45286D12" w14:textId="77777777" w:rsidTr="00B27659">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5103" w:type="dxa"/>
            <w:vMerge w:val="restart"/>
            <w:vAlign w:val="center"/>
            <w:hideMark/>
          </w:tcPr>
          <w:p w14:paraId="3CABA680" w14:textId="77777777" w:rsidR="00CE6BCD" w:rsidRPr="00616BA1" w:rsidRDefault="00CE6BCD" w:rsidP="00B27659">
            <w:pPr>
              <w:jc w:val="center"/>
              <w:rPr>
                <w:rFonts w:ascii="Times New Roman" w:eastAsia="Times New Roman" w:hAnsi="Times New Roman" w:cs="Times New Roman"/>
                <w:color w:val="auto"/>
                <w:sz w:val="20"/>
                <w:szCs w:val="20"/>
                <w:lang w:eastAsia="lv-LV"/>
              </w:rPr>
            </w:pPr>
            <w:r w:rsidRPr="00616BA1">
              <w:rPr>
                <w:rFonts w:ascii="Times New Roman" w:eastAsia="Times New Roman" w:hAnsi="Times New Roman" w:cs="Times New Roman"/>
                <w:color w:val="auto"/>
                <w:sz w:val="20"/>
                <w:szCs w:val="20"/>
                <w:lang w:eastAsia="lv-LV"/>
              </w:rPr>
              <w:t>Akmeņogļu, koksa un lignīta (brūnogļu) klasifikācija</w:t>
            </w:r>
          </w:p>
        </w:tc>
        <w:tc>
          <w:tcPr>
            <w:tcW w:w="1290" w:type="dxa"/>
            <w:hideMark/>
          </w:tcPr>
          <w:p w14:paraId="201F4E19" w14:textId="77777777" w:rsidR="00CE6BCD" w:rsidRPr="00B27659"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B27659">
              <w:rPr>
                <w:rFonts w:ascii="Times New Roman" w:eastAsia="Times New Roman" w:hAnsi="Times New Roman" w:cs="Times New Roman"/>
                <w:color w:val="auto"/>
                <w:sz w:val="20"/>
                <w:szCs w:val="20"/>
                <w:lang w:eastAsia="lv-LV"/>
              </w:rPr>
              <w:t>01.01.2017.</w:t>
            </w:r>
          </w:p>
        </w:tc>
        <w:tc>
          <w:tcPr>
            <w:tcW w:w="1262" w:type="dxa"/>
            <w:hideMark/>
          </w:tcPr>
          <w:p w14:paraId="6C03E780" w14:textId="77777777" w:rsidR="00CE6BCD" w:rsidRPr="00B27659"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B27659">
              <w:rPr>
                <w:rFonts w:ascii="Times New Roman" w:eastAsia="Times New Roman" w:hAnsi="Times New Roman" w:cs="Times New Roman"/>
                <w:color w:val="auto"/>
                <w:sz w:val="20"/>
                <w:szCs w:val="20"/>
                <w:lang w:eastAsia="lv-LV"/>
              </w:rPr>
              <w:t>01.01.2018.</w:t>
            </w:r>
          </w:p>
        </w:tc>
        <w:tc>
          <w:tcPr>
            <w:tcW w:w="1417" w:type="dxa"/>
            <w:hideMark/>
          </w:tcPr>
          <w:p w14:paraId="6CD51235" w14:textId="77777777" w:rsidR="00CE6BCD" w:rsidRPr="00B27659" w:rsidRDefault="00CE6BCD" w:rsidP="00CE6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B27659">
              <w:rPr>
                <w:rFonts w:ascii="Times New Roman" w:eastAsia="Times New Roman" w:hAnsi="Times New Roman" w:cs="Times New Roman"/>
                <w:color w:val="auto"/>
                <w:sz w:val="20"/>
                <w:szCs w:val="20"/>
                <w:lang w:eastAsia="lv-LV"/>
              </w:rPr>
              <w:t>01.01.2019.</w:t>
            </w:r>
          </w:p>
        </w:tc>
      </w:tr>
      <w:tr w:rsidR="00616BA1" w:rsidRPr="00616BA1" w14:paraId="76F4D5A7" w14:textId="77777777" w:rsidTr="00B27659">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5103" w:type="dxa"/>
            <w:vMerge/>
            <w:hideMark/>
          </w:tcPr>
          <w:p w14:paraId="3AED2215" w14:textId="77777777" w:rsidR="00CE6BCD" w:rsidRPr="00616BA1" w:rsidRDefault="00CE6BCD" w:rsidP="00CE6BCD">
            <w:pPr>
              <w:rPr>
                <w:rFonts w:ascii="Times New Roman" w:eastAsia="Times New Roman" w:hAnsi="Times New Roman" w:cs="Times New Roman"/>
                <w:b w:val="0"/>
                <w:color w:val="auto"/>
                <w:sz w:val="20"/>
                <w:szCs w:val="20"/>
                <w:lang w:eastAsia="lv-LV"/>
              </w:rPr>
            </w:pPr>
          </w:p>
        </w:tc>
        <w:tc>
          <w:tcPr>
            <w:tcW w:w="1290" w:type="dxa"/>
            <w:hideMark/>
          </w:tcPr>
          <w:p w14:paraId="3641519A" w14:textId="77777777" w:rsidR="00CE6BCD" w:rsidRPr="00B27659" w:rsidRDefault="00CE6BCD" w:rsidP="00CE6B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B27659">
              <w:rPr>
                <w:rFonts w:ascii="Times New Roman" w:eastAsia="Times New Roman" w:hAnsi="Times New Roman" w:cs="Times New Roman"/>
                <w:b/>
                <w:color w:val="auto"/>
                <w:sz w:val="20"/>
                <w:szCs w:val="20"/>
                <w:lang w:eastAsia="lv-LV"/>
              </w:rPr>
              <w:t>(</w:t>
            </w:r>
            <w:r w:rsidRPr="00B27659">
              <w:rPr>
                <w:rFonts w:ascii="Times New Roman" w:eastAsia="Times New Roman" w:hAnsi="Times New Roman" w:cs="Times New Roman"/>
                <w:b/>
                <w:i/>
                <w:iCs/>
                <w:color w:val="auto"/>
                <w:sz w:val="20"/>
                <w:szCs w:val="20"/>
                <w:lang w:eastAsia="lv-LV"/>
              </w:rPr>
              <w:t>euro</w:t>
            </w:r>
            <w:r w:rsidRPr="00B27659">
              <w:rPr>
                <w:rFonts w:ascii="Times New Roman" w:eastAsia="Times New Roman" w:hAnsi="Times New Roman" w:cs="Times New Roman"/>
                <w:b/>
                <w:color w:val="auto"/>
                <w:sz w:val="20"/>
                <w:szCs w:val="20"/>
                <w:lang w:eastAsia="lv-LV"/>
              </w:rPr>
              <w:t>)</w:t>
            </w:r>
          </w:p>
        </w:tc>
        <w:tc>
          <w:tcPr>
            <w:tcW w:w="1262" w:type="dxa"/>
            <w:hideMark/>
          </w:tcPr>
          <w:p w14:paraId="02E44FD9" w14:textId="77777777" w:rsidR="00CE6BCD" w:rsidRPr="00B27659" w:rsidRDefault="00CE6BCD" w:rsidP="00CE6B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B27659">
              <w:rPr>
                <w:rFonts w:ascii="Times New Roman" w:eastAsia="Times New Roman" w:hAnsi="Times New Roman" w:cs="Times New Roman"/>
                <w:b/>
                <w:color w:val="auto"/>
                <w:sz w:val="20"/>
                <w:szCs w:val="20"/>
                <w:lang w:eastAsia="lv-LV"/>
              </w:rPr>
              <w:t>(</w:t>
            </w:r>
            <w:r w:rsidRPr="00B27659">
              <w:rPr>
                <w:rFonts w:ascii="Times New Roman" w:eastAsia="Times New Roman" w:hAnsi="Times New Roman" w:cs="Times New Roman"/>
                <w:b/>
                <w:i/>
                <w:iCs/>
                <w:color w:val="auto"/>
                <w:sz w:val="20"/>
                <w:szCs w:val="20"/>
                <w:lang w:eastAsia="lv-LV"/>
              </w:rPr>
              <w:t>euro</w:t>
            </w:r>
            <w:r w:rsidRPr="00B27659">
              <w:rPr>
                <w:rFonts w:ascii="Times New Roman" w:eastAsia="Times New Roman" w:hAnsi="Times New Roman" w:cs="Times New Roman"/>
                <w:b/>
                <w:color w:val="auto"/>
                <w:sz w:val="20"/>
                <w:szCs w:val="20"/>
                <w:lang w:eastAsia="lv-LV"/>
              </w:rPr>
              <w:t>)</w:t>
            </w:r>
          </w:p>
        </w:tc>
        <w:tc>
          <w:tcPr>
            <w:tcW w:w="1417" w:type="dxa"/>
            <w:hideMark/>
          </w:tcPr>
          <w:p w14:paraId="0BD7F594" w14:textId="77777777" w:rsidR="00CE6BCD" w:rsidRPr="00B27659" w:rsidRDefault="00CE6BCD" w:rsidP="00CE6B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B27659">
              <w:rPr>
                <w:rFonts w:ascii="Times New Roman" w:eastAsia="Times New Roman" w:hAnsi="Times New Roman" w:cs="Times New Roman"/>
                <w:b/>
                <w:color w:val="auto"/>
                <w:sz w:val="20"/>
                <w:szCs w:val="20"/>
                <w:lang w:eastAsia="lv-LV"/>
              </w:rPr>
              <w:t>(</w:t>
            </w:r>
            <w:r w:rsidRPr="00B27659">
              <w:rPr>
                <w:rFonts w:ascii="Times New Roman" w:eastAsia="Times New Roman" w:hAnsi="Times New Roman" w:cs="Times New Roman"/>
                <w:b/>
                <w:i/>
                <w:iCs/>
                <w:color w:val="auto"/>
                <w:sz w:val="20"/>
                <w:szCs w:val="20"/>
                <w:lang w:eastAsia="lv-LV"/>
              </w:rPr>
              <w:t>euro</w:t>
            </w:r>
            <w:r w:rsidRPr="00B27659">
              <w:rPr>
                <w:rFonts w:ascii="Times New Roman" w:eastAsia="Times New Roman" w:hAnsi="Times New Roman" w:cs="Times New Roman"/>
                <w:b/>
                <w:color w:val="auto"/>
                <w:sz w:val="20"/>
                <w:szCs w:val="20"/>
                <w:lang w:eastAsia="lv-LV"/>
              </w:rPr>
              <w:t>)</w:t>
            </w:r>
          </w:p>
        </w:tc>
      </w:tr>
      <w:tr w:rsidR="00616BA1" w:rsidRPr="00616BA1" w14:paraId="795CE59B" w14:textId="77777777" w:rsidTr="00B27659">
        <w:trPr>
          <w:trHeight w:val="311"/>
          <w:jc w:val="center"/>
        </w:trPr>
        <w:tc>
          <w:tcPr>
            <w:cnfStyle w:val="001000000000" w:firstRow="0" w:lastRow="0" w:firstColumn="1" w:lastColumn="0" w:oddVBand="0" w:evenVBand="0" w:oddHBand="0" w:evenHBand="0" w:firstRowFirstColumn="0" w:firstRowLastColumn="0" w:lastRowFirstColumn="0" w:lastRowLastColumn="0"/>
            <w:tcW w:w="5103" w:type="dxa"/>
            <w:hideMark/>
          </w:tcPr>
          <w:p w14:paraId="29B562EB" w14:textId="77777777" w:rsidR="00CE6BCD" w:rsidRPr="00616BA1" w:rsidRDefault="00CE6BCD" w:rsidP="00CE6BCD">
            <w:pPr>
              <w:rPr>
                <w:rFonts w:ascii="Times New Roman" w:eastAsia="Times New Roman" w:hAnsi="Times New Roman" w:cs="Times New Roman"/>
                <w:b w:val="0"/>
                <w:color w:val="auto"/>
                <w:sz w:val="20"/>
                <w:szCs w:val="20"/>
                <w:lang w:eastAsia="lv-LV"/>
              </w:rPr>
            </w:pPr>
            <w:r w:rsidRPr="00616BA1">
              <w:rPr>
                <w:rFonts w:ascii="Times New Roman" w:eastAsia="Times New Roman" w:hAnsi="Times New Roman" w:cs="Times New Roman"/>
                <w:b w:val="0"/>
                <w:color w:val="auto"/>
                <w:sz w:val="20"/>
                <w:szCs w:val="20"/>
                <w:lang w:eastAsia="lv-LV"/>
              </w:rPr>
              <w:t>Akmeņogles, kokss un lignīts (brūnogles) ar pavaddokumentos norādītu siltumspēju (GJ/t)</w:t>
            </w:r>
          </w:p>
        </w:tc>
        <w:tc>
          <w:tcPr>
            <w:tcW w:w="1290" w:type="dxa"/>
            <w:vAlign w:val="center"/>
            <w:hideMark/>
          </w:tcPr>
          <w:p w14:paraId="2EA09449"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16BA1">
              <w:rPr>
                <w:rFonts w:ascii="Times New Roman" w:eastAsia="Times New Roman" w:hAnsi="Times New Roman" w:cs="Times New Roman"/>
                <w:color w:val="auto"/>
                <w:sz w:val="20"/>
                <w:szCs w:val="20"/>
                <w:lang w:eastAsia="lv-LV"/>
              </w:rPr>
              <w:t>0,35</w:t>
            </w:r>
          </w:p>
        </w:tc>
        <w:tc>
          <w:tcPr>
            <w:tcW w:w="1262" w:type="dxa"/>
            <w:vAlign w:val="center"/>
            <w:hideMark/>
          </w:tcPr>
          <w:p w14:paraId="61656FDC"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16BA1">
              <w:rPr>
                <w:rFonts w:ascii="Times New Roman" w:eastAsia="Times New Roman" w:hAnsi="Times New Roman" w:cs="Times New Roman"/>
                <w:color w:val="auto"/>
                <w:sz w:val="20"/>
                <w:szCs w:val="20"/>
                <w:lang w:eastAsia="lv-LV"/>
              </w:rPr>
              <w:t>0,36</w:t>
            </w:r>
          </w:p>
        </w:tc>
        <w:tc>
          <w:tcPr>
            <w:tcW w:w="1417" w:type="dxa"/>
            <w:vAlign w:val="center"/>
            <w:hideMark/>
          </w:tcPr>
          <w:p w14:paraId="0B8145BC" w14:textId="77777777" w:rsidR="00CE6BCD" w:rsidRPr="00616BA1"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16BA1">
              <w:rPr>
                <w:rFonts w:ascii="Times New Roman" w:eastAsia="Times New Roman" w:hAnsi="Times New Roman" w:cs="Times New Roman"/>
                <w:color w:val="auto"/>
                <w:sz w:val="20"/>
                <w:szCs w:val="20"/>
                <w:lang w:eastAsia="lv-LV"/>
              </w:rPr>
              <w:t>0,38</w:t>
            </w:r>
          </w:p>
        </w:tc>
      </w:tr>
      <w:tr w:rsidR="00616BA1" w:rsidRPr="00616BA1" w14:paraId="33DA0D58" w14:textId="77777777" w:rsidTr="00B27659">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103" w:type="dxa"/>
            <w:hideMark/>
          </w:tcPr>
          <w:p w14:paraId="7BE160DE" w14:textId="77777777" w:rsidR="00CE6BCD" w:rsidRPr="00616BA1" w:rsidRDefault="00CE6BCD" w:rsidP="00CE6BCD">
            <w:pPr>
              <w:rPr>
                <w:rFonts w:ascii="Times New Roman" w:eastAsia="Times New Roman" w:hAnsi="Times New Roman" w:cs="Times New Roman"/>
                <w:b w:val="0"/>
                <w:color w:val="auto"/>
                <w:sz w:val="20"/>
                <w:szCs w:val="20"/>
                <w:lang w:eastAsia="lv-LV"/>
              </w:rPr>
            </w:pPr>
            <w:r w:rsidRPr="00616BA1">
              <w:rPr>
                <w:rFonts w:ascii="Times New Roman" w:eastAsia="Times New Roman" w:hAnsi="Times New Roman" w:cs="Times New Roman"/>
                <w:b w:val="0"/>
                <w:color w:val="auto"/>
                <w:sz w:val="20"/>
                <w:szCs w:val="20"/>
                <w:lang w:eastAsia="lv-LV"/>
              </w:rPr>
              <w:t xml:space="preserve">Akmeņogles, kokss un lignīts (brūnogles), ja pavaddokumentos nav norādīta siltumspēja, t </w:t>
            </w:r>
          </w:p>
        </w:tc>
        <w:tc>
          <w:tcPr>
            <w:tcW w:w="1290" w:type="dxa"/>
            <w:vAlign w:val="center"/>
            <w:hideMark/>
          </w:tcPr>
          <w:p w14:paraId="104E24B4"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16BA1">
              <w:rPr>
                <w:rFonts w:ascii="Times New Roman" w:eastAsia="Times New Roman" w:hAnsi="Times New Roman" w:cs="Times New Roman"/>
                <w:color w:val="auto"/>
                <w:sz w:val="20"/>
                <w:szCs w:val="20"/>
                <w:lang w:eastAsia="lv-LV"/>
              </w:rPr>
              <w:t>9,80</w:t>
            </w:r>
          </w:p>
        </w:tc>
        <w:tc>
          <w:tcPr>
            <w:tcW w:w="1262" w:type="dxa"/>
            <w:vAlign w:val="center"/>
            <w:hideMark/>
          </w:tcPr>
          <w:p w14:paraId="20E2D134"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16BA1">
              <w:rPr>
                <w:rFonts w:ascii="Times New Roman" w:eastAsia="Times New Roman" w:hAnsi="Times New Roman" w:cs="Times New Roman"/>
                <w:color w:val="auto"/>
                <w:sz w:val="20"/>
                <w:szCs w:val="20"/>
                <w:lang w:eastAsia="lv-LV"/>
              </w:rPr>
              <w:t>10,25</w:t>
            </w:r>
          </w:p>
        </w:tc>
        <w:tc>
          <w:tcPr>
            <w:tcW w:w="1417" w:type="dxa"/>
            <w:vAlign w:val="center"/>
            <w:hideMark/>
          </w:tcPr>
          <w:p w14:paraId="38807A21" w14:textId="77777777" w:rsidR="00CE6BCD" w:rsidRPr="00616BA1"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16BA1">
              <w:rPr>
                <w:rFonts w:ascii="Times New Roman" w:eastAsia="Times New Roman" w:hAnsi="Times New Roman" w:cs="Times New Roman"/>
                <w:color w:val="auto"/>
                <w:sz w:val="20"/>
                <w:szCs w:val="20"/>
                <w:lang w:eastAsia="lv-LV"/>
              </w:rPr>
              <w:t>10,65</w:t>
            </w:r>
          </w:p>
        </w:tc>
      </w:tr>
    </w:tbl>
    <w:p w14:paraId="70E48421" w14:textId="6572E3A7" w:rsidR="00CE6BCD" w:rsidRPr="00CE6BCD" w:rsidRDefault="00AC62C2" w:rsidP="006A42EE">
      <w:pPr>
        <w:spacing w:before="120" w:after="0" w:line="240" w:lineRule="auto"/>
        <w:ind w:right="57" w:firstLine="567"/>
        <w:jc w:val="both"/>
        <w:rPr>
          <w:rFonts w:ascii="Times New Roman" w:eastAsia="Times New Roman" w:hAnsi="Times New Roman" w:cs="Times New Roman"/>
          <w:b/>
          <w:sz w:val="24"/>
          <w:szCs w:val="20"/>
        </w:rPr>
      </w:pPr>
      <w:r>
        <w:rPr>
          <w:rFonts w:ascii="Times New Roman" w:eastAsia="Times New Roman" w:hAnsi="Times New Roman" w:cs="Times New Roman"/>
          <w:sz w:val="24"/>
          <w:szCs w:val="24"/>
        </w:rPr>
        <w:t>Savukārt ar 2018.gada 1.</w:t>
      </w:r>
      <w:r w:rsidR="00CE6BCD" w:rsidRPr="00CE6BCD">
        <w:rPr>
          <w:rFonts w:ascii="Times New Roman" w:eastAsia="Times New Roman" w:hAnsi="Times New Roman" w:cs="Times New Roman"/>
          <w:sz w:val="24"/>
          <w:szCs w:val="24"/>
        </w:rPr>
        <w:t xml:space="preserve">jūliju saskaņā ar pieņemtajiem grozījumiem Dabas resursu nodokļa likumā tiks izlīdzinātas dabas resursu nodokļa likmes </w:t>
      </w:r>
      <w:r w:rsidR="00CE6BCD" w:rsidRPr="00CE6BCD">
        <w:rPr>
          <w:rFonts w:ascii="Times New Roman" w:eastAsia="Times New Roman" w:hAnsi="Times New Roman" w:cs="Times New Roman"/>
          <w:sz w:val="24"/>
          <w:szCs w:val="24"/>
          <w:lang w:eastAsia="lv-LV"/>
        </w:rPr>
        <w:t xml:space="preserve">elektriskajām un elektroniskajām iekārtām </w:t>
      </w:r>
      <w:r w:rsidR="00CE6BCD" w:rsidRPr="00CE6BCD">
        <w:rPr>
          <w:rFonts w:ascii="Times New Roman" w:eastAsia="Times New Roman" w:hAnsi="Times New Roman" w:cs="Times New Roman"/>
          <w:sz w:val="24"/>
          <w:szCs w:val="24"/>
        </w:rPr>
        <w:t>kategoriju ietvaros, paaugstinot tās atsevišķām apakškategorijām vidēji par 27%.</w:t>
      </w:r>
    </w:p>
    <w:p w14:paraId="09ADDF9A" w14:textId="7625DC62" w:rsidR="00CE6BCD" w:rsidRPr="00CE6BCD" w:rsidRDefault="00CE6BCD" w:rsidP="006A42EE">
      <w:pPr>
        <w:keepNext/>
        <w:spacing w:before="120" w:after="60" w:line="240" w:lineRule="auto"/>
        <w:jc w:val="right"/>
        <w:rPr>
          <w:rFonts w:ascii="Times New Roman" w:eastAsia="Times New Roman" w:hAnsi="Times New Roman" w:cs="Times New Roman"/>
          <w:b/>
          <w:sz w:val="24"/>
          <w:szCs w:val="20"/>
        </w:rPr>
      </w:pPr>
      <w:r w:rsidRPr="00CE6BCD">
        <w:rPr>
          <w:rFonts w:ascii="Times New Roman" w:eastAsia="Times New Roman" w:hAnsi="Times New Roman" w:cs="Times New Roman"/>
          <w:b/>
          <w:sz w:val="24"/>
          <w:szCs w:val="20"/>
        </w:rPr>
        <w:t>6.14.tabula. Nodokļu politikas izmaiņu ietekme uz dabas resursu nodokļa ieņēmumiem, milj. </w:t>
      </w:r>
      <w:r w:rsidRPr="00CE6BCD">
        <w:rPr>
          <w:rFonts w:ascii="Times New Roman" w:eastAsia="Times New Roman" w:hAnsi="Times New Roman" w:cs="Times New Roman"/>
          <w:b/>
          <w:i/>
          <w:sz w:val="24"/>
          <w:szCs w:val="20"/>
        </w:rPr>
        <w:t>euro</w:t>
      </w:r>
      <w:r w:rsidRPr="00CE6BCD">
        <w:rPr>
          <w:rFonts w:ascii="Times New Roman" w:eastAsia="Times New Roman" w:hAnsi="Times New Roman" w:cs="Times New Roman"/>
          <w:b/>
          <w:sz w:val="24"/>
          <w:szCs w:val="20"/>
        </w:rPr>
        <w:t xml:space="preserve"> </w:t>
      </w:r>
    </w:p>
    <w:tbl>
      <w:tblPr>
        <w:tblStyle w:val="GridTable6Colorful-Accent1"/>
        <w:tblW w:w="9322" w:type="dxa"/>
        <w:jc w:val="center"/>
        <w:tblLayout w:type="fixed"/>
        <w:tblLook w:val="04A0" w:firstRow="1" w:lastRow="0" w:firstColumn="1" w:lastColumn="0" w:noHBand="0" w:noVBand="1"/>
      </w:tblPr>
      <w:tblGrid>
        <w:gridCol w:w="5637"/>
        <w:gridCol w:w="992"/>
        <w:gridCol w:w="992"/>
        <w:gridCol w:w="851"/>
        <w:gridCol w:w="850"/>
      </w:tblGrid>
      <w:tr w:rsidR="00616BA1" w:rsidRPr="00616BA1" w14:paraId="0C2828C1" w14:textId="77777777" w:rsidTr="00B276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6E67C2ED" w14:textId="77777777" w:rsidR="00CE6BCD" w:rsidRPr="00616BA1" w:rsidRDefault="00CE6BCD" w:rsidP="00CE6BCD">
            <w:pPr>
              <w:rPr>
                <w:rFonts w:ascii="Times New Roman" w:eastAsia="Times New Roman" w:hAnsi="Times New Roman" w:cs="Times New Roman"/>
                <w:color w:val="auto"/>
                <w:sz w:val="20"/>
                <w:highlight w:val="yellow"/>
              </w:rPr>
            </w:pPr>
          </w:p>
        </w:tc>
        <w:tc>
          <w:tcPr>
            <w:tcW w:w="992" w:type="dxa"/>
          </w:tcPr>
          <w:p w14:paraId="1DADEFD7"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2017</w:t>
            </w:r>
          </w:p>
        </w:tc>
        <w:tc>
          <w:tcPr>
            <w:tcW w:w="992" w:type="dxa"/>
          </w:tcPr>
          <w:p w14:paraId="34D6DAC1"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2018</w:t>
            </w:r>
          </w:p>
        </w:tc>
        <w:tc>
          <w:tcPr>
            <w:tcW w:w="851" w:type="dxa"/>
          </w:tcPr>
          <w:p w14:paraId="3192FB2D"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2019</w:t>
            </w:r>
          </w:p>
        </w:tc>
        <w:tc>
          <w:tcPr>
            <w:tcW w:w="850" w:type="dxa"/>
          </w:tcPr>
          <w:p w14:paraId="6EBAB7C0" w14:textId="77777777" w:rsidR="00CE6BCD" w:rsidRPr="00616BA1"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2020</w:t>
            </w:r>
          </w:p>
        </w:tc>
      </w:tr>
      <w:tr w:rsidR="00616BA1" w:rsidRPr="00616BA1" w14:paraId="7AB5CE96"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7BB02C15" w14:textId="77777777" w:rsidR="00CE6BCD" w:rsidRPr="00616BA1" w:rsidRDefault="00CE6BCD" w:rsidP="00CE6BCD">
            <w:pPr>
              <w:rPr>
                <w:rFonts w:ascii="Times New Roman" w:eastAsia="Times New Roman" w:hAnsi="Times New Roman" w:cs="Times New Roman"/>
                <w:b w:val="0"/>
                <w:color w:val="auto"/>
                <w:sz w:val="20"/>
              </w:rPr>
            </w:pPr>
            <w:r w:rsidRPr="00616BA1">
              <w:rPr>
                <w:rFonts w:ascii="Times New Roman" w:eastAsia="Times New Roman" w:hAnsi="Times New Roman" w:cs="Times New Roman"/>
                <w:b w:val="0"/>
                <w:color w:val="auto"/>
                <w:sz w:val="20"/>
              </w:rPr>
              <w:t>Dabas resursu nodokļa likmju paaugstināšana par dabas resursu un ūdeņu ieguvi, vienreiz lietojamiem galda traukiem un piederumiem, par plastmasas maisiņiem, par oglekļa dioksīda emisijām, par pirmo reizi pastāvīgi Latvijā reģistrētiem transportlīdzekļiem, par visu veidu riepām un dabas resursu nodokļa piemērošana par ūdens resursu lietošana elektroenerģijas ražošanai lielajās hidroelektrostacijās</w:t>
            </w:r>
          </w:p>
        </w:tc>
        <w:tc>
          <w:tcPr>
            <w:tcW w:w="992" w:type="dxa"/>
            <w:vAlign w:val="center"/>
          </w:tcPr>
          <w:p w14:paraId="309815C5"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+9,5</w:t>
            </w:r>
          </w:p>
        </w:tc>
        <w:tc>
          <w:tcPr>
            <w:tcW w:w="992" w:type="dxa"/>
            <w:vAlign w:val="center"/>
          </w:tcPr>
          <w:p w14:paraId="5587EF05"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
        </w:tc>
        <w:tc>
          <w:tcPr>
            <w:tcW w:w="851" w:type="dxa"/>
            <w:vAlign w:val="center"/>
          </w:tcPr>
          <w:p w14:paraId="5AE98575"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
        </w:tc>
        <w:tc>
          <w:tcPr>
            <w:tcW w:w="850" w:type="dxa"/>
            <w:vAlign w:val="center"/>
          </w:tcPr>
          <w:p w14:paraId="4BB1AFE5"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
        </w:tc>
      </w:tr>
      <w:tr w:rsidR="00616BA1" w:rsidRPr="00616BA1" w14:paraId="1038A451"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2BC34E00" w14:textId="77777777" w:rsidR="00CE6BCD" w:rsidRPr="00616BA1" w:rsidRDefault="00CE6BCD" w:rsidP="00CE6BCD">
            <w:pPr>
              <w:rPr>
                <w:rFonts w:ascii="Times New Roman" w:eastAsia="Times New Roman" w:hAnsi="Times New Roman" w:cs="Times New Roman"/>
                <w:b w:val="0"/>
                <w:color w:val="auto"/>
                <w:sz w:val="20"/>
              </w:rPr>
            </w:pPr>
            <w:r w:rsidRPr="00616BA1">
              <w:rPr>
                <w:rFonts w:ascii="Times New Roman" w:eastAsia="Times New Roman" w:hAnsi="Times New Roman" w:cs="Times New Roman"/>
                <w:b w:val="0"/>
                <w:color w:val="auto"/>
                <w:sz w:val="20"/>
              </w:rPr>
              <w:t>Dabas resursu nodokļa likmju paaugstināšana par atkritumu apglabāšanu</w:t>
            </w:r>
          </w:p>
        </w:tc>
        <w:tc>
          <w:tcPr>
            <w:tcW w:w="992" w:type="dxa"/>
            <w:vAlign w:val="center"/>
          </w:tcPr>
          <w:p w14:paraId="7E941310"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+5,0</w:t>
            </w:r>
          </w:p>
        </w:tc>
        <w:tc>
          <w:tcPr>
            <w:tcW w:w="992" w:type="dxa"/>
            <w:vAlign w:val="center"/>
          </w:tcPr>
          <w:p w14:paraId="11AC4E71"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+2,8</w:t>
            </w:r>
          </w:p>
        </w:tc>
        <w:tc>
          <w:tcPr>
            <w:tcW w:w="851" w:type="dxa"/>
            <w:vAlign w:val="center"/>
          </w:tcPr>
          <w:p w14:paraId="1A4A01D2"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+1,1</w:t>
            </w:r>
          </w:p>
        </w:tc>
        <w:tc>
          <w:tcPr>
            <w:tcW w:w="850" w:type="dxa"/>
            <w:vAlign w:val="center"/>
          </w:tcPr>
          <w:p w14:paraId="243494AE"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r>
      <w:tr w:rsidR="00616BA1" w:rsidRPr="00616BA1" w14:paraId="6D304841"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68046761" w14:textId="77777777" w:rsidR="00CE6BCD" w:rsidRPr="00616BA1" w:rsidRDefault="00CE6BCD" w:rsidP="00CE6BCD">
            <w:pPr>
              <w:rPr>
                <w:rFonts w:ascii="Times New Roman" w:eastAsia="Times New Roman" w:hAnsi="Times New Roman" w:cs="Times New Roman"/>
                <w:b w:val="0"/>
                <w:color w:val="auto"/>
                <w:sz w:val="20"/>
              </w:rPr>
            </w:pPr>
            <w:r w:rsidRPr="00616BA1">
              <w:rPr>
                <w:rFonts w:ascii="Times New Roman" w:eastAsia="Times New Roman" w:hAnsi="Times New Roman" w:cs="Times New Roman"/>
                <w:b w:val="0"/>
                <w:color w:val="auto"/>
                <w:sz w:val="20"/>
              </w:rPr>
              <w:t>Dabas resursu nodokļa likmju paaugstināšana akmeņoglēm, koksam un lignītam</w:t>
            </w:r>
          </w:p>
        </w:tc>
        <w:tc>
          <w:tcPr>
            <w:tcW w:w="992" w:type="dxa"/>
            <w:vAlign w:val="center"/>
          </w:tcPr>
          <w:p w14:paraId="0BFED7AC"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+0,5</w:t>
            </w:r>
          </w:p>
        </w:tc>
        <w:tc>
          <w:tcPr>
            <w:tcW w:w="992" w:type="dxa"/>
            <w:vAlign w:val="center"/>
          </w:tcPr>
          <w:p w14:paraId="4AA49662"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+0,02</w:t>
            </w:r>
          </w:p>
        </w:tc>
        <w:tc>
          <w:tcPr>
            <w:tcW w:w="851" w:type="dxa"/>
            <w:vAlign w:val="center"/>
          </w:tcPr>
          <w:p w14:paraId="272A1095"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+0,02</w:t>
            </w:r>
          </w:p>
        </w:tc>
        <w:tc>
          <w:tcPr>
            <w:tcW w:w="850" w:type="dxa"/>
            <w:vAlign w:val="center"/>
          </w:tcPr>
          <w:p w14:paraId="13CAFBF3"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
        </w:tc>
      </w:tr>
      <w:tr w:rsidR="00616BA1" w:rsidRPr="00616BA1" w14:paraId="77DD4CC3"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7050E18B" w14:textId="77777777" w:rsidR="00CE6BCD" w:rsidRPr="00616BA1" w:rsidRDefault="00CE6BCD" w:rsidP="00CE6BCD">
            <w:pPr>
              <w:rPr>
                <w:rFonts w:ascii="Times New Roman" w:eastAsia="Times New Roman" w:hAnsi="Times New Roman" w:cs="Times New Roman"/>
                <w:b w:val="0"/>
                <w:color w:val="auto"/>
                <w:sz w:val="20"/>
              </w:rPr>
            </w:pPr>
            <w:r w:rsidRPr="00616BA1">
              <w:rPr>
                <w:rFonts w:ascii="Times New Roman" w:eastAsia="Times New Roman" w:hAnsi="Times New Roman" w:cs="Times New Roman"/>
                <w:b w:val="0"/>
                <w:color w:val="auto"/>
                <w:sz w:val="20"/>
              </w:rPr>
              <w:t>Dabas resursu nodokļa likmju izlīdzināšana par elektriskajām un elektroniskajām iekārtām</w:t>
            </w:r>
          </w:p>
        </w:tc>
        <w:tc>
          <w:tcPr>
            <w:tcW w:w="992" w:type="dxa"/>
            <w:vAlign w:val="center"/>
          </w:tcPr>
          <w:p w14:paraId="69E97C1E"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c>
          <w:tcPr>
            <w:tcW w:w="992" w:type="dxa"/>
            <w:vAlign w:val="center"/>
          </w:tcPr>
          <w:p w14:paraId="3D4B7705"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+0,03</w:t>
            </w:r>
          </w:p>
        </w:tc>
        <w:tc>
          <w:tcPr>
            <w:tcW w:w="851" w:type="dxa"/>
            <w:vAlign w:val="center"/>
          </w:tcPr>
          <w:p w14:paraId="1321D8C8"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c>
          <w:tcPr>
            <w:tcW w:w="850" w:type="dxa"/>
            <w:vAlign w:val="center"/>
          </w:tcPr>
          <w:p w14:paraId="14861B98" w14:textId="77777777" w:rsidR="00CE6BCD" w:rsidRPr="00616BA1"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r>
      <w:tr w:rsidR="00616BA1" w:rsidRPr="00616BA1" w14:paraId="7C50326C"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7FD6DE08" w14:textId="77777777" w:rsidR="00CE6BCD" w:rsidRPr="00616BA1" w:rsidRDefault="00CE6BCD" w:rsidP="00CE6BCD">
            <w:pPr>
              <w:jc w:val="both"/>
              <w:rPr>
                <w:rFonts w:ascii="Times New Roman" w:eastAsia="Times New Roman" w:hAnsi="Times New Roman" w:cs="Times New Roman"/>
                <w:color w:val="auto"/>
                <w:sz w:val="20"/>
              </w:rPr>
            </w:pPr>
            <w:r w:rsidRPr="00616BA1">
              <w:rPr>
                <w:rFonts w:ascii="Times New Roman" w:eastAsia="Times New Roman" w:hAnsi="Times New Roman" w:cs="Times New Roman"/>
                <w:color w:val="auto"/>
                <w:sz w:val="20"/>
              </w:rPr>
              <w:t>Izmaiņu ietekme kopā:</w:t>
            </w:r>
          </w:p>
        </w:tc>
        <w:tc>
          <w:tcPr>
            <w:tcW w:w="992" w:type="dxa"/>
            <w:vAlign w:val="center"/>
          </w:tcPr>
          <w:p w14:paraId="7110C939"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rPr>
            </w:pPr>
            <w:r w:rsidRPr="00616BA1">
              <w:rPr>
                <w:rFonts w:ascii="Times New Roman" w:eastAsia="Times New Roman" w:hAnsi="Times New Roman" w:cs="Times New Roman"/>
                <w:b/>
                <w:color w:val="auto"/>
                <w:sz w:val="20"/>
              </w:rPr>
              <w:t>+15,0</w:t>
            </w:r>
          </w:p>
        </w:tc>
        <w:tc>
          <w:tcPr>
            <w:tcW w:w="992" w:type="dxa"/>
            <w:vAlign w:val="center"/>
          </w:tcPr>
          <w:p w14:paraId="2C047456"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rPr>
            </w:pPr>
            <w:r w:rsidRPr="00616BA1">
              <w:rPr>
                <w:rFonts w:ascii="Times New Roman" w:eastAsia="Times New Roman" w:hAnsi="Times New Roman" w:cs="Times New Roman"/>
                <w:b/>
                <w:color w:val="auto"/>
                <w:sz w:val="20"/>
              </w:rPr>
              <w:t>+2,9</w:t>
            </w:r>
          </w:p>
        </w:tc>
        <w:tc>
          <w:tcPr>
            <w:tcW w:w="851" w:type="dxa"/>
            <w:vAlign w:val="center"/>
          </w:tcPr>
          <w:p w14:paraId="41EFDEFC"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rPr>
            </w:pPr>
            <w:r w:rsidRPr="00616BA1">
              <w:rPr>
                <w:rFonts w:ascii="Times New Roman" w:eastAsia="Times New Roman" w:hAnsi="Times New Roman" w:cs="Times New Roman"/>
                <w:b/>
                <w:color w:val="auto"/>
                <w:sz w:val="20"/>
              </w:rPr>
              <w:t>+1,1</w:t>
            </w:r>
          </w:p>
        </w:tc>
        <w:tc>
          <w:tcPr>
            <w:tcW w:w="850" w:type="dxa"/>
            <w:vAlign w:val="center"/>
          </w:tcPr>
          <w:p w14:paraId="2A4A37EC" w14:textId="77777777" w:rsidR="00CE6BCD" w:rsidRPr="00616BA1"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rPr>
            </w:pPr>
          </w:p>
        </w:tc>
      </w:tr>
    </w:tbl>
    <w:p w14:paraId="77D17010" w14:textId="77777777" w:rsidR="00CE6BCD" w:rsidRPr="00CE6BCD" w:rsidRDefault="00CE6BCD" w:rsidP="008644D5">
      <w:pPr>
        <w:spacing w:before="360" w:after="120" w:line="240" w:lineRule="auto"/>
        <w:ind w:left="567" w:firstLine="153"/>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Solidaritātes nodoklis</w:t>
      </w:r>
    </w:p>
    <w:p w14:paraId="38C50EF9" w14:textId="3F7EFB0B" w:rsidR="00CE6BCD" w:rsidRPr="00CE6BCD" w:rsidRDefault="00AC62C2" w:rsidP="00CE6BCD">
      <w:pPr>
        <w:spacing w:after="12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Ar 2016.gada 1.</w:t>
      </w:r>
      <w:r w:rsidR="00CE6BCD" w:rsidRPr="00CE6BCD">
        <w:rPr>
          <w:rFonts w:ascii="Times New Roman" w:eastAsia="Times New Roman" w:hAnsi="Times New Roman" w:cs="Times New Roman"/>
          <w:sz w:val="24"/>
          <w:szCs w:val="24"/>
        </w:rPr>
        <w:t xml:space="preserve">janvāri tika ieviests jauns darbaspēka nodoklis - solidaritātes nodoklis, tā mērķis ir novērst </w:t>
      </w:r>
      <w:r w:rsidR="00CE6BCD" w:rsidRPr="00CE6BCD">
        <w:rPr>
          <w:rFonts w:ascii="Times New Roman" w:eastAsia="Times New Roman" w:hAnsi="Times New Roman" w:cs="Times New Roman"/>
          <w:sz w:val="24"/>
          <w:szCs w:val="24"/>
          <w:lang w:eastAsia="lv-LV"/>
        </w:rPr>
        <w:t xml:space="preserve">regresīvo darbaspēka nodokļu sistēmu, kas radusies no </w:t>
      </w:r>
      <w:r w:rsidR="00D51057">
        <w:rPr>
          <w:rFonts w:ascii="Times New Roman" w:eastAsia="Times New Roman" w:hAnsi="Times New Roman" w:cs="Times New Roman"/>
          <w:sz w:val="24"/>
          <w:szCs w:val="24"/>
          <w:lang w:eastAsia="lv-LV"/>
        </w:rPr>
        <w:t>VSAOI</w:t>
      </w:r>
      <w:r w:rsidR="00CE6BCD" w:rsidRPr="00CE6BCD">
        <w:rPr>
          <w:rFonts w:ascii="Times New Roman" w:eastAsia="Times New Roman" w:hAnsi="Times New Roman" w:cs="Times New Roman"/>
          <w:sz w:val="24"/>
          <w:szCs w:val="24"/>
          <w:lang w:eastAsia="lv-LV"/>
        </w:rPr>
        <w:t xml:space="preserve"> objekta maks</w:t>
      </w:r>
      <w:r>
        <w:rPr>
          <w:rFonts w:ascii="Times New Roman" w:eastAsia="Times New Roman" w:hAnsi="Times New Roman" w:cs="Times New Roman"/>
          <w:sz w:val="24"/>
          <w:szCs w:val="24"/>
          <w:lang w:eastAsia="lv-LV"/>
        </w:rPr>
        <w:t>imālā apmēra atjaunošanas 2014.gada 1.</w:t>
      </w:r>
      <w:r w:rsidR="00CE6BCD" w:rsidRPr="00CE6BCD">
        <w:rPr>
          <w:rFonts w:ascii="Times New Roman" w:eastAsia="Times New Roman" w:hAnsi="Times New Roman" w:cs="Times New Roman"/>
          <w:sz w:val="24"/>
          <w:szCs w:val="24"/>
          <w:lang w:eastAsia="lv-LV"/>
        </w:rPr>
        <w:t xml:space="preserve">janvārī. Atjaunojot </w:t>
      </w:r>
      <w:r w:rsidR="00D51057">
        <w:rPr>
          <w:rFonts w:ascii="Times New Roman" w:eastAsia="Times New Roman" w:hAnsi="Times New Roman" w:cs="Times New Roman"/>
          <w:sz w:val="24"/>
          <w:szCs w:val="24"/>
          <w:lang w:eastAsia="lv-LV"/>
        </w:rPr>
        <w:t>VSAOI</w:t>
      </w:r>
      <w:r w:rsidR="00CE6BCD" w:rsidRPr="00CE6BCD">
        <w:rPr>
          <w:rFonts w:ascii="Times New Roman" w:eastAsia="Times New Roman" w:hAnsi="Times New Roman" w:cs="Times New Roman"/>
          <w:sz w:val="24"/>
          <w:szCs w:val="24"/>
          <w:lang w:eastAsia="lv-LV"/>
        </w:rPr>
        <w:t xml:space="preserve"> objekta maksimālo apmēru, nodokļu maksātājiem, kuru ienākumi bija virs noteiktā iemaksu objekta maksimālā apmēra,</w:t>
      </w:r>
      <w:r w:rsidR="00CE6BCD" w:rsidRPr="00CE6BCD">
        <w:rPr>
          <w:rFonts w:ascii="Times New Roman" w:eastAsia="Times New Roman" w:hAnsi="Times New Roman" w:cs="Times New Roman"/>
          <w:sz w:val="24"/>
          <w:szCs w:val="24"/>
          <w:shd w:val="clear" w:color="auto" w:fill="FFFFFF"/>
          <w:lang w:eastAsia="lv-LV"/>
        </w:rPr>
        <w:t xml:space="preserve"> nodokļu slogs kļuva mazāks, salīdzinot ar tām personām, kas nodokļu </w:t>
      </w:r>
      <w:r w:rsidR="00CE6BCD" w:rsidRPr="00CE6BCD">
        <w:rPr>
          <w:rFonts w:ascii="Times New Roman" w:eastAsia="Times New Roman" w:hAnsi="Times New Roman" w:cs="Times New Roman"/>
          <w:sz w:val="24"/>
          <w:szCs w:val="24"/>
        </w:rPr>
        <w:t>maksājumus veica no visiem darba ienākumiem</w:t>
      </w:r>
      <w:r w:rsidR="00CE6BCD" w:rsidRPr="00CE6BCD">
        <w:rPr>
          <w:rFonts w:ascii="Times New Roman" w:eastAsia="Times New Roman" w:hAnsi="Times New Roman" w:cs="Times New Roman"/>
          <w:sz w:val="24"/>
          <w:szCs w:val="24"/>
          <w:shd w:val="clear" w:color="auto" w:fill="FFFFFF"/>
          <w:lang w:eastAsia="lv-LV"/>
        </w:rPr>
        <w:t>.</w:t>
      </w:r>
    </w:p>
    <w:p w14:paraId="7ADC355A" w14:textId="77777777" w:rsidR="00CE6BCD" w:rsidRPr="00CE6BCD" w:rsidRDefault="00CE6BCD" w:rsidP="00CE6BCD">
      <w:pPr>
        <w:spacing w:after="120" w:line="240" w:lineRule="auto"/>
        <w:ind w:firstLine="709"/>
        <w:jc w:val="both"/>
        <w:rPr>
          <w:rFonts w:ascii="Times New Roman" w:eastAsia="Times New Roman" w:hAnsi="Times New Roman" w:cs="Times New Roman"/>
          <w:sz w:val="24"/>
          <w:szCs w:val="24"/>
        </w:rPr>
      </w:pPr>
    </w:p>
    <w:p w14:paraId="6CF7C829" w14:textId="77777777" w:rsidR="00CE6BCD" w:rsidRPr="00CE6BCD" w:rsidRDefault="00CE6BCD" w:rsidP="00CE6BCD">
      <w:pPr>
        <w:spacing w:after="120" w:line="240" w:lineRule="auto"/>
        <w:jc w:val="center"/>
        <w:rPr>
          <w:rFonts w:ascii="Times New Roman" w:eastAsia="Times New Roman" w:hAnsi="Times New Roman" w:cs="Times New Roman"/>
          <w:b/>
          <w:sz w:val="24"/>
          <w:szCs w:val="20"/>
        </w:rPr>
      </w:pPr>
      <w:r w:rsidRPr="00CE6BCD">
        <w:rPr>
          <w:rFonts w:ascii="Times New Roman" w:eastAsia="Times New Roman" w:hAnsi="Times New Roman" w:cs="Times New Roman"/>
          <w:noProof/>
          <w:sz w:val="24"/>
          <w:szCs w:val="20"/>
          <w:lang w:eastAsia="lv-LV"/>
        </w:rPr>
        <w:lastRenderedPageBreak/>
        <w:drawing>
          <wp:inline distT="0" distB="0" distL="0" distR="0" wp14:anchorId="5870F840" wp14:editId="0DF32D2D">
            <wp:extent cx="5619750" cy="28003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C6C081" w14:textId="61AB58E8" w:rsidR="00CE6BCD" w:rsidRPr="00AC62C2" w:rsidRDefault="00D64D9E" w:rsidP="00502866">
      <w:pPr>
        <w:spacing w:before="60" w:after="12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b/>
          <w:sz w:val="24"/>
          <w:szCs w:val="20"/>
        </w:rPr>
        <w:t>6.2.</w:t>
      </w:r>
      <w:r w:rsidR="00CE6BCD" w:rsidRPr="00AC62C2">
        <w:rPr>
          <w:rFonts w:ascii="Times New Roman" w:eastAsia="Times New Roman" w:hAnsi="Times New Roman" w:cs="Times New Roman"/>
          <w:b/>
          <w:sz w:val="24"/>
          <w:szCs w:val="20"/>
        </w:rPr>
        <w:t>att</w:t>
      </w:r>
      <w:r w:rsidR="00AC62C2">
        <w:rPr>
          <w:rFonts w:ascii="Times New Roman" w:eastAsia="Times New Roman" w:hAnsi="Times New Roman" w:cs="Times New Roman"/>
          <w:b/>
          <w:sz w:val="24"/>
          <w:szCs w:val="20"/>
        </w:rPr>
        <w:t>ēls</w:t>
      </w:r>
      <w:r w:rsidR="00CE6BCD" w:rsidRPr="00AC62C2">
        <w:rPr>
          <w:rFonts w:ascii="Times New Roman" w:eastAsia="Times New Roman" w:hAnsi="Times New Roman" w:cs="Times New Roman"/>
          <w:b/>
          <w:sz w:val="24"/>
          <w:szCs w:val="20"/>
        </w:rPr>
        <w:t>. Darbaspēka nodokļu slogs pie dažādiem ienākumu līmeņiem 2015. un 2016.gadā</w:t>
      </w:r>
    </w:p>
    <w:p w14:paraId="13CB6CD2" w14:textId="0D770F6B" w:rsidR="00CE6BCD" w:rsidRPr="00CE6BCD" w:rsidRDefault="00CE6BCD" w:rsidP="00AC62C2">
      <w:pPr>
        <w:spacing w:after="0" w:line="240" w:lineRule="auto"/>
        <w:ind w:firstLine="567"/>
        <w:jc w:val="both"/>
        <w:rPr>
          <w:rFonts w:ascii="Times New Roman" w:eastAsia="Times New Roman" w:hAnsi="Times New Roman" w:cs="Times New Roman"/>
          <w:sz w:val="24"/>
          <w:szCs w:val="24"/>
          <w:shd w:val="clear" w:color="auto" w:fill="FFFFFF"/>
        </w:rPr>
      </w:pPr>
      <w:r w:rsidRPr="00CE6BCD">
        <w:rPr>
          <w:rFonts w:ascii="Times New Roman" w:eastAsia="Times New Roman" w:hAnsi="Times New Roman" w:cs="Times New Roman"/>
          <w:sz w:val="24"/>
          <w:szCs w:val="24"/>
        </w:rPr>
        <w:t xml:space="preserve">Solidaritātes nodokļa likme ir tādi pati kā </w:t>
      </w:r>
      <w:r w:rsidR="00D51057">
        <w:rPr>
          <w:rFonts w:ascii="Times New Roman" w:eastAsia="Times New Roman" w:hAnsi="Times New Roman" w:cs="Times New Roman"/>
          <w:sz w:val="24"/>
          <w:szCs w:val="24"/>
        </w:rPr>
        <w:t>VSAOI</w:t>
      </w:r>
      <w:r w:rsidRPr="00CE6BCD">
        <w:rPr>
          <w:rFonts w:ascii="Times New Roman" w:eastAsia="Times New Roman" w:hAnsi="Times New Roman" w:cs="Times New Roman"/>
          <w:sz w:val="24"/>
          <w:szCs w:val="24"/>
        </w:rPr>
        <w:t xml:space="preserve"> likme (34,09%) un to piemēro ienākumu daļai, kas pārsniedz </w:t>
      </w:r>
      <w:r w:rsidR="00D51057">
        <w:rPr>
          <w:rFonts w:ascii="Times New Roman" w:eastAsia="Times New Roman" w:hAnsi="Times New Roman" w:cs="Times New Roman"/>
          <w:sz w:val="24"/>
          <w:szCs w:val="24"/>
        </w:rPr>
        <w:t>VSAOI</w:t>
      </w:r>
      <w:r w:rsidRPr="00CE6BCD">
        <w:rPr>
          <w:rFonts w:ascii="Times New Roman" w:eastAsia="Times New Roman" w:hAnsi="Times New Roman" w:cs="Times New Roman"/>
          <w:sz w:val="24"/>
          <w:szCs w:val="24"/>
        </w:rPr>
        <w:t xml:space="preserve"> maksimālo objektu. </w:t>
      </w:r>
      <w:r w:rsidRPr="00CE6BCD">
        <w:rPr>
          <w:rFonts w:ascii="Times New Roman" w:eastAsia="Times New Roman" w:hAnsi="Times New Roman" w:cs="Times New Roman"/>
          <w:sz w:val="24"/>
          <w:szCs w:val="24"/>
          <w:shd w:val="clear" w:color="auto" w:fill="FFFFFF"/>
        </w:rPr>
        <w:t xml:space="preserve">Solidaritātes nodokļa maksājumi tiek ieskaitīti valsts speciālajā budžetā kopā ar </w:t>
      </w:r>
      <w:r w:rsidR="00D51057">
        <w:rPr>
          <w:rFonts w:ascii="Times New Roman" w:eastAsia="Times New Roman" w:hAnsi="Times New Roman" w:cs="Times New Roman"/>
          <w:sz w:val="24"/>
          <w:szCs w:val="24"/>
          <w:lang w:eastAsia="lv-LV"/>
        </w:rPr>
        <w:t>VSAOI</w:t>
      </w:r>
      <w:r w:rsidRPr="00CE6BCD">
        <w:rPr>
          <w:rFonts w:ascii="Times New Roman" w:eastAsia="Times New Roman" w:hAnsi="Times New Roman" w:cs="Times New Roman"/>
          <w:sz w:val="24"/>
          <w:szCs w:val="24"/>
          <w:shd w:val="clear" w:color="auto" w:fill="FFFFFF"/>
        </w:rPr>
        <w:t xml:space="preserve">. Pēc tam, </w:t>
      </w:r>
      <w:r w:rsidRPr="00CE6BCD">
        <w:rPr>
          <w:rFonts w:ascii="Times New Roman" w:eastAsia="Times New Roman" w:hAnsi="Times New Roman" w:cs="Times New Roman"/>
          <w:sz w:val="24"/>
          <w:szCs w:val="24"/>
        </w:rPr>
        <w:t xml:space="preserve">pamatojoties uz </w:t>
      </w:r>
      <w:r w:rsidR="00AC62C2">
        <w:rPr>
          <w:rFonts w:ascii="Times New Roman" w:eastAsia="Times New Roman" w:hAnsi="Times New Roman" w:cs="Times New Roman"/>
          <w:sz w:val="24"/>
          <w:szCs w:val="24"/>
        </w:rPr>
        <w:t>VID</w:t>
      </w:r>
      <w:r w:rsidRPr="00CE6BCD">
        <w:rPr>
          <w:rFonts w:ascii="Times New Roman" w:eastAsia="Times New Roman" w:hAnsi="Times New Roman" w:cs="Times New Roman"/>
          <w:sz w:val="24"/>
          <w:szCs w:val="24"/>
        </w:rPr>
        <w:t xml:space="preserve"> sniegto informāciju, Valsts sociālās apdrošināšanas aģentūra,</w:t>
      </w:r>
      <w:r w:rsidRPr="00CE6BCD">
        <w:rPr>
          <w:rFonts w:ascii="Times New Roman" w:eastAsia="Times New Roman" w:hAnsi="Times New Roman" w:cs="Times New Roman"/>
          <w:sz w:val="24"/>
          <w:szCs w:val="24"/>
          <w:shd w:val="clear" w:color="auto" w:fill="F1F1F1"/>
        </w:rPr>
        <w:t xml:space="preserve"> </w:t>
      </w:r>
      <w:r w:rsidRPr="00CE6BCD">
        <w:rPr>
          <w:rFonts w:ascii="Times New Roman" w:eastAsia="Times New Roman" w:hAnsi="Times New Roman" w:cs="Times New Roman"/>
          <w:sz w:val="24"/>
          <w:szCs w:val="24"/>
          <w:shd w:val="clear" w:color="auto" w:fill="FFFFFF"/>
        </w:rPr>
        <w:t xml:space="preserve">ņemot vērā </w:t>
      </w:r>
      <w:r w:rsidR="00D51057">
        <w:rPr>
          <w:rFonts w:ascii="Times New Roman" w:eastAsia="Times New Roman" w:hAnsi="Times New Roman" w:cs="Times New Roman"/>
          <w:sz w:val="24"/>
          <w:szCs w:val="24"/>
          <w:lang w:eastAsia="lv-LV"/>
        </w:rPr>
        <w:t>VSAOI</w:t>
      </w:r>
      <w:r w:rsidRPr="00CE6BCD">
        <w:rPr>
          <w:rFonts w:ascii="Times New Roman" w:eastAsia="Times New Roman" w:hAnsi="Times New Roman" w:cs="Times New Roman"/>
          <w:sz w:val="24"/>
          <w:szCs w:val="24"/>
          <w:shd w:val="clear" w:color="auto" w:fill="FFFFFF"/>
        </w:rPr>
        <w:t xml:space="preserve"> objekta maksimālo apmēru, katrai personai aprēķina </w:t>
      </w:r>
      <w:r w:rsidR="00D51057">
        <w:rPr>
          <w:rFonts w:ascii="Times New Roman" w:eastAsia="Times New Roman" w:hAnsi="Times New Roman" w:cs="Times New Roman"/>
          <w:sz w:val="24"/>
          <w:szCs w:val="24"/>
          <w:lang w:eastAsia="lv-LV"/>
        </w:rPr>
        <w:t>VSAOI</w:t>
      </w:r>
      <w:r w:rsidRPr="00CE6BCD">
        <w:rPr>
          <w:rFonts w:ascii="Times New Roman" w:eastAsia="Times New Roman" w:hAnsi="Times New Roman" w:cs="Times New Roman"/>
          <w:sz w:val="24"/>
          <w:szCs w:val="24"/>
          <w:shd w:val="clear" w:color="auto" w:fill="FFFFFF"/>
        </w:rPr>
        <w:t xml:space="preserve"> pārsnieguma daļu (solidaritātes nodokli), kuru</w:t>
      </w:r>
      <w:r w:rsidR="00AC62C2">
        <w:rPr>
          <w:rFonts w:ascii="Times New Roman" w:eastAsia="Times New Roman" w:hAnsi="Times New Roman" w:cs="Times New Roman"/>
          <w:sz w:val="24"/>
          <w:szCs w:val="24"/>
          <w:shd w:val="clear" w:color="auto" w:fill="FFFFFF"/>
        </w:rPr>
        <w:t xml:space="preserve"> pārskaita valsts pamatbudžetā.</w:t>
      </w:r>
    </w:p>
    <w:p w14:paraId="7E1A6CDB" w14:textId="2C5D8DD3" w:rsidR="00CE6BCD" w:rsidRPr="00CE6BCD" w:rsidRDefault="00CE6BCD" w:rsidP="00AC62C2">
      <w:pPr>
        <w:spacing w:after="0" w:line="240" w:lineRule="auto"/>
        <w:ind w:firstLine="567"/>
        <w:jc w:val="both"/>
        <w:rPr>
          <w:rFonts w:ascii="Times New Roman" w:eastAsia="Times New Roman" w:hAnsi="Times New Roman" w:cs="Times New Roman"/>
          <w:sz w:val="24"/>
          <w:szCs w:val="24"/>
          <w:lang w:eastAsia="lv-LV"/>
        </w:rPr>
      </w:pPr>
      <w:r w:rsidRPr="00CE6BCD">
        <w:rPr>
          <w:rFonts w:ascii="Times New Roman" w:eastAsia="Times New Roman" w:hAnsi="Times New Roman" w:cs="Times New Roman"/>
          <w:sz w:val="24"/>
          <w:szCs w:val="24"/>
          <w:lang w:eastAsia="lv-LV"/>
        </w:rPr>
        <w:t xml:space="preserve">Ar 2017.gada 1.janvāri </w:t>
      </w:r>
      <w:r w:rsidR="00D51057">
        <w:rPr>
          <w:rFonts w:ascii="Times New Roman" w:eastAsia="Times New Roman" w:hAnsi="Times New Roman" w:cs="Times New Roman"/>
          <w:sz w:val="24"/>
          <w:szCs w:val="24"/>
          <w:lang w:eastAsia="lv-LV"/>
        </w:rPr>
        <w:t>VSAOI</w:t>
      </w:r>
      <w:r w:rsidRPr="00CE6BCD">
        <w:rPr>
          <w:rFonts w:ascii="Times New Roman" w:eastAsia="Times New Roman" w:hAnsi="Times New Roman" w:cs="Times New Roman"/>
          <w:sz w:val="24"/>
          <w:szCs w:val="24"/>
          <w:lang w:eastAsia="lv-LV"/>
        </w:rPr>
        <w:t xml:space="preserve"> objekta maksimālais apmērs pa</w:t>
      </w:r>
      <w:r w:rsidR="00AC62C2">
        <w:rPr>
          <w:rFonts w:ascii="Times New Roman" w:eastAsia="Times New Roman" w:hAnsi="Times New Roman" w:cs="Times New Roman"/>
          <w:sz w:val="24"/>
          <w:szCs w:val="24"/>
          <w:lang w:eastAsia="lv-LV"/>
        </w:rPr>
        <w:t xml:space="preserve">lielināts no 48 600 līdz 52 400 </w:t>
      </w:r>
      <w:r w:rsidRPr="00CE6BCD">
        <w:rPr>
          <w:rFonts w:ascii="Times New Roman" w:eastAsia="Times New Roman" w:hAnsi="Times New Roman" w:cs="Times New Roman"/>
          <w:i/>
          <w:spacing w:val="-6"/>
          <w:sz w:val="24"/>
          <w:szCs w:val="24"/>
          <w:lang w:eastAsia="lv-LV"/>
        </w:rPr>
        <w:t>euro,</w:t>
      </w:r>
      <w:r w:rsidRPr="00CE6BCD">
        <w:rPr>
          <w:rFonts w:ascii="Times New Roman" w:eastAsia="Times New Roman" w:hAnsi="Times New Roman" w:cs="Times New Roman"/>
          <w:sz w:val="24"/>
          <w:szCs w:val="24"/>
          <w:lang w:eastAsia="lv-LV"/>
        </w:rPr>
        <w:t xml:space="preserve"> līdz ar to samazinot solidaritātes nodokļa ieņēmumus.</w:t>
      </w:r>
    </w:p>
    <w:p w14:paraId="611BDA7A" w14:textId="7A5C6E89" w:rsidR="00CE6BCD" w:rsidRPr="00CE6BCD" w:rsidRDefault="00CE6BCD" w:rsidP="006A42EE">
      <w:pPr>
        <w:spacing w:after="0" w:line="240" w:lineRule="auto"/>
        <w:ind w:firstLine="567"/>
        <w:jc w:val="both"/>
        <w:rPr>
          <w:rFonts w:ascii="Times New Roman" w:eastAsia="Times New Roman" w:hAnsi="Times New Roman" w:cs="Times New Roman"/>
          <w:b/>
          <w:sz w:val="24"/>
          <w:szCs w:val="20"/>
        </w:rPr>
      </w:pPr>
      <w:r w:rsidRPr="00CE6BCD">
        <w:rPr>
          <w:rFonts w:ascii="Times New Roman" w:eastAsia="Times New Roman" w:hAnsi="Times New Roman" w:cs="Times New Roman"/>
          <w:sz w:val="24"/>
          <w:szCs w:val="24"/>
          <w:lang w:eastAsia="lv-LV"/>
        </w:rPr>
        <w:t xml:space="preserve">2016.gada augustā </w:t>
      </w:r>
      <w:r w:rsidR="00AC62C2">
        <w:rPr>
          <w:rFonts w:ascii="Times New Roman" w:eastAsia="Times New Roman" w:hAnsi="Times New Roman" w:cs="Times New Roman"/>
          <w:sz w:val="24"/>
          <w:szCs w:val="24"/>
          <w:lang w:eastAsia="lv-LV"/>
        </w:rPr>
        <w:t>MK</w:t>
      </w:r>
      <w:r w:rsidRPr="00CE6BCD">
        <w:rPr>
          <w:rFonts w:ascii="Times New Roman" w:eastAsia="Times New Roman" w:hAnsi="Times New Roman" w:cs="Times New Roman"/>
          <w:sz w:val="24"/>
          <w:szCs w:val="24"/>
          <w:lang w:eastAsia="lv-LV"/>
        </w:rPr>
        <w:t xml:space="preserve"> tika izvērtēti priekšlikumi iespējamām solidaritātes nodokļa izmaiņām. Ņemot vērā to, ka neviens no priekšlikumiem neguva atbalstu, valdība vienojās saglabāt esošo solidaritātes nodokļa maksāšanas kārtību un vienlaicīgi turpināt vērtēt šī nodokļa iespējamo reformu nodokļu pamatnostādņu kontekstā.</w:t>
      </w:r>
    </w:p>
    <w:p w14:paraId="04996FF6" w14:textId="1E6E917B" w:rsidR="00CE6BCD" w:rsidRPr="00CE6BCD" w:rsidRDefault="00D64D9E" w:rsidP="006A42EE">
      <w:pPr>
        <w:keepNext/>
        <w:spacing w:before="120" w:after="60" w:line="240" w:lineRule="auto"/>
        <w:jc w:val="right"/>
        <w:rPr>
          <w:rFonts w:ascii="Times New Roman" w:eastAsia="Times New Roman" w:hAnsi="Times New Roman" w:cs="Times New Roman"/>
          <w:b/>
          <w:sz w:val="24"/>
          <w:szCs w:val="20"/>
        </w:rPr>
      </w:pPr>
      <w:r>
        <w:rPr>
          <w:rFonts w:ascii="Times New Roman" w:eastAsia="Times New Roman" w:hAnsi="Times New Roman" w:cs="Times New Roman"/>
          <w:b/>
          <w:sz w:val="24"/>
          <w:szCs w:val="20"/>
        </w:rPr>
        <w:t>6.15.</w:t>
      </w:r>
      <w:r w:rsidR="00CE6BCD" w:rsidRPr="00CE6BCD">
        <w:rPr>
          <w:rFonts w:ascii="Times New Roman" w:eastAsia="Times New Roman" w:hAnsi="Times New Roman" w:cs="Times New Roman"/>
          <w:b/>
          <w:sz w:val="24"/>
          <w:szCs w:val="20"/>
        </w:rPr>
        <w:t>tabula. Nodokļu politikas izmaiņu ietekme uz solidaritātes nodokļa ieņēmumiem, milj. </w:t>
      </w:r>
      <w:r w:rsidR="00CE6BCD" w:rsidRPr="00CE6BCD">
        <w:rPr>
          <w:rFonts w:ascii="Times New Roman" w:eastAsia="Times New Roman" w:hAnsi="Times New Roman" w:cs="Times New Roman"/>
          <w:b/>
          <w:i/>
          <w:sz w:val="24"/>
          <w:szCs w:val="20"/>
        </w:rPr>
        <w:t>euro</w:t>
      </w:r>
    </w:p>
    <w:tbl>
      <w:tblPr>
        <w:tblStyle w:val="GridTable6Colorful-Accent1"/>
        <w:tblW w:w="6658" w:type="dxa"/>
        <w:jc w:val="center"/>
        <w:tblLayout w:type="fixed"/>
        <w:tblLook w:val="04A0" w:firstRow="1" w:lastRow="0" w:firstColumn="1" w:lastColumn="0" w:noHBand="0" w:noVBand="1"/>
      </w:tblPr>
      <w:tblGrid>
        <w:gridCol w:w="4815"/>
        <w:gridCol w:w="1843"/>
      </w:tblGrid>
      <w:tr w:rsidR="000958F5" w:rsidRPr="000958F5" w14:paraId="484F23A1" w14:textId="77777777" w:rsidTr="00B276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14:paraId="0D68EA97" w14:textId="77777777" w:rsidR="00CE6BCD" w:rsidRPr="000958F5" w:rsidRDefault="00CE6BCD" w:rsidP="00CE6BCD">
            <w:pPr>
              <w:rPr>
                <w:rFonts w:ascii="Times New Roman" w:eastAsia="Times New Roman" w:hAnsi="Times New Roman" w:cs="Times New Roman"/>
                <w:color w:val="auto"/>
                <w:sz w:val="20"/>
              </w:rPr>
            </w:pPr>
          </w:p>
        </w:tc>
        <w:tc>
          <w:tcPr>
            <w:tcW w:w="1843" w:type="dxa"/>
          </w:tcPr>
          <w:p w14:paraId="0CFC5B81" w14:textId="77777777" w:rsidR="00CE6BCD" w:rsidRPr="000958F5"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0958F5">
              <w:rPr>
                <w:rFonts w:ascii="Times New Roman" w:eastAsia="Times New Roman" w:hAnsi="Times New Roman" w:cs="Times New Roman"/>
                <w:color w:val="auto"/>
                <w:sz w:val="20"/>
              </w:rPr>
              <w:t>2017</w:t>
            </w:r>
          </w:p>
        </w:tc>
      </w:tr>
      <w:tr w:rsidR="000958F5" w:rsidRPr="000958F5" w14:paraId="778D098D" w14:textId="77777777" w:rsidTr="00B276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14:paraId="1F16A112" w14:textId="7BE179A0" w:rsidR="00CE6BCD" w:rsidRPr="000958F5" w:rsidRDefault="00D51057" w:rsidP="00CE6BCD">
            <w:pPr>
              <w:rPr>
                <w:rFonts w:ascii="Times New Roman" w:eastAsia="Times New Roman" w:hAnsi="Times New Roman" w:cs="Times New Roman"/>
                <w:b w:val="0"/>
                <w:color w:val="auto"/>
                <w:sz w:val="20"/>
              </w:rPr>
            </w:pPr>
            <w:r>
              <w:rPr>
                <w:rFonts w:ascii="Times New Roman" w:eastAsia="Times New Roman" w:hAnsi="Times New Roman" w:cs="Times New Roman"/>
                <w:b w:val="0"/>
                <w:color w:val="auto"/>
                <w:sz w:val="20"/>
                <w:szCs w:val="24"/>
              </w:rPr>
              <w:t>VSAOI</w:t>
            </w:r>
            <w:r w:rsidR="00CE6BCD" w:rsidRPr="000958F5">
              <w:rPr>
                <w:rFonts w:ascii="Times New Roman" w:eastAsia="Times New Roman" w:hAnsi="Times New Roman" w:cs="Times New Roman"/>
                <w:b w:val="0"/>
                <w:color w:val="auto"/>
                <w:sz w:val="20"/>
                <w:szCs w:val="24"/>
              </w:rPr>
              <w:t xml:space="preserve"> objekta maksimālā apmēra palielināšana no 48</w:t>
            </w:r>
            <w:r w:rsidR="00AC62C2" w:rsidRPr="000958F5">
              <w:rPr>
                <w:rFonts w:ascii="Times New Roman" w:eastAsia="Times New Roman" w:hAnsi="Times New Roman" w:cs="Times New Roman"/>
                <w:b w:val="0"/>
                <w:color w:val="auto"/>
                <w:sz w:val="20"/>
                <w:szCs w:val="24"/>
              </w:rPr>
              <w:t xml:space="preserve"> 600 </w:t>
            </w:r>
            <w:r w:rsidR="00CE6BCD" w:rsidRPr="000958F5">
              <w:rPr>
                <w:rFonts w:ascii="Times New Roman" w:eastAsia="Times New Roman" w:hAnsi="Times New Roman" w:cs="Times New Roman"/>
                <w:b w:val="0"/>
                <w:i/>
                <w:color w:val="auto"/>
                <w:sz w:val="20"/>
                <w:szCs w:val="24"/>
              </w:rPr>
              <w:t>euro</w:t>
            </w:r>
            <w:r w:rsidR="00AC62C2" w:rsidRPr="000958F5">
              <w:rPr>
                <w:rFonts w:ascii="Times New Roman" w:eastAsia="Times New Roman" w:hAnsi="Times New Roman" w:cs="Times New Roman"/>
                <w:b w:val="0"/>
                <w:color w:val="auto"/>
                <w:sz w:val="20"/>
                <w:szCs w:val="24"/>
              </w:rPr>
              <w:t xml:space="preserve"> līdz 52 400 </w:t>
            </w:r>
            <w:r w:rsidR="00CE6BCD" w:rsidRPr="000958F5">
              <w:rPr>
                <w:rFonts w:ascii="Times New Roman" w:eastAsia="Times New Roman" w:hAnsi="Times New Roman" w:cs="Times New Roman"/>
                <w:b w:val="0"/>
                <w:i/>
                <w:color w:val="auto"/>
                <w:sz w:val="20"/>
                <w:szCs w:val="24"/>
              </w:rPr>
              <w:t>euro</w:t>
            </w:r>
            <w:r w:rsidR="00CE6BCD" w:rsidRPr="000958F5">
              <w:rPr>
                <w:rFonts w:ascii="Times New Roman" w:eastAsia="Times New Roman" w:hAnsi="Times New Roman" w:cs="Times New Roman"/>
                <w:b w:val="0"/>
                <w:color w:val="auto"/>
                <w:sz w:val="20"/>
                <w:szCs w:val="24"/>
              </w:rPr>
              <w:t>.</w:t>
            </w:r>
          </w:p>
        </w:tc>
        <w:tc>
          <w:tcPr>
            <w:tcW w:w="1843" w:type="dxa"/>
            <w:vAlign w:val="center"/>
          </w:tcPr>
          <w:p w14:paraId="422DF140" w14:textId="77777777" w:rsidR="00CE6BCD" w:rsidRPr="000958F5" w:rsidRDefault="00CE6BCD" w:rsidP="00B2765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0958F5">
              <w:rPr>
                <w:rFonts w:ascii="Times New Roman" w:eastAsia="Times New Roman" w:hAnsi="Times New Roman" w:cs="Times New Roman"/>
                <w:color w:val="auto"/>
                <w:sz w:val="20"/>
              </w:rPr>
              <w:t>-5,3</w:t>
            </w:r>
          </w:p>
        </w:tc>
      </w:tr>
      <w:tr w:rsidR="000958F5" w:rsidRPr="000958F5" w14:paraId="4C03F905" w14:textId="77777777" w:rsidTr="00B2765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78B4563D" w14:textId="77777777" w:rsidR="00CE6BCD" w:rsidRPr="000958F5" w:rsidRDefault="00CE6BCD" w:rsidP="00CE6BCD">
            <w:pPr>
              <w:rPr>
                <w:rFonts w:ascii="Times New Roman" w:eastAsia="Times New Roman" w:hAnsi="Times New Roman" w:cs="Times New Roman"/>
                <w:color w:val="auto"/>
                <w:sz w:val="20"/>
              </w:rPr>
            </w:pPr>
            <w:r w:rsidRPr="000958F5">
              <w:rPr>
                <w:rFonts w:ascii="Times New Roman" w:eastAsia="Times New Roman" w:hAnsi="Times New Roman" w:cs="Times New Roman"/>
                <w:color w:val="auto"/>
                <w:sz w:val="20"/>
              </w:rPr>
              <w:t>Izmaiņu ietekme kopā:</w:t>
            </w:r>
          </w:p>
        </w:tc>
        <w:tc>
          <w:tcPr>
            <w:tcW w:w="1843" w:type="dxa"/>
            <w:vAlign w:val="center"/>
          </w:tcPr>
          <w:p w14:paraId="395D5148" w14:textId="77777777" w:rsidR="00CE6BCD" w:rsidRPr="000958F5" w:rsidRDefault="00CE6BCD" w:rsidP="00B276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0958F5">
              <w:rPr>
                <w:rFonts w:ascii="Times New Roman" w:eastAsia="Times New Roman" w:hAnsi="Times New Roman" w:cs="Times New Roman"/>
                <w:b/>
                <w:color w:val="auto"/>
                <w:sz w:val="20"/>
              </w:rPr>
              <w:t>-5,3</w:t>
            </w:r>
          </w:p>
        </w:tc>
      </w:tr>
    </w:tbl>
    <w:p w14:paraId="4F7501B1" w14:textId="77777777" w:rsidR="00CE6BCD" w:rsidRPr="00CE6BCD" w:rsidRDefault="00CE6BCD" w:rsidP="00CE6BCD">
      <w:pPr>
        <w:spacing w:after="120" w:line="240" w:lineRule="auto"/>
        <w:jc w:val="both"/>
        <w:rPr>
          <w:rFonts w:ascii="Times New Roman" w:eastAsia="Times New Roman" w:hAnsi="Times New Roman" w:cs="Times New Roman"/>
          <w:sz w:val="24"/>
          <w:szCs w:val="24"/>
          <w:shd w:val="clear" w:color="auto" w:fill="FFFFFF"/>
        </w:rPr>
      </w:pPr>
    </w:p>
    <w:p w14:paraId="56CECB13" w14:textId="77777777" w:rsidR="00CE6BCD" w:rsidRPr="00CE6BCD" w:rsidRDefault="00CE6BCD" w:rsidP="00502866">
      <w:pPr>
        <w:spacing w:before="240" w:after="120" w:line="240" w:lineRule="auto"/>
        <w:ind w:left="567"/>
        <w:outlineLvl w:val="3"/>
        <w:rPr>
          <w:rFonts w:ascii="Times New Roman" w:eastAsia="Times New Roman" w:hAnsi="Times New Roman" w:cs="Times New Roman"/>
          <w:b/>
          <w:sz w:val="24"/>
          <w:szCs w:val="24"/>
        </w:rPr>
      </w:pPr>
      <w:r w:rsidRPr="00CE6BCD">
        <w:rPr>
          <w:rFonts w:ascii="Times New Roman" w:eastAsia="Times New Roman" w:hAnsi="Times New Roman" w:cs="Times New Roman"/>
          <w:b/>
          <w:sz w:val="24"/>
          <w:szCs w:val="24"/>
        </w:rPr>
        <w:t>Transportlīdzekļu ekspluatācijas nodoklis</w:t>
      </w:r>
    </w:p>
    <w:p w14:paraId="565187B2" w14:textId="77777777" w:rsidR="00CE6BCD" w:rsidRPr="00CE6BCD" w:rsidRDefault="00CE6BCD" w:rsidP="00AC62C2">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Transportlīdzekļu ekspluatācijas nodoklis ir ieviests kopš 2004.gada un ir būtiska kopbudžeta ieņēmumu sastāvdaļa.</w:t>
      </w:r>
    </w:p>
    <w:p w14:paraId="10CF91CE" w14:textId="5D5E9478" w:rsidR="00CE6BCD" w:rsidRPr="00CE6BCD" w:rsidRDefault="00CE6BCD" w:rsidP="00AC62C2">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iCs/>
          <w:sz w:val="24"/>
          <w:szCs w:val="20"/>
        </w:rPr>
        <w:t xml:space="preserve">Izmaiņas, kas ietekmēs </w:t>
      </w:r>
      <w:r w:rsidRPr="00CE6BCD">
        <w:rPr>
          <w:rFonts w:ascii="Times New Roman" w:eastAsia="Times New Roman" w:hAnsi="Times New Roman" w:cs="Times New Roman"/>
          <w:sz w:val="24"/>
          <w:szCs w:val="20"/>
        </w:rPr>
        <w:t>transportlīdzekļu ekspluatācijas nodokļa</w:t>
      </w:r>
      <w:r w:rsidR="00AC62C2">
        <w:rPr>
          <w:rFonts w:ascii="Times New Roman" w:eastAsia="Times New Roman" w:hAnsi="Times New Roman" w:cs="Times New Roman"/>
          <w:iCs/>
          <w:sz w:val="24"/>
          <w:szCs w:val="20"/>
        </w:rPr>
        <w:t xml:space="preserve"> ieņēmumus 2017.</w:t>
      </w:r>
      <w:r w:rsidRPr="00CE6BCD">
        <w:rPr>
          <w:rFonts w:ascii="Times New Roman" w:eastAsia="Times New Roman" w:hAnsi="Times New Roman" w:cs="Times New Roman"/>
          <w:iCs/>
          <w:sz w:val="24"/>
          <w:szCs w:val="20"/>
        </w:rPr>
        <w:t>gadā, saistās ar</w:t>
      </w:r>
      <w:r w:rsidRPr="00CE6BCD">
        <w:rPr>
          <w:rFonts w:ascii="Times New Roman" w:eastAsia="Times New Roman" w:hAnsi="Times New Roman" w:cs="Times New Roman"/>
          <w:sz w:val="24"/>
          <w:szCs w:val="24"/>
        </w:rPr>
        <w:t xml:space="preserve"> </w:t>
      </w:r>
      <w:r w:rsidRPr="00CE6BCD">
        <w:rPr>
          <w:rFonts w:ascii="Times New Roman" w:eastAsia="Times New Roman" w:hAnsi="Times New Roman" w:cs="Times New Roman"/>
          <w:sz w:val="24"/>
          <w:szCs w:val="20"/>
        </w:rPr>
        <w:t xml:space="preserve">transportlīdzekļa ekspluatācijas nodokļa likmju maiņu (vienlaikus tiek atcelts vieglo automobiļu un motociklu nodoklis), </w:t>
      </w:r>
      <w:r w:rsidRPr="00CE6BCD">
        <w:rPr>
          <w:rFonts w:ascii="Times New Roman" w:eastAsia="Times New Roman" w:hAnsi="Times New Roman" w:cs="Times New Roman"/>
          <w:sz w:val="24"/>
          <w:szCs w:val="24"/>
        </w:rPr>
        <w:t>kā arī paplašinātu daudzbērnu ģimeņu definīciju transportlīdzekļa ekspluatācijas nodokļa atlaides saņemšanai</w:t>
      </w:r>
      <w:r w:rsidRPr="00CE6BCD">
        <w:rPr>
          <w:rFonts w:ascii="Times New Roman" w:eastAsia="Times New Roman" w:hAnsi="Times New Roman" w:cs="Times New Roman"/>
          <w:sz w:val="24"/>
          <w:szCs w:val="20"/>
        </w:rPr>
        <w:t>.</w:t>
      </w:r>
    </w:p>
    <w:p w14:paraId="06195306" w14:textId="3EF67F7E" w:rsidR="00CE6BCD" w:rsidRPr="00CE6BCD" w:rsidRDefault="00CE6BCD" w:rsidP="00AC62C2">
      <w:pPr>
        <w:spacing w:after="0" w:line="240" w:lineRule="auto"/>
        <w:ind w:firstLine="567"/>
        <w:jc w:val="both"/>
        <w:rPr>
          <w:rFonts w:ascii="Times New Roman" w:eastAsia="Times New Roman" w:hAnsi="Times New Roman" w:cs="Times New Roman"/>
          <w:sz w:val="24"/>
          <w:szCs w:val="20"/>
        </w:rPr>
      </w:pPr>
      <w:r w:rsidRPr="00CE6BCD">
        <w:rPr>
          <w:rFonts w:ascii="Times New Roman" w:eastAsia="Times New Roman" w:hAnsi="Times New Roman" w:cs="Times New Roman"/>
          <w:sz w:val="24"/>
          <w:szCs w:val="20"/>
        </w:rPr>
        <w:t>Tāpat ir veik</w:t>
      </w:r>
      <w:r w:rsidR="00AC62C2">
        <w:rPr>
          <w:rFonts w:ascii="Times New Roman" w:eastAsia="Times New Roman" w:hAnsi="Times New Roman" w:cs="Times New Roman"/>
          <w:sz w:val="24"/>
          <w:szCs w:val="20"/>
        </w:rPr>
        <w:t>tas likumdošanas izmaiņas 2017.</w:t>
      </w:r>
      <w:r w:rsidRPr="00CE6BCD">
        <w:rPr>
          <w:rFonts w:ascii="Times New Roman" w:eastAsia="Times New Roman" w:hAnsi="Times New Roman" w:cs="Times New Roman"/>
          <w:sz w:val="24"/>
          <w:szCs w:val="20"/>
        </w:rPr>
        <w:t xml:space="preserve">gadā, kas ietekmē arī turpmāko gadu </w:t>
      </w:r>
      <w:r w:rsidR="00AC62C2">
        <w:rPr>
          <w:rFonts w:ascii="Times New Roman" w:eastAsia="Times New Roman" w:hAnsi="Times New Roman" w:cs="Times New Roman"/>
          <w:sz w:val="24"/>
          <w:szCs w:val="20"/>
        </w:rPr>
        <w:t>UIN</w:t>
      </w:r>
      <w:r w:rsidRPr="00CE6BCD">
        <w:rPr>
          <w:rFonts w:ascii="Times New Roman" w:eastAsia="Times New Roman" w:hAnsi="Times New Roman" w:cs="Times New Roman"/>
          <w:iCs/>
          <w:sz w:val="24"/>
          <w:szCs w:val="20"/>
        </w:rPr>
        <w:t xml:space="preserve"> ieņēmumus</w:t>
      </w:r>
      <w:r w:rsidRPr="00CE6BCD">
        <w:rPr>
          <w:rFonts w:ascii="Times New Roman" w:eastAsia="Times New Roman" w:hAnsi="Times New Roman" w:cs="Times New Roman"/>
          <w:sz w:val="24"/>
          <w:szCs w:val="20"/>
        </w:rPr>
        <w:t xml:space="preserve"> – transportlīdzekļa ekspluatācijas nodokļa maksāšanas kārtī</w:t>
      </w:r>
      <w:r w:rsidR="00AC62C2">
        <w:rPr>
          <w:rFonts w:ascii="Times New Roman" w:eastAsia="Times New Roman" w:hAnsi="Times New Roman" w:cs="Times New Roman"/>
          <w:sz w:val="24"/>
          <w:szCs w:val="20"/>
        </w:rPr>
        <w:t>bas izmaiņu pārcelšana uz 2019.</w:t>
      </w:r>
      <w:r w:rsidRPr="00CE6BCD">
        <w:rPr>
          <w:rFonts w:ascii="Times New Roman" w:eastAsia="Times New Roman" w:hAnsi="Times New Roman" w:cs="Times New Roman"/>
          <w:sz w:val="24"/>
          <w:szCs w:val="20"/>
        </w:rPr>
        <w:t>gadu</w:t>
      </w:r>
      <w:r w:rsidRPr="00CE6BCD">
        <w:rPr>
          <w:rFonts w:ascii="Times New Roman" w:eastAsia="Times New Roman" w:hAnsi="Times New Roman" w:cs="Times New Roman"/>
          <w:bCs/>
          <w:sz w:val="24"/>
          <w:szCs w:val="20"/>
        </w:rPr>
        <w:t>.</w:t>
      </w:r>
    </w:p>
    <w:p w14:paraId="1492AFBA" w14:textId="714DCDBC" w:rsidR="00CE6BCD" w:rsidRPr="00CE6BCD" w:rsidRDefault="00D64D9E" w:rsidP="006A42EE">
      <w:pPr>
        <w:keepNext/>
        <w:spacing w:before="120" w:after="60" w:line="240" w:lineRule="auto"/>
        <w:jc w:val="right"/>
        <w:rPr>
          <w:rFonts w:ascii="Times New Roman" w:eastAsia="Times New Roman" w:hAnsi="Times New Roman" w:cs="Times New Roman"/>
          <w:b/>
          <w:i/>
          <w:sz w:val="24"/>
          <w:szCs w:val="24"/>
        </w:rPr>
      </w:pPr>
      <w:r>
        <w:rPr>
          <w:rFonts w:ascii="Times New Roman" w:eastAsia="Times New Roman" w:hAnsi="Times New Roman" w:cs="Times New Roman"/>
          <w:b/>
          <w:sz w:val="24"/>
          <w:szCs w:val="20"/>
        </w:rPr>
        <w:lastRenderedPageBreak/>
        <w:t>6.16.</w:t>
      </w:r>
      <w:r w:rsidR="00CE6BCD" w:rsidRPr="00CE6BCD">
        <w:rPr>
          <w:rFonts w:ascii="Times New Roman" w:eastAsia="Times New Roman" w:hAnsi="Times New Roman" w:cs="Times New Roman"/>
          <w:b/>
          <w:sz w:val="24"/>
          <w:szCs w:val="20"/>
        </w:rPr>
        <w:t xml:space="preserve">tabula. Nodokļu politikas izmaiņu ietekme uz </w:t>
      </w:r>
      <w:r w:rsidR="00CE6BCD" w:rsidRPr="00CE6BCD">
        <w:rPr>
          <w:rFonts w:ascii="Times New Roman" w:eastAsia="Times New Roman" w:hAnsi="Times New Roman" w:cs="Times New Roman"/>
          <w:b/>
          <w:sz w:val="24"/>
          <w:szCs w:val="24"/>
        </w:rPr>
        <w:t xml:space="preserve">transportlīdzekļu ekspluatācijas </w:t>
      </w:r>
      <w:r w:rsidR="00CE6BCD" w:rsidRPr="00CE6BCD">
        <w:rPr>
          <w:rFonts w:ascii="Times New Roman" w:eastAsia="Times New Roman" w:hAnsi="Times New Roman" w:cs="Times New Roman"/>
          <w:b/>
          <w:sz w:val="24"/>
          <w:szCs w:val="20"/>
        </w:rPr>
        <w:t>nodokļa ieņēmumiem, milj. </w:t>
      </w:r>
      <w:r w:rsidR="00CE6BCD" w:rsidRPr="00CE6BCD">
        <w:rPr>
          <w:rFonts w:ascii="Times New Roman" w:eastAsia="Times New Roman" w:hAnsi="Times New Roman" w:cs="Times New Roman"/>
          <w:b/>
          <w:i/>
          <w:sz w:val="24"/>
          <w:szCs w:val="24"/>
        </w:rPr>
        <w:t>euro</w:t>
      </w:r>
    </w:p>
    <w:tbl>
      <w:tblPr>
        <w:tblStyle w:val="GridTable6Colorful-Accent1"/>
        <w:tblW w:w="9066" w:type="dxa"/>
        <w:tblLayout w:type="fixed"/>
        <w:tblLook w:val="04A0" w:firstRow="1" w:lastRow="0" w:firstColumn="1" w:lastColumn="0" w:noHBand="0" w:noVBand="1"/>
      </w:tblPr>
      <w:tblGrid>
        <w:gridCol w:w="5665"/>
        <w:gridCol w:w="850"/>
        <w:gridCol w:w="851"/>
        <w:gridCol w:w="850"/>
        <w:gridCol w:w="850"/>
      </w:tblGrid>
      <w:tr w:rsidR="000958F5" w:rsidRPr="000958F5" w14:paraId="3B5FF1DB" w14:textId="77777777" w:rsidTr="00B27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A6C1BEE" w14:textId="77777777" w:rsidR="00CE6BCD" w:rsidRPr="000958F5" w:rsidRDefault="00CE6BCD" w:rsidP="00CE6BCD">
            <w:pPr>
              <w:rPr>
                <w:rFonts w:ascii="Times New Roman" w:eastAsia="Times New Roman" w:hAnsi="Times New Roman" w:cs="Times New Roman"/>
                <w:color w:val="auto"/>
                <w:sz w:val="20"/>
                <w:szCs w:val="20"/>
              </w:rPr>
            </w:pPr>
          </w:p>
        </w:tc>
        <w:tc>
          <w:tcPr>
            <w:tcW w:w="850" w:type="dxa"/>
          </w:tcPr>
          <w:p w14:paraId="00785D7F" w14:textId="77777777" w:rsidR="00CE6BCD" w:rsidRPr="000958F5"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2017</w:t>
            </w:r>
          </w:p>
        </w:tc>
        <w:tc>
          <w:tcPr>
            <w:tcW w:w="851" w:type="dxa"/>
          </w:tcPr>
          <w:p w14:paraId="24A7710F" w14:textId="77777777" w:rsidR="00CE6BCD" w:rsidRPr="000958F5"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2018</w:t>
            </w:r>
          </w:p>
        </w:tc>
        <w:tc>
          <w:tcPr>
            <w:tcW w:w="850" w:type="dxa"/>
          </w:tcPr>
          <w:p w14:paraId="46A90E76" w14:textId="77777777" w:rsidR="00CE6BCD" w:rsidRPr="000958F5"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2019</w:t>
            </w:r>
          </w:p>
        </w:tc>
        <w:tc>
          <w:tcPr>
            <w:tcW w:w="850" w:type="dxa"/>
          </w:tcPr>
          <w:p w14:paraId="5E9CAB2E" w14:textId="77777777" w:rsidR="00CE6BCD" w:rsidRPr="000958F5" w:rsidRDefault="00CE6BCD" w:rsidP="00CE6BCD">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2020</w:t>
            </w:r>
          </w:p>
        </w:tc>
      </w:tr>
      <w:tr w:rsidR="000958F5" w:rsidRPr="000958F5" w14:paraId="1D6AA4E0" w14:textId="77777777" w:rsidTr="00B27659">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665" w:type="dxa"/>
          </w:tcPr>
          <w:p w14:paraId="6ACE38D8" w14:textId="77777777" w:rsidR="00CE6BCD" w:rsidRPr="000958F5" w:rsidRDefault="00CE6BCD" w:rsidP="00CE6BCD">
            <w:pPr>
              <w:rPr>
                <w:rFonts w:ascii="Times New Roman" w:eastAsia="Times New Roman" w:hAnsi="Times New Roman" w:cs="Times New Roman"/>
                <w:b w:val="0"/>
                <w:color w:val="auto"/>
                <w:sz w:val="20"/>
                <w:szCs w:val="20"/>
              </w:rPr>
            </w:pPr>
            <w:r w:rsidRPr="000958F5">
              <w:rPr>
                <w:rFonts w:ascii="Times New Roman" w:eastAsia="Times New Roman" w:hAnsi="Times New Roman" w:cs="Times New Roman"/>
                <w:b w:val="0"/>
                <w:color w:val="auto"/>
                <w:sz w:val="20"/>
                <w:szCs w:val="20"/>
              </w:rPr>
              <w:t>Transportlīdzekļa ekspluatācijas nodokļa maksāšanas kārtības maiņa</w:t>
            </w:r>
          </w:p>
        </w:tc>
        <w:tc>
          <w:tcPr>
            <w:tcW w:w="850" w:type="dxa"/>
            <w:vAlign w:val="center"/>
          </w:tcPr>
          <w:p w14:paraId="0467B1F4"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vAlign w:val="center"/>
          </w:tcPr>
          <w:p w14:paraId="19229E4E"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601FE6CF"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-43,6</w:t>
            </w:r>
          </w:p>
        </w:tc>
        <w:tc>
          <w:tcPr>
            <w:tcW w:w="850" w:type="dxa"/>
            <w:vAlign w:val="center"/>
          </w:tcPr>
          <w:p w14:paraId="42E6702F"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+43,6</w:t>
            </w:r>
          </w:p>
        </w:tc>
      </w:tr>
      <w:tr w:rsidR="000958F5" w:rsidRPr="000958F5" w14:paraId="620F93FF" w14:textId="77777777" w:rsidTr="00B27659">
        <w:trPr>
          <w:trHeight w:val="237"/>
        </w:trPr>
        <w:tc>
          <w:tcPr>
            <w:cnfStyle w:val="001000000000" w:firstRow="0" w:lastRow="0" w:firstColumn="1" w:lastColumn="0" w:oddVBand="0" w:evenVBand="0" w:oddHBand="0" w:evenHBand="0" w:firstRowFirstColumn="0" w:firstRowLastColumn="0" w:lastRowFirstColumn="0" w:lastRowLastColumn="0"/>
            <w:tcW w:w="5665" w:type="dxa"/>
          </w:tcPr>
          <w:p w14:paraId="1F43EB23" w14:textId="77777777" w:rsidR="00CE6BCD" w:rsidRPr="000958F5" w:rsidRDefault="00CE6BCD" w:rsidP="00CE6BCD">
            <w:pPr>
              <w:rPr>
                <w:rFonts w:ascii="Times New Roman" w:eastAsia="Times New Roman" w:hAnsi="Times New Roman" w:cs="Times New Roman"/>
                <w:b w:val="0"/>
                <w:color w:val="auto"/>
                <w:sz w:val="20"/>
                <w:szCs w:val="20"/>
              </w:rPr>
            </w:pPr>
            <w:r w:rsidRPr="000958F5">
              <w:rPr>
                <w:rFonts w:ascii="Times New Roman" w:eastAsia="Times New Roman" w:hAnsi="Times New Roman" w:cs="Times New Roman"/>
                <w:b w:val="0"/>
                <w:color w:val="auto"/>
                <w:sz w:val="20"/>
                <w:szCs w:val="20"/>
              </w:rPr>
              <w:t>Transportlīdzekļa ekspluatācijas nodokļa likmju maiņa</w:t>
            </w:r>
          </w:p>
        </w:tc>
        <w:tc>
          <w:tcPr>
            <w:tcW w:w="850" w:type="dxa"/>
            <w:vAlign w:val="center"/>
          </w:tcPr>
          <w:p w14:paraId="0BA05551"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+11,4</w:t>
            </w:r>
          </w:p>
        </w:tc>
        <w:tc>
          <w:tcPr>
            <w:tcW w:w="851" w:type="dxa"/>
            <w:vAlign w:val="center"/>
          </w:tcPr>
          <w:p w14:paraId="20F5AF5D"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0C553956"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3C8554B6"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0958F5" w:rsidRPr="000958F5" w14:paraId="76963A45" w14:textId="77777777" w:rsidTr="00B27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AAD7B3A" w14:textId="77777777" w:rsidR="00CE6BCD" w:rsidRPr="000958F5" w:rsidRDefault="00CE6BCD" w:rsidP="00CE6BCD">
            <w:pPr>
              <w:jc w:val="both"/>
              <w:rPr>
                <w:rFonts w:ascii="Times New Roman" w:eastAsia="Times New Roman" w:hAnsi="Times New Roman" w:cs="Times New Roman"/>
                <w:b w:val="0"/>
                <w:color w:val="auto"/>
                <w:sz w:val="20"/>
                <w:szCs w:val="20"/>
              </w:rPr>
            </w:pPr>
            <w:r w:rsidRPr="000958F5">
              <w:rPr>
                <w:rFonts w:ascii="Times New Roman" w:eastAsia="Times New Roman" w:hAnsi="Times New Roman" w:cs="Times New Roman"/>
                <w:b w:val="0"/>
                <w:color w:val="auto"/>
                <w:sz w:val="20"/>
                <w:szCs w:val="20"/>
              </w:rPr>
              <w:t>Paplašināta daudzbērnu ģimeņu definīcija transportlīdzekļa ekspluatācijas nodokļa atlaides saņemšanai</w:t>
            </w:r>
          </w:p>
        </w:tc>
        <w:tc>
          <w:tcPr>
            <w:tcW w:w="850" w:type="dxa"/>
            <w:vAlign w:val="center"/>
          </w:tcPr>
          <w:p w14:paraId="3C5D0E87"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-0,3</w:t>
            </w:r>
          </w:p>
        </w:tc>
        <w:tc>
          <w:tcPr>
            <w:tcW w:w="851" w:type="dxa"/>
            <w:vAlign w:val="center"/>
          </w:tcPr>
          <w:p w14:paraId="59031C32"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675D8B1F"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0AAEFFC1" w14:textId="77777777" w:rsidR="00CE6BCD" w:rsidRPr="000958F5" w:rsidRDefault="00CE6BCD" w:rsidP="00B27659">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0958F5" w:rsidRPr="000958F5" w14:paraId="6EFB0F6B" w14:textId="77777777" w:rsidTr="00B27659">
        <w:tc>
          <w:tcPr>
            <w:cnfStyle w:val="001000000000" w:firstRow="0" w:lastRow="0" w:firstColumn="1" w:lastColumn="0" w:oddVBand="0" w:evenVBand="0" w:oddHBand="0" w:evenHBand="0" w:firstRowFirstColumn="0" w:firstRowLastColumn="0" w:lastRowFirstColumn="0" w:lastRowLastColumn="0"/>
            <w:tcW w:w="5665" w:type="dxa"/>
          </w:tcPr>
          <w:p w14:paraId="7C465AE1" w14:textId="77777777" w:rsidR="00CE6BCD" w:rsidRPr="000958F5" w:rsidRDefault="00CE6BCD" w:rsidP="00CE6BCD">
            <w:pPr>
              <w:jc w:val="both"/>
              <w:rPr>
                <w:rFonts w:ascii="Times New Roman" w:eastAsia="Times New Roman" w:hAnsi="Times New Roman" w:cs="Times New Roman"/>
                <w:color w:val="auto"/>
                <w:sz w:val="20"/>
                <w:szCs w:val="20"/>
              </w:rPr>
            </w:pPr>
            <w:r w:rsidRPr="000958F5">
              <w:rPr>
                <w:rFonts w:ascii="Times New Roman" w:eastAsia="Times New Roman" w:hAnsi="Times New Roman" w:cs="Times New Roman"/>
                <w:color w:val="auto"/>
                <w:sz w:val="20"/>
                <w:szCs w:val="20"/>
              </w:rPr>
              <w:t>Izmaiņu ietekme kopā:</w:t>
            </w:r>
          </w:p>
        </w:tc>
        <w:tc>
          <w:tcPr>
            <w:tcW w:w="850" w:type="dxa"/>
            <w:vAlign w:val="center"/>
          </w:tcPr>
          <w:p w14:paraId="321966A5"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0958F5">
              <w:rPr>
                <w:rFonts w:ascii="Times New Roman" w:eastAsia="Times New Roman" w:hAnsi="Times New Roman" w:cs="Times New Roman"/>
                <w:b/>
                <w:color w:val="auto"/>
                <w:sz w:val="20"/>
                <w:szCs w:val="20"/>
              </w:rPr>
              <w:t>-11,1</w:t>
            </w:r>
          </w:p>
        </w:tc>
        <w:tc>
          <w:tcPr>
            <w:tcW w:w="851" w:type="dxa"/>
            <w:vAlign w:val="center"/>
          </w:tcPr>
          <w:p w14:paraId="138399FE"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0958F5">
              <w:rPr>
                <w:rFonts w:ascii="Times New Roman" w:eastAsia="Times New Roman" w:hAnsi="Times New Roman" w:cs="Times New Roman"/>
                <w:b/>
                <w:color w:val="auto"/>
                <w:sz w:val="20"/>
                <w:szCs w:val="20"/>
              </w:rPr>
              <w:t>-</w:t>
            </w:r>
          </w:p>
        </w:tc>
        <w:tc>
          <w:tcPr>
            <w:tcW w:w="850" w:type="dxa"/>
            <w:vAlign w:val="center"/>
          </w:tcPr>
          <w:p w14:paraId="3AB754C7"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0958F5">
              <w:rPr>
                <w:rFonts w:ascii="Times New Roman" w:eastAsia="Times New Roman" w:hAnsi="Times New Roman" w:cs="Times New Roman"/>
                <w:b/>
                <w:color w:val="auto"/>
                <w:sz w:val="20"/>
                <w:szCs w:val="20"/>
              </w:rPr>
              <w:t>-43,6</w:t>
            </w:r>
          </w:p>
        </w:tc>
        <w:tc>
          <w:tcPr>
            <w:tcW w:w="850" w:type="dxa"/>
            <w:vAlign w:val="center"/>
          </w:tcPr>
          <w:p w14:paraId="263C3647" w14:textId="77777777" w:rsidR="00CE6BCD" w:rsidRPr="000958F5" w:rsidRDefault="00CE6BCD" w:rsidP="00B27659">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0958F5">
              <w:rPr>
                <w:rFonts w:ascii="Times New Roman" w:eastAsia="Times New Roman" w:hAnsi="Times New Roman" w:cs="Times New Roman"/>
                <w:b/>
                <w:color w:val="auto"/>
                <w:sz w:val="20"/>
                <w:szCs w:val="20"/>
              </w:rPr>
              <w:t>+43,6</w:t>
            </w:r>
          </w:p>
        </w:tc>
      </w:tr>
    </w:tbl>
    <w:p w14:paraId="5D4ECEF6" w14:textId="77777777" w:rsidR="00907B96" w:rsidRDefault="00907B96">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14:paraId="59654465" w14:textId="4175BFE0" w:rsidR="005536A9" w:rsidRPr="00F51615" w:rsidRDefault="005536A9" w:rsidP="00F512CA">
      <w:pPr>
        <w:pStyle w:val="Heading1"/>
        <w:numPr>
          <w:ilvl w:val="0"/>
          <w:numId w:val="1"/>
        </w:numPr>
        <w:ind w:left="284" w:hanging="283"/>
        <w:jc w:val="center"/>
        <w:rPr>
          <w:rFonts w:ascii="Times New Roman" w:hAnsi="Times New Roman" w:cs="Times New Roman"/>
          <w:sz w:val="32"/>
        </w:rPr>
      </w:pPr>
      <w:bookmarkStart w:id="32" w:name="_Toc479331106"/>
      <w:r w:rsidRPr="00F51615">
        <w:rPr>
          <w:rFonts w:ascii="Times New Roman" w:hAnsi="Times New Roman" w:cs="Times New Roman"/>
          <w:sz w:val="32"/>
        </w:rPr>
        <w:lastRenderedPageBreak/>
        <w:t>Publisko finanšu ilgtspēja</w:t>
      </w:r>
      <w:bookmarkEnd w:id="32"/>
    </w:p>
    <w:p w14:paraId="4CCBB32C" w14:textId="53F4A9A0" w:rsidR="00E773FD" w:rsidRDefault="00A34463" w:rsidP="001F01DA">
      <w:pPr>
        <w:pStyle w:val="Heading2"/>
        <w:numPr>
          <w:ilvl w:val="1"/>
          <w:numId w:val="1"/>
        </w:numPr>
        <w:spacing w:before="240" w:after="120"/>
        <w:ind w:left="709"/>
        <w:rPr>
          <w:rFonts w:ascii="Times New Roman" w:hAnsi="Times New Roman" w:cs="Times New Roman"/>
          <w:sz w:val="24"/>
        </w:rPr>
      </w:pPr>
      <w:bookmarkStart w:id="33" w:name="_Toc479331107"/>
      <w:r w:rsidRPr="00F51615">
        <w:rPr>
          <w:rFonts w:ascii="Times New Roman" w:hAnsi="Times New Roman" w:cs="Times New Roman"/>
          <w:sz w:val="24"/>
        </w:rPr>
        <w:t>Publisko finanšu ilgtermiņa attīstības scenārijs</w:t>
      </w:r>
      <w:bookmarkEnd w:id="33"/>
    </w:p>
    <w:p w14:paraId="72B835DD" w14:textId="77777777" w:rsidR="00676AF7" w:rsidRPr="00676AF7" w:rsidRDefault="00676AF7" w:rsidP="00D661A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 xml:space="preserve">Valdības spēja pārvadīt savas finanses un rīkoties tā, lai tā varētu izpildīt gan savas šī brīža, gan nākotnes izdevumu saistības, neradot neadekvātu un nepārdomātu slogu nākotnes nodokļu maksātāju paaudzēm, raksturo publisko finanšu ilgtspējas nozīmību katras valsts tautsaimniecībā. Ilgtspējīga publisko finanšu sistēma nozīmē stabilu un paredzamu budžeta un nodokļu politiku, kā arī valdības maksātspēju. Fiskālo ilgtspēju ietekmē vispārējās valdības budžeta un parāda saistības, to tendences un nākotnes saistības, piemēram, pensiju un pabalstu izmaksai. Budžeta izdevumu pieaugumu ilgtermiņā var ietekmēt demogrāfiskās izmaiņas, tai skaitā ar sabiedrības novecošanos saistītu izdevumu pieaugums. Iedzīvotāju novecošanās process, nepietiekamais finansējums sociālās aizsardzības un veselības aprūpes sistēmās, kā arī nabadzības un sociālās atstumtības riski atsevišķās sabiedrības grupās, ir ilgtermiņa izaicinājumi Latvijas valsts finanšu ilgtspējai, par kuriem jādomā jau šodien. Atbildīgās institūcijas šobrīd strādā pie reformām veselības aprūpes jomā, lai spētu salāgot pieejamo finanšu plūsmu ar pieejamu un kvalitatīvu pakalpojumu klāstu, ņemot vērā </w:t>
      </w:r>
      <w:r w:rsidRPr="00676AF7">
        <w:rPr>
          <w:rFonts w:ascii="Times New Roman" w:eastAsia="Times New Roman" w:hAnsi="Times New Roman" w:cs="Times New Roman"/>
          <w:color w:val="000000"/>
          <w:sz w:val="24"/>
          <w:szCs w:val="24"/>
          <w:shd w:val="clear" w:color="auto" w:fill="FFFFFF"/>
          <w:lang w:eastAsia="lv-LV"/>
        </w:rPr>
        <w:t>pieaugošo vecāka gada gājuma iedzīvotāju īpatsvaru sabiedrībā.</w:t>
      </w:r>
    </w:p>
    <w:p w14:paraId="6820C5FE" w14:textId="77777777" w:rsidR="00AC62C2" w:rsidRDefault="00676AF7" w:rsidP="00D661A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 xml:space="preserve">2016.gada februārī </w:t>
      </w:r>
      <w:r w:rsidR="00AC62C2">
        <w:rPr>
          <w:rFonts w:ascii="Times New Roman" w:eastAsia="Times New Roman" w:hAnsi="Times New Roman" w:cs="Times New Roman"/>
          <w:color w:val="000000"/>
          <w:sz w:val="24"/>
          <w:szCs w:val="24"/>
          <w:lang w:eastAsia="lv-LV"/>
        </w:rPr>
        <w:t xml:space="preserve">EK </w:t>
      </w:r>
      <w:r w:rsidRPr="00676AF7">
        <w:rPr>
          <w:rFonts w:ascii="Times New Roman" w:eastAsia="Times New Roman" w:hAnsi="Times New Roman" w:cs="Times New Roman"/>
          <w:color w:val="000000"/>
          <w:sz w:val="24"/>
          <w:szCs w:val="24"/>
          <w:lang w:eastAsia="lv-LV"/>
        </w:rPr>
        <w:t>publicēja aktualizēto Fiskālās ilgtspējas ziņojumu (</w:t>
      </w:r>
      <w:r w:rsidRPr="00676AF7">
        <w:rPr>
          <w:rFonts w:ascii="Times New Roman" w:eastAsia="Times New Roman" w:hAnsi="Times New Roman" w:cs="Times New Roman"/>
          <w:i/>
          <w:noProof/>
          <w:color w:val="000000"/>
          <w:sz w:val="24"/>
          <w:szCs w:val="24"/>
          <w:lang w:eastAsia="lv-LV"/>
        </w:rPr>
        <w:t>Fiscal Sustainability Report 2015</w:t>
      </w:r>
      <w:r w:rsidRPr="00676AF7">
        <w:rPr>
          <w:rFonts w:ascii="Times New Roman" w:eastAsia="Times New Roman" w:hAnsi="Times New Roman" w:cs="Times New Roman"/>
          <w:color w:val="000000"/>
          <w:sz w:val="24"/>
          <w:szCs w:val="24"/>
          <w:lang w:eastAsia="lv-LV"/>
        </w:rPr>
        <w:t>). Šajā ziņojumā Latvijai tiek identificēts potenciāli zems fiskālās ilgtspējas risks visās riska kategorijās (īstermiņa, vidējā termiņa un ilgtermiņa). Tā pamatā ir zems vispārējās valdības budžeta deficīts un parāds, kā arī zemi ar iedzīvotāju novecošanos</w:t>
      </w:r>
      <w:r w:rsidR="00AC62C2">
        <w:rPr>
          <w:rFonts w:ascii="Times New Roman" w:eastAsia="Times New Roman" w:hAnsi="Times New Roman" w:cs="Times New Roman"/>
          <w:color w:val="000000"/>
          <w:sz w:val="24"/>
          <w:szCs w:val="24"/>
          <w:lang w:eastAsia="lv-LV"/>
        </w:rPr>
        <w:t xml:space="preserve"> saistītie izdevumi ilgtermiņā.</w:t>
      </w:r>
    </w:p>
    <w:p w14:paraId="6DF4E8BA" w14:textId="456987BF" w:rsidR="00676AF7" w:rsidRPr="00676AF7" w:rsidRDefault="00676AF7" w:rsidP="00D661A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 xml:space="preserve">EK sadarbībā ar dalībvalstīm </w:t>
      </w:r>
      <w:r w:rsidR="00AC62C2">
        <w:rPr>
          <w:rFonts w:ascii="Times New Roman" w:eastAsia="Times New Roman" w:hAnsi="Times New Roman" w:cs="Times New Roman"/>
          <w:color w:val="000000"/>
          <w:sz w:val="24"/>
          <w:szCs w:val="24"/>
          <w:lang w:eastAsia="lv-LV"/>
        </w:rPr>
        <w:t>AWG</w:t>
      </w:r>
      <w:r w:rsidRPr="00676AF7">
        <w:rPr>
          <w:rFonts w:ascii="Times New Roman" w:eastAsia="Times New Roman" w:hAnsi="Times New Roman" w:cs="Times New Roman"/>
          <w:color w:val="000000"/>
          <w:sz w:val="24"/>
          <w:szCs w:val="24"/>
          <w:lang w:eastAsia="lv-LV"/>
        </w:rPr>
        <w:t xml:space="preserve"> vienu reizi trijos gados izstrādā ar sabiedrības novecošanos saistīto publiskā sektora izdevumu ilgtermiņa prognozes, kā arī novērtē publisko finanšu ilgtspēju katrai dalībvalstij. Ilgtermiņa prognožu pamatā ir demogrāfiskās prognozes, ko sniedz </w:t>
      </w:r>
      <w:r w:rsidRPr="00676AF7">
        <w:rPr>
          <w:rFonts w:ascii="Times New Roman" w:eastAsia="Times New Roman" w:hAnsi="Times New Roman" w:cs="Times New Roman"/>
          <w:i/>
          <w:color w:val="000000"/>
          <w:sz w:val="24"/>
          <w:szCs w:val="24"/>
          <w:lang w:eastAsia="lv-LV"/>
        </w:rPr>
        <w:t>Eurostat</w:t>
      </w:r>
      <w:r w:rsidRPr="00676AF7">
        <w:rPr>
          <w:rFonts w:ascii="Times New Roman" w:eastAsia="Times New Roman" w:hAnsi="Times New Roman" w:cs="Times New Roman"/>
          <w:color w:val="000000"/>
          <w:sz w:val="24"/>
          <w:szCs w:val="24"/>
          <w:lang w:eastAsia="lv-LV"/>
        </w:rPr>
        <w:t xml:space="preserve">, un pieņēmumi par ekonomisko izaugsmi un tās noteicošajiem faktoriem ilgtermiņā. Ilgtermiņa ar sabiedrības novecošanos saistīto izdevumu prognozes par visām dalībvalstīm tiek iekļautas </w:t>
      </w:r>
      <w:r w:rsidR="00486AE7">
        <w:rPr>
          <w:rFonts w:ascii="Times New Roman" w:eastAsia="Times New Roman" w:hAnsi="Times New Roman" w:cs="Times New Roman"/>
          <w:color w:val="000000"/>
          <w:sz w:val="24"/>
          <w:szCs w:val="24"/>
          <w:lang w:eastAsia="lv-LV"/>
        </w:rPr>
        <w:t>EK</w:t>
      </w:r>
      <w:r w:rsidRPr="00676AF7">
        <w:rPr>
          <w:rFonts w:ascii="Times New Roman" w:eastAsia="Times New Roman" w:hAnsi="Times New Roman" w:cs="Times New Roman"/>
          <w:color w:val="000000"/>
          <w:sz w:val="24"/>
          <w:szCs w:val="24"/>
          <w:lang w:eastAsia="lv-LV"/>
        </w:rPr>
        <w:t xml:space="preserve"> Novecošanās ziņojumā (</w:t>
      </w:r>
      <w:r w:rsidRPr="00676AF7">
        <w:rPr>
          <w:rFonts w:ascii="Times New Roman" w:eastAsia="Times New Roman" w:hAnsi="Times New Roman" w:cs="Times New Roman"/>
          <w:i/>
          <w:color w:val="000000"/>
          <w:sz w:val="24"/>
          <w:szCs w:val="24"/>
          <w:lang w:eastAsia="lv-LV"/>
        </w:rPr>
        <w:t>Ageing Report</w:t>
      </w:r>
      <w:r w:rsidRPr="00676AF7">
        <w:rPr>
          <w:rFonts w:ascii="Times New Roman" w:eastAsia="Times New Roman" w:hAnsi="Times New Roman" w:cs="Times New Roman"/>
          <w:color w:val="000000"/>
          <w:sz w:val="24"/>
          <w:szCs w:val="24"/>
          <w:lang w:eastAsia="lv-LV"/>
        </w:rPr>
        <w:t xml:space="preserve">). </w:t>
      </w:r>
    </w:p>
    <w:p w14:paraId="4445A468" w14:textId="5DA66BC1" w:rsidR="00676AF7" w:rsidRPr="00676AF7" w:rsidRDefault="00676AF7" w:rsidP="00D661A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Aktualizētajā Fiskālās ilgtspējas ziņojumā iekļautais risku novērtējums balstās uz rezultātiem, kas izriet no jaunākā EK sagatavotā 2015.gada Novecošanās ziņojuma (</w:t>
      </w:r>
      <w:r w:rsidRPr="00676AF7">
        <w:rPr>
          <w:rFonts w:ascii="Times New Roman" w:eastAsia="Times New Roman" w:hAnsi="Times New Roman" w:cs="Times New Roman"/>
          <w:i/>
          <w:color w:val="000000"/>
          <w:sz w:val="24"/>
          <w:szCs w:val="24"/>
          <w:lang w:eastAsia="lv-LV"/>
        </w:rPr>
        <w:t>Ageing Report 2015</w:t>
      </w:r>
      <w:r w:rsidRPr="00676AF7">
        <w:rPr>
          <w:rFonts w:ascii="Times New Roman" w:eastAsia="Times New Roman" w:hAnsi="Times New Roman" w:cs="Times New Roman"/>
          <w:color w:val="000000"/>
          <w:sz w:val="24"/>
          <w:szCs w:val="24"/>
          <w:lang w:eastAsia="lv-LV"/>
        </w:rPr>
        <w:t xml:space="preserve">), kuru izstrādāja EK sadarbībā ar dalībvalstīm. Ilgtermiņa budžeta prognožu pamatā ir demogrāfiskās prognozes EUROPOP2013, ko izstrādāja </w:t>
      </w:r>
      <w:r w:rsidRPr="00676AF7">
        <w:rPr>
          <w:rFonts w:ascii="Times New Roman" w:eastAsia="Times New Roman" w:hAnsi="Times New Roman" w:cs="Times New Roman"/>
          <w:i/>
          <w:color w:val="000000"/>
          <w:sz w:val="24"/>
          <w:szCs w:val="24"/>
          <w:lang w:eastAsia="lv-LV"/>
        </w:rPr>
        <w:t>Eurostat</w:t>
      </w:r>
      <w:r w:rsidRPr="00676AF7">
        <w:rPr>
          <w:rFonts w:ascii="Times New Roman" w:eastAsia="Times New Roman" w:hAnsi="Times New Roman" w:cs="Times New Roman"/>
          <w:color w:val="000000"/>
          <w:sz w:val="24"/>
          <w:szCs w:val="24"/>
          <w:lang w:eastAsia="lv-LV"/>
        </w:rPr>
        <w:t>, un pieņēmumi par ekonomikas izaugsmi un tās noteicošajiem faktoriem ilgtermiņā. Līdz ar to Stabilitātes programmā 2017.-2020.gadam tiek iekļauti dati vēl no 2015.gada ziņojuma (</w:t>
      </w:r>
      <w:r w:rsidRPr="00676AF7">
        <w:rPr>
          <w:rFonts w:ascii="Times New Roman" w:eastAsia="Times New Roman" w:hAnsi="Times New Roman" w:cs="Times New Roman"/>
          <w:i/>
          <w:color w:val="000000"/>
          <w:sz w:val="24"/>
          <w:szCs w:val="24"/>
          <w:lang w:eastAsia="lv-LV"/>
        </w:rPr>
        <w:t>Ageing Report 2015</w:t>
      </w:r>
      <w:r w:rsidRPr="00676AF7">
        <w:rPr>
          <w:rFonts w:ascii="Times New Roman" w:eastAsia="Times New Roman" w:hAnsi="Times New Roman" w:cs="Times New Roman"/>
          <w:color w:val="000000"/>
          <w:sz w:val="24"/>
          <w:szCs w:val="24"/>
          <w:lang w:eastAsia="lv-LV"/>
        </w:rPr>
        <w:t>), jo šobrīd AWG ietvaros norit kārtējais prognozēšanas cikls un nākamo ziņojumu plānots publicēt 2018.gada pavasarī</w:t>
      </w:r>
      <w:r w:rsidR="00D661A9">
        <w:rPr>
          <w:rFonts w:ascii="Times New Roman" w:eastAsia="Times New Roman" w:hAnsi="Times New Roman" w:cs="Times New Roman"/>
          <w:color w:val="000000"/>
          <w:sz w:val="24"/>
          <w:szCs w:val="24"/>
          <w:lang w:eastAsia="lv-LV"/>
        </w:rPr>
        <w:t>.</w:t>
      </w:r>
    </w:p>
    <w:p w14:paraId="3EC106D8" w14:textId="03497517" w:rsidR="00676AF7" w:rsidRPr="00676AF7" w:rsidRDefault="00676AF7" w:rsidP="00D661A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 xml:space="preserve">Jāatzīmē, ka ekonomikas izaugsmei kopumā ir būtiska nozīme publisko finanšu ilgtspējas nodrošināšanā. Tiek prognozēts, ka demogrāfisko izmaiņu ietekmē būs vērojamas izmaiņas nodarbinātības attīstībā. Paredzams, ka ilgtermiņā pieaugs gan līdzdalības līmenis darba tirgū, gan turpināsies līdzšinējā tendence </w:t>
      </w:r>
      <w:r w:rsidR="00486AE7">
        <w:rPr>
          <w:rFonts w:ascii="Times New Roman" w:eastAsia="Times New Roman" w:hAnsi="Times New Roman" w:cs="Times New Roman"/>
          <w:color w:val="000000"/>
          <w:sz w:val="24"/>
          <w:szCs w:val="24"/>
          <w:lang w:eastAsia="lv-LV"/>
        </w:rPr>
        <w:t>–</w:t>
      </w:r>
      <w:r w:rsidRPr="00676AF7">
        <w:rPr>
          <w:rFonts w:ascii="Times New Roman" w:eastAsia="Times New Roman" w:hAnsi="Times New Roman" w:cs="Times New Roman"/>
          <w:color w:val="000000"/>
          <w:sz w:val="24"/>
          <w:szCs w:val="24"/>
          <w:lang w:eastAsia="lv-LV"/>
        </w:rPr>
        <w:t xml:space="preserve"> samazināsies bezdarbs. Tas daļēji ļaus kompensēt darbspējas vecuma iedzīvotāju skaita samazināšanās ietekmi uz nodarbinātību. Jau šobrīd novērojams, ka </w:t>
      </w:r>
      <w:r w:rsidRPr="00676AF7">
        <w:rPr>
          <w:rFonts w:ascii="Times New Roman" w:eastAsia="Times New Roman" w:hAnsi="Times New Roman" w:cs="Times New Roman"/>
          <w:color w:val="000000"/>
          <w:sz w:val="24"/>
          <w:szCs w:val="23"/>
          <w:lang w:eastAsia="lv-LV"/>
        </w:rPr>
        <w:t>darbspējas vecuma iedzīvotāju (15-74 gadi) skaitam pēdējos gados samazinoties aptuveni par 1,5% gadā, arvien palielinās iedzīvotāju ekonomiskās aktivitātes līmenis, ekonomiski aktīvajiem iedzīvotājiem 2014.gad</w:t>
      </w:r>
      <w:r w:rsidR="00486AE7">
        <w:rPr>
          <w:rFonts w:ascii="Times New Roman" w:eastAsia="Times New Roman" w:hAnsi="Times New Roman" w:cs="Times New Roman"/>
          <w:color w:val="000000"/>
          <w:sz w:val="24"/>
          <w:szCs w:val="23"/>
          <w:lang w:eastAsia="lv-LV"/>
        </w:rPr>
        <w:t xml:space="preserve">ā sasniedzot 66,3%, 2015.gadā – 67,5%, bet </w:t>
      </w:r>
      <w:r w:rsidRPr="00676AF7">
        <w:rPr>
          <w:rFonts w:ascii="Times New Roman" w:eastAsia="Times New Roman" w:hAnsi="Times New Roman" w:cs="Times New Roman"/>
          <w:color w:val="000000"/>
          <w:sz w:val="24"/>
          <w:szCs w:val="23"/>
          <w:lang w:eastAsia="lv-LV"/>
        </w:rPr>
        <w:t>2016.gadā sasniedzot jau 68,2% no visiem iedzīvotājiem 15-74 gadu vecumā. Šāds ekonomiskās aktivitātes p</w:t>
      </w:r>
      <w:r w:rsidR="00486AE7">
        <w:rPr>
          <w:rFonts w:ascii="Times New Roman" w:eastAsia="Times New Roman" w:hAnsi="Times New Roman" w:cs="Times New Roman"/>
          <w:color w:val="000000"/>
          <w:sz w:val="24"/>
          <w:szCs w:val="23"/>
          <w:lang w:eastAsia="lv-LV"/>
        </w:rPr>
        <w:t xml:space="preserve">ieaugums vienlaikus liecina </w:t>
      </w:r>
      <w:r w:rsidRPr="00676AF7">
        <w:rPr>
          <w:rFonts w:ascii="Times New Roman" w:eastAsia="Times New Roman" w:hAnsi="Times New Roman" w:cs="Times New Roman"/>
          <w:color w:val="000000"/>
          <w:sz w:val="24"/>
          <w:szCs w:val="23"/>
          <w:lang w:eastAsia="lv-LV"/>
        </w:rPr>
        <w:t xml:space="preserve">par darbaspēka pieprasījuma pieaugumu un situācijas tālāku uzlabošanos darba tirgū, kad piedāvātās darba vietas un atalgojuma līmenis ir pietiekami stimulējošs, lai iepriekš ekonomiski neaktīvie cilvēki atgrieztos darba tirgū. </w:t>
      </w:r>
      <w:r w:rsidRPr="00676AF7">
        <w:rPr>
          <w:rFonts w:ascii="Times New Roman" w:eastAsia="Times New Roman" w:hAnsi="Times New Roman" w:cs="Times New Roman"/>
          <w:color w:val="000000"/>
          <w:sz w:val="24"/>
          <w:szCs w:val="24"/>
          <w:lang w:eastAsia="lv-LV"/>
        </w:rPr>
        <w:t xml:space="preserve">Tāpat </w:t>
      </w:r>
      <w:r w:rsidRPr="00676AF7">
        <w:rPr>
          <w:rFonts w:ascii="Times New Roman" w:eastAsia="Times New Roman" w:hAnsi="Times New Roman" w:cs="Times New Roman"/>
          <w:color w:val="000000"/>
          <w:sz w:val="24"/>
          <w:szCs w:val="24"/>
          <w:lang w:eastAsia="lv-LV"/>
        </w:rPr>
        <w:lastRenderedPageBreak/>
        <w:t xml:space="preserve">tiek prognozēts, ka produktivitātes pieaugums ilgtermiņā būs </w:t>
      </w:r>
      <w:r w:rsidR="00D661A9" w:rsidRPr="00676AF7">
        <w:rPr>
          <w:rFonts w:ascii="Times New Roman" w:eastAsia="Times New Roman" w:hAnsi="Times New Roman" w:cs="Times New Roman"/>
          <w:noProof/>
          <w:color w:val="000000"/>
          <w:sz w:val="24"/>
          <w:szCs w:val="24"/>
          <w:lang w:eastAsia="lv-LV"/>
        </w:rPr>
        <w:drawing>
          <wp:anchor distT="0" distB="0" distL="114300" distR="114300" simplePos="0" relativeHeight="251676672" behindDoc="0" locked="0" layoutInCell="1" allowOverlap="1" wp14:anchorId="5E5877C9" wp14:editId="255A080F">
            <wp:simplePos x="0" y="0"/>
            <wp:positionH relativeFrom="column">
              <wp:posOffset>-80010</wp:posOffset>
            </wp:positionH>
            <wp:positionV relativeFrom="paragraph">
              <wp:posOffset>450850</wp:posOffset>
            </wp:positionV>
            <wp:extent cx="5758815" cy="30772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181"/>
                    <a:stretch/>
                  </pic:blipFill>
                  <pic:spPr bwMode="auto">
                    <a:xfrm>
                      <a:off x="0" y="0"/>
                      <a:ext cx="5758815" cy="307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AF7">
        <w:rPr>
          <w:rFonts w:ascii="Times New Roman" w:eastAsia="Times New Roman" w:hAnsi="Times New Roman" w:cs="Times New Roman"/>
          <w:color w:val="000000"/>
          <w:sz w:val="24"/>
          <w:szCs w:val="24"/>
          <w:lang w:eastAsia="lv-LV"/>
        </w:rPr>
        <w:t xml:space="preserve">noteicošais ekonomiskās izaugsmes faktors un tas būs konverģences pamats ilgtermiņā. </w:t>
      </w:r>
    </w:p>
    <w:p w14:paraId="0152ED84" w14:textId="060AD805" w:rsidR="00D661A9" w:rsidRPr="00D661A9" w:rsidRDefault="00D661A9" w:rsidP="00D661A9">
      <w:pPr>
        <w:autoSpaceDE w:val="0"/>
        <w:autoSpaceDN w:val="0"/>
        <w:adjustRightInd w:val="0"/>
        <w:spacing w:after="0" w:line="240" w:lineRule="auto"/>
        <w:ind w:firstLine="720"/>
        <w:jc w:val="center"/>
        <w:rPr>
          <w:rFonts w:ascii="Times New Roman" w:eastAsia="Calibri" w:hAnsi="Times New Roman" w:cs="Times New Roman"/>
          <w:b/>
          <w:sz w:val="24"/>
          <w:szCs w:val="24"/>
        </w:rPr>
      </w:pPr>
    </w:p>
    <w:p w14:paraId="6F819102" w14:textId="1439A220" w:rsidR="00676AF7" w:rsidRPr="00D661A9" w:rsidRDefault="00DA5FEA" w:rsidP="00502866">
      <w:pPr>
        <w:autoSpaceDE w:val="0"/>
        <w:autoSpaceDN w:val="0"/>
        <w:adjustRightInd w:val="0"/>
        <w:spacing w:before="60"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7.1.</w:t>
      </w:r>
      <w:r w:rsidR="00676AF7" w:rsidRPr="00D661A9">
        <w:rPr>
          <w:rFonts w:ascii="Times New Roman" w:eastAsia="Calibri" w:hAnsi="Times New Roman" w:cs="Times New Roman"/>
          <w:b/>
          <w:sz w:val="24"/>
          <w:szCs w:val="24"/>
        </w:rPr>
        <w:t>att</w:t>
      </w:r>
      <w:r w:rsidR="00486AE7">
        <w:rPr>
          <w:rFonts w:ascii="Times New Roman" w:eastAsia="Calibri" w:hAnsi="Times New Roman" w:cs="Times New Roman"/>
          <w:b/>
          <w:sz w:val="24"/>
          <w:szCs w:val="24"/>
        </w:rPr>
        <w:t>ēls</w:t>
      </w:r>
      <w:r w:rsidR="00676AF7" w:rsidRPr="00D661A9">
        <w:rPr>
          <w:rFonts w:ascii="Times New Roman" w:eastAsia="Calibri" w:hAnsi="Times New Roman" w:cs="Times New Roman"/>
          <w:b/>
          <w:sz w:val="24"/>
          <w:szCs w:val="24"/>
        </w:rPr>
        <w:t>. Iedzīvotāju un nodarbināto skaits vecumā 15-64 un iedzīvotāju skaits 65+ Latvijā, tūkst. (Datu avots:</w:t>
      </w:r>
      <w:r w:rsidR="00676AF7" w:rsidRPr="00D661A9">
        <w:rPr>
          <w:rFonts w:ascii="Times New Roman" w:eastAsia="Calibri" w:hAnsi="Times New Roman" w:cs="Times New Roman"/>
          <w:b/>
          <w:i/>
          <w:noProof/>
          <w:sz w:val="24"/>
          <w:szCs w:val="24"/>
        </w:rPr>
        <w:t xml:space="preserve"> Eurostat</w:t>
      </w:r>
      <w:r w:rsidR="00676AF7" w:rsidRPr="00D661A9">
        <w:rPr>
          <w:rFonts w:ascii="Times New Roman" w:eastAsia="Calibri" w:hAnsi="Times New Roman" w:cs="Times New Roman"/>
          <w:b/>
          <w:sz w:val="24"/>
          <w:szCs w:val="24"/>
        </w:rPr>
        <w:t xml:space="preserve">, </w:t>
      </w:r>
      <w:r w:rsidR="00486AE7">
        <w:rPr>
          <w:rFonts w:ascii="Times New Roman" w:eastAsia="Calibri" w:hAnsi="Times New Roman" w:cs="Times New Roman"/>
          <w:b/>
          <w:sz w:val="24"/>
          <w:szCs w:val="24"/>
        </w:rPr>
        <w:t>EK</w:t>
      </w:r>
      <w:r w:rsidR="00676AF7" w:rsidRPr="00D661A9">
        <w:rPr>
          <w:rFonts w:ascii="Times New Roman" w:eastAsia="Calibri" w:hAnsi="Times New Roman" w:cs="Times New Roman"/>
          <w:b/>
          <w:sz w:val="24"/>
          <w:szCs w:val="24"/>
        </w:rPr>
        <w:t>).</w:t>
      </w:r>
    </w:p>
    <w:p w14:paraId="4CC16973" w14:textId="58F9FF45" w:rsidR="00676AF7" w:rsidRPr="00676AF7" w:rsidRDefault="00676AF7" w:rsidP="00502866">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eastAsia="lv-LV"/>
        </w:rPr>
      </w:pPr>
      <w:r w:rsidRPr="00676AF7">
        <w:rPr>
          <w:rFonts w:ascii="Times New Roman" w:eastAsia="Times New Roman" w:hAnsi="Times New Roman" w:cs="Times New Roman"/>
          <w:bCs/>
          <w:color w:val="000000"/>
          <w:sz w:val="24"/>
          <w:szCs w:val="24"/>
          <w:lang w:eastAsia="lv-LV"/>
        </w:rPr>
        <w:t xml:space="preserve">Atbilstoši </w:t>
      </w:r>
      <w:r w:rsidRPr="00676AF7">
        <w:rPr>
          <w:rFonts w:ascii="Times New Roman" w:eastAsia="Times New Roman" w:hAnsi="Times New Roman" w:cs="Times New Roman"/>
          <w:bCs/>
          <w:i/>
          <w:noProof/>
          <w:color w:val="000000"/>
          <w:sz w:val="24"/>
          <w:szCs w:val="24"/>
          <w:lang w:eastAsia="lv-LV"/>
        </w:rPr>
        <w:t>Eurostat</w:t>
      </w:r>
      <w:r w:rsidRPr="00676AF7">
        <w:rPr>
          <w:rFonts w:ascii="Times New Roman" w:eastAsia="Times New Roman" w:hAnsi="Times New Roman" w:cs="Times New Roman"/>
          <w:bCs/>
          <w:color w:val="000000"/>
          <w:sz w:val="24"/>
          <w:szCs w:val="24"/>
          <w:lang w:eastAsia="lv-LV"/>
        </w:rPr>
        <w:t xml:space="preserve"> prognozēm, kas izmantotas par pamatu 2015.gada Novecošanās ziņojumā iekļautajām prognozēm, Latvijā līdz 2060.gadam tiek prognozēta iedzīvotāju skaita samazināšanās. </w:t>
      </w:r>
      <w:r w:rsidRPr="00676AF7">
        <w:rPr>
          <w:rFonts w:ascii="Times New Roman" w:eastAsia="Times New Roman" w:hAnsi="Times New Roman" w:cs="Times New Roman"/>
          <w:bCs/>
          <w:i/>
          <w:noProof/>
          <w:color w:val="000000"/>
          <w:sz w:val="24"/>
          <w:szCs w:val="24"/>
          <w:lang w:eastAsia="lv-LV"/>
        </w:rPr>
        <w:t>Eurostat</w:t>
      </w:r>
      <w:r w:rsidRPr="00676AF7">
        <w:rPr>
          <w:rFonts w:ascii="Times New Roman" w:eastAsia="Times New Roman" w:hAnsi="Times New Roman" w:cs="Times New Roman"/>
          <w:bCs/>
          <w:noProof/>
          <w:color w:val="000000"/>
          <w:sz w:val="24"/>
          <w:szCs w:val="24"/>
          <w:lang w:eastAsia="lv-LV"/>
        </w:rPr>
        <w:t xml:space="preserve"> </w:t>
      </w:r>
      <w:r w:rsidRPr="00676AF7">
        <w:rPr>
          <w:rFonts w:ascii="Times New Roman" w:eastAsia="Times New Roman" w:hAnsi="Times New Roman" w:cs="Times New Roman"/>
          <w:bCs/>
          <w:color w:val="000000"/>
          <w:sz w:val="24"/>
          <w:szCs w:val="24"/>
          <w:lang w:eastAsia="lv-LV"/>
        </w:rPr>
        <w:t>bāzes scenārijā prognozē, ka kopējais Latvijas iedzīvo</w:t>
      </w:r>
      <w:r w:rsidR="00486AE7">
        <w:rPr>
          <w:rFonts w:ascii="Times New Roman" w:eastAsia="Times New Roman" w:hAnsi="Times New Roman" w:cs="Times New Roman"/>
          <w:bCs/>
          <w:color w:val="000000"/>
          <w:sz w:val="24"/>
          <w:szCs w:val="24"/>
          <w:lang w:eastAsia="lv-LV"/>
        </w:rPr>
        <w:t xml:space="preserve">tāju skaits samazināsies no 2,0 </w:t>
      </w:r>
      <w:r w:rsidRPr="00676AF7">
        <w:rPr>
          <w:rFonts w:ascii="Times New Roman" w:eastAsia="Times New Roman" w:hAnsi="Times New Roman" w:cs="Times New Roman"/>
          <w:bCs/>
          <w:color w:val="000000"/>
          <w:sz w:val="24"/>
          <w:szCs w:val="24"/>
          <w:lang w:eastAsia="lv-LV"/>
        </w:rPr>
        <w:t>miljoniem 2013.gadā līdz 1,4 miljoniem 2060.gadā. Tajā skaitā tiek prognozēts (skat. 7.1. attēlu), ka darbspējas vecuma (15-64) iedzīvotāju skaits sa</w:t>
      </w:r>
      <w:r w:rsidR="00486AE7">
        <w:rPr>
          <w:rFonts w:ascii="Times New Roman" w:eastAsia="Times New Roman" w:hAnsi="Times New Roman" w:cs="Times New Roman"/>
          <w:bCs/>
          <w:color w:val="000000"/>
          <w:sz w:val="24"/>
          <w:szCs w:val="24"/>
          <w:lang w:eastAsia="lv-LV"/>
        </w:rPr>
        <w:t xml:space="preserve">mazināsies par 42,0% jeb no 1,3 </w:t>
      </w:r>
      <w:r w:rsidRPr="00676AF7">
        <w:rPr>
          <w:rFonts w:ascii="Times New Roman" w:eastAsia="Times New Roman" w:hAnsi="Times New Roman" w:cs="Times New Roman"/>
          <w:bCs/>
          <w:color w:val="000000"/>
          <w:sz w:val="24"/>
          <w:szCs w:val="24"/>
          <w:lang w:eastAsia="lv-LV"/>
        </w:rPr>
        <w:t>miljon</w:t>
      </w:r>
      <w:r w:rsidR="00486AE7">
        <w:rPr>
          <w:rFonts w:ascii="Times New Roman" w:eastAsia="Times New Roman" w:hAnsi="Times New Roman" w:cs="Times New Roman"/>
          <w:bCs/>
          <w:color w:val="000000"/>
          <w:sz w:val="24"/>
          <w:szCs w:val="24"/>
          <w:lang w:eastAsia="lv-LV"/>
        </w:rPr>
        <w:t xml:space="preserve">iem 2013.gadā līdz aptuveni 0,8 </w:t>
      </w:r>
      <w:r w:rsidRPr="00676AF7">
        <w:rPr>
          <w:rFonts w:ascii="Times New Roman" w:eastAsia="Times New Roman" w:hAnsi="Times New Roman" w:cs="Times New Roman"/>
          <w:bCs/>
          <w:color w:val="000000"/>
          <w:sz w:val="24"/>
          <w:szCs w:val="24"/>
          <w:lang w:eastAsia="lv-LV"/>
        </w:rPr>
        <w:t>miljoniem iedzīvotāju 2060.gadā. Savukārt iedzīvotāju skai</w:t>
      </w:r>
      <w:r w:rsidR="00486AE7">
        <w:rPr>
          <w:rFonts w:ascii="Times New Roman" w:eastAsia="Times New Roman" w:hAnsi="Times New Roman" w:cs="Times New Roman"/>
          <w:bCs/>
          <w:color w:val="000000"/>
          <w:sz w:val="24"/>
          <w:szCs w:val="24"/>
          <w:lang w:eastAsia="lv-LV"/>
        </w:rPr>
        <w:t xml:space="preserve">ts vecumā virs 65 </w:t>
      </w:r>
      <w:r w:rsidRPr="00676AF7">
        <w:rPr>
          <w:rFonts w:ascii="Times New Roman" w:eastAsia="Times New Roman" w:hAnsi="Times New Roman" w:cs="Times New Roman"/>
          <w:bCs/>
          <w:color w:val="000000"/>
          <w:sz w:val="24"/>
          <w:szCs w:val="24"/>
          <w:lang w:eastAsia="lv-LV"/>
        </w:rPr>
        <w:t>gadiem 2060.gadā salīdzinājumā ar 2013.gadu palielinā</w:t>
      </w:r>
      <w:r w:rsidR="00486AE7">
        <w:rPr>
          <w:rFonts w:ascii="Times New Roman" w:eastAsia="Times New Roman" w:hAnsi="Times New Roman" w:cs="Times New Roman"/>
          <w:bCs/>
          <w:color w:val="000000"/>
          <w:sz w:val="24"/>
          <w:szCs w:val="24"/>
          <w:lang w:eastAsia="lv-LV"/>
        </w:rPr>
        <w:t xml:space="preserve">sies par 3,0% un kopumā būs 0,4 </w:t>
      </w:r>
      <w:r w:rsidRPr="00676AF7">
        <w:rPr>
          <w:rFonts w:ascii="Times New Roman" w:eastAsia="Times New Roman" w:hAnsi="Times New Roman" w:cs="Times New Roman"/>
          <w:bCs/>
          <w:color w:val="000000"/>
          <w:sz w:val="24"/>
          <w:szCs w:val="24"/>
          <w:lang w:eastAsia="lv-LV"/>
        </w:rPr>
        <w:t>miljoni iedz</w:t>
      </w:r>
      <w:r w:rsidR="00D661A9">
        <w:rPr>
          <w:rFonts w:ascii="Times New Roman" w:eastAsia="Times New Roman" w:hAnsi="Times New Roman" w:cs="Times New Roman"/>
          <w:bCs/>
          <w:color w:val="000000"/>
          <w:sz w:val="24"/>
          <w:szCs w:val="24"/>
          <w:lang w:eastAsia="lv-LV"/>
        </w:rPr>
        <w:t>īvotāju.</w:t>
      </w:r>
    </w:p>
    <w:p w14:paraId="32F7300D" w14:textId="52D79CE3"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i/>
          <w:color w:val="000000"/>
          <w:sz w:val="24"/>
          <w:szCs w:val="24"/>
          <w:lang w:eastAsia="lv-LV"/>
        </w:rPr>
        <w:t>Eurostat</w:t>
      </w:r>
      <w:r w:rsidRPr="00676AF7">
        <w:rPr>
          <w:rFonts w:ascii="Times New Roman" w:eastAsia="Times New Roman" w:hAnsi="Times New Roman" w:cs="Times New Roman"/>
          <w:color w:val="000000"/>
          <w:sz w:val="24"/>
          <w:szCs w:val="24"/>
          <w:lang w:eastAsia="lv-LV"/>
        </w:rPr>
        <w:t xml:space="preserve"> izstrādātās ilgtermiņa prognozes balstās uz datu salīdzinājumu par iepriekšējos gados novērotajām tendencēm, tomēr faktiskie dati liecina, ka nodarbinātības tendences Latvijā ir pozitīvākas nekā tika prognozēts. Lai gan 2013.gadam </w:t>
      </w:r>
      <w:r w:rsidRPr="00676AF7">
        <w:rPr>
          <w:rFonts w:ascii="Times New Roman" w:eastAsia="Times New Roman" w:hAnsi="Times New Roman" w:cs="Times New Roman"/>
          <w:i/>
          <w:color w:val="000000"/>
          <w:sz w:val="24"/>
          <w:szCs w:val="24"/>
          <w:lang w:eastAsia="lv-LV"/>
        </w:rPr>
        <w:t>Eurostat</w:t>
      </w:r>
      <w:r w:rsidRPr="00676AF7">
        <w:rPr>
          <w:rFonts w:ascii="Times New Roman" w:eastAsia="Times New Roman" w:hAnsi="Times New Roman" w:cs="Times New Roman"/>
          <w:color w:val="000000"/>
          <w:sz w:val="24"/>
          <w:szCs w:val="24"/>
          <w:lang w:eastAsia="lv-LV"/>
        </w:rPr>
        <w:t xml:space="preserve"> prognozētais nodarbināto skaits bija 875 tūkstoši, tomēr faktiskie dati liecina, ka nodarbināto skaits bijis par 19 tūkstošiem lielāks nekā prognozēja </w:t>
      </w:r>
      <w:r w:rsidRPr="00676AF7">
        <w:rPr>
          <w:rFonts w:ascii="Times New Roman" w:eastAsia="Times New Roman" w:hAnsi="Times New Roman" w:cs="Times New Roman"/>
          <w:i/>
          <w:color w:val="000000"/>
          <w:sz w:val="24"/>
          <w:szCs w:val="24"/>
          <w:lang w:eastAsia="lv-LV"/>
        </w:rPr>
        <w:t>Eurostat</w:t>
      </w:r>
      <w:r w:rsidRPr="00676AF7">
        <w:rPr>
          <w:rFonts w:ascii="Times New Roman" w:eastAsia="Times New Roman" w:hAnsi="Times New Roman" w:cs="Times New Roman"/>
          <w:color w:val="000000"/>
          <w:sz w:val="24"/>
          <w:szCs w:val="24"/>
          <w:lang w:eastAsia="lv-LV"/>
        </w:rPr>
        <w:t xml:space="preserve">, faktiski sasniedzot 894 tūkstošus. Šī pozitīvā tendence turpinājās arī 2015.gadā, kad faktiski bija 896 tūkstoši strādājošo. </w:t>
      </w:r>
      <w:r w:rsidR="00486AE7">
        <w:rPr>
          <w:rFonts w:ascii="Times New Roman" w:eastAsia="Times New Roman" w:hAnsi="Times New Roman" w:cs="Times New Roman"/>
          <w:color w:val="000000"/>
          <w:sz w:val="24"/>
          <w:szCs w:val="24"/>
          <w:lang w:eastAsia="lv-LV"/>
        </w:rPr>
        <w:t>FM</w:t>
      </w:r>
      <w:r w:rsidRPr="00676AF7">
        <w:rPr>
          <w:rFonts w:ascii="Times New Roman" w:eastAsia="Times New Roman" w:hAnsi="Times New Roman" w:cs="Times New Roman"/>
          <w:color w:val="000000"/>
          <w:sz w:val="24"/>
          <w:szCs w:val="24"/>
          <w:lang w:eastAsia="lv-LV"/>
        </w:rPr>
        <w:t xml:space="preserve"> savās makroekonomikas prognozēs vidējam termiņam šobrīd prognozē, ka līdz ar nākamajos gados gaidāmo ekonomiskās izaugsmes paātrināšanos pozitīvās tendences saglabāsies un tautsaimniecībā nodarbināto iedzīvotāju skaits 2020.gadā pieaugs līdz 897 tūkstošiem, kas ir par 22 tūkstošiem vairāk nekā liecina </w:t>
      </w:r>
      <w:r w:rsidRPr="00676AF7">
        <w:rPr>
          <w:rFonts w:ascii="Times New Roman" w:eastAsia="Times New Roman" w:hAnsi="Times New Roman" w:cs="Times New Roman"/>
          <w:i/>
          <w:color w:val="000000"/>
          <w:sz w:val="24"/>
          <w:szCs w:val="24"/>
          <w:lang w:eastAsia="lv-LV"/>
        </w:rPr>
        <w:t>Eurostat</w:t>
      </w:r>
      <w:r w:rsidRPr="00676AF7">
        <w:rPr>
          <w:rFonts w:ascii="Times New Roman" w:eastAsia="Times New Roman" w:hAnsi="Times New Roman" w:cs="Times New Roman"/>
          <w:color w:val="000000"/>
          <w:sz w:val="24"/>
          <w:szCs w:val="24"/>
          <w:lang w:eastAsia="lv-LV"/>
        </w:rPr>
        <w:t xml:space="preserve"> prognozes. Tāpat ar dažādu darba tirgu stimulējošu pasākumu palīdzību tiek veicināta nodarbinātība atsevišķām riska grupām, piemēram, iedzīvotājiem, kas sasnieguši 55 gadu slieksni.</w:t>
      </w:r>
    </w:p>
    <w:p w14:paraId="4FFB434E" w14:textId="77777777"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7551E658" w14:textId="77777777" w:rsidR="00676AF7" w:rsidRPr="00676AF7" w:rsidRDefault="00676AF7" w:rsidP="00676AF7">
      <w:pPr>
        <w:autoSpaceDE w:val="0"/>
        <w:autoSpaceDN w:val="0"/>
        <w:adjustRightInd w:val="0"/>
        <w:spacing w:before="240" w:after="0" w:line="240" w:lineRule="auto"/>
        <w:ind w:firstLine="720"/>
        <w:jc w:val="both"/>
        <w:rPr>
          <w:rFonts w:ascii="Times New Roman" w:eastAsia="Times New Roman" w:hAnsi="Times New Roman" w:cs="Times New Roman"/>
          <w:bCs/>
          <w:color w:val="000000"/>
          <w:sz w:val="24"/>
          <w:szCs w:val="24"/>
          <w:lang w:eastAsia="lv-LV"/>
        </w:rPr>
      </w:pPr>
    </w:p>
    <w:p w14:paraId="61FEA418" w14:textId="77777777" w:rsidR="00676AF7" w:rsidRPr="00676AF7" w:rsidRDefault="00676AF7" w:rsidP="00676AF7">
      <w:pPr>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noProof/>
          <w:color w:val="000000"/>
          <w:sz w:val="24"/>
          <w:szCs w:val="24"/>
          <w:lang w:eastAsia="lv-LV"/>
        </w:rPr>
        <w:lastRenderedPageBreak/>
        <w:drawing>
          <wp:anchor distT="0" distB="0" distL="114300" distR="114300" simplePos="0" relativeHeight="251674624" behindDoc="0" locked="0" layoutInCell="1" allowOverlap="1" wp14:anchorId="098AF256" wp14:editId="327F7B07">
            <wp:simplePos x="0" y="0"/>
            <wp:positionH relativeFrom="column">
              <wp:posOffset>-30480</wp:posOffset>
            </wp:positionH>
            <wp:positionV relativeFrom="paragraph">
              <wp:posOffset>442</wp:posOffset>
            </wp:positionV>
            <wp:extent cx="5676900" cy="30549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588"/>
                    <a:stretch/>
                  </pic:blipFill>
                  <pic:spPr bwMode="auto">
                    <a:xfrm>
                      <a:off x="0" y="0"/>
                      <a:ext cx="5676900" cy="305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A1CBE" w14:textId="3D699AEE" w:rsidR="00676AF7" w:rsidRPr="00676AF7" w:rsidRDefault="00DA5FEA" w:rsidP="00502866">
      <w:pPr>
        <w:spacing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7.2.</w:t>
      </w:r>
      <w:r w:rsidR="00676AF7" w:rsidRPr="00676AF7">
        <w:rPr>
          <w:rFonts w:ascii="Times New Roman" w:eastAsia="Calibri" w:hAnsi="Times New Roman" w:cs="Times New Roman"/>
          <w:b/>
          <w:sz w:val="24"/>
          <w:szCs w:val="24"/>
        </w:rPr>
        <w:t>att</w:t>
      </w:r>
      <w:r w:rsidR="00486AE7">
        <w:rPr>
          <w:rFonts w:ascii="Times New Roman" w:eastAsia="Calibri" w:hAnsi="Times New Roman" w:cs="Times New Roman"/>
          <w:b/>
          <w:sz w:val="24"/>
          <w:szCs w:val="24"/>
        </w:rPr>
        <w:t>ēls</w:t>
      </w:r>
      <w:r w:rsidR="00676AF7" w:rsidRPr="00676AF7">
        <w:rPr>
          <w:rFonts w:ascii="Times New Roman" w:eastAsia="Calibri" w:hAnsi="Times New Roman" w:cs="Times New Roman"/>
          <w:b/>
          <w:sz w:val="24"/>
          <w:szCs w:val="24"/>
        </w:rPr>
        <w:t>. Iedzīvotāju skaita izmaiņu ietekme kumulatīvi 5 gadu laikā līdz t gada 1.janvārim pa faktoriem: dzimušo skaits, mirušo skaits un migrācijas saldo, tūkst.</w:t>
      </w:r>
      <w:r w:rsidR="00676AF7" w:rsidRPr="00676AF7">
        <w:rPr>
          <w:rFonts w:ascii="Times New Roman" w:eastAsia="Calibri" w:hAnsi="Times New Roman" w:cs="Times New Roman"/>
          <w:b/>
          <w:sz w:val="24"/>
          <w:szCs w:val="24"/>
        </w:rPr>
        <w:br/>
        <w:t xml:space="preserve">(Datu avots: </w:t>
      </w:r>
      <w:r w:rsidR="00486AE7">
        <w:rPr>
          <w:rFonts w:ascii="Times New Roman" w:eastAsia="Calibri" w:hAnsi="Times New Roman" w:cs="Times New Roman"/>
          <w:b/>
          <w:sz w:val="24"/>
          <w:szCs w:val="24"/>
        </w:rPr>
        <w:t>CSP</w:t>
      </w:r>
      <w:r w:rsidR="00676AF7" w:rsidRPr="00676AF7">
        <w:rPr>
          <w:rFonts w:ascii="Times New Roman" w:eastAsia="Calibri" w:hAnsi="Times New Roman" w:cs="Times New Roman"/>
          <w:b/>
          <w:sz w:val="24"/>
          <w:szCs w:val="24"/>
        </w:rPr>
        <w:t xml:space="preserve">, </w:t>
      </w:r>
      <w:r w:rsidR="00676AF7" w:rsidRPr="00676AF7">
        <w:rPr>
          <w:rFonts w:ascii="Times New Roman" w:eastAsia="Calibri" w:hAnsi="Times New Roman" w:cs="Times New Roman"/>
          <w:b/>
          <w:i/>
          <w:noProof/>
          <w:sz w:val="24"/>
          <w:szCs w:val="24"/>
        </w:rPr>
        <w:t>Eurostat</w:t>
      </w:r>
      <w:r w:rsidR="00676AF7" w:rsidRPr="00676AF7">
        <w:rPr>
          <w:rFonts w:ascii="Times New Roman" w:eastAsia="Calibri" w:hAnsi="Times New Roman" w:cs="Times New Roman"/>
          <w:b/>
          <w:sz w:val="24"/>
          <w:szCs w:val="24"/>
        </w:rPr>
        <w:t>).</w:t>
      </w:r>
    </w:p>
    <w:p w14:paraId="0586B5CB" w14:textId="44D1E14F" w:rsidR="00676AF7" w:rsidRPr="00676AF7" w:rsidRDefault="00676AF7" w:rsidP="0050286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Kopējo iedzīvotāju skaita samazināšanos nā</w:t>
      </w:r>
      <w:r w:rsidR="00486AE7">
        <w:rPr>
          <w:rFonts w:ascii="Times New Roman" w:eastAsia="Times New Roman" w:hAnsi="Times New Roman" w:cs="Times New Roman"/>
          <w:color w:val="000000"/>
          <w:sz w:val="24"/>
          <w:szCs w:val="24"/>
          <w:lang w:eastAsia="lv-LV"/>
        </w:rPr>
        <w:t>kamajās desmitgadēs (skat. 7.2.</w:t>
      </w:r>
      <w:r w:rsidRPr="00676AF7">
        <w:rPr>
          <w:rFonts w:ascii="Times New Roman" w:eastAsia="Times New Roman" w:hAnsi="Times New Roman" w:cs="Times New Roman"/>
          <w:color w:val="000000"/>
          <w:sz w:val="24"/>
          <w:szCs w:val="24"/>
          <w:lang w:eastAsia="lv-LV"/>
        </w:rPr>
        <w:t xml:space="preserve">attēlu) ietekmē gan negatīvs dabiskais pieaugums, gan negatīvs migrācijas saldo. Atbilstoši </w:t>
      </w:r>
      <w:r w:rsidRPr="00676AF7">
        <w:rPr>
          <w:rFonts w:ascii="Times New Roman" w:eastAsia="Times New Roman" w:hAnsi="Times New Roman" w:cs="Times New Roman"/>
          <w:i/>
          <w:noProof/>
          <w:color w:val="000000"/>
          <w:sz w:val="24"/>
          <w:szCs w:val="24"/>
          <w:lang w:eastAsia="lv-LV"/>
        </w:rPr>
        <w:t>Eurostat</w:t>
      </w:r>
      <w:r w:rsidR="00486AE7">
        <w:rPr>
          <w:rFonts w:ascii="Times New Roman" w:eastAsia="Times New Roman" w:hAnsi="Times New Roman" w:cs="Times New Roman"/>
          <w:color w:val="000000"/>
          <w:sz w:val="24"/>
          <w:szCs w:val="24"/>
          <w:lang w:eastAsia="lv-LV"/>
        </w:rPr>
        <w:t xml:space="preserve"> prognozēm līdz 2060.</w:t>
      </w:r>
      <w:r w:rsidRPr="00676AF7">
        <w:rPr>
          <w:rFonts w:ascii="Times New Roman" w:eastAsia="Times New Roman" w:hAnsi="Times New Roman" w:cs="Times New Roman"/>
          <w:color w:val="000000"/>
          <w:sz w:val="24"/>
          <w:szCs w:val="24"/>
          <w:lang w:eastAsia="lv-LV"/>
        </w:rPr>
        <w:t xml:space="preserve">gadam mirušo skaits Latvijā pakāpeniski samazināsies, taču turpinās pārsniegt dzimušo skaitu. Iedzīvotāju skaita dabisko samazināšanos pastiprina negatīvais migrācijas saldo, kas nozīmē izbraukušo iedzīvotāju pārsvaru pār iebraukušo skaitu, un tas Latvijā atbilstoši </w:t>
      </w:r>
      <w:r w:rsidRPr="00676AF7">
        <w:rPr>
          <w:rFonts w:ascii="Times New Roman" w:eastAsia="Times New Roman" w:hAnsi="Times New Roman" w:cs="Times New Roman"/>
          <w:i/>
          <w:noProof/>
          <w:color w:val="000000"/>
          <w:sz w:val="24"/>
          <w:szCs w:val="24"/>
          <w:lang w:eastAsia="lv-LV"/>
        </w:rPr>
        <w:t xml:space="preserve">Eurostat </w:t>
      </w:r>
      <w:r w:rsidRPr="00676AF7">
        <w:rPr>
          <w:rFonts w:ascii="Times New Roman" w:eastAsia="Times New Roman" w:hAnsi="Times New Roman" w:cs="Times New Roman"/>
          <w:color w:val="000000"/>
          <w:sz w:val="24"/>
          <w:szCs w:val="24"/>
          <w:lang w:eastAsia="lv-LV"/>
        </w:rPr>
        <w:t>prognozēm turpināsies līdz pat 2035.gadam.</w:t>
      </w:r>
    </w:p>
    <w:p w14:paraId="1BF8DBEA" w14:textId="4026A71F"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 xml:space="preserve">Samazinoties iedzīvotāju skaitam </w:t>
      </w:r>
      <w:r w:rsidR="00486AE7">
        <w:rPr>
          <w:rFonts w:ascii="Times New Roman" w:eastAsia="Times New Roman" w:hAnsi="Times New Roman" w:cs="Times New Roman"/>
          <w:color w:val="000000"/>
          <w:sz w:val="24"/>
          <w:szCs w:val="24"/>
          <w:lang w:eastAsia="lv-LV"/>
        </w:rPr>
        <w:t xml:space="preserve">darbspējas vecumā no 15 līdz 64 </w:t>
      </w:r>
      <w:r w:rsidRPr="00676AF7">
        <w:rPr>
          <w:rFonts w:ascii="Times New Roman" w:eastAsia="Times New Roman" w:hAnsi="Times New Roman" w:cs="Times New Roman"/>
          <w:color w:val="000000"/>
          <w:sz w:val="24"/>
          <w:szCs w:val="24"/>
          <w:lang w:eastAsia="lv-LV"/>
        </w:rPr>
        <w:t>gadiem, būs vērojamas izmaiņas arī</w:t>
      </w:r>
      <w:r w:rsidR="00486AE7">
        <w:rPr>
          <w:rFonts w:ascii="Times New Roman" w:eastAsia="Times New Roman" w:hAnsi="Times New Roman" w:cs="Times New Roman"/>
          <w:color w:val="000000"/>
          <w:sz w:val="24"/>
          <w:szCs w:val="24"/>
          <w:lang w:eastAsia="lv-LV"/>
        </w:rPr>
        <w:t xml:space="preserve"> nodarbināto skaitā (skat. 7.1.</w:t>
      </w:r>
      <w:r w:rsidRPr="00676AF7">
        <w:rPr>
          <w:rFonts w:ascii="Times New Roman" w:eastAsia="Times New Roman" w:hAnsi="Times New Roman" w:cs="Times New Roman"/>
          <w:color w:val="000000"/>
          <w:sz w:val="24"/>
          <w:szCs w:val="24"/>
          <w:lang w:eastAsia="lv-LV"/>
        </w:rPr>
        <w:t>attēlu). Taču saskaņā ar AWG makroekonomiskajiem pieņēmumiem tiek prognozēts, ka ilgtermiņā pieaugs gan nodarbinātības līmenis šajā vecuma grupā (no 6</w:t>
      </w:r>
      <w:r w:rsidR="00486AE7">
        <w:rPr>
          <w:rFonts w:ascii="Times New Roman" w:eastAsia="Times New Roman" w:hAnsi="Times New Roman" w:cs="Times New Roman"/>
          <w:color w:val="000000"/>
          <w:sz w:val="24"/>
          <w:szCs w:val="24"/>
          <w:lang w:eastAsia="lv-LV"/>
        </w:rPr>
        <w:t>5,3% 2013.gadā līdz 69,9% 2060.</w:t>
      </w:r>
      <w:r w:rsidRPr="00676AF7">
        <w:rPr>
          <w:rFonts w:ascii="Times New Roman" w:eastAsia="Times New Roman" w:hAnsi="Times New Roman" w:cs="Times New Roman"/>
          <w:color w:val="000000"/>
          <w:sz w:val="24"/>
          <w:szCs w:val="24"/>
          <w:lang w:eastAsia="lv-LV"/>
        </w:rPr>
        <w:t>gadā), gan samazināsies bezdarbs. Tiek prognozēts, ka ilgtermiņā noteicošais ekonomiskās izaugsmes faktors</w:t>
      </w:r>
      <w:r w:rsidR="00486AE7">
        <w:rPr>
          <w:rFonts w:ascii="Times New Roman" w:eastAsia="Times New Roman" w:hAnsi="Times New Roman" w:cs="Times New Roman"/>
          <w:color w:val="000000"/>
          <w:sz w:val="24"/>
          <w:szCs w:val="24"/>
          <w:lang w:eastAsia="lv-LV"/>
        </w:rPr>
        <w:t xml:space="preserve"> būs produktivitātes pieaugums.</w:t>
      </w:r>
    </w:p>
    <w:p w14:paraId="351973D1" w14:textId="20477922"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highlight w:val="yellow"/>
          <w:lang w:eastAsia="lv-LV"/>
        </w:rPr>
      </w:pPr>
      <w:r w:rsidRPr="00676AF7">
        <w:rPr>
          <w:rFonts w:ascii="Times New Roman" w:eastAsia="Times New Roman" w:hAnsi="Times New Roman" w:cs="Times New Roman"/>
          <w:color w:val="000000"/>
          <w:sz w:val="24"/>
          <w:szCs w:val="24"/>
          <w:lang w:eastAsia="lv-LV"/>
        </w:rPr>
        <w:t xml:space="preserve">Attiecībā uz ilgtermiņa vispārējās valdības budžeta izdevumu prognozēm, atbilstoši 2015.gada Novecošanās ziņojumā iekļautajam bāzes scenārijam, tiek prognozēts, ka Latvijā 2060.gadā salīdzinājumā ar 2013.gadu ar sabiedrības novecošanos saistīto izdevumu īpatsvars </w:t>
      </w:r>
      <w:r w:rsidR="00486AE7">
        <w:rPr>
          <w:rFonts w:ascii="Times New Roman" w:eastAsia="Times New Roman" w:hAnsi="Times New Roman" w:cs="Times New Roman"/>
          <w:color w:val="000000"/>
          <w:sz w:val="24"/>
          <w:szCs w:val="24"/>
          <w:lang w:eastAsia="lv-LV"/>
        </w:rPr>
        <w:t>IKP</w:t>
      </w:r>
      <w:r w:rsidRPr="00676AF7">
        <w:rPr>
          <w:rFonts w:ascii="Times New Roman" w:eastAsia="Times New Roman" w:hAnsi="Times New Roman" w:cs="Times New Roman"/>
          <w:color w:val="000000"/>
          <w:sz w:val="24"/>
          <w:szCs w:val="24"/>
          <w:lang w:eastAsia="lv-LV"/>
        </w:rPr>
        <w:t xml:space="preserve"> samazināsies no 16,2% no IKP līdz 14,5% no IKP. Samazinājumu pamatā noteiks izdevumu valsts pensijām īpatsvara kritums </w:t>
      </w:r>
      <w:r w:rsidR="00486AE7">
        <w:rPr>
          <w:rFonts w:ascii="Times New Roman" w:eastAsia="Times New Roman" w:hAnsi="Times New Roman" w:cs="Times New Roman"/>
          <w:color w:val="000000"/>
          <w:sz w:val="24"/>
          <w:szCs w:val="24"/>
          <w:lang w:eastAsia="lv-LV"/>
        </w:rPr>
        <w:t>IKP</w:t>
      </w:r>
      <w:r w:rsidRPr="00676AF7">
        <w:rPr>
          <w:rFonts w:ascii="Times New Roman" w:eastAsia="Times New Roman" w:hAnsi="Times New Roman" w:cs="Times New Roman"/>
          <w:color w:val="000000"/>
          <w:sz w:val="24"/>
          <w:szCs w:val="24"/>
          <w:lang w:eastAsia="lv-LV"/>
        </w:rPr>
        <w:t>. Ilgtermiņa budžeta izdevumu bāzes scenārijs paredz, ka:</w:t>
      </w:r>
    </w:p>
    <w:p w14:paraId="2C7CE5EB" w14:textId="77777777" w:rsidR="00676AF7" w:rsidRPr="00676AF7" w:rsidRDefault="00676AF7" w:rsidP="0024257A">
      <w:pPr>
        <w:numPr>
          <w:ilvl w:val="0"/>
          <w:numId w:val="24"/>
        </w:numPr>
        <w:autoSpaceDE w:val="0"/>
        <w:autoSpaceDN w:val="0"/>
        <w:adjustRightInd w:val="0"/>
        <w:spacing w:after="0" w:line="240" w:lineRule="auto"/>
        <w:ind w:left="1281"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Valsts pensiju izdevumu īpatsvars IKP samazināsies no 7,7% no IKP 2013.gadā līdz 4,6% no IKP 2060.gadā;</w:t>
      </w:r>
    </w:p>
    <w:p w14:paraId="4E8D210E" w14:textId="77777777" w:rsidR="00676AF7" w:rsidRPr="00676AF7" w:rsidRDefault="00676AF7" w:rsidP="0024257A">
      <w:pPr>
        <w:numPr>
          <w:ilvl w:val="0"/>
          <w:numId w:val="24"/>
        </w:numPr>
        <w:autoSpaceDE w:val="0"/>
        <w:autoSpaceDN w:val="0"/>
        <w:adjustRightInd w:val="0"/>
        <w:spacing w:after="0" w:line="240" w:lineRule="auto"/>
        <w:ind w:left="1281"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Veselības aprūpes izdevumu īpatsvars IKP palielināsies no 3,8% no IKP 2013.gadā līdz 4,4% no IKP 2060.gadā;</w:t>
      </w:r>
    </w:p>
    <w:p w14:paraId="1739EC85" w14:textId="77777777" w:rsidR="00676AF7" w:rsidRPr="00676AF7" w:rsidRDefault="00676AF7" w:rsidP="0024257A">
      <w:pPr>
        <w:numPr>
          <w:ilvl w:val="0"/>
          <w:numId w:val="24"/>
        </w:numPr>
        <w:autoSpaceDE w:val="0"/>
        <w:autoSpaceDN w:val="0"/>
        <w:adjustRightInd w:val="0"/>
        <w:spacing w:after="0" w:line="240" w:lineRule="auto"/>
        <w:ind w:left="1281"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Ilglaicīgās aprūpes izdevumu īpatsvars IKP palielināsies no 0,6% no IKP 2013.gadā līdz 0,8% no IKP 2060.gadā;</w:t>
      </w:r>
    </w:p>
    <w:p w14:paraId="24335E9E" w14:textId="77777777" w:rsidR="00676AF7" w:rsidRPr="00676AF7" w:rsidRDefault="00676AF7" w:rsidP="0024257A">
      <w:pPr>
        <w:numPr>
          <w:ilvl w:val="0"/>
          <w:numId w:val="24"/>
        </w:numPr>
        <w:autoSpaceDE w:val="0"/>
        <w:autoSpaceDN w:val="0"/>
        <w:adjustRightInd w:val="0"/>
        <w:spacing w:after="0" w:line="240" w:lineRule="auto"/>
        <w:ind w:left="1281"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Izglītības izdevumu īpatsvars IKP palielināsies no 3,8% no IKP 2013.gadā līdz 4,5% no IKP 2060.gadā;</w:t>
      </w:r>
    </w:p>
    <w:p w14:paraId="61C1A4FE" w14:textId="77777777" w:rsidR="00676AF7" w:rsidRPr="00676AF7" w:rsidRDefault="00676AF7" w:rsidP="0024257A">
      <w:pPr>
        <w:numPr>
          <w:ilvl w:val="0"/>
          <w:numId w:val="24"/>
        </w:numPr>
        <w:autoSpaceDE w:val="0"/>
        <w:autoSpaceDN w:val="0"/>
        <w:adjustRightInd w:val="0"/>
        <w:spacing w:after="0" w:line="240" w:lineRule="auto"/>
        <w:ind w:left="1281"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noProof/>
          <w:color w:val="000000"/>
          <w:sz w:val="24"/>
          <w:szCs w:val="24"/>
          <w:lang w:eastAsia="lv-LV"/>
        </w:rPr>
        <w:lastRenderedPageBreak/>
        <w:drawing>
          <wp:anchor distT="0" distB="0" distL="114300" distR="114300" simplePos="0" relativeHeight="251675648" behindDoc="0" locked="0" layoutInCell="1" allowOverlap="1" wp14:anchorId="5F9F8556" wp14:editId="05CB21FB">
            <wp:simplePos x="0" y="0"/>
            <wp:positionH relativeFrom="column">
              <wp:posOffset>-7150</wp:posOffset>
            </wp:positionH>
            <wp:positionV relativeFrom="paragraph">
              <wp:posOffset>539033</wp:posOffset>
            </wp:positionV>
            <wp:extent cx="5758815" cy="3188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5221"/>
                    <a:stretch/>
                  </pic:blipFill>
                  <pic:spPr bwMode="auto">
                    <a:xfrm>
                      <a:off x="0" y="0"/>
                      <a:ext cx="5758815" cy="318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AF7">
        <w:rPr>
          <w:rFonts w:ascii="Times New Roman" w:eastAsia="Times New Roman" w:hAnsi="Times New Roman" w:cs="Times New Roman"/>
          <w:color w:val="000000"/>
          <w:sz w:val="24"/>
          <w:szCs w:val="24"/>
          <w:lang w:eastAsia="lv-LV"/>
        </w:rPr>
        <w:t>Izdevumu bezdarbnieku pabalstiem īpatsvars IKP samazināsies no 0,3% no IKP 2013.gadā līdz 0,1% no IKP 2060.gadā.</w:t>
      </w:r>
    </w:p>
    <w:p w14:paraId="5CE39D0E" w14:textId="77777777" w:rsidR="00676AF7" w:rsidRPr="00676AF7" w:rsidRDefault="00676AF7" w:rsidP="00676AF7">
      <w:pPr>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lv-LV"/>
        </w:rPr>
      </w:pPr>
    </w:p>
    <w:p w14:paraId="230D1ACC" w14:textId="63077108" w:rsidR="00676AF7" w:rsidRPr="00676AF7" w:rsidRDefault="00DA5FEA" w:rsidP="00676AF7">
      <w:pPr>
        <w:spacing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7.3.</w:t>
      </w:r>
      <w:r w:rsidR="00676AF7" w:rsidRPr="00676AF7">
        <w:rPr>
          <w:rFonts w:ascii="Times New Roman" w:eastAsia="Calibri" w:hAnsi="Times New Roman" w:cs="Times New Roman"/>
          <w:b/>
          <w:sz w:val="24"/>
          <w:szCs w:val="24"/>
        </w:rPr>
        <w:t>att</w:t>
      </w:r>
      <w:r w:rsidR="00486AE7">
        <w:rPr>
          <w:rFonts w:ascii="Times New Roman" w:eastAsia="Calibri" w:hAnsi="Times New Roman" w:cs="Times New Roman"/>
          <w:b/>
          <w:sz w:val="24"/>
          <w:szCs w:val="24"/>
        </w:rPr>
        <w:t>ēls</w:t>
      </w:r>
      <w:r w:rsidR="00676AF7" w:rsidRPr="00676AF7">
        <w:rPr>
          <w:rFonts w:ascii="Times New Roman" w:eastAsia="Calibri" w:hAnsi="Times New Roman" w:cs="Times New Roman"/>
          <w:b/>
          <w:sz w:val="24"/>
          <w:szCs w:val="24"/>
        </w:rPr>
        <w:t>. Ar sabiedrības novecošanos saistītie vispārējās valdības budžeta izdevumi,</w:t>
      </w:r>
      <w:r w:rsidR="00676AF7" w:rsidRPr="00676AF7">
        <w:rPr>
          <w:rFonts w:ascii="Times New Roman" w:eastAsia="Calibri" w:hAnsi="Times New Roman" w:cs="Times New Roman"/>
          <w:b/>
          <w:sz w:val="24"/>
          <w:szCs w:val="24"/>
        </w:rPr>
        <w:br/>
        <w:t>% no IKP (Datu avots: 2015.gada Novecošanās ziņojums).</w:t>
      </w:r>
    </w:p>
    <w:p w14:paraId="48C9CF7D" w14:textId="2CC8DCB4"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Lai preventīvi mazinātu sabiedrības novecošanās negatīvo ietekmi uz publiskā sektora izdevumiem ilgtermiņā, 2012.gadā tika veikta būtiska reforma Latvijas pensiju sistēmā, nosakot pakāpenisku pensionēšanā</w:t>
      </w:r>
      <w:r w:rsidR="00CF3D2B">
        <w:rPr>
          <w:rFonts w:ascii="Times New Roman" w:eastAsia="Times New Roman" w:hAnsi="Times New Roman" w:cs="Times New Roman"/>
          <w:color w:val="000000"/>
          <w:sz w:val="24"/>
          <w:szCs w:val="24"/>
          <w:lang w:eastAsia="lv-LV"/>
        </w:rPr>
        <w:t xml:space="preserve">s vecuma paaugstināšanu līdz 65 </w:t>
      </w:r>
      <w:r w:rsidRPr="00676AF7">
        <w:rPr>
          <w:rFonts w:ascii="Times New Roman" w:eastAsia="Times New Roman" w:hAnsi="Times New Roman" w:cs="Times New Roman"/>
          <w:color w:val="000000"/>
          <w:sz w:val="24"/>
          <w:szCs w:val="24"/>
          <w:lang w:eastAsia="lv-LV"/>
        </w:rPr>
        <w:t xml:space="preserve">gadu vecumam 2025.gadā. Šis faktors pamatā ietekmēja prognozēto izdevumu valsts pensijām </w:t>
      </w:r>
      <w:r w:rsidR="00CF3D2B">
        <w:rPr>
          <w:rFonts w:ascii="Times New Roman" w:eastAsia="Times New Roman" w:hAnsi="Times New Roman" w:cs="Times New Roman"/>
          <w:color w:val="000000"/>
          <w:sz w:val="24"/>
          <w:szCs w:val="24"/>
          <w:lang w:eastAsia="lv-LV"/>
        </w:rPr>
        <w:t>IKP</w:t>
      </w:r>
      <w:r w:rsidR="00CF3D2B" w:rsidRPr="00676AF7">
        <w:rPr>
          <w:rFonts w:ascii="Times New Roman" w:eastAsia="Times New Roman" w:hAnsi="Times New Roman" w:cs="Times New Roman"/>
          <w:color w:val="000000"/>
          <w:sz w:val="24"/>
          <w:szCs w:val="24"/>
          <w:lang w:eastAsia="lv-LV"/>
        </w:rPr>
        <w:t xml:space="preserve"> </w:t>
      </w:r>
      <w:r w:rsidRPr="00676AF7">
        <w:rPr>
          <w:rFonts w:ascii="Times New Roman" w:eastAsia="Times New Roman" w:hAnsi="Times New Roman" w:cs="Times New Roman"/>
          <w:color w:val="000000"/>
          <w:sz w:val="24"/>
          <w:szCs w:val="24"/>
          <w:lang w:eastAsia="lv-LV"/>
        </w:rPr>
        <w:t xml:space="preserve">īpatsvara kritumu. Lai arī budžeta izdevumu valsts pensijām </w:t>
      </w:r>
      <w:r w:rsidR="00CF3D2B">
        <w:rPr>
          <w:rFonts w:ascii="Times New Roman" w:eastAsia="Times New Roman" w:hAnsi="Times New Roman" w:cs="Times New Roman"/>
          <w:color w:val="000000"/>
          <w:sz w:val="24"/>
          <w:szCs w:val="24"/>
          <w:lang w:eastAsia="lv-LV"/>
        </w:rPr>
        <w:t>IKP</w:t>
      </w:r>
      <w:r w:rsidR="00CF3D2B" w:rsidRPr="00676AF7">
        <w:rPr>
          <w:rFonts w:ascii="Times New Roman" w:eastAsia="Times New Roman" w:hAnsi="Times New Roman" w:cs="Times New Roman"/>
          <w:color w:val="000000"/>
          <w:sz w:val="24"/>
          <w:szCs w:val="24"/>
          <w:lang w:eastAsia="lv-LV"/>
        </w:rPr>
        <w:t xml:space="preserve"> </w:t>
      </w:r>
      <w:r w:rsidRPr="00676AF7">
        <w:rPr>
          <w:rFonts w:ascii="Times New Roman" w:eastAsia="Times New Roman" w:hAnsi="Times New Roman" w:cs="Times New Roman"/>
          <w:color w:val="000000"/>
          <w:sz w:val="24"/>
          <w:szCs w:val="24"/>
          <w:lang w:eastAsia="lv-LV"/>
        </w:rPr>
        <w:t xml:space="preserve">īpatsvars ilgtermiņā samazinās, kas uzlabo fiskālās ilgtspējas novērtējumu, vienlaicīgi ir jāvērtē pensiju pietiekamība jeb adekvātums. Saskaņā ar OECD prognozēm, kas ir iekļautas 2015.gada Pensiju </w:t>
      </w:r>
      <w:r w:rsidRPr="00676AF7">
        <w:rPr>
          <w:rFonts w:ascii="Times New Roman" w:eastAsia="Times New Roman" w:hAnsi="Times New Roman" w:cs="Times New Roman"/>
          <w:noProof/>
          <w:color w:val="000000"/>
          <w:sz w:val="24"/>
          <w:szCs w:val="24"/>
          <w:lang w:eastAsia="lv-LV"/>
        </w:rPr>
        <w:t>adekvātuma ziņojumā (</w:t>
      </w:r>
      <w:r w:rsidRPr="00676AF7">
        <w:rPr>
          <w:rFonts w:ascii="Times New Roman" w:eastAsia="Times New Roman" w:hAnsi="Times New Roman" w:cs="Times New Roman"/>
          <w:i/>
          <w:noProof/>
          <w:color w:val="000000"/>
          <w:sz w:val="24"/>
          <w:szCs w:val="24"/>
          <w:lang w:eastAsia="lv-LV"/>
        </w:rPr>
        <w:t>Pension Adequacy Report 2015</w:t>
      </w:r>
      <w:r w:rsidRPr="00676AF7">
        <w:rPr>
          <w:rFonts w:ascii="Times New Roman" w:eastAsia="Times New Roman" w:hAnsi="Times New Roman" w:cs="Times New Roman"/>
          <w:noProof/>
          <w:color w:val="000000"/>
          <w:sz w:val="24"/>
          <w:szCs w:val="24"/>
          <w:lang w:eastAsia="lv-LV"/>
        </w:rPr>
        <w:t>), Latvijā teorētiskais ienākumu atvietojuma līmenis</w:t>
      </w:r>
      <w:r w:rsidR="00CF3D2B">
        <w:rPr>
          <w:rFonts w:ascii="Times New Roman" w:eastAsia="Times New Roman" w:hAnsi="Times New Roman" w:cs="Times New Roman"/>
          <w:color w:val="000000"/>
          <w:sz w:val="24"/>
          <w:szCs w:val="24"/>
          <w:lang w:eastAsia="lv-LV"/>
        </w:rPr>
        <w:t xml:space="preserve"> 65 </w:t>
      </w:r>
      <w:r w:rsidRPr="00676AF7">
        <w:rPr>
          <w:rFonts w:ascii="Times New Roman" w:eastAsia="Times New Roman" w:hAnsi="Times New Roman" w:cs="Times New Roman"/>
          <w:color w:val="000000"/>
          <w:sz w:val="24"/>
          <w:szCs w:val="24"/>
          <w:lang w:eastAsia="lv-LV"/>
        </w:rPr>
        <w:t>gadus vecam</w:t>
      </w:r>
      <w:r w:rsidR="00CF3D2B">
        <w:rPr>
          <w:rFonts w:ascii="Times New Roman" w:eastAsia="Times New Roman" w:hAnsi="Times New Roman" w:cs="Times New Roman"/>
          <w:color w:val="000000"/>
          <w:sz w:val="24"/>
          <w:szCs w:val="24"/>
          <w:lang w:eastAsia="lv-LV"/>
        </w:rPr>
        <w:t xml:space="preserve">a iedzīvotājam ar 40 </w:t>
      </w:r>
      <w:r w:rsidRPr="00676AF7">
        <w:rPr>
          <w:rFonts w:ascii="Times New Roman" w:eastAsia="Times New Roman" w:hAnsi="Times New Roman" w:cs="Times New Roman"/>
          <w:color w:val="000000"/>
          <w:sz w:val="24"/>
          <w:szCs w:val="24"/>
          <w:lang w:eastAsia="lv-LV"/>
        </w:rPr>
        <w:t>gadu darba stāžu būtiski samazināsies, piemēram, zemo ienākuma grupā no 69,2% no bruto ienāku</w:t>
      </w:r>
      <w:r w:rsidR="00CF3D2B">
        <w:rPr>
          <w:rFonts w:ascii="Times New Roman" w:eastAsia="Times New Roman" w:hAnsi="Times New Roman" w:cs="Times New Roman"/>
          <w:color w:val="000000"/>
          <w:sz w:val="24"/>
          <w:szCs w:val="24"/>
          <w:lang w:eastAsia="lv-LV"/>
        </w:rPr>
        <w:t>miem 2013.gadā līdz 43,9% 2053.</w:t>
      </w:r>
      <w:r w:rsidRPr="00676AF7">
        <w:rPr>
          <w:rFonts w:ascii="Times New Roman" w:eastAsia="Times New Roman" w:hAnsi="Times New Roman" w:cs="Times New Roman"/>
          <w:color w:val="000000"/>
          <w:sz w:val="24"/>
          <w:szCs w:val="24"/>
          <w:lang w:eastAsia="lv-LV"/>
        </w:rPr>
        <w:t>gadā, vidēj</w:t>
      </w:r>
      <w:r w:rsidR="00CF3D2B">
        <w:rPr>
          <w:rFonts w:ascii="Times New Roman" w:eastAsia="Times New Roman" w:hAnsi="Times New Roman" w:cs="Times New Roman"/>
          <w:color w:val="000000"/>
          <w:sz w:val="24"/>
          <w:szCs w:val="24"/>
          <w:lang w:eastAsia="lv-LV"/>
        </w:rPr>
        <w:t>o ienākumu grupā no 52,9% 2013.gadā līdz 43,9% 2053.</w:t>
      </w:r>
      <w:r w:rsidRPr="00676AF7">
        <w:rPr>
          <w:rFonts w:ascii="Times New Roman" w:eastAsia="Times New Roman" w:hAnsi="Times New Roman" w:cs="Times New Roman"/>
          <w:color w:val="000000"/>
          <w:sz w:val="24"/>
          <w:szCs w:val="24"/>
          <w:lang w:eastAsia="lv-LV"/>
        </w:rPr>
        <w:t>gadā, savukārt augst</w:t>
      </w:r>
      <w:r w:rsidR="00CF3D2B">
        <w:rPr>
          <w:rFonts w:ascii="Times New Roman" w:eastAsia="Times New Roman" w:hAnsi="Times New Roman" w:cs="Times New Roman"/>
          <w:color w:val="000000"/>
          <w:sz w:val="24"/>
          <w:szCs w:val="24"/>
          <w:lang w:eastAsia="lv-LV"/>
        </w:rPr>
        <w:t>o ienākumu grupā no 44,8% 2013.</w:t>
      </w:r>
      <w:r w:rsidRPr="00676AF7">
        <w:rPr>
          <w:rFonts w:ascii="Times New Roman" w:eastAsia="Times New Roman" w:hAnsi="Times New Roman" w:cs="Times New Roman"/>
          <w:color w:val="000000"/>
          <w:sz w:val="24"/>
          <w:szCs w:val="24"/>
          <w:lang w:eastAsia="lv-LV"/>
        </w:rPr>
        <w:t xml:space="preserve">gadā līdz </w:t>
      </w:r>
      <w:r w:rsidR="00CF3D2B">
        <w:rPr>
          <w:rFonts w:ascii="Times New Roman" w:eastAsia="Times New Roman" w:hAnsi="Times New Roman" w:cs="Times New Roman"/>
          <w:color w:val="000000"/>
          <w:sz w:val="24"/>
          <w:szCs w:val="24"/>
          <w:lang w:eastAsia="lv-LV"/>
        </w:rPr>
        <w:t>32,8% no bruto ienākumiem 2053.</w:t>
      </w:r>
      <w:r w:rsidRPr="00676AF7">
        <w:rPr>
          <w:rFonts w:ascii="Times New Roman" w:eastAsia="Times New Roman" w:hAnsi="Times New Roman" w:cs="Times New Roman"/>
          <w:color w:val="000000"/>
          <w:sz w:val="24"/>
          <w:szCs w:val="24"/>
          <w:lang w:eastAsia="lv-LV"/>
        </w:rPr>
        <w:t>gadā. Tāpat Latvija ierindojas to valstu starpā, kuras saskaras ar augstu nabadzības riska līmeni vecāka gadagājuma cilvēku vidū, kas savukārt norāda to, ka šie cilvēki darbspējīgā vecumā bijuši nodarbināti vai nu īsu periodu, vai saņēmuši nelielus ienākumus, no kuriem veiktas sociālās apdrošināšanas iemaksas. Tas nākotnē varētu ietekmēt adekvātu pensiju nodrošinājumu un pieaugošo nabadzību senioru vidū.</w:t>
      </w:r>
    </w:p>
    <w:p w14:paraId="0129BDEA" w14:textId="6CB57229"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noProof/>
          <w:color w:val="000000"/>
          <w:sz w:val="24"/>
          <w:szCs w:val="24"/>
          <w:lang w:eastAsia="lv-LV"/>
        </w:rPr>
      </w:pPr>
      <w:r w:rsidRPr="00676AF7">
        <w:rPr>
          <w:rFonts w:ascii="Times New Roman" w:eastAsia="Times New Roman" w:hAnsi="Times New Roman" w:cs="Times New Roman"/>
          <w:color w:val="000000"/>
          <w:sz w:val="24"/>
          <w:szCs w:val="24"/>
          <w:lang w:eastAsia="lv-LV"/>
        </w:rPr>
        <w:t xml:space="preserve">Attiecībā uz pensijas saņēmēju dzīves līmeņa uzlabošanu un vecuma pensiju palielināšanu tiek veikti dažādi pasākumi, tostarp, 2012.gadā tika veikti grozījumi Valsts </w:t>
      </w:r>
      <w:r w:rsidRPr="00676AF7">
        <w:rPr>
          <w:rFonts w:ascii="Times New Roman" w:eastAsia="Times New Roman" w:hAnsi="Times New Roman" w:cs="Times New Roman"/>
          <w:noProof/>
          <w:color w:val="000000"/>
          <w:sz w:val="24"/>
          <w:szCs w:val="24"/>
          <w:lang w:eastAsia="lv-LV"/>
        </w:rPr>
        <w:t>fondēto</w:t>
      </w:r>
      <w:r w:rsidRPr="00676AF7">
        <w:rPr>
          <w:rFonts w:ascii="Times New Roman" w:eastAsia="Times New Roman" w:hAnsi="Times New Roman" w:cs="Times New Roman"/>
          <w:color w:val="000000"/>
          <w:sz w:val="24"/>
          <w:szCs w:val="24"/>
          <w:lang w:eastAsia="lv-LV"/>
        </w:rPr>
        <w:t xml:space="preserve"> pensiju likumā, kas pēc finanšu un ekonomiskās krīzes paredzēja pakāpeniski atjaunot un paaugstināt iemaksu likmi valsts </w:t>
      </w:r>
      <w:r w:rsidRPr="00676AF7">
        <w:rPr>
          <w:rFonts w:ascii="Times New Roman" w:eastAsia="Times New Roman" w:hAnsi="Times New Roman" w:cs="Times New Roman"/>
          <w:noProof/>
          <w:color w:val="000000"/>
          <w:sz w:val="24"/>
          <w:szCs w:val="24"/>
          <w:lang w:eastAsia="lv-LV"/>
        </w:rPr>
        <w:t>fondēto pensiju</w:t>
      </w:r>
      <w:r w:rsidRPr="00676AF7">
        <w:rPr>
          <w:rFonts w:ascii="Times New Roman" w:eastAsia="Times New Roman" w:hAnsi="Times New Roman" w:cs="Times New Roman"/>
          <w:color w:val="000000"/>
          <w:sz w:val="24"/>
          <w:szCs w:val="24"/>
          <w:lang w:eastAsia="lv-LV"/>
        </w:rPr>
        <w:t xml:space="preserve"> shēmā. 2016.gadā iemaksu likme tika paaugstināta pēdējo reizi, līdz 6%. Saskaņā ar AWG prognozēm izdevumi vecuma pensijām, kas tiktu izmaksāti </w:t>
      </w:r>
      <w:r w:rsidRPr="00676AF7">
        <w:rPr>
          <w:rFonts w:ascii="Times New Roman" w:eastAsia="Times New Roman" w:hAnsi="Times New Roman" w:cs="Times New Roman"/>
          <w:noProof/>
          <w:color w:val="000000"/>
          <w:sz w:val="24"/>
          <w:szCs w:val="24"/>
          <w:lang w:eastAsia="lv-LV"/>
        </w:rPr>
        <w:t>no fondēto pen</w:t>
      </w:r>
      <w:r w:rsidR="00CF3D2B">
        <w:rPr>
          <w:rFonts w:ascii="Times New Roman" w:eastAsia="Times New Roman" w:hAnsi="Times New Roman" w:cs="Times New Roman"/>
          <w:noProof/>
          <w:color w:val="000000"/>
          <w:sz w:val="24"/>
          <w:szCs w:val="24"/>
          <w:lang w:eastAsia="lv-LV"/>
        </w:rPr>
        <w:t>siju shēmas jeb 2.līmeņa, 2060.</w:t>
      </w:r>
      <w:r w:rsidRPr="00676AF7">
        <w:rPr>
          <w:rFonts w:ascii="Times New Roman" w:eastAsia="Times New Roman" w:hAnsi="Times New Roman" w:cs="Times New Roman"/>
          <w:noProof/>
          <w:color w:val="000000"/>
          <w:sz w:val="24"/>
          <w:szCs w:val="24"/>
          <w:lang w:eastAsia="lv-LV"/>
        </w:rPr>
        <w:t>gadā varētu sasniegt 2,2% no IKP.</w:t>
      </w:r>
    </w:p>
    <w:p w14:paraId="396762C5" w14:textId="77777777"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Sagatavojot pensiju izdevumu ilgtermiņa prognozes 2015.gada Novecošanās ziņojuma ietvaros, tika ņemtas vērā šādas izmaiņas likumdošanā:</w:t>
      </w:r>
    </w:p>
    <w:p w14:paraId="4E44F237" w14:textId="683B47ED" w:rsidR="00676AF7" w:rsidRPr="00676AF7" w:rsidRDefault="00676AF7" w:rsidP="0024257A">
      <w:pPr>
        <w:numPr>
          <w:ilvl w:val="0"/>
          <w:numId w:val="9"/>
        </w:numPr>
        <w:autoSpaceDE w:val="0"/>
        <w:autoSpaceDN w:val="0"/>
        <w:adjustRightInd w:val="0"/>
        <w:spacing w:after="0" w:line="240" w:lineRule="auto"/>
        <w:ind w:left="1077"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lastRenderedPageBreak/>
        <w:t>pakāpeniski par trīs mēnešiem katru gadu tiek paaugstināts pens</w:t>
      </w:r>
      <w:r w:rsidR="00CF3D2B">
        <w:rPr>
          <w:rFonts w:ascii="Times New Roman" w:eastAsia="Times New Roman" w:hAnsi="Times New Roman" w:cs="Times New Roman"/>
          <w:color w:val="000000"/>
          <w:sz w:val="24"/>
          <w:szCs w:val="24"/>
          <w:lang w:eastAsia="lv-LV"/>
        </w:rPr>
        <w:t xml:space="preserve">ionēšanās vecums, sasniedzot 65 </w:t>
      </w:r>
      <w:r w:rsidRPr="00676AF7">
        <w:rPr>
          <w:rFonts w:ascii="Times New Roman" w:eastAsia="Times New Roman" w:hAnsi="Times New Roman" w:cs="Times New Roman"/>
          <w:color w:val="000000"/>
          <w:sz w:val="24"/>
          <w:szCs w:val="24"/>
          <w:lang w:eastAsia="lv-LV"/>
        </w:rPr>
        <w:t>gadus līdz 2025.gadam. Vienlaikus ir saglabāta iespēja pieprasīt vecuma pensiju priekšlaicīgi divus gadus pirms vispārējā pensionēšanās vecuma;</w:t>
      </w:r>
    </w:p>
    <w:p w14:paraId="460CF455" w14:textId="31F84035" w:rsidR="00676AF7" w:rsidRPr="00676AF7" w:rsidRDefault="00676AF7" w:rsidP="0024257A">
      <w:pPr>
        <w:numPr>
          <w:ilvl w:val="0"/>
          <w:numId w:val="9"/>
        </w:numPr>
        <w:autoSpaceDE w:val="0"/>
        <w:autoSpaceDN w:val="0"/>
        <w:adjustRightInd w:val="0"/>
        <w:spacing w:after="0" w:line="240" w:lineRule="auto"/>
        <w:ind w:left="1077"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 xml:space="preserve">palielināts minimālais nepieciešamais apdrošināšanas stāžs, kas ļauj kvalificēties vecuma pensijas saņemšanai, sākot ar 2025.gadu no 15 uz 20 gadiem. Palielinot nepieciešamo minimālo stāžu vecuma pensijas saņemšanai, tiek stimulēta arī </w:t>
      </w:r>
      <w:r w:rsidR="00D51057">
        <w:rPr>
          <w:rFonts w:ascii="Times New Roman" w:eastAsia="Times New Roman" w:hAnsi="Times New Roman" w:cs="Times New Roman"/>
          <w:color w:val="000000"/>
          <w:sz w:val="24"/>
          <w:szCs w:val="24"/>
          <w:lang w:eastAsia="lv-LV"/>
        </w:rPr>
        <w:t>VSAOI</w:t>
      </w:r>
      <w:r w:rsidR="00CF3D2B">
        <w:rPr>
          <w:rFonts w:ascii="Times New Roman" w:eastAsia="Times New Roman" w:hAnsi="Times New Roman" w:cs="Times New Roman"/>
          <w:color w:val="000000"/>
          <w:sz w:val="24"/>
          <w:szCs w:val="24"/>
          <w:lang w:eastAsia="lv-LV"/>
        </w:rPr>
        <w:t xml:space="preserve"> veikšana;</w:t>
      </w:r>
    </w:p>
    <w:p w14:paraId="7A063E3D" w14:textId="284885E3" w:rsidR="00676AF7" w:rsidRPr="00676AF7" w:rsidRDefault="00676AF7" w:rsidP="0024257A">
      <w:pPr>
        <w:numPr>
          <w:ilvl w:val="0"/>
          <w:numId w:val="9"/>
        </w:numPr>
        <w:autoSpaceDE w:val="0"/>
        <w:autoSpaceDN w:val="0"/>
        <w:adjustRightInd w:val="0"/>
        <w:spacing w:after="0" w:line="240" w:lineRule="auto"/>
        <w:ind w:left="1077" w:hanging="357"/>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themeColor="text1"/>
          <w:sz w:val="24"/>
          <w:szCs w:val="24"/>
          <w:lang w:eastAsia="lv-LV"/>
        </w:rPr>
        <w:t xml:space="preserve">kopš 2013.gada ir atjaunota piešķirto pensiju indeksācija, sākotnēji indeksējot mazās pensijas, bet jau ar 2014.gadu indeksējot pensijas vai tās daļas apmēru līdz 285 </w:t>
      </w:r>
      <w:r w:rsidRPr="00676AF7">
        <w:rPr>
          <w:rFonts w:ascii="Times New Roman" w:eastAsia="Times New Roman" w:hAnsi="Times New Roman" w:cs="Times New Roman"/>
          <w:i/>
          <w:noProof/>
          <w:color w:val="000000" w:themeColor="text1"/>
          <w:sz w:val="24"/>
          <w:szCs w:val="24"/>
          <w:lang w:eastAsia="lv-LV"/>
        </w:rPr>
        <w:t>euro</w:t>
      </w:r>
      <w:r w:rsidRPr="00676AF7">
        <w:rPr>
          <w:rFonts w:ascii="Times New Roman" w:eastAsia="Times New Roman" w:hAnsi="Times New Roman" w:cs="Times New Roman"/>
          <w:color w:val="000000" w:themeColor="text1"/>
          <w:sz w:val="24"/>
          <w:szCs w:val="24"/>
          <w:lang w:eastAsia="lv-LV"/>
        </w:rPr>
        <w:t>.</w:t>
      </w:r>
    </w:p>
    <w:p w14:paraId="5C8E9070" w14:textId="77777777"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sz w:val="24"/>
          <w:szCs w:val="24"/>
          <w:lang w:eastAsia="lv-LV"/>
        </w:rPr>
        <w:t>Jāatzīmē, ka 2015.gada Novecošanās ziņojumā iekļautajās ilgtermiņa pensiju izdevumu prognozēs nav ņemtas vērā šādas jaunākās nozīmīgākās izmaiņas likumdošanā:</w:t>
      </w:r>
    </w:p>
    <w:p w14:paraId="6447F047" w14:textId="5A8AFFAD" w:rsidR="00676AF7" w:rsidRPr="00676AF7" w:rsidRDefault="00CF3D2B" w:rsidP="0024257A">
      <w:pPr>
        <w:numPr>
          <w:ilvl w:val="0"/>
          <w:numId w:val="8"/>
        </w:numPr>
        <w:autoSpaceDE w:val="0"/>
        <w:autoSpaceDN w:val="0"/>
        <w:adjustRightInd w:val="0"/>
        <w:spacing w:after="0" w:line="240" w:lineRule="auto"/>
        <w:ind w:left="1077" w:hanging="357"/>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 xml:space="preserve">Atbilstoši grozījumiem likumā </w:t>
      </w:r>
      <w:hyperlink r:id="rId41" w:tgtFrame="_blank" w:history="1">
        <w:r w:rsidR="00676AF7" w:rsidRPr="00676AF7">
          <w:rPr>
            <w:rFonts w:ascii="Times New Roman" w:eastAsia="Times New Roman" w:hAnsi="Times New Roman" w:cs="Times New Roman"/>
            <w:color w:val="000000" w:themeColor="text1"/>
            <w:sz w:val="24"/>
            <w:szCs w:val="24"/>
            <w:lang w:eastAsia="lv-LV"/>
          </w:rPr>
          <w:t>„Par valsts pensijām</w:t>
        </w:r>
      </w:hyperlink>
      <w:r>
        <w:rPr>
          <w:rFonts w:ascii="Times New Roman" w:eastAsia="Times New Roman" w:hAnsi="Times New Roman" w:cs="Times New Roman"/>
          <w:color w:val="000000" w:themeColor="text1"/>
          <w:sz w:val="24"/>
          <w:szCs w:val="24"/>
          <w:lang w:eastAsia="lv-LV"/>
        </w:rPr>
        <w:t>” (apstiprināti Saeimā 2015.</w:t>
      </w:r>
      <w:r w:rsidR="00676AF7" w:rsidRPr="00676AF7">
        <w:rPr>
          <w:rFonts w:ascii="Times New Roman" w:eastAsia="Times New Roman" w:hAnsi="Times New Roman" w:cs="Times New Roman"/>
          <w:color w:val="000000" w:themeColor="text1"/>
          <w:sz w:val="24"/>
          <w:szCs w:val="24"/>
          <w:lang w:eastAsia="lv-LV"/>
        </w:rPr>
        <w:t>gad</w:t>
      </w:r>
      <w:r>
        <w:rPr>
          <w:rFonts w:ascii="Times New Roman" w:eastAsia="Times New Roman" w:hAnsi="Times New Roman" w:cs="Times New Roman"/>
          <w:color w:val="000000" w:themeColor="text1"/>
          <w:sz w:val="24"/>
          <w:szCs w:val="24"/>
          <w:lang w:eastAsia="lv-LV"/>
        </w:rPr>
        <w:t>a 18.</w:t>
      </w:r>
      <w:r w:rsidR="00676AF7" w:rsidRPr="00676AF7">
        <w:rPr>
          <w:rFonts w:ascii="Times New Roman" w:eastAsia="Times New Roman" w:hAnsi="Times New Roman" w:cs="Times New Roman"/>
          <w:color w:val="000000" w:themeColor="text1"/>
          <w:sz w:val="24"/>
          <w:szCs w:val="24"/>
          <w:lang w:eastAsia="lv-LV"/>
        </w:rPr>
        <w:t>jūnijā), kas paredz no 2009.gada līdz 2015.gada noteikto negatīvo un pozitīvo apdrošināšanas iemaksu algas inde</w:t>
      </w:r>
      <w:r>
        <w:rPr>
          <w:rFonts w:ascii="Times New Roman" w:eastAsia="Times New Roman" w:hAnsi="Times New Roman" w:cs="Times New Roman"/>
          <w:color w:val="000000" w:themeColor="text1"/>
          <w:sz w:val="24"/>
          <w:szCs w:val="24"/>
          <w:lang w:eastAsia="lv-LV"/>
        </w:rPr>
        <w:t>ksu aizstāšanu ar „1”, no 2016.</w:t>
      </w:r>
      <w:r w:rsidR="00676AF7" w:rsidRPr="00676AF7">
        <w:rPr>
          <w:rFonts w:ascii="Times New Roman" w:eastAsia="Times New Roman" w:hAnsi="Times New Roman" w:cs="Times New Roman"/>
          <w:color w:val="000000" w:themeColor="text1"/>
          <w:sz w:val="24"/>
          <w:szCs w:val="24"/>
          <w:lang w:eastAsia="lv-LV"/>
        </w:rPr>
        <w:t>gada 1.janvāra tiks veikts apdrošināto personu uzkrātā pensijas kapitāla pārrēķins par periodu no 1996.gada līdz 2014.gadam (ieskaitot);</w:t>
      </w:r>
    </w:p>
    <w:p w14:paraId="36D9BA98" w14:textId="77777777" w:rsidR="00676AF7" w:rsidRPr="00676AF7" w:rsidRDefault="00676AF7" w:rsidP="0024257A">
      <w:pPr>
        <w:numPr>
          <w:ilvl w:val="0"/>
          <w:numId w:val="8"/>
        </w:numPr>
        <w:autoSpaceDE w:val="0"/>
        <w:autoSpaceDN w:val="0"/>
        <w:adjustRightInd w:val="0"/>
        <w:spacing w:after="0" w:line="240" w:lineRule="auto"/>
        <w:ind w:left="1077" w:hanging="357"/>
        <w:jc w:val="both"/>
        <w:rPr>
          <w:rFonts w:ascii="Times New Roman" w:eastAsia="Calibri" w:hAnsi="Times New Roman" w:cs="Times New Roman"/>
          <w:color w:val="000000"/>
          <w:sz w:val="24"/>
          <w:szCs w:val="24"/>
          <w:lang w:eastAsia="lv-LV"/>
        </w:rPr>
      </w:pPr>
      <w:r w:rsidRPr="00676AF7">
        <w:rPr>
          <w:rFonts w:ascii="Times New Roman" w:eastAsia="Calibri" w:hAnsi="Times New Roman" w:cs="Times New Roman"/>
          <w:color w:val="000000"/>
          <w:sz w:val="24"/>
          <w:szCs w:val="24"/>
          <w:lang w:eastAsia="lv-LV"/>
        </w:rPr>
        <w:t>Pensijas un apdrošināšanas atlīdzības katru gadu 1.oktobrī tiek pārskatītas, veicot pensiju un apdrošināšanas atlīdzību indeksāciju. Likums „Par valsts pensijām” nosaka, ka valsts pensijas vai tās daļas apmēru, kas nepārsniedz 50% no iepriekšējā kalendārā gada vidējās apdrošināšanas iemaksu algas valstī, pārskata 1.oktobrī, ņemot vērā faktisko patēriņa cenu indeksu un daļu no apdrošināšanas iemaksu algas reālā pieauguma procentiem. Politiski represētajām personām, I grupas invalīdiem un Černobiļas atomelektrostacijas avārijas seku likvidēšanas dalībniekiem pārskatīs visu valsts pensijas apmēru;</w:t>
      </w:r>
    </w:p>
    <w:p w14:paraId="57620A27" w14:textId="4160AEB8" w:rsidR="00676AF7" w:rsidRPr="00676AF7" w:rsidRDefault="00CF3D2B" w:rsidP="0024257A">
      <w:pPr>
        <w:numPr>
          <w:ilvl w:val="0"/>
          <w:numId w:val="8"/>
        </w:numPr>
        <w:autoSpaceDE w:val="0"/>
        <w:autoSpaceDN w:val="0"/>
        <w:adjustRightInd w:val="0"/>
        <w:spacing w:after="0" w:line="240" w:lineRule="auto"/>
        <w:ind w:left="1077" w:hanging="357"/>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themeColor="text1"/>
          <w:sz w:val="24"/>
          <w:szCs w:val="24"/>
          <w:lang w:eastAsia="lv-LV"/>
        </w:rPr>
        <w:t xml:space="preserve">Atbilstoši grozījumiem likumā </w:t>
      </w:r>
      <w:hyperlink r:id="rId42" w:tgtFrame="_blank" w:history="1">
        <w:r w:rsidR="00676AF7" w:rsidRPr="00676AF7">
          <w:rPr>
            <w:rFonts w:ascii="Times New Roman" w:eastAsia="Times New Roman" w:hAnsi="Times New Roman" w:cs="Times New Roman"/>
            <w:color w:val="000000" w:themeColor="text1"/>
            <w:sz w:val="24"/>
            <w:szCs w:val="24"/>
            <w:lang w:eastAsia="lv-LV"/>
          </w:rPr>
          <w:t>„Par valsts pensijām</w:t>
        </w:r>
      </w:hyperlink>
      <w:r w:rsidR="00676AF7" w:rsidRPr="00676AF7">
        <w:rPr>
          <w:rFonts w:ascii="Times New Roman" w:eastAsia="Times New Roman" w:hAnsi="Times New Roman" w:cs="Times New Roman"/>
          <w:color w:val="000000" w:themeColor="text1"/>
          <w:sz w:val="24"/>
          <w:szCs w:val="24"/>
          <w:lang w:eastAsia="lv-LV"/>
        </w:rPr>
        <w:t>” (apstiprināti Saei</w:t>
      </w:r>
      <w:r>
        <w:rPr>
          <w:rFonts w:ascii="Times New Roman" w:eastAsia="Times New Roman" w:hAnsi="Times New Roman" w:cs="Times New Roman"/>
          <w:color w:val="000000" w:themeColor="text1"/>
          <w:sz w:val="24"/>
          <w:szCs w:val="24"/>
          <w:lang w:eastAsia="lv-LV"/>
        </w:rPr>
        <w:t>mā 2016.gada 10.martā) no 2017.</w:t>
      </w:r>
      <w:r w:rsidR="00676AF7" w:rsidRPr="00676AF7">
        <w:rPr>
          <w:rFonts w:ascii="Times New Roman" w:eastAsia="Times New Roman" w:hAnsi="Times New Roman" w:cs="Times New Roman"/>
          <w:color w:val="000000" w:themeColor="text1"/>
          <w:sz w:val="24"/>
          <w:szCs w:val="24"/>
          <w:lang w:eastAsia="lv-LV"/>
        </w:rPr>
        <w:t>gada 1.janvāra ir palielināts pensiju indeksācijas apmērs</w:t>
      </w:r>
      <w:r w:rsidR="00676AF7" w:rsidRPr="00676AF7">
        <w:rPr>
          <w:rFonts w:ascii="Times New Roman" w:eastAsia="Times New Roman" w:hAnsi="Times New Roman" w:cs="Times New Roman"/>
          <w:color w:val="000000"/>
          <w:sz w:val="24"/>
          <w:szCs w:val="24"/>
          <w:lang w:eastAsia="lv-LV"/>
        </w:rPr>
        <w:t xml:space="preserve"> no 25% uz 50% no apdrošināšanas iemaksu algas reālā pieauguma procentiem;</w:t>
      </w:r>
    </w:p>
    <w:p w14:paraId="672C62D7" w14:textId="18654739" w:rsidR="00676AF7" w:rsidRPr="00676AF7" w:rsidRDefault="00676AF7" w:rsidP="0024257A">
      <w:pPr>
        <w:numPr>
          <w:ilvl w:val="0"/>
          <w:numId w:val="8"/>
        </w:numPr>
        <w:autoSpaceDE w:val="0"/>
        <w:autoSpaceDN w:val="0"/>
        <w:adjustRightInd w:val="0"/>
        <w:spacing w:after="0" w:line="240" w:lineRule="auto"/>
        <w:ind w:left="1077" w:hanging="357"/>
        <w:jc w:val="both"/>
        <w:rPr>
          <w:rFonts w:ascii="Times New Roman" w:eastAsia="Calibri" w:hAnsi="Times New Roman" w:cs="Times New Roman"/>
          <w:color w:val="000000"/>
          <w:sz w:val="24"/>
          <w:szCs w:val="24"/>
          <w:lang w:eastAsia="lv-LV"/>
        </w:rPr>
      </w:pPr>
      <w:r w:rsidRPr="00676AF7">
        <w:rPr>
          <w:rFonts w:ascii="Times New Roman" w:eastAsia="Calibri" w:hAnsi="Times New Roman" w:cs="Times New Roman"/>
          <w:color w:val="000000"/>
          <w:sz w:val="24"/>
          <w:szCs w:val="24"/>
          <w:lang w:eastAsia="lv-LV"/>
        </w:rPr>
        <w:t>No 2017.gada 1.janvāra personām, kuru apdrošināšanas stāžs ir mazāks par 15 gadiem un kurām nav tiesību uz valsts vecuma pensiju, saskaņā ar Valsts sociālo pabalstu likumu (grozījumus likumā Saeima pieņēma 2015.gada 18.jūnijā), sasniedzot likumā „Par valsts pensijām” noteikto pensionēšanās vecumu, tiek piešķirts un no valsts pamatbudžeta līdzekļiem izmaksāts valsts</w:t>
      </w:r>
      <w:r w:rsidR="001E0507">
        <w:rPr>
          <w:rFonts w:ascii="Times New Roman" w:eastAsia="Calibri" w:hAnsi="Times New Roman" w:cs="Times New Roman"/>
          <w:color w:val="000000"/>
          <w:sz w:val="24"/>
          <w:szCs w:val="24"/>
          <w:lang w:eastAsia="lv-LV"/>
        </w:rPr>
        <w:t xml:space="preserve"> sociālā nodrošinājuma pabalsts.</w:t>
      </w:r>
    </w:p>
    <w:p w14:paraId="139BE2CC" w14:textId="29BF4ADF" w:rsidR="00676AF7" w:rsidRPr="00676AF7" w:rsidRDefault="00676AF7" w:rsidP="00676AF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676AF7">
        <w:rPr>
          <w:rFonts w:ascii="Times New Roman" w:eastAsia="Times New Roman" w:hAnsi="Times New Roman" w:cs="Times New Roman"/>
          <w:color w:val="000000" w:themeColor="text1"/>
          <w:sz w:val="24"/>
          <w:szCs w:val="24"/>
          <w:lang w:eastAsia="lv-LV"/>
        </w:rPr>
        <w:t xml:space="preserve">Tāpat jāatzīmē, ka ar 2016.gada 7.septembra </w:t>
      </w:r>
      <w:r w:rsidR="00CF3D2B">
        <w:rPr>
          <w:rFonts w:ascii="Times New Roman" w:eastAsia="Times New Roman" w:hAnsi="Times New Roman" w:cs="Times New Roman"/>
          <w:color w:val="000000" w:themeColor="text1"/>
          <w:sz w:val="24"/>
          <w:szCs w:val="24"/>
          <w:lang w:eastAsia="lv-LV"/>
        </w:rPr>
        <w:t>MK</w:t>
      </w:r>
      <w:r w:rsidRPr="00676AF7">
        <w:rPr>
          <w:rFonts w:ascii="Times New Roman" w:eastAsia="Times New Roman" w:hAnsi="Times New Roman" w:cs="Times New Roman"/>
          <w:color w:val="000000" w:themeColor="text1"/>
          <w:sz w:val="24"/>
          <w:szCs w:val="24"/>
          <w:lang w:eastAsia="lv-LV"/>
        </w:rPr>
        <w:t xml:space="preserve"> rīkojumu Nr.507 tika apstiprināts konceptuālais ziņojums “</w:t>
      </w:r>
      <w:r w:rsidRPr="00676AF7">
        <w:rPr>
          <w:rFonts w:ascii="Times New Roman" w:eastAsia="Times New Roman" w:hAnsi="Times New Roman" w:cs="Times New Roman"/>
          <w:i/>
          <w:color w:val="000000" w:themeColor="text1"/>
          <w:sz w:val="24"/>
          <w:szCs w:val="24"/>
          <w:lang w:eastAsia="lv-LV"/>
        </w:rPr>
        <w:t>Aktīvās novecošanās stratēģija ilgākam un labākam darba mūžam Latvijā</w:t>
      </w:r>
      <w:r w:rsidRPr="00676AF7">
        <w:rPr>
          <w:rFonts w:ascii="Times New Roman" w:eastAsia="Times New Roman" w:hAnsi="Times New Roman" w:cs="Times New Roman"/>
          <w:color w:val="000000" w:themeColor="text1"/>
          <w:sz w:val="24"/>
          <w:szCs w:val="24"/>
          <w:lang w:eastAsia="lv-LV"/>
        </w:rPr>
        <w:t>” paredzot uzsākt aktivitātes, kas ietver darba tirgus atbalsta pasākumus iedzīvotājiem vecumā 50 gadi un vairāk, īpaši līdz pensionēšanās vecuma sasniegšanai, kas saskaras ar ievērojamiem šķēršļiem iesaistei darba tirgū. Plānota informatīvu pasākumu īstenošana ar mērķi veicināt darba devēju un gados vecāko nodarbināto personu, kā arī sabiedrības izpratni kopumā par sabiedrības un darbaspēka novecošanās tendencēm un iespējamajiem risinājumiem ilgāka un labāka darba mūža veicināšanai. Vienlaikus atbalsts tiks vērsts uz gados vecāko nodarbināto personu darbspēju saglabāšanu un nodarbinātību, nosakot profesionālo piemērotību, sniedzot apmācību un pieaugušo izglītības iespējas, pielāgojot darba vietas un ieviešot elastīgas darba formas, kā arī veicinot starppaaudžu prasmju nodošanu, tādējādi veicinot ilgāku darba mūžu.</w:t>
      </w:r>
    </w:p>
    <w:p w14:paraId="640E6091" w14:textId="77777777" w:rsidR="00676AF7" w:rsidRPr="00F51615" w:rsidRDefault="00676AF7" w:rsidP="005C55BA">
      <w:pPr>
        <w:spacing w:after="60" w:line="240" w:lineRule="auto"/>
        <w:jc w:val="both"/>
        <w:rPr>
          <w:rFonts w:ascii="Times New Roman" w:eastAsiaTheme="majorEastAsia" w:hAnsi="Times New Roman" w:cs="Times New Roman"/>
          <w:b/>
          <w:bCs/>
          <w:smallCaps/>
          <w:color w:val="000000" w:themeColor="text1"/>
          <w:sz w:val="24"/>
          <w:szCs w:val="28"/>
        </w:rPr>
      </w:pPr>
    </w:p>
    <w:p w14:paraId="5A88BF31" w14:textId="77777777" w:rsidR="00502866" w:rsidRDefault="00502866">
      <w:pPr>
        <w:rPr>
          <w:rFonts w:ascii="Times New Roman" w:eastAsiaTheme="majorEastAsia" w:hAnsi="Times New Roman" w:cs="Times New Roman"/>
          <w:b/>
          <w:bCs/>
          <w:smallCaps/>
          <w:color w:val="000000" w:themeColor="text1"/>
          <w:sz w:val="24"/>
          <w:szCs w:val="28"/>
        </w:rPr>
      </w:pPr>
      <w:r>
        <w:rPr>
          <w:rFonts w:ascii="Times New Roman" w:hAnsi="Times New Roman" w:cs="Times New Roman"/>
          <w:sz w:val="24"/>
        </w:rPr>
        <w:br w:type="page"/>
      </w:r>
    </w:p>
    <w:p w14:paraId="6AD71969" w14:textId="1BA66BF8" w:rsidR="00A34463" w:rsidRDefault="00A34463" w:rsidP="001F01DA">
      <w:pPr>
        <w:pStyle w:val="Heading2"/>
        <w:numPr>
          <w:ilvl w:val="1"/>
          <w:numId w:val="1"/>
        </w:numPr>
        <w:spacing w:before="240" w:after="120"/>
        <w:ind w:left="709"/>
        <w:rPr>
          <w:rFonts w:ascii="Times New Roman" w:hAnsi="Times New Roman" w:cs="Times New Roman"/>
          <w:sz w:val="24"/>
        </w:rPr>
      </w:pPr>
      <w:bookmarkStart w:id="34" w:name="_Toc479331108"/>
      <w:r w:rsidRPr="00F51615">
        <w:rPr>
          <w:rFonts w:ascii="Times New Roman" w:hAnsi="Times New Roman" w:cs="Times New Roman"/>
          <w:sz w:val="24"/>
        </w:rPr>
        <w:lastRenderedPageBreak/>
        <w:t>Valsts sniegtie galvojumi</w:t>
      </w:r>
      <w:bookmarkEnd w:id="34"/>
    </w:p>
    <w:p w14:paraId="77A12435" w14:textId="77777777" w:rsidR="005C4F32" w:rsidRPr="005C4F32" w:rsidRDefault="005C4F32" w:rsidP="005C4F32">
      <w:pPr>
        <w:spacing w:after="0" w:line="240" w:lineRule="auto"/>
        <w:ind w:firstLine="426"/>
        <w:jc w:val="both"/>
        <w:rPr>
          <w:rFonts w:ascii="Times New Roman" w:eastAsia="Times New Roman" w:hAnsi="Times New Roman" w:cs="Times New Roman"/>
          <w:sz w:val="24"/>
          <w:szCs w:val="24"/>
        </w:rPr>
      </w:pPr>
      <w:r w:rsidRPr="005C4F32">
        <w:rPr>
          <w:rFonts w:ascii="Times New Roman" w:eastAsia="Times New Roman" w:hAnsi="Times New Roman" w:cs="Times New Roman"/>
          <w:sz w:val="24"/>
          <w:szCs w:val="24"/>
        </w:rPr>
        <w:t xml:space="preserve">Likumā “Par valsts budžetu 2016. gadam” noteikts, ka finanšu ministrs valsts vārdā var sniegt galvojumus par studējošo un studiju kreditēšanu 35,9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 t.sk. studiju kredītus ar valsts vārdā sniegtu galvojumu 25,2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 un studējošā kredītus ar valsts vārdā sniegtu galvojumu 10,7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w:t>
      </w:r>
    </w:p>
    <w:p w14:paraId="7BF709CC" w14:textId="77777777" w:rsidR="005C4F32" w:rsidRPr="005C4F32" w:rsidRDefault="005C4F32" w:rsidP="005C4F32">
      <w:pPr>
        <w:spacing w:after="0" w:line="240" w:lineRule="auto"/>
        <w:ind w:firstLine="426"/>
        <w:jc w:val="both"/>
        <w:rPr>
          <w:rFonts w:ascii="Times New Roman" w:eastAsia="Times New Roman" w:hAnsi="Times New Roman" w:cs="Times New Roman"/>
          <w:sz w:val="24"/>
          <w:szCs w:val="24"/>
        </w:rPr>
      </w:pPr>
      <w:r w:rsidRPr="005C4F32">
        <w:rPr>
          <w:rFonts w:ascii="Times New Roman" w:eastAsia="Times New Roman" w:hAnsi="Times New Roman" w:cs="Times New Roman"/>
          <w:sz w:val="24"/>
          <w:szCs w:val="24"/>
        </w:rPr>
        <w:t xml:space="preserve">2016.gadā faktiski ir izsniegti studiju kredīti ar valsts vārdā sniegtu galvojumu 6,8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 savukārt studējošā kredīti ar valsts vārdā sniegtu galvojumu 1,4 milj. </w:t>
      </w:r>
      <w:r w:rsidRPr="005C4F32">
        <w:rPr>
          <w:rFonts w:ascii="Times New Roman" w:eastAsia="Times New Roman" w:hAnsi="Times New Roman" w:cs="Times New Roman"/>
          <w:i/>
          <w:sz w:val="24"/>
          <w:szCs w:val="24"/>
        </w:rPr>
        <w:t xml:space="preserve">euro </w:t>
      </w:r>
      <w:r w:rsidRPr="005C4F32">
        <w:rPr>
          <w:rFonts w:ascii="Times New Roman" w:eastAsia="Times New Roman" w:hAnsi="Times New Roman" w:cs="Times New Roman"/>
          <w:sz w:val="24"/>
          <w:szCs w:val="24"/>
        </w:rPr>
        <w:t xml:space="preserve">apmērā.  </w:t>
      </w:r>
    </w:p>
    <w:p w14:paraId="4F3FE3C0" w14:textId="6987FB4F" w:rsidR="005C4F32" w:rsidRPr="005C4F32" w:rsidRDefault="005C4F32" w:rsidP="005C4F32">
      <w:pPr>
        <w:spacing w:after="0" w:line="240" w:lineRule="auto"/>
        <w:ind w:firstLine="426"/>
        <w:jc w:val="both"/>
        <w:rPr>
          <w:rFonts w:ascii="Times New Roman" w:eastAsia="Times New Roman" w:hAnsi="Times New Roman" w:cs="Times New Roman"/>
          <w:sz w:val="24"/>
          <w:szCs w:val="24"/>
        </w:rPr>
      </w:pPr>
      <w:r w:rsidRPr="005C4F32">
        <w:rPr>
          <w:rFonts w:ascii="Times New Roman" w:eastAsia="Times New Roman" w:hAnsi="Times New Roman" w:cs="Times New Roman"/>
          <w:sz w:val="24"/>
          <w:szCs w:val="24"/>
        </w:rPr>
        <w:t xml:space="preserve">Valsts galvoto aizdevumu atlikums 2016.gada beigās sasniedza 432,9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kas salīdzinājumā ar valsts galvoto aizdevumu atlikumu 2015.gada beigās ir palielinājies par 6,6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(sk. </w:t>
      </w:r>
      <w:r>
        <w:rPr>
          <w:rFonts w:ascii="Times New Roman" w:eastAsia="Times New Roman" w:hAnsi="Times New Roman" w:cs="Times New Roman"/>
          <w:sz w:val="24"/>
          <w:szCs w:val="24"/>
        </w:rPr>
        <w:t>7.4.</w:t>
      </w:r>
      <w:r w:rsidRPr="005C4F32">
        <w:rPr>
          <w:rFonts w:ascii="Times New Roman" w:eastAsia="Times New Roman" w:hAnsi="Times New Roman" w:cs="Times New Roman"/>
          <w:sz w:val="24"/>
          <w:szCs w:val="24"/>
        </w:rPr>
        <w:t>attēlu).</w:t>
      </w:r>
    </w:p>
    <w:p w14:paraId="61111457" w14:textId="77777777" w:rsidR="005C4F32" w:rsidRPr="005C4F32" w:rsidRDefault="005C4F32" w:rsidP="005C4F32">
      <w:pPr>
        <w:spacing w:after="0" w:line="240" w:lineRule="auto"/>
        <w:ind w:firstLine="426"/>
        <w:jc w:val="both"/>
        <w:rPr>
          <w:rFonts w:ascii="Times New Roman" w:eastAsia="Times New Roman" w:hAnsi="Times New Roman" w:cs="Times New Roman"/>
          <w:sz w:val="24"/>
          <w:szCs w:val="24"/>
        </w:rPr>
      </w:pPr>
    </w:p>
    <w:p w14:paraId="67463468" w14:textId="77777777" w:rsidR="005C4F32" w:rsidRPr="005C4F32" w:rsidRDefault="005C4F32" w:rsidP="005C4F32">
      <w:pPr>
        <w:spacing w:after="0" w:line="240" w:lineRule="auto"/>
        <w:ind w:firstLine="142"/>
        <w:jc w:val="center"/>
        <w:rPr>
          <w:rFonts w:ascii="Times New Roman" w:eastAsia="Times New Roman" w:hAnsi="Times New Roman" w:cs="Times New Roman"/>
          <w:b/>
          <w:bCs/>
          <w:sz w:val="24"/>
          <w:szCs w:val="24"/>
        </w:rPr>
      </w:pPr>
      <w:r w:rsidRPr="005C4F32">
        <w:rPr>
          <w:rFonts w:ascii="Times New Roman" w:eastAsia="Times New Roman" w:hAnsi="Times New Roman" w:cs="Times New Roman"/>
          <w:b/>
          <w:bCs/>
          <w:noProof/>
          <w:sz w:val="24"/>
          <w:szCs w:val="24"/>
          <w:lang w:eastAsia="lv-LV"/>
        </w:rPr>
        <w:drawing>
          <wp:inline distT="0" distB="0" distL="0" distR="0" wp14:anchorId="44F95D2D" wp14:editId="1D5CBD70">
            <wp:extent cx="5194962" cy="27644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6401" cy="2786457"/>
                    </a:xfrm>
                    <a:prstGeom prst="rect">
                      <a:avLst/>
                    </a:prstGeom>
                    <a:noFill/>
                  </pic:spPr>
                </pic:pic>
              </a:graphicData>
            </a:graphic>
          </wp:inline>
        </w:drawing>
      </w:r>
    </w:p>
    <w:p w14:paraId="0B555BB7" w14:textId="66D83048" w:rsidR="005C4F32" w:rsidRPr="005C4F32" w:rsidRDefault="005C4F32" w:rsidP="005C4F32">
      <w:pPr>
        <w:spacing w:before="60" w:after="120"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7.4.attēls. </w:t>
      </w:r>
      <w:r w:rsidRPr="005C4F32">
        <w:rPr>
          <w:rFonts w:ascii="Times New Roman" w:eastAsia="Times New Roman" w:hAnsi="Times New Roman" w:cs="Times New Roman"/>
          <w:b/>
          <w:bCs/>
          <w:sz w:val="24"/>
          <w:szCs w:val="24"/>
        </w:rPr>
        <w:t xml:space="preserve">Valsts galvoto aizdevumu atlikums attiecīgā gada beigās (milj. </w:t>
      </w:r>
      <w:r w:rsidRPr="005C4F32">
        <w:rPr>
          <w:rFonts w:ascii="Times New Roman" w:eastAsia="Times New Roman" w:hAnsi="Times New Roman" w:cs="Times New Roman"/>
          <w:b/>
          <w:bCs/>
          <w:i/>
          <w:sz w:val="24"/>
          <w:szCs w:val="24"/>
        </w:rPr>
        <w:t>euro</w:t>
      </w:r>
      <w:r w:rsidRPr="005C4F32">
        <w:rPr>
          <w:rFonts w:ascii="Times New Roman" w:eastAsia="Times New Roman" w:hAnsi="Times New Roman" w:cs="Times New Roman"/>
          <w:b/>
          <w:bCs/>
          <w:sz w:val="24"/>
          <w:szCs w:val="24"/>
        </w:rPr>
        <w:t>)</w:t>
      </w:r>
    </w:p>
    <w:p w14:paraId="3EE543E8" w14:textId="77777777" w:rsidR="005C4F32" w:rsidRPr="005C4F32" w:rsidRDefault="005C4F32" w:rsidP="005C4F32">
      <w:pPr>
        <w:spacing w:after="0" w:line="240" w:lineRule="auto"/>
        <w:ind w:firstLine="426"/>
        <w:jc w:val="both"/>
        <w:rPr>
          <w:rFonts w:ascii="Times New Roman" w:eastAsia="Times New Roman" w:hAnsi="Times New Roman" w:cs="Times New Roman"/>
          <w:sz w:val="24"/>
          <w:szCs w:val="24"/>
        </w:rPr>
      </w:pPr>
      <w:r w:rsidRPr="005C4F32">
        <w:rPr>
          <w:rFonts w:ascii="Times New Roman" w:eastAsia="Times New Roman" w:hAnsi="Times New Roman" w:cs="Times New Roman"/>
          <w:sz w:val="24"/>
          <w:szCs w:val="24"/>
        </w:rPr>
        <w:t xml:space="preserve">Likumā „Par valsts budžetu 2017.gadam” paredzēti valsts galvojumi 41,8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 t.sk. studējošo kreditēšanai 10,8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 un studiju kreditēšanai 25,2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 kā arī Ziemeļu Investīciju bankai finansēto Investīciju projektu un Vides investīciju projektu galvojumu palielināšanai 5,8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w:t>
      </w:r>
    </w:p>
    <w:p w14:paraId="7C6AEB9A" w14:textId="77777777" w:rsidR="005C4F32" w:rsidRPr="005C4F32" w:rsidRDefault="005C4F32" w:rsidP="005C4F32">
      <w:pPr>
        <w:spacing w:after="0" w:line="240" w:lineRule="auto"/>
        <w:ind w:firstLine="426"/>
        <w:jc w:val="both"/>
        <w:rPr>
          <w:rFonts w:ascii="Times New Roman" w:eastAsia="Times New Roman" w:hAnsi="Times New Roman" w:cs="Times New Roman"/>
          <w:sz w:val="24"/>
          <w:szCs w:val="24"/>
        </w:rPr>
      </w:pPr>
      <w:r w:rsidRPr="005C4F32">
        <w:rPr>
          <w:rFonts w:ascii="Times New Roman" w:eastAsia="Times New Roman" w:hAnsi="Times New Roman" w:cs="Times New Roman"/>
          <w:sz w:val="24"/>
          <w:szCs w:val="24"/>
        </w:rPr>
        <w:t>Izvērtējot aizņēmēju finansiālo stāvokli, līdzšinējo kredītvēsturi, nodrošinājuma likviditāti un apjomu, kā arī citu pieejamo informāciju, līdz 2016.gada beigām tika veidoti uzkrājumi pieciem galvojumiem. Minētajiem galvojumu saņēmējiem valsts galvoto aizdevumu neatmaksātais atlikums 2016.gada 31.decembrī veidoja 16% no kopējā galvoto aizdevumu neatmaksātā atlikuma. Saskaņā ar likuma „Par valsts budžetu 2017.gadam” 53.pantu 2017.gada 31.jānvārī valsts parādā tika pārņemtas tās valsts galvotās ārstniecības iestāžu saistības, kuras pastāvēja pret Ziemeļu Investīciju banku, kā rezultātā uz 2017.gada 28.februāri tika veidoti uzkrājumi četriem galvojumiem. Ņemot vērā minēto izvērtējumu, pastāv varbūtība, ka četru valsts galvoto aizdevumu saistības vai to daļa varētu netikt izpildītas līgumos noteiktajā termiņā un apjomā.</w:t>
      </w:r>
    </w:p>
    <w:p w14:paraId="2CDD685C" w14:textId="77777777" w:rsidR="005C4F32" w:rsidRPr="005C4F32" w:rsidRDefault="005C4F32" w:rsidP="005C4F32">
      <w:pPr>
        <w:spacing w:after="0" w:line="240" w:lineRule="auto"/>
        <w:ind w:firstLine="426"/>
        <w:jc w:val="both"/>
        <w:rPr>
          <w:rFonts w:ascii="Times New Roman" w:eastAsia="Times New Roman" w:hAnsi="Times New Roman" w:cs="Times New Roman"/>
          <w:sz w:val="24"/>
          <w:szCs w:val="20"/>
        </w:rPr>
      </w:pPr>
      <w:r w:rsidRPr="005C4F32">
        <w:rPr>
          <w:rFonts w:ascii="Times New Roman" w:eastAsia="Times New Roman" w:hAnsi="Times New Roman" w:cs="Times New Roman"/>
          <w:sz w:val="24"/>
          <w:szCs w:val="24"/>
        </w:rPr>
        <w:t xml:space="preserve"> Likumā „Par valsts budžetu 2017.gadam” valdības rīcības pieļaujamās robežas, lai segtu izdevumus, kas var rasties, pildot uz valsts budžetu attiecināmās valsts galvotā parāda saistības 2017.gadā, ir noteiktas 1,5 milj. </w:t>
      </w:r>
      <w:r w:rsidRPr="005C4F32">
        <w:rPr>
          <w:rFonts w:ascii="Times New Roman" w:eastAsia="Times New Roman" w:hAnsi="Times New Roman" w:cs="Times New Roman"/>
          <w:i/>
          <w:sz w:val="24"/>
          <w:szCs w:val="24"/>
        </w:rPr>
        <w:t>euro</w:t>
      </w:r>
      <w:r w:rsidRPr="005C4F32">
        <w:rPr>
          <w:rFonts w:ascii="Times New Roman" w:eastAsia="Times New Roman" w:hAnsi="Times New Roman" w:cs="Times New Roman"/>
          <w:sz w:val="24"/>
          <w:szCs w:val="24"/>
        </w:rPr>
        <w:t xml:space="preserve"> apmērā (~0,01 % no prognozētā IKP).</w:t>
      </w:r>
    </w:p>
    <w:p w14:paraId="6CA7DB75" w14:textId="77777777" w:rsidR="005C4F32" w:rsidRPr="00E60947" w:rsidRDefault="005C4F32" w:rsidP="00E60947"/>
    <w:p w14:paraId="68502124" w14:textId="50B259C7" w:rsidR="002C7C43" w:rsidRDefault="002C7C43">
      <w:pPr>
        <w:rPr>
          <w:rFonts w:ascii="Times New Roman" w:eastAsiaTheme="majorEastAsia" w:hAnsi="Times New Roman" w:cs="Times New Roman"/>
          <w:b/>
          <w:bCs/>
          <w:smallCaps/>
          <w:color w:val="000000" w:themeColor="text1"/>
          <w:sz w:val="32"/>
          <w:szCs w:val="36"/>
        </w:rPr>
      </w:pPr>
    </w:p>
    <w:p w14:paraId="658E0EA8" w14:textId="77777777" w:rsidR="00436C53" w:rsidRDefault="00436C53">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14:paraId="49309C40" w14:textId="2011CA64" w:rsidR="003F78CC" w:rsidRPr="00F51615" w:rsidRDefault="005536A9" w:rsidP="00F512CA">
      <w:pPr>
        <w:pStyle w:val="Heading1"/>
        <w:numPr>
          <w:ilvl w:val="0"/>
          <w:numId w:val="1"/>
        </w:numPr>
        <w:ind w:left="284" w:hanging="283"/>
        <w:jc w:val="center"/>
        <w:rPr>
          <w:rFonts w:ascii="Times New Roman" w:hAnsi="Times New Roman" w:cs="Times New Roman"/>
          <w:sz w:val="32"/>
        </w:rPr>
      </w:pPr>
      <w:bookmarkStart w:id="35" w:name="_Toc479331109"/>
      <w:r w:rsidRPr="00F51615">
        <w:rPr>
          <w:rFonts w:ascii="Times New Roman" w:hAnsi="Times New Roman" w:cs="Times New Roman"/>
          <w:sz w:val="32"/>
        </w:rPr>
        <w:lastRenderedPageBreak/>
        <w:t>Valsts finanšu institucionālās iezīmes</w:t>
      </w:r>
      <w:bookmarkEnd w:id="35"/>
    </w:p>
    <w:p w14:paraId="03F7FCAE" w14:textId="2FB009A4" w:rsidR="003666E9" w:rsidRPr="001F01DA" w:rsidRDefault="00A34463" w:rsidP="001F01DA">
      <w:pPr>
        <w:pStyle w:val="Heading2"/>
        <w:numPr>
          <w:ilvl w:val="1"/>
          <w:numId w:val="1"/>
        </w:numPr>
        <w:spacing w:before="240" w:after="120"/>
        <w:ind w:left="709"/>
        <w:rPr>
          <w:rFonts w:ascii="Times New Roman" w:hAnsi="Times New Roman" w:cs="Times New Roman"/>
          <w:sz w:val="24"/>
        </w:rPr>
      </w:pPr>
      <w:bookmarkStart w:id="36" w:name="_Toc479331110"/>
      <w:r w:rsidRPr="00F51615">
        <w:rPr>
          <w:rFonts w:ascii="Times New Roman" w:hAnsi="Times New Roman" w:cs="Times New Roman"/>
          <w:sz w:val="24"/>
        </w:rPr>
        <w:t>Valsts budžeta noteikumu ieviešana</w:t>
      </w:r>
      <w:r w:rsidR="003666E9">
        <w:rPr>
          <w:rFonts w:ascii="Times New Roman" w:hAnsi="Times New Roman" w:cs="Times New Roman"/>
          <w:sz w:val="24"/>
        </w:rPr>
        <w:t xml:space="preserve"> un citas institucionālās attīstības attiecībā uz valsts finansēm</w:t>
      </w:r>
      <w:bookmarkEnd w:id="36"/>
    </w:p>
    <w:p w14:paraId="056BAD72" w14:textId="77777777" w:rsidR="00DD4F0C" w:rsidRDefault="00DD4F0C" w:rsidP="00711F13">
      <w:pPr>
        <w:spacing w:after="0" w:line="240" w:lineRule="auto"/>
        <w:ind w:firstLine="567"/>
        <w:jc w:val="both"/>
        <w:rPr>
          <w:rFonts w:ascii="Times New Roman" w:eastAsia="Times New Roman" w:hAnsi="Times New Roman" w:cs="Times New Roman"/>
          <w:sz w:val="24"/>
          <w:szCs w:val="20"/>
          <w:highlight w:val="yellow"/>
        </w:rPr>
      </w:pPr>
    </w:p>
    <w:p w14:paraId="10450F06" w14:textId="04E9942D" w:rsidR="00B2729D" w:rsidRPr="00846B1F" w:rsidRDefault="00215965" w:rsidP="00846B1F">
      <w:pPr>
        <w:spacing w:after="0" w:line="240" w:lineRule="auto"/>
        <w:ind w:firstLine="567"/>
        <w:jc w:val="both"/>
        <w:rPr>
          <w:rFonts w:ascii="Times New Roman" w:eastAsia="Times New Roman" w:hAnsi="Times New Roman"/>
          <w:color w:val="000000"/>
          <w:sz w:val="24"/>
          <w:szCs w:val="24"/>
        </w:rPr>
      </w:pPr>
      <w:r w:rsidRPr="00846B1F">
        <w:rPr>
          <w:rFonts w:ascii="Times New Roman" w:eastAsia="Times New Roman" w:hAnsi="Times New Roman" w:cs="Times New Roman"/>
          <w:sz w:val="24"/>
          <w:szCs w:val="20"/>
        </w:rPr>
        <w:t>Līdz ar ES ekonomiskās un fiskālās pārvaldības stiprinā</w:t>
      </w:r>
      <w:r w:rsidR="00B2729D" w:rsidRPr="00846B1F">
        <w:rPr>
          <w:rFonts w:ascii="Times New Roman" w:eastAsia="Times New Roman" w:hAnsi="Times New Roman" w:cs="Times New Roman"/>
          <w:sz w:val="24"/>
          <w:szCs w:val="20"/>
        </w:rPr>
        <w:t xml:space="preserve">šanu, </w:t>
      </w:r>
      <w:r w:rsidRPr="00846B1F">
        <w:rPr>
          <w:rFonts w:ascii="Times New Roman" w:eastAsia="Times New Roman" w:hAnsi="Times New Roman" w:cs="Times New Roman"/>
          <w:sz w:val="24"/>
          <w:szCs w:val="20"/>
        </w:rPr>
        <w:t xml:space="preserve">ņemot vērā jaunos </w:t>
      </w:r>
      <w:r w:rsidR="00B2729D" w:rsidRPr="00846B1F">
        <w:rPr>
          <w:rFonts w:ascii="Times New Roman" w:eastAsia="Times New Roman" w:hAnsi="Times New Roman" w:cs="Times New Roman"/>
          <w:sz w:val="24"/>
          <w:szCs w:val="20"/>
        </w:rPr>
        <w:t>ES</w:t>
      </w:r>
      <w:r w:rsidRPr="00846B1F">
        <w:rPr>
          <w:rFonts w:ascii="Times New Roman" w:eastAsia="Times New Roman" w:hAnsi="Times New Roman" w:cs="Times New Roman"/>
          <w:sz w:val="24"/>
          <w:szCs w:val="20"/>
        </w:rPr>
        <w:t xml:space="preserve"> fiskālās discipl</w:t>
      </w:r>
      <w:r w:rsidR="00B2729D" w:rsidRPr="00846B1F">
        <w:rPr>
          <w:rFonts w:ascii="Times New Roman" w:eastAsia="Times New Roman" w:hAnsi="Times New Roman" w:cs="Times New Roman"/>
          <w:sz w:val="24"/>
          <w:szCs w:val="20"/>
        </w:rPr>
        <w:t xml:space="preserve">īnas nosacījumus, </w:t>
      </w:r>
      <w:r w:rsidR="000E03C6" w:rsidRPr="00846B1F">
        <w:rPr>
          <w:rFonts w:ascii="Times New Roman" w:eastAsia="Times New Roman" w:hAnsi="Times New Roman"/>
          <w:color w:val="000000"/>
          <w:sz w:val="24"/>
          <w:szCs w:val="24"/>
        </w:rPr>
        <w:t xml:space="preserve">Latvija </w:t>
      </w:r>
      <w:r w:rsidR="00154249">
        <w:rPr>
          <w:rFonts w:ascii="Times New Roman" w:eastAsia="Times New Roman" w:hAnsi="Times New Roman"/>
          <w:color w:val="000000"/>
          <w:sz w:val="24"/>
          <w:szCs w:val="24"/>
        </w:rPr>
        <w:t xml:space="preserve">Līguma par stabilitāti, koordināciju un pārvaldību ekonomiskajā un monetārajā savienībā (turpmāk – Līgums) </w:t>
      </w:r>
      <w:r w:rsidR="000E03C6" w:rsidRPr="00846B1F">
        <w:rPr>
          <w:rFonts w:ascii="Times New Roman" w:eastAsia="Times New Roman" w:hAnsi="Times New Roman"/>
          <w:color w:val="000000"/>
          <w:sz w:val="24"/>
          <w:szCs w:val="24"/>
        </w:rPr>
        <w:t xml:space="preserve">regulējumu ieviesa ar diviem normatīvajiem aktiem – likumu „Par Līgumu par stabilitāti, koordināciju un pārvaldību ekonomiskajā un monetārajā savienībā” un </w:t>
      </w:r>
      <w:r w:rsidR="00846B1F" w:rsidRPr="00846B1F">
        <w:rPr>
          <w:rFonts w:ascii="Times New Roman" w:eastAsia="Times New Roman" w:hAnsi="Times New Roman"/>
          <w:color w:val="000000"/>
          <w:sz w:val="24"/>
          <w:szCs w:val="24"/>
        </w:rPr>
        <w:t xml:space="preserve">FDL. </w:t>
      </w:r>
      <w:r w:rsidR="00B2729D" w:rsidRPr="00846B1F">
        <w:rPr>
          <w:rFonts w:ascii="Times New Roman" w:eastAsia="Times New Roman" w:hAnsi="Times New Roman" w:cs="Times New Roman"/>
          <w:sz w:val="24"/>
          <w:szCs w:val="20"/>
        </w:rPr>
        <w:t xml:space="preserve">Kopš FDL stāšanās spēkā 2013.gadā valsts budžeta un </w:t>
      </w:r>
      <w:r w:rsidR="00C26791" w:rsidRPr="00846B1F">
        <w:rPr>
          <w:rFonts w:ascii="Times New Roman" w:eastAsia="Times New Roman" w:hAnsi="Times New Roman" w:cs="Times New Roman"/>
          <w:sz w:val="24"/>
          <w:szCs w:val="20"/>
        </w:rPr>
        <w:t>I</w:t>
      </w:r>
      <w:r w:rsidR="00B2729D" w:rsidRPr="00846B1F">
        <w:rPr>
          <w:rFonts w:ascii="Times New Roman" w:eastAsia="Times New Roman" w:hAnsi="Times New Roman" w:cs="Times New Roman"/>
          <w:sz w:val="24"/>
          <w:szCs w:val="20"/>
        </w:rPr>
        <w:t>etvara</w:t>
      </w:r>
      <w:r w:rsidR="00C26791" w:rsidRPr="00846B1F">
        <w:rPr>
          <w:rFonts w:ascii="Times New Roman" w:eastAsia="Times New Roman" w:hAnsi="Times New Roman" w:cs="Times New Roman"/>
          <w:sz w:val="24"/>
          <w:szCs w:val="20"/>
        </w:rPr>
        <w:t xml:space="preserve"> likuma</w:t>
      </w:r>
      <w:r w:rsidR="00B2729D" w:rsidRPr="00846B1F">
        <w:rPr>
          <w:rFonts w:ascii="Times New Roman" w:eastAsia="Times New Roman" w:hAnsi="Times New Roman" w:cs="Times New Roman"/>
          <w:sz w:val="24"/>
          <w:szCs w:val="20"/>
        </w:rPr>
        <w:t xml:space="preserve"> veidošanas procesā</w:t>
      </w:r>
      <w:r w:rsidR="00D65052" w:rsidRPr="00846B1F">
        <w:rPr>
          <w:rFonts w:ascii="Times New Roman" w:eastAsia="Times New Roman" w:hAnsi="Times New Roman" w:cs="Times New Roman"/>
          <w:sz w:val="24"/>
          <w:szCs w:val="20"/>
        </w:rPr>
        <w:t xml:space="preserve"> tiek nodrošināta fiskālo nosacījumu ieviešana</w:t>
      </w:r>
      <w:r w:rsidR="00846B1F">
        <w:rPr>
          <w:rFonts w:ascii="Times New Roman" w:eastAsia="Times New Roman" w:hAnsi="Times New Roman" w:cs="Times New Roman"/>
          <w:sz w:val="24"/>
          <w:szCs w:val="20"/>
        </w:rPr>
        <w:t xml:space="preserve"> </w:t>
      </w:r>
      <w:r w:rsidR="005414FE">
        <w:rPr>
          <w:rFonts w:ascii="Times New Roman" w:eastAsia="Times New Roman" w:hAnsi="Times New Roman" w:cs="Times New Roman"/>
          <w:sz w:val="24"/>
          <w:szCs w:val="20"/>
        </w:rPr>
        <w:t>saskaņā</w:t>
      </w:r>
      <w:r w:rsidR="00846B1F">
        <w:rPr>
          <w:rFonts w:ascii="Times New Roman" w:eastAsia="Times New Roman" w:hAnsi="Times New Roman" w:cs="Times New Roman"/>
          <w:sz w:val="24"/>
          <w:szCs w:val="20"/>
        </w:rPr>
        <w:t xml:space="preserve"> SIP noteikumiem</w:t>
      </w:r>
      <w:r w:rsidR="00D65052" w:rsidRPr="00846B1F">
        <w:rPr>
          <w:rFonts w:ascii="Times New Roman" w:eastAsia="Times New Roman" w:hAnsi="Times New Roman" w:cs="Times New Roman"/>
          <w:sz w:val="24"/>
          <w:szCs w:val="20"/>
        </w:rPr>
        <w:t>:</w:t>
      </w:r>
    </w:p>
    <w:p w14:paraId="256A4FFC" w14:textId="77777777" w:rsidR="00DF16F6" w:rsidRPr="00032403" w:rsidRDefault="00DF16F6" w:rsidP="000C5D4A">
      <w:pPr>
        <w:numPr>
          <w:ilvl w:val="0"/>
          <w:numId w:val="4"/>
        </w:numPr>
        <w:spacing w:after="0" w:line="240" w:lineRule="auto"/>
        <w:ind w:left="1134"/>
        <w:jc w:val="both"/>
        <w:rPr>
          <w:rFonts w:ascii="Times New Roman" w:eastAsia="Times New Roman" w:hAnsi="Times New Roman" w:cs="Times New Roman"/>
          <w:color w:val="000000"/>
          <w:sz w:val="24"/>
          <w:szCs w:val="24"/>
          <w:lang w:eastAsia="lv-LV"/>
        </w:rPr>
      </w:pPr>
      <w:r w:rsidRPr="00032403">
        <w:rPr>
          <w:rFonts w:ascii="Times New Roman" w:eastAsia="Times New Roman" w:hAnsi="Times New Roman" w:cs="Times New Roman"/>
          <w:b/>
          <w:color w:val="000000"/>
          <w:sz w:val="24"/>
          <w:szCs w:val="24"/>
          <w:lang w:eastAsia="lv-LV"/>
        </w:rPr>
        <w:t>Bilances nosacījums</w:t>
      </w:r>
      <w:r w:rsidRPr="00032403">
        <w:rPr>
          <w:rFonts w:ascii="Times New Roman" w:eastAsia="Times New Roman" w:hAnsi="Times New Roman" w:cs="Times New Roman"/>
          <w:color w:val="000000"/>
          <w:sz w:val="24"/>
          <w:szCs w:val="24"/>
          <w:lang w:eastAsia="lv-LV"/>
        </w:rPr>
        <w:t>. FDL paredz sabalansētu budžetu strukturālajā izteiksmē, nosakot, ka strukturālā bilance nedrīkst būt mazāka par -0,5% no IKP;</w:t>
      </w:r>
    </w:p>
    <w:p w14:paraId="3EAAD11B" w14:textId="37677B56" w:rsidR="0026238C" w:rsidRPr="00032403" w:rsidRDefault="00DF16F6" w:rsidP="000C5D4A">
      <w:pPr>
        <w:numPr>
          <w:ilvl w:val="0"/>
          <w:numId w:val="4"/>
        </w:numPr>
        <w:spacing w:after="0" w:line="240" w:lineRule="auto"/>
        <w:ind w:left="1134"/>
        <w:jc w:val="both"/>
        <w:rPr>
          <w:rFonts w:ascii="Times New Roman" w:eastAsia="Times New Roman" w:hAnsi="Times New Roman" w:cs="Times New Roman"/>
          <w:color w:val="000000"/>
          <w:sz w:val="24"/>
          <w:szCs w:val="24"/>
          <w:lang w:eastAsia="lv-LV"/>
        </w:rPr>
      </w:pPr>
      <w:r w:rsidRPr="00032403">
        <w:rPr>
          <w:rFonts w:ascii="Times New Roman" w:eastAsia="Times New Roman" w:hAnsi="Times New Roman" w:cs="Times New Roman"/>
          <w:b/>
          <w:color w:val="000000"/>
          <w:sz w:val="24"/>
          <w:szCs w:val="24"/>
          <w:lang w:eastAsia="lv-LV"/>
        </w:rPr>
        <w:t>Izdevumu pieauguma tempa nosacījums</w:t>
      </w:r>
      <w:r w:rsidRPr="00032403">
        <w:rPr>
          <w:rFonts w:ascii="Times New Roman" w:eastAsia="Times New Roman" w:hAnsi="Times New Roman" w:cs="Times New Roman"/>
          <w:color w:val="000000"/>
          <w:sz w:val="24"/>
          <w:szCs w:val="24"/>
          <w:lang w:eastAsia="lv-LV"/>
        </w:rPr>
        <w:t>. FDL paredz, ka papildus tam, ka tiek ierobežots strukturālais deficīts, tiek noteikts arī, ka izdevumi, izslēdzot IKP deflatoru, nedrīkst augt ātrāk kā vidējais potenciālā IKP pieaugums. Jāmin, ka šim nosacījumam ir paredzēti izņēmumi saskaņā ar Padomes Regulas Nr. 1175/2011 9.pantā noteiktajām atkāpēm;</w:t>
      </w:r>
    </w:p>
    <w:p w14:paraId="21C43444" w14:textId="6C3E6DA4" w:rsidR="00723877" w:rsidRPr="00032403" w:rsidRDefault="00DF16F6" w:rsidP="000C5D4A">
      <w:pPr>
        <w:pStyle w:val="BodyTextIndent2"/>
        <w:numPr>
          <w:ilvl w:val="0"/>
          <w:numId w:val="4"/>
        </w:numPr>
        <w:spacing w:before="0" w:after="0"/>
        <w:ind w:left="1134"/>
        <w:rPr>
          <w:szCs w:val="24"/>
          <w:lang w:val="lv-LV"/>
        </w:rPr>
      </w:pPr>
      <w:r w:rsidRPr="00032403">
        <w:rPr>
          <w:b/>
          <w:color w:val="000000"/>
          <w:szCs w:val="24"/>
          <w:lang w:eastAsia="lv-LV"/>
        </w:rPr>
        <w:t>Valsts budžeta izdevumu sliekšņu noteikšana vidējā termiņā</w:t>
      </w:r>
      <w:r w:rsidRPr="00032403">
        <w:rPr>
          <w:color w:val="000000"/>
          <w:szCs w:val="24"/>
          <w:lang w:eastAsia="lv-LV"/>
        </w:rPr>
        <w:t>. FDL dod sākotnējos fiskālos rādītājus, saskaņā ar kuriem tiek izstrādāts Ietvara likums. Šajā likumā viens no būtiskākajiem rādītājiem ir valsts izdevumu sliekšņi turpmākajiem 3 gadiem. FDL nosaka, ka kā standarta nosacījums darbojas šo izdevumu sliekšņu stabilitātes nosacījums – Ietvara likuma pirmā un otrā gada izdevumu sliekšņi tiek pārmantoti no iepriekšējā Ietvara likuma otrā un trešā gada izdevumu sliekšņiem. Kā atkāpe no minētā nosacījuma – izdevumu</w:t>
      </w:r>
      <w:r w:rsidR="00882754" w:rsidRPr="00032403">
        <w:rPr>
          <w:color w:val="000000"/>
          <w:szCs w:val="24"/>
          <w:lang w:eastAsia="lv-LV"/>
        </w:rPr>
        <w:t xml:space="preserve"> </w:t>
      </w:r>
      <w:r w:rsidRPr="00032403">
        <w:rPr>
          <w:color w:val="000000"/>
          <w:szCs w:val="24"/>
          <w:lang w:eastAsia="lv-LV"/>
        </w:rPr>
        <w:t>sliekšņi netiek pārmantoti, ja sliekšņu lielums saskaņā ar atjaunotajām makroekonomiskajām prognozēm atšķiras no pārmantotajiem</w:t>
      </w:r>
      <w:r w:rsidR="00882754" w:rsidRPr="00032403">
        <w:rPr>
          <w:color w:val="000000"/>
          <w:szCs w:val="24"/>
          <w:lang w:eastAsia="lv-LV"/>
        </w:rPr>
        <w:t xml:space="preserve"> </w:t>
      </w:r>
      <w:r w:rsidRPr="00032403">
        <w:rPr>
          <w:color w:val="000000"/>
          <w:szCs w:val="24"/>
          <w:lang w:eastAsia="lv-LV"/>
        </w:rPr>
        <w:t>sliekšņiem vairāk kā par 0,1% no IKP.</w:t>
      </w:r>
      <w:r w:rsidR="00723877" w:rsidRPr="00032403">
        <w:rPr>
          <w:color w:val="000000"/>
          <w:szCs w:val="24"/>
          <w:lang w:val="lv-LV" w:eastAsia="lv-LV"/>
        </w:rPr>
        <w:t xml:space="preserve"> </w:t>
      </w:r>
    </w:p>
    <w:p w14:paraId="1BA3D5AE" w14:textId="6D664A0A" w:rsidR="001E5D9F" w:rsidRPr="001E5D9F" w:rsidRDefault="00154249" w:rsidP="001E5D9F">
      <w:pPr>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Fiskālo</w:t>
      </w:r>
      <w:r w:rsidR="000D2789" w:rsidRPr="000D2789">
        <w:rPr>
          <w:rFonts w:ascii="Times New Roman" w:eastAsia="Times New Roman" w:hAnsi="Times New Roman" w:cs="Times New Roman"/>
          <w:sz w:val="24"/>
          <w:szCs w:val="20"/>
        </w:rPr>
        <w:t xml:space="preserve"> nosacījumu ieviešanā Latvijas nacionālajā likumdošanā iesaistās </w:t>
      </w:r>
      <w:r w:rsidR="00795349">
        <w:rPr>
          <w:rFonts w:ascii="Times New Roman" w:eastAsia="Times New Roman" w:hAnsi="Times New Roman" w:cs="Times New Roman"/>
          <w:sz w:val="24"/>
          <w:szCs w:val="20"/>
        </w:rPr>
        <w:t>EK</w:t>
      </w:r>
      <w:r w:rsidR="000D2789" w:rsidRPr="000D2789">
        <w:rPr>
          <w:rFonts w:ascii="Times New Roman" w:eastAsia="Times New Roman" w:hAnsi="Times New Roman" w:cs="Times New Roman"/>
          <w:sz w:val="24"/>
          <w:szCs w:val="20"/>
        </w:rPr>
        <w:t xml:space="preserve">, kas izriet no Līguma 8.panta 1.punkta, kurš paredz, ka </w:t>
      </w:r>
      <w:r w:rsidR="00795349">
        <w:rPr>
          <w:rFonts w:ascii="Times New Roman" w:eastAsia="Times New Roman" w:hAnsi="Times New Roman" w:cs="Times New Roman"/>
          <w:sz w:val="24"/>
          <w:szCs w:val="20"/>
        </w:rPr>
        <w:t>EK</w:t>
      </w:r>
      <w:r w:rsidR="000D2789" w:rsidRPr="000D2789">
        <w:rPr>
          <w:rFonts w:ascii="Times New Roman" w:eastAsia="Times New Roman" w:hAnsi="Times New Roman" w:cs="Times New Roman"/>
          <w:sz w:val="24"/>
          <w:szCs w:val="20"/>
        </w:rPr>
        <w:t xml:space="preserve"> ir aicināta laikus iesniegt Līgumslēdzējai pusei ziņojumu par noteikumiem, kurus katra no tām pieņēmusi. </w:t>
      </w:r>
      <w:r w:rsidR="00795349">
        <w:rPr>
          <w:rFonts w:ascii="Times New Roman" w:eastAsia="Times New Roman" w:hAnsi="Times New Roman" w:cs="Times New Roman"/>
          <w:sz w:val="24"/>
          <w:szCs w:val="20"/>
        </w:rPr>
        <w:t>EK</w:t>
      </w:r>
      <w:r w:rsidR="000D2789" w:rsidRPr="000D2789">
        <w:rPr>
          <w:rFonts w:ascii="Times New Roman" w:eastAsia="Times New Roman" w:hAnsi="Times New Roman" w:cs="Times New Roman"/>
          <w:sz w:val="24"/>
          <w:szCs w:val="20"/>
        </w:rPr>
        <w:t xml:space="preserve"> uzdevums ir uzraudzīt kā katra Līgumslēdzēja puse ir ieviesusi Fiskālā kompakta nosacījumus nacionālajā likumdošanā. </w:t>
      </w:r>
      <w:r w:rsidR="001E5D9F" w:rsidRPr="001E5D9F">
        <w:rPr>
          <w:rFonts w:ascii="Times New Roman" w:eastAsia="Times New Roman" w:hAnsi="Times New Roman" w:cs="Times New Roman"/>
          <w:sz w:val="24"/>
          <w:szCs w:val="20"/>
        </w:rPr>
        <w:t xml:space="preserve">Latvijas gadījumā EK lūdza papildus skaidrojumus par termina </w:t>
      </w:r>
      <w:r w:rsidR="001E5D9F" w:rsidRPr="001E5D9F">
        <w:rPr>
          <w:rFonts w:ascii="Times New Roman" w:hAnsi="Times New Roman"/>
          <w:sz w:val="24"/>
          <w:szCs w:val="24"/>
        </w:rPr>
        <w:t>“dabas vai sociālie procesi” interpretāciju un “</w:t>
      </w:r>
      <w:r w:rsidR="001E5D9F" w:rsidRPr="001E5D9F">
        <w:rPr>
          <w:rFonts w:ascii="Times New Roman" w:hAnsi="Times New Roman"/>
          <w:i/>
          <w:sz w:val="24"/>
          <w:szCs w:val="24"/>
        </w:rPr>
        <w:t>Comply-or-explain</w:t>
      </w:r>
      <w:r w:rsidR="001E5D9F" w:rsidRPr="001E5D9F">
        <w:rPr>
          <w:rFonts w:ascii="Times New Roman" w:hAnsi="Times New Roman"/>
          <w:sz w:val="24"/>
          <w:szCs w:val="24"/>
        </w:rPr>
        <w:t>” principa ievērošanu.</w:t>
      </w:r>
    </w:p>
    <w:p w14:paraId="77492356" w14:textId="77777777" w:rsidR="001E5D9F" w:rsidRDefault="001E5D9F" w:rsidP="001E5D9F">
      <w:pPr>
        <w:spacing w:after="0" w:line="240" w:lineRule="auto"/>
        <w:ind w:firstLine="567"/>
        <w:jc w:val="both"/>
        <w:rPr>
          <w:rFonts w:ascii="Times New Roman" w:hAnsi="Times New Roman"/>
          <w:bCs/>
          <w:sz w:val="24"/>
          <w:szCs w:val="24"/>
        </w:rPr>
      </w:pPr>
      <w:r w:rsidRPr="001E5D9F">
        <w:rPr>
          <w:rFonts w:ascii="Times New Roman" w:hAnsi="Times New Roman"/>
          <w:bCs/>
          <w:sz w:val="24"/>
          <w:szCs w:val="24"/>
        </w:rPr>
        <w:t xml:space="preserve">2017.gada 22.februārī tika publicēts EK ziņojums, kurā secināts, ka Latvijas nacionālie fiskālie nosacījumi ir saskaņā ar </w:t>
      </w:r>
      <w:r w:rsidRPr="001E5D9F">
        <w:rPr>
          <w:rFonts w:ascii="Times New Roman" w:eastAsia="Times New Roman" w:hAnsi="Times New Roman" w:cs="Times New Roman"/>
          <w:sz w:val="24"/>
          <w:szCs w:val="20"/>
        </w:rPr>
        <w:t>Līguma 3.panta 2.punkta prasībām, ņemot vērā arī Latvijas sniegtos skaidrojumus par EK norādītajām neskaidrībām.</w:t>
      </w:r>
    </w:p>
    <w:p w14:paraId="1585271B" w14:textId="77777777" w:rsidR="00AC646D" w:rsidRPr="00436C53" w:rsidRDefault="00AC646D" w:rsidP="00F758A2">
      <w:pPr>
        <w:pStyle w:val="BodyTextIndent2"/>
        <w:spacing w:before="0" w:after="0" w:line="276" w:lineRule="auto"/>
        <w:ind w:firstLine="0"/>
        <w:rPr>
          <w:szCs w:val="24"/>
          <w:lang w:val="lv-LV"/>
        </w:rPr>
      </w:pPr>
    </w:p>
    <w:p w14:paraId="67682D7D" w14:textId="77777777" w:rsidR="00A34463" w:rsidRPr="00F51615" w:rsidRDefault="00A34463" w:rsidP="001F01DA">
      <w:pPr>
        <w:pStyle w:val="Heading2"/>
        <w:numPr>
          <w:ilvl w:val="1"/>
          <w:numId w:val="1"/>
        </w:numPr>
        <w:spacing w:before="240" w:after="120"/>
        <w:ind w:left="709"/>
        <w:rPr>
          <w:rFonts w:ascii="Times New Roman" w:hAnsi="Times New Roman" w:cs="Times New Roman"/>
          <w:sz w:val="24"/>
        </w:rPr>
      </w:pPr>
      <w:bookmarkStart w:id="37" w:name="_Toc479331111"/>
      <w:r w:rsidRPr="00F51615">
        <w:rPr>
          <w:rFonts w:ascii="Times New Roman" w:hAnsi="Times New Roman" w:cs="Times New Roman"/>
          <w:sz w:val="24"/>
        </w:rPr>
        <w:t>Vidēja termiņa budžeta plānošana</w:t>
      </w:r>
      <w:bookmarkEnd w:id="37"/>
    </w:p>
    <w:p w14:paraId="1EDE681E" w14:textId="2AFB9658" w:rsidR="000A334F" w:rsidRPr="000A334F" w:rsidRDefault="000A334F" w:rsidP="00711F13">
      <w:pPr>
        <w:pStyle w:val="BodyTextIndent2"/>
        <w:spacing w:before="0" w:after="0"/>
        <w:rPr>
          <w:szCs w:val="24"/>
        </w:rPr>
      </w:pPr>
      <w:r w:rsidRPr="000A334F">
        <w:rPr>
          <w:szCs w:val="24"/>
        </w:rPr>
        <w:t xml:space="preserve">Atbilstoši LBFV vidēja termiņa valsts budžeta plānošana ir process, kurā tiek noteikti pieejamie resursi vidējam termiņam un nodrošināta šo resursu izlietošana atbilstoši valdības noteiktajām prioritātēm. Vidējs termiņš </w:t>
      </w:r>
      <w:r w:rsidR="003E2559">
        <w:rPr>
          <w:szCs w:val="24"/>
        </w:rPr>
        <w:t>–</w:t>
      </w:r>
      <w:r w:rsidRPr="000A334F">
        <w:rPr>
          <w:szCs w:val="24"/>
        </w:rPr>
        <w:t xml:space="preserve"> triju gadu periods, ko veido saimnieciskais gads, kuram plāno valsts budžetu, un tam sekojošie divi saimnieciskie gadi. </w:t>
      </w:r>
    </w:p>
    <w:p w14:paraId="554CF6DA" w14:textId="77777777" w:rsidR="000A334F" w:rsidRPr="000A334F" w:rsidRDefault="000A334F" w:rsidP="00711F13">
      <w:pPr>
        <w:pStyle w:val="BodyTextIndent2"/>
        <w:spacing w:before="0" w:after="0"/>
        <w:rPr>
          <w:szCs w:val="24"/>
        </w:rPr>
      </w:pPr>
      <w:r w:rsidRPr="000A334F">
        <w:rPr>
          <w:szCs w:val="24"/>
        </w:rPr>
        <w:t xml:space="preserve">Kopš 2007.gada valstī tika sagatavots Ietvars nākamajiem trijiem saimnieciskajiem gadiem, iekļaujot tajā vidēja termiņa valsts makroekonomiskās situācijas analīzi, valdības fiskālās politikas mērķus vidējam termiņam, valsts budžeta ieņēmumu prognozes un maksimāli pieļaujamo valsts budžeta kopējo izdevumu apjomu katrai ministrijai un citām centrālajām valsts iestādēm vidējam termiņam. Ņemot vērā, ka Ietvaram nebija juridiski saistošs raksturs </w:t>
      </w:r>
      <w:r w:rsidRPr="000A334F">
        <w:rPr>
          <w:szCs w:val="24"/>
        </w:rPr>
        <w:lastRenderedPageBreak/>
        <w:t xml:space="preserve">un tas tikai indikatīvi norādīja maksimāli pieļaujamo valsts budžeta kopējo izdevumu apjomu vidējam termiņam, radās nepieciešamība nostiprināt vidējā termiņa budžeta plānošanas sistēmu. Līdz ar to tika veikti attiecīgi grozījumi LBFV un, sākot ar 2012.gada 1.janvāri, Ietvaru, ko kopš 2007.gada tika apstiprinājis MK, sāka izstrādāt likuma formā kā Ietvara likumu, kuru apstiprina Saeima. Tādējādi Ietvara likumā iekļautajiem sasniedzamajiem finanšu rādītājiem ir juridiski saistošs spēks un uz tiem ir jābalstās gadskārtējā valsts budžeta likuma izstrādāšanā, kā arī turpmāko Ietvara likumu izstrādāšanā. </w:t>
      </w:r>
    </w:p>
    <w:p w14:paraId="04A6ECA1" w14:textId="77777777" w:rsidR="000A334F" w:rsidRPr="000A334F" w:rsidRDefault="000A334F" w:rsidP="00711F13">
      <w:pPr>
        <w:pStyle w:val="BodyTextIndent2"/>
        <w:spacing w:before="0" w:after="0"/>
        <w:rPr>
          <w:szCs w:val="24"/>
        </w:rPr>
      </w:pPr>
      <w:r w:rsidRPr="000A334F">
        <w:rPr>
          <w:szCs w:val="24"/>
        </w:rPr>
        <w:t xml:space="preserve">Ietvara likumu izstrādā katru gadu nākamo triju gadu periodam, pie tam katra nākamā Ietvara likuma perioda pirmajam un otrajam gadam tiek izmantoti iepriekšējā Ietvara likumā noteiktie rādītāji, kas precizēti atbilstoši normatīvajos aktos noteiktajiem gadījumiem, savukārt trešajā gadā plānotie rādītāji ir jauni. Turklāt Ietvara likums tiek sasaistīts ar attīstības plānošanas dokumentiem, nodrošinot pieejamo resursu sasaisti ar valdības politikas prioritātēm vidējā termiņā un tas pakļaujas FDL noteiktajiem fiskālajiem nosacījumiem, nodrošinot pārredzamu un atbildīgu fiskālo politiku. Tādējādi Ietvara likums ir galvenais instruments fiskālās disciplīnas ievērošanā. </w:t>
      </w:r>
    </w:p>
    <w:p w14:paraId="12D09164" w14:textId="6C5CE4DC" w:rsidR="000A334F" w:rsidRPr="000A334F" w:rsidRDefault="000A334F" w:rsidP="00711F13">
      <w:pPr>
        <w:pStyle w:val="BodyTextIndent2"/>
        <w:spacing w:before="0" w:after="0"/>
        <w:rPr>
          <w:szCs w:val="24"/>
        </w:rPr>
      </w:pPr>
      <w:r w:rsidRPr="000A334F">
        <w:rPr>
          <w:szCs w:val="24"/>
        </w:rPr>
        <w:tab/>
        <w:t xml:space="preserve">Ietvara likuma darbības perioda pirmais gads tiek detalizēti izvērsts gadskārtējā valsts budžeta likumā. Ietvara likumā katram likuma perioda gadam tiek norādīti vidēja termiņa budžeta mērķi un Nacionālajā attīstības plānā noteiktie prioritārie attīstības virzieni, valdības fiskālās politikas mērķu formulējums, maksimāli pieļaujamais valsts budžeta izdevumu kopapjoms (arī izdevumu kopapjoms katram budžeta resoram), </w:t>
      </w:r>
      <w:r w:rsidR="008B2FEA">
        <w:rPr>
          <w:szCs w:val="24"/>
          <w:lang w:val="lv-LV"/>
        </w:rPr>
        <w:t>IKP</w:t>
      </w:r>
      <w:r w:rsidRPr="000A334F">
        <w:rPr>
          <w:szCs w:val="24"/>
        </w:rPr>
        <w:t xml:space="preserve"> prognozes, valsts budžeta ieņēmumu prognozes, valsts budžeta finansiālās bilances apjoms (maksimālais deficīta līmenis un vai minimālais pārpalikuma līmenis). Pirmais Saeimas apstiprinātais Ietva</w:t>
      </w:r>
      <w:r w:rsidR="003E2559">
        <w:rPr>
          <w:szCs w:val="24"/>
        </w:rPr>
        <w:t>ra likums tika izstrādāts 2013.</w:t>
      </w:r>
      <w:r w:rsidR="003E2559">
        <w:rPr>
          <w:szCs w:val="24"/>
          <w:lang w:val="lv-LV"/>
        </w:rPr>
        <w:t>-</w:t>
      </w:r>
      <w:r w:rsidRPr="000A334F">
        <w:rPr>
          <w:szCs w:val="24"/>
        </w:rPr>
        <w:t xml:space="preserve">2015.gadu periodam, savukārt paskaidrojumus Ietvara likumam sāka pievienot, gatavojot </w:t>
      </w:r>
      <w:r w:rsidR="003E2559">
        <w:rPr>
          <w:szCs w:val="24"/>
          <w:lang w:val="lv-LV"/>
        </w:rPr>
        <w:t>Ietvara likumu 2014.-2016.gadam</w:t>
      </w:r>
      <w:r w:rsidRPr="000A334F">
        <w:rPr>
          <w:szCs w:val="24"/>
        </w:rPr>
        <w:t xml:space="preserve">. Turklāt atbilstoši FDL nosacījumiem vienlaikus ar </w:t>
      </w:r>
      <w:r w:rsidR="003E2559">
        <w:rPr>
          <w:szCs w:val="24"/>
          <w:lang w:val="lv-LV"/>
        </w:rPr>
        <w:t>Ietvara likumu 2015.-2017.gadam</w:t>
      </w:r>
      <w:r w:rsidRPr="000A334F">
        <w:rPr>
          <w:szCs w:val="24"/>
        </w:rPr>
        <w:t xml:space="preserve"> tika pirmo reizi izstrādāta Fiskālo risku deklarācija, kuras mērķis ir nodrošināt fiskālo risku vispārēju vadību, kā arī fiskālo rādītāju stabilitāti vidējā termiņā. </w:t>
      </w:r>
    </w:p>
    <w:p w14:paraId="666665F1" w14:textId="77777777" w:rsidR="000A334F" w:rsidRPr="000A334F" w:rsidRDefault="000A334F" w:rsidP="00711F13">
      <w:pPr>
        <w:pStyle w:val="BodyTextIndent2"/>
        <w:spacing w:before="0" w:after="0"/>
        <w:rPr>
          <w:szCs w:val="24"/>
        </w:rPr>
      </w:pPr>
      <w:r w:rsidRPr="000A334F">
        <w:rPr>
          <w:szCs w:val="24"/>
        </w:rPr>
        <w:t>Saskaņā ar normatīvajos aktos noteiktajiem termiņiem, Ietvara likumprojektu 2016.-2018.gadam un likumprojektu “Par valsts budžetu 2016.gadam” Saeima apstiprināja 2015.gada 30.novembrī.</w:t>
      </w:r>
    </w:p>
    <w:p w14:paraId="0161CCBC" w14:textId="6E32B97B" w:rsidR="000A334F" w:rsidRPr="000A334F" w:rsidRDefault="000A334F" w:rsidP="00711F13">
      <w:pPr>
        <w:pStyle w:val="BodyTextIndent2"/>
        <w:spacing w:before="0" w:after="0"/>
        <w:rPr>
          <w:szCs w:val="24"/>
        </w:rPr>
      </w:pPr>
      <w:r w:rsidRPr="000A334F">
        <w:rPr>
          <w:szCs w:val="24"/>
        </w:rPr>
        <w:t xml:space="preserve">Attiecībā uz vidēja termiņa mērķiem un iniciatīvām LBFV ir noteikts, ka ministrijas un citas centrālās valsts iestādes sagatavo priekšlikumus JPI, ja attiecīgajos nākamajos saimnieciskajos gados atbilstoši aktuālākajām makroekonomiskās attīstības prognozēm būs pieejami līdzekļi JPI finansēšanai. Priekšlikumus JPI iesniedz </w:t>
      </w:r>
      <w:r w:rsidR="00C26791">
        <w:rPr>
          <w:szCs w:val="24"/>
          <w:lang w:val="lv-LV"/>
        </w:rPr>
        <w:t>I</w:t>
      </w:r>
      <w:r w:rsidRPr="000A334F">
        <w:rPr>
          <w:szCs w:val="24"/>
        </w:rPr>
        <w:t xml:space="preserve">etvara likuma projekta un gadskārtējā valsts budžeta likuma projekta izstrādes un iesniegšanas grafikā noteiktajā termiņā. Priekšlikumus JPI gatavo, pamatojoties uz </w:t>
      </w:r>
      <w:r w:rsidR="005C55BA">
        <w:rPr>
          <w:szCs w:val="24"/>
          <w:lang w:val="lv-LV"/>
        </w:rPr>
        <w:t>NAP 2020</w:t>
      </w:r>
      <w:r w:rsidRPr="000A334F">
        <w:rPr>
          <w:szCs w:val="24"/>
        </w:rPr>
        <w:t>, Valsts aizsardzības koncepcijā un citos attīstības plānošanas dokumentos noteiktajām prioritātēm un mērķiem, tostarp ņemot vērā nepieciešamību veikt budžeta iestāžu kapacitātes (administratīvās spējas) stiprināšanas pasākumus. Tādējādi tiek nodrošināta valstī noteikto prioritāšu sasaiste ar valsts budžetā pieejamajiem resursiem vidējam termiņam.</w:t>
      </w:r>
    </w:p>
    <w:p w14:paraId="2708C43E" w14:textId="77777777" w:rsidR="001F01DA" w:rsidRPr="00F51615" w:rsidRDefault="001F01DA" w:rsidP="005F6C02">
      <w:pPr>
        <w:pStyle w:val="Default"/>
        <w:spacing w:after="60"/>
        <w:ind w:firstLine="720"/>
        <w:jc w:val="both"/>
        <w:rPr>
          <w:rFonts w:eastAsiaTheme="majorEastAsia"/>
          <w:b/>
          <w:bCs/>
          <w:smallCaps/>
          <w:color w:val="000000" w:themeColor="text1"/>
          <w:szCs w:val="28"/>
        </w:rPr>
      </w:pPr>
    </w:p>
    <w:p w14:paraId="1361576F" w14:textId="77777777" w:rsidR="00A34463" w:rsidRDefault="00A34463" w:rsidP="001F01DA">
      <w:pPr>
        <w:pStyle w:val="Heading2"/>
        <w:numPr>
          <w:ilvl w:val="1"/>
          <w:numId w:val="1"/>
        </w:numPr>
        <w:spacing w:before="240" w:after="120"/>
        <w:ind w:left="709"/>
        <w:rPr>
          <w:rFonts w:ascii="Times New Roman" w:hAnsi="Times New Roman" w:cs="Times New Roman"/>
          <w:sz w:val="24"/>
        </w:rPr>
      </w:pPr>
      <w:bookmarkStart w:id="38" w:name="_Toc479331112"/>
      <w:r w:rsidRPr="00F51615">
        <w:rPr>
          <w:rFonts w:ascii="Times New Roman" w:hAnsi="Times New Roman" w:cs="Times New Roman"/>
          <w:sz w:val="24"/>
        </w:rPr>
        <w:t>Budžeta procedūras, t.sk. valsts finanšu statistikas pārvalde</w:t>
      </w:r>
      <w:bookmarkEnd w:id="38"/>
    </w:p>
    <w:p w14:paraId="18640422" w14:textId="77777777" w:rsidR="00551458" w:rsidRDefault="00551458" w:rsidP="001F01DA">
      <w:pPr>
        <w:pStyle w:val="Heading3"/>
        <w:numPr>
          <w:ilvl w:val="2"/>
          <w:numId w:val="1"/>
        </w:numPr>
        <w:spacing w:before="240" w:after="120" w:line="240" w:lineRule="auto"/>
        <w:ind w:left="1134" w:hanging="425"/>
        <w:rPr>
          <w:rFonts w:ascii="Times New Roman" w:hAnsi="Times New Roman" w:cs="Times New Roman"/>
          <w:sz w:val="24"/>
          <w:szCs w:val="24"/>
        </w:rPr>
      </w:pPr>
      <w:bookmarkStart w:id="39" w:name="_Toc479331113"/>
      <w:r w:rsidRPr="00551458">
        <w:rPr>
          <w:rFonts w:ascii="Times New Roman" w:hAnsi="Times New Roman" w:cs="Times New Roman"/>
          <w:sz w:val="24"/>
          <w:szCs w:val="24"/>
        </w:rPr>
        <w:t>Budžeta procedūras</w:t>
      </w:r>
      <w:bookmarkEnd w:id="39"/>
    </w:p>
    <w:p w14:paraId="2F810ED7" w14:textId="77777777" w:rsidR="000A334F" w:rsidRPr="000A334F" w:rsidRDefault="000A334F" w:rsidP="00711F13">
      <w:pPr>
        <w:pStyle w:val="BodyTextIndent2"/>
        <w:spacing w:before="0" w:after="0"/>
        <w:rPr>
          <w:szCs w:val="24"/>
        </w:rPr>
      </w:pPr>
      <w:r w:rsidRPr="000A334F">
        <w:rPr>
          <w:szCs w:val="24"/>
        </w:rPr>
        <w:t xml:space="preserve">Latvijas Republikas Satversme nosaka, ka Saeima ik gadu pirms saimnieciskā gada sākšanās lemj par valsts ienākumu un izdevumu budžetu, kura projektu tai iesniedz MK. </w:t>
      </w:r>
      <w:r w:rsidRPr="000A334F">
        <w:rPr>
          <w:b/>
          <w:szCs w:val="24"/>
        </w:rPr>
        <w:t>Gadskārtējo valsts budžeta likumu apstiprina Saeima</w:t>
      </w:r>
      <w:r w:rsidRPr="000A334F">
        <w:rPr>
          <w:szCs w:val="24"/>
        </w:rPr>
        <w:t xml:space="preserve">. </w:t>
      </w:r>
    </w:p>
    <w:p w14:paraId="05230C4D" w14:textId="77777777" w:rsidR="000A334F" w:rsidRPr="000A334F" w:rsidRDefault="000A334F" w:rsidP="00711F13">
      <w:pPr>
        <w:pStyle w:val="BodyTextIndent2"/>
        <w:spacing w:before="0" w:after="0"/>
        <w:rPr>
          <w:szCs w:val="24"/>
        </w:rPr>
      </w:pPr>
      <w:r w:rsidRPr="000A334F">
        <w:rPr>
          <w:szCs w:val="24"/>
        </w:rPr>
        <w:t xml:space="preserve">Valsts budžeta līdzekļu izdevumu plānošanā sākotnēji tiek aprēķināti un saskaņoti bāzes izdevumi. Bāzes izdevumu aprēķinu un to sasaistes principus ar Ietvara likumu nosaka MK </w:t>
      </w:r>
      <w:r w:rsidRPr="000A334F">
        <w:rPr>
          <w:szCs w:val="24"/>
        </w:rPr>
        <w:lastRenderedPageBreak/>
        <w:t>2012.gada 11.decembra noteikumi Nr.867 „Kārtība, kādā nosakāms maksimāli pieļaujamais valsts budžeta izdevumu kopapjoms un maksimāli pieļaujamais valsts budžeta izdevumu kopējais apjoms katrai ministrijai un citām centrālajām valsts iestādēm vidējam termiņam”. Tādējādi tiek noteikts nepieciešamais izdevumu apjoms, lai nodrošinātu valsts funkciju izpildi nemainīgā līmenī.</w:t>
      </w:r>
    </w:p>
    <w:p w14:paraId="2C9B904F" w14:textId="77777777" w:rsidR="000A334F" w:rsidRPr="000A334F" w:rsidRDefault="000A334F" w:rsidP="00711F13">
      <w:pPr>
        <w:pStyle w:val="BodyTextIndent2"/>
        <w:spacing w:before="0" w:after="0"/>
        <w:rPr>
          <w:szCs w:val="24"/>
        </w:rPr>
      </w:pPr>
      <w:r w:rsidRPr="000A334F">
        <w:rPr>
          <w:szCs w:val="24"/>
        </w:rPr>
        <w:t>Kopš 2016.gada kā budžeta procesa sastāvdaļa ir ieviesta pastāvīga un sistemātiska valsts budžeta izdevumu pārskatīšana, par kuru plašāka informācija ir sniegta 6.1.sadaļā.</w:t>
      </w:r>
    </w:p>
    <w:p w14:paraId="66FBF23A" w14:textId="77777777" w:rsidR="000A334F" w:rsidRPr="000A334F" w:rsidRDefault="000A334F" w:rsidP="00711F13">
      <w:pPr>
        <w:pStyle w:val="BodyTextIndent2"/>
        <w:spacing w:before="0" w:after="0"/>
        <w:rPr>
          <w:szCs w:val="24"/>
        </w:rPr>
      </w:pPr>
      <w:r w:rsidRPr="000A334F">
        <w:rPr>
          <w:szCs w:val="24"/>
        </w:rPr>
        <w:t xml:space="preserve">Aprēķinot maksimāli pieļaujamo valsts budžeta izdevumu kopapjomu, kas sastāv no valsts pamatbudžeta un valsts speciālā budžeta bāzes izdevumiem un valsts pamatbudžeta un valsts speciālā budžeta attīstības izdevumiem, ja MK ir pieņemts lēmums par JPI, FM pamatojas uz Ietvara likumu, prognozēm par makroekonomisko attīstību, kā arī ievēro valstī noteiktos fiskālos nosacījumus. </w:t>
      </w:r>
    </w:p>
    <w:p w14:paraId="6A887881" w14:textId="77777777" w:rsidR="000A334F" w:rsidRPr="000A334F" w:rsidRDefault="000A334F" w:rsidP="00711F13">
      <w:pPr>
        <w:pStyle w:val="BodyTextIndent2"/>
        <w:spacing w:before="0" w:after="0"/>
        <w:rPr>
          <w:szCs w:val="24"/>
        </w:rPr>
      </w:pPr>
      <w:r w:rsidRPr="000A334F">
        <w:rPr>
          <w:szCs w:val="24"/>
        </w:rPr>
        <w:t xml:space="preserve">Pamatojoties uz MK apstiprināto maksimāli pieļaujamo izdevumu apjomu katram budžeta resoram, ministrijas un citas centrālās valsts iestādes izstrādā un iesniedz FM budžeta pieprasījumus saskaņā ar MK 2012.gada 31.jūlija noteikumiem Nr.523 „Noteikumi par budžeta pieprasījumu izstrādāšanas un iesniegšanas pamatprincipiem”. Noteikumi nosaka vienotus budžeta programmu veidošanas principus, valsts pamatbudžeta un valsts speciālā budžeta pieprasījumu sagatavošanas pamatprincipus, kā arī budžeta pieprasījuma sastāvu. </w:t>
      </w:r>
    </w:p>
    <w:p w14:paraId="1083DA1D" w14:textId="77777777" w:rsidR="000A334F" w:rsidRPr="000A334F" w:rsidRDefault="000A334F" w:rsidP="00711F13">
      <w:pPr>
        <w:pStyle w:val="BodyTextIndent2"/>
        <w:spacing w:before="0" w:after="0"/>
        <w:rPr>
          <w:szCs w:val="24"/>
        </w:rPr>
      </w:pPr>
      <w:r w:rsidRPr="000A334F">
        <w:rPr>
          <w:szCs w:val="24"/>
        </w:rPr>
        <w:t xml:space="preserve">Lai nodrošinātu sabiedrībai uzskatāmu priekšstatu par to, kādi resursi ir iesaistīti valsts pamatfunkciju īstenošanā, un kādi – ES un citu ārvalstu politiku instrumentu pasākumu ieviešanā, budžets tiek sagatavots šādās sadaļās: </w:t>
      </w:r>
    </w:p>
    <w:p w14:paraId="2D533792"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Valsts pamatfunkciju īstenošana (izņemot ES politiku instrumentu un pārējās ārvalstu finanšu palīdzības līdzfinansētos un finansētos projektus un pasākumus); </w:t>
      </w:r>
    </w:p>
    <w:p w14:paraId="288DE1A2" w14:textId="26F2F033" w:rsidR="000A334F" w:rsidRPr="000A334F" w:rsidRDefault="000A334F" w:rsidP="000C5D4A">
      <w:pPr>
        <w:pStyle w:val="Default"/>
        <w:numPr>
          <w:ilvl w:val="0"/>
          <w:numId w:val="6"/>
        </w:numPr>
        <w:ind w:left="1418" w:hanging="357"/>
        <w:jc w:val="both"/>
        <w:rPr>
          <w:color w:val="auto"/>
          <w:szCs w:val="28"/>
        </w:rPr>
      </w:pPr>
      <w:r w:rsidRPr="000A334F">
        <w:rPr>
          <w:color w:val="auto"/>
          <w:szCs w:val="28"/>
        </w:rPr>
        <w:t>ES politiku instrumentu un pārējās ārvalstu finanšu palīdzības līdzfinansēto un finansēto projektu un pasākumu īstenošana.</w:t>
      </w:r>
    </w:p>
    <w:p w14:paraId="6615D84B" w14:textId="77777777" w:rsidR="000A334F" w:rsidRPr="000A334F" w:rsidRDefault="000A334F" w:rsidP="00711F13">
      <w:pPr>
        <w:pStyle w:val="Default"/>
        <w:ind w:firstLine="720"/>
        <w:jc w:val="both"/>
        <w:rPr>
          <w:color w:val="auto"/>
          <w:lang w:val="x-none" w:eastAsia="x-none"/>
        </w:rPr>
      </w:pPr>
      <w:r w:rsidRPr="000A334F">
        <w:rPr>
          <w:color w:val="auto"/>
          <w:lang w:val="x-none" w:eastAsia="x-none"/>
        </w:rPr>
        <w:t xml:space="preserve">Valsts budžeta pieprasījumus ministrijas un citas centrālās valsts iestādes izstrādā un iesniedz FM saskaņā ar Ietvara likuma projekta un gadskārtējā valsts budžeta likuma projekta izstrādes un iesniegšanas grafiku, kuru atbilstoši LBFV finanšu ministrs iesniedz MK. </w:t>
      </w:r>
    </w:p>
    <w:p w14:paraId="6F17AA48" w14:textId="77777777" w:rsidR="000A334F" w:rsidRPr="000A334F" w:rsidRDefault="000A334F" w:rsidP="00711F13">
      <w:pPr>
        <w:pStyle w:val="Default"/>
        <w:ind w:firstLine="720"/>
        <w:jc w:val="both"/>
        <w:rPr>
          <w:color w:val="auto"/>
          <w:lang w:val="x-none" w:eastAsia="x-none"/>
        </w:rPr>
      </w:pPr>
      <w:r w:rsidRPr="000A334F">
        <w:rPr>
          <w:color w:val="auto"/>
          <w:lang w:val="x-none" w:eastAsia="x-none"/>
        </w:rPr>
        <w:t xml:space="preserve">Gadskārtējā valsts budžeta likumprojekta sagatavošanas procesā tiek kompleksi vērtēti un pēc tam atspoguļoti valsts budžeta likumā šādi rādītāji: </w:t>
      </w:r>
    </w:p>
    <w:p w14:paraId="79EC81B7"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valsts budžeta ieņēmumi sadalījumā pa ieņēmumu veidiem (sadalījumā pa atbildīgajām ministrijām); </w:t>
      </w:r>
    </w:p>
    <w:p w14:paraId="01394989"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valsts budžeta izdevumi sadalījumā pa programmām (apakšprogrammām) un izdevumu veidiem atbilstoši ekonomiskajai būtībai; </w:t>
      </w:r>
    </w:p>
    <w:p w14:paraId="0DC6D095"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valsts budžeta finansiālā bilance; </w:t>
      </w:r>
    </w:p>
    <w:p w14:paraId="1F3CA65E"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maksimālais valsts parāda maksimāli pieļaujamais apjoms saimnieciskā gada beigās; </w:t>
      </w:r>
    </w:p>
    <w:p w14:paraId="74C73900"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valsts vārdā izsniedzamo galvojumu apmērs; </w:t>
      </w:r>
    </w:p>
    <w:p w14:paraId="19E2BD2F"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valsts budžeta aizdevumu kopējais palielinājums; </w:t>
      </w:r>
    </w:p>
    <w:p w14:paraId="2A807FD4"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valsts budžeta mērķdotāciju apmērs pašvaldībām, kā arī valsts budžeta dotācijas apmērs pašvaldību finanšu izlīdzināšanas fondam; </w:t>
      </w:r>
    </w:p>
    <w:p w14:paraId="1EB4B3FF" w14:textId="77777777"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pašvaldību aizņēmumu kopējais palielinājums un pašvaldību sniegto galvojumu kopējais palielinājums; </w:t>
      </w:r>
    </w:p>
    <w:p w14:paraId="1D61EB0E" w14:textId="0B9086DF" w:rsidR="000A334F" w:rsidRPr="000A334F" w:rsidRDefault="000A334F" w:rsidP="000C5D4A">
      <w:pPr>
        <w:pStyle w:val="Default"/>
        <w:numPr>
          <w:ilvl w:val="0"/>
          <w:numId w:val="6"/>
        </w:numPr>
        <w:ind w:left="1418" w:hanging="357"/>
        <w:jc w:val="both"/>
        <w:rPr>
          <w:color w:val="auto"/>
          <w:szCs w:val="28"/>
        </w:rPr>
      </w:pPr>
      <w:r w:rsidRPr="000A334F">
        <w:rPr>
          <w:color w:val="auto"/>
          <w:szCs w:val="28"/>
        </w:rPr>
        <w:t xml:space="preserve">citi nosacījumi, piemēram, valsts fondēto pensiju shēmas iemaksu likme un iemaksu summa. </w:t>
      </w:r>
    </w:p>
    <w:p w14:paraId="5083275D" w14:textId="77777777" w:rsidR="000A334F" w:rsidRDefault="000A334F" w:rsidP="00711F13">
      <w:pPr>
        <w:pStyle w:val="BodyTextIndent2"/>
        <w:spacing w:before="0" w:after="0"/>
        <w:rPr>
          <w:szCs w:val="24"/>
        </w:rPr>
      </w:pPr>
      <w:r w:rsidRPr="000A334F">
        <w:rPr>
          <w:szCs w:val="24"/>
        </w:rPr>
        <w:t xml:space="preserve">Gadskārtējā valsts budžeta likumprojekta paskaidrojumos tiek ietverts makroekonomiskās attīstības scenārija apraksts, fiskālais apskats, ieņēmumu prognožu analīze, valsts budžeta izdevumu plānošanas būtiskākie elementi, budžeta programmu paskaidrojumi, valsts budžeta izdevumi funkcionālajā, administratīvajā un ekonomisko kategoriju sadalījumā, </w:t>
      </w:r>
      <w:r w:rsidRPr="000A334F">
        <w:rPr>
          <w:szCs w:val="24"/>
        </w:rPr>
        <w:lastRenderedPageBreak/>
        <w:t>kā arī informācija par plānotajiem investīciju projektiem, informācija par valsts finansiālajām saistībām (kopsavilkums), kā arī informācija par budžeta likumprojektu paketes ietvaros veiktajiem grozījumiem normatīvajos aktos. Katrai valsts budžeta likumprojektā ietvertajai pamatbudžeta vai speciālā budžeta programmai (apakšprogrammai) budžeta paskaidrojumi tiek sagatavoti atsevišķā sadaļā, kas satur informāciju par programmas (apakšprogrammas) mērķiem, galvenajām aktivitātēm un institūcijām, kas nodrošinās programmas (apakšprogrammas) izpildi, darbības rezultātiem un to rezultatīvajiem rādītājiem, papildus piešķirto finansējumu JPI realizācijai, finansiāliem rādītājiem un kopējo izdevumu izmaiņām. Tāpat paskaidrojumos ir pieejama arī informācija par vidējo amata vietu skaitu un atlīdzību budžeta resorā.</w:t>
      </w:r>
    </w:p>
    <w:p w14:paraId="49168011" w14:textId="1A9903CA" w:rsidR="000A334F" w:rsidRPr="001E4063" w:rsidRDefault="000A334F" w:rsidP="00711F13">
      <w:pPr>
        <w:pStyle w:val="BodyTextIndent2"/>
        <w:spacing w:before="0" w:after="0"/>
        <w:rPr>
          <w:szCs w:val="24"/>
        </w:rPr>
      </w:pPr>
      <w:r w:rsidRPr="001E4063">
        <w:rPr>
          <w:szCs w:val="24"/>
        </w:rPr>
        <w:t xml:space="preserve">Valsts budžeta likumprojekta izstrādes gaitā notiek </w:t>
      </w:r>
      <w:r w:rsidR="003E2559">
        <w:rPr>
          <w:szCs w:val="24"/>
          <w:lang w:val="lv-LV"/>
        </w:rPr>
        <w:t>LPS</w:t>
      </w:r>
      <w:r w:rsidRPr="001E4063">
        <w:rPr>
          <w:szCs w:val="24"/>
        </w:rPr>
        <w:t xml:space="preserve"> un </w:t>
      </w:r>
      <w:r w:rsidR="001E4063" w:rsidRPr="001E4063">
        <w:rPr>
          <w:szCs w:val="24"/>
        </w:rPr>
        <w:t>FM</w:t>
      </w:r>
      <w:r w:rsidRPr="001E4063">
        <w:rPr>
          <w:szCs w:val="24"/>
        </w:rPr>
        <w:t xml:space="preserve"> sarunas, kuru rezultātā tiek sagatavots </w:t>
      </w:r>
      <w:r w:rsidR="001E4063" w:rsidRPr="001E4063">
        <w:rPr>
          <w:szCs w:val="24"/>
        </w:rPr>
        <w:t>MK</w:t>
      </w:r>
      <w:r w:rsidRPr="001E4063">
        <w:rPr>
          <w:szCs w:val="24"/>
        </w:rPr>
        <w:t xml:space="preserve"> un </w:t>
      </w:r>
      <w:r w:rsidR="003E2559">
        <w:rPr>
          <w:szCs w:val="24"/>
          <w:lang w:val="lv-LV"/>
        </w:rPr>
        <w:t>LPS</w:t>
      </w:r>
      <w:r w:rsidRPr="001E4063">
        <w:rPr>
          <w:szCs w:val="24"/>
        </w:rPr>
        <w:t xml:space="preserve"> protokola projekts.</w:t>
      </w:r>
      <w:r w:rsidR="00882754">
        <w:rPr>
          <w:szCs w:val="24"/>
        </w:rPr>
        <w:t xml:space="preserve"> </w:t>
      </w:r>
      <w:r w:rsidRPr="001E4063">
        <w:rPr>
          <w:szCs w:val="24"/>
        </w:rPr>
        <w:t xml:space="preserve">Protokola projektā tiek iekļauti jautājumi par pašvaldību nodokļu ieņēmumu, nenodokļu ieņēmumu un citu ieņēmumu prognozēm, valsts budžeta transfertiem pašvaldībām, pašvaldību aizņēmumiem, galvojumiem, ilgtermiņa saistību apmēru un nosacījumiem, pašvaldību finanšu izlīdzināšanu, kā arī citi ar pašvaldību darbību un finansēm saistīti jautājumi. Protokola projekts tiek iesniegts izskatīšanai paplašinātajā Ministru kabineta komitejas sēdē. Saskaņā ar likumu “Par pašvaldību budžetiem” protokola projekts jāpievieno gadskārtējā valsts budžeta likumprojektam, </w:t>
      </w:r>
      <w:r w:rsidR="003E2559">
        <w:rPr>
          <w:szCs w:val="24"/>
          <w:lang w:val="lv-LV"/>
        </w:rPr>
        <w:t>MK</w:t>
      </w:r>
      <w:r w:rsidRPr="001E4063">
        <w:rPr>
          <w:szCs w:val="24"/>
        </w:rPr>
        <w:t xml:space="preserve"> to iesniedzot Saeimā. </w:t>
      </w:r>
      <w:r w:rsidR="001E4063" w:rsidRPr="001E4063">
        <w:rPr>
          <w:szCs w:val="24"/>
        </w:rPr>
        <w:t>LBFV</w:t>
      </w:r>
      <w:r w:rsidRPr="001E4063">
        <w:rPr>
          <w:szCs w:val="24"/>
        </w:rPr>
        <w:t xml:space="preserve"> paredz rīkot sarunas ar </w:t>
      </w:r>
      <w:r w:rsidR="003E2559">
        <w:rPr>
          <w:szCs w:val="24"/>
          <w:lang w:val="lv-LV"/>
        </w:rPr>
        <w:t>LPS</w:t>
      </w:r>
      <w:r w:rsidRPr="001E4063">
        <w:rPr>
          <w:szCs w:val="24"/>
        </w:rPr>
        <w:t xml:space="preserve"> arī </w:t>
      </w:r>
      <w:r w:rsidR="00C26791">
        <w:rPr>
          <w:szCs w:val="24"/>
          <w:lang w:val="lv-LV"/>
        </w:rPr>
        <w:t>I</w:t>
      </w:r>
      <w:r w:rsidRPr="001E4063">
        <w:rPr>
          <w:szCs w:val="24"/>
        </w:rPr>
        <w:t>etvara likumprojekta izstrādes gaitā par pašvaldību intereses skarošiem jautājumiem, un sarunu rezultātus protokola veidā pievieno likum</w:t>
      </w:r>
      <w:r w:rsidR="001E4063" w:rsidRPr="001E4063">
        <w:rPr>
          <w:szCs w:val="24"/>
        </w:rPr>
        <w:t>projektam, to virzot uz Saeimu.</w:t>
      </w:r>
    </w:p>
    <w:p w14:paraId="2E5AC3EC" w14:textId="77777777" w:rsidR="001E4063" w:rsidRPr="001E4063" w:rsidRDefault="000A334F" w:rsidP="00711F13">
      <w:pPr>
        <w:pStyle w:val="BodyTextIndent2"/>
        <w:spacing w:before="0" w:after="0"/>
        <w:rPr>
          <w:szCs w:val="24"/>
        </w:rPr>
      </w:pPr>
      <w:r w:rsidRPr="001E4063">
        <w:rPr>
          <w:szCs w:val="24"/>
        </w:rPr>
        <w:t>Atbilstoši likumam “Par pašvaldību budžetiem”, pašvaldības izstrādā savus budžetus ne vēlāk kā divu mēnešu laikā pēc gadskārtējā valsts budžet</w:t>
      </w:r>
      <w:r w:rsidR="001E4063" w:rsidRPr="001E4063">
        <w:rPr>
          <w:szCs w:val="24"/>
        </w:rPr>
        <w:t xml:space="preserve">a likuma izsludināšanas. </w:t>
      </w:r>
    </w:p>
    <w:p w14:paraId="36D4860F" w14:textId="6B1B0DAC" w:rsidR="000A334F" w:rsidRPr="001E4063" w:rsidRDefault="000A334F" w:rsidP="00711F13">
      <w:pPr>
        <w:pStyle w:val="BodyTextIndent2"/>
        <w:spacing w:before="0" w:after="0"/>
        <w:rPr>
          <w:szCs w:val="24"/>
        </w:rPr>
      </w:pPr>
      <w:r w:rsidRPr="001E4063">
        <w:rPr>
          <w:szCs w:val="24"/>
        </w:rPr>
        <w:t>Ja, sākoties saimnieciskajam gadam, nav stājies spēkā gadskārtējais valsts budžeta likums, finanšu ministrs apstiprina nepieciešamos valsts budžeta izdevumus pašvaldībām ar noteikumu, ka izdevumi mēnesī nepārsniedz divpadsmito daļu no iepriekšējā gada apropriācijas.</w:t>
      </w:r>
    </w:p>
    <w:p w14:paraId="1227BD1A" w14:textId="77777777" w:rsidR="000A334F" w:rsidRPr="001E4063" w:rsidRDefault="000A334F" w:rsidP="00711F13">
      <w:pPr>
        <w:pStyle w:val="BodyTextIndent2"/>
        <w:spacing w:before="0" w:after="0"/>
        <w:rPr>
          <w:szCs w:val="24"/>
        </w:rPr>
      </w:pPr>
      <w:r w:rsidRPr="001E4063">
        <w:rPr>
          <w:szCs w:val="24"/>
        </w:rPr>
        <w:t>Ja līdz saimnieciskā gada sākumam pašvaldības budžets nav apstiprināts, pašvaldības izdevumi mēnesī nedrīkst pārsniegt divpadsmito daļu no iepriekšējā gada izdevumiem ar noteikumu, ka salīdzinājumā ar iepriekšējo gadu pašvaldībai nesamazinās izpildāmo funkciju apjoms.</w:t>
      </w:r>
    </w:p>
    <w:p w14:paraId="4DBA8290" w14:textId="6CCA5DEE" w:rsidR="000A334F" w:rsidRPr="000A334F" w:rsidRDefault="000A334F" w:rsidP="00711F13">
      <w:pPr>
        <w:pStyle w:val="BodyTextIndent2"/>
        <w:spacing w:before="0" w:after="0"/>
        <w:rPr>
          <w:szCs w:val="24"/>
        </w:rPr>
      </w:pPr>
      <w:r w:rsidRPr="001E4063">
        <w:rPr>
          <w:szCs w:val="24"/>
        </w:rPr>
        <w:t>Pašvaldībām likumā “Par pašvaldību budžetiem” ir noteikti stingri nosacījumi budžeta plānošanas un izpildes jomā – pašvaldību budžeta asignējumi nedrīkst pārsniegt budžetā plānotos apjomus.</w:t>
      </w:r>
    </w:p>
    <w:p w14:paraId="1503E710" w14:textId="77777777" w:rsidR="000A334F" w:rsidRPr="00E86E44" w:rsidRDefault="000A334F" w:rsidP="00711F13">
      <w:pPr>
        <w:pStyle w:val="BodyTextIndent2"/>
        <w:spacing w:before="0" w:after="0"/>
        <w:rPr>
          <w:szCs w:val="24"/>
        </w:rPr>
      </w:pPr>
      <w:r w:rsidRPr="00E86E44">
        <w:rPr>
          <w:szCs w:val="24"/>
        </w:rPr>
        <w:t xml:space="preserve">Neatkarīgo iestāžu (tiesas, Valsts kontroles, Tiesībsarga un citas) budžeta pieprasījumiem ir īpaša loma budžeta procesā. LBFV nosaka, ka MK, sagatavojot Ietvara likuma projektu un gadskārtējā valsts budžeta likuma projektu, ir jāuzklausa neatkarīgo iestāžu viedoklis par attiecīgo iestāžu finansējuma sadaļām, jāpamato MK viedoklis finansējuma samazinājuma gadījumā, kā arī minēto sarunu rezultāti protokola veidā ir jādara zināmi likumdevējam, pievienojot tos attiecīgajiem likumprojektiem. </w:t>
      </w:r>
    </w:p>
    <w:p w14:paraId="51C40A0F" w14:textId="565247D6" w:rsidR="000A334F" w:rsidRPr="00E86E44" w:rsidRDefault="000A334F" w:rsidP="00711F13">
      <w:pPr>
        <w:pStyle w:val="BodyTextIndent2"/>
        <w:spacing w:before="0" w:after="0"/>
        <w:rPr>
          <w:szCs w:val="24"/>
        </w:rPr>
      </w:pPr>
      <w:r w:rsidRPr="00E86E44">
        <w:rPr>
          <w:szCs w:val="24"/>
        </w:rPr>
        <w:t xml:space="preserve">Ar mērķi saskaņot Ietvara likuma projekta un gadskārtējā valsts budžeta likuma projekta sagatavošanas un iesniegšanas Saeimā termiņus ar Vispārējās valdības budžeta plāna iesniegšanas </w:t>
      </w:r>
      <w:r w:rsidR="004D3BBE" w:rsidRPr="00E86E44">
        <w:rPr>
          <w:szCs w:val="24"/>
          <w:lang w:val="lv-LV"/>
        </w:rPr>
        <w:t>EK</w:t>
      </w:r>
      <w:r w:rsidRPr="00E86E44">
        <w:rPr>
          <w:szCs w:val="24"/>
        </w:rPr>
        <w:t xml:space="preserve"> termiņiem, 2016.gadā tika ieviestas izmaiņas minēto likumprojektu iesniegšanas termiņos – turpmāk MK iesniegs gadskārtējo valsts budžeta likuma projektu (budžeta likumprojektu paketi) Saeimā līdz 15.oktobrim.</w:t>
      </w:r>
    </w:p>
    <w:p w14:paraId="68C2B298" w14:textId="3BC52353" w:rsidR="000A334F" w:rsidRDefault="000A334F" w:rsidP="00711F13">
      <w:pPr>
        <w:pStyle w:val="BodyTextIndent2"/>
        <w:spacing w:before="0" w:after="0"/>
        <w:rPr>
          <w:szCs w:val="24"/>
        </w:rPr>
      </w:pPr>
      <w:r w:rsidRPr="00E86E44">
        <w:rPr>
          <w:szCs w:val="24"/>
        </w:rPr>
        <w:t>MK ir tiesības noteikt valsts un pašvaldību budžeta plānošanas un izpildes papildu nosacījumus, lai nodrošinātu makroekonomisko procesu izraisīto paaugstināto fiskālo, ekonomisko un sociālo risku ietekmes mazināšanas un novēršanas pasākumus un nodrošinātu starptautiskajās saistībās noteikto fiskālo kritēriju izpildi.</w:t>
      </w:r>
      <w:r w:rsidRPr="000A334F">
        <w:rPr>
          <w:szCs w:val="24"/>
        </w:rPr>
        <w:t xml:space="preserve"> </w:t>
      </w:r>
    </w:p>
    <w:p w14:paraId="5FA744E6" w14:textId="77777777" w:rsidR="00B74A90" w:rsidRPr="000A334F" w:rsidRDefault="00B74A90" w:rsidP="00711F13">
      <w:pPr>
        <w:pStyle w:val="BodyTextIndent2"/>
        <w:spacing w:before="0" w:after="0"/>
        <w:rPr>
          <w:szCs w:val="24"/>
        </w:rPr>
      </w:pPr>
    </w:p>
    <w:p w14:paraId="04974620" w14:textId="77777777" w:rsidR="00A34463" w:rsidRDefault="00551458" w:rsidP="001F01DA">
      <w:pPr>
        <w:pStyle w:val="Heading3"/>
        <w:numPr>
          <w:ilvl w:val="2"/>
          <w:numId w:val="1"/>
        </w:numPr>
        <w:spacing w:before="240" w:after="120" w:line="240" w:lineRule="auto"/>
        <w:ind w:left="1134" w:hanging="425"/>
        <w:rPr>
          <w:rFonts w:ascii="Times New Roman" w:hAnsi="Times New Roman" w:cs="Times New Roman"/>
          <w:sz w:val="24"/>
          <w:szCs w:val="24"/>
        </w:rPr>
      </w:pPr>
      <w:bookmarkStart w:id="40" w:name="_Toc479331114"/>
      <w:r w:rsidRPr="00551458">
        <w:rPr>
          <w:rFonts w:ascii="Times New Roman" w:hAnsi="Times New Roman" w:cs="Times New Roman"/>
          <w:sz w:val="24"/>
          <w:szCs w:val="24"/>
        </w:rPr>
        <w:lastRenderedPageBreak/>
        <w:t>Valsts finanšu statistikas pārvaldība</w:t>
      </w:r>
      <w:bookmarkEnd w:id="40"/>
    </w:p>
    <w:p w14:paraId="4DE3DE68" w14:textId="6663EA84" w:rsidR="00A41559" w:rsidRPr="00A41559" w:rsidRDefault="00A41559" w:rsidP="00A41559">
      <w:pPr>
        <w:pStyle w:val="BodyTextIndent2"/>
        <w:spacing w:before="0" w:after="0"/>
        <w:rPr>
          <w:szCs w:val="24"/>
        </w:rPr>
      </w:pPr>
      <w:r w:rsidRPr="00A41559">
        <w:rPr>
          <w:szCs w:val="24"/>
        </w:rPr>
        <w:t xml:space="preserve">CSP apkopo valdības finanšu statistiku atbilstoši Eiropas Parlamenta un Padomes Regulas (ES) Nr. 549/2013 (2013. gada 21. maijs) par </w:t>
      </w:r>
      <w:r w:rsidR="00DA5FEA">
        <w:rPr>
          <w:szCs w:val="24"/>
        </w:rPr>
        <w:t>EKS 2010</w:t>
      </w:r>
      <w:r w:rsidRPr="00A41559">
        <w:rPr>
          <w:szCs w:val="24"/>
        </w:rPr>
        <w:t xml:space="preserve"> prasībām.</w:t>
      </w:r>
    </w:p>
    <w:p w14:paraId="39D80968" w14:textId="77777777" w:rsidR="00A41559" w:rsidRPr="00A41559" w:rsidRDefault="00A41559" w:rsidP="00A41559">
      <w:pPr>
        <w:pStyle w:val="BodyTextIndent2"/>
        <w:spacing w:before="0" w:after="0"/>
        <w:rPr>
          <w:szCs w:val="24"/>
        </w:rPr>
      </w:pPr>
      <w:r w:rsidRPr="00A41559">
        <w:rPr>
          <w:szCs w:val="24"/>
        </w:rPr>
        <w:t>Vispārējās valdības sektora (S.13) ietvars Latvijā atbilstoši EKS 2010 metodoloģijai sastāv no trim apakšsektoriem: centrālās valdības apakšsektora (S.1311), pašvaldību apakšsektora (S.1313) un sociālās apdrošināšanas apakšsektora (S.1314).</w:t>
      </w:r>
    </w:p>
    <w:p w14:paraId="2FEDBB84" w14:textId="52780E34" w:rsidR="00A41559" w:rsidRPr="00A41559" w:rsidRDefault="00A41559" w:rsidP="00A41559">
      <w:pPr>
        <w:pStyle w:val="BodyTextIndent2"/>
        <w:spacing w:before="0" w:after="0"/>
        <w:rPr>
          <w:szCs w:val="24"/>
        </w:rPr>
      </w:pPr>
      <w:r w:rsidRPr="00A41559">
        <w:rPr>
          <w:szCs w:val="24"/>
        </w:rPr>
        <w:t xml:space="preserve">Atbilstoši </w:t>
      </w:r>
      <w:r w:rsidR="00DA5FEA">
        <w:rPr>
          <w:szCs w:val="24"/>
          <w:lang w:val="lv-LV"/>
        </w:rPr>
        <w:t>MK</w:t>
      </w:r>
      <w:r w:rsidRPr="00A41559">
        <w:rPr>
          <w:szCs w:val="24"/>
        </w:rPr>
        <w:t xml:space="preserve"> 2013.gada 10.decembra noteikumu Nr. 1456 “Noteikumi par institucionālo sektoru klasifikāciju” 6.punktam, CSP sagatavo un uztur vispārējās valdības sek</w:t>
      </w:r>
      <w:r w:rsidR="00DA5FEA">
        <w:rPr>
          <w:szCs w:val="24"/>
        </w:rPr>
        <w:t xml:space="preserve">tora sarakstu. </w:t>
      </w:r>
      <w:r w:rsidRPr="00A41559">
        <w:rPr>
          <w:szCs w:val="24"/>
        </w:rPr>
        <w:t xml:space="preserve">Lai sagatavotu sarakstu un lemtu par tajā iekļaujamajām vienībām CSP ievēro EKS 2010 prasības, kā arī </w:t>
      </w:r>
      <w:r>
        <w:rPr>
          <w:szCs w:val="24"/>
          <w:lang w:val="lv-LV"/>
        </w:rPr>
        <w:t>ES</w:t>
      </w:r>
      <w:r w:rsidRPr="00A41559">
        <w:rPr>
          <w:szCs w:val="24"/>
        </w:rPr>
        <w:t xml:space="preserve"> Statistikas biroja </w:t>
      </w:r>
      <w:r w:rsidRPr="00A41559">
        <w:rPr>
          <w:i/>
          <w:szCs w:val="24"/>
        </w:rPr>
        <w:t xml:space="preserve">Eurostat </w:t>
      </w:r>
      <w:r w:rsidR="00DA5FEA">
        <w:rPr>
          <w:szCs w:val="24"/>
          <w:lang w:val="lv-LV"/>
        </w:rPr>
        <w:t>r</w:t>
      </w:r>
      <w:r w:rsidRPr="00A41559">
        <w:rPr>
          <w:szCs w:val="24"/>
        </w:rPr>
        <w:t xml:space="preserve">okasgrāmatā par valdības deficītu un valsts parādu definētos principus, kas paredz uz vispārējās valdības sektoru attiecināt valsts un pašvaldību kontrolētas un pārsvarā finansētas kapitālsabiedrības. </w:t>
      </w:r>
    </w:p>
    <w:p w14:paraId="4E3F7D89" w14:textId="77777777" w:rsidR="00A41559" w:rsidRPr="00A41559" w:rsidRDefault="00A41559" w:rsidP="00A41559">
      <w:pPr>
        <w:pStyle w:val="BodyTextIndent2"/>
        <w:spacing w:before="0" w:after="0"/>
        <w:rPr>
          <w:szCs w:val="24"/>
        </w:rPr>
      </w:pPr>
      <w:r w:rsidRPr="00A41559">
        <w:rPr>
          <w:szCs w:val="24"/>
        </w:rPr>
        <w:t xml:space="preserve">Vispārējās valdības sektorā uz 2016.gada 31.decembri bija 1060 neatkarīgas budžeta iestādes, no tām centrālās valdības apakšsektorā - 227 iestādes, pašvaldību apakšsektorā – 832 iestādes un sociālās apdrošināšanas fonda apakšsektorā – viena iestāde, bez tam - 127 valsts un pašvaldību kontrolētas un finansētas kapitālsabiedrības, no tām valsts kontrolētas – 49 kapitālsabiedrības, pašvaldību kontrolētas – 78 kapitālsabiedrības. </w:t>
      </w:r>
    </w:p>
    <w:p w14:paraId="74BFCEA7" w14:textId="77777777" w:rsidR="00A41559" w:rsidRPr="00A41559" w:rsidRDefault="00A41559" w:rsidP="00A41559">
      <w:pPr>
        <w:spacing w:after="0" w:line="240" w:lineRule="auto"/>
        <w:ind w:firstLine="720"/>
        <w:jc w:val="both"/>
        <w:rPr>
          <w:rFonts w:ascii="Times New Roman" w:hAnsi="Times New Roman" w:cs="Times New Roman"/>
          <w:i/>
          <w:sz w:val="24"/>
          <w:szCs w:val="24"/>
        </w:rPr>
      </w:pPr>
      <w:r w:rsidRPr="00A41559">
        <w:rPr>
          <w:rFonts w:ascii="Times New Roman" w:hAnsi="Times New Roman" w:cs="Times New Roman"/>
          <w:sz w:val="24"/>
          <w:szCs w:val="24"/>
        </w:rPr>
        <w:t xml:space="preserve">CSP katru ceturksni aprēķina šādus vispārējās valdības sektora rādītājus - ieņēmumus, izdevumus, deficītu, parādu un sagatavo vispārējās valdības ceturkšņa finanšu kontus. Informācija tiek publicēta CSP mājaslapā un nosūtīta uz </w:t>
      </w:r>
      <w:r w:rsidRPr="00A41559">
        <w:rPr>
          <w:rFonts w:ascii="Times New Roman" w:hAnsi="Times New Roman" w:cs="Times New Roman"/>
          <w:i/>
          <w:sz w:val="24"/>
          <w:szCs w:val="24"/>
        </w:rPr>
        <w:t xml:space="preserve">Eurostat  </w:t>
      </w:r>
      <w:r w:rsidRPr="00A41559">
        <w:rPr>
          <w:rFonts w:ascii="Times New Roman" w:hAnsi="Times New Roman" w:cs="Times New Roman"/>
          <w:sz w:val="24"/>
          <w:szCs w:val="24"/>
        </w:rPr>
        <w:t>trīs mēnešus pēc pārskata perioda beigām.</w:t>
      </w:r>
      <w:r w:rsidRPr="00A41559">
        <w:rPr>
          <w:rFonts w:ascii="Times New Roman" w:hAnsi="Times New Roman" w:cs="Times New Roman"/>
          <w:i/>
          <w:sz w:val="24"/>
          <w:szCs w:val="24"/>
        </w:rPr>
        <w:t xml:space="preserve"> </w:t>
      </w:r>
    </w:p>
    <w:p w14:paraId="7D67CD5B" w14:textId="11100843" w:rsidR="00A41559" w:rsidRPr="00A41559" w:rsidRDefault="00A41559" w:rsidP="00A41559">
      <w:pPr>
        <w:pStyle w:val="BodyTextIndent"/>
        <w:spacing w:after="0"/>
        <w:ind w:left="0" w:firstLine="720"/>
        <w:rPr>
          <w:szCs w:val="24"/>
          <w:lang w:val="lv-LV"/>
        </w:rPr>
      </w:pPr>
      <w:r w:rsidRPr="00A41559">
        <w:rPr>
          <w:szCs w:val="24"/>
          <w:lang w:val="lv-LV"/>
        </w:rPr>
        <w:t xml:space="preserve">Bez tam CSP katru gadu noteiktajos termiņos līdz 1. aprīlim (operatīvie dati) un līdz 1. oktobrim (gala dati) sagatavo un iesniedz vispārējās valdības budžeta deficīta un parāda notifikāciju </w:t>
      </w:r>
      <w:r w:rsidR="00DA5FEA">
        <w:rPr>
          <w:szCs w:val="24"/>
          <w:lang w:val="lv-LV"/>
        </w:rPr>
        <w:t xml:space="preserve">Notifikācija </w:t>
      </w:r>
      <w:r w:rsidRPr="00A41559">
        <w:rPr>
          <w:i/>
          <w:szCs w:val="24"/>
          <w:lang w:val="lv-LV"/>
        </w:rPr>
        <w:t>Eurostat</w:t>
      </w:r>
      <w:r w:rsidRPr="00A41559">
        <w:rPr>
          <w:szCs w:val="24"/>
          <w:lang w:val="lv-LV"/>
        </w:rPr>
        <w:t xml:space="preserve">. </w:t>
      </w:r>
    </w:p>
    <w:p w14:paraId="123E2375" w14:textId="02B49B21" w:rsidR="00A41559" w:rsidRPr="00A41559" w:rsidRDefault="00A41559" w:rsidP="00A41559">
      <w:pPr>
        <w:pStyle w:val="BodyTextIndent"/>
        <w:spacing w:after="0"/>
        <w:ind w:left="0"/>
        <w:rPr>
          <w:rStyle w:val="IntenseReference"/>
          <w:szCs w:val="24"/>
        </w:rPr>
      </w:pPr>
      <w:r w:rsidRPr="00A41559">
        <w:rPr>
          <w:szCs w:val="24"/>
          <w:lang w:val="lv-LV"/>
        </w:rPr>
        <w:tab/>
        <w:t xml:space="preserve">Notifikācija tiek sagatavota atbilstoši </w:t>
      </w:r>
      <w:r>
        <w:rPr>
          <w:szCs w:val="24"/>
          <w:lang w:val="lv-LV"/>
        </w:rPr>
        <w:t>MK</w:t>
      </w:r>
      <w:r w:rsidRPr="00A41559">
        <w:rPr>
          <w:szCs w:val="24"/>
          <w:lang w:val="lv-LV"/>
        </w:rPr>
        <w:t xml:space="preserve"> 2015.gada 22.decembra noteikumu Nr. 756 “Kārtība kādā sagatavo vispārējās valdības budžeta deficīta un parāda notifikāciju” prasībām. Par Notifikācijas sagatavošanu un iesniegšanu </w:t>
      </w:r>
      <w:r w:rsidRPr="00A41559">
        <w:rPr>
          <w:i/>
          <w:szCs w:val="24"/>
          <w:lang w:val="lv-LV"/>
        </w:rPr>
        <w:t>Eurostat</w:t>
      </w:r>
      <w:r w:rsidRPr="00A41559">
        <w:rPr>
          <w:szCs w:val="24"/>
          <w:lang w:val="lv-LV"/>
        </w:rPr>
        <w:t xml:space="preserve"> atbildīgā iestāde ir CSP, kura vada regulāras starpinstitūciju darba grupas sanāksmes. Notifikācijas sagatavošanā ir iesaistīti speciālisti no </w:t>
      </w:r>
      <w:r>
        <w:rPr>
          <w:szCs w:val="24"/>
          <w:lang w:val="lv-LV"/>
        </w:rPr>
        <w:t>FM</w:t>
      </w:r>
      <w:r w:rsidRPr="00A41559">
        <w:rPr>
          <w:szCs w:val="24"/>
          <w:lang w:val="lv-LV"/>
        </w:rPr>
        <w:t xml:space="preserve">, </w:t>
      </w:r>
      <w:r w:rsidR="00DA5FEA">
        <w:rPr>
          <w:szCs w:val="24"/>
          <w:lang w:val="lv-LV"/>
        </w:rPr>
        <w:t>VK</w:t>
      </w:r>
      <w:r w:rsidRPr="00A41559">
        <w:rPr>
          <w:szCs w:val="24"/>
          <w:lang w:val="lv-LV"/>
        </w:rPr>
        <w:t xml:space="preserve">, Centrālās finanšu un līgumu aģentūras, Aizsardzības ministrijas un Valsts sociālās apdrošināšanas aģentūras. Vajadzības gadījumā tiek piesaistīti speciālisti no citām institūcijām (Ekonomikas ministrijas, Labklājības ministrijas, Rīgas Domes u.c). </w:t>
      </w:r>
    </w:p>
    <w:p w14:paraId="42DDC9DB" w14:textId="2E606954" w:rsidR="00A41559" w:rsidRPr="00A41559" w:rsidRDefault="00A41559" w:rsidP="00A41559">
      <w:pPr>
        <w:pStyle w:val="ridk"/>
        <w:spacing w:before="0" w:beforeAutospacing="0" w:after="0" w:afterAutospacing="0"/>
        <w:ind w:firstLine="720"/>
        <w:jc w:val="both"/>
        <w:rPr>
          <w:rFonts w:ascii="Times New Roman" w:hAnsi="Times New Roman" w:cs="Times New Roman"/>
        </w:rPr>
      </w:pPr>
      <w:r w:rsidRPr="00A41559">
        <w:rPr>
          <w:rFonts w:ascii="Times New Roman" w:hAnsi="Times New Roman" w:cs="Times New Roman"/>
        </w:rPr>
        <w:t xml:space="preserve">Notifikāciju rezultāti tiek izmantoti valstu izvērtēšanai par to, kā tiek nodrošināta ekonomisko rādītāju atbilstība Māstrihtas līgumā noteiktajiem kritērijiem, t.i., plānotā un faktiskā vispārējās valdības sektora budžeta deficīta attiecība pret </w:t>
      </w:r>
      <w:r w:rsidR="00DA5FEA">
        <w:rPr>
          <w:rFonts w:ascii="Times New Roman" w:hAnsi="Times New Roman" w:cs="Times New Roman"/>
        </w:rPr>
        <w:t>IKP</w:t>
      </w:r>
      <w:r w:rsidRPr="00A41559">
        <w:rPr>
          <w:rFonts w:ascii="Times New Roman" w:hAnsi="Times New Roman" w:cs="Times New Roman"/>
        </w:rPr>
        <w:t xml:space="preserve"> tirgus cenās nedrīkst pārsniegt 3 % un valdības parāda attiecība pret </w:t>
      </w:r>
      <w:r w:rsidR="00DA5FEA">
        <w:rPr>
          <w:rFonts w:ascii="Times New Roman" w:hAnsi="Times New Roman" w:cs="Times New Roman"/>
        </w:rPr>
        <w:t>IKP</w:t>
      </w:r>
      <w:r w:rsidRPr="00A41559">
        <w:rPr>
          <w:rFonts w:ascii="Times New Roman" w:hAnsi="Times New Roman" w:cs="Times New Roman"/>
        </w:rPr>
        <w:t xml:space="preserve"> tirgus cenās nedrīkst būt lielāka par 60 %, kas aprēķināti atbilstoši EKS 2010 prasībām. </w:t>
      </w:r>
    </w:p>
    <w:p w14:paraId="51959E6A" w14:textId="7183DC30" w:rsidR="00A41559" w:rsidRPr="00A41559" w:rsidRDefault="00A41559" w:rsidP="00A41559">
      <w:pPr>
        <w:pStyle w:val="BodyTextIndent2"/>
        <w:spacing w:before="0" w:after="0"/>
        <w:rPr>
          <w:szCs w:val="24"/>
        </w:rPr>
      </w:pPr>
      <w:r w:rsidRPr="00A41559">
        <w:rPr>
          <w:szCs w:val="24"/>
        </w:rPr>
        <w:t>Padomes Direktīva 2011/85</w:t>
      </w:r>
      <w:r w:rsidR="00DD2E6A">
        <w:rPr>
          <w:szCs w:val="24"/>
          <w:lang w:val="lv-LV"/>
        </w:rPr>
        <w:t xml:space="preserve"> </w:t>
      </w:r>
      <w:r w:rsidRPr="00A41559">
        <w:rPr>
          <w:szCs w:val="24"/>
        </w:rPr>
        <w:t>ES (2011.gada 8.novembris)</w:t>
      </w:r>
      <w:r w:rsidRPr="00A41559">
        <w:rPr>
          <w:b/>
          <w:bCs/>
          <w:color w:val="000000"/>
          <w:szCs w:val="24"/>
          <w:shd w:val="clear" w:color="auto" w:fill="FFFFFF"/>
        </w:rPr>
        <w:t xml:space="preserve"> </w:t>
      </w:r>
      <w:r w:rsidRPr="00A41559">
        <w:rPr>
          <w:bCs/>
          <w:color w:val="000000"/>
          <w:szCs w:val="24"/>
          <w:shd w:val="clear" w:color="auto" w:fill="FFFFFF"/>
        </w:rPr>
        <w:t xml:space="preserve">par prasībām dalībvalstu budžeta struktūrām nosaka detalizētus noteikumus ES dalībvalstīm, lai stiprinātu ES fiskālo un ekonomikas pārvaldību, neveidotu pārmērīgu budžeta deficītu. Ar CSP administratīvo atbalstu </w:t>
      </w:r>
      <w:r w:rsidRPr="00A41559">
        <w:rPr>
          <w:szCs w:val="24"/>
        </w:rPr>
        <w:t xml:space="preserve">tiek sagatavoti un publiskoti fiskālie dati. Tā </w:t>
      </w:r>
      <w:r w:rsidR="00DA5FEA">
        <w:rPr>
          <w:szCs w:val="24"/>
          <w:lang w:val="lv-LV"/>
        </w:rPr>
        <w:t>FM</w:t>
      </w:r>
      <w:r w:rsidRPr="00A41559">
        <w:rPr>
          <w:szCs w:val="24"/>
        </w:rPr>
        <w:t xml:space="preserve"> mājas lapā pieejama detalizēta pārejas tabula budžeta datiem no naudas plūsmas pēc nacionālās klasifikācijas uz vispārējās valdības sektora datiem pēc EKS 2010 metodoloģijas. Regulāri tiek publiskota šāda informācija:</w:t>
      </w:r>
    </w:p>
    <w:p w14:paraId="73EB29C3" w14:textId="77777777" w:rsidR="00A41559" w:rsidRPr="00A41559" w:rsidRDefault="00A41559" w:rsidP="000C5D4A">
      <w:pPr>
        <w:pStyle w:val="BodyTextIndent2"/>
        <w:numPr>
          <w:ilvl w:val="0"/>
          <w:numId w:val="43"/>
        </w:numPr>
        <w:spacing w:before="0" w:after="0"/>
        <w:ind w:left="1077" w:hanging="357"/>
        <w:rPr>
          <w:szCs w:val="24"/>
        </w:rPr>
      </w:pPr>
      <w:r w:rsidRPr="00A41559">
        <w:rPr>
          <w:szCs w:val="24"/>
        </w:rPr>
        <w:t>fiskālie dati (mēneša un ceturkšņa dati);</w:t>
      </w:r>
    </w:p>
    <w:p w14:paraId="1FAE1534" w14:textId="77777777" w:rsidR="00A41559" w:rsidRPr="00A41559" w:rsidRDefault="00A41559" w:rsidP="000C5D4A">
      <w:pPr>
        <w:pStyle w:val="BodyTextIndent2"/>
        <w:numPr>
          <w:ilvl w:val="0"/>
          <w:numId w:val="43"/>
        </w:numPr>
        <w:spacing w:before="0" w:after="0"/>
        <w:ind w:left="1077" w:hanging="357"/>
        <w:rPr>
          <w:szCs w:val="24"/>
        </w:rPr>
      </w:pPr>
      <w:r w:rsidRPr="00A41559">
        <w:rPr>
          <w:szCs w:val="24"/>
        </w:rPr>
        <w:t>valdības galvojumi (gada dati);</w:t>
      </w:r>
    </w:p>
    <w:p w14:paraId="74702D00" w14:textId="77777777" w:rsidR="00A41559" w:rsidRPr="00A41559" w:rsidRDefault="00A41559" w:rsidP="000C5D4A">
      <w:pPr>
        <w:pStyle w:val="BodyTextIndent2"/>
        <w:numPr>
          <w:ilvl w:val="0"/>
          <w:numId w:val="43"/>
        </w:numPr>
        <w:spacing w:before="0" w:after="0"/>
        <w:ind w:left="1077" w:hanging="357"/>
        <w:rPr>
          <w:szCs w:val="24"/>
        </w:rPr>
      </w:pPr>
      <w:r w:rsidRPr="00A41559">
        <w:rPr>
          <w:szCs w:val="24"/>
        </w:rPr>
        <w:t>nedrošās prasības (aizdevumi) (gada dati);</w:t>
      </w:r>
    </w:p>
    <w:p w14:paraId="0E7B5349" w14:textId="77777777" w:rsidR="00A41559" w:rsidRPr="00A41559" w:rsidRDefault="00A41559" w:rsidP="000C5D4A">
      <w:pPr>
        <w:pStyle w:val="BodyTextIndent2"/>
        <w:numPr>
          <w:ilvl w:val="0"/>
          <w:numId w:val="43"/>
        </w:numPr>
        <w:spacing w:before="0" w:after="0"/>
        <w:ind w:left="1077" w:hanging="357"/>
        <w:rPr>
          <w:szCs w:val="24"/>
        </w:rPr>
      </w:pPr>
      <w:r w:rsidRPr="00A41559">
        <w:rPr>
          <w:szCs w:val="24"/>
        </w:rPr>
        <w:t>nenokārtotās saistības, kas attiecas uz ārpusbilances publiskajām un privātajām partnerībām (gada dati);</w:t>
      </w:r>
    </w:p>
    <w:p w14:paraId="2C36DBC8" w14:textId="77777777" w:rsidR="00A41559" w:rsidRPr="00A41559" w:rsidRDefault="00A41559" w:rsidP="000C5D4A">
      <w:pPr>
        <w:pStyle w:val="BodyTextIndent2"/>
        <w:numPr>
          <w:ilvl w:val="0"/>
          <w:numId w:val="43"/>
        </w:numPr>
        <w:spacing w:before="0" w:after="0"/>
        <w:ind w:left="1077" w:hanging="357"/>
        <w:rPr>
          <w:szCs w:val="24"/>
        </w:rPr>
      </w:pPr>
      <w:r w:rsidRPr="00A41559">
        <w:rPr>
          <w:szCs w:val="24"/>
        </w:rPr>
        <w:t>ārpus vispārējās valdības sektora klasificētu valdības kontrolētu kapitālsabiedrību saistības (gada dati);</w:t>
      </w:r>
    </w:p>
    <w:p w14:paraId="1E1EDC7A" w14:textId="168569C0" w:rsidR="009D2D01" w:rsidRPr="000C5D4A" w:rsidRDefault="00A41559" w:rsidP="000C5D4A">
      <w:pPr>
        <w:pStyle w:val="BodyTextIndent2"/>
        <w:numPr>
          <w:ilvl w:val="0"/>
          <w:numId w:val="43"/>
        </w:numPr>
        <w:spacing w:before="0" w:after="0"/>
        <w:ind w:left="1077" w:hanging="357"/>
        <w:rPr>
          <w:rFonts w:eastAsiaTheme="majorEastAsia"/>
          <w:b/>
          <w:bCs/>
          <w:smallCaps/>
          <w:color w:val="000000" w:themeColor="text1"/>
          <w:sz w:val="32"/>
          <w:szCs w:val="32"/>
        </w:rPr>
      </w:pPr>
      <w:r w:rsidRPr="000C5D4A">
        <w:rPr>
          <w:szCs w:val="24"/>
        </w:rPr>
        <w:t>vispārējās valdības sektora līdzdalības vērtība kapitālsabiedrību kapitālā (gada dati).</w:t>
      </w:r>
      <w:r w:rsidR="009D2D01" w:rsidRPr="000C5D4A">
        <w:rPr>
          <w:sz w:val="32"/>
          <w:szCs w:val="32"/>
        </w:rPr>
        <w:br w:type="page"/>
      </w:r>
    </w:p>
    <w:p w14:paraId="7A6E2DD8" w14:textId="5C4A0140" w:rsidR="00A34463" w:rsidRPr="00F51615" w:rsidRDefault="00F51615" w:rsidP="00F51615">
      <w:pPr>
        <w:pStyle w:val="Heading1"/>
        <w:numPr>
          <w:ilvl w:val="0"/>
          <w:numId w:val="0"/>
        </w:numPr>
        <w:jc w:val="center"/>
        <w:rPr>
          <w:rFonts w:ascii="Times New Roman" w:hAnsi="Times New Roman" w:cs="Times New Roman"/>
          <w:sz w:val="32"/>
          <w:szCs w:val="32"/>
        </w:rPr>
      </w:pPr>
      <w:bookmarkStart w:id="41" w:name="_Toc479331115"/>
      <w:r w:rsidRPr="00F51615">
        <w:rPr>
          <w:rFonts w:ascii="Times New Roman" w:hAnsi="Times New Roman" w:cs="Times New Roman"/>
          <w:sz w:val="32"/>
          <w:szCs w:val="32"/>
        </w:rPr>
        <w:lastRenderedPageBreak/>
        <w:t>Pielikumi</w:t>
      </w:r>
      <w:bookmarkEnd w:id="41"/>
    </w:p>
    <w:p w14:paraId="6FE1BEB6" w14:textId="0B2FF5FE" w:rsidR="00F51615" w:rsidRDefault="00C81719" w:rsidP="000B76F4">
      <w:pPr>
        <w:pStyle w:val="T"/>
        <w:spacing w:before="360"/>
        <w:ind w:left="0"/>
        <w:rPr>
          <w:rFonts w:ascii="Times New Roman" w:hAnsi="Times New Roman"/>
          <w:color w:val="000000"/>
        </w:rPr>
      </w:pPr>
      <w:r>
        <w:rPr>
          <w:rFonts w:ascii="Times New Roman" w:hAnsi="Times New Roman"/>
          <w:color w:val="000000"/>
        </w:rPr>
        <w:t>1a.</w:t>
      </w:r>
      <w:r w:rsidR="00F51615" w:rsidRPr="00F51615">
        <w:rPr>
          <w:rFonts w:ascii="Times New Roman" w:hAnsi="Times New Roman"/>
          <w:color w:val="000000"/>
        </w:rPr>
        <w:t>tabula. Izaugsme un ar to saistītie faktori</w:t>
      </w:r>
    </w:p>
    <w:tbl>
      <w:tblPr>
        <w:tblStyle w:val="GridTable6Colorful-Accent1"/>
        <w:tblW w:w="9503" w:type="dxa"/>
        <w:jc w:val="center"/>
        <w:tblLayout w:type="fixed"/>
        <w:tblLook w:val="04A0" w:firstRow="1" w:lastRow="0" w:firstColumn="1" w:lastColumn="0" w:noHBand="0" w:noVBand="1"/>
      </w:tblPr>
      <w:tblGrid>
        <w:gridCol w:w="3691"/>
        <w:gridCol w:w="1134"/>
        <w:gridCol w:w="850"/>
        <w:gridCol w:w="858"/>
        <w:gridCol w:w="702"/>
        <w:gridCol w:w="708"/>
        <w:gridCol w:w="709"/>
        <w:gridCol w:w="851"/>
      </w:tblGrid>
      <w:tr w:rsidR="00104BB9" w:rsidRPr="00D74886" w14:paraId="7FC706E4" w14:textId="77777777" w:rsidTr="003E2559">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691" w:type="dxa"/>
            <w:vMerge w:val="restart"/>
            <w:hideMark/>
          </w:tcPr>
          <w:p w14:paraId="2E9660B7" w14:textId="77777777" w:rsidR="00104BB9" w:rsidRPr="00D74886" w:rsidRDefault="00104BB9" w:rsidP="00A1425B">
            <w:pPr>
              <w:jc w:val="center"/>
              <w:rPr>
                <w:rFonts w:ascii="Times New Roman" w:hAnsi="Times New Roman" w:cs="Times New Roman"/>
                <w:b w:val="0"/>
                <w:bCs w:val="0"/>
                <w:color w:val="auto"/>
                <w:sz w:val="20"/>
                <w:szCs w:val="20"/>
              </w:rPr>
            </w:pPr>
          </w:p>
        </w:tc>
        <w:tc>
          <w:tcPr>
            <w:tcW w:w="1134" w:type="dxa"/>
            <w:vMerge w:val="restart"/>
            <w:noWrap/>
            <w:vAlign w:val="center"/>
            <w:hideMark/>
          </w:tcPr>
          <w:p w14:paraId="5A091310" w14:textId="77777777" w:rsidR="00104BB9" w:rsidRPr="00D74886" w:rsidRDefault="00104BB9" w:rsidP="00A1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D74886">
              <w:rPr>
                <w:rFonts w:ascii="Times New Roman" w:hAnsi="Times New Roman" w:cs="Times New Roman"/>
                <w:color w:val="auto"/>
                <w:sz w:val="20"/>
                <w:szCs w:val="20"/>
              </w:rPr>
              <w:t>EKS Kods</w:t>
            </w:r>
          </w:p>
        </w:tc>
        <w:tc>
          <w:tcPr>
            <w:tcW w:w="850" w:type="dxa"/>
            <w:noWrap/>
            <w:vAlign w:val="center"/>
            <w:hideMark/>
          </w:tcPr>
          <w:p w14:paraId="292D2AB3" w14:textId="41CB36D2" w:rsidR="00104BB9" w:rsidRPr="00D74886" w:rsidRDefault="009D2D01" w:rsidP="00A1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2016</w:t>
            </w:r>
          </w:p>
        </w:tc>
        <w:tc>
          <w:tcPr>
            <w:tcW w:w="858" w:type="dxa"/>
            <w:noWrap/>
            <w:vAlign w:val="center"/>
          </w:tcPr>
          <w:p w14:paraId="44CBDF5B" w14:textId="5E57082A" w:rsidR="00104BB9" w:rsidRPr="00D74886" w:rsidRDefault="009D2D01" w:rsidP="00A1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2016</w:t>
            </w:r>
          </w:p>
        </w:tc>
        <w:tc>
          <w:tcPr>
            <w:tcW w:w="702" w:type="dxa"/>
            <w:noWrap/>
            <w:vAlign w:val="center"/>
          </w:tcPr>
          <w:p w14:paraId="5C448717" w14:textId="726B33D3" w:rsidR="00104BB9" w:rsidRPr="00D74886" w:rsidRDefault="009D2D01" w:rsidP="00A1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2017</w:t>
            </w:r>
          </w:p>
        </w:tc>
        <w:tc>
          <w:tcPr>
            <w:tcW w:w="708" w:type="dxa"/>
            <w:noWrap/>
            <w:vAlign w:val="center"/>
          </w:tcPr>
          <w:p w14:paraId="4BFF5FD0" w14:textId="09675FA6" w:rsidR="00104BB9" w:rsidRPr="00D74886" w:rsidRDefault="009D2D01" w:rsidP="00A1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2018</w:t>
            </w:r>
          </w:p>
        </w:tc>
        <w:tc>
          <w:tcPr>
            <w:tcW w:w="709" w:type="dxa"/>
            <w:noWrap/>
            <w:vAlign w:val="center"/>
          </w:tcPr>
          <w:p w14:paraId="1F0B7BF7" w14:textId="22D6CB59" w:rsidR="00104BB9" w:rsidRPr="00D74886" w:rsidRDefault="009D2D01" w:rsidP="00A1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2019</w:t>
            </w:r>
          </w:p>
        </w:tc>
        <w:tc>
          <w:tcPr>
            <w:tcW w:w="851" w:type="dxa"/>
            <w:noWrap/>
            <w:vAlign w:val="center"/>
          </w:tcPr>
          <w:p w14:paraId="169F7E90" w14:textId="6B77C8EE" w:rsidR="00104BB9" w:rsidRPr="00D74886" w:rsidRDefault="009D2D01" w:rsidP="00A1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2020</w:t>
            </w:r>
          </w:p>
        </w:tc>
      </w:tr>
      <w:tr w:rsidR="00104BB9" w:rsidRPr="00D74886" w14:paraId="01E8A61B" w14:textId="77777777" w:rsidTr="003E2559">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691" w:type="dxa"/>
            <w:vMerge/>
            <w:hideMark/>
          </w:tcPr>
          <w:p w14:paraId="11605BF5" w14:textId="77777777" w:rsidR="00104BB9" w:rsidRPr="00D74886" w:rsidRDefault="00104BB9" w:rsidP="00A1425B">
            <w:pPr>
              <w:rPr>
                <w:rFonts w:ascii="Times New Roman" w:hAnsi="Times New Roman" w:cs="Times New Roman"/>
                <w:b w:val="0"/>
                <w:bCs w:val="0"/>
                <w:color w:val="auto"/>
                <w:sz w:val="20"/>
                <w:szCs w:val="20"/>
              </w:rPr>
            </w:pPr>
          </w:p>
        </w:tc>
        <w:tc>
          <w:tcPr>
            <w:tcW w:w="1134" w:type="dxa"/>
            <w:vMerge/>
            <w:hideMark/>
          </w:tcPr>
          <w:p w14:paraId="38B474AF" w14:textId="77777777" w:rsidR="00104BB9" w:rsidRPr="00D74886" w:rsidRDefault="00104BB9" w:rsidP="00A142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p>
        </w:tc>
        <w:tc>
          <w:tcPr>
            <w:tcW w:w="850" w:type="dxa"/>
            <w:noWrap/>
            <w:hideMark/>
          </w:tcPr>
          <w:p w14:paraId="7DED3DA1" w14:textId="77777777" w:rsidR="00104BB9" w:rsidRPr="00D74886" w:rsidRDefault="00104BB9" w:rsidP="00A14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 xml:space="preserve">milj. </w:t>
            </w:r>
            <w:r w:rsidRPr="00D74886">
              <w:rPr>
                <w:rFonts w:ascii="Times New Roman" w:hAnsi="Times New Roman" w:cs="Times New Roman"/>
                <w:i/>
                <w:iCs/>
                <w:color w:val="auto"/>
                <w:sz w:val="20"/>
                <w:szCs w:val="20"/>
              </w:rPr>
              <w:t>euro</w:t>
            </w:r>
          </w:p>
        </w:tc>
        <w:tc>
          <w:tcPr>
            <w:tcW w:w="3828" w:type="dxa"/>
            <w:gridSpan w:val="5"/>
            <w:noWrap/>
            <w:vAlign w:val="center"/>
            <w:hideMark/>
          </w:tcPr>
          <w:p w14:paraId="11624473" w14:textId="77777777" w:rsidR="00104BB9" w:rsidRPr="00D74886" w:rsidRDefault="00104BB9" w:rsidP="00A14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Pieaugums %</w:t>
            </w:r>
          </w:p>
        </w:tc>
      </w:tr>
      <w:tr w:rsidR="006753E1" w:rsidRPr="00D74886" w14:paraId="743F40D4" w14:textId="77777777" w:rsidTr="00D47B98">
        <w:trPr>
          <w:trHeight w:val="168"/>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5539015F"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1. IKP 2010.gada cenās</w:t>
            </w:r>
          </w:p>
        </w:tc>
        <w:tc>
          <w:tcPr>
            <w:tcW w:w="1134" w:type="dxa"/>
            <w:noWrap/>
            <w:vAlign w:val="center"/>
            <w:hideMark/>
          </w:tcPr>
          <w:p w14:paraId="06F66FC3" w14:textId="77777777" w:rsidR="006753E1" w:rsidRPr="00D74886" w:rsidRDefault="006753E1" w:rsidP="00675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B1*g</w:t>
            </w:r>
          </w:p>
        </w:tc>
        <w:tc>
          <w:tcPr>
            <w:tcW w:w="850" w:type="dxa"/>
            <w:noWrap/>
            <w:vAlign w:val="center"/>
          </w:tcPr>
          <w:p w14:paraId="372A3294" w14:textId="557D0E2D"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21781</w:t>
            </w:r>
          </w:p>
        </w:tc>
        <w:tc>
          <w:tcPr>
            <w:tcW w:w="858" w:type="dxa"/>
            <w:noWrap/>
            <w:vAlign w:val="center"/>
          </w:tcPr>
          <w:p w14:paraId="68E32E15" w14:textId="3995BB60"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2,0</w:t>
            </w:r>
          </w:p>
        </w:tc>
        <w:tc>
          <w:tcPr>
            <w:tcW w:w="702" w:type="dxa"/>
            <w:noWrap/>
            <w:vAlign w:val="center"/>
          </w:tcPr>
          <w:p w14:paraId="6E6BBF0E" w14:textId="40422259"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3,2</w:t>
            </w:r>
          </w:p>
        </w:tc>
        <w:tc>
          <w:tcPr>
            <w:tcW w:w="708" w:type="dxa"/>
            <w:noWrap/>
            <w:vAlign w:val="center"/>
          </w:tcPr>
          <w:p w14:paraId="368D7DB6" w14:textId="442C8D51"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3,4</w:t>
            </w:r>
          </w:p>
        </w:tc>
        <w:tc>
          <w:tcPr>
            <w:tcW w:w="709" w:type="dxa"/>
            <w:noWrap/>
            <w:vAlign w:val="center"/>
          </w:tcPr>
          <w:p w14:paraId="6D1C923F" w14:textId="7C364639"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3,2</w:t>
            </w:r>
          </w:p>
        </w:tc>
        <w:tc>
          <w:tcPr>
            <w:tcW w:w="851" w:type="dxa"/>
            <w:noWrap/>
            <w:vAlign w:val="center"/>
          </w:tcPr>
          <w:p w14:paraId="7C2360A3" w14:textId="4930E4D4"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3,0</w:t>
            </w:r>
          </w:p>
        </w:tc>
      </w:tr>
      <w:tr w:rsidR="006753E1" w:rsidRPr="00D74886" w14:paraId="5779E914" w14:textId="77777777" w:rsidTr="00D47B98">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39A6E958"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2. IKP faktiskajās cenās</w:t>
            </w:r>
          </w:p>
        </w:tc>
        <w:tc>
          <w:tcPr>
            <w:tcW w:w="1134" w:type="dxa"/>
            <w:noWrap/>
            <w:vAlign w:val="center"/>
            <w:hideMark/>
          </w:tcPr>
          <w:p w14:paraId="5352B733" w14:textId="77777777" w:rsidR="006753E1" w:rsidRPr="00D74886" w:rsidRDefault="006753E1" w:rsidP="006753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B1*g</w:t>
            </w:r>
          </w:p>
        </w:tc>
        <w:tc>
          <w:tcPr>
            <w:tcW w:w="850" w:type="dxa"/>
            <w:noWrap/>
            <w:vAlign w:val="center"/>
          </w:tcPr>
          <w:p w14:paraId="274AFE63" w14:textId="73C7770C"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25021</w:t>
            </w:r>
          </w:p>
        </w:tc>
        <w:tc>
          <w:tcPr>
            <w:tcW w:w="858" w:type="dxa"/>
            <w:noWrap/>
            <w:vAlign w:val="center"/>
          </w:tcPr>
          <w:p w14:paraId="030DF429" w14:textId="462F05FD"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2,7</w:t>
            </w:r>
          </w:p>
        </w:tc>
        <w:tc>
          <w:tcPr>
            <w:tcW w:w="702" w:type="dxa"/>
            <w:noWrap/>
            <w:vAlign w:val="center"/>
          </w:tcPr>
          <w:p w14:paraId="495C745A" w14:textId="150593DA"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5,2</w:t>
            </w:r>
          </w:p>
        </w:tc>
        <w:tc>
          <w:tcPr>
            <w:tcW w:w="708" w:type="dxa"/>
            <w:noWrap/>
            <w:vAlign w:val="center"/>
          </w:tcPr>
          <w:p w14:paraId="7AE88805" w14:textId="1205DCFA"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5,2</w:t>
            </w:r>
          </w:p>
        </w:tc>
        <w:tc>
          <w:tcPr>
            <w:tcW w:w="709" w:type="dxa"/>
            <w:noWrap/>
            <w:vAlign w:val="center"/>
          </w:tcPr>
          <w:p w14:paraId="45B72B2A" w14:textId="05FB20F1"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6,0</w:t>
            </w:r>
          </w:p>
        </w:tc>
        <w:tc>
          <w:tcPr>
            <w:tcW w:w="851" w:type="dxa"/>
            <w:noWrap/>
            <w:vAlign w:val="center"/>
          </w:tcPr>
          <w:p w14:paraId="1EFFD422" w14:textId="0E2B60EC"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5,7</w:t>
            </w:r>
          </w:p>
        </w:tc>
      </w:tr>
      <w:tr w:rsidR="006753E1" w:rsidRPr="00D74886" w14:paraId="50C5A37B" w14:textId="77777777" w:rsidTr="003E2559">
        <w:trPr>
          <w:trHeight w:val="118"/>
          <w:jc w:val="center"/>
        </w:trPr>
        <w:tc>
          <w:tcPr>
            <w:cnfStyle w:val="001000000000" w:firstRow="0" w:lastRow="0" w:firstColumn="1" w:lastColumn="0" w:oddVBand="0" w:evenVBand="0" w:oddHBand="0" w:evenHBand="0" w:firstRowFirstColumn="0" w:firstRowLastColumn="0" w:lastRowFirstColumn="0" w:lastRowLastColumn="0"/>
            <w:tcW w:w="9503" w:type="dxa"/>
            <w:gridSpan w:val="8"/>
            <w:noWrap/>
            <w:hideMark/>
          </w:tcPr>
          <w:p w14:paraId="7AEF7E1A" w14:textId="77777777" w:rsidR="006753E1" w:rsidRPr="00D74886" w:rsidRDefault="006753E1" w:rsidP="006753E1">
            <w:pPr>
              <w:jc w:val="center"/>
              <w:rPr>
                <w:rFonts w:ascii="Times New Roman" w:hAnsi="Times New Roman" w:cs="Times New Roman"/>
                <w:b w:val="0"/>
                <w:bCs w:val="0"/>
                <w:color w:val="auto"/>
                <w:sz w:val="20"/>
                <w:szCs w:val="20"/>
              </w:rPr>
            </w:pPr>
            <w:r w:rsidRPr="00D74886">
              <w:rPr>
                <w:rFonts w:ascii="Times New Roman" w:hAnsi="Times New Roman" w:cs="Times New Roman"/>
                <w:b w:val="0"/>
                <w:color w:val="auto"/>
                <w:sz w:val="20"/>
                <w:szCs w:val="20"/>
              </w:rPr>
              <w:t>IKP pēc izlietojuma 2010. gada cenās</w:t>
            </w:r>
          </w:p>
        </w:tc>
      </w:tr>
      <w:tr w:rsidR="006753E1" w:rsidRPr="00D74886" w14:paraId="7B537081" w14:textId="77777777" w:rsidTr="00D47B98">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491D7F39"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3. Privātais patēriņš</w:t>
            </w:r>
          </w:p>
        </w:tc>
        <w:tc>
          <w:tcPr>
            <w:tcW w:w="1134" w:type="dxa"/>
            <w:noWrap/>
            <w:vAlign w:val="center"/>
            <w:hideMark/>
          </w:tcPr>
          <w:p w14:paraId="0BA689DF" w14:textId="77777777" w:rsidR="006753E1" w:rsidRPr="00D74886" w:rsidRDefault="006753E1" w:rsidP="006753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P3</w:t>
            </w:r>
          </w:p>
        </w:tc>
        <w:tc>
          <w:tcPr>
            <w:tcW w:w="850" w:type="dxa"/>
            <w:noWrap/>
          </w:tcPr>
          <w:p w14:paraId="0F03F387" w14:textId="26B8A4DB"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13834</w:t>
            </w:r>
          </w:p>
        </w:tc>
        <w:tc>
          <w:tcPr>
            <w:tcW w:w="858" w:type="dxa"/>
            <w:noWrap/>
            <w:vAlign w:val="center"/>
          </w:tcPr>
          <w:p w14:paraId="25A22868" w14:textId="14992600"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3,4</w:t>
            </w:r>
          </w:p>
        </w:tc>
        <w:tc>
          <w:tcPr>
            <w:tcW w:w="702" w:type="dxa"/>
            <w:noWrap/>
            <w:vAlign w:val="center"/>
          </w:tcPr>
          <w:p w14:paraId="58F4F79E" w14:textId="52538991"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3,2</w:t>
            </w:r>
          </w:p>
        </w:tc>
        <w:tc>
          <w:tcPr>
            <w:tcW w:w="708" w:type="dxa"/>
            <w:noWrap/>
            <w:vAlign w:val="center"/>
          </w:tcPr>
          <w:p w14:paraId="48CC606F" w14:textId="69D16906"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3,0</w:t>
            </w:r>
          </w:p>
        </w:tc>
        <w:tc>
          <w:tcPr>
            <w:tcW w:w="709" w:type="dxa"/>
            <w:noWrap/>
            <w:vAlign w:val="center"/>
          </w:tcPr>
          <w:p w14:paraId="639C5BB6" w14:textId="21B6F3DB"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2,2</w:t>
            </w:r>
          </w:p>
        </w:tc>
        <w:tc>
          <w:tcPr>
            <w:tcW w:w="851" w:type="dxa"/>
            <w:noWrap/>
            <w:vAlign w:val="center"/>
          </w:tcPr>
          <w:p w14:paraId="007749B6" w14:textId="02B5E8E3"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2,0</w:t>
            </w:r>
          </w:p>
        </w:tc>
      </w:tr>
      <w:tr w:rsidR="006753E1" w:rsidRPr="00D74886" w14:paraId="059941AE" w14:textId="77777777" w:rsidTr="00D47B98">
        <w:trPr>
          <w:trHeight w:val="209"/>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4B0FF734"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4. Sabiedriskais patēriņš</w:t>
            </w:r>
          </w:p>
        </w:tc>
        <w:tc>
          <w:tcPr>
            <w:tcW w:w="1134" w:type="dxa"/>
            <w:noWrap/>
            <w:vAlign w:val="center"/>
            <w:hideMark/>
          </w:tcPr>
          <w:p w14:paraId="3E8B7250" w14:textId="77777777" w:rsidR="006753E1" w:rsidRPr="00D74886" w:rsidRDefault="006753E1" w:rsidP="00675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P3</w:t>
            </w:r>
          </w:p>
        </w:tc>
        <w:tc>
          <w:tcPr>
            <w:tcW w:w="850" w:type="dxa"/>
            <w:noWrap/>
          </w:tcPr>
          <w:p w14:paraId="06AD3A89" w14:textId="17B3F527"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3741</w:t>
            </w:r>
          </w:p>
        </w:tc>
        <w:tc>
          <w:tcPr>
            <w:tcW w:w="858" w:type="dxa"/>
            <w:noWrap/>
            <w:vAlign w:val="center"/>
          </w:tcPr>
          <w:p w14:paraId="3EAB5A95" w14:textId="6DD0A4D8"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2,7</w:t>
            </w:r>
          </w:p>
        </w:tc>
        <w:tc>
          <w:tcPr>
            <w:tcW w:w="702" w:type="dxa"/>
            <w:noWrap/>
            <w:vAlign w:val="center"/>
          </w:tcPr>
          <w:p w14:paraId="4EBEE48A" w14:textId="7850F4D7"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3,4</w:t>
            </w:r>
          </w:p>
        </w:tc>
        <w:tc>
          <w:tcPr>
            <w:tcW w:w="708" w:type="dxa"/>
            <w:noWrap/>
            <w:vAlign w:val="center"/>
          </w:tcPr>
          <w:p w14:paraId="0C5256E1" w14:textId="54CDDE68"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2,8</w:t>
            </w:r>
          </w:p>
        </w:tc>
        <w:tc>
          <w:tcPr>
            <w:tcW w:w="709" w:type="dxa"/>
            <w:noWrap/>
            <w:vAlign w:val="center"/>
          </w:tcPr>
          <w:p w14:paraId="4DDBB9EC" w14:textId="78DA10D2"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2,8</w:t>
            </w:r>
          </w:p>
        </w:tc>
        <w:tc>
          <w:tcPr>
            <w:tcW w:w="851" w:type="dxa"/>
            <w:noWrap/>
            <w:vAlign w:val="center"/>
          </w:tcPr>
          <w:p w14:paraId="017877D1" w14:textId="60C44EB5"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2,5</w:t>
            </w:r>
          </w:p>
        </w:tc>
      </w:tr>
      <w:tr w:rsidR="006753E1" w:rsidRPr="00D74886" w14:paraId="162133FE" w14:textId="77777777" w:rsidTr="009D2D0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63795EE4"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5. Kopējā pamatkapitālā veidošana</w:t>
            </w:r>
          </w:p>
        </w:tc>
        <w:tc>
          <w:tcPr>
            <w:tcW w:w="1134" w:type="dxa"/>
            <w:noWrap/>
            <w:vAlign w:val="center"/>
            <w:hideMark/>
          </w:tcPr>
          <w:p w14:paraId="423A3C62" w14:textId="77777777" w:rsidR="006753E1" w:rsidRPr="00D74886" w:rsidRDefault="006753E1" w:rsidP="006753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P51</w:t>
            </w:r>
          </w:p>
        </w:tc>
        <w:tc>
          <w:tcPr>
            <w:tcW w:w="850" w:type="dxa"/>
            <w:noWrap/>
            <w:vAlign w:val="center"/>
          </w:tcPr>
          <w:p w14:paraId="4F2B573D" w14:textId="660C70DC"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B0995">
              <w:rPr>
                <w:rFonts w:ascii="Times New Roman" w:hAnsi="Times New Roman" w:cs="Times New Roman"/>
                <w:color w:val="auto"/>
                <w:sz w:val="20"/>
                <w:szCs w:val="20"/>
              </w:rPr>
              <w:t>4023</w:t>
            </w:r>
          </w:p>
        </w:tc>
        <w:tc>
          <w:tcPr>
            <w:tcW w:w="858" w:type="dxa"/>
            <w:noWrap/>
            <w:vAlign w:val="center"/>
          </w:tcPr>
          <w:p w14:paraId="4CBE9E9E" w14:textId="06529279"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-11,7</w:t>
            </w:r>
          </w:p>
        </w:tc>
        <w:tc>
          <w:tcPr>
            <w:tcW w:w="702" w:type="dxa"/>
            <w:noWrap/>
            <w:vAlign w:val="center"/>
          </w:tcPr>
          <w:p w14:paraId="47D7FCF9" w14:textId="28C9EAAC"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5,2</w:t>
            </w:r>
          </w:p>
        </w:tc>
        <w:tc>
          <w:tcPr>
            <w:tcW w:w="708" w:type="dxa"/>
            <w:noWrap/>
            <w:vAlign w:val="center"/>
          </w:tcPr>
          <w:p w14:paraId="4410B3AC" w14:textId="653CA398"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35,4</w:t>
            </w:r>
          </w:p>
        </w:tc>
        <w:tc>
          <w:tcPr>
            <w:tcW w:w="709" w:type="dxa"/>
            <w:noWrap/>
            <w:vAlign w:val="center"/>
          </w:tcPr>
          <w:p w14:paraId="4FC9B7CF" w14:textId="625CF9A0"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10,8</w:t>
            </w:r>
          </w:p>
        </w:tc>
        <w:tc>
          <w:tcPr>
            <w:tcW w:w="851" w:type="dxa"/>
            <w:noWrap/>
            <w:vAlign w:val="center"/>
          </w:tcPr>
          <w:p w14:paraId="089D5060" w14:textId="23E14F2F"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8,2</w:t>
            </w:r>
          </w:p>
        </w:tc>
      </w:tr>
      <w:tr w:rsidR="006753E1" w:rsidRPr="00D74886" w14:paraId="2D8162F6" w14:textId="77777777" w:rsidTr="009D2D01">
        <w:trPr>
          <w:trHeight w:val="248"/>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12D444D5"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6. Krājumu pārmaiņas un vērtslietu iegāde</w:t>
            </w:r>
          </w:p>
        </w:tc>
        <w:tc>
          <w:tcPr>
            <w:tcW w:w="1134" w:type="dxa"/>
            <w:noWrap/>
            <w:vAlign w:val="center"/>
            <w:hideMark/>
          </w:tcPr>
          <w:p w14:paraId="746163A3" w14:textId="77777777" w:rsidR="006753E1" w:rsidRPr="00D74886" w:rsidRDefault="006753E1" w:rsidP="00675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P52+P53</w:t>
            </w:r>
          </w:p>
        </w:tc>
        <w:tc>
          <w:tcPr>
            <w:tcW w:w="850" w:type="dxa"/>
            <w:noWrap/>
            <w:vAlign w:val="center"/>
          </w:tcPr>
          <w:p w14:paraId="57385043" w14:textId="15A792AC"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B0995">
              <w:rPr>
                <w:rFonts w:ascii="Times New Roman" w:hAnsi="Times New Roman" w:cs="Times New Roman"/>
                <w:color w:val="auto"/>
                <w:sz w:val="20"/>
                <w:szCs w:val="20"/>
              </w:rPr>
              <w:t>702</w:t>
            </w:r>
          </w:p>
        </w:tc>
        <w:tc>
          <w:tcPr>
            <w:tcW w:w="858" w:type="dxa"/>
            <w:noWrap/>
            <w:vAlign w:val="center"/>
          </w:tcPr>
          <w:p w14:paraId="266BF17C" w14:textId="58B286BB"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sz w:val="20"/>
                <w:szCs w:val="20"/>
              </w:rPr>
            </w:pPr>
            <w:r w:rsidRPr="005173CD">
              <w:rPr>
                <w:rFonts w:ascii="Times New Roman" w:hAnsi="Times New Roman" w:cs="Times New Roman"/>
                <w:color w:val="auto"/>
                <w:sz w:val="20"/>
                <w:szCs w:val="20"/>
              </w:rPr>
              <w:t>-</w:t>
            </w:r>
          </w:p>
        </w:tc>
        <w:tc>
          <w:tcPr>
            <w:tcW w:w="702" w:type="dxa"/>
            <w:noWrap/>
            <w:vAlign w:val="center"/>
          </w:tcPr>
          <w:p w14:paraId="161BDF0B" w14:textId="53E7A141"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sz w:val="20"/>
                <w:szCs w:val="20"/>
              </w:rPr>
            </w:pPr>
            <w:r w:rsidRPr="005173CD">
              <w:rPr>
                <w:rFonts w:ascii="Times New Roman" w:hAnsi="Times New Roman" w:cs="Times New Roman"/>
                <w:color w:val="auto"/>
                <w:sz w:val="20"/>
                <w:szCs w:val="20"/>
              </w:rPr>
              <w:t>-</w:t>
            </w:r>
          </w:p>
        </w:tc>
        <w:tc>
          <w:tcPr>
            <w:tcW w:w="708" w:type="dxa"/>
            <w:noWrap/>
            <w:vAlign w:val="center"/>
          </w:tcPr>
          <w:p w14:paraId="464856ED" w14:textId="782214F9"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sz w:val="20"/>
                <w:szCs w:val="20"/>
              </w:rPr>
            </w:pPr>
            <w:r w:rsidRPr="005173CD">
              <w:rPr>
                <w:rFonts w:ascii="Times New Roman" w:hAnsi="Times New Roman" w:cs="Times New Roman"/>
                <w:color w:val="auto"/>
                <w:sz w:val="20"/>
                <w:szCs w:val="20"/>
              </w:rPr>
              <w:t>-</w:t>
            </w:r>
          </w:p>
        </w:tc>
        <w:tc>
          <w:tcPr>
            <w:tcW w:w="709" w:type="dxa"/>
            <w:noWrap/>
            <w:vAlign w:val="center"/>
          </w:tcPr>
          <w:p w14:paraId="603BA933" w14:textId="4E8B96E8"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sz w:val="20"/>
                <w:szCs w:val="20"/>
              </w:rPr>
            </w:pPr>
            <w:r w:rsidRPr="005173CD">
              <w:rPr>
                <w:rFonts w:ascii="Times New Roman" w:hAnsi="Times New Roman" w:cs="Times New Roman"/>
                <w:color w:val="auto"/>
                <w:sz w:val="20"/>
                <w:szCs w:val="20"/>
              </w:rPr>
              <w:t>-</w:t>
            </w:r>
          </w:p>
        </w:tc>
        <w:tc>
          <w:tcPr>
            <w:tcW w:w="851" w:type="dxa"/>
            <w:noWrap/>
            <w:vAlign w:val="center"/>
          </w:tcPr>
          <w:p w14:paraId="6BD6E0F7" w14:textId="5C292543"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sz w:val="20"/>
                <w:szCs w:val="20"/>
              </w:rPr>
            </w:pPr>
            <w:r w:rsidRPr="005173CD">
              <w:rPr>
                <w:rFonts w:ascii="Times New Roman" w:hAnsi="Times New Roman" w:cs="Times New Roman"/>
                <w:color w:val="auto"/>
                <w:sz w:val="20"/>
                <w:szCs w:val="20"/>
              </w:rPr>
              <w:t>-</w:t>
            </w:r>
          </w:p>
        </w:tc>
      </w:tr>
      <w:tr w:rsidR="006753E1" w:rsidRPr="00D74886" w14:paraId="6A472571" w14:textId="77777777" w:rsidTr="009D2D01">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57BE3B53"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7. Eksports</w:t>
            </w:r>
          </w:p>
        </w:tc>
        <w:tc>
          <w:tcPr>
            <w:tcW w:w="1134" w:type="dxa"/>
            <w:noWrap/>
            <w:vAlign w:val="center"/>
            <w:hideMark/>
          </w:tcPr>
          <w:p w14:paraId="37F6D5B1" w14:textId="77777777" w:rsidR="006753E1" w:rsidRPr="00D74886" w:rsidRDefault="006753E1" w:rsidP="006753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P6</w:t>
            </w:r>
          </w:p>
        </w:tc>
        <w:tc>
          <w:tcPr>
            <w:tcW w:w="850" w:type="dxa"/>
            <w:noWrap/>
            <w:vAlign w:val="center"/>
          </w:tcPr>
          <w:p w14:paraId="1370A86B" w14:textId="31875328"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B0995">
              <w:rPr>
                <w:rFonts w:ascii="Times New Roman" w:hAnsi="Times New Roman" w:cs="Times New Roman"/>
                <w:color w:val="auto"/>
                <w:sz w:val="20"/>
                <w:szCs w:val="20"/>
              </w:rPr>
              <w:t>13108</w:t>
            </w:r>
          </w:p>
        </w:tc>
        <w:tc>
          <w:tcPr>
            <w:tcW w:w="858" w:type="dxa"/>
            <w:noWrap/>
            <w:vAlign w:val="center"/>
          </w:tcPr>
          <w:p w14:paraId="63F9BE6D" w14:textId="2F8DFAE0"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2,8</w:t>
            </w:r>
          </w:p>
        </w:tc>
        <w:tc>
          <w:tcPr>
            <w:tcW w:w="702" w:type="dxa"/>
            <w:noWrap/>
            <w:vAlign w:val="center"/>
          </w:tcPr>
          <w:p w14:paraId="7F0B4638" w14:textId="74DE38F1"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3,3</w:t>
            </w:r>
          </w:p>
        </w:tc>
        <w:tc>
          <w:tcPr>
            <w:tcW w:w="708" w:type="dxa"/>
            <w:noWrap/>
            <w:vAlign w:val="center"/>
          </w:tcPr>
          <w:p w14:paraId="6E91BE63" w14:textId="0C3B6007"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3,5</w:t>
            </w:r>
          </w:p>
        </w:tc>
        <w:tc>
          <w:tcPr>
            <w:tcW w:w="709" w:type="dxa"/>
            <w:noWrap/>
            <w:vAlign w:val="center"/>
          </w:tcPr>
          <w:p w14:paraId="6841D978" w14:textId="5CDFA45D"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3,7</w:t>
            </w:r>
          </w:p>
        </w:tc>
        <w:tc>
          <w:tcPr>
            <w:tcW w:w="851" w:type="dxa"/>
            <w:noWrap/>
            <w:vAlign w:val="center"/>
          </w:tcPr>
          <w:p w14:paraId="4140B406" w14:textId="0AB169FE"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4,1</w:t>
            </w:r>
          </w:p>
        </w:tc>
      </w:tr>
      <w:tr w:rsidR="006753E1" w:rsidRPr="00D74886" w14:paraId="7583F389" w14:textId="77777777" w:rsidTr="009D2D01">
        <w:trPr>
          <w:trHeight w:val="201"/>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46744308"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8. Imports</w:t>
            </w:r>
          </w:p>
        </w:tc>
        <w:tc>
          <w:tcPr>
            <w:tcW w:w="1134" w:type="dxa"/>
            <w:noWrap/>
            <w:vAlign w:val="center"/>
            <w:hideMark/>
          </w:tcPr>
          <w:p w14:paraId="753C61B8" w14:textId="77777777" w:rsidR="006753E1" w:rsidRPr="00D74886" w:rsidRDefault="006753E1" w:rsidP="00675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P7</w:t>
            </w:r>
          </w:p>
        </w:tc>
        <w:tc>
          <w:tcPr>
            <w:tcW w:w="850" w:type="dxa"/>
            <w:noWrap/>
            <w:vAlign w:val="center"/>
          </w:tcPr>
          <w:p w14:paraId="287DCB8D" w14:textId="533BDF75"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B0995">
              <w:rPr>
                <w:rFonts w:ascii="Times New Roman" w:hAnsi="Times New Roman" w:cs="Times New Roman"/>
                <w:color w:val="auto"/>
                <w:sz w:val="20"/>
                <w:szCs w:val="20"/>
              </w:rPr>
              <w:t>13627</w:t>
            </w:r>
          </w:p>
        </w:tc>
        <w:tc>
          <w:tcPr>
            <w:tcW w:w="858" w:type="dxa"/>
            <w:noWrap/>
            <w:vAlign w:val="center"/>
          </w:tcPr>
          <w:p w14:paraId="7CF6B5DD" w14:textId="3AF86F75"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4,6</w:t>
            </w:r>
          </w:p>
        </w:tc>
        <w:tc>
          <w:tcPr>
            <w:tcW w:w="702" w:type="dxa"/>
            <w:noWrap/>
            <w:vAlign w:val="center"/>
          </w:tcPr>
          <w:p w14:paraId="1FABD0BB" w14:textId="67D8C12E"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1,4</w:t>
            </w:r>
          </w:p>
        </w:tc>
        <w:tc>
          <w:tcPr>
            <w:tcW w:w="708" w:type="dxa"/>
            <w:noWrap/>
            <w:vAlign w:val="center"/>
          </w:tcPr>
          <w:p w14:paraId="1D7349B6" w14:textId="0177EE36"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7,1</w:t>
            </w:r>
          </w:p>
        </w:tc>
        <w:tc>
          <w:tcPr>
            <w:tcW w:w="709" w:type="dxa"/>
            <w:noWrap/>
            <w:vAlign w:val="center"/>
          </w:tcPr>
          <w:p w14:paraId="6ADF924C" w14:textId="70FA41B1"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5,2</w:t>
            </w:r>
          </w:p>
        </w:tc>
        <w:tc>
          <w:tcPr>
            <w:tcW w:w="851" w:type="dxa"/>
            <w:noWrap/>
            <w:vAlign w:val="center"/>
          </w:tcPr>
          <w:p w14:paraId="1DFC5CE1" w14:textId="4BB7065B"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4,9</w:t>
            </w:r>
          </w:p>
        </w:tc>
      </w:tr>
      <w:tr w:rsidR="006753E1" w:rsidRPr="00D74886" w14:paraId="693D7CBA" w14:textId="77777777" w:rsidTr="003E2559">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503" w:type="dxa"/>
            <w:gridSpan w:val="8"/>
            <w:noWrap/>
            <w:hideMark/>
          </w:tcPr>
          <w:p w14:paraId="6222B9C4" w14:textId="77777777" w:rsidR="006753E1" w:rsidRPr="00D74886" w:rsidRDefault="006753E1" w:rsidP="006753E1">
            <w:pPr>
              <w:jc w:val="center"/>
              <w:rPr>
                <w:rFonts w:ascii="Times New Roman" w:hAnsi="Times New Roman" w:cs="Times New Roman"/>
                <w:b w:val="0"/>
                <w:bCs w:val="0"/>
                <w:color w:val="auto"/>
                <w:sz w:val="20"/>
                <w:szCs w:val="20"/>
              </w:rPr>
            </w:pPr>
            <w:r w:rsidRPr="00D74886">
              <w:rPr>
                <w:rFonts w:ascii="Times New Roman" w:hAnsi="Times New Roman" w:cs="Times New Roman"/>
                <w:b w:val="0"/>
                <w:color w:val="auto"/>
                <w:sz w:val="20"/>
                <w:szCs w:val="20"/>
              </w:rPr>
              <w:t>Ieguldījums IKP izaugsmē</w:t>
            </w:r>
          </w:p>
        </w:tc>
      </w:tr>
      <w:tr w:rsidR="006753E1" w:rsidRPr="00D74886" w14:paraId="2F89E562" w14:textId="77777777" w:rsidTr="009D2D01">
        <w:trPr>
          <w:trHeight w:val="149"/>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76E6D451"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9. Kopējais iekšzemes pieprasījums</w:t>
            </w:r>
          </w:p>
        </w:tc>
        <w:tc>
          <w:tcPr>
            <w:tcW w:w="1134" w:type="dxa"/>
            <w:noWrap/>
            <w:vAlign w:val="center"/>
            <w:hideMark/>
          </w:tcPr>
          <w:p w14:paraId="106C2515" w14:textId="77777777" w:rsidR="006753E1" w:rsidRPr="00D74886" w:rsidRDefault="006753E1" w:rsidP="00675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noWrap/>
          </w:tcPr>
          <w:p w14:paraId="1FD761A2" w14:textId="29003F90" w:rsidR="006753E1" w:rsidRPr="00D74886" w:rsidRDefault="006753E1" w:rsidP="006753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 </w:t>
            </w:r>
          </w:p>
        </w:tc>
        <w:tc>
          <w:tcPr>
            <w:tcW w:w="858" w:type="dxa"/>
            <w:noWrap/>
            <w:vAlign w:val="center"/>
          </w:tcPr>
          <w:p w14:paraId="24C956E0" w14:textId="09935128"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0,1</w:t>
            </w:r>
          </w:p>
        </w:tc>
        <w:tc>
          <w:tcPr>
            <w:tcW w:w="702" w:type="dxa"/>
            <w:noWrap/>
            <w:vAlign w:val="center"/>
          </w:tcPr>
          <w:p w14:paraId="5B168CBD" w14:textId="739D16D6"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3,6</w:t>
            </w:r>
          </w:p>
        </w:tc>
        <w:tc>
          <w:tcPr>
            <w:tcW w:w="708" w:type="dxa"/>
            <w:noWrap/>
            <w:vAlign w:val="center"/>
          </w:tcPr>
          <w:p w14:paraId="0B2225CD" w14:textId="6C820F7E"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9,0</w:t>
            </w:r>
          </w:p>
        </w:tc>
        <w:tc>
          <w:tcPr>
            <w:tcW w:w="709" w:type="dxa"/>
            <w:noWrap/>
            <w:vAlign w:val="center"/>
          </w:tcPr>
          <w:p w14:paraId="3810D59B" w14:textId="54994970"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4,6</w:t>
            </w:r>
          </w:p>
        </w:tc>
        <w:tc>
          <w:tcPr>
            <w:tcW w:w="851" w:type="dxa"/>
            <w:noWrap/>
            <w:vAlign w:val="center"/>
          </w:tcPr>
          <w:p w14:paraId="78DF749F" w14:textId="17A3207C"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3,9</w:t>
            </w:r>
          </w:p>
        </w:tc>
      </w:tr>
      <w:tr w:rsidR="006753E1" w:rsidRPr="00D74886" w14:paraId="4B02E02D" w14:textId="77777777" w:rsidTr="009D2D01">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5831B08D"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 xml:space="preserve">10. Krājumu pārmaiņas un vērtslietu iegāde </w:t>
            </w:r>
          </w:p>
        </w:tc>
        <w:tc>
          <w:tcPr>
            <w:tcW w:w="1134" w:type="dxa"/>
            <w:noWrap/>
            <w:vAlign w:val="center"/>
            <w:hideMark/>
          </w:tcPr>
          <w:p w14:paraId="054EE3CC" w14:textId="77777777" w:rsidR="006753E1" w:rsidRPr="00D74886" w:rsidRDefault="006753E1" w:rsidP="006753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P52+P53</w:t>
            </w:r>
          </w:p>
        </w:tc>
        <w:tc>
          <w:tcPr>
            <w:tcW w:w="850" w:type="dxa"/>
            <w:noWrap/>
          </w:tcPr>
          <w:p w14:paraId="3E85C308" w14:textId="682203DF" w:rsidR="006753E1" w:rsidRPr="00D74886" w:rsidRDefault="006753E1" w:rsidP="006753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 </w:t>
            </w:r>
          </w:p>
        </w:tc>
        <w:tc>
          <w:tcPr>
            <w:tcW w:w="858" w:type="dxa"/>
            <w:noWrap/>
            <w:vAlign w:val="center"/>
          </w:tcPr>
          <w:p w14:paraId="2C97CD0B" w14:textId="7BFB5F25"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3,0</w:t>
            </w:r>
          </w:p>
        </w:tc>
        <w:tc>
          <w:tcPr>
            <w:tcW w:w="702" w:type="dxa"/>
            <w:noWrap/>
            <w:vAlign w:val="center"/>
          </w:tcPr>
          <w:p w14:paraId="56A1EF3E" w14:textId="757E062D"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-1,5</w:t>
            </w:r>
          </w:p>
        </w:tc>
        <w:tc>
          <w:tcPr>
            <w:tcW w:w="708" w:type="dxa"/>
            <w:noWrap/>
            <w:vAlign w:val="center"/>
          </w:tcPr>
          <w:p w14:paraId="1D640BF8" w14:textId="7EBFD060"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-3,4</w:t>
            </w:r>
          </w:p>
        </w:tc>
        <w:tc>
          <w:tcPr>
            <w:tcW w:w="709" w:type="dxa"/>
            <w:noWrap/>
            <w:vAlign w:val="center"/>
          </w:tcPr>
          <w:p w14:paraId="222BF8E5" w14:textId="1FA9DF99"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-0,2</w:t>
            </w:r>
          </w:p>
        </w:tc>
        <w:tc>
          <w:tcPr>
            <w:tcW w:w="851" w:type="dxa"/>
            <w:noWrap/>
            <w:vAlign w:val="center"/>
          </w:tcPr>
          <w:p w14:paraId="0BF82DD4" w14:textId="52F3B9A3" w:rsidR="006753E1" w:rsidRPr="00D74886"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-0,2</w:t>
            </w:r>
          </w:p>
        </w:tc>
      </w:tr>
      <w:tr w:rsidR="006753E1" w:rsidRPr="00D74886" w14:paraId="53DEF76B" w14:textId="77777777" w:rsidTr="009D2D01">
        <w:trPr>
          <w:trHeight w:val="345"/>
          <w:jc w:val="center"/>
        </w:trPr>
        <w:tc>
          <w:tcPr>
            <w:cnfStyle w:val="001000000000" w:firstRow="0" w:lastRow="0" w:firstColumn="1" w:lastColumn="0" w:oddVBand="0" w:evenVBand="0" w:oddHBand="0" w:evenHBand="0" w:firstRowFirstColumn="0" w:firstRowLastColumn="0" w:lastRowFirstColumn="0" w:lastRowLastColumn="0"/>
            <w:tcW w:w="3691" w:type="dxa"/>
            <w:hideMark/>
          </w:tcPr>
          <w:p w14:paraId="485F0719" w14:textId="77777777" w:rsidR="006753E1" w:rsidRPr="00D74886" w:rsidRDefault="006753E1" w:rsidP="006753E1">
            <w:pPr>
              <w:rPr>
                <w:rFonts w:ascii="Times New Roman" w:hAnsi="Times New Roman" w:cs="Times New Roman"/>
                <w:b w:val="0"/>
                <w:bCs w:val="0"/>
                <w:color w:val="auto"/>
                <w:sz w:val="20"/>
                <w:szCs w:val="20"/>
              </w:rPr>
            </w:pPr>
            <w:r w:rsidRPr="00D74886">
              <w:rPr>
                <w:rFonts w:ascii="Times New Roman" w:hAnsi="Times New Roman" w:cs="Times New Roman"/>
                <w:b w:val="0"/>
                <w:bCs w:val="0"/>
                <w:color w:val="auto"/>
                <w:sz w:val="20"/>
                <w:szCs w:val="20"/>
              </w:rPr>
              <w:t>11. Eksporta-importa bilance</w:t>
            </w:r>
          </w:p>
        </w:tc>
        <w:tc>
          <w:tcPr>
            <w:tcW w:w="1134" w:type="dxa"/>
            <w:noWrap/>
            <w:vAlign w:val="center"/>
            <w:hideMark/>
          </w:tcPr>
          <w:p w14:paraId="00A02161" w14:textId="77777777" w:rsidR="006753E1" w:rsidRPr="00D74886" w:rsidRDefault="006753E1" w:rsidP="00675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B11</w:t>
            </w:r>
          </w:p>
        </w:tc>
        <w:tc>
          <w:tcPr>
            <w:tcW w:w="850" w:type="dxa"/>
            <w:noWrap/>
          </w:tcPr>
          <w:p w14:paraId="1A2D2ACE" w14:textId="6B257FDF" w:rsidR="006753E1" w:rsidRPr="00D74886" w:rsidRDefault="006753E1" w:rsidP="006753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74886">
              <w:rPr>
                <w:rFonts w:ascii="Times New Roman" w:hAnsi="Times New Roman" w:cs="Times New Roman"/>
                <w:color w:val="auto"/>
                <w:sz w:val="20"/>
                <w:szCs w:val="20"/>
              </w:rPr>
              <w:t> </w:t>
            </w:r>
          </w:p>
        </w:tc>
        <w:tc>
          <w:tcPr>
            <w:tcW w:w="858" w:type="dxa"/>
            <w:noWrap/>
            <w:vAlign w:val="center"/>
          </w:tcPr>
          <w:p w14:paraId="51CFECE3" w14:textId="18A7902A"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-1,1</w:t>
            </w:r>
          </w:p>
        </w:tc>
        <w:tc>
          <w:tcPr>
            <w:tcW w:w="702" w:type="dxa"/>
            <w:noWrap/>
            <w:vAlign w:val="center"/>
          </w:tcPr>
          <w:p w14:paraId="30BFB3D1" w14:textId="6F52625D"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1,1</w:t>
            </w:r>
          </w:p>
        </w:tc>
        <w:tc>
          <w:tcPr>
            <w:tcW w:w="708" w:type="dxa"/>
            <w:noWrap/>
            <w:vAlign w:val="center"/>
          </w:tcPr>
          <w:p w14:paraId="456237EF" w14:textId="46947216"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-2,3</w:t>
            </w:r>
          </w:p>
        </w:tc>
        <w:tc>
          <w:tcPr>
            <w:tcW w:w="709" w:type="dxa"/>
            <w:noWrap/>
            <w:vAlign w:val="center"/>
          </w:tcPr>
          <w:p w14:paraId="6408B1F3" w14:textId="47E989D6"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-1,1</w:t>
            </w:r>
          </w:p>
        </w:tc>
        <w:tc>
          <w:tcPr>
            <w:tcW w:w="851" w:type="dxa"/>
            <w:noWrap/>
            <w:vAlign w:val="center"/>
          </w:tcPr>
          <w:p w14:paraId="3C9FA739" w14:textId="6559BA65" w:rsidR="006753E1" w:rsidRPr="00D74886"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73CD">
              <w:rPr>
                <w:rFonts w:ascii="Times New Roman" w:hAnsi="Times New Roman" w:cs="Times New Roman"/>
                <w:color w:val="auto"/>
                <w:sz w:val="20"/>
                <w:szCs w:val="20"/>
              </w:rPr>
              <w:t>-0,7</w:t>
            </w:r>
          </w:p>
        </w:tc>
      </w:tr>
    </w:tbl>
    <w:p w14:paraId="1F75FB5D" w14:textId="77777777" w:rsidR="00F51615" w:rsidRPr="00F51615" w:rsidRDefault="00F51615" w:rsidP="0009609E">
      <w:pPr>
        <w:pStyle w:val="T"/>
        <w:ind w:left="0"/>
        <w:rPr>
          <w:rFonts w:ascii="Times New Roman" w:hAnsi="Times New Roman"/>
          <w:color w:val="000000"/>
          <w:sz w:val="20"/>
        </w:rPr>
      </w:pPr>
    </w:p>
    <w:p w14:paraId="0C38E67F" w14:textId="16EDC557" w:rsidR="00F51615" w:rsidRDefault="00C81719" w:rsidP="00F51615">
      <w:pPr>
        <w:pStyle w:val="T"/>
        <w:ind w:left="0"/>
        <w:rPr>
          <w:rFonts w:ascii="Times New Roman" w:hAnsi="Times New Roman"/>
          <w:color w:val="000000"/>
        </w:rPr>
      </w:pPr>
      <w:r>
        <w:rPr>
          <w:rFonts w:ascii="Times New Roman" w:hAnsi="Times New Roman"/>
          <w:color w:val="000000"/>
        </w:rPr>
        <w:t>1b.</w:t>
      </w:r>
      <w:r w:rsidR="00F51615" w:rsidRPr="00F51615">
        <w:rPr>
          <w:rFonts w:ascii="Times New Roman" w:hAnsi="Times New Roman"/>
          <w:color w:val="000000"/>
        </w:rPr>
        <w:t>tabula. Patēriņa cenu izmaiņas</w:t>
      </w:r>
    </w:p>
    <w:tbl>
      <w:tblPr>
        <w:tblStyle w:val="GridTable6Colorful-Accent1"/>
        <w:tblW w:w="9567" w:type="dxa"/>
        <w:jc w:val="center"/>
        <w:tblLayout w:type="fixed"/>
        <w:tblLook w:val="04A0" w:firstRow="1" w:lastRow="0" w:firstColumn="1" w:lastColumn="0" w:noHBand="0" w:noVBand="1"/>
      </w:tblPr>
      <w:tblGrid>
        <w:gridCol w:w="3701"/>
        <w:gridCol w:w="953"/>
        <w:gridCol w:w="973"/>
        <w:gridCol w:w="797"/>
        <w:gridCol w:w="797"/>
        <w:gridCol w:w="797"/>
        <w:gridCol w:w="783"/>
        <w:gridCol w:w="766"/>
      </w:tblGrid>
      <w:tr w:rsidR="00E055A8" w:rsidRPr="00E055A8" w14:paraId="1DCFF7A9" w14:textId="77777777" w:rsidTr="003E25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1" w:type="dxa"/>
          </w:tcPr>
          <w:p w14:paraId="7DEF4317" w14:textId="77777777" w:rsidR="0009609E" w:rsidRPr="00E055A8" w:rsidRDefault="0009609E" w:rsidP="0009609E">
            <w:pPr>
              <w:spacing w:line="256" w:lineRule="auto"/>
              <w:rPr>
                <w:rFonts w:ascii="Times New Roman" w:eastAsia="Times New Roman" w:hAnsi="Times New Roman" w:cs="Times New Roman"/>
                <w:color w:val="auto"/>
                <w:sz w:val="20"/>
                <w:szCs w:val="20"/>
              </w:rPr>
            </w:pPr>
          </w:p>
        </w:tc>
        <w:tc>
          <w:tcPr>
            <w:tcW w:w="953" w:type="dxa"/>
            <w:vAlign w:val="center"/>
            <w:hideMark/>
          </w:tcPr>
          <w:p w14:paraId="5EEDC8F5" w14:textId="23819E7B" w:rsidR="0009609E" w:rsidRPr="00E055A8" w:rsidRDefault="0009609E" w:rsidP="00E055A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55A8">
              <w:rPr>
                <w:rFonts w:ascii="Times New Roman" w:eastAsia="Times New Roman" w:hAnsi="Times New Roman" w:cs="Times New Roman"/>
                <w:color w:val="auto"/>
                <w:sz w:val="20"/>
                <w:szCs w:val="20"/>
              </w:rPr>
              <w:t>E</w:t>
            </w:r>
            <w:r w:rsidR="00E055A8" w:rsidRPr="00E055A8">
              <w:rPr>
                <w:rFonts w:ascii="Times New Roman" w:eastAsia="Times New Roman" w:hAnsi="Times New Roman" w:cs="Times New Roman"/>
                <w:color w:val="auto"/>
                <w:sz w:val="20"/>
                <w:szCs w:val="20"/>
              </w:rPr>
              <w:t>KS</w:t>
            </w:r>
          </w:p>
          <w:p w14:paraId="634345BB" w14:textId="77777777" w:rsidR="0009609E" w:rsidRPr="00E055A8" w:rsidRDefault="0009609E" w:rsidP="00E055A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055A8">
              <w:rPr>
                <w:rFonts w:ascii="Times New Roman" w:eastAsia="Times New Roman" w:hAnsi="Times New Roman" w:cs="Times New Roman"/>
                <w:color w:val="auto"/>
                <w:sz w:val="20"/>
                <w:szCs w:val="20"/>
              </w:rPr>
              <w:t>Kods</w:t>
            </w:r>
          </w:p>
        </w:tc>
        <w:tc>
          <w:tcPr>
            <w:tcW w:w="973" w:type="dxa"/>
            <w:vAlign w:val="center"/>
            <w:hideMark/>
          </w:tcPr>
          <w:p w14:paraId="26D6F1E6" w14:textId="716E4E99" w:rsidR="0009609E" w:rsidRPr="00E055A8" w:rsidRDefault="009D2D01" w:rsidP="00E055A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2016</w:t>
            </w:r>
          </w:p>
        </w:tc>
        <w:tc>
          <w:tcPr>
            <w:tcW w:w="797" w:type="dxa"/>
            <w:vAlign w:val="center"/>
            <w:hideMark/>
          </w:tcPr>
          <w:p w14:paraId="1F0ACBAA" w14:textId="0C210420" w:rsidR="0009609E" w:rsidRPr="00E055A8" w:rsidRDefault="009D2D01" w:rsidP="00E055A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2016</w:t>
            </w:r>
          </w:p>
        </w:tc>
        <w:tc>
          <w:tcPr>
            <w:tcW w:w="797" w:type="dxa"/>
            <w:vAlign w:val="center"/>
            <w:hideMark/>
          </w:tcPr>
          <w:p w14:paraId="7C33FAB1" w14:textId="1C43B836" w:rsidR="0009609E" w:rsidRPr="00E055A8" w:rsidRDefault="007C7D31" w:rsidP="009D2D01">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w:t>
            </w:r>
            <w:r w:rsidR="009D2D01">
              <w:rPr>
                <w:rFonts w:ascii="Times New Roman" w:eastAsia="Times New Roman" w:hAnsi="Times New Roman" w:cs="Times New Roman"/>
                <w:color w:val="auto"/>
                <w:sz w:val="20"/>
                <w:szCs w:val="20"/>
              </w:rPr>
              <w:t>7</w:t>
            </w:r>
          </w:p>
        </w:tc>
        <w:tc>
          <w:tcPr>
            <w:tcW w:w="797" w:type="dxa"/>
            <w:vAlign w:val="center"/>
            <w:hideMark/>
          </w:tcPr>
          <w:p w14:paraId="71255282" w14:textId="5F1CCCEB" w:rsidR="0009609E" w:rsidRPr="00E055A8" w:rsidRDefault="007C7D31" w:rsidP="00E055A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r w:rsidR="009D2D01">
              <w:rPr>
                <w:rFonts w:ascii="Times New Roman" w:eastAsia="Times New Roman" w:hAnsi="Times New Roman" w:cs="Times New Roman"/>
                <w:color w:val="auto"/>
                <w:sz w:val="20"/>
                <w:szCs w:val="20"/>
              </w:rPr>
              <w:t>018</w:t>
            </w:r>
          </w:p>
        </w:tc>
        <w:tc>
          <w:tcPr>
            <w:tcW w:w="783" w:type="dxa"/>
            <w:vAlign w:val="center"/>
            <w:hideMark/>
          </w:tcPr>
          <w:p w14:paraId="3FDB28F5" w14:textId="31B2C3A4" w:rsidR="0009609E" w:rsidRPr="00E055A8" w:rsidRDefault="009D2D01" w:rsidP="00E055A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2019</w:t>
            </w:r>
          </w:p>
        </w:tc>
        <w:tc>
          <w:tcPr>
            <w:tcW w:w="766" w:type="dxa"/>
            <w:vAlign w:val="center"/>
            <w:hideMark/>
          </w:tcPr>
          <w:p w14:paraId="55BF0FDA" w14:textId="3EA1BDD1" w:rsidR="0009609E" w:rsidRPr="00E055A8" w:rsidRDefault="009D2D01" w:rsidP="00E055A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2020</w:t>
            </w:r>
          </w:p>
        </w:tc>
      </w:tr>
      <w:tr w:rsidR="00E055A8" w:rsidRPr="00E055A8" w14:paraId="2629E2CE" w14:textId="77777777" w:rsidTr="003E2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1" w:type="dxa"/>
          </w:tcPr>
          <w:p w14:paraId="4E5CE396" w14:textId="77777777" w:rsidR="0009609E" w:rsidRPr="00E055A8" w:rsidRDefault="0009609E" w:rsidP="0009609E">
            <w:pPr>
              <w:spacing w:line="256" w:lineRule="auto"/>
              <w:rPr>
                <w:rFonts w:ascii="Times New Roman" w:eastAsia="Times New Roman" w:hAnsi="Times New Roman" w:cs="Times New Roman"/>
                <w:snapToGrid w:val="0"/>
                <w:color w:val="auto"/>
                <w:sz w:val="20"/>
                <w:szCs w:val="20"/>
              </w:rPr>
            </w:pPr>
          </w:p>
        </w:tc>
        <w:tc>
          <w:tcPr>
            <w:tcW w:w="953" w:type="dxa"/>
          </w:tcPr>
          <w:p w14:paraId="5C93DF7C" w14:textId="77777777" w:rsidR="0009609E" w:rsidRPr="00E055A8" w:rsidRDefault="0009609E" w:rsidP="0009609E">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73" w:type="dxa"/>
            <w:hideMark/>
          </w:tcPr>
          <w:p w14:paraId="2FF18AC3" w14:textId="77777777" w:rsidR="0009609E" w:rsidRPr="00E055A8" w:rsidRDefault="0009609E" w:rsidP="0009609E">
            <w:pPr>
              <w:tabs>
                <w:tab w:val="decimal" w:pos="296"/>
              </w:tabs>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55A8">
              <w:rPr>
                <w:rFonts w:ascii="Times New Roman" w:eastAsia="Times New Roman" w:hAnsi="Times New Roman" w:cs="Times New Roman"/>
                <w:color w:val="auto"/>
                <w:sz w:val="20"/>
                <w:szCs w:val="20"/>
              </w:rPr>
              <w:t>līmenis</w:t>
            </w:r>
          </w:p>
        </w:tc>
        <w:tc>
          <w:tcPr>
            <w:tcW w:w="3940" w:type="dxa"/>
            <w:gridSpan w:val="5"/>
            <w:hideMark/>
          </w:tcPr>
          <w:p w14:paraId="60653833" w14:textId="77777777" w:rsidR="0009609E" w:rsidRPr="00E055A8" w:rsidRDefault="0009609E" w:rsidP="0009609E">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55A8">
              <w:rPr>
                <w:rFonts w:ascii="Times New Roman" w:eastAsia="Times New Roman" w:hAnsi="Times New Roman" w:cs="Times New Roman"/>
                <w:color w:val="auto"/>
                <w:sz w:val="20"/>
                <w:szCs w:val="20"/>
              </w:rPr>
              <w:t>Pieaugums %</w:t>
            </w:r>
          </w:p>
        </w:tc>
      </w:tr>
      <w:tr w:rsidR="006753E1" w:rsidRPr="00E055A8" w14:paraId="46DE9875"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701" w:type="dxa"/>
            <w:hideMark/>
          </w:tcPr>
          <w:p w14:paraId="2FEED05A" w14:textId="77777777" w:rsidR="006753E1" w:rsidRPr="00E055A8" w:rsidRDefault="006753E1" w:rsidP="006753E1">
            <w:pPr>
              <w:spacing w:line="256" w:lineRule="auto"/>
              <w:rPr>
                <w:rFonts w:ascii="Times New Roman" w:eastAsia="Times New Roman" w:hAnsi="Times New Roman" w:cs="Times New Roman"/>
                <w:b w:val="0"/>
                <w:noProof/>
                <w:snapToGrid w:val="0"/>
                <w:color w:val="auto"/>
                <w:sz w:val="20"/>
                <w:szCs w:val="20"/>
              </w:rPr>
            </w:pPr>
            <w:r w:rsidRPr="00E055A8">
              <w:rPr>
                <w:rFonts w:ascii="Times New Roman" w:eastAsia="Times New Roman" w:hAnsi="Times New Roman" w:cs="Times New Roman"/>
                <w:b w:val="0"/>
                <w:noProof/>
                <w:snapToGrid w:val="0"/>
                <w:color w:val="auto"/>
                <w:sz w:val="20"/>
                <w:szCs w:val="20"/>
              </w:rPr>
              <w:t>1. IKP deflators</w:t>
            </w:r>
          </w:p>
        </w:tc>
        <w:tc>
          <w:tcPr>
            <w:tcW w:w="953" w:type="dxa"/>
          </w:tcPr>
          <w:p w14:paraId="77BBEC87" w14:textId="77777777" w:rsidR="006753E1" w:rsidRPr="00E055A8" w:rsidRDefault="006753E1" w:rsidP="006753E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73" w:type="dxa"/>
          </w:tcPr>
          <w:p w14:paraId="7F6DDD17" w14:textId="77777777" w:rsidR="006753E1" w:rsidRPr="00E055A8" w:rsidRDefault="006753E1" w:rsidP="006753E1">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97" w:type="dxa"/>
            <w:vAlign w:val="center"/>
          </w:tcPr>
          <w:p w14:paraId="34C7CAD8" w14:textId="54881988"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szCs w:val="20"/>
              </w:rPr>
              <w:t>0,7</w:t>
            </w:r>
          </w:p>
        </w:tc>
        <w:tc>
          <w:tcPr>
            <w:tcW w:w="797" w:type="dxa"/>
            <w:vAlign w:val="center"/>
          </w:tcPr>
          <w:p w14:paraId="6FBD9450" w14:textId="044847B5"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szCs w:val="20"/>
              </w:rPr>
              <w:t>1,9</w:t>
            </w:r>
          </w:p>
        </w:tc>
        <w:tc>
          <w:tcPr>
            <w:tcW w:w="797" w:type="dxa"/>
            <w:vAlign w:val="center"/>
          </w:tcPr>
          <w:p w14:paraId="56EFA4B7" w14:textId="63F3A14D"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szCs w:val="20"/>
              </w:rPr>
              <w:t>1,8</w:t>
            </w:r>
          </w:p>
        </w:tc>
        <w:tc>
          <w:tcPr>
            <w:tcW w:w="783" w:type="dxa"/>
            <w:vAlign w:val="center"/>
          </w:tcPr>
          <w:p w14:paraId="428EF0CC" w14:textId="147FE9CE"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szCs w:val="20"/>
              </w:rPr>
              <w:t>2,7</w:t>
            </w:r>
          </w:p>
        </w:tc>
        <w:tc>
          <w:tcPr>
            <w:tcW w:w="766" w:type="dxa"/>
            <w:vAlign w:val="center"/>
          </w:tcPr>
          <w:p w14:paraId="00B8A6AB" w14:textId="0A394DB8"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szCs w:val="20"/>
              </w:rPr>
              <w:t>2,6</w:t>
            </w:r>
          </w:p>
        </w:tc>
      </w:tr>
      <w:tr w:rsidR="006753E1" w:rsidRPr="00E055A8" w14:paraId="00F9AA5C" w14:textId="77777777" w:rsidTr="006B0E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1" w:type="dxa"/>
            <w:hideMark/>
          </w:tcPr>
          <w:p w14:paraId="648B8C08" w14:textId="77777777" w:rsidR="006753E1" w:rsidRPr="00E055A8" w:rsidRDefault="006753E1" w:rsidP="006753E1">
            <w:pPr>
              <w:spacing w:line="256" w:lineRule="auto"/>
              <w:rPr>
                <w:rFonts w:ascii="Times New Roman" w:eastAsia="Times New Roman" w:hAnsi="Times New Roman" w:cs="Times New Roman"/>
                <w:b w:val="0"/>
                <w:noProof/>
                <w:snapToGrid w:val="0"/>
                <w:color w:val="auto"/>
                <w:sz w:val="20"/>
                <w:szCs w:val="20"/>
              </w:rPr>
            </w:pPr>
            <w:r w:rsidRPr="00E055A8">
              <w:rPr>
                <w:rFonts w:ascii="Times New Roman" w:eastAsia="Times New Roman" w:hAnsi="Times New Roman" w:cs="Times New Roman"/>
                <w:b w:val="0"/>
                <w:noProof/>
                <w:snapToGrid w:val="0"/>
                <w:color w:val="auto"/>
                <w:sz w:val="20"/>
                <w:szCs w:val="20"/>
              </w:rPr>
              <w:t>2. Privātā patēriņa deflators</w:t>
            </w:r>
          </w:p>
        </w:tc>
        <w:tc>
          <w:tcPr>
            <w:tcW w:w="953" w:type="dxa"/>
          </w:tcPr>
          <w:p w14:paraId="5887F7CE" w14:textId="77777777" w:rsidR="006753E1" w:rsidRPr="00E055A8" w:rsidRDefault="006753E1" w:rsidP="006753E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73" w:type="dxa"/>
          </w:tcPr>
          <w:p w14:paraId="733A7F10" w14:textId="77777777" w:rsidR="006753E1" w:rsidRPr="00E055A8" w:rsidRDefault="006753E1" w:rsidP="006753E1">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97" w:type="dxa"/>
            <w:vAlign w:val="center"/>
          </w:tcPr>
          <w:p w14:paraId="262971DD" w14:textId="53674311"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0</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9</w:t>
            </w:r>
          </w:p>
        </w:tc>
        <w:tc>
          <w:tcPr>
            <w:tcW w:w="797" w:type="dxa"/>
            <w:vAlign w:val="center"/>
          </w:tcPr>
          <w:p w14:paraId="1F01F83D" w14:textId="3B84B7FF"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3</w:t>
            </w:r>
          </w:p>
        </w:tc>
        <w:tc>
          <w:tcPr>
            <w:tcW w:w="797" w:type="dxa"/>
            <w:vAlign w:val="center"/>
          </w:tcPr>
          <w:p w14:paraId="299D048B" w14:textId="6D937CCA"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c>
          <w:tcPr>
            <w:tcW w:w="783" w:type="dxa"/>
            <w:vAlign w:val="center"/>
          </w:tcPr>
          <w:p w14:paraId="07C40DCF" w14:textId="4E273257"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c>
          <w:tcPr>
            <w:tcW w:w="766" w:type="dxa"/>
            <w:vAlign w:val="center"/>
          </w:tcPr>
          <w:p w14:paraId="0752725A" w14:textId="50C30F3E"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r>
      <w:tr w:rsidR="006753E1" w:rsidRPr="00E055A8" w14:paraId="75C12374"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701" w:type="dxa"/>
            <w:hideMark/>
          </w:tcPr>
          <w:p w14:paraId="05093FBA" w14:textId="77777777" w:rsidR="006753E1" w:rsidRPr="00E055A8" w:rsidRDefault="006753E1" w:rsidP="006753E1">
            <w:pPr>
              <w:spacing w:line="256" w:lineRule="auto"/>
              <w:rPr>
                <w:rFonts w:ascii="Times New Roman" w:eastAsia="Times New Roman" w:hAnsi="Times New Roman" w:cs="Times New Roman"/>
                <w:b w:val="0"/>
                <w:noProof/>
                <w:snapToGrid w:val="0"/>
                <w:color w:val="auto"/>
                <w:sz w:val="20"/>
                <w:szCs w:val="20"/>
              </w:rPr>
            </w:pPr>
            <w:r w:rsidRPr="00E055A8">
              <w:rPr>
                <w:rFonts w:ascii="Times New Roman" w:eastAsia="Times New Roman" w:hAnsi="Times New Roman" w:cs="Times New Roman"/>
                <w:b w:val="0"/>
                <w:noProof/>
                <w:snapToGrid w:val="0"/>
                <w:color w:val="auto"/>
                <w:sz w:val="20"/>
                <w:szCs w:val="20"/>
              </w:rPr>
              <w:t xml:space="preserve">3. </w:t>
            </w:r>
            <w:r w:rsidRPr="00E055A8">
              <w:rPr>
                <w:rFonts w:ascii="Times New Roman" w:eastAsia="Times New Roman" w:hAnsi="Times New Roman" w:cs="Times New Roman"/>
                <w:b w:val="0"/>
                <w:noProof/>
                <w:color w:val="auto"/>
                <w:sz w:val="20"/>
                <w:szCs w:val="20"/>
              </w:rPr>
              <w:t>SPCI izmaiņas (gads pret gadu)</w:t>
            </w:r>
          </w:p>
        </w:tc>
        <w:tc>
          <w:tcPr>
            <w:tcW w:w="953" w:type="dxa"/>
          </w:tcPr>
          <w:p w14:paraId="4EDE6DCE" w14:textId="77777777" w:rsidR="006753E1" w:rsidRPr="00E055A8" w:rsidRDefault="006753E1" w:rsidP="006753E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73" w:type="dxa"/>
          </w:tcPr>
          <w:p w14:paraId="462755C1" w14:textId="77777777" w:rsidR="006753E1" w:rsidRPr="00E055A8" w:rsidRDefault="006753E1" w:rsidP="006753E1">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97" w:type="dxa"/>
            <w:vAlign w:val="center"/>
          </w:tcPr>
          <w:p w14:paraId="6E11A680" w14:textId="662C9CFB"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0</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1</w:t>
            </w:r>
          </w:p>
        </w:tc>
        <w:tc>
          <w:tcPr>
            <w:tcW w:w="797" w:type="dxa"/>
            <w:vAlign w:val="center"/>
          </w:tcPr>
          <w:p w14:paraId="362D7117" w14:textId="588F32C2"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3</w:t>
            </w:r>
          </w:p>
        </w:tc>
        <w:tc>
          <w:tcPr>
            <w:tcW w:w="797" w:type="dxa"/>
            <w:vAlign w:val="center"/>
          </w:tcPr>
          <w:p w14:paraId="08584B1D" w14:textId="089B13B2"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c>
          <w:tcPr>
            <w:tcW w:w="783" w:type="dxa"/>
            <w:vAlign w:val="center"/>
          </w:tcPr>
          <w:p w14:paraId="3E463D26" w14:textId="404F57A0"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c>
          <w:tcPr>
            <w:tcW w:w="766" w:type="dxa"/>
            <w:vAlign w:val="center"/>
          </w:tcPr>
          <w:p w14:paraId="27A4BBB0" w14:textId="3EE1654C"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r>
      <w:tr w:rsidR="006753E1" w:rsidRPr="00E055A8" w14:paraId="5B8C5D03" w14:textId="77777777" w:rsidTr="006B0E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1" w:type="dxa"/>
            <w:hideMark/>
          </w:tcPr>
          <w:p w14:paraId="0D7A1526" w14:textId="77777777" w:rsidR="006753E1" w:rsidRPr="00E055A8" w:rsidRDefault="006753E1" w:rsidP="006753E1">
            <w:pPr>
              <w:spacing w:line="256" w:lineRule="auto"/>
              <w:rPr>
                <w:rFonts w:ascii="Times New Roman" w:eastAsia="Times New Roman" w:hAnsi="Times New Roman" w:cs="Times New Roman"/>
                <w:b w:val="0"/>
                <w:noProof/>
                <w:snapToGrid w:val="0"/>
                <w:color w:val="auto"/>
                <w:sz w:val="20"/>
                <w:szCs w:val="20"/>
              </w:rPr>
            </w:pPr>
            <w:r w:rsidRPr="00E055A8">
              <w:rPr>
                <w:rFonts w:ascii="Times New Roman" w:eastAsia="Times New Roman" w:hAnsi="Times New Roman" w:cs="Times New Roman"/>
                <w:b w:val="0"/>
                <w:noProof/>
                <w:snapToGrid w:val="0"/>
                <w:color w:val="auto"/>
                <w:sz w:val="20"/>
                <w:szCs w:val="20"/>
              </w:rPr>
              <w:t>4. Sabiedriskā patēriņa deflators</w:t>
            </w:r>
          </w:p>
        </w:tc>
        <w:tc>
          <w:tcPr>
            <w:tcW w:w="953" w:type="dxa"/>
          </w:tcPr>
          <w:p w14:paraId="1F8A1DF6" w14:textId="77777777" w:rsidR="006753E1" w:rsidRPr="00E055A8" w:rsidRDefault="006753E1" w:rsidP="006753E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73" w:type="dxa"/>
          </w:tcPr>
          <w:p w14:paraId="10AC20F7" w14:textId="77777777" w:rsidR="006753E1" w:rsidRPr="00E055A8" w:rsidRDefault="006753E1" w:rsidP="006753E1">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97" w:type="dxa"/>
            <w:vAlign w:val="center"/>
          </w:tcPr>
          <w:p w14:paraId="367958DB" w14:textId="67F7FC15"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9</w:t>
            </w:r>
          </w:p>
        </w:tc>
        <w:tc>
          <w:tcPr>
            <w:tcW w:w="797" w:type="dxa"/>
            <w:vAlign w:val="center"/>
          </w:tcPr>
          <w:p w14:paraId="68529B14" w14:textId="2F8EABEA"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1</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9</w:t>
            </w:r>
          </w:p>
        </w:tc>
        <w:tc>
          <w:tcPr>
            <w:tcW w:w="797" w:type="dxa"/>
            <w:vAlign w:val="center"/>
          </w:tcPr>
          <w:p w14:paraId="44144015" w14:textId="0F65F445"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1</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6</w:t>
            </w:r>
          </w:p>
        </w:tc>
        <w:tc>
          <w:tcPr>
            <w:tcW w:w="783" w:type="dxa"/>
            <w:vAlign w:val="center"/>
          </w:tcPr>
          <w:p w14:paraId="57EB3C18" w14:textId="5558C0C0"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1</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6</w:t>
            </w:r>
          </w:p>
        </w:tc>
        <w:tc>
          <w:tcPr>
            <w:tcW w:w="766" w:type="dxa"/>
            <w:vAlign w:val="center"/>
          </w:tcPr>
          <w:p w14:paraId="766D5615" w14:textId="48E75CBE"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1</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6</w:t>
            </w:r>
          </w:p>
        </w:tc>
      </w:tr>
      <w:tr w:rsidR="006753E1" w:rsidRPr="00E055A8" w14:paraId="7143B032"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701" w:type="dxa"/>
            <w:hideMark/>
          </w:tcPr>
          <w:p w14:paraId="32D91FD2" w14:textId="77777777" w:rsidR="006753E1" w:rsidRPr="00E055A8" w:rsidRDefault="006753E1" w:rsidP="006753E1">
            <w:pPr>
              <w:spacing w:line="256" w:lineRule="auto"/>
              <w:rPr>
                <w:rFonts w:ascii="Times New Roman" w:eastAsia="Times New Roman" w:hAnsi="Times New Roman" w:cs="Times New Roman"/>
                <w:b w:val="0"/>
                <w:noProof/>
                <w:snapToGrid w:val="0"/>
                <w:color w:val="auto"/>
                <w:sz w:val="20"/>
                <w:szCs w:val="20"/>
              </w:rPr>
            </w:pPr>
            <w:r w:rsidRPr="00E055A8">
              <w:rPr>
                <w:rFonts w:ascii="Times New Roman" w:eastAsia="Times New Roman" w:hAnsi="Times New Roman" w:cs="Times New Roman"/>
                <w:b w:val="0"/>
                <w:noProof/>
                <w:snapToGrid w:val="0"/>
                <w:color w:val="auto"/>
                <w:sz w:val="20"/>
                <w:szCs w:val="20"/>
              </w:rPr>
              <w:t>5. Investīciju deflators</w:t>
            </w:r>
          </w:p>
        </w:tc>
        <w:tc>
          <w:tcPr>
            <w:tcW w:w="953" w:type="dxa"/>
          </w:tcPr>
          <w:p w14:paraId="4EA68C10" w14:textId="77777777" w:rsidR="006753E1" w:rsidRPr="00E055A8" w:rsidRDefault="006753E1" w:rsidP="006753E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73" w:type="dxa"/>
          </w:tcPr>
          <w:p w14:paraId="6658144E" w14:textId="77777777" w:rsidR="006753E1" w:rsidRPr="00E055A8" w:rsidRDefault="006753E1" w:rsidP="006753E1">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97" w:type="dxa"/>
            <w:vAlign w:val="center"/>
          </w:tcPr>
          <w:p w14:paraId="5C0FF403" w14:textId="6EDDBA70"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-1</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1</w:t>
            </w:r>
          </w:p>
        </w:tc>
        <w:tc>
          <w:tcPr>
            <w:tcW w:w="797" w:type="dxa"/>
            <w:vAlign w:val="center"/>
          </w:tcPr>
          <w:p w14:paraId="6B1104B5" w14:textId="4B465D96"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2</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8</w:t>
            </w:r>
          </w:p>
        </w:tc>
        <w:tc>
          <w:tcPr>
            <w:tcW w:w="797" w:type="dxa"/>
            <w:vAlign w:val="center"/>
          </w:tcPr>
          <w:p w14:paraId="06EE89FF" w14:textId="658129EB"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7</w:t>
            </w:r>
          </w:p>
        </w:tc>
        <w:tc>
          <w:tcPr>
            <w:tcW w:w="783" w:type="dxa"/>
            <w:vAlign w:val="center"/>
          </w:tcPr>
          <w:p w14:paraId="0830A108" w14:textId="273201D3"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7</w:t>
            </w:r>
          </w:p>
        </w:tc>
        <w:tc>
          <w:tcPr>
            <w:tcW w:w="766" w:type="dxa"/>
            <w:vAlign w:val="center"/>
          </w:tcPr>
          <w:p w14:paraId="4C9E5585" w14:textId="447CD33E"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7</w:t>
            </w:r>
          </w:p>
        </w:tc>
      </w:tr>
      <w:tr w:rsidR="006753E1" w:rsidRPr="00E055A8" w14:paraId="5E04C1E5" w14:textId="77777777" w:rsidTr="006B0E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1" w:type="dxa"/>
            <w:hideMark/>
          </w:tcPr>
          <w:p w14:paraId="4CCB690C" w14:textId="77777777" w:rsidR="006753E1" w:rsidRPr="00E055A8" w:rsidRDefault="006753E1" w:rsidP="006753E1">
            <w:pPr>
              <w:spacing w:line="256" w:lineRule="auto"/>
              <w:rPr>
                <w:rFonts w:ascii="Times New Roman" w:eastAsia="Times New Roman" w:hAnsi="Times New Roman" w:cs="Times New Roman"/>
                <w:b w:val="0"/>
                <w:noProof/>
                <w:snapToGrid w:val="0"/>
                <w:color w:val="auto"/>
                <w:sz w:val="20"/>
                <w:szCs w:val="20"/>
              </w:rPr>
            </w:pPr>
            <w:r w:rsidRPr="00E055A8">
              <w:rPr>
                <w:rFonts w:ascii="Times New Roman" w:eastAsia="Times New Roman" w:hAnsi="Times New Roman" w:cs="Times New Roman"/>
                <w:b w:val="0"/>
                <w:noProof/>
                <w:snapToGrid w:val="0"/>
                <w:color w:val="auto"/>
                <w:sz w:val="20"/>
                <w:szCs w:val="20"/>
              </w:rPr>
              <w:t>6. Eksporta (preču un pakalpojumu) deflators</w:t>
            </w:r>
          </w:p>
        </w:tc>
        <w:tc>
          <w:tcPr>
            <w:tcW w:w="953" w:type="dxa"/>
          </w:tcPr>
          <w:p w14:paraId="3289C701" w14:textId="77777777" w:rsidR="006753E1" w:rsidRPr="00E055A8" w:rsidRDefault="006753E1" w:rsidP="006753E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73" w:type="dxa"/>
          </w:tcPr>
          <w:p w14:paraId="6AA43C70" w14:textId="77777777" w:rsidR="006753E1" w:rsidRPr="00E055A8" w:rsidRDefault="006753E1" w:rsidP="006753E1">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97" w:type="dxa"/>
            <w:vAlign w:val="center"/>
          </w:tcPr>
          <w:p w14:paraId="39AF950A" w14:textId="03C0D854"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-1</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7</w:t>
            </w:r>
          </w:p>
        </w:tc>
        <w:tc>
          <w:tcPr>
            <w:tcW w:w="797" w:type="dxa"/>
            <w:vAlign w:val="center"/>
          </w:tcPr>
          <w:p w14:paraId="1FF5803E" w14:textId="1837CA16"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0</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5</w:t>
            </w:r>
          </w:p>
        </w:tc>
        <w:tc>
          <w:tcPr>
            <w:tcW w:w="797" w:type="dxa"/>
            <w:vAlign w:val="center"/>
          </w:tcPr>
          <w:p w14:paraId="28459BAC" w14:textId="2F5070FB"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c>
          <w:tcPr>
            <w:tcW w:w="783" w:type="dxa"/>
            <w:vAlign w:val="center"/>
          </w:tcPr>
          <w:p w14:paraId="1171E476" w14:textId="3C0B0F7F"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c>
          <w:tcPr>
            <w:tcW w:w="766" w:type="dxa"/>
            <w:vAlign w:val="center"/>
          </w:tcPr>
          <w:p w14:paraId="59564793" w14:textId="0F5E4B77"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0</w:t>
            </w:r>
          </w:p>
        </w:tc>
      </w:tr>
      <w:tr w:rsidR="006753E1" w:rsidRPr="00E055A8" w14:paraId="3E624364"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701" w:type="dxa"/>
            <w:hideMark/>
          </w:tcPr>
          <w:p w14:paraId="778F52D1" w14:textId="77777777" w:rsidR="006753E1" w:rsidRPr="00E055A8" w:rsidRDefault="006753E1" w:rsidP="006753E1">
            <w:pPr>
              <w:spacing w:line="256" w:lineRule="auto"/>
              <w:rPr>
                <w:rFonts w:ascii="Times New Roman" w:eastAsia="Times New Roman" w:hAnsi="Times New Roman" w:cs="Times New Roman"/>
                <w:b w:val="0"/>
                <w:noProof/>
                <w:snapToGrid w:val="0"/>
                <w:color w:val="auto"/>
                <w:sz w:val="20"/>
                <w:szCs w:val="20"/>
              </w:rPr>
            </w:pPr>
            <w:r w:rsidRPr="00E055A8">
              <w:rPr>
                <w:rFonts w:ascii="Times New Roman" w:eastAsia="Times New Roman" w:hAnsi="Times New Roman" w:cs="Times New Roman"/>
                <w:b w:val="0"/>
                <w:noProof/>
                <w:snapToGrid w:val="0"/>
                <w:color w:val="auto"/>
                <w:sz w:val="20"/>
                <w:szCs w:val="20"/>
              </w:rPr>
              <w:t>7. Importa (preču un pakalpojumu) deflators</w:t>
            </w:r>
          </w:p>
        </w:tc>
        <w:tc>
          <w:tcPr>
            <w:tcW w:w="953" w:type="dxa"/>
          </w:tcPr>
          <w:p w14:paraId="506919F4" w14:textId="77777777" w:rsidR="006753E1" w:rsidRPr="00E055A8" w:rsidRDefault="006753E1" w:rsidP="006753E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73" w:type="dxa"/>
          </w:tcPr>
          <w:p w14:paraId="6B15938F" w14:textId="77777777" w:rsidR="006753E1" w:rsidRPr="00E055A8" w:rsidRDefault="006753E1" w:rsidP="006753E1">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97" w:type="dxa"/>
            <w:vAlign w:val="center"/>
          </w:tcPr>
          <w:p w14:paraId="35CAC0B2" w14:textId="2F81BCEB"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-6</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1</w:t>
            </w:r>
          </w:p>
        </w:tc>
        <w:tc>
          <w:tcPr>
            <w:tcW w:w="797" w:type="dxa"/>
            <w:vAlign w:val="center"/>
          </w:tcPr>
          <w:p w14:paraId="3E4F4E4C" w14:textId="1F394F0D"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1</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5</w:t>
            </w:r>
          </w:p>
        </w:tc>
        <w:tc>
          <w:tcPr>
            <w:tcW w:w="797" w:type="dxa"/>
            <w:vAlign w:val="center"/>
          </w:tcPr>
          <w:p w14:paraId="037B8717" w14:textId="749A6ABB"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5</w:t>
            </w:r>
          </w:p>
        </w:tc>
        <w:tc>
          <w:tcPr>
            <w:tcW w:w="783" w:type="dxa"/>
            <w:vAlign w:val="center"/>
          </w:tcPr>
          <w:p w14:paraId="34FA29CA" w14:textId="62FD6CEF"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5</w:t>
            </w:r>
          </w:p>
        </w:tc>
        <w:tc>
          <w:tcPr>
            <w:tcW w:w="766" w:type="dxa"/>
            <w:vAlign w:val="center"/>
          </w:tcPr>
          <w:p w14:paraId="7C21F934" w14:textId="2F490755"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szCs w:val="20"/>
              </w:rPr>
              <w:t>4</w:t>
            </w:r>
            <w:r>
              <w:rPr>
                <w:rFonts w:ascii="Times New Roman" w:hAnsi="Times New Roman" w:cs="Times New Roman"/>
                <w:color w:val="auto"/>
                <w:sz w:val="20"/>
                <w:szCs w:val="20"/>
              </w:rPr>
              <w:t>,</w:t>
            </w:r>
            <w:r w:rsidRPr="000960F7">
              <w:rPr>
                <w:rFonts w:ascii="Times New Roman" w:hAnsi="Times New Roman" w:cs="Times New Roman"/>
                <w:color w:val="auto"/>
                <w:sz w:val="20"/>
                <w:szCs w:val="20"/>
              </w:rPr>
              <w:t>5</w:t>
            </w:r>
          </w:p>
        </w:tc>
      </w:tr>
    </w:tbl>
    <w:p w14:paraId="5AC024C6" w14:textId="77777777" w:rsidR="00F51615" w:rsidRPr="00F51615" w:rsidRDefault="00F51615" w:rsidP="00F51615">
      <w:pPr>
        <w:rPr>
          <w:rFonts w:ascii="Times New Roman" w:hAnsi="Times New Roman" w:cs="Times New Roman"/>
          <w:b/>
          <w:color w:val="000000"/>
        </w:rPr>
      </w:pPr>
    </w:p>
    <w:p w14:paraId="184FAAC8" w14:textId="3AB8549A" w:rsidR="00F51615" w:rsidRPr="00C81719" w:rsidRDefault="00C81719" w:rsidP="00F51615">
      <w:pPr>
        <w:rPr>
          <w:rFonts w:ascii="Times New Roman" w:hAnsi="Times New Roman" w:cs="Times New Roman"/>
          <w:b/>
          <w:color w:val="000000"/>
          <w:sz w:val="24"/>
        </w:rPr>
      </w:pPr>
      <w:r>
        <w:rPr>
          <w:rFonts w:ascii="Times New Roman" w:hAnsi="Times New Roman" w:cs="Times New Roman"/>
          <w:b/>
          <w:color w:val="000000"/>
          <w:sz w:val="24"/>
        </w:rPr>
        <w:t>1c.</w:t>
      </w:r>
      <w:r w:rsidR="00F51615" w:rsidRPr="00C81719">
        <w:rPr>
          <w:rFonts w:ascii="Times New Roman" w:hAnsi="Times New Roman" w:cs="Times New Roman"/>
          <w:b/>
          <w:color w:val="000000"/>
          <w:sz w:val="24"/>
        </w:rPr>
        <w:t>tabula. Darba tirgus attīstība</w:t>
      </w:r>
    </w:p>
    <w:tbl>
      <w:tblPr>
        <w:tblStyle w:val="GridTable6Colorful-Accent1"/>
        <w:tblW w:w="9567" w:type="dxa"/>
        <w:jc w:val="center"/>
        <w:tblLayout w:type="fixed"/>
        <w:tblLook w:val="04A0" w:firstRow="1" w:lastRow="0" w:firstColumn="1" w:lastColumn="0" w:noHBand="0" w:noVBand="1"/>
      </w:tblPr>
      <w:tblGrid>
        <w:gridCol w:w="3598"/>
        <w:gridCol w:w="859"/>
        <w:gridCol w:w="1345"/>
        <w:gridCol w:w="639"/>
        <w:gridCol w:w="858"/>
        <w:gridCol w:w="859"/>
        <w:gridCol w:w="714"/>
        <w:gridCol w:w="695"/>
      </w:tblGrid>
      <w:tr w:rsidR="00E055A8" w:rsidRPr="00E055A8" w14:paraId="4D601F66" w14:textId="77777777" w:rsidTr="003E25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14:paraId="43576EE2" w14:textId="77777777" w:rsidR="0009609E" w:rsidRPr="00E055A8" w:rsidRDefault="0009609E" w:rsidP="0009609E">
            <w:pPr>
              <w:rPr>
                <w:rFonts w:ascii="Times New Roman" w:eastAsia="Times New Roman" w:hAnsi="Times New Roman" w:cs="Times New Roman"/>
                <w:color w:val="auto"/>
                <w:sz w:val="20"/>
                <w:szCs w:val="20"/>
              </w:rPr>
            </w:pPr>
          </w:p>
        </w:tc>
        <w:tc>
          <w:tcPr>
            <w:tcW w:w="859" w:type="dxa"/>
            <w:vAlign w:val="center"/>
          </w:tcPr>
          <w:p w14:paraId="0C459EBC" w14:textId="77777777" w:rsidR="0009609E" w:rsidRPr="00F11D34" w:rsidRDefault="0009609E"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11D34">
              <w:rPr>
                <w:rFonts w:ascii="Times New Roman" w:eastAsia="Times New Roman" w:hAnsi="Times New Roman" w:cs="Times New Roman"/>
                <w:color w:val="auto"/>
                <w:sz w:val="20"/>
                <w:szCs w:val="20"/>
              </w:rPr>
              <w:t>EKS</w:t>
            </w:r>
          </w:p>
          <w:p w14:paraId="65E74279" w14:textId="77777777" w:rsidR="0009609E" w:rsidRPr="00F11D34" w:rsidRDefault="0009609E"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11D34">
              <w:rPr>
                <w:rFonts w:ascii="Times New Roman" w:eastAsia="Times New Roman" w:hAnsi="Times New Roman" w:cs="Times New Roman"/>
                <w:color w:val="auto"/>
                <w:sz w:val="20"/>
                <w:szCs w:val="20"/>
              </w:rPr>
              <w:t>Kods</w:t>
            </w:r>
          </w:p>
        </w:tc>
        <w:tc>
          <w:tcPr>
            <w:tcW w:w="1345" w:type="dxa"/>
            <w:vAlign w:val="center"/>
          </w:tcPr>
          <w:p w14:paraId="73EE144A" w14:textId="052FFDED"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2016</w:t>
            </w:r>
          </w:p>
        </w:tc>
        <w:tc>
          <w:tcPr>
            <w:tcW w:w="639" w:type="dxa"/>
            <w:vAlign w:val="center"/>
          </w:tcPr>
          <w:p w14:paraId="0F8D5026" w14:textId="304EF335"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2016</w:t>
            </w:r>
          </w:p>
        </w:tc>
        <w:tc>
          <w:tcPr>
            <w:tcW w:w="858" w:type="dxa"/>
            <w:vAlign w:val="center"/>
          </w:tcPr>
          <w:p w14:paraId="3B487F9F" w14:textId="69F80B85"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2017</w:t>
            </w:r>
          </w:p>
        </w:tc>
        <w:tc>
          <w:tcPr>
            <w:tcW w:w="859" w:type="dxa"/>
            <w:vAlign w:val="center"/>
          </w:tcPr>
          <w:p w14:paraId="6754CAFB" w14:textId="62297042"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2018</w:t>
            </w:r>
          </w:p>
        </w:tc>
        <w:tc>
          <w:tcPr>
            <w:tcW w:w="714" w:type="dxa"/>
            <w:vAlign w:val="center"/>
          </w:tcPr>
          <w:p w14:paraId="3AFBDF51" w14:textId="5F70B526"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2019</w:t>
            </w:r>
          </w:p>
        </w:tc>
        <w:tc>
          <w:tcPr>
            <w:tcW w:w="695" w:type="dxa"/>
            <w:vAlign w:val="center"/>
          </w:tcPr>
          <w:p w14:paraId="6BB301FC" w14:textId="3757F97E"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2020</w:t>
            </w:r>
          </w:p>
        </w:tc>
      </w:tr>
      <w:tr w:rsidR="00F11D34" w:rsidRPr="00E055A8" w14:paraId="060A5B88" w14:textId="77777777" w:rsidTr="003E2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14:paraId="45D58124" w14:textId="77777777" w:rsidR="00F11D34" w:rsidRPr="00E055A8" w:rsidRDefault="00F11D34" w:rsidP="00F11D34">
            <w:pPr>
              <w:jc w:val="center"/>
              <w:rPr>
                <w:rFonts w:ascii="Times New Roman" w:eastAsia="Times New Roman" w:hAnsi="Times New Roman" w:cs="Times New Roman"/>
                <w:sz w:val="20"/>
                <w:szCs w:val="20"/>
              </w:rPr>
            </w:pPr>
          </w:p>
        </w:tc>
        <w:tc>
          <w:tcPr>
            <w:tcW w:w="859" w:type="dxa"/>
          </w:tcPr>
          <w:p w14:paraId="2AC81F11" w14:textId="77777777" w:rsidR="00F11D34" w:rsidRPr="00E055A8" w:rsidRDefault="00F11D34" w:rsidP="00F11D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45" w:type="dxa"/>
          </w:tcPr>
          <w:p w14:paraId="5A5C929C" w14:textId="68E682F2" w:rsidR="00F11D34" w:rsidRPr="00E055A8" w:rsidRDefault="00F11D34" w:rsidP="00F11D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E055A8">
              <w:rPr>
                <w:rFonts w:ascii="Times New Roman" w:eastAsia="Times New Roman" w:hAnsi="Times New Roman" w:cs="Times New Roman"/>
                <w:color w:val="auto"/>
                <w:sz w:val="20"/>
                <w:szCs w:val="20"/>
              </w:rPr>
              <w:t>Līmenis</w:t>
            </w:r>
          </w:p>
        </w:tc>
        <w:tc>
          <w:tcPr>
            <w:tcW w:w="3765" w:type="dxa"/>
            <w:gridSpan w:val="5"/>
          </w:tcPr>
          <w:p w14:paraId="668B38AE" w14:textId="166DC690" w:rsidR="00F11D34" w:rsidRPr="00E055A8" w:rsidRDefault="00F11D34" w:rsidP="00F11D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E055A8">
              <w:rPr>
                <w:rFonts w:ascii="Times New Roman" w:eastAsia="Times New Roman" w:hAnsi="Times New Roman" w:cs="Times New Roman"/>
                <w:color w:val="auto"/>
                <w:sz w:val="20"/>
                <w:szCs w:val="20"/>
              </w:rPr>
              <w:t>Pieaugums %</w:t>
            </w:r>
          </w:p>
        </w:tc>
      </w:tr>
      <w:tr w:rsidR="006753E1" w:rsidRPr="00E055A8" w14:paraId="639DE527"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598" w:type="dxa"/>
          </w:tcPr>
          <w:p w14:paraId="67C96529" w14:textId="77777777" w:rsidR="006753E1" w:rsidRPr="00B5365D" w:rsidRDefault="006753E1" w:rsidP="006753E1">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1. Nodarbinātība, cilvēki, tūkst</w:t>
            </w:r>
          </w:p>
        </w:tc>
        <w:tc>
          <w:tcPr>
            <w:tcW w:w="859" w:type="dxa"/>
          </w:tcPr>
          <w:p w14:paraId="343AC4A4" w14:textId="77777777" w:rsidR="006753E1" w:rsidRPr="00E055A8" w:rsidRDefault="006753E1" w:rsidP="006753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45" w:type="dxa"/>
            <w:vAlign w:val="center"/>
          </w:tcPr>
          <w:p w14:paraId="4D968CE3" w14:textId="20C5331B"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rPr>
              <w:t>893</w:t>
            </w:r>
          </w:p>
        </w:tc>
        <w:tc>
          <w:tcPr>
            <w:tcW w:w="639" w:type="dxa"/>
            <w:vAlign w:val="center"/>
          </w:tcPr>
          <w:p w14:paraId="23A7BAFB" w14:textId="48466933"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3</w:t>
            </w:r>
          </w:p>
        </w:tc>
        <w:tc>
          <w:tcPr>
            <w:tcW w:w="858" w:type="dxa"/>
            <w:vAlign w:val="center"/>
          </w:tcPr>
          <w:p w14:paraId="74BCF2D7" w14:textId="503EB3ED"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859" w:type="dxa"/>
            <w:vAlign w:val="center"/>
          </w:tcPr>
          <w:p w14:paraId="0FBD2323" w14:textId="1089623E"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714" w:type="dxa"/>
            <w:vAlign w:val="center"/>
          </w:tcPr>
          <w:p w14:paraId="65F9A119" w14:textId="018AA185"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695" w:type="dxa"/>
            <w:vAlign w:val="center"/>
          </w:tcPr>
          <w:p w14:paraId="34A61C71" w14:textId="3E63193F"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0</w:t>
            </w:r>
          </w:p>
        </w:tc>
      </w:tr>
      <w:tr w:rsidR="006753E1" w:rsidRPr="00E055A8" w14:paraId="21EDA161" w14:textId="77777777" w:rsidTr="006B0E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14:paraId="3B6CFBA9" w14:textId="77777777" w:rsidR="006753E1" w:rsidRPr="00B5365D" w:rsidRDefault="006753E1" w:rsidP="006753E1">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2. Nodarbinātība, darba stundas</w:t>
            </w:r>
          </w:p>
        </w:tc>
        <w:tc>
          <w:tcPr>
            <w:tcW w:w="859" w:type="dxa"/>
          </w:tcPr>
          <w:p w14:paraId="5EFF4AD9" w14:textId="77777777" w:rsidR="006753E1" w:rsidRPr="00E055A8" w:rsidRDefault="006753E1" w:rsidP="006753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45" w:type="dxa"/>
            <w:vAlign w:val="center"/>
          </w:tcPr>
          <w:p w14:paraId="02E7597A" w14:textId="7ACC6CFC"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33DCC">
              <w:rPr>
                <w:rFonts w:ascii="Times New Roman" w:hAnsi="Times New Roman" w:cs="Times New Roman"/>
                <w:color w:val="auto"/>
                <w:sz w:val="20"/>
              </w:rPr>
              <w:t>1306792585</w:t>
            </w:r>
          </w:p>
        </w:tc>
        <w:tc>
          <w:tcPr>
            <w:tcW w:w="639" w:type="dxa"/>
            <w:vAlign w:val="center"/>
          </w:tcPr>
          <w:p w14:paraId="00604D5B" w14:textId="0F7E08D2"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D2914">
              <w:rPr>
                <w:rFonts w:ascii="Times New Roman" w:hAnsi="Times New Roman" w:cs="Times New Roman"/>
                <w:color w:val="auto"/>
                <w:sz w:val="20"/>
              </w:rPr>
              <w:t>0,6</w:t>
            </w:r>
          </w:p>
        </w:tc>
        <w:tc>
          <w:tcPr>
            <w:tcW w:w="858" w:type="dxa"/>
            <w:vAlign w:val="center"/>
          </w:tcPr>
          <w:p w14:paraId="098439BC" w14:textId="71250AC5"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859" w:type="dxa"/>
            <w:vAlign w:val="center"/>
          </w:tcPr>
          <w:p w14:paraId="30A7A913" w14:textId="351B2765" w:rsidR="006753E1" w:rsidRPr="00DD2914" w:rsidRDefault="006753E1" w:rsidP="006B0EB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highlight w:val="yellow"/>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714" w:type="dxa"/>
            <w:vAlign w:val="center"/>
          </w:tcPr>
          <w:p w14:paraId="2B0E07F1" w14:textId="6DC32308" w:rsidR="006753E1" w:rsidRPr="00DD2914" w:rsidRDefault="006753E1" w:rsidP="006B0EB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highlight w:val="yellow"/>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695" w:type="dxa"/>
            <w:vAlign w:val="center"/>
          </w:tcPr>
          <w:p w14:paraId="54537CF5" w14:textId="7223E5D6" w:rsidR="006753E1" w:rsidRPr="00DD2914" w:rsidRDefault="006753E1" w:rsidP="006B0EB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highlight w:val="yellow"/>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0</w:t>
            </w:r>
          </w:p>
        </w:tc>
      </w:tr>
      <w:tr w:rsidR="006753E1" w:rsidRPr="00E055A8" w14:paraId="78CF8A01"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598" w:type="dxa"/>
          </w:tcPr>
          <w:p w14:paraId="3454C448" w14:textId="77777777" w:rsidR="006753E1" w:rsidRPr="00B5365D" w:rsidRDefault="006753E1" w:rsidP="006753E1">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3. Bezdarba līmenis (%)</w:t>
            </w:r>
          </w:p>
        </w:tc>
        <w:tc>
          <w:tcPr>
            <w:tcW w:w="859" w:type="dxa"/>
          </w:tcPr>
          <w:p w14:paraId="32FAC0EB" w14:textId="77777777" w:rsidR="006753E1" w:rsidRPr="00E055A8" w:rsidRDefault="006753E1" w:rsidP="006753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45" w:type="dxa"/>
            <w:vAlign w:val="center"/>
          </w:tcPr>
          <w:p w14:paraId="58C7CB24" w14:textId="77777777" w:rsidR="006753E1" w:rsidRPr="00DD2914" w:rsidRDefault="006753E1" w:rsidP="006B0EBB">
            <w:pPr>
              <w:tabs>
                <w:tab w:val="decimal" w:pos="511"/>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639" w:type="dxa"/>
            <w:vAlign w:val="center"/>
          </w:tcPr>
          <w:p w14:paraId="03C900C5" w14:textId="66352D5D"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9</w:t>
            </w:r>
            <w:r>
              <w:rPr>
                <w:rFonts w:ascii="Times New Roman" w:hAnsi="Times New Roman" w:cs="Times New Roman"/>
                <w:color w:val="auto"/>
                <w:sz w:val="20"/>
              </w:rPr>
              <w:t>,</w:t>
            </w:r>
            <w:r w:rsidRPr="00F02172">
              <w:rPr>
                <w:rFonts w:ascii="Times New Roman" w:hAnsi="Times New Roman" w:cs="Times New Roman"/>
                <w:color w:val="auto"/>
                <w:sz w:val="20"/>
              </w:rPr>
              <w:t>6</w:t>
            </w:r>
          </w:p>
        </w:tc>
        <w:tc>
          <w:tcPr>
            <w:tcW w:w="858" w:type="dxa"/>
            <w:vAlign w:val="center"/>
          </w:tcPr>
          <w:p w14:paraId="512F2D21" w14:textId="211A34E9"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9</w:t>
            </w:r>
            <w:r>
              <w:rPr>
                <w:rFonts w:ascii="Times New Roman" w:hAnsi="Times New Roman" w:cs="Times New Roman"/>
                <w:color w:val="auto"/>
                <w:sz w:val="20"/>
              </w:rPr>
              <w:t>,</w:t>
            </w:r>
            <w:r w:rsidRPr="00F02172">
              <w:rPr>
                <w:rFonts w:ascii="Times New Roman" w:hAnsi="Times New Roman" w:cs="Times New Roman"/>
                <w:color w:val="auto"/>
                <w:sz w:val="20"/>
              </w:rPr>
              <w:t>4</w:t>
            </w:r>
          </w:p>
        </w:tc>
        <w:tc>
          <w:tcPr>
            <w:tcW w:w="859" w:type="dxa"/>
            <w:vAlign w:val="center"/>
          </w:tcPr>
          <w:p w14:paraId="19E3213C" w14:textId="056C863F"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8</w:t>
            </w:r>
            <w:r>
              <w:rPr>
                <w:rFonts w:ascii="Times New Roman" w:hAnsi="Times New Roman" w:cs="Times New Roman"/>
                <w:color w:val="auto"/>
                <w:sz w:val="20"/>
              </w:rPr>
              <w:t>,</w:t>
            </w:r>
            <w:r w:rsidRPr="00F02172">
              <w:rPr>
                <w:rFonts w:ascii="Times New Roman" w:hAnsi="Times New Roman" w:cs="Times New Roman"/>
                <w:color w:val="auto"/>
                <w:sz w:val="20"/>
              </w:rPr>
              <w:t>9</w:t>
            </w:r>
          </w:p>
        </w:tc>
        <w:tc>
          <w:tcPr>
            <w:tcW w:w="714" w:type="dxa"/>
            <w:vAlign w:val="center"/>
          </w:tcPr>
          <w:p w14:paraId="397EB0E5" w14:textId="2F66C9D2"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8</w:t>
            </w:r>
            <w:r>
              <w:rPr>
                <w:rFonts w:ascii="Times New Roman" w:hAnsi="Times New Roman" w:cs="Times New Roman"/>
                <w:color w:val="auto"/>
                <w:sz w:val="20"/>
              </w:rPr>
              <w:t>,</w:t>
            </w:r>
            <w:r w:rsidRPr="00F02172">
              <w:rPr>
                <w:rFonts w:ascii="Times New Roman" w:hAnsi="Times New Roman" w:cs="Times New Roman"/>
                <w:color w:val="auto"/>
                <w:sz w:val="20"/>
              </w:rPr>
              <w:t>4</w:t>
            </w:r>
          </w:p>
        </w:tc>
        <w:tc>
          <w:tcPr>
            <w:tcW w:w="695" w:type="dxa"/>
            <w:vAlign w:val="center"/>
          </w:tcPr>
          <w:p w14:paraId="4C552093" w14:textId="15595A34"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8</w:t>
            </w:r>
            <w:r>
              <w:rPr>
                <w:rFonts w:ascii="Times New Roman" w:hAnsi="Times New Roman" w:cs="Times New Roman"/>
                <w:color w:val="auto"/>
                <w:sz w:val="20"/>
              </w:rPr>
              <w:t>,</w:t>
            </w:r>
            <w:r w:rsidRPr="00F02172">
              <w:rPr>
                <w:rFonts w:ascii="Times New Roman" w:hAnsi="Times New Roman" w:cs="Times New Roman"/>
                <w:color w:val="auto"/>
                <w:sz w:val="20"/>
              </w:rPr>
              <w:t>2</w:t>
            </w:r>
          </w:p>
        </w:tc>
      </w:tr>
      <w:tr w:rsidR="006753E1" w:rsidRPr="00E055A8" w14:paraId="69A7E662" w14:textId="77777777" w:rsidTr="006B0E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14:paraId="4CEE4A10" w14:textId="77777777" w:rsidR="006753E1" w:rsidRPr="00B5365D" w:rsidRDefault="006753E1" w:rsidP="006753E1">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4. Darba ražīgums, uz nodarbināto</w:t>
            </w:r>
          </w:p>
        </w:tc>
        <w:tc>
          <w:tcPr>
            <w:tcW w:w="859" w:type="dxa"/>
          </w:tcPr>
          <w:p w14:paraId="6C9C31D5" w14:textId="77777777" w:rsidR="006753E1" w:rsidRPr="00E055A8" w:rsidRDefault="006753E1" w:rsidP="006753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45" w:type="dxa"/>
            <w:vAlign w:val="center"/>
          </w:tcPr>
          <w:p w14:paraId="3F30B968" w14:textId="77777777" w:rsidR="006753E1" w:rsidRPr="00DD2914" w:rsidRDefault="006753E1" w:rsidP="006B0EBB">
            <w:pPr>
              <w:tabs>
                <w:tab w:val="decimal" w:pos="511"/>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639" w:type="dxa"/>
            <w:vAlign w:val="center"/>
          </w:tcPr>
          <w:p w14:paraId="4B459C87" w14:textId="1FE6395C"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2</w:t>
            </w:r>
            <w:r>
              <w:rPr>
                <w:rFonts w:ascii="Times New Roman" w:hAnsi="Times New Roman" w:cs="Times New Roman"/>
                <w:color w:val="auto"/>
                <w:sz w:val="20"/>
              </w:rPr>
              <w:t>,</w:t>
            </w:r>
            <w:r w:rsidRPr="00F02172">
              <w:rPr>
                <w:rFonts w:ascii="Times New Roman" w:hAnsi="Times New Roman" w:cs="Times New Roman"/>
                <w:color w:val="auto"/>
                <w:sz w:val="20"/>
              </w:rPr>
              <w:t>3</w:t>
            </w:r>
          </w:p>
        </w:tc>
        <w:tc>
          <w:tcPr>
            <w:tcW w:w="858" w:type="dxa"/>
            <w:vAlign w:val="center"/>
          </w:tcPr>
          <w:p w14:paraId="4892C767" w14:textId="5E33484D"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859" w:type="dxa"/>
            <w:vAlign w:val="center"/>
          </w:tcPr>
          <w:p w14:paraId="41F88486" w14:textId="70698F8E"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714" w:type="dxa"/>
            <w:vAlign w:val="center"/>
          </w:tcPr>
          <w:p w14:paraId="7600D4CE" w14:textId="1CB535C5"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695" w:type="dxa"/>
            <w:vAlign w:val="center"/>
          </w:tcPr>
          <w:p w14:paraId="18F0D1A8" w14:textId="6EDC91B8"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0</w:t>
            </w:r>
          </w:p>
        </w:tc>
      </w:tr>
      <w:tr w:rsidR="006753E1" w:rsidRPr="00E055A8" w14:paraId="3E7C74E1"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598" w:type="dxa"/>
          </w:tcPr>
          <w:p w14:paraId="693E1AF6" w14:textId="77777777" w:rsidR="006753E1" w:rsidRPr="00B5365D" w:rsidRDefault="006753E1" w:rsidP="006753E1">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5. Darba ražīgums, uz darba stundu</w:t>
            </w:r>
          </w:p>
        </w:tc>
        <w:tc>
          <w:tcPr>
            <w:tcW w:w="859" w:type="dxa"/>
          </w:tcPr>
          <w:p w14:paraId="0E9D35A6" w14:textId="77777777" w:rsidR="006753E1" w:rsidRPr="00E055A8" w:rsidRDefault="006753E1" w:rsidP="006753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45" w:type="dxa"/>
            <w:vAlign w:val="center"/>
          </w:tcPr>
          <w:p w14:paraId="401FD275" w14:textId="77777777" w:rsidR="006753E1" w:rsidRPr="00DD2914" w:rsidRDefault="006753E1" w:rsidP="006B0EBB">
            <w:pPr>
              <w:tabs>
                <w:tab w:val="decimal" w:pos="511"/>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639" w:type="dxa"/>
            <w:vAlign w:val="center"/>
          </w:tcPr>
          <w:p w14:paraId="1FD9B257" w14:textId="1ECF20CE" w:rsidR="006753E1" w:rsidRPr="00DD2914" w:rsidRDefault="006753E1" w:rsidP="006B0EB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2,3</w:t>
            </w:r>
          </w:p>
        </w:tc>
        <w:tc>
          <w:tcPr>
            <w:tcW w:w="858" w:type="dxa"/>
            <w:vAlign w:val="center"/>
          </w:tcPr>
          <w:p w14:paraId="7D9B734B" w14:textId="0B2A341D" w:rsidR="006753E1" w:rsidRPr="00DD2914" w:rsidRDefault="006753E1" w:rsidP="006B0EB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859" w:type="dxa"/>
            <w:vAlign w:val="center"/>
          </w:tcPr>
          <w:p w14:paraId="4FA2ED38" w14:textId="6D1DF5A1" w:rsidR="006753E1" w:rsidRPr="00DD2914" w:rsidRDefault="006753E1" w:rsidP="006B0EB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714" w:type="dxa"/>
            <w:vAlign w:val="center"/>
          </w:tcPr>
          <w:p w14:paraId="3873699E" w14:textId="31650B10" w:rsidR="006753E1" w:rsidRPr="00DD2914" w:rsidRDefault="006753E1" w:rsidP="006B0EB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695" w:type="dxa"/>
            <w:vAlign w:val="center"/>
          </w:tcPr>
          <w:p w14:paraId="3EA797EF" w14:textId="0C663C1C" w:rsidR="006753E1" w:rsidRPr="00DD2914" w:rsidRDefault="006753E1" w:rsidP="006B0EB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3</w:t>
            </w:r>
            <w:r>
              <w:rPr>
                <w:rFonts w:ascii="Times New Roman" w:hAnsi="Times New Roman" w:cs="Times New Roman"/>
                <w:color w:val="auto"/>
                <w:sz w:val="20"/>
              </w:rPr>
              <w:t>,</w:t>
            </w:r>
            <w:r w:rsidRPr="00F02172">
              <w:rPr>
                <w:rFonts w:ascii="Times New Roman" w:hAnsi="Times New Roman" w:cs="Times New Roman"/>
                <w:color w:val="auto"/>
                <w:sz w:val="20"/>
              </w:rPr>
              <w:t>0</w:t>
            </w:r>
          </w:p>
        </w:tc>
      </w:tr>
      <w:tr w:rsidR="006753E1" w:rsidRPr="00E055A8" w14:paraId="1E5C3E99" w14:textId="77777777" w:rsidTr="006B0E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14:paraId="479CB966" w14:textId="66AC7167" w:rsidR="006753E1" w:rsidRPr="00B5365D" w:rsidRDefault="006753E1" w:rsidP="006753E1">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 xml:space="preserve">6. Atlīdzība nodarbinātajiem, milj. </w:t>
            </w:r>
            <w:r w:rsidRPr="00B5365D">
              <w:rPr>
                <w:rFonts w:ascii="Times New Roman" w:eastAsia="Times New Roman" w:hAnsi="Times New Roman" w:cs="Times New Roman"/>
                <w:b w:val="0"/>
                <w:i/>
                <w:snapToGrid w:val="0"/>
                <w:color w:val="auto"/>
                <w:sz w:val="20"/>
                <w:szCs w:val="20"/>
              </w:rPr>
              <w:t>euro</w:t>
            </w:r>
            <w:r w:rsidRPr="00B5365D">
              <w:rPr>
                <w:rFonts w:ascii="Times New Roman" w:eastAsia="Times New Roman" w:hAnsi="Times New Roman" w:cs="Times New Roman"/>
                <w:b w:val="0"/>
                <w:snapToGrid w:val="0"/>
                <w:color w:val="auto"/>
                <w:sz w:val="20"/>
                <w:szCs w:val="20"/>
              </w:rPr>
              <w:t>, faktiskās cenās</w:t>
            </w:r>
          </w:p>
        </w:tc>
        <w:tc>
          <w:tcPr>
            <w:tcW w:w="859" w:type="dxa"/>
            <w:vAlign w:val="center"/>
          </w:tcPr>
          <w:p w14:paraId="628159D7" w14:textId="77777777" w:rsidR="006753E1" w:rsidRPr="00E055A8" w:rsidRDefault="006753E1" w:rsidP="006B0E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55A8">
              <w:rPr>
                <w:rFonts w:ascii="Times New Roman" w:eastAsia="Times New Roman" w:hAnsi="Times New Roman" w:cs="Times New Roman"/>
                <w:color w:val="auto"/>
                <w:sz w:val="20"/>
                <w:szCs w:val="20"/>
              </w:rPr>
              <w:t>D.1</w:t>
            </w:r>
          </w:p>
        </w:tc>
        <w:tc>
          <w:tcPr>
            <w:tcW w:w="1345" w:type="dxa"/>
            <w:vAlign w:val="center"/>
          </w:tcPr>
          <w:p w14:paraId="491CA2BD" w14:textId="77777777" w:rsidR="006753E1"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F02172">
              <w:rPr>
                <w:rFonts w:ascii="Times New Roman" w:hAnsi="Times New Roman" w:cs="Times New Roman"/>
                <w:color w:val="auto"/>
                <w:sz w:val="20"/>
              </w:rPr>
              <w:t>11505</w:t>
            </w:r>
          </w:p>
          <w:p w14:paraId="17607A81" w14:textId="050031F1" w:rsidR="006753E1" w:rsidRPr="00DD2914" w:rsidRDefault="006753E1" w:rsidP="006B0EBB">
            <w:pPr>
              <w:spacing w:line="25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639" w:type="dxa"/>
            <w:vAlign w:val="center"/>
          </w:tcPr>
          <w:p w14:paraId="6B4861D4" w14:textId="6A9BF8B6" w:rsidR="006753E1" w:rsidRPr="00DD2914" w:rsidRDefault="006753E1" w:rsidP="006B0EB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sidRPr="00F02172">
              <w:rPr>
                <w:rFonts w:ascii="Times New Roman" w:hAnsi="Times New Roman" w:cs="Times New Roman"/>
                <w:color w:val="auto"/>
                <w:sz w:val="20"/>
              </w:rPr>
              <w:t>6</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858" w:type="dxa"/>
            <w:vAlign w:val="center"/>
          </w:tcPr>
          <w:p w14:paraId="52DE0058" w14:textId="7CA145F7" w:rsidR="006753E1" w:rsidRPr="00DD2914" w:rsidRDefault="006753E1" w:rsidP="006B0EBB">
            <w:pPr>
              <w:tabs>
                <w:tab w:val="decimal" w:pos="511"/>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7</w:t>
            </w:r>
          </w:p>
        </w:tc>
        <w:tc>
          <w:tcPr>
            <w:tcW w:w="859" w:type="dxa"/>
            <w:vAlign w:val="center"/>
          </w:tcPr>
          <w:p w14:paraId="29C01366" w14:textId="52060B7E" w:rsidR="006753E1" w:rsidRPr="00DD2914" w:rsidRDefault="006753E1" w:rsidP="006B0EBB">
            <w:pPr>
              <w:tabs>
                <w:tab w:val="decimal" w:pos="511"/>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2</w:t>
            </w:r>
          </w:p>
        </w:tc>
        <w:tc>
          <w:tcPr>
            <w:tcW w:w="714" w:type="dxa"/>
            <w:vAlign w:val="center"/>
          </w:tcPr>
          <w:p w14:paraId="48B50B51" w14:textId="40F12580" w:rsidR="006753E1" w:rsidRPr="00DD2914" w:rsidRDefault="006753E1" w:rsidP="006B0EBB">
            <w:pPr>
              <w:tabs>
                <w:tab w:val="decimal" w:pos="511"/>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sidR="004D5182">
              <w:rPr>
                <w:rFonts w:ascii="Times New Roman" w:hAnsi="Times New Roman" w:cs="Times New Roman"/>
                <w:color w:val="auto"/>
                <w:sz w:val="20"/>
              </w:rPr>
              <w:t xml:space="preserve">  </w:t>
            </w:r>
            <w:r>
              <w:rPr>
                <w:rFonts w:ascii="Times New Roman" w:hAnsi="Times New Roman" w:cs="Times New Roman"/>
                <w:color w:val="auto"/>
                <w:sz w:val="20"/>
              </w:rPr>
              <w:t>,</w:t>
            </w:r>
            <w:r w:rsidR="004D5182">
              <w:rPr>
                <w:rFonts w:ascii="Times New Roman" w:hAnsi="Times New Roman" w:cs="Times New Roman"/>
                <w:color w:val="auto"/>
                <w:sz w:val="20"/>
              </w:rPr>
              <w:t xml:space="preserve">  </w:t>
            </w:r>
            <w:r w:rsidRPr="00F02172">
              <w:rPr>
                <w:rFonts w:ascii="Times New Roman" w:hAnsi="Times New Roman" w:cs="Times New Roman"/>
                <w:color w:val="auto"/>
                <w:sz w:val="20"/>
              </w:rPr>
              <w:t>0</w:t>
            </w:r>
          </w:p>
        </w:tc>
        <w:tc>
          <w:tcPr>
            <w:tcW w:w="695" w:type="dxa"/>
            <w:vAlign w:val="center"/>
          </w:tcPr>
          <w:p w14:paraId="64800567" w14:textId="3CBB312C" w:rsidR="006753E1" w:rsidRPr="00DD2914" w:rsidRDefault="006753E1" w:rsidP="006B0EBB">
            <w:pPr>
              <w:tabs>
                <w:tab w:val="decimal" w:pos="392"/>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0</w:t>
            </w:r>
          </w:p>
        </w:tc>
      </w:tr>
      <w:tr w:rsidR="006753E1" w:rsidRPr="00E055A8" w14:paraId="6CD4FC61" w14:textId="77777777" w:rsidTr="006B0EBB">
        <w:trPr>
          <w:jc w:val="center"/>
        </w:trPr>
        <w:tc>
          <w:tcPr>
            <w:cnfStyle w:val="001000000000" w:firstRow="0" w:lastRow="0" w:firstColumn="1" w:lastColumn="0" w:oddVBand="0" w:evenVBand="0" w:oddHBand="0" w:evenHBand="0" w:firstRowFirstColumn="0" w:firstRowLastColumn="0" w:lastRowFirstColumn="0" w:lastRowLastColumn="0"/>
            <w:tcW w:w="3598" w:type="dxa"/>
          </w:tcPr>
          <w:p w14:paraId="53DA48ED" w14:textId="634FB049" w:rsidR="006753E1" w:rsidRPr="00B5365D" w:rsidRDefault="006753E1" w:rsidP="006753E1">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 xml:space="preserve">7. Atlīdzība nodarbinātajam, </w:t>
            </w:r>
            <w:r w:rsidRPr="00B5365D">
              <w:rPr>
                <w:rFonts w:ascii="Times New Roman" w:eastAsia="Times New Roman" w:hAnsi="Times New Roman" w:cs="Times New Roman"/>
                <w:b w:val="0"/>
                <w:i/>
                <w:snapToGrid w:val="0"/>
                <w:color w:val="auto"/>
                <w:sz w:val="20"/>
                <w:szCs w:val="20"/>
              </w:rPr>
              <w:t>euro</w:t>
            </w:r>
          </w:p>
        </w:tc>
        <w:tc>
          <w:tcPr>
            <w:tcW w:w="859" w:type="dxa"/>
          </w:tcPr>
          <w:p w14:paraId="782C81AA" w14:textId="77777777" w:rsidR="006753E1" w:rsidRPr="00E055A8" w:rsidRDefault="006753E1" w:rsidP="006753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45" w:type="dxa"/>
            <w:vAlign w:val="center"/>
          </w:tcPr>
          <w:p w14:paraId="5E77413B" w14:textId="745A4C9B"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859</w:t>
            </w:r>
          </w:p>
        </w:tc>
        <w:tc>
          <w:tcPr>
            <w:tcW w:w="639" w:type="dxa"/>
            <w:vAlign w:val="center"/>
          </w:tcPr>
          <w:p w14:paraId="200E529F" w14:textId="4739DE87"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858" w:type="dxa"/>
            <w:vAlign w:val="center"/>
          </w:tcPr>
          <w:p w14:paraId="60845D99" w14:textId="121AC394"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5</w:t>
            </w:r>
          </w:p>
        </w:tc>
        <w:tc>
          <w:tcPr>
            <w:tcW w:w="859" w:type="dxa"/>
            <w:vAlign w:val="center"/>
          </w:tcPr>
          <w:p w14:paraId="5107AD7E" w14:textId="27CDB2C6"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714" w:type="dxa"/>
            <w:vAlign w:val="center"/>
          </w:tcPr>
          <w:p w14:paraId="2E979EBB" w14:textId="19501DA4"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695" w:type="dxa"/>
            <w:vAlign w:val="center"/>
          </w:tcPr>
          <w:p w14:paraId="09B12B40" w14:textId="318DC989" w:rsidR="006753E1" w:rsidRPr="00DD2914" w:rsidRDefault="006753E1" w:rsidP="006B0EBB">
            <w:pPr>
              <w:spacing w:line="25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0</w:t>
            </w:r>
          </w:p>
        </w:tc>
      </w:tr>
    </w:tbl>
    <w:p w14:paraId="41E3160A" w14:textId="77777777" w:rsidR="00F51615" w:rsidRPr="00F51615" w:rsidRDefault="00F51615" w:rsidP="00F51615">
      <w:pPr>
        <w:rPr>
          <w:rFonts w:ascii="Times New Roman" w:hAnsi="Times New Roman" w:cs="Times New Roman"/>
          <w:b/>
          <w:color w:val="000000"/>
        </w:rPr>
      </w:pPr>
    </w:p>
    <w:p w14:paraId="3FD160C3" w14:textId="4C92620D" w:rsidR="00F51615" w:rsidRPr="00F51615" w:rsidRDefault="00C81719" w:rsidP="00F51615">
      <w:pPr>
        <w:pStyle w:val="T"/>
        <w:ind w:left="0"/>
        <w:rPr>
          <w:rFonts w:ascii="Times New Roman" w:hAnsi="Times New Roman"/>
          <w:color w:val="000000"/>
        </w:rPr>
      </w:pPr>
      <w:r>
        <w:rPr>
          <w:rFonts w:ascii="Times New Roman" w:hAnsi="Times New Roman"/>
          <w:color w:val="000000"/>
        </w:rPr>
        <w:lastRenderedPageBreak/>
        <w:t>1d.</w:t>
      </w:r>
      <w:r w:rsidR="00F51615" w:rsidRPr="00F51615">
        <w:rPr>
          <w:rFonts w:ascii="Times New Roman" w:hAnsi="Times New Roman"/>
          <w:color w:val="000000"/>
        </w:rPr>
        <w:t>tabula. Sektoru bilances</w:t>
      </w:r>
    </w:p>
    <w:tbl>
      <w:tblPr>
        <w:tblStyle w:val="GridTable6Colorful-Accent1"/>
        <w:tblW w:w="9543" w:type="dxa"/>
        <w:jc w:val="center"/>
        <w:tblLayout w:type="fixed"/>
        <w:tblLook w:val="04A0" w:firstRow="1" w:lastRow="0" w:firstColumn="1" w:lastColumn="0" w:noHBand="0" w:noVBand="1"/>
      </w:tblPr>
      <w:tblGrid>
        <w:gridCol w:w="4649"/>
        <w:gridCol w:w="960"/>
        <w:gridCol w:w="786"/>
        <w:gridCol w:w="787"/>
        <w:gridCol w:w="787"/>
        <w:gridCol w:w="787"/>
        <w:gridCol w:w="787"/>
      </w:tblGrid>
      <w:tr w:rsidR="0009609E" w:rsidRPr="00F11D34" w14:paraId="12E33E7A" w14:textId="77777777" w:rsidTr="003E255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49" w:type="dxa"/>
            <w:vMerge w:val="restart"/>
            <w:vAlign w:val="center"/>
            <w:hideMark/>
          </w:tcPr>
          <w:p w14:paraId="5E79FE97" w14:textId="77777777" w:rsidR="0009609E" w:rsidRPr="00F11D34" w:rsidRDefault="0009609E" w:rsidP="00F11D34">
            <w:pPr>
              <w:jc w:val="center"/>
              <w:rPr>
                <w:rFonts w:ascii="Times New Roman" w:eastAsia="Calibri" w:hAnsi="Times New Roman" w:cs="Times New Roman"/>
                <w:color w:val="000000"/>
                <w:sz w:val="20"/>
                <w:szCs w:val="20"/>
              </w:rPr>
            </w:pPr>
            <w:r w:rsidRPr="00F11D34">
              <w:rPr>
                <w:rFonts w:ascii="Times New Roman" w:eastAsia="Calibri" w:hAnsi="Times New Roman" w:cs="Times New Roman"/>
                <w:color w:val="000000"/>
                <w:sz w:val="20"/>
                <w:szCs w:val="20"/>
              </w:rPr>
              <w:t>% no IKP</w:t>
            </w:r>
          </w:p>
        </w:tc>
        <w:tc>
          <w:tcPr>
            <w:tcW w:w="960" w:type="dxa"/>
            <w:vMerge w:val="restart"/>
            <w:vAlign w:val="center"/>
            <w:hideMark/>
          </w:tcPr>
          <w:p w14:paraId="0928DA53" w14:textId="77777777" w:rsidR="0009609E" w:rsidRPr="00F11D34" w:rsidRDefault="0009609E"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color w:val="000000"/>
                <w:sz w:val="20"/>
                <w:szCs w:val="20"/>
              </w:rPr>
              <w:t>EKS kods</w:t>
            </w:r>
          </w:p>
        </w:tc>
        <w:tc>
          <w:tcPr>
            <w:tcW w:w="786" w:type="dxa"/>
            <w:vMerge w:val="restart"/>
            <w:vAlign w:val="center"/>
            <w:hideMark/>
          </w:tcPr>
          <w:p w14:paraId="7F4C521A" w14:textId="05C7004B"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2016</w:t>
            </w:r>
          </w:p>
        </w:tc>
        <w:tc>
          <w:tcPr>
            <w:tcW w:w="787" w:type="dxa"/>
            <w:vMerge w:val="restart"/>
            <w:vAlign w:val="center"/>
            <w:hideMark/>
          </w:tcPr>
          <w:p w14:paraId="2DF6B93D" w14:textId="4845525F"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2017</w:t>
            </w:r>
          </w:p>
        </w:tc>
        <w:tc>
          <w:tcPr>
            <w:tcW w:w="787" w:type="dxa"/>
            <w:vMerge w:val="restart"/>
            <w:vAlign w:val="center"/>
            <w:hideMark/>
          </w:tcPr>
          <w:p w14:paraId="6D2D347F" w14:textId="47F9FFB7"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2018</w:t>
            </w:r>
          </w:p>
        </w:tc>
        <w:tc>
          <w:tcPr>
            <w:tcW w:w="787" w:type="dxa"/>
            <w:vMerge w:val="restart"/>
            <w:vAlign w:val="center"/>
            <w:hideMark/>
          </w:tcPr>
          <w:p w14:paraId="7A43D615" w14:textId="6C648E1A"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2019</w:t>
            </w:r>
          </w:p>
        </w:tc>
        <w:tc>
          <w:tcPr>
            <w:tcW w:w="787" w:type="dxa"/>
            <w:vMerge w:val="restart"/>
            <w:vAlign w:val="center"/>
            <w:hideMark/>
          </w:tcPr>
          <w:p w14:paraId="1778DDD7" w14:textId="63C41907" w:rsidR="0009609E" w:rsidRPr="00F11D34"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2020</w:t>
            </w:r>
          </w:p>
        </w:tc>
      </w:tr>
      <w:tr w:rsidR="0009609E" w:rsidRPr="00F11D34" w14:paraId="66000B71" w14:textId="77777777" w:rsidTr="003E2559">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649" w:type="dxa"/>
            <w:vMerge/>
            <w:hideMark/>
          </w:tcPr>
          <w:p w14:paraId="32E078BB" w14:textId="77777777" w:rsidR="0009609E" w:rsidRPr="00F11D34" w:rsidRDefault="0009609E" w:rsidP="0009609E">
            <w:pPr>
              <w:rPr>
                <w:rFonts w:ascii="Times New Roman" w:eastAsia="Calibri" w:hAnsi="Times New Roman" w:cs="Times New Roman"/>
                <w:b w:val="0"/>
                <w:color w:val="000000"/>
                <w:sz w:val="20"/>
                <w:szCs w:val="20"/>
              </w:rPr>
            </w:pPr>
          </w:p>
        </w:tc>
        <w:tc>
          <w:tcPr>
            <w:tcW w:w="960" w:type="dxa"/>
            <w:vMerge/>
            <w:hideMark/>
          </w:tcPr>
          <w:p w14:paraId="6884706D" w14:textId="77777777" w:rsidR="0009609E" w:rsidRPr="00F11D34" w:rsidRDefault="0009609E" w:rsidP="0009609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Merge/>
            <w:hideMark/>
          </w:tcPr>
          <w:p w14:paraId="3BDA0547" w14:textId="77777777" w:rsidR="0009609E" w:rsidRPr="00F11D34" w:rsidRDefault="0009609E" w:rsidP="0009609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hideMark/>
          </w:tcPr>
          <w:p w14:paraId="36093C0D" w14:textId="77777777" w:rsidR="0009609E" w:rsidRPr="00F11D34" w:rsidRDefault="0009609E" w:rsidP="0009609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hideMark/>
          </w:tcPr>
          <w:p w14:paraId="1B518E99" w14:textId="77777777" w:rsidR="0009609E" w:rsidRPr="00F11D34" w:rsidRDefault="0009609E" w:rsidP="0009609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hideMark/>
          </w:tcPr>
          <w:p w14:paraId="22D84F30" w14:textId="77777777" w:rsidR="0009609E" w:rsidRPr="00F11D34" w:rsidRDefault="0009609E" w:rsidP="0009609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hideMark/>
          </w:tcPr>
          <w:p w14:paraId="5F62A27A" w14:textId="77777777" w:rsidR="0009609E" w:rsidRPr="00F11D34" w:rsidRDefault="0009609E" w:rsidP="0009609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r>
      <w:tr w:rsidR="006753E1" w:rsidRPr="00F11D34" w14:paraId="1C1310F8" w14:textId="77777777" w:rsidTr="006B0EBB">
        <w:trPr>
          <w:trHeight w:val="207"/>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2AC3E82F"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1. Tekošais un kapitāla konts</w:t>
            </w:r>
          </w:p>
        </w:tc>
        <w:tc>
          <w:tcPr>
            <w:tcW w:w="960" w:type="dxa"/>
            <w:vAlign w:val="center"/>
            <w:hideMark/>
          </w:tcPr>
          <w:p w14:paraId="38AF2FC3" w14:textId="77777777" w:rsidR="006753E1" w:rsidRPr="00F11D34" w:rsidRDefault="006753E1" w:rsidP="006B0EB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B.9</w:t>
            </w:r>
          </w:p>
        </w:tc>
        <w:tc>
          <w:tcPr>
            <w:tcW w:w="786" w:type="dxa"/>
            <w:vAlign w:val="center"/>
          </w:tcPr>
          <w:p w14:paraId="33C819C4" w14:textId="352D3862"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2</w:t>
            </w:r>
            <w:r>
              <w:rPr>
                <w:rFonts w:ascii="Times New Roman" w:hAnsi="Times New Roman" w:cs="Times New Roman"/>
                <w:color w:val="auto"/>
                <w:sz w:val="20"/>
              </w:rPr>
              <w:t>,</w:t>
            </w:r>
            <w:r w:rsidRPr="00932787">
              <w:rPr>
                <w:rFonts w:ascii="Times New Roman" w:hAnsi="Times New Roman" w:cs="Times New Roman"/>
                <w:color w:val="auto"/>
                <w:sz w:val="20"/>
              </w:rPr>
              <w:t>0</w:t>
            </w:r>
          </w:p>
        </w:tc>
        <w:tc>
          <w:tcPr>
            <w:tcW w:w="787" w:type="dxa"/>
            <w:vAlign w:val="center"/>
          </w:tcPr>
          <w:p w14:paraId="1E914A73" w14:textId="22D8E796"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3</w:t>
            </w:r>
            <w:r>
              <w:rPr>
                <w:rFonts w:ascii="Times New Roman" w:hAnsi="Times New Roman" w:cs="Times New Roman"/>
                <w:color w:val="auto"/>
                <w:sz w:val="20"/>
              </w:rPr>
              <w:t>,</w:t>
            </w:r>
            <w:r w:rsidRPr="00932787">
              <w:rPr>
                <w:rFonts w:ascii="Times New Roman" w:hAnsi="Times New Roman" w:cs="Times New Roman"/>
                <w:color w:val="auto"/>
                <w:sz w:val="20"/>
              </w:rPr>
              <w:t>4</w:t>
            </w:r>
          </w:p>
        </w:tc>
        <w:tc>
          <w:tcPr>
            <w:tcW w:w="787" w:type="dxa"/>
            <w:vAlign w:val="center"/>
          </w:tcPr>
          <w:p w14:paraId="46E1D3E0" w14:textId="7639331D"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5</w:t>
            </w:r>
          </w:p>
        </w:tc>
        <w:tc>
          <w:tcPr>
            <w:tcW w:w="787" w:type="dxa"/>
            <w:vAlign w:val="center"/>
          </w:tcPr>
          <w:p w14:paraId="608A17C2" w14:textId="0B6AE6A2"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3</w:t>
            </w:r>
          </w:p>
        </w:tc>
        <w:tc>
          <w:tcPr>
            <w:tcW w:w="787" w:type="dxa"/>
            <w:vAlign w:val="center"/>
          </w:tcPr>
          <w:p w14:paraId="2CBE5015" w14:textId="1F1E9B83"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8</w:t>
            </w:r>
          </w:p>
        </w:tc>
      </w:tr>
      <w:tr w:rsidR="006753E1" w:rsidRPr="00F11D34" w14:paraId="7B1192B8" w14:textId="77777777" w:rsidTr="006B0EBB">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227EBDAE"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t.sk.:</w:t>
            </w:r>
          </w:p>
        </w:tc>
        <w:tc>
          <w:tcPr>
            <w:tcW w:w="960" w:type="dxa"/>
            <w:vAlign w:val="center"/>
            <w:hideMark/>
          </w:tcPr>
          <w:p w14:paraId="733F8FE7" w14:textId="0ACD1E90" w:rsidR="006753E1" w:rsidRPr="00F11D34" w:rsidRDefault="006753E1" w:rsidP="006B0EB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noWrap/>
            <w:vAlign w:val="center"/>
          </w:tcPr>
          <w:p w14:paraId="68808CFF" w14:textId="7440AF14"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000000"/>
                <w:sz w:val="20"/>
              </w:rPr>
              <w:t> </w:t>
            </w:r>
          </w:p>
        </w:tc>
        <w:tc>
          <w:tcPr>
            <w:tcW w:w="787" w:type="dxa"/>
            <w:noWrap/>
            <w:vAlign w:val="center"/>
          </w:tcPr>
          <w:p w14:paraId="26AE0B0C" w14:textId="70897ED6"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000000"/>
                <w:sz w:val="20"/>
              </w:rPr>
              <w:t> </w:t>
            </w:r>
          </w:p>
        </w:tc>
        <w:tc>
          <w:tcPr>
            <w:tcW w:w="787" w:type="dxa"/>
            <w:noWrap/>
            <w:vAlign w:val="center"/>
          </w:tcPr>
          <w:p w14:paraId="7DEAA139" w14:textId="65D3B939"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000000"/>
                <w:sz w:val="20"/>
              </w:rPr>
              <w:t> </w:t>
            </w:r>
          </w:p>
        </w:tc>
        <w:tc>
          <w:tcPr>
            <w:tcW w:w="787" w:type="dxa"/>
            <w:noWrap/>
            <w:vAlign w:val="center"/>
          </w:tcPr>
          <w:p w14:paraId="2D380E0E" w14:textId="0675A5B0"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000000"/>
                <w:sz w:val="20"/>
              </w:rPr>
              <w:t> </w:t>
            </w:r>
          </w:p>
        </w:tc>
        <w:tc>
          <w:tcPr>
            <w:tcW w:w="787" w:type="dxa"/>
            <w:noWrap/>
            <w:vAlign w:val="center"/>
          </w:tcPr>
          <w:p w14:paraId="5A7FFCC9" w14:textId="6A620C94"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000000"/>
                <w:sz w:val="20"/>
              </w:rPr>
              <w:t> </w:t>
            </w:r>
          </w:p>
        </w:tc>
      </w:tr>
      <w:tr w:rsidR="006753E1" w:rsidRPr="00F11D34" w14:paraId="43C634B1" w14:textId="77777777" w:rsidTr="006B0EBB">
        <w:trPr>
          <w:trHeight w:val="230"/>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6C3685AB"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Preču un pakalpojumu bilance</w:t>
            </w:r>
          </w:p>
        </w:tc>
        <w:tc>
          <w:tcPr>
            <w:tcW w:w="960" w:type="dxa"/>
            <w:vAlign w:val="center"/>
            <w:hideMark/>
          </w:tcPr>
          <w:p w14:paraId="02B2CF76" w14:textId="7A1A40AB" w:rsidR="006753E1" w:rsidRPr="00F11D34" w:rsidRDefault="006753E1" w:rsidP="006B0EB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14:paraId="20CD895B" w14:textId="4E897A15"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5</w:t>
            </w:r>
          </w:p>
        </w:tc>
        <w:tc>
          <w:tcPr>
            <w:tcW w:w="787" w:type="dxa"/>
            <w:vAlign w:val="center"/>
          </w:tcPr>
          <w:p w14:paraId="081B3757" w14:textId="0B1D5C30"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0</w:t>
            </w:r>
          </w:p>
        </w:tc>
        <w:tc>
          <w:tcPr>
            <w:tcW w:w="787" w:type="dxa"/>
            <w:vAlign w:val="center"/>
          </w:tcPr>
          <w:p w14:paraId="1726AF78" w14:textId="006647C7"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3</w:t>
            </w:r>
          </w:p>
        </w:tc>
        <w:tc>
          <w:tcPr>
            <w:tcW w:w="787" w:type="dxa"/>
            <w:vAlign w:val="center"/>
          </w:tcPr>
          <w:p w14:paraId="42263E2C" w14:textId="6EDC4274"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-2</w:t>
            </w:r>
            <w:r>
              <w:rPr>
                <w:rFonts w:ascii="Times New Roman" w:hAnsi="Times New Roman" w:cs="Times New Roman"/>
                <w:color w:val="auto"/>
                <w:sz w:val="20"/>
              </w:rPr>
              <w:t>,</w:t>
            </w:r>
            <w:r w:rsidRPr="00932787">
              <w:rPr>
                <w:rFonts w:ascii="Times New Roman" w:hAnsi="Times New Roman" w:cs="Times New Roman"/>
                <w:color w:val="auto"/>
                <w:sz w:val="20"/>
              </w:rPr>
              <w:t>5</w:t>
            </w:r>
          </w:p>
        </w:tc>
        <w:tc>
          <w:tcPr>
            <w:tcW w:w="787" w:type="dxa"/>
            <w:vAlign w:val="center"/>
          </w:tcPr>
          <w:p w14:paraId="502C04EF" w14:textId="12EE5FF2"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-3</w:t>
            </w:r>
            <w:r>
              <w:rPr>
                <w:rFonts w:ascii="Times New Roman" w:hAnsi="Times New Roman" w:cs="Times New Roman"/>
                <w:color w:val="auto"/>
                <w:sz w:val="20"/>
              </w:rPr>
              <w:t>,</w:t>
            </w:r>
            <w:r w:rsidRPr="00932787">
              <w:rPr>
                <w:rFonts w:ascii="Times New Roman" w:hAnsi="Times New Roman" w:cs="Times New Roman"/>
                <w:color w:val="auto"/>
                <w:sz w:val="20"/>
              </w:rPr>
              <w:t>4</w:t>
            </w:r>
          </w:p>
        </w:tc>
      </w:tr>
      <w:tr w:rsidR="006753E1" w:rsidRPr="00F11D34" w14:paraId="7499B61A" w14:textId="77777777" w:rsidTr="006B0EB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25E04B69"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Ienākumu un pārvedumu bilance</w:t>
            </w:r>
          </w:p>
        </w:tc>
        <w:tc>
          <w:tcPr>
            <w:tcW w:w="960" w:type="dxa"/>
            <w:vAlign w:val="center"/>
            <w:hideMark/>
          </w:tcPr>
          <w:p w14:paraId="28B9BE35" w14:textId="5C2FCF77" w:rsidR="006753E1" w:rsidRPr="00F11D34" w:rsidRDefault="006753E1" w:rsidP="006B0EB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14:paraId="78C2C088" w14:textId="5DE375E5"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1</w:t>
            </w:r>
          </w:p>
        </w:tc>
        <w:tc>
          <w:tcPr>
            <w:tcW w:w="787" w:type="dxa"/>
            <w:vAlign w:val="center"/>
          </w:tcPr>
          <w:p w14:paraId="626113F8" w14:textId="7A2EA7C2"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5</w:t>
            </w:r>
          </w:p>
        </w:tc>
        <w:tc>
          <w:tcPr>
            <w:tcW w:w="787" w:type="dxa"/>
            <w:vAlign w:val="center"/>
          </w:tcPr>
          <w:p w14:paraId="414806F5" w14:textId="6AE6A7F3"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5</w:t>
            </w:r>
          </w:p>
        </w:tc>
        <w:tc>
          <w:tcPr>
            <w:tcW w:w="787" w:type="dxa"/>
            <w:vAlign w:val="center"/>
          </w:tcPr>
          <w:p w14:paraId="033FB422" w14:textId="2DC5F377"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4</w:t>
            </w:r>
          </w:p>
        </w:tc>
        <w:tc>
          <w:tcPr>
            <w:tcW w:w="787" w:type="dxa"/>
            <w:vAlign w:val="center"/>
          </w:tcPr>
          <w:p w14:paraId="3DEE28A2" w14:textId="1E19DC26"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5</w:t>
            </w:r>
          </w:p>
        </w:tc>
      </w:tr>
      <w:tr w:rsidR="006753E1" w:rsidRPr="00F11D34" w14:paraId="0A4D4119" w14:textId="77777777" w:rsidTr="006B0EBB">
        <w:trPr>
          <w:trHeight w:val="252"/>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47EBFFD3"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Kapitāla konts</w:t>
            </w:r>
          </w:p>
        </w:tc>
        <w:tc>
          <w:tcPr>
            <w:tcW w:w="960" w:type="dxa"/>
            <w:vAlign w:val="center"/>
            <w:hideMark/>
          </w:tcPr>
          <w:p w14:paraId="43C22F92" w14:textId="3136DF13" w:rsidR="006753E1" w:rsidRPr="00F11D34" w:rsidRDefault="006753E1" w:rsidP="006B0EB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14:paraId="0BA7DFCA" w14:textId="611F4EF5"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4</w:t>
            </w:r>
          </w:p>
        </w:tc>
        <w:tc>
          <w:tcPr>
            <w:tcW w:w="787" w:type="dxa"/>
            <w:vAlign w:val="center"/>
          </w:tcPr>
          <w:p w14:paraId="42410380" w14:textId="0924ECD7"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9</w:t>
            </w:r>
          </w:p>
        </w:tc>
        <w:tc>
          <w:tcPr>
            <w:tcW w:w="787" w:type="dxa"/>
            <w:vAlign w:val="center"/>
          </w:tcPr>
          <w:p w14:paraId="53302B67" w14:textId="689EB3CB"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2</w:t>
            </w:r>
            <w:r>
              <w:rPr>
                <w:rFonts w:ascii="Times New Roman" w:hAnsi="Times New Roman" w:cs="Times New Roman"/>
                <w:color w:val="auto"/>
                <w:sz w:val="20"/>
              </w:rPr>
              <w:t>,</w:t>
            </w:r>
            <w:r w:rsidRPr="00932787">
              <w:rPr>
                <w:rFonts w:ascii="Times New Roman" w:hAnsi="Times New Roman" w:cs="Times New Roman"/>
                <w:color w:val="auto"/>
                <w:sz w:val="20"/>
              </w:rPr>
              <w:t>2</w:t>
            </w:r>
          </w:p>
        </w:tc>
        <w:tc>
          <w:tcPr>
            <w:tcW w:w="787" w:type="dxa"/>
            <w:vAlign w:val="center"/>
          </w:tcPr>
          <w:p w14:paraId="79FDE974" w14:textId="2B645BB9"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8</w:t>
            </w:r>
          </w:p>
        </w:tc>
        <w:tc>
          <w:tcPr>
            <w:tcW w:w="787" w:type="dxa"/>
            <w:vAlign w:val="center"/>
          </w:tcPr>
          <w:p w14:paraId="1CF1FB95" w14:textId="441F8E0A"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2</w:t>
            </w:r>
            <w:r>
              <w:rPr>
                <w:rFonts w:ascii="Times New Roman" w:hAnsi="Times New Roman" w:cs="Times New Roman"/>
                <w:color w:val="auto"/>
                <w:sz w:val="20"/>
              </w:rPr>
              <w:t>,</w:t>
            </w:r>
            <w:r w:rsidRPr="00932787">
              <w:rPr>
                <w:rFonts w:ascii="Times New Roman" w:hAnsi="Times New Roman" w:cs="Times New Roman"/>
                <w:color w:val="auto"/>
                <w:sz w:val="20"/>
              </w:rPr>
              <w:t>0</w:t>
            </w:r>
          </w:p>
        </w:tc>
      </w:tr>
      <w:tr w:rsidR="006753E1" w:rsidRPr="00F11D34" w14:paraId="21921F08" w14:textId="77777777" w:rsidTr="006B0EB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50C717E0"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2. Neto aizdevumi/ aizņemšanās privātajā sektorā</w:t>
            </w:r>
          </w:p>
        </w:tc>
        <w:tc>
          <w:tcPr>
            <w:tcW w:w="960" w:type="dxa"/>
            <w:vAlign w:val="center"/>
            <w:hideMark/>
          </w:tcPr>
          <w:p w14:paraId="00EBC445" w14:textId="77777777" w:rsidR="006753E1" w:rsidRPr="00F11D34" w:rsidRDefault="006753E1" w:rsidP="006B0EB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B.9</w:t>
            </w:r>
          </w:p>
        </w:tc>
        <w:tc>
          <w:tcPr>
            <w:tcW w:w="786" w:type="dxa"/>
            <w:vAlign w:val="center"/>
          </w:tcPr>
          <w:p w14:paraId="6FD54103" w14:textId="0998FA91"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2</w:t>
            </w:r>
            <w:r>
              <w:rPr>
                <w:rFonts w:ascii="Times New Roman" w:hAnsi="Times New Roman" w:cs="Times New Roman"/>
                <w:color w:val="auto"/>
                <w:sz w:val="20"/>
              </w:rPr>
              <w:t>,</w:t>
            </w:r>
            <w:r w:rsidRPr="00932787">
              <w:rPr>
                <w:rFonts w:ascii="Times New Roman" w:hAnsi="Times New Roman" w:cs="Times New Roman"/>
                <w:color w:val="auto"/>
                <w:sz w:val="20"/>
              </w:rPr>
              <w:t>1</w:t>
            </w:r>
          </w:p>
        </w:tc>
        <w:tc>
          <w:tcPr>
            <w:tcW w:w="787" w:type="dxa"/>
            <w:vAlign w:val="center"/>
          </w:tcPr>
          <w:p w14:paraId="632C07E6" w14:textId="4CD1337D"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4</w:t>
            </w:r>
            <w:r>
              <w:rPr>
                <w:rFonts w:ascii="Times New Roman" w:hAnsi="Times New Roman" w:cs="Times New Roman"/>
                <w:color w:val="auto"/>
                <w:sz w:val="20"/>
              </w:rPr>
              <w:t>,</w:t>
            </w:r>
            <w:r w:rsidRPr="00932787">
              <w:rPr>
                <w:rFonts w:ascii="Times New Roman" w:hAnsi="Times New Roman" w:cs="Times New Roman"/>
                <w:color w:val="auto"/>
                <w:sz w:val="20"/>
              </w:rPr>
              <w:t>1</w:t>
            </w:r>
          </w:p>
        </w:tc>
        <w:tc>
          <w:tcPr>
            <w:tcW w:w="787" w:type="dxa"/>
            <w:vAlign w:val="center"/>
          </w:tcPr>
          <w:p w14:paraId="2B37F905" w14:textId="10B11FB3"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3</w:t>
            </w:r>
            <w:r>
              <w:rPr>
                <w:rFonts w:ascii="Times New Roman" w:hAnsi="Times New Roman" w:cs="Times New Roman"/>
                <w:color w:val="auto"/>
                <w:sz w:val="20"/>
              </w:rPr>
              <w:t>,</w:t>
            </w:r>
            <w:r w:rsidRPr="00932787">
              <w:rPr>
                <w:rFonts w:ascii="Times New Roman" w:hAnsi="Times New Roman" w:cs="Times New Roman"/>
                <w:color w:val="auto"/>
                <w:sz w:val="20"/>
              </w:rPr>
              <w:t>1</w:t>
            </w:r>
          </w:p>
        </w:tc>
        <w:tc>
          <w:tcPr>
            <w:tcW w:w="787" w:type="dxa"/>
            <w:vAlign w:val="center"/>
          </w:tcPr>
          <w:p w14:paraId="1D58EEF7" w14:textId="7619CEF8"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9</w:t>
            </w:r>
          </w:p>
        </w:tc>
        <w:tc>
          <w:tcPr>
            <w:tcW w:w="787" w:type="dxa"/>
            <w:vAlign w:val="center"/>
          </w:tcPr>
          <w:p w14:paraId="77D42B68" w14:textId="57260218"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4</w:t>
            </w:r>
          </w:p>
        </w:tc>
      </w:tr>
      <w:tr w:rsidR="006753E1" w:rsidRPr="00F11D34" w14:paraId="1BE793CE" w14:textId="77777777" w:rsidTr="006B0EBB">
        <w:trPr>
          <w:trHeight w:val="272"/>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7DBD3F42"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3. Neto aizdevumi/ aizņemšanās vispārējās valdības sektorā</w:t>
            </w:r>
          </w:p>
        </w:tc>
        <w:tc>
          <w:tcPr>
            <w:tcW w:w="960" w:type="dxa"/>
            <w:vAlign w:val="center"/>
            <w:hideMark/>
          </w:tcPr>
          <w:p w14:paraId="6030C082" w14:textId="77777777" w:rsidR="006753E1" w:rsidRPr="00F11D34" w:rsidRDefault="006753E1" w:rsidP="006B0EB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EDP B.9</w:t>
            </w:r>
          </w:p>
        </w:tc>
        <w:tc>
          <w:tcPr>
            <w:tcW w:w="786" w:type="dxa"/>
            <w:vAlign w:val="center"/>
          </w:tcPr>
          <w:p w14:paraId="49562D0B" w14:textId="682B3240"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0</w:t>
            </w:r>
          </w:p>
        </w:tc>
        <w:tc>
          <w:tcPr>
            <w:tcW w:w="787" w:type="dxa"/>
            <w:vAlign w:val="center"/>
          </w:tcPr>
          <w:p w14:paraId="0A0AD578" w14:textId="5C33B1CA"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8</w:t>
            </w:r>
          </w:p>
        </w:tc>
        <w:tc>
          <w:tcPr>
            <w:tcW w:w="787" w:type="dxa"/>
            <w:vAlign w:val="center"/>
          </w:tcPr>
          <w:p w14:paraId="5CAC013B" w14:textId="46388BD7"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6</w:t>
            </w:r>
          </w:p>
        </w:tc>
        <w:tc>
          <w:tcPr>
            <w:tcW w:w="787" w:type="dxa"/>
            <w:vAlign w:val="center"/>
          </w:tcPr>
          <w:p w14:paraId="4DB82DD1" w14:textId="0259A1CF"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-1</w:t>
            </w:r>
            <w:r>
              <w:rPr>
                <w:rFonts w:ascii="Times New Roman" w:hAnsi="Times New Roman" w:cs="Times New Roman"/>
                <w:color w:val="auto"/>
                <w:sz w:val="20"/>
              </w:rPr>
              <w:t>,</w:t>
            </w:r>
            <w:r w:rsidRPr="00932787">
              <w:rPr>
                <w:rFonts w:ascii="Times New Roman" w:hAnsi="Times New Roman" w:cs="Times New Roman"/>
                <w:color w:val="auto"/>
                <w:sz w:val="20"/>
              </w:rPr>
              <w:t>2</w:t>
            </w:r>
          </w:p>
        </w:tc>
        <w:tc>
          <w:tcPr>
            <w:tcW w:w="787" w:type="dxa"/>
            <w:vAlign w:val="center"/>
          </w:tcPr>
          <w:p w14:paraId="2DC28EA8" w14:textId="43A1287D"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932787">
              <w:rPr>
                <w:rFonts w:ascii="Times New Roman" w:hAnsi="Times New Roman" w:cs="Times New Roman"/>
                <w:color w:val="auto"/>
                <w:sz w:val="20"/>
              </w:rPr>
              <w:t>-0</w:t>
            </w:r>
            <w:r>
              <w:rPr>
                <w:rFonts w:ascii="Times New Roman" w:hAnsi="Times New Roman" w:cs="Times New Roman"/>
                <w:color w:val="auto"/>
                <w:sz w:val="20"/>
              </w:rPr>
              <w:t>,</w:t>
            </w:r>
            <w:r w:rsidRPr="00932787">
              <w:rPr>
                <w:rFonts w:ascii="Times New Roman" w:hAnsi="Times New Roman" w:cs="Times New Roman"/>
                <w:color w:val="auto"/>
                <w:sz w:val="20"/>
              </w:rPr>
              <w:t>5</w:t>
            </w:r>
          </w:p>
        </w:tc>
      </w:tr>
      <w:tr w:rsidR="006753E1" w:rsidRPr="00F11D34" w14:paraId="6DAEF721" w14:textId="77777777" w:rsidTr="003E2559">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1E1E1856" w14:textId="77777777" w:rsidR="006753E1" w:rsidRPr="00F11D34" w:rsidRDefault="006753E1" w:rsidP="006753E1">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4. Statistiskā novirze</w:t>
            </w:r>
          </w:p>
        </w:tc>
        <w:tc>
          <w:tcPr>
            <w:tcW w:w="960" w:type="dxa"/>
            <w:hideMark/>
          </w:tcPr>
          <w:p w14:paraId="03984E33" w14:textId="77777777" w:rsidR="006753E1" w:rsidRPr="00F11D34" w:rsidRDefault="006753E1" w:rsidP="006753E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 </w:t>
            </w:r>
          </w:p>
        </w:tc>
        <w:tc>
          <w:tcPr>
            <w:tcW w:w="786" w:type="dxa"/>
            <w:vAlign w:val="center"/>
          </w:tcPr>
          <w:p w14:paraId="04FC9B6D" w14:textId="189B1649"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932787">
              <w:rPr>
                <w:rFonts w:ascii="Times New Roman" w:hAnsi="Times New Roman" w:cs="Times New Roman"/>
                <w:color w:val="auto"/>
                <w:sz w:val="20"/>
              </w:rPr>
              <w:t>0,0</w:t>
            </w:r>
          </w:p>
        </w:tc>
        <w:tc>
          <w:tcPr>
            <w:tcW w:w="787" w:type="dxa"/>
            <w:vAlign w:val="center"/>
          </w:tcPr>
          <w:p w14:paraId="69E34E1B" w14:textId="10B2B4F5"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932787">
              <w:rPr>
                <w:rFonts w:ascii="Times New Roman" w:hAnsi="Times New Roman" w:cs="Times New Roman"/>
                <w:color w:val="auto"/>
                <w:sz w:val="20"/>
              </w:rPr>
              <w:t>0,0</w:t>
            </w:r>
          </w:p>
        </w:tc>
        <w:tc>
          <w:tcPr>
            <w:tcW w:w="787" w:type="dxa"/>
            <w:vAlign w:val="center"/>
          </w:tcPr>
          <w:p w14:paraId="503853C6" w14:textId="32D4C497"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932787">
              <w:rPr>
                <w:rFonts w:ascii="Times New Roman" w:hAnsi="Times New Roman" w:cs="Times New Roman"/>
                <w:color w:val="auto"/>
                <w:sz w:val="20"/>
              </w:rPr>
              <w:t>0,0</w:t>
            </w:r>
          </w:p>
        </w:tc>
        <w:tc>
          <w:tcPr>
            <w:tcW w:w="787" w:type="dxa"/>
            <w:vAlign w:val="center"/>
          </w:tcPr>
          <w:p w14:paraId="1BF2B756" w14:textId="2786A76E"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932787">
              <w:rPr>
                <w:rFonts w:ascii="Times New Roman" w:hAnsi="Times New Roman" w:cs="Times New Roman"/>
                <w:color w:val="auto"/>
                <w:sz w:val="20"/>
              </w:rPr>
              <w:t>0,0</w:t>
            </w:r>
          </w:p>
        </w:tc>
        <w:tc>
          <w:tcPr>
            <w:tcW w:w="787" w:type="dxa"/>
            <w:vAlign w:val="center"/>
          </w:tcPr>
          <w:p w14:paraId="49702101" w14:textId="73D1E0E1"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932787">
              <w:rPr>
                <w:rFonts w:ascii="Times New Roman" w:hAnsi="Times New Roman" w:cs="Times New Roman"/>
                <w:color w:val="auto"/>
                <w:sz w:val="20"/>
              </w:rPr>
              <w:t>0,0</w:t>
            </w:r>
          </w:p>
        </w:tc>
      </w:tr>
    </w:tbl>
    <w:p w14:paraId="43992C89" w14:textId="073C4F74" w:rsidR="00094C88" w:rsidRPr="00F51615" w:rsidRDefault="00F51615" w:rsidP="000B76F4">
      <w:pPr>
        <w:spacing w:after="60"/>
        <w:rPr>
          <w:rFonts w:ascii="Times New Roman" w:hAnsi="Times New Roman" w:cs="Times New Roman"/>
          <w:b/>
          <w:color w:val="000000"/>
          <w:szCs w:val="24"/>
        </w:rPr>
      </w:pPr>
      <w:r w:rsidRPr="00F51615">
        <w:rPr>
          <w:rFonts w:ascii="Times New Roman" w:hAnsi="Times New Roman" w:cs="Times New Roman"/>
          <w:b/>
          <w:color w:val="000000"/>
          <w:szCs w:val="24"/>
        </w:rPr>
        <w:br w:type="page"/>
      </w:r>
      <w:r w:rsidR="00C81719">
        <w:rPr>
          <w:rFonts w:ascii="Times New Roman" w:hAnsi="Times New Roman" w:cs="Times New Roman"/>
          <w:b/>
          <w:color w:val="000000"/>
          <w:sz w:val="24"/>
          <w:szCs w:val="24"/>
        </w:rPr>
        <w:lastRenderedPageBreak/>
        <w:t>2a.</w:t>
      </w:r>
      <w:r w:rsidRPr="00C81719">
        <w:rPr>
          <w:rFonts w:ascii="Times New Roman" w:hAnsi="Times New Roman" w:cs="Times New Roman"/>
          <w:b/>
          <w:color w:val="000000"/>
          <w:sz w:val="24"/>
          <w:szCs w:val="24"/>
        </w:rPr>
        <w:t xml:space="preserve">tabula. Vispārējās valdības budžeta attīstība </w:t>
      </w:r>
    </w:p>
    <w:tbl>
      <w:tblPr>
        <w:tblStyle w:val="GridTable6Colorful-Accent1"/>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094C88" w:rsidRPr="00094C88" w14:paraId="548106DB" w14:textId="77777777" w:rsidTr="000B76F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FBDAF77" w14:textId="77777777" w:rsidR="000B76F4" w:rsidRPr="00094C88" w:rsidRDefault="000B76F4" w:rsidP="005812B4">
            <w:pPr>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1134" w:type="dxa"/>
            <w:hideMark/>
          </w:tcPr>
          <w:p w14:paraId="7B012059" w14:textId="77777777" w:rsidR="000B76F4" w:rsidRPr="00094C88" w:rsidRDefault="000B76F4" w:rsidP="005812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xml:space="preserve">EKS kods </w:t>
            </w:r>
          </w:p>
        </w:tc>
        <w:tc>
          <w:tcPr>
            <w:tcW w:w="1134" w:type="dxa"/>
            <w:hideMark/>
          </w:tcPr>
          <w:p w14:paraId="7542F868" w14:textId="672CFE15" w:rsidR="000B76F4" w:rsidRPr="00094C88" w:rsidRDefault="009D2D01" w:rsidP="005812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2016</w:t>
            </w:r>
            <w:r w:rsidR="000B76F4" w:rsidRPr="00094C88">
              <w:rPr>
                <w:rFonts w:ascii="Times New Roman" w:eastAsia="Times New Roman" w:hAnsi="Times New Roman" w:cs="Times New Roman"/>
                <w:color w:val="auto"/>
                <w:sz w:val="20"/>
                <w:szCs w:val="20"/>
                <w:lang w:eastAsia="lv-LV"/>
              </w:rPr>
              <w:t>*</w:t>
            </w:r>
          </w:p>
        </w:tc>
        <w:tc>
          <w:tcPr>
            <w:tcW w:w="861" w:type="dxa"/>
            <w:hideMark/>
          </w:tcPr>
          <w:p w14:paraId="25409436" w14:textId="359FC749" w:rsidR="000B76F4" w:rsidRPr="00094C88" w:rsidRDefault="009D2D01" w:rsidP="005812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2016</w:t>
            </w:r>
            <w:r w:rsidR="000B76F4" w:rsidRPr="00094C88">
              <w:rPr>
                <w:rFonts w:ascii="Times New Roman" w:eastAsia="Times New Roman" w:hAnsi="Times New Roman" w:cs="Times New Roman"/>
                <w:color w:val="auto"/>
                <w:sz w:val="20"/>
                <w:szCs w:val="20"/>
                <w:lang w:eastAsia="lv-LV"/>
              </w:rPr>
              <w:t>*</w:t>
            </w:r>
          </w:p>
        </w:tc>
        <w:tc>
          <w:tcPr>
            <w:tcW w:w="708" w:type="dxa"/>
            <w:hideMark/>
          </w:tcPr>
          <w:p w14:paraId="39829AC8" w14:textId="7FF6471A" w:rsidR="000B76F4" w:rsidRPr="00094C88" w:rsidRDefault="009D2D01" w:rsidP="005812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2017</w:t>
            </w:r>
          </w:p>
        </w:tc>
        <w:tc>
          <w:tcPr>
            <w:tcW w:w="709" w:type="dxa"/>
            <w:hideMark/>
          </w:tcPr>
          <w:p w14:paraId="6278C937" w14:textId="0AA8D74C" w:rsidR="000B76F4" w:rsidRPr="00094C88" w:rsidRDefault="009D2D01" w:rsidP="005812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2018</w:t>
            </w:r>
          </w:p>
        </w:tc>
        <w:tc>
          <w:tcPr>
            <w:tcW w:w="709" w:type="dxa"/>
            <w:hideMark/>
          </w:tcPr>
          <w:p w14:paraId="4ECC25A9" w14:textId="2371F862" w:rsidR="000B76F4" w:rsidRPr="00094C88" w:rsidRDefault="009D2D01" w:rsidP="005812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2019</w:t>
            </w:r>
          </w:p>
        </w:tc>
        <w:tc>
          <w:tcPr>
            <w:tcW w:w="709" w:type="dxa"/>
            <w:hideMark/>
          </w:tcPr>
          <w:p w14:paraId="08CDA6B4" w14:textId="424AA25B" w:rsidR="000B76F4" w:rsidRPr="00094C88" w:rsidRDefault="009D2D01" w:rsidP="005812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2020</w:t>
            </w:r>
          </w:p>
        </w:tc>
      </w:tr>
      <w:tr w:rsidR="00094C88" w:rsidRPr="00094C88" w14:paraId="60137773" w14:textId="77777777" w:rsidTr="000B76F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4F0D3A0" w14:textId="77777777" w:rsidR="000B76F4" w:rsidRPr="00094C88" w:rsidRDefault="000B76F4" w:rsidP="005812B4">
            <w:pPr>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1134" w:type="dxa"/>
            <w:hideMark/>
          </w:tcPr>
          <w:p w14:paraId="55F399AF" w14:textId="77777777" w:rsidR="000B76F4" w:rsidRPr="00094C88" w:rsidRDefault="000B76F4" w:rsidP="005812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xml:space="preserve"> </w:t>
            </w:r>
          </w:p>
        </w:tc>
        <w:tc>
          <w:tcPr>
            <w:tcW w:w="1134" w:type="dxa"/>
            <w:hideMark/>
          </w:tcPr>
          <w:p w14:paraId="7D5BB273" w14:textId="77777777" w:rsidR="000B76F4" w:rsidRPr="00094C88" w:rsidRDefault="000B76F4" w:rsidP="005812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xml:space="preserve">milj. </w:t>
            </w:r>
            <w:r w:rsidRPr="00094C88">
              <w:rPr>
                <w:rFonts w:ascii="Times New Roman" w:eastAsia="Times New Roman" w:hAnsi="Times New Roman" w:cs="Times New Roman"/>
                <w:i/>
                <w:iCs/>
                <w:color w:val="auto"/>
                <w:sz w:val="20"/>
                <w:szCs w:val="20"/>
                <w:lang w:eastAsia="lv-LV"/>
              </w:rPr>
              <w:t>euro</w:t>
            </w:r>
          </w:p>
        </w:tc>
        <w:tc>
          <w:tcPr>
            <w:tcW w:w="3696" w:type="dxa"/>
            <w:gridSpan w:val="5"/>
            <w:hideMark/>
          </w:tcPr>
          <w:p w14:paraId="41D9EADA" w14:textId="77777777" w:rsidR="000B76F4" w:rsidRPr="00094C88" w:rsidRDefault="000B76F4" w:rsidP="005812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xml:space="preserve">% no IKP </w:t>
            </w:r>
          </w:p>
        </w:tc>
      </w:tr>
      <w:tr w:rsidR="00094C88" w:rsidRPr="00094C88" w14:paraId="035C2EB0" w14:textId="77777777" w:rsidTr="000B76F4">
        <w:trPr>
          <w:trHeight w:val="225"/>
          <w:jc w:val="center"/>
        </w:trPr>
        <w:tc>
          <w:tcPr>
            <w:cnfStyle w:val="001000000000" w:firstRow="0" w:lastRow="0" w:firstColumn="1" w:lastColumn="0" w:oddVBand="0" w:evenVBand="0" w:oddHBand="0" w:evenHBand="0" w:firstRowFirstColumn="0" w:firstRowLastColumn="0" w:lastRowFirstColumn="0" w:lastRowLastColumn="0"/>
            <w:tcW w:w="9645" w:type="dxa"/>
            <w:gridSpan w:val="8"/>
            <w:hideMark/>
          </w:tcPr>
          <w:p w14:paraId="65DA50D7" w14:textId="77777777" w:rsidR="000B76F4" w:rsidRPr="00094C88" w:rsidRDefault="000B76F4" w:rsidP="005812B4">
            <w:pPr>
              <w:jc w:val="center"/>
              <w:rPr>
                <w:rFonts w:ascii="Times New Roman" w:eastAsia="Times New Roman" w:hAnsi="Times New Roman" w:cs="Times New Roman"/>
                <w:b w:val="0"/>
                <w:bCs w:val="0"/>
                <w:color w:val="auto"/>
                <w:sz w:val="20"/>
                <w:szCs w:val="20"/>
                <w:lang w:eastAsia="lv-LV"/>
              </w:rPr>
            </w:pPr>
            <w:r w:rsidRPr="00094C88">
              <w:rPr>
                <w:rFonts w:ascii="Times New Roman" w:eastAsia="Times New Roman" w:hAnsi="Times New Roman" w:cs="Times New Roman"/>
                <w:color w:val="auto"/>
                <w:sz w:val="20"/>
                <w:szCs w:val="20"/>
                <w:lang w:eastAsia="lv-LV"/>
              </w:rPr>
              <w:t>Neto aizdevumi (+) vai aizņēmumi (–) (B.9) pa apakšsektoriem</w:t>
            </w:r>
          </w:p>
        </w:tc>
      </w:tr>
      <w:tr w:rsidR="00B4033A" w:rsidRPr="00094C88" w14:paraId="75C09CEF" w14:textId="77777777" w:rsidTr="00B4033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277BC9B"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 Vispārējā valdība</w:t>
            </w:r>
          </w:p>
        </w:tc>
        <w:tc>
          <w:tcPr>
            <w:tcW w:w="1134" w:type="dxa"/>
            <w:vAlign w:val="center"/>
            <w:hideMark/>
          </w:tcPr>
          <w:p w14:paraId="468B2F4B" w14:textId="5B4F1E50"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S.13</w:t>
            </w:r>
          </w:p>
        </w:tc>
        <w:tc>
          <w:tcPr>
            <w:tcW w:w="1134" w:type="dxa"/>
            <w:vAlign w:val="center"/>
          </w:tcPr>
          <w:p w14:paraId="64A237CC" w14:textId="07279281"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-7</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861" w:type="dxa"/>
            <w:vAlign w:val="center"/>
          </w:tcPr>
          <w:p w14:paraId="3E437F00" w14:textId="6641AACC"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8" w:type="dxa"/>
            <w:vAlign w:val="center"/>
          </w:tcPr>
          <w:p w14:paraId="3E6C0070" w14:textId="1301D96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9" w:type="dxa"/>
            <w:vAlign w:val="center"/>
          </w:tcPr>
          <w:p w14:paraId="50598F92" w14:textId="6A8948D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709" w:type="dxa"/>
            <w:vAlign w:val="center"/>
          </w:tcPr>
          <w:p w14:paraId="16E5A770" w14:textId="33DA896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03552D89" w14:textId="61523637"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r>
      <w:tr w:rsidR="00B4033A" w:rsidRPr="00094C88" w14:paraId="26F6E343" w14:textId="77777777" w:rsidTr="00B4033A">
        <w:trPr>
          <w:trHeight w:val="2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951778E"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 Centrālā valdība</w:t>
            </w:r>
          </w:p>
        </w:tc>
        <w:tc>
          <w:tcPr>
            <w:tcW w:w="1134" w:type="dxa"/>
            <w:vAlign w:val="center"/>
            <w:hideMark/>
          </w:tcPr>
          <w:p w14:paraId="456487BC" w14:textId="5E78A08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S</w:t>
            </w:r>
            <w:r>
              <w:rPr>
                <w:rFonts w:ascii="Times New Roman" w:eastAsia="Times New Roman" w:hAnsi="Times New Roman" w:cs="Times New Roman"/>
                <w:color w:val="auto"/>
                <w:sz w:val="20"/>
                <w:szCs w:val="20"/>
                <w:lang w:eastAsia="lv-LV"/>
              </w:rPr>
              <w:t>.</w:t>
            </w:r>
            <w:r w:rsidRPr="00094C88">
              <w:rPr>
                <w:rFonts w:ascii="Times New Roman" w:eastAsia="Times New Roman" w:hAnsi="Times New Roman" w:cs="Times New Roman"/>
                <w:color w:val="auto"/>
                <w:sz w:val="20"/>
                <w:szCs w:val="20"/>
                <w:lang w:eastAsia="lv-LV"/>
              </w:rPr>
              <w:t>1311</w:t>
            </w:r>
          </w:p>
        </w:tc>
        <w:tc>
          <w:tcPr>
            <w:tcW w:w="1134" w:type="dxa"/>
            <w:vAlign w:val="center"/>
          </w:tcPr>
          <w:p w14:paraId="3CB80898" w14:textId="5A844DE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-29</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861" w:type="dxa"/>
            <w:vAlign w:val="center"/>
          </w:tcPr>
          <w:p w14:paraId="7B2E8C20" w14:textId="13FD252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8" w:type="dxa"/>
            <w:vAlign w:val="center"/>
          </w:tcPr>
          <w:p w14:paraId="43C2B0D2" w14:textId="626CE973"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9" w:type="dxa"/>
            <w:vAlign w:val="center"/>
          </w:tcPr>
          <w:p w14:paraId="1F06323F" w14:textId="3A392FDA" w:rsidR="00B4033A" w:rsidRPr="00B4033A" w:rsidRDefault="00B4033A" w:rsidP="009571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w:t>
            </w:r>
            <w:r w:rsidR="00957163">
              <w:rPr>
                <w:rFonts w:ascii="Times New Roman" w:eastAsia="Times New Roman" w:hAnsi="Times New Roman" w:cs="Times New Roman"/>
                <w:color w:val="000000" w:themeColor="text1"/>
                <w:sz w:val="20"/>
                <w:lang w:eastAsia="lv-LV"/>
              </w:rPr>
              <w:t>2,0</w:t>
            </w:r>
          </w:p>
        </w:tc>
        <w:tc>
          <w:tcPr>
            <w:tcW w:w="709" w:type="dxa"/>
            <w:vAlign w:val="center"/>
          </w:tcPr>
          <w:p w14:paraId="4BC25914" w14:textId="5010910B" w:rsidR="00B4033A" w:rsidRPr="00B4033A" w:rsidRDefault="00B4033A" w:rsidP="009571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w:t>
            </w:r>
            <w:r w:rsidR="00957163">
              <w:rPr>
                <w:rFonts w:ascii="Times New Roman" w:eastAsia="Times New Roman" w:hAnsi="Times New Roman" w:cs="Times New Roman"/>
                <w:color w:val="000000" w:themeColor="text1"/>
                <w:sz w:val="20"/>
                <w:lang w:eastAsia="lv-LV"/>
              </w:rPr>
              <w:t>1,5</w:t>
            </w:r>
          </w:p>
        </w:tc>
        <w:tc>
          <w:tcPr>
            <w:tcW w:w="709" w:type="dxa"/>
            <w:vAlign w:val="center"/>
          </w:tcPr>
          <w:p w14:paraId="79E024F6" w14:textId="371819FE" w:rsidR="00B4033A" w:rsidRPr="00B4033A" w:rsidRDefault="00957163"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Pr>
                <w:rFonts w:ascii="Times New Roman" w:eastAsia="Times New Roman" w:hAnsi="Times New Roman" w:cs="Times New Roman"/>
                <w:color w:val="000000" w:themeColor="text1"/>
                <w:sz w:val="20"/>
                <w:lang w:eastAsia="lv-LV"/>
              </w:rPr>
              <w:t>-0,7</w:t>
            </w:r>
          </w:p>
        </w:tc>
      </w:tr>
      <w:tr w:rsidR="00B4033A" w:rsidRPr="00094C88" w14:paraId="48046A85" w14:textId="77777777" w:rsidTr="00B4033A">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8793869" w14:textId="406B6322"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3</w:t>
            </w:r>
            <w:r>
              <w:rPr>
                <w:rFonts w:ascii="Times New Roman" w:eastAsia="Times New Roman" w:hAnsi="Times New Roman" w:cs="Times New Roman"/>
                <w:b w:val="0"/>
                <w:color w:val="auto"/>
                <w:sz w:val="20"/>
                <w:szCs w:val="20"/>
                <w:lang w:eastAsia="lv-LV"/>
              </w:rPr>
              <w:t>.</w:t>
            </w:r>
            <w:r w:rsidRPr="00094C88">
              <w:rPr>
                <w:rFonts w:ascii="Times New Roman" w:eastAsia="Times New Roman" w:hAnsi="Times New Roman" w:cs="Times New Roman"/>
                <w:b w:val="0"/>
                <w:color w:val="auto"/>
                <w:sz w:val="20"/>
                <w:szCs w:val="20"/>
                <w:lang w:eastAsia="lv-LV"/>
              </w:rPr>
              <w:t xml:space="preserve"> Pavalsts valdība</w:t>
            </w:r>
          </w:p>
        </w:tc>
        <w:tc>
          <w:tcPr>
            <w:tcW w:w="1134" w:type="dxa"/>
            <w:vAlign w:val="center"/>
            <w:hideMark/>
          </w:tcPr>
          <w:p w14:paraId="0D760165" w14:textId="20406FF4"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S.1312</w:t>
            </w:r>
          </w:p>
        </w:tc>
        <w:tc>
          <w:tcPr>
            <w:tcW w:w="1134" w:type="dxa"/>
            <w:vAlign w:val="center"/>
          </w:tcPr>
          <w:p w14:paraId="03202CBA" w14:textId="66F2110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 </w:t>
            </w:r>
          </w:p>
        </w:tc>
        <w:tc>
          <w:tcPr>
            <w:tcW w:w="861" w:type="dxa"/>
            <w:vAlign w:val="center"/>
          </w:tcPr>
          <w:p w14:paraId="0460956B" w14:textId="5D4CA520"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 </w:t>
            </w:r>
          </w:p>
        </w:tc>
        <w:tc>
          <w:tcPr>
            <w:tcW w:w="708" w:type="dxa"/>
            <w:vAlign w:val="center"/>
          </w:tcPr>
          <w:p w14:paraId="0850E60B" w14:textId="05D26D8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 </w:t>
            </w:r>
          </w:p>
        </w:tc>
        <w:tc>
          <w:tcPr>
            <w:tcW w:w="709" w:type="dxa"/>
            <w:vAlign w:val="center"/>
          </w:tcPr>
          <w:p w14:paraId="2295F8FF" w14:textId="416B3AB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 </w:t>
            </w:r>
          </w:p>
        </w:tc>
        <w:tc>
          <w:tcPr>
            <w:tcW w:w="709" w:type="dxa"/>
            <w:vAlign w:val="center"/>
          </w:tcPr>
          <w:p w14:paraId="6E7E2461" w14:textId="369B8121"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 </w:t>
            </w:r>
          </w:p>
        </w:tc>
        <w:tc>
          <w:tcPr>
            <w:tcW w:w="709" w:type="dxa"/>
            <w:vAlign w:val="center"/>
          </w:tcPr>
          <w:p w14:paraId="78469D10" w14:textId="02935943"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 </w:t>
            </w:r>
          </w:p>
        </w:tc>
      </w:tr>
      <w:tr w:rsidR="00B4033A" w:rsidRPr="00094C88" w14:paraId="10ADB36B" w14:textId="77777777" w:rsidTr="00B4033A">
        <w:trPr>
          <w:trHeight w:val="18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C7745F5"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4. Vietējā valdība</w:t>
            </w:r>
          </w:p>
        </w:tc>
        <w:tc>
          <w:tcPr>
            <w:tcW w:w="1134" w:type="dxa"/>
            <w:vAlign w:val="center"/>
            <w:hideMark/>
          </w:tcPr>
          <w:p w14:paraId="36C3B972" w14:textId="6313A36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S.1313</w:t>
            </w:r>
          </w:p>
        </w:tc>
        <w:tc>
          <w:tcPr>
            <w:tcW w:w="1134" w:type="dxa"/>
            <w:vAlign w:val="center"/>
          </w:tcPr>
          <w:p w14:paraId="0DAE248E" w14:textId="506AE19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30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861" w:type="dxa"/>
            <w:vAlign w:val="center"/>
          </w:tcPr>
          <w:p w14:paraId="6CBD22C4" w14:textId="54D1B012"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8" w:type="dxa"/>
            <w:vAlign w:val="center"/>
          </w:tcPr>
          <w:p w14:paraId="2EEBA879" w14:textId="158A0309"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21AAF9C2" w14:textId="34EA221D" w:rsidR="00B4033A" w:rsidRPr="00B4033A" w:rsidRDefault="00957163"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Pr>
                <w:rFonts w:ascii="Times New Roman" w:eastAsia="Times New Roman" w:hAnsi="Times New Roman" w:cs="Times New Roman"/>
                <w:color w:val="000000" w:themeColor="text1"/>
                <w:sz w:val="20"/>
                <w:lang w:eastAsia="lv-LV"/>
              </w:rPr>
              <w:t>0,1</w:t>
            </w:r>
          </w:p>
        </w:tc>
        <w:tc>
          <w:tcPr>
            <w:tcW w:w="709" w:type="dxa"/>
            <w:vAlign w:val="center"/>
          </w:tcPr>
          <w:p w14:paraId="373C4C1D" w14:textId="52E467C4" w:rsidR="00B4033A" w:rsidRPr="00B4033A" w:rsidRDefault="00957163"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Pr>
                <w:rFonts w:ascii="Times New Roman" w:eastAsia="Times New Roman" w:hAnsi="Times New Roman" w:cs="Times New Roman"/>
                <w:color w:val="000000" w:themeColor="text1"/>
                <w:sz w:val="20"/>
                <w:lang w:eastAsia="lv-LV"/>
              </w:rPr>
              <w:t>0,0</w:t>
            </w:r>
          </w:p>
        </w:tc>
        <w:tc>
          <w:tcPr>
            <w:tcW w:w="709" w:type="dxa"/>
            <w:vAlign w:val="center"/>
          </w:tcPr>
          <w:p w14:paraId="1F40B6B3" w14:textId="01302236" w:rsidR="00B4033A" w:rsidRPr="00B4033A" w:rsidRDefault="00957163"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Pr>
                <w:rFonts w:ascii="Times New Roman" w:eastAsia="Times New Roman" w:hAnsi="Times New Roman" w:cs="Times New Roman"/>
                <w:color w:val="000000" w:themeColor="text1"/>
                <w:sz w:val="20"/>
                <w:lang w:eastAsia="lv-LV"/>
              </w:rPr>
              <w:t>0,0</w:t>
            </w:r>
          </w:p>
        </w:tc>
      </w:tr>
      <w:tr w:rsidR="00B4033A" w:rsidRPr="00094C88" w14:paraId="77BB3245" w14:textId="77777777" w:rsidTr="00B4033A">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2C8C0CC"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5. Sociālās nodrošināšanas fondi</w:t>
            </w:r>
          </w:p>
        </w:tc>
        <w:tc>
          <w:tcPr>
            <w:tcW w:w="1134" w:type="dxa"/>
            <w:vAlign w:val="center"/>
            <w:hideMark/>
          </w:tcPr>
          <w:p w14:paraId="1A994367" w14:textId="0370965D"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S.1314</w:t>
            </w:r>
          </w:p>
        </w:tc>
        <w:tc>
          <w:tcPr>
            <w:tcW w:w="1134" w:type="dxa"/>
            <w:vAlign w:val="center"/>
          </w:tcPr>
          <w:p w14:paraId="04BB9279" w14:textId="149BC50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-9</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861" w:type="dxa"/>
            <w:vAlign w:val="center"/>
          </w:tcPr>
          <w:p w14:paraId="2AEEED72" w14:textId="0247209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8" w:type="dxa"/>
            <w:vAlign w:val="center"/>
          </w:tcPr>
          <w:p w14:paraId="2B17FED0" w14:textId="07BF5290"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9" w:type="dxa"/>
            <w:vAlign w:val="center"/>
          </w:tcPr>
          <w:p w14:paraId="52974794" w14:textId="77E6E94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3</w:t>
            </w:r>
          </w:p>
        </w:tc>
        <w:tc>
          <w:tcPr>
            <w:tcW w:w="709" w:type="dxa"/>
            <w:vAlign w:val="center"/>
          </w:tcPr>
          <w:p w14:paraId="10A1E6B0" w14:textId="41142B7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2E1BB353" w14:textId="1DCAF069"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r>
      <w:tr w:rsidR="006D5FB6" w:rsidRPr="00094C88" w14:paraId="696F1321" w14:textId="77777777" w:rsidTr="000B76F4">
        <w:trPr>
          <w:trHeight w:val="203"/>
          <w:jc w:val="center"/>
        </w:trPr>
        <w:tc>
          <w:tcPr>
            <w:cnfStyle w:val="001000000000" w:firstRow="0" w:lastRow="0" w:firstColumn="1" w:lastColumn="0" w:oddVBand="0" w:evenVBand="0" w:oddHBand="0" w:evenHBand="0" w:firstRowFirstColumn="0" w:firstRowLastColumn="0" w:lastRowFirstColumn="0" w:lastRowLastColumn="0"/>
            <w:tcW w:w="9645" w:type="dxa"/>
            <w:gridSpan w:val="8"/>
            <w:hideMark/>
          </w:tcPr>
          <w:p w14:paraId="638466F8" w14:textId="77777777" w:rsidR="006D5FB6" w:rsidRPr="00094C88" w:rsidRDefault="006D5FB6" w:rsidP="006D5FB6">
            <w:pPr>
              <w:jc w:val="center"/>
              <w:rPr>
                <w:rFonts w:ascii="Times New Roman" w:eastAsia="Times New Roman" w:hAnsi="Times New Roman" w:cs="Times New Roman"/>
                <w:b w:val="0"/>
                <w:bCs w:val="0"/>
                <w:color w:val="auto"/>
                <w:sz w:val="20"/>
                <w:szCs w:val="20"/>
                <w:lang w:eastAsia="lv-LV"/>
              </w:rPr>
            </w:pPr>
            <w:r w:rsidRPr="00094C88">
              <w:rPr>
                <w:rFonts w:ascii="Times New Roman" w:eastAsia="Times New Roman" w:hAnsi="Times New Roman" w:cs="Times New Roman"/>
                <w:color w:val="auto"/>
                <w:sz w:val="20"/>
                <w:szCs w:val="20"/>
                <w:lang w:eastAsia="lv-LV"/>
              </w:rPr>
              <w:t>Vispārējā valdība (S.13)</w:t>
            </w:r>
          </w:p>
        </w:tc>
      </w:tr>
      <w:tr w:rsidR="00B4033A" w:rsidRPr="00094C88" w14:paraId="3E20D047" w14:textId="77777777" w:rsidTr="0057432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53DCD6D"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6. Kopējie ieņēmumi</w:t>
            </w:r>
          </w:p>
        </w:tc>
        <w:tc>
          <w:tcPr>
            <w:tcW w:w="1134" w:type="dxa"/>
            <w:hideMark/>
          </w:tcPr>
          <w:p w14:paraId="0EFEB2C8"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TR</w:t>
            </w:r>
          </w:p>
        </w:tc>
        <w:tc>
          <w:tcPr>
            <w:tcW w:w="1134" w:type="dxa"/>
            <w:vAlign w:val="center"/>
          </w:tcPr>
          <w:p w14:paraId="5C1D5083" w14:textId="164F7FF1"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9 036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861" w:type="dxa"/>
            <w:vAlign w:val="center"/>
          </w:tcPr>
          <w:p w14:paraId="6BA691B8" w14:textId="2D6D4A99"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8" w:type="dxa"/>
            <w:vAlign w:val="center"/>
          </w:tcPr>
          <w:p w14:paraId="703141C4" w14:textId="74F78CC9"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9" w:type="dxa"/>
            <w:vAlign w:val="center"/>
          </w:tcPr>
          <w:p w14:paraId="2CB4FB35" w14:textId="7E626488"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3615F599" w14:textId="7246845C"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037BC427" w14:textId="37F16DB7"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r>
      <w:tr w:rsidR="00B4033A" w:rsidRPr="00094C88" w14:paraId="435831C9" w14:textId="77777777" w:rsidTr="0057432D">
        <w:trPr>
          <w:trHeight w:val="128"/>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BE311E8"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7. Kopējie izdevumi</w:t>
            </w:r>
          </w:p>
        </w:tc>
        <w:tc>
          <w:tcPr>
            <w:tcW w:w="1134" w:type="dxa"/>
            <w:hideMark/>
          </w:tcPr>
          <w:p w14:paraId="2132AA27" w14:textId="7777777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TE</w:t>
            </w:r>
          </w:p>
        </w:tc>
        <w:tc>
          <w:tcPr>
            <w:tcW w:w="1134" w:type="dxa"/>
            <w:vAlign w:val="center"/>
          </w:tcPr>
          <w:p w14:paraId="2FB66ED7" w14:textId="689CCAC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9 044</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861" w:type="dxa"/>
            <w:vAlign w:val="center"/>
          </w:tcPr>
          <w:p w14:paraId="04C6EB53" w14:textId="63BA8C8D"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8" w:type="dxa"/>
            <w:vAlign w:val="center"/>
          </w:tcPr>
          <w:p w14:paraId="5E3E91FD" w14:textId="5D609C6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37</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709" w:type="dxa"/>
            <w:vAlign w:val="center"/>
          </w:tcPr>
          <w:p w14:paraId="217371A7" w14:textId="2A8321C3"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37</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9" w:type="dxa"/>
            <w:vAlign w:val="center"/>
          </w:tcPr>
          <w:p w14:paraId="64DBC5DE" w14:textId="5954AB48"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37</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709" w:type="dxa"/>
            <w:vAlign w:val="center"/>
          </w:tcPr>
          <w:p w14:paraId="5E42CA4F" w14:textId="4F34FC7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r>
      <w:tr w:rsidR="00B4033A" w:rsidRPr="00094C88" w14:paraId="0E243817" w14:textId="77777777" w:rsidTr="0057432D">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97AB3E1"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8. Budžeta bilance</w:t>
            </w:r>
          </w:p>
        </w:tc>
        <w:tc>
          <w:tcPr>
            <w:tcW w:w="1134" w:type="dxa"/>
            <w:hideMark/>
          </w:tcPr>
          <w:p w14:paraId="635379A1"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B.9</w:t>
            </w:r>
          </w:p>
        </w:tc>
        <w:tc>
          <w:tcPr>
            <w:tcW w:w="1134" w:type="dxa"/>
            <w:vAlign w:val="center"/>
          </w:tcPr>
          <w:p w14:paraId="146E0CDA" w14:textId="0781D5D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-7</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861" w:type="dxa"/>
            <w:vAlign w:val="center"/>
          </w:tcPr>
          <w:p w14:paraId="5CEFC83B" w14:textId="460F7834"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8" w:type="dxa"/>
            <w:vAlign w:val="center"/>
          </w:tcPr>
          <w:p w14:paraId="75E172BF" w14:textId="7339EB3A"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9" w:type="dxa"/>
            <w:vAlign w:val="center"/>
          </w:tcPr>
          <w:p w14:paraId="64FBF821" w14:textId="59A2D3D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709" w:type="dxa"/>
            <w:vAlign w:val="center"/>
          </w:tcPr>
          <w:p w14:paraId="316AF5D0" w14:textId="058749C8"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6F64EEA6" w14:textId="7683B5D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r>
      <w:tr w:rsidR="00B4033A" w:rsidRPr="00094C88" w14:paraId="367CA1D7" w14:textId="77777777" w:rsidTr="0057432D">
        <w:trPr>
          <w:trHeight w:val="20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E887F7B"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9. Procentu izdevumi</w:t>
            </w:r>
          </w:p>
        </w:tc>
        <w:tc>
          <w:tcPr>
            <w:tcW w:w="1134" w:type="dxa"/>
            <w:hideMark/>
          </w:tcPr>
          <w:p w14:paraId="758F6334" w14:textId="11452F80"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D.41</w:t>
            </w:r>
          </w:p>
        </w:tc>
        <w:tc>
          <w:tcPr>
            <w:tcW w:w="1134" w:type="dxa"/>
            <w:vAlign w:val="center"/>
          </w:tcPr>
          <w:p w14:paraId="18DDB3B6" w14:textId="575951E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278</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861" w:type="dxa"/>
            <w:vAlign w:val="center"/>
          </w:tcPr>
          <w:p w14:paraId="0C43FD4D" w14:textId="7E84B3F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8" w:type="dxa"/>
            <w:vAlign w:val="center"/>
          </w:tcPr>
          <w:p w14:paraId="27591E95" w14:textId="08960E1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9" w:type="dxa"/>
            <w:vAlign w:val="center"/>
          </w:tcPr>
          <w:p w14:paraId="20F70908" w14:textId="4896A383"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9</w:t>
            </w:r>
          </w:p>
        </w:tc>
        <w:tc>
          <w:tcPr>
            <w:tcW w:w="709" w:type="dxa"/>
            <w:vAlign w:val="center"/>
          </w:tcPr>
          <w:p w14:paraId="402235A6" w14:textId="6F2AAF89"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9" w:type="dxa"/>
            <w:vAlign w:val="center"/>
          </w:tcPr>
          <w:p w14:paraId="7B70EE8D" w14:textId="0A8E16FD"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9</w:t>
            </w:r>
          </w:p>
        </w:tc>
      </w:tr>
      <w:tr w:rsidR="00B4033A" w:rsidRPr="00094C88" w14:paraId="445DCE94" w14:textId="77777777" w:rsidTr="0057432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6599071"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10. Primārā bilance</w:t>
            </w:r>
          </w:p>
        </w:tc>
        <w:tc>
          <w:tcPr>
            <w:tcW w:w="1134" w:type="dxa"/>
            <w:hideMark/>
          </w:tcPr>
          <w:p w14:paraId="15072901" w14:textId="263C0071"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134" w:type="dxa"/>
            <w:vAlign w:val="center"/>
          </w:tcPr>
          <w:p w14:paraId="4EBCB8B2" w14:textId="638826B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270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861" w:type="dxa"/>
            <w:vAlign w:val="center"/>
          </w:tcPr>
          <w:p w14:paraId="39065A62" w14:textId="191B3C69"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8" w:type="dxa"/>
            <w:vAlign w:val="center"/>
          </w:tcPr>
          <w:p w14:paraId="43C633A6" w14:textId="45F25C31"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25B83D2D" w14:textId="7289755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7</w:t>
            </w:r>
          </w:p>
        </w:tc>
        <w:tc>
          <w:tcPr>
            <w:tcW w:w="709" w:type="dxa"/>
            <w:vAlign w:val="center"/>
          </w:tcPr>
          <w:p w14:paraId="280FA0F8" w14:textId="2291867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7A9F17B7" w14:textId="591CCBBC"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r>
      <w:tr w:rsidR="006D5FB6" w:rsidRPr="00094C88" w14:paraId="08981EAA" w14:textId="77777777" w:rsidTr="007C7D31">
        <w:trPr>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DCACA6C" w14:textId="77777777" w:rsidR="006D5FB6" w:rsidRPr="00094C88" w:rsidRDefault="006D5FB6" w:rsidP="006D5FB6">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11. Vienreizēji un citi īslaicīgi pasākumi</w:t>
            </w:r>
          </w:p>
        </w:tc>
        <w:tc>
          <w:tcPr>
            <w:tcW w:w="1134" w:type="dxa"/>
            <w:hideMark/>
          </w:tcPr>
          <w:p w14:paraId="47C47616" w14:textId="77777777" w:rsidR="006D5FB6" w:rsidRPr="00094C88" w:rsidRDefault="006D5FB6" w:rsidP="006D5F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xml:space="preserve"> </w:t>
            </w:r>
          </w:p>
        </w:tc>
        <w:tc>
          <w:tcPr>
            <w:tcW w:w="1134" w:type="dxa"/>
            <w:vAlign w:val="center"/>
          </w:tcPr>
          <w:p w14:paraId="56F31690" w14:textId="638BA3EB" w:rsidR="006D5FB6" w:rsidRPr="00094C88"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lang w:eastAsia="lv-LV"/>
              </w:rPr>
              <w:t> </w:t>
            </w:r>
          </w:p>
        </w:tc>
        <w:tc>
          <w:tcPr>
            <w:tcW w:w="861" w:type="dxa"/>
            <w:vAlign w:val="center"/>
          </w:tcPr>
          <w:p w14:paraId="46B573B8" w14:textId="001B76F8" w:rsidR="006D5FB6" w:rsidRPr="00094C88"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lang w:eastAsia="lv-LV"/>
              </w:rPr>
              <w:t> </w:t>
            </w:r>
          </w:p>
        </w:tc>
        <w:tc>
          <w:tcPr>
            <w:tcW w:w="708" w:type="dxa"/>
            <w:vAlign w:val="center"/>
          </w:tcPr>
          <w:p w14:paraId="3A2538C7" w14:textId="461AFFF9" w:rsidR="006D5FB6" w:rsidRPr="00094C88"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lang w:eastAsia="lv-LV"/>
              </w:rPr>
              <w:t> </w:t>
            </w:r>
          </w:p>
        </w:tc>
        <w:tc>
          <w:tcPr>
            <w:tcW w:w="709" w:type="dxa"/>
            <w:vAlign w:val="center"/>
          </w:tcPr>
          <w:p w14:paraId="41000974" w14:textId="3C56D0F5" w:rsidR="006D5FB6" w:rsidRPr="00094C88"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709" w:type="dxa"/>
            <w:vAlign w:val="center"/>
          </w:tcPr>
          <w:p w14:paraId="397774D8" w14:textId="699B1B5F" w:rsidR="006D5FB6" w:rsidRPr="00094C88"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709" w:type="dxa"/>
            <w:vAlign w:val="center"/>
          </w:tcPr>
          <w:p w14:paraId="36CA43CF" w14:textId="7E75F994" w:rsidR="006D5FB6" w:rsidRPr="00094C88"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r>
      <w:tr w:rsidR="006D5FB6" w:rsidRPr="00094C88" w14:paraId="12E14ED7" w14:textId="77777777" w:rsidTr="000B76F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9645" w:type="dxa"/>
            <w:gridSpan w:val="8"/>
            <w:hideMark/>
          </w:tcPr>
          <w:p w14:paraId="4EDD17A7" w14:textId="77777777" w:rsidR="006D5FB6" w:rsidRPr="00094C88" w:rsidRDefault="006D5FB6" w:rsidP="006D5FB6">
            <w:pPr>
              <w:jc w:val="center"/>
              <w:rPr>
                <w:rFonts w:ascii="Times New Roman" w:eastAsia="Times New Roman" w:hAnsi="Times New Roman" w:cs="Times New Roman"/>
                <w:b w:val="0"/>
                <w:bCs w:val="0"/>
                <w:color w:val="auto"/>
                <w:sz w:val="20"/>
                <w:szCs w:val="20"/>
                <w:lang w:eastAsia="lv-LV"/>
              </w:rPr>
            </w:pPr>
            <w:r w:rsidRPr="00094C88">
              <w:rPr>
                <w:rFonts w:ascii="Times New Roman" w:eastAsia="Times New Roman" w:hAnsi="Times New Roman" w:cs="Times New Roman"/>
                <w:color w:val="auto"/>
                <w:sz w:val="20"/>
                <w:szCs w:val="20"/>
                <w:lang w:eastAsia="lv-LV"/>
              </w:rPr>
              <w:t>Ieņēmumu sadaļas</w:t>
            </w:r>
          </w:p>
        </w:tc>
      </w:tr>
      <w:tr w:rsidR="00B4033A" w:rsidRPr="00094C88" w14:paraId="6707A5CE" w14:textId="77777777" w:rsidTr="0057432D">
        <w:trPr>
          <w:trHeight w:val="14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89A5A88"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12. Nodokļi kopā (12=12a+12b+12c)</w:t>
            </w:r>
          </w:p>
        </w:tc>
        <w:tc>
          <w:tcPr>
            <w:tcW w:w="1134" w:type="dxa"/>
            <w:vAlign w:val="center"/>
            <w:hideMark/>
          </w:tcPr>
          <w:p w14:paraId="048FF7BD" w14:textId="519DD22B"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134" w:type="dxa"/>
            <w:vAlign w:val="center"/>
          </w:tcPr>
          <w:p w14:paraId="221FC975" w14:textId="646E1A59"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5 459</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861" w:type="dxa"/>
            <w:vAlign w:val="center"/>
          </w:tcPr>
          <w:p w14:paraId="38803F08" w14:textId="545BB78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8" w:type="dxa"/>
            <w:vAlign w:val="center"/>
          </w:tcPr>
          <w:p w14:paraId="2AFEF238" w14:textId="0501955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22</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9" w:type="dxa"/>
            <w:vAlign w:val="center"/>
          </w:tcPr>
          <w:p w14:paraId="119F1FCB" w14:textId="7581C46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2093733C" w14:textId="0745C743"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53B87905" w14:textId="2E03856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21</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r>
      <w:tr w:rsidR="00B4033A" w:rsidRPr="00094C88" w14:paraId="490B6B8E" w14:textId="77777777" w:rsidTr="0057432D">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B70CCBE"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12a. Ražošanas un importa nodokļi</w:t>
            </w:r>
          </w:p>
        </w:tc>
        <w:tc>
          <w:tcPr>
            <w:tcW w:w="1134" w:type="dxa"/>
            <w:vAlign w:val="center"/>
            <w:hideMark/>
          </w:tcPr>
          <w:p w14:paraId="216B66FF"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D.2</w:t>
            </w:r>
          </w:p>
        </w:tc>
        <w:tc>
          <w:tcPr>
            <w:tcW w:w="1134" w:type="dxa"/>
            <w:vAlign w:val="center"/>
          </w:tcPr>
          <w:p w14:paraId="305B138A" w14:textId="5596552F"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3 359</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9</w:t>
            </w:r>
          </w:p>
        </w:tc>
        <w:tc>
          <w:tcPr>
            <w:tcW w:w="861" w:type="dxa"/>
            <w:vAlign w:val="center"/>
          </w:tcPr>
          <w:p w14:paraId="310952E0" w14:textId="5723DA87"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13</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c>
          <w:tcPr>
            <w:tcW w:w="708" w:type="dxa"/>
            <w:vAlign w:val="center"/>
          </w:tcPr>
          <w:p w14:paraId="4DBD28A0" w14:textId="61A128EA"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13</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709" w:type="dxa"/>
            <w:vAlign w:val="center"/>
          </w:tcPr>
          <w:p w14:paraId="6CCC6660" w14:textId="2134B3E9"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14</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709" w:type="dxa"/>
            <w:vAlign w:val="center"/>
          </w:tcPr>
          <w:p w14:paraId="7880726C" w14:textId="260ADD54"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14</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709" w:type="dxa"/>
            <w:vAlign w:val="center"/>
          </w:tcPr>
          <w:p w14:paraId="72B29BAF" w14:textId="59ACAD3A"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14</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r>
      <w:tr w:rsidR="00B4033A" w:rsidRPr="00094C88" w14:paraId="7192FA6E" w14:textId="77777777" w:rsidTr="0057432D">
        <w:trPr>
          <w:trHeight w:val="2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629FE7A"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12b. Ienākuma un mantas kārtējie nodokļi</w:t>
            </w:r>
          </w:p>
        </w:tc>
        <w:tc>
          <w:tcPr>
            <w:tcW w:w="1134" w:type="dxa"/>
            <w:vAlign w:val="center"/>
            <w:hideMark/>
          </w:tcPr>
          <w:p w14:paraId="24146AA2" w14:textId="7777777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D.5</w:t>
            </w:r>
          </w:p>
        </w:tc>
        <w:tc>
          <w:tcPr>
            <w:tcW w:w="1134" w:type="dxa"/>
            <w:vAlign w:val="center"/>
          </w:tcPr>
          <w:p w14:paraId="3E4B9A4D" w14:textId="0F30DED8"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2 096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861" w:type="dxa"/>
            <w:vAlign w:val="center"/>
          </w:tcPr>
          <w:p w14:paraId="756B4074" w14:textId="09B93CF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8</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c>
          <w:tcPr>
            <w:tcW w:w="708" w:type="dxa"/>
            <w:vAlign w:val="center"/>
          </w:tcPr>
          <w:p w14:paraId="2E94A318" w14:textId="0D6AF94D"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8</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5</w:t>
            </w:r>
          </w:p>
        </w:tc>
        <w:tc>
          <w:tcPr>
            <w:tcW w:w="709" w:type="dxa"/>
            <w:vAlign w:val="center"/>
          </w:tcPr>
          <w:p w14:paraId="17419A6D" w14:textId="1902C29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7</w:t>
            </w:r>
          </w:p>
        </w:tc>
        <w:tc>
          <w:tcPr>
            <w:tcW w:w="709" w:type="dxa"/>
            <w:vAlign w:val="center"/>
          </w:tcPr>
          <w:p w14:paraId="4ACDFEBF" w14:textId="63B7690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709" w:type="dxa"/>
            <w:vAlign w:val="center"/>
          </w:tcPr>
          <w:p w14:paraId="5BB2B33C" w14:textId="08F9F02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9</w:t>
            </w:r>
          </w:p>
        </w:tc>
      </w:tr>
      <w:tr w:rsidR="00B4033A" w:rsidRPr="00094C88" w14:paraId="7351F000" w14:textId="77777777" w:rsidTr="0057432D">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E9E54E8"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12c. Kapitāla nodokļi</w:t>
            </w:r>
          </w:p>
        </w:tc>
        <w:tc>
          <w:tcPr>
            <w:tcW w:w="1134" w:type="dxa"/>
            <w:vAlign w:val="center"/>
            <w:hideMark/>
          </w:tcPr>
          <w:p w14:paraId="0B2C275E"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D.91</w:t>
            </w:r>
          </w:p>
        </w:tc>
        <w:tc>
          <w:tcPr>
            <w:tcW w:w="1134" w:type="dxa"/>
            <w:vAlign w:val="center"/>
          </w:tcPr>
          <w:p w14:paraId="37EF07E2" w14:textId="4033D5B6"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861" w:type="dxa"/>
            <w:vAlign w:val="center"/>
          </w:tcPr>
          <w:p w14:paraId="680E2E8F" w14:textId="1666BE5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8" w:type="dxa"/>
            <w:vAlign w:val="center"/>
          </w:tcPr>
          <w:p w14:paraId="031D0C67" w14:textId="1541C63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9" w:type="dxa"/>
            <w:vAlign w:val="center"/>
          </w:tcPr>
          <w:p w14:paraId="0C7186D7" w14:textId="6A0D1E2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9" w:type="dxa"/>
            <w:vAlign w:val="center"/>
          </w:tcPr>
          <w:p w14:paraId="7A4E9B27" w14:textId="696142BA"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9" w:type="dxa"/>
            <w:vAlign w:val="center"/>
          </w:tcPr>
          <w:p w14:paraId="34A32F14" w14:textId="710594D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r>
      <w:tr w:rsidR="00B4033A" w:rsidRPr="00094C88" w14:paraId="4D490E3D" w14:textId="77777777" w:rsidTr="0057432D">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97112C2"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13. Sociālās iemaksas</w:t>
            </w:r>
          </w:p>
        </w:tc>
        <w:tc>
          <w:tcPr>
            <w:tcW w:w="1134" w:type="dxa"/>
            <w:vAlign w:val="center"/>
            <w:hideMark/>
          </w:tcPr>
          <w:p w14:paraId="71E95F89" w14:textId="7777777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D.61</w:t>
            </w:r>
          </w:p>
        </w:tc>
        <w:tc>
          <w:tcPr>
            <w:tcW w:w="1134" w:type="dxa"/>
            <w:vAlign w:val="center"/>
          </w:tcPr>
          <w:p w14:paraId="2102FA6A" w14:textId="52E488CE"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2 172</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861" w:type="dxa"/>
            <w:vAlign w:val="center"/>
          </w:tcPr>
          <w:p w14:paraId="0A4D80DD" w14:textId="1AAB2C5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8</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7</w:t>
            </w:r>
          </w:p>
        </w:tc>
        <w:tc>
          <w:tcPr>
            <w:tcW w:w="708" w:type="dxa"/>
            <w:vAlign w:val="center"/>
          </w:tcPr>
          <w:p w14:paraId="5A555548" w14:textId="01639B19"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8</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9" w:type="dxa"/>
            <w:vAlign w:val="center"/>
          </w:tcPr>
          <w:p w14:paraId="16B59170" w14:textId="7E8AFDC2"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9</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c>
          <w:tcPr>
            <w:tcW w:w="709" w:type="dxa"/>
            <w:vAlign w:val="center"/>
          </w:tcPr>
          <w:p w14:paraId="4E9926D7" w14:textId="056B3909"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9</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c>
          <w:tcPr>
            <w:tcW w:w="709" w:type="dxa"/>
            <w:vAlign w:val="center"/>
          </w:tcPr>
          <w:p w14:paraId="6473E5F0" w14:textId="70BB32BA"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9</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r>
      <w:tr w:rsidR="00B4033A" w:rsidRPr="00094C88" w14:paraId="50BA5A53" w14:textId="77777777" w:rsidTr="0057432D">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6B42323"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14. Īpašuma ienākumi</w:t>
            </w:r>
          </w:p>
        </w:tc>
        <w:tc>
          <w:tcPr>
            <w:tcW w:w="1134" w:type="dxa"/>
            <w:vAlign w:val="center"/>
            <w:hideMark/>
          </w:tcPr>
          <w:p w14:paraId="47B4BB8C" w14:textId="3F6D5D73"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w:t>
            </w:r>
            <w:r>
              <w:rPr>
                <w:rFonts w:ascii="Times New Roman" w:eastAsia="Times New Roman" w:hAnsi="Times New Roman" w:cs="Times New Roman"/>
                <w:color w:val="auto"/>
                <w:sz w:val="20"/>
                <w:szCs w:val="20"/>
                <w:lang w:eastAsia="lv-LV"/>
              </w:rPr>
              <w:t>.</w:t>
            </w:r>
            <w:r w:rsidRPr="00094C88">
              <w:rPr>
                <w:rFonts w:ascii="Times New Roman" w:eastAsia="Times New Roman" w:hAnsi="Times New Roman" w:cs="Times New Roman"/>
                <w:color w:val="auto"/>
                <w:sz w:val="20"/>
                <w:szCs w:val="20"/>
                <w:lang w:eastAsia="lv-LV"/>
              </w:rPr>
              <w:t>4</w:t>
            </w:r>
          </w:p>
        </w:tc>
        <w:tc>
          <w:tcPr>
            <w:tcW w:w="1134" w:type="dxa"/>
            <w:vAlign w:val="center"/>
          </w:tcPr>
          <w:p w14:paraId="7B8BCEC9" w14:textId="18994156"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196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9</w:t>
            </w:r>
          </w:p>
        </w:tc>
        <w:tc>
          <w:tcPr>
            <w:tcW w:w="861" w:type="dxa"/>
            <w:vAlign w:val="center"/>
          </w:tcPr>
          <w:p w14:paraId="3D88E88F" w14:textId="60F85D0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8" w:type="dxa"/>
            <w:vAlign w:val="center"/>
          </w:tcPr>
          <w:p w14:paraId="484E9362" w14:textId="53A7742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709" w:type="dxa"/>
            <w:vAlign w:val="center"/>
          </w:tcPr>
          <w:p w14:paraId="097903DA" w14:textId="5DE35D44"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7</w:t>
            </w:r>
          </w:p>
        </w:tc>
        <w:tc>
          <w:tcPr>
            <w:tcW w:w="709" w:type="dxa"/>
            <w:vAlign w:val="center"/>
          </w:tcPr>
          <w:p w14:paraId="02956F3B" w14:textId="7B568BD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7</w:t>
            </w:r>
          </w:p>
        </w:tc>
        <w:tc>
          <w:tcPr>
            <w:tcW w:w="709" w:type="dxa"/>
            <w:vAlign w:val="center"/>
          </w:tcPr>
          <w:p w14:paraId="39D8E447" w14:textId="5851EFB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r>
      <w:tr w:rsidR="00B4033A" w:rsidRPr="00094C88" w14:paraId="7E069BDB" w14:textId="77777777" w:rsidTr="0057432D">
        <w:trPr>
          <w:trHeight w:val="22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8280D87"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15. Pārējie ieņēmumi</w:t>
            </w:r>
          </w:p>
        </w:tc>
        <w:tc>
          <w:tcPr>
            <w:tcW w:w="1134" w:type="dxa"/>
            <w:vAlign w:val="center"/>
            <w:hideMark/>
          </w:tcPr>
          <w:p w14:paraId="539BB2AF" w14:textId="2E94AECA"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134" w:type="dxa"/>
            <w:vAlign w:val="center"/>
          </w:tcPr>
          <w:p w14:paraId="1722B7B9" w14:textId="6AB76FD0"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1 207</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9</w:t>
            </w:r>
          </w:p>
        </w:tc>
        <w:tc>
          <w:tcPr>
            <w:tcW w:w="861" w:type="dxa"/>
            <w:vAlign w:val="center"/>
          </w:tcPr>
          <w:p w14:paraId="29EEE703" w14:textId="1DC1E13B"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4</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8" w:type="dxa"/>
            <w:vAlign w:val="center"/>
          </w:tcPr>
          <w:p w14:paraId="4D211769" w14:textId="192F0340"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5</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3</w:t>
            </w:r>
          </w:p>
        </w:tc>
        <w:tc>
          <w:tcPr>
            <w:tcW w:w="709" w:type="dxa"/>
            <w:vAlign w:val="center"/>
          </w:tcPr>
          <w:p w14:paraId="098BEF44" w14:textId="1D616EC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5</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9" w:type="dxa"/>
            <w:vAlign w:val="center"/>
          </w:tcPr>
          <w:p w14:paraId="5866A831" w14:textId="09B37726"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5</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709" w:type="dxa"/>
            <w:vAlign w:val="center"/>
          </w:tcPr>
          <w:p w14:paraId="754F4B3F" w14:textId="2D3AB22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5</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r>
      <w:tr w:rsidR="00B4033A" w:rsidRPr="00094C88" w14:paraId="02C7E245" w14:textId="77777777" w:rsidTr="0057432D">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E961705"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16. Kopējie ieņēmumi</w:t>
            </w:r>
          </w:p>
        </w:tc>
        <w:tc>
          <w:tcPr>
            <w:tcW w:w="1134" w:type="dxa"/>
            <w:vAlign w:val="center"/>
            <w:hideMark/>
          </w:tcPr>
          <w:p w14:paraId="3EFDFB66"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TR</w:t>
            </w:r>
          </w:p>
        </w:tc>
        <w:tc>
          <w:tcPr>
            <w:tcW w:w="1134" w:type="dxa"/>
            <w:vAlign w:val="center"/>
          </w:tcPr>
          <w:p w14:paraId="30A25711" w14:textId="67066FBB"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9 036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6</w:t>
            </w:r>
          </w:p>
        </w:tc>
        <w:tc>
          <w:tcPr>
            <w:tcW w:w="861" w:type="dxa"/>
            <w:vAlign w:val="center"/>
          </w:tcPr>
          <w:p w14:paraId="5EF2E6F0" w14:textId="7C25E118"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1</w:t>
            </w:r>
          </w:p>
        </w:tc>
        <w:tc>
          <w:tcPr>
            <w:tcW w:w="708" w:type="dxa"/>
            <w:vAlign w:val="center"/>
          </w:tcPr>
          <w:p w14:paraId="27927522" w14:textId="319A9BF8"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c>
          <w:tcPr>
            <w:tcW w:w="709" w:type="dxa"/>
            <w:vAlign w:val="center"/>
          </w:tcPr>
          <w:p w14:paraId="38A45B10" w14:textId="0732916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14465A1E" w14:textId="36A9FE21"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2</w:t>
            </w:r>
          </w:p>
        </w:tc>
        <w:tc>
          <w:tcPr>
            <w:tcW w:w="709" w:type="dxa"/>
            <w:vAlign w:val="center"/>
          </w:tcPr>
          <w:p w14:paraId="69FBFA8D" w14:textId="5DBB80B7"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36</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r>
      <w:tr w:rsidR="00B4033A" w:rsidRPr="00094C88" w14:paraId="14FC6F73" w14:textId="77777777" w:rsidTr="0057432D">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49402BE3"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Nodokļu slogs (D.2**+D.5+D.61+D.91-D.995)</w:t>
            </w:r>
          </w:p>
        </w:tc>
        <w:tc>
          <w:tcPr>
            <w:tcW w:w="1134" w:type="dxa"/>
            <w:vAlign w:val="center"/>
            <w:hideMark/>
          </w:tcPr>
          <w:p w14:paraId="3DE06D7F" w14:textId="190235D4"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134" w:type="dxa"/>
            <w:vAlign w:val="center"/>
          </w:tcPr>
          <w:p w14:paraId="65D57D4C" w14:textId="725D0FD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7 592</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0</w:t>
            </w:r>
          </w:p>
        </w:tc>
        <w:tc>
          <w:tcPr>
            <w:tcW w:w="861" w:type="dxa"/>
            <w:vAlign w:val="center"/>
          </w:tcPr>
          <w:p w14:paraId="4A34B67C" w14:textId="2059289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3</w:t>
            </w:r>
          </w:p>
        </w:tc>
        <w:tc>
          <w:tcPr>
            <w:tcW w:w="708" w:type="dxa"/>
            <w:vAlign w:val="center"/>
          </w:tcPr>
          <w:p w14:paraId="63497FC6" w14:textId="014CBD3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7</w:t>
            </w:r>
          </w:p>
        </w:tc>
        <w:tc>
          <w:tcPr>
            <w:tcW w:w="709" w:type="dxa"/>
            <w:vAlign w:val="center"/>
          </w:tcPr>
          <w:p w14:paraId="15B7A8C6" w14:textId="00D090D0"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c>
          <w:tcPr>
            <w:tcW w:w="709" w:type="dxa"/>
            <w:vAlign w:val="center"/>
          </w:tcPr>
          <w:p w14:paraId="41D25F3D" w14:textId="616D82A9"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4</w:t>
            </w:r>
          </w:p>
        </w:tc>
        <w:tc>
          <w:tcPr>
            <w:tcW w:w="709" w:type="dxa"/>
            <w:vAlign w:val="center"/>
          </w:tcPr>
          <w:p w14:paraId="3E9C808D" w14:textId="52C998A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lv-LV"/>
              </w:rPr>
            </w:pPr>
            <w:r w:rsidRPr="00B4033A">
              <w:rPr>
                <w:rFonts w:ascii="Times New Roman" w:eastAsia="Times New Roman" w:hAnsi="Times New Roman" w:cs="Times New Roman"/>
                <w:color w:val="000000" w:themeColor="text1"/>
                <w:sz w:val="20"/>
                <w:lang w:eastAsia="lv-LV"/>
              </w:rPr>
              <w:t>30</w:t>
            </w:r>
            <w:r>
              <w:rPr>
                <w:rFonts w:ascii="Times New Roman" w:eastAsia="Times New Roman" w:hAnsi="Times New Roman" w:cs="Times New Roman"/>
                <w:color w:val="000000" w:themeColor="text1"/>
                <w:sz w:val="20"/>
                <w:lang w:eastAsia="lv-LV"/>
              </w:rPr>
              <w:t>,</w:t>
            </w:r>
            <w:r w:rsidRPr="00B4033A">
              <w:rPr>
                <w:rFonts w:ascii="Times New Roman" w:eastAsia="Times New Roman" w:hAnsi="Times New Roman" w:cs="Times New Roman"/>
                <w:color w:val="000000" w:themeColor="text1"/>
                <w:sz w:val="20"/>
                <w:lang w:eastAsia="lv-LV"/>
              </w:rPr>
              <w:t>8</w:t>
            </w:r>
          </w:p>
        </w:tc>
      </w:tr>
      <w:tr w:rsidR="006D5FB6" w:rsidRPr="00094C88" w14:paraId="1339DF63" w14:textId="77777777" w:rsidTr="000B76F4">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645" w:type="dxa"/>
            <w:gridSpan w:val="8"/>
            <w:hideMark/>
          </w:tcPr>
          <w:p w14:paraId="334C5A88" w14:textId="01D722D2" w:rsidR="006D5FB6" w:rsidRPr="00094C88" w:rsidRDefault="006D5FB6" w:rsidP="006D5FB6">
            <w:pPr>
              <w:jc w:val="center"/>
              <w:rPr>
                <w:rFonts w:ascii="Times New Roman" w:eastAsia="Times New Roman" w:hAnsi="Times New Roman" w:cs="Times New Roman"/>
                <w:b w:val="0"/>
                <w:bCs w:val="0"/>
                <w:color w:val="auto"/>
                <w:sz w:val="20"/>
                <w:szCs w:val="20"/>
                <w:lang w:eastAsia="lv-LV"/>
              </w:rPr>
            </w:pPr>
            <w:r w:rsidRPr="00094C88">
              <w:rPr>
                <w:rFonts w:ascii="Times New Roman" w:eastAsia="Times New Roman" w:hAnsi="Times New Roman" w:cs="Times New Roman"/>
                <w:color w:val="auto"/>
                <w:sz w:val="20"/>
                <w:szCs w:val="20"/>
                <w:lang w:eastAsia="lv-LV"/>
              </w:rPr>
              <w:t>Izdevumu sadaļas</w:t>
            </w:r>
          </w:p>
        </w:tc>
      </w:tr>
      <w:tr w:rsidR="00B4033A" w:rsidRPr="00094C88" w14:paraId="3462D07D" w14:textId="77777777" w:rsidTr="0057432D">
        <w:trPr>
          <w:trHeight w:val="34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E3B937C"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17. Atlīdzība nodarbinātajiem un starppatēriņš</w:t>
            </w:r>
          </w:p>
        </w:tc>
        <w:tc>
          <w:tcPr>
            <w:tcW w:w="1134" w:type="dxa"/>
            <w:vAlign w:val="center"/>
            <w:hideMark/>
          </w:tcPr>
          <w:p w14:paraId="3E95D091" w14:textId="7777777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D.1+P.2</w:t>
            </w:r>
          </w:p>
        </w:tc>
        <w:tc>
          <w:tcPr>
            <w:tcW w:w="1134" w:type="dxa"/>
            <w:vAlign w:val="center"/>
          </w:tcPr>
          <w:p w14:paraId="146F2052" w14:textId="1BDD7FD6"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4 097</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7</w:t>
            </w:r>
          </w:p>
        </w:tc>
        <w:tc>
          <w:tcPr>
            <w:tcW w:w="861" w:type="dxa"/>
            <w:vAlign w:val="center"/>
          </w:tcPr>
          <w:p w14:paraId="0637B4DF" w14:textId="52D55A73"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4</w:t>
            </w:r>
          </w:p>
        </w:tc>
        <w:tc>
          <w:tcPr>
            <w:tcW w:w="708" w:type="dxa"/>
            <w:vAlign w:val="center"/>
          </w:tcPr>
          <w:p w14:paraId="222282A4" w14:textId="5B98EC9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9</w:t>
            </w:r>
          </w:p>
        </w:tc>
        <w:tc>
          <w:tcPr>
            <w:tcW w:w="709" w:type="dxa"/>
            <w:vAlign w:val="center"/>
          </w:tcPr>
          <w:p w14:paraId="20FA86D3" w14:textId="5E2BBB4E"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17</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9" w:type="dxa"/>
            <w:vAlign w:val="center"/>
          </w:tcPr>
          <w:p w14:paraId="46131DCD" w14:textId="6C21261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8</w:t>
            </w:r>
          </w:p>
        </w:tc>
        <w:tc>
          <w:tcPr>
            <w:tcW w:w="709" w:type="dxa"/>
            <w:vAlign w:val="center"/>
          </w:tcPr>
          <w:p w14:paraId="666B1072" w14:textId="34E8BC7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r>
      <w:tr w:rsidR="00B4033A" w:rsidRPr="00094C88" w14:paraId="2B2F6EA7" w14:textId="77777777" w:rsidTr="0057432D">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4DE5148A"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17a. Atlīdzība nodarbinātajiem</w:t>
            </w:r>
          </w:p>
        </w:tc>
        <w:tc>
          <w:tcPr>
            <w:tcW w:w="1134" w:type="dxa"/>
            <w:vAlign w:val="center"/>
            <w:hideMark/>
          </w:tcPr>
          <w:p w14:paraId="6851D6C2"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D.1</w:t>
            </w:r>
          </w:p>
        </w:tc>
        <w:tc>
          <w:tcPr>
            <w:tcW w:w="1134" w:type="dxa"/>
            <w:vAlign w:val="center"/>
          </w:tcPr>
          <w:p w14:paraId="26A8CE82" w14:textId="66819407"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2 548</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861" w:type="dxa"/>
            <w:vAlign w:val="center"/>
          </w:tcPr>
          <w:p w14:paraId="350718A2" w14:textId="0703335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8" w:type="dxa"/>
            <w:vAlign w:val="center"/>
          </w:tcPr>
          <w:p w14:paraId="6C48DCA9" w14:textId="085CE017"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c>
          <w:tcPr>
            <w:tcW w:w="709" w:type="dxa"/>
            <w:vAlign w:val="center"/>
          </w:tcPr>
          <w:p w14:paraId="4246291E" w14:textId="541EDDE0"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9" w:type="dxa"/>
            <w:vAlign w:val="center"/>
          </w:tcPr>
          <w:p w14:paraId="18A44921" w14:textId="71CB47D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3</w:t>
            </w:r>
          </w:p>
        </w:tc>
        <w:tc>
          <w:tcPr>
            <w:tcW w:w="709" w:type="dxa"/>
            <w:vAlign w:val="center"/>
          </w:tcPr>
          <w:p w14:paraId="719639AC" w14:textId="07794A8D"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r>
      <w:tr w:rsidR="00B4033A" w:rsidRPr="00094C88" w14:paraId="734624B0" w14:textId="77777777" w:rsidTr="0057432D">
        <w:trPr>
          <w:trHeight w:val="18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5B4B730"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17b. Starppatēriņš</w:t>
            </w:r>
          </w:p>
        </w:tc>
        <w:tc>
          <w:tcPr>
            <w:tcW w:w="1134" w:type="dxa"/>
            <w:vAlign w:val="center"/>
            <w:hideMark/>
          </w:tcPr>
          <w:p w14:paraId="10E480F6" w14:textId="04D7D392"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P.2</w:t>
            </w:r>
          </w:p>
        </w:tc>
        <w:tc>
          <w:tcPr>
            <w:tcW w:w="1134" w:type="dxa"/>
            <w:vAlign w:val="center"/>
          </w:tcPr>
          <w:p w14:paraId="29340CA6" w14:textId="236D433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1 549</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861" w:type="dxa"/>
            <w:vAlign w:val="center"/>
          </w:tcPr>
          <w:p w14:paraId="4CD60762" w14:textId="51717DE4"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8" w:type="dxa"/>
            <w:vAlign w:val="center"/>
          </w:tcPr>
          <w:p w14:paraId="49E61497" w14:textId="4E9DACFE"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3</w:t>
            </w:r>
          </w:p>
        </w:tc>
        <w:tc>
          <w:tcPr>
            <w:tcW w:w="709" w:type="dxa"/>
            <w:vAlign w:val="center"/>
          </w:tcPr>
          <w:p w14:paraId="1AB0C477" w14:textId="2BC1423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7</w:t>
            </w:r>
          </w:p>
        </w:tc>
        <w:tc>
          <w:tcPr>
            <w:tcW w:w="709" w:type="dxa"/>
            <w:vAlign w:val="center"/>
          </w:tcPr>
          <w:p w14:paraId="0A6DDA62" w14:textId="19233278"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c>
          <w:tcPr>
            <w:tcW w:w="709" w:type="dxa"/>
            <w:vAlign w:val="center"/>
          </w:tcPr>
          <w:p w14:paraId="335F8A37" w14:textId="232B03DB"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r>
      <w:tr w:rsidR="00B4033A" w:rsidRPr="00094C88" w14:paraId="55F087F6" w14:textId="77777777" w:rsidTr="0057432D">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4FA636E"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18. Sociālie maksājumi (18=18a+18b)</w:t>
            </w:r>
          </w:p>
        </w:tc>
        <w:tc>
          <w:tcPr>
            <w:tcW w:w="1134" w:type="dxa"/>
            <w:vAlign w:val="center"/>
            <w:hideMark/>
          </w:tcPr>
          <w:p w14:paraId="74C55796" w14:textId="66DC3B70"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134" w:type="dxa"/>
            <w:vAlign w:val="center"/>
          </w:tcPr>
          <w:p w14:paraId="51BE1385" w14:textId="64F7F9B0"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2 921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7</w:t>
            </w:r>
          </w:p>
        </w:tc>
        <w:tc>
          <w:tcPr>
            <w:tcW w:w="861" w:type="dxa"/>
            <w:vAlign w:val="center"/>
          </w:tcPr>
          <w:p w14:paraId="03FFC33D" w14:textId="7550FDEF"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7</w:t>
            </w:r>
          </w:p>
        </w:tc>
        <w:tc>
          <w:tcPr>
            <w:tcW w:w="708" w:type="dxa"/>
            <w:vAlign w:val="center"/>
          </w:tcPr>
          <w:p w14:paraId="05F1C08C" w14:textId="5358FE71"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7</w:t>
            </w:r>
          </w:p>
        </w:tc>
        <w:tc>
          <w:tcPr>
            <w:tcW w:w="709" w:type="dxa"/>
            <w:vAlign w:val="center"/>
          </w:tcPr>
          <w:p w14:paraId="267475FB" w14:textId="4F28F491"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12</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c>
          <w:tcPr>
            <w:tcW w:w="709" w:type="dxa"/>
            <w:vAlign w:val="center"/>
          </w:tcPr>
          <w:p w14:paraId="5CDEDDB9" w14:textId="6ED4DEC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12</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9" w:type="dxa"/>
            <w:vAlign w:val="center"/>
          </w:tcPr>
          <w:p w14:paraId="6CECDD3E" w14:textId="3C8DBCC9"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12</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3</w:t>
            </w:r>
          </w:p>
        </w:tc>
      </w:tr>
      <w:tr w:rsidR="00B4033A" w:rsidRPr="00094C88" w14:paraId="3DB84B74" w14:textId="77777777" w:rsidTr="0057432D">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79CCCB3" w14:textId="77777777" w:rsidR="00B4033A" w:rsidRPr="00094C88" w:rsidRDefault="00B4033A" w:rsidP="00B4033A">
            <w:pPr>
              <w:ind w:firstLineChars="200" w:firstLine="400"/>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tai skaitā bezdarbnieku pabalsti</w:t>
            </w:r>
          </w:p>
        </w:tc>
        <w:tc>
          <w:tcPr>
            <w:tcW w:w="1134" w:type="dxa"/>
            <w:vAlign w:val="center"/>
            <w:hideMark/>
          </w:tcPr>
          <w:p w14:paraId="2565AAD2" w14:textId="29E128C2"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134" w:type="dxa"/>
            <w:vAlign w:val="center"/>
          </w:tcPr>
          <w:p w14:paraId="4857122E" w14:textId="32837E0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116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861" w:type="dxa"/>
            <w:vAlign w:val="center"/>
          </w:tcPr>
          <w:p w14:paraId="4F614B06" w14:textId="70E1FEB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8" w:type="dxa"/>
            <w:vAlign w:val="center"/>
          </w:tcPr>
          <w:p w14:paraId="6287F6A0" w14:textId="138C1D3C"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9" w:type="dxa"/>
            <w:vAlign w:val="center"/>
          </w:tcPr>
          <w:p w14:paraId="150D42FA" w14:textId="57D549D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9" w:type="dxa"/>
            <w:vAlign w:val="center"/>
          </w:tcPr>
          <w:p w14:paraId="38CF250C" w14:textId="77B28D90"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9" w:type="dxa"/>
            <w:vAlign w:val="center"/>
          </w:tcPr>
          <w:p w14:paraId="7DCD07FC" w14:textId="5B2AEA9D"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r>
      <w:tr w:rsidR="00B4033A" w:rsidRPr="00094C88" w14:paraId="29208BF5" w14:textId="77777777" w:rsidTr="0057432D">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233732F"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18a. Sociālie pārvedumi piegādāti caur tirgus ražotājiem</w:t>
            </w:r>
          </w:p>
        </w:tc>
        <w:tc>
          <w:tcPr>
            <w:tcW w:w="1134" w:type="dxa"/>
            <w:vAlign w:val="center"/>
            <w:hideMark/>
          </w:tcPr>
          <w:p w14:paraId="6AD6CE4E"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D.6311, D.63121, D.63131</w:t>
            </w:r>
          </w:p>
        </w:tc>
        <w:tc>
          <w:tcPr>
            <w:tcW w:w="1134" w:type="dxa"/>
            <w:vAlign w:val="center"/>
          </w:tcPr>
          <w:p w14:paraId="4DB56652" w14:textId="03413A74"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282</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4</w:t>
            </w:r>
          </w:p>
        </w:tc>
        <w:tc>
          <w:tcPr>
            <w:tcW w:w="861" w:type="dxa"/>
            <w:vAlign w:val="center"/>
          </w:tcPr>
          <w:p w14:paraId="4323257D" w14:textId="4D8E4B1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8" w:type="dxa"/>
            <w:vAlign w:val="center"/>
          </w:tcPr>
          <w:p w14:paraId="3662141D" w14:textId="6C6A199A"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9" w:type="dxa"/>
            <w:vAlign w:val="center"/>
          </w:tcPr>
          <w:p w14:paraId="6BAA5EFF" w14:textId="6C619BF8"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9" w:type="dxa"/>
            <w:vAlign w:val="center"/>
          </w:tcPr>
          <w:p w14:paraId="020B3AE7" w14:textId="38098FDB"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9" w:type="dxa"/>
            <w:vAlign w:val="center"/>
          </w:tcPr>
          <w:p w14:paraId="03DF5084" w14:textId="51E4F768"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r>
      <w:tr w:rsidR="00B4033A" w:rsidRPr="00094C88" w14:paraId="75DCB4D4" w14:textId="77777777" w:rsidTr="0057432D">
        <w:trPr>
          <w:trHeight w:val="33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0A602B8"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18b. Sociālie pārvedumi, kas nav sociālie pārvedumi natūrā</w:t>
            </w:r>
          </w:p>
        </w:tc>
        <w:tc>
          <w:tcPr>
            <w:tcW w:w="1134" w:type="dxa"/>
            <w:vAlign w:val="center"/>
            <w:hideMark/>
          </w:tcPr>
          <w:p w14:paraId="5BC33DCC" w14:textId="7777777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D.62</w:t>
            </w:r>
          </w:p>
        </w:tc>
        <w:tc>
          <w:tcPr>
            <w:tcW w:w="1134" w:type="dxa"/>
            <w:vAlign w:val="center"/>
          </w:tcPr>
          <w:p w14:paraId="6C26A14F" w14:textId="1FD89EF7"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2 639</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861" w:type="dxa"/>
            <w:vAlign w:val="center"/>
          </w:tcPr>
          <w:p w14:paraId="21074A9D" w14:textId="25622286"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8" w:type="dxa"/>
            <w:vAlign w:val="center"/>
          </w:tcPr>
          <w:p w14:paraId="2FC626B4" w14:textId="2E78873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c>
          <w:tcPr>
            <w:tcW w:w="709" w:type="dxa"/>
            <w:vAlign w:val="center"/>
          </w:tcPr>
          <w:p w14:paraId="5FC78DAC" w14:textId="37D20FC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8</w:t>
            </w:r>
          </w:p>
        </w:tc>
        <w:tc>
          <w:tcPr>
            <w:tcW w:w="709" w:type="dxa"/>
            <w:vAlign w:val="center"/>
          </w:tcPr>
          <w:p w14:paraId="0592E7DD" w14:textId="32FBDBC2"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c>
          <w:tcPr>
            <w:tcW w:w="709" w:type="dxa"/>
            <w:vAlign w:val="center"/>
          </w:tcPr>
          <w:p w14:paraId="6FD5BDBB" w14:textId="38E05306"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r>
      <w:tr w:rsidR="00B4033A" w:rsidRPr="00094C88" w14:paraId="0013A629" w14:textId="77777777" w:rsidTr="0057432D">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F1219A2"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19.=9. Procentu izdevumi</w:t>
            </w:r>
          </w:p>
        </w:tc>
        <w:tc>
          <w:tcPr>
            <w:tcW w:w="1134" w:type="dxa"/>
            <w:vAlign w:val="center"/>
            <w:hideMark/>
          </w:tcPr>
          <w:p w14:paraId="646E35FD" w14:textId="3DE551A0"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D.41</w:t>
            </w:r>
          </w:p>
        </w:tc>
        <w:tc>
          <w:tcPr>
            <w:tcW w:w="1134" w:type="dxa"/>
            <w:vAlign w:val="center"/>
          </w:tcPr>
          <w:p w14:paraId="731A1874" w14:textId="4B9EB836"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278</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c>
          <w:tcPr>
            <w:tcW w:w="861" w:type="dxa"/>
            <w:vAlign w:val="center"/>
          </w:tcPr>
          <w:p w14:paraId="4B290969" w14:textId="59831A13"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8" w:type="dxa"/>
            <w:vAlign w:val="center"/>
          </w:tcPr>
          <w:p w14:paraId="005AD0F3" w14:textId="1F82B7E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c>
          <w:tcPr>
            <w:tcW w:w="709" w:type="dxa"/>
            <w:vAlign w:val="center"/>
          </w:tcPr>
          <w:p w14:paraId="370E988D" w14:textId="2DBDF4F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9</w:t>
            </w:r>
          </w:p>
        </w:tc>
        <w:tc>
          <w:tcPr>
            <w:tcW w:w="709" w:type="dxa"/>
            <w:vAlign w:val="center"/>
          </w:tcPr>
          <w:p w14:paraId="45FF1B63" w14:textId="3DF669C0"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c>
          <w:tcPr>
            <w:tcW w:w="709" w:type="dxa"/>
            <w:vAlign w:val="center"/>
          </w:tcPr>
          <w:p w14:paraId="66CA75BC" w14:textId="369529CA"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9</w:t>
            </w:r>
          </w:p>
        </w:tc>
      </w:tr>
      <w:tr w:rsidR="00B4033A" w:rsidRPr="00094C88" w14:paraId="1BC7AFC0" w14:textId="77777777" w:rsidTr="0057432D">
        <w:trPr>
          <w:trHeight w:val="18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CDA25D9"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20. Subsīdijas</w:t>
            </w:r>
          </w:p>
        </w:tc>
        <w:tc>
          <w:tcPr>
            <w:tcW w:w="1134" w:type="dxa"/>
            <w:vAlign w:val="center"/>
            <w:hideMark/>
          </w:tcPr>
          <w:p w14:paraId="27EABD18" w14:textId="217934FA"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D.3</w:t>
            </w:r>
          </w:p>
        </w:tc>
        <w:tc>
          <w:tcPr>
            <w:tcW w:w="1134" w:type="dxa"/>
            <w:vAlign w:val="center"/>
          </w:tcPr>
          <w:p w14:paraId="7364F8E2" w14:textId="3503217A"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133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c>
          <w:tcPr>
            <w:tcW w:w="861" w:type="dxa"/>
            <w:vAlign w:val="center"/>
          </w:tcPr>
          <w:p w14:paraId="03ACE274" w14:textId="0F30C681"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8" w:type="dxa"/>
            <w:vAlign w:val="center"/>
          </w:tcPr>
          <w:p w14:paraId="1A78226E" w14:textId="5E8DB022"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c>
          <w:tcPr>
            <w:tcW w:w="709" w:type="dxa"/>
            <w:vAlign w:val="center"/>
          </w:tcPr>
          <w:p w14:paraId="0DCDA8D6" w14:textId="78F6E2D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9" w:type="dxa"/>
            <w:vAlign w:val="center"/>
          </w:tcPr>
          <w:p w14:paraId="25D2C92C" w14:textId="73E8B040"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9" w:type="dxa"/>
            <w:vAlign w:val="center"/>
          </w:tcPr>
          <w:p w14:paraId="227C7600" w14:textId="41B65638"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4</w:t>
            </w:r>
          </w:p>
        </w:tc>
      </w:tr>
      <w:tr w:rsidR="00B4033A" w:rsidRPr="00094C88" w14:paraId="60261DCA" w14:textId="77777777" w:rsidTr="0057432D">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6AE12BE"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21. Bruto kopējā pamatkapitāla veidošana</w:t>
            </w:r>
          </w:p>
        </w:tc>
        <w:tc>
          <w:tcPr>
            <w:tcW w:w="1134" w:type="dxa"/>
            <w:vAlign w:val="center"/>
            <w:hideMark/>
          </w:tcPr>
          <w:p w14:paraId="6F11F37D" w14:textId="41F22A18"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P.51</w:t>
            </w:r>
          </w:p>
        </w:tc>
        <w:tc>
          <w:tcPr>
            <w:tcW w:w="1134" w:type="dxa"/>
            <w:vAlign w:val="center"/>
          </w:tcPr>
          <w:p w14:paraId="1EB6F4E7" w14:textId="51DF469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809</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861" w:type="dxa"/>
            <w:vAlign w:val="center"/>
          </w:tcPr>
          <w:p w14:paraId="6BDE0A5F" w14:textId="5968EE4B"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8" w:type="dxa"/>
            <w:vAlign w:val="center"/>
          </w:tcPr>
          <w:p w14:paraId="4040D127" w14:textId="5D9372D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7</w:t>
            </w:r>
          </w:p>
        </w:tc>
        <w:tc>
          <w:tcPr>
            <w:tcW w:w="709" w:type="dxa"/>
            <w:vAlign w:val="center"/>
          </w:tcPr>
          <w:p w14:paraId="11A49BB7" w14:textId="4689CB1C"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4</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9" w:type="dxa"/>
            <w:vAlign w:val="center"/>
          </w:tcPr>
          <w:p w14:paraId="72F66716" w14:textId="48957747"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9</w:t>
            </w:r>
          </w:p>
        </w:tc>
        <w:tc>
          <w:tcPr>
            <w:tcW w:w="709" w:type="dxa"/>
            <w:vAlign w:val="center"/>
          </w:tcPr>
          <w:p w14:paraId="71DDAC41" w14:textId="4B735816"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r>
      <w:tr w:rsidR="00B4033A" w:rsidRPr="00094C88" w14:paraId="6A17D3B8" w14:textId="77777777" w:rsidTr="0057432D">
        <w:trPr>
          <w:trHeight w:val="12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151C90B"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22. Kapitālo izdevumu transferti</w:t>
            </w:r>
          </w:p>
        </w:tc>
        <w:tc>
          <w:tcPr>
            <w:tcW w:w="1134" w:type="dxa"/>
            <w:vAlign w:val="center"/>
            <w:hideMark/>
          </w:tcPr>
          <w:p w14:paraId="299A6BBC" w14:textId="0245BB4E"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D.9</w:t>
            </w:r>
          </w:p>
        </w:tc>
        <w:tc>
          <w:tcPr>
            <w:tcW w:w="1134" w:type="dxa"/>
            <w:vAlign w:val="center"/>
          </w:tcPr>
          <w:p w14:paraId="2423E2BD" w14:textId="6644338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31</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3</w:t>
            </w:r>
          </w:p>
        </w:tc>
        <w:tc>
          <w:tcPr>
            <w:tcW w:w="861" w:type="dxa"/>
            <w:vAlign w:val="center"/>
          </w:tcPr>
          <w:p w14:paraId="0FBE4587" w14:textId="1A3CEF6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8" w:type="dxa"/>
            <w:vAlign w:val="center"/>
          </w:tcPr>
          <w:p w14:paraId="117E0FDB" w14:textId="667FEF5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9" w:type="dxa"/>
            <w:vAlign w:val="center"/>
          </w:tcPr>
          <w:p w14:paraId="2C3306CC" w14:textId="1B2ABFED"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9" w:type="dxa"/>
            <w:vAlign w:val="center"/>
          </w:tcPr>
          <w:p w14:paraId="3C988977" w14:textId="4E4A4C6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9" w:type="dxa"/>
            <w:vAlign w:val="center"/>
          </w:tcPr>
          <w:p w14:paraId="42DE6D67" w14:textId="36B63023"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0</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r>
      <w:tr w:rsidR="00B4033A" w:rsidRPr="00094C88" w14:paraId="19E40AAD" w14:textId="77777777" w:rsidTr="0057432D">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F2228BD"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23. Pārējie izdevumi</w:t>
            </w:r>
          </w:p>
        </w:tc>
        <w:tc>
          <w:tcPr>
            <w:tcW w:w="1134" w:type="dxa"/>
            <w:vAlign w:val="center"/>
            <w:hideMark/>
          </w:tcPr>
          <w:p w14:paraId="4C81ADE8" w14:textId="482F57FB"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p>
        </w:tc>
        <w:tc>
          <w:tcPr>
            <w:tcW w:w="1134" w:type="dxa"/>
            <w:vAlign w:val="center"/>
          </w:tcPr>
          <w:p w14:paraId="25F96F8E" w14:textId="0B4113B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772</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3</w:t>
            </w:r>
          </w:p>
        </w:tc>
        <w:tc>
          <w:tcPr>
            <w:tcW w:w="861" w:type="dxa"/>
            <w:vAlign w:val="center"/>
          </w:tcPr>
          <w:p w14:paraId="6D395EFE" w14:textId="74749786"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8" w:type="dxa"/>
            <w:vAlign w:val="center"/>
          </w:tcPr>
          <w:p w14:paraId="4CFE3042" w14:textId="75600C53"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7</w:t>
            </w:r>
          </w:p>
        </w:tc>
        <w:tc>
          <w:tcPr>
            <w:tcW w:w="709" w:type="dxa"/>
            <w:vAlign w:val="center"/>
          </w:tcPr>
          <w:p w14:paraId="4E8E22BA" w14:textId="13B307D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2</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9</w:t>
            </w:r>
          </w:p>
        </w:tc>
        <w:tc>
          <w:tcPr>
            <w:tcW w:w="709" w:type="dxa"/>
            <w:vAlign w:val="center"/>
          </w:tcPr>
          <w:p w14:paraId="3DD70FBD" w14:textId="0420B0C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9" w:type="dxa"/>
            <w:vAlign w:val="center"/>
          </w:tcPr>
          <w:p w14:paraId="7E839B26" w14:textId="31064AA5"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2</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8</w:t>
            </w:r>
          </w:p>
        </w:tc>
      </w:tr>
      <w:tr w:rsidR="00B4033A" w:rsidRPr="00094C88" w14:paraId="5FF0DFE9" w14:textId="77777777" w:rsidTr="0057432D">
        <w:trPr>
          <w:trHeight w:val="21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C7A4AB7"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24.=7. Kopējie izdevumi</w:t>
            </w:r>
          </w:p>
        </w:tc>
        <w:tc>
          <w:tcPr>
            <w:tcW w:w="1134" w:type="dxa"/>
            <w:vAlign w:val="center"/>
            <w:hideMark/>
          </w:tcPr>
          <w:p w14:paraId="5A912D57" w14:textId="77777777" w:rsidR="00B4033A" w:rsidRPr="00094C88" w:rsidRDefault="00B4033A" w:rsidP="00B403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TE</w:t>
            </w:r>
          </w:p>
        </w:tc>
        <w:tc>
          <w:tcPr>
            <w:tcW w:w="1134" w:type="dxa"/>
            <w:vAlign w:val="center"/>
          </w:tcPr>
          <w:p w14:paraId="0E853ACD" w14:textId="33CE605A"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9 044</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c>
          <w:tcPr>
            <w:tcW w:w="861" w:type="dxa"/>
            <w:vAlign w:val="center"/>
          </w:tcPr>
          <w:p w14:paraId="282D75EF" w14:textId="0627CD0A"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708" w:type="dxa"/>
            <w:vAlign w:val="center"/>
          </w:tcPr>
          <w:p w14:paraId="731212C9" w14:textId="54FEE49F"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37</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c>
          <w:tcPr>
            <w:tcW w:w="709" w:type="dxa"/>
            <w:vAlign w:val="center"/>
          </w:tcPr>
          <w:p w14:paraId="1767955E" w14:textId="2D924F12"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37</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8</w:t>
            </w:r>
          </w:p>
        </w:tc>
        <w:tc>
          <w:tcPr>
            <w:tcW w:w="709" w:type="dxa"/>
            <w:vAlign w:val="center"/>
          </w:tcPr>
          <w:p w14:paraId="7BDA03CC" w14:textId="361421AE"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37</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9" w:type="dxa"/>
            <w:vAlign w:val="center"/>
          </w:tcPr>
          <w:p w14:paraId="75D0A257" w14:textId="18E624B5" w:rsidR="00B4033A" w:rsidRPr="00B4033A" w:rsidRDefault="00B4033A" w:rsidP="00B4033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36</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6</w:t>
            </w:r>
          </w:p>
        </w:tc>
      </w:tr>
      <w:tr w:rsidR="00B4033A" w:rsidRPr="00094C88" w14:paraId="19DCD5D4" w14:textId="77777777" w:rsidTr="0057432D">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6CAD4AC" w14:textId="77777777" w:rsidR="00B4033A" w:rsidRPr="00094C88" w:rsidRDefault="00B4033A" w:rsidP="00B4033A">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Valdības patēriņš</w:t>
            </w:r>
          </w:p>
        </w:tc>
        <w:tc>
          <w:tcPr>
            <w:tcW w:w="1134" w:type="dxa"/>
            <w:vAlign w:val="center"/>
            <w:hideMark/>
          </w:tcPr>
          <w:p w14:paraId="1E4D9AF6" w14:textId="77777777" w:rsidR="00B4033A" w:rsidRPr="00094C88" w:rsidRDefault="00B4033A" w:rsidP="00B403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P.3</w:t>
            </w:r>
          </w:p>
        </w:tc>
        <w:tc>
          <w:tcPr>
            <w:tcW w:w="1134" w:type="dxa"/>
            <w:vAlign w:val="center"/>
          </w:tcPr>
          <w:p w14:paraId="223E85FE" w14:textId="7720B9D8"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4 617</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1</w:t>
            </w:r>
          </w:p>
        </w:tc>
        <w:tc>
          <w:tcPr>
            <w:tcW w:w="861" w:type="dxa"/>
            <w:vAlign w:val="center"/>
          </w:tcPr>
          <w:p w14:paraId="53A724B5" w14:textId="26769882"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18</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5</w:t>
            </w:r>
          </w:p>
        </w:tc>
        <w:tc>
          <w:tcPr>
            <w:tcW w:w="708" w:type="dxa"/>
            <w:vAlign w:val="center"/>
          </w:tcPr>
          <w:p w14:paraId="4E381FE0" w14:textId="5011FDEF"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19</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2</w:t>
            </w:r>
          </w:p>
        </w:tc>
        <w:tc>
          <w:tcPr>
            <w:tcW w:w="709" w:type="dxa"/>
            <w:vAlign w:val="center"/>
          </w:tcPr>
          <w:p w14:paraId="5A2BB255" w14:textId="5B27EE83"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19</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0</w:t>
            </w:r>
          </w:p>
        </w:tc>
        <w:tc>
          <w:tcPr>
            <w:tcW w:w="709" w:type="dxa"/>
            <w:vAlign w:val="center"/>
          </w:tcPr>
          <w:p w14:paraId="59655E8A" w14:textId="1901AA5C"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18</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4</w:t>
            </w:r>
          </w:p>
        </w:tc>
        <w:tc>
          <w:tcPr>
            <w:tcW w:w="709" w:type="dxa"/>
            <w:vAlign w:val="center"/>
          </w:tcPr>
          <w:p w14:paraId="20E8B10C" w14:textId="4E46BFBE" w:rsidR="00B4033A" w:rsidRPr="00B4033A" w:rsidRDefault="00B4033A" w:rsidP="00B4033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B4033A">
              <w:rPr>
                <w:rFonts w:ascii="Times New Roman" w:eastAsia="Times New Roman" w:hAnsi="Times New Roman" w:cs="Times New Roman"/>
                <w:color w:val="000000" w:themeColor="text1"/>
                <w:sz w:val="20"/>
                <w:szCs w:val="20"/>
                <w:lang w:eastAsia="lv-LV"/>
              </w:rPr>
              <w:t>18</w:t>
            </w:r>
            <w:r>
              <w:rPr>
                <w:rFonts w:ascii="Times New Roman" w:eastAsia="Times New Roman" w:hAnsi="Times New Roman" w:cs="Times New Roman"/>
                <w:color w:val="000000" w:themeColor="text1"/>
                <w:sz w:val="20"/>
                <w:szCs w:val="20"/>
                <w:lang w:eastAsia="lv-LV"/>
              </w:rPr>
              <w:t>,</w:t>
            </w:r>
            <w:r w:rsidRPr="00B4033A">
              <w:rPr>
                <w:rFonts w:ascii="Times New Roman" w:eastAsia="Times New Roman" w:hAnsi="Times New Roman" w:cs="Times New Roman"/>
                <w:color w:val="000000" w:themeColor="text1"/>
                <w:sz w:val="20"/>
                <w:szCs w:val="20"/>
                <w:lang w:eastAsia="lv-LV"/>
              </w:rPr>
              <w:t>4</w:t>
            </w:r>
          </w:p>
        </w:tc>
      </w:tr>
    </w:tbl>
    <w:p w14:paraId="7E5F04F3" w14:textId="521B440D" w:rsidR="00542988" w:rsidRPr="00502866" w:rsidRDefault="00527227" w:rsidP="00F171EC">
      <w:pPr>
        <w:spacing w:after="0" w:line="240" w:lineRule="auto"/>
        <w:rPr>
          <w:rFonts w:ascii="Times New Roman" w:eastAsia="Times New Roman" w:hAnsi="Times New Roman" w:cs="Times New Roman"/>
          <w:sz w:val="20"/>
          <w:szCs w:val="20"/>
          <w:lang w:eastAsia="lv-LV"/>
        </w:rPr>
      </w:pPr>
      <w:r w:rsidRPr="00502866">
        <w:rPr>
          <w:rFonts w:ascii="Times New Roman" w:eastAsia="Times New Roman" w:hAnsi="Times New Roman" w:cs="Times New Roman"/>
          <w:sz w:val="20"/>
          <w:szCs w:val="20"/>
          <w:lang w:eastAsia="lv-LV"/>
        </w:rPr>
        <w:t xml:space="preserve">* </w:t>
      </w:r>
      <w:r w:rsidR="00E42D7B" w:rsidRPr="00502866">
        <w:rPr>
          <w:rFonts w:ascii="Times New Roman" w:eastAsia="Times New Roman" w:hAnsi="Times New Roman" w:cs="Times New Roman"/>
          <w:sz w:val="20"/>
          <w:szCs w:val="20"/>
          <w:lang w:eastAsia="lv-LV"/>
        </w:rPr>
        <w:t>FM</w:t>
      </w:r>
      <w:r w:rsidRPr="00502866">
        <w:rPr>
          <w:rFonts w:ascii="Times New Roman" w:eastAsia="Times New Roman" w:hAnsi="Times New Roman" w:cs="Times New Roman"/>
          <w:sz w:val="20"/>
          <w:szCs w:val="20"/>
          <w:lang w:eastAsia="lv-LV"/>
        </w:rPr>
        <w:t xml:space="preserve"> novērtējums</w:t>
      </w:r>
    </w:p>
    <w:p w14:paraId="266DBBA4" w14:textId="4DFC1F89" w:rsidR="00B557A0" w:rsidRPr="00502866" w:rsidRDefault="00527227" w:rsidP="00B557A0">
      <w:pPr>
        <w:spacing w:after="0" w:line="240" w:lineRule="auto"/>
        <w:rPr>
          <w:rFonts w:ascii="Times New Roman" w:eastAsia="Times New Roman" w:hAnsi="Times New Roman" w:cs="Times New Roman"/>
          <w:sz w:val="20"/>
          <w:szCs w:val="20"/>
          <w:lang w:eastAsia="lv-LV"/>
        </w:rPr>
      </w:pPr>
      <w:r w:rsidRPr="00502866">
        <w:rPr>
          <w:rFonts w:ascii="Times New Roman" w:eastAsia="Times New Roman" w:hAnsi="Times New Roman" w:cs="Times New Roman"/>
          <w:sz w:val="20"/>
          <w:szCs w:val="20"/>
          <w:lang w:eastAsia="lv-LV"/>
        </w:rPr>
        <w:t>** Ieskaitot ES budžetā iekasēto nodokļu daļu</w:t>
      </w:r>
    </w:p>
    <w:p w14:paraId="7BFC0983" w14:textId="77777777" w:rsidR="00EF7759" w:rsidRDefault="00EF7759">
      <w:pPr>
        <w:rPr>
          <w:rFonts w:ascii="Times New Roman" w:hAnsi="Times New Roman" w:cs="Times New Roman"/>
          <w:b/>
          <w:sz w:val="24"/>
          <w:szCs w:val="24"/>
        </w:rPr>
      </w:pPr>
      <w:r>
        <w:rPr>
          <w:rFonts w:ascii="Times New Roman" w:hAnsi="Times New Roman" w:cs="Times New Roman"/>
          <w:b/>
          <w:sz w:val="24"/>
          <w:szCs w:val="24"/>
        </w:rPr>
        <w:br w:type="page"/>
      </w:r>
    </w:p>
    <w:p w14:paraId="5F3CEFD7" w14:textId="2B5C76F0" w:rsidR="00F51615" w:rsidRDefault="00C81719" w:rsidP="00F51615">
      <w:pPr>
        <w:rPr>
          <w:rFonts w:ascii="Times New Roman" w:hAnsi="Times New Roman" w:cs="Times New Roman"/>
          <w:b/>
          <w:sz w:val="24"/>
          <w:szCs w:val="24"/>
        </w:rPr>
      </w:pPr>
      <w:r>
        <w:rPr>
          <w:rFonts w:ascii="Times New Roman" w:hAnsi="Times New Roman" w:cs="Times New Roman"/>
          <w:b/>
          <w:sz w:val="24"/>
          <w:szCs w:val="24"/>
        </w:rPr>
        <w:lastRenderedPageBreak/>
        <w:t>2b.</w:t>
      </w:r>
      <w:r w:rsidR="00F51615" w:rsidRPr="00C81719">
        <w:rPr>
          <w:rFonts w:ascii="Times New Roman" w:hAnsi="Times New Roman" w:cs="Times New Roman"/>
          <w:b/>
          <w:sz w:val="24"/>
          <w:szCs w:val="24"/>
        </w:rPr>
        <w:t>tabula. Prognozes pie nemainīgas politikas</w:t>
      </w:r>
    </w:p>
    <w:tbl>
      <w:tblPr>
        <w:tblStyle w:val="GridTable6Colorful-Accent1"/>
        <w:tblW w:w="8931" w:type="dxa"/>
        <w:jc w:val="center"/>
        <w:tblLook w:val="04A0" w:firstRow="1" w:lastRow="0" w:firstColumn="1" w:lastColumn="0" w:noHBand="0" w:noVBand="1"/>
      </w:tblPr>
      <w:tblGrid>
        <w:gridCol w:w="4115"/>
        <w:gridCol w:w="1134"/>
        <w:gridCol w:w="798"/>
        <w:gridCol w:w="708"/>
        <w:gridCol w:w="758"/>
        <w:gridCol w:w="709"/>
        <w:gridCol w:w="709"/>
      </w:tblGrid>
      <w:tr w:rsidR="00F11D34" w:rsidRPr="00094C88" w14:paraId="65F2D02F" w14:textId="77777777" w:rsidTr="003028D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5" w:type="dxa"/>
            <w:hideMark/>
          </w:tcPr>
          <w:p w14:paraId="3FC9F49B" w14:textId="77777777" w:rsidR="00E773FD" w:rsidRPr="00094C88" w:rsidRDefault="00E773FD" w:rsidP="00E773FD">
            <w:pPr>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1134" w:type="dxa"/>
            <w:vAlign w:val="center"/>
            <w:hideMark/>
          </w:tcPr>
          <w:p w14:paraId="41B9AE8F" w14:textId="33242590" w:rsidR="00E773FD" w:rsidRPr="00094C88"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Pr>
                <w:rFonts w:ascii="Times New Roman" w:eastAsia="Times New Roman" w:hAnsi="Times New Roman" w:cs="Times New Roman"/>
                <w:bCs w:val="0"/>
                <w:color w:val="auto"/>
                <w:sz w:val="20"/>
                <w:szCs w:val="20"/>
                <w:lang w:eastAsia="lv-LV"/>
              </w:rPr>
              <w:t>2016</w:t>
            </w:r>
          </w:p>
        </w:tc>
        <w:tc>
          <w:tcPr>
            <w:tcW w:w="798" w:type="dxa"/>
            <w:vAlign w:val="center"/>
            <w:hideMark/>
          </w:tcPr>
          <w:p w14:paraId="0B6A6C09" w14:textId="362FB4DF" w:rsidR="00E773FD" w:rsidRPr="00094C88"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Pr>
                <w:rFonts w:ascii="Times New Roman" w:eastAsia="Times New Roman" w:hAnsi="Times New Roman" w:cs="Times New Roman"/>
                <w:bCs w:val="0"/>
                <w:color w:val="auto"/>
                <w:sz w:val="20"/>
                <w:szCs w:val="20"/>
                <w:lang w:eastAsia="lv-LV"/>
              </w:rPr>
              <w:t>2016</w:t>
            </w:r>
          </w:p>
        </w:tc>
        <w:tc>
          <w:tcPr>
            <w:tcW w:w="708" w:type="dxa"/>
            <w:vAlign w:val="center"/>
            <w:hideMark/>
          </w:tcPr>
          <w:p w14:paraId="0CBF3EB5" w14:textId="5F7DB037" w:rsidR="00E773FD" w:rsidRPr="00094C88"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Pr>
                <w:rFonts w:ascii="Times New Roman" w:eastAsia="Times New Roman" w:hAnsi="Times New Roman" w:cs="Times New Roman"/>
                <w:bCs w:val="0"/>
                <w:color w:val="auto"/>
                <w:sz w:val="20"/>
                <w:szCs w:val="20"/>
                <w:lang w:eastAsia="lv-LV"/>
              </w:rPr>
              <w:t>2017</w:t>
            </w:r>
          </w:p>
        </w:tc>
        <w:tc>
          <w:tcPr>
            <w:tcW w:w="758" w:type="dxa"/>
            <w:vAlign w:val="center"/>
            <w:hideMark/>
          </w:tcPr>
          <w:p w14:paraId="1FD56A64" w14:textId="5FC2EB3C" w:rsidR="00E773FD" w:rsidRPr="00094C88"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Pr>
                <w:rFonts w:ascii="Times New Roman" w:eastAsia="Times New Roman" w:hAnsi="Times New Roman" w:cs="Times New Roman"/>
                <w:bCs w:val="0"/>
                <w:color w:val="auto"/>
                <w:sz w:val="20"/>
                <w:szCs w:val="20"/>
                <w:lang w:eastAsia="lv-LV"/>
              </w:rPr>
              <w:t>2018</w:t>
            </w:r>
          </w:p>
        </w:tc>
        <w:tc>
          <w:tcPr>
            <w:tcW w:w="709" w:type="dxa"/>
            <w:vAlign w:val="center"/>
            <w:hideMark/>
          </w:tcPr>
          <w:p w14:paraId="595F407D" w14:textId="13649E69" w:rsidR="00E773FD" w:rsidRPr="00094C88"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Pr>
                <w:rFonts w:ascii="Times New Roman" w:eastAsia="Times New Roman" w:hAnsi="Times New Roman" w:cs="Times New Roman"/>
                <w:bCs w:val="0"/>
                <w:color w:val="auto"/>
                <w:sz w:val="20"/>
                <w:szCs w:val="20"/>
                <w:lang w:eastAsia="lv-LV"/>
              </w:rPr>
              <w:t>2019</w:t>
            </w:r>
          </w:p>
        </w:tc>
        <w:tc>
          <w:tcPr>
            <w:tcW w:w="709" w:type="dxa"/>
            <w:vAlign w:val="center"/>
            <w:hideMark/>
          </w:tcPr>
          <w:p w14:paraId="3639E429" w14:textId="5C39CBB2" w:rsidR="00E773FD" w:rsidRPr="00094C88" w:rsidRDefault="009D2D01" w:rsidP="00F11D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eastAsia="lv-LV"/>
              </w:rPr>
            </w:pPr>
            <w:r>
              <w:rPr>
                <w:rFonts w:ascii="Times New Roman" w:eastAsia="Times New Roman" w:hAnsi="Times New Roman" w:cs="Times New Roman"/>
                <w:bCs w:val="0"/>
                <w:color w:val="auto"/>
                <w:sz w:val="20"/>
                <w:szCs w:val="20"/>
                <w:lang w:eastAsia="lv-LV"/>
              </w:rPr>
              <w:t>2020</w:t>
            </w:r>
          </w:p>
        </w:tc>
      </w:tr>
      <w:tr w:rsidR="00F11D34" w:rsidRPr="00094C88" w14:paraId="027F63A4" w14:textId="77777777" w:rsidTr="0030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5" w:type="dxa"/>
            <w:hideMark/>
          </w:tcPr>
          <w:p w14:paraId="2F298C5E" w14:textId="77777777" w:rsidR="00E773FD" w:rsidRPr="00094C88" w:rsidRDefault="00E773FD" w:rsidP="00E773FD">
            <w:pPr>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1134" w:type="dxa"/>
            <w:hideMark/>
          </w:tcPr>
          <w:p w14:paraId="67FABE33" w14:textId="77777777" w:rsidR="00E773FD" w:rsidRPr="00094C88" w:rsidRDefault="00E773FD" w:rsidP="00E773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xml:space="preserve">milj. </w:t>
            </w:r>
            <w:r w:rsidRPr="00094C88">
              <w:rPr>
                <w:rFonts w:ascii="Times New Roman" w:eastAsia="Times New Roman" w:hAnsi="Times New Roman" w:cs="Times New Roman"/>
                <w:i/>
                <w:iCs/>
                <w:color w:val="auto"/>
                <w:sz w:val="20"/>
                <w:szCs w:val="20"/>
                <w:lang w:eastAsia="lv-LV"/>
              </w:rPr>
              <w:t>euro</w:t>
            </w:r>
          </w:p>
        </w:tc>
        <w:tc>
          <w:tcPr>
            <w:tcW w:w="3682" w:type="dxa"/>
            <w:gridSpan w:val="5"/>
            <w:hideMark/>
          </w:tcPr>
          <w:p w14:paraId="195F9261" w14:textId="77777777" w:rsidR="00E773FD" w:rsidRPr="00094C88" w:rsidRDefault="00E773FD" w:rsidP="00E773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no IKP</w:t>
            </w:r>
          </w:p>
        </w:tc>
      </w:tr>
      <w:tr w:rsidR="006D5FB6" w:rsidRPr="00094C88" w14:paraId="31145FD4" w14:textId="77777777" w:rsidTr="007C7D31">
        <w:trPr>
          <w:trHeight w:val="300"/>
          <w:jc w:val="center"/>
        </w:trPr>
        <w:tc>
          <w:tcPr>
            <w:cnfStyle w:val="001000000000" w:firstRow="0" w:lastRow="0" w:firstColumn="1" w:lastColumn="0" w:oddVBand="0" w:evenVBand="0" w:oddHBand="0" w:evenHBand="0" w:firstRowFirstColumn="0" w:firstRowLastColumn="0" w:lastRowFirstColumn="0" w:lastRowLastColumn="0"/>
            <w:tcW w:w="4115" w:type="dxa"/>
            <w:vAlign w:val="center"/>
            <w:hideMark/>
          </w:tcPr>
          <w:p w14:paraId="6C1E3A3B" w14:textId="77777777" w:rsidR="006D5FB6" w:rsidRPr="00094C88" w:rsidRDefault="006D5FB6" w:rsidP="006D5FB6">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 Kopējie ieņēmumi pie nemainīgas politikas</w:t>
            </w:r>
          </w:p>
        </w:tc>
        <w:tc>
          <w:tcPr>
            <w:tcW w:w="1134" w:type="dxa"/>
            <w:vAlign w:val="center"/>
          </w:tcPr>
          <w:p w14:paraId="5EACD75B" w14:textId="4490D16A"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9 036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6</w:t>
            </w:r>
          </w:p>
        </w:tc>
        <w:tc>
          <w:tcPr>
            <w:tcW w:w="798" w:type="dxa"/>
            <w:vAlign w:val="center"/>
          </w:tcPr>
          <w:p w14:paraId="27CE9A72" w14:textId="0FFAA10C"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1</w:t>
            </w:r>
          </w:p>
        </w:tc>
        <w:tc>
          <w:tcPr>
            <w:tcW w:w="708" w:type="dxa"/>
            <w:vAlign w:val="center"/>
          </w:tcPr>
          <w:p w14:paraId="3C07DFD4" w14:textId="31621A93"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8</w:t>
            </w:r>
          </w:p>
        </w:tc>
        <w:tc>
          <w:tcPr>
            <w:tcW w:w="758" w:type="dxa"/>
            <w:vAlign w:val="center"/>
          </w:tcPr>
          <w:p w14:paraId="1522AEBF" w14:textId="1B62501D"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8</w:t>
            </w:r>
          </w:p>
        </w:tc>
        <w:tc>
          <w:tcPr>
            <w:tcW w:w="709" w:type="dxa"/>
            <w:vAlign w:val="center"/>
          </w:tcPr>
          <w:p w14:paraId="6E9689FC" w14:textId="2CD050FF"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5</w:t>
            </w:r>
          </w:p>
        </w:tc>
        <w:tc>
          <w:tcPr>
            <w:tcW w:w="709" w:type="dxa"/>
            <w:vAlign w:val="center"/>
          </w:tcPr>
          <w:p w14:paraId="20387605" w14:textId="35134796"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0</w:t>
            </w:r>
          </w:p>
        </w:tc>
      </w:tr>
      <w:tr w:rsidR="006D5FB6" w:rsidRPr="00094C88" w14:paraId="07489448" w14:textId="77777777" w:rsidTr="007C7D31">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4115" w:type="dxa"/>
            <w:vAlign w:val="center"/>
            <w:hideMark/>
          </w:tcPr>
          <w:p w14:paraId="75AD22D3" w14:textId="77777777" w:rsidR="006D5FB6" w:rsidRPr="00094C88" w:rsidRDefault="006D5FB6" w:rsidP="006D5FB6">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 Kopējie izdevumi pie nemainīgas politikas</w:t>
            </w:r>
          </w:p>
        </w:tc>
        <w:tc>
          <w:tcPr>
            <w:tcW w:w="1134" w:type="dxa"/>
            <w:vAlign w:val="center"/>
          </w:tcPr>
          <w:p w14:paraId="0E1DFE8D" w14:textId="157BFC9F"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9 044</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0</w:t>
            </w:r>
          </w:p>
        </w:tc>
        <w:tc>
          <w:tcPr>
            <w:tcW w:w="798" w:type="dxa"/>
            <w:vAlign w:val="center"/>
          </w:tcPr>
          <w:p w14:paraId="2FBB317A" w14:textId="60868DFA"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1</w:t>
            </w:r>
          </w:p>
        </w:tc>
        <w:tc>
          <w:tcPr>
            <w:tcW w:w="708" w:type="dxa"/>
            <w:vAlign w:val="center"/>
          </w:tcPr>
          <w:p w14:paraId="3B65EF62" w14:textId="053E4EF2"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37</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6</w:t>
            </w:r>
          </w:p>
        </w:tc>
        <w:tc>
          <w:tcPr>
            <w:tcW w:w="758" w:type="dxa"/>
            <w:vAlign w:val="center"/>
          </w:tcPr>
          <w:p w14:paraId="509D692D" w14:textId="369811DE"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37</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1</w:t>
            </w:r>
          </w:p>
        </w:tc>
        <w:tc>
          <w:tcPr>
            <w:tcW w:w="709" w:type="dxa"/>
            <w:vAlign w:val="center"/>
          </w:tcPr>
          <w:p w14:paraId="41D8D6BD" w14:textId="562FEC61"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3</w:t>
            </w:r>
          </w:p>
        </w:tc>
        <w:tc>
          <w:tcPr>
            <w:tcW w:w="709" w:type="dxa"/>
            <w:vAlign w:val="center"/>
          </w:tcPr>
          <w:p w14:paraId="36B2E003" w14:textId="4AC28ACA"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6D5FB6">
              <w:rPr>
                <w:rFonts w:ascii="Times New Roman" w:eastAsia="Times New Roman" w:hAnsi="Times New Roman" w:cs="Times New Roman"/>
                <w:color w:val="000000"/>
                <w:sz w:val="20"/>
                <w:lang w:eastAsia="lv-LV"/>
              </w:rPr>
              <w:t>35</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2</w:t>
            </w:r>
          </w:p>
        </w:tc>
      </w:tr>
    </w:tbl>
    <w:p w14:paraId="04D724CB" w14:textId="3201941C" w:rsidR="006D5FB6" w:rsidRDefault="006D5FB6" w:rsidP="00F51615">
      <w:pPr>
        <w:rPr>
          <w:rFonts w:ascii="Times New Roman" w:hAnsi="Times New Roman" w:cs="Times New Roman"/>
          <w:b/>
          <w:szCs w:val="24"/>
        </w:rPr>
      </w:pPr>
    </w:p>
    <w:p w14:paraId="34C9798A" w14:textId="483FC57A" w:rsidR="00F51615" w:rsidRPr="00C81719" w:rsidRDefault="00C81719" w:rsidP="00F51615">
      <w:pPr>
        <w:rPr>
          <w:rFonts w:ascii="Times New Roman" w:hAnsi="Times New Roman" w:cs="Times New Roman"/>
          <w:b/>
          <w:sz w:val="24"/>
          <w:szCs w:val="24"/>
        </w:rPr>
      </w:pPr>
      <w:r>
        <w:rPr>
          <w:rFonts w:ascii="Times New Roman" w:hAnsi="Times New Roman" w:cs="Times New Roman"/>
          <w:b/>
          <w:sz w:val="24"/>
          <w:szCs w:val="24"/>
        </w:rPr>
        <w:t>2c.</w:t>
      </w:r>
      <w:r w:rsidR="00F51615" w:rsidRPr="00C81719">
        <w:rPr>
          <w:rFonts w:ascii="Times New Roman" w:hAnsi="Times New Roman" w:cs="Times New Roman"/>
          <w:b/>
          <w:sz w:val="24"/>
          <w:szCs w:val="24"/>
        </w:rPr>
        <w:t>tabula. Izdevumi, kas tiek izslēgti no izdevumu kritērija</w:t>
      </w:r>
    </w:p>
    <w:tbl>
      <w:tblPr>
        <w:tblStyle w:val="GridTable6Colorful-Accent1"/>
        <w:tblW w:w="8931" w:type="dxa"/>
        <w:jc w:val="center"/>
        <w:tblLayout w:type="fixed"/>
        <w:tblLook w:val="04A0" w:firstRow="1" w:lastRow="0" w:firstColumn="1" w:lastColumn="0" w:noHBand="0" w:noVBand="1"/>
      </w:tblPr>
      <w:tblGrid>
        <w:gridCol w:w="3544"/>
        <w:gridCol w:w="992"/>
        <w:gridCol w:w="851"/>
        <w:gridCol w:w="851"/>
        <w:gridCol w:w="850"/>
        <w:gridCol w:w="850"/>
        <w:gridCol w:w="993"/>
      </w:tblGrid>
      <w:tr w:rsidR="003028D0" w:rsidRPr="003028D0" w14:paraId="7C4E8E17" w14:textId="77777777" w:rsidTr="003028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14:paraId="3048769B" w14:textId="77777777" w:rsidR="00232B17" w:rsidRPr="003028D0" w:rsidRDefault="00232B17" w:rsidP="00232B17">
            <w:pPr>
              <w:pStyle w:val="tabteksts"/>
              <w:jc w:val="center"/>
              <w:rPr>
                <w:b w:val="0"/>
                <w:color w:val="auto"/>
              </w:rPr>
            </w:pPr>
          </w:p>
        </w:tc>
        <w:tc>
          <w:tcPr>
            <w:tcW w:w="992" w:type="dxa"/>
          </w:tcPr>
          <w:p w14:paraId="66FAD91F" w14:textId="44E01173" w:rsidR="00232B17" w:rsidRPr="003028D0" w:rsidRDefault="007C7D31" w:rsidP="009D2D01">
            <w:pPr>
              <w:pStyle w:val="tabteksts"/>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201</w:t>
            </w:r>
            <w:r w:rsidR="009D2D01">
              <w:rPr>
                <w:color w:val="auto"/>
              </w:rPr>
              <w:t>6</w:t>
            </w:r>
          </w:p>
        </w:tc>
        <w:tc>
          <w:tcPr>
            <w:tcW w:w="851" w:type="dxa"/>
          </w:tcPr>
          <w:p w14:paraId="406858AC" w14:textId="7949E24F" w:rsidR="00232B17" w:rsidRPr="003028D0" w:rsidRDefault="007C7D31" w:rsidP="009D2D01">
            <w:pPr>
              <w:pStyle w:val="tabteksts"/>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201</w:t>
            </w:r>
            <w:r w:rsidR="009D2D01">
              <w:rPr>
                <w:color w:val="auto"/>
              </w:rPr>
              <w:t>6</w:t>
            </w:r>
          </w:p>
        </w:tc>
        <w:tc>
          <w:tcPr>
            <w:tcW w:w="851" w:type="dxa"/>
          </w:tcPr>
          <w:p w14:paraId="7E1E933A" w14:textId="3AB1EB90" w:rsidR="00232B17" w:rsidRPr="003028D0" w:rsidRDefault="007C7D31" w:rsidP="00232B17">
            <w:pPr>
              <w:pStyle w:val="tabteksts"/>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2</w:t>
            </w:r>
            <w:r w:rsidR="009D2D01">
              <w:rPr>
                <w:color w:val="auto"/>
              </w:rPr>
              <w:t>017</w:t>
            </w:r>
          </w:p>
        </w:tc>
        <w:tc>
          <w:tcPr>
            <w:tcW w:w="850" w:type="dxa"/>
          </w:tcPr>
          <w:p w14:paraId="7603029E" w14:textId="6234DFE6" w:rsidR="00232B17" w:rsidRPr="003028D0" w:rsidRDefault="009D2D01" w:rsidP="00232B17">
            <w:pPr>
              <w:pStyle w:val="tabteksts"/>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2018</w:t>
            </w:r>
          </w:p>
        </w:tc>
        <w:tc>
          <w:tcPr>
            <w:tcW w:w="850" w:type="dxa"/>
          </w:tcPr>
          <w:p w14:paraId="6C884CA0" w14:textId="4F7B98B1" w:rsidR="00232B17" w:rsidRPr="003028D0" w:rsidRDefault="009D2D01" w:rsidP="00232B17">
            <w:pPr>
              <w:pStyle w:val="tabteksts"/>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2019</w:t>
            </w:r>
          </w:p>
        </w:tc>
        <w:tc>
          <w:tcPr>
            <w:tcW w:w="993" w:type="dxa"/>
          </w:tcPr>
          <w:p w14:paraId="43F07F40" w14:textId="4C0E1EDE" w:rsidR="00232B17" w:rsidRPr="003028D0" w:rsidRDefault="009D2D01" w:rsidP="00232B17">
            <w:pPr>
              <w:pStyle w:val="tabteksts"/>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2020</w:t>
            </w:r>
          </w:p>
        </w:tc>
      </w:tr>
      <w:tr w:rsidR="003028D0" w:rsidRPr="003028D0" w14:paraId="3ABCDCAF" w14:textId="77777777" w:rsidTr="00302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14:paraId="6CAE125F" w14:textId="77777777" w:rsidR="00F51615" w:rsidRPr="003028D0" w:rsidRDefault="00F51615" w:rsidP="00232B17">
            <w:pPr>
              <w:pStyle w:val="tabteksts"/>
              <w:rPr>
                <w:color w:val="auto"/>
              </w:rPr>
            </w:pPr>
          </w:p>
        </w:tc>
        <w:tc>
          <w:tcPr>
            <w:tcW w:w="992" w:type="dxa"/>
          </w:tcPr>
          <w:p w14:paraId="6D03B6D4" w14:textId="77777777" w:rsidR="00F51615" w:rsidRPr="003028D0" w:rsidRDefault="00F51615" w:rsidP="00232B17">
            <w:pPr>
              <w:pStyle w:val="tabteksts"/>
              <w:cnfStyle w:val="000000100000" w:firstRow="0" w:lastRow="0" w:firstColumn="0" w:lastColumn="0" w:oddVBand="0" w:evenVBand="0" w:oddHBand="1" w:evenHBand="0" w:firstRowFirstColumn="0" w:firstRowLastColumn="0" w:lastRowFirstColumn="0" w:lastRowLastColumn="0"/>
              <w:rPr>
                <w:noProof/>
                <w:color w:val="auto"/>
              </w:rPr>
            </w:pPr>
            <w:r w:rsidRPr="003028D0">
              <w:rPr>
                <w:noProof/>
                <w:color w:val="auto"/>
              </w:rPr>
              <w:t>milj.</w:t>
            </w:r>
            <w:r w:rsidRPr="003028D0">
              <w:rPr>
                <w:i/>
                <w:noProof/>
                <w:color w:val="auto"/>
              </w:rPr>
              <w:t>euro</w:t>
            </w:r>
          </w:p>
        </w:tc>
        <w:tc>
          <w:tcPr>
            <w:tcW w:w="4395" w:type="dxa"/>
            <w:gridSpan w:val="5"/>
          </w:tcPr>
          <w:p w14:paraId="4289C7A5" w14:textId="77777777" w:rsidR="00F51615" w:rsidRPr="003028D0" w:rsidRDefault="00F51615" w:rsidP="00232B17">
            <w:pPr>
              <w:pStyle w:val="tabteksts"/>
              <w:jc w:val="center"/>
              <w:cnfStyle w:val="000000100000" w:firstRow="0" w:lastRow="0" w:firstColumn="0" w:lastColumn="0" w:oddVBand="0" w:evenVBand="0" w:oddHBand="1" w:evenHBand="0" w:firstRowFirstColumn="0" w:firstRowLastColumn="0" w:lastRowFirstColumn="0" w:lastRowLastColumn="0"/>
              <w:rPr>
                <w:color w:val="auto"/>
              </w:rPr>
            </w:pPr>
            <w:r w:rsidRPr="003028D0">
              <w:rPr>
                <w:color w:val="auto"/>
              </w:rPr>
              <w:t>% no IKP</w:t>
            </w:r>
          </w:p>
        </w:tc>
      </w:tr>
      <w:tr w:rsidR="00ED4215" w:rsidRPr="003028D0" w14:paraId="0B31984C" w14:textId="77777777" w:rsidTr="000465FF">
        <w:trPr>
          <w:jc w:val="center"/>
        </w:trPr>
        <w:tc>
          <w:tcPr>
            <w:cnfStyle w:val="001000000000" w:firstRow="0" w:lastRow="0" w:firstColumn="1" w:lastColumn="0" w:oddVBand="0" w:evenVBand="0" w:oddHBand="0" w:evenHBand="0" w:firstRowFirstColumn="0" w:firstRowLastColumn="0" w:lastRowFirstColumn="0" w:lastRowLastColumn="0"/>
            <w:tcW w:w="3544" w:type="dxa"/>
          </w:tcPr>
          <w:p w14:paraId="7A6AF3F2" w14:textId="61B2D174" w:rsidR="00ED4215" w:rsidRPr="003028D0" w:rsidRDefault="00ED4215" w:rsidP="00ED4215">
            <w:pPr>
              <w:pStyle w:val="tabteksts"/>
              <w:jc w:val="both"/>
              <w:rPr>
                <w:b w:val="0"/>
                <w:snapToGrid w:val="0"/>
                <w:color w:val="auto"/>
              </w:rPr>
            </w:pPr>
            <w:r w:rsidRPr="003028D0">
              <w:rPr>
                <w:b w:val="0"/>
                <w:snapToGrid w:val="0"/>
                <w:color w:val="auto"/>
              </w:rPr>
              <w:t>1. Izdevumi ārvalstu finanšu palīdzības projektiem,</w:t>
            </w:r>
            <w:r>
              <w:rPr>
                <w:b w:val="0"/>
                <w:snapToGrid w:val="0"/>
                <w:color w:val="auto"/>
              </w:rPr>
              <w:t xml:space="preserve"> </w:t>
            </w:r>
            <w:r w:rsidRPr="003028D0">
              <w:rPr>
                <w:b w:val="0"/>
                <w:snapToGrid w:val="0"/>
                <w:color w:val="auto"/>
              </w:rPr>
              <w:t>kas atbilst saņemtajiem ārvalstu finanšu palīdzības ieņēmumiem</w:t>
            </w:r>
          </w:p>
        </w:tc>
        <w:tc>
          <w:tcPr>
            <w:tcW w:w="992" w:type="dxa"/>
            <w:vAlign w:val="center"/>
          </w:tcPr>
          <w:p w14:paraId="741D8AF7" w14:textId="0CA31D06"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374</w:t>
            </w:r>
            <w:r>
              <w:rPr>
                <w:color w:val="000000" w:themeColor="text1"/>
                <w:lang w:eastAsia="lv-LV"/>
              </w:rPr>
              <w:t>,</w:t>
            </w:r>
            <w:r w:rsidRPr="00ED4215">
              <w:rPr>
                <w:color w:val="000000" w:themeColor="text1"/>
                <w:lang w:eastAsia="lv-LV"/>
              </w:rPr>
              <w:t>2</w:t>
            </w:r>
          </w:p>
        </w:tc>
        <w:tc>
          <w:tcPr>
            <w:tcW w:w="851" w:type="dxa"/>
            <w:vAlign w:val="center"/>
          </w:tcPr>
          <w:p w14:paraId="2C690FE8" w14:textId="2A9BBF83"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1</w:t>
            </w:r>
            <w:r>
              <w:rPr>
                <w:color w:val="000000" w:themeColor="text1"/>
                <w:lang w:eastAsia="lv-LV"/>
              </w:rPr>
              <w:t>,</w:t>
            </w:r>
            <w:r w:rsidRPr="00ED4215">
              <w:rPr>
                <w:color w:val="000000" w:themeColor="text1"/>
                <w:lang w:eastAsia="lv-LV"/>
              </w:rPr>
              <w:t>5</w:t>
            </w:r>
          </w:p>
        </w:tc>
        <w:tc>
          <w:tcPr>
            <w:tcW w:w="851" w:type="dxa"/>
            <w:vAlign w:val="center"/>
          </w:tcPr>
          <w:p w14:paraId="5593F998" w14:textId="178FC294"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1</w:t>
            </w:r>
            <w:r>
              <w:rPr>
                <w:color w:val="000000" w:themeColor="text1"/>
                <w:lang w:eastAsia="lv-LV"/>
              </w:rPr>
              <w:t>,</w:t>
            </w:r>
            <w:r w:rsidRPr="00ED4215">
              <w:rPr>
                <w:color w:val="000000" w:themeColor="text1"/>
                <w:lang w:eastAsia="lv-LV"/>
              </w:rPr>
              <w:t>8</w:t>
            </w:r>
          </w:p>
        </w:tc>
        <w:tc>
          <w:tcPr>
            <w:tcW w:w="850" w:type="dxa"/>
            <w:vAlign w:val="center"/>
          </w:tcPr>
          <w:p w14:paraId="28DB0C8B" w14:textId="06A5E47B"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1</w:t>
            </w:r>
            <w:r>
              <w:rPr>
                <w:color w:val="000000" w:themeColor="text1"/>
                <w:lang w:eastAsia="lv-LV"/>
              </w:rPr>
              <w:t>,</w:t>
            </w:r>
            <w:r w:rsidRPr="00ED4215">
              <w:rPr>
                <w:color w:val="000000" w:themeColor="text1"/>
                <w:lang w:eastAsia="lv-LV"/>
              </w:rPr>
              <w:t>8</w:t>
            </w:r>
          </w:p>
        </w:tc>
        <w:tc>
          <w:tcPr>
            <w:tcW w:w="850" w:type="dxa"/>
            <w:vAlign w:val="center"/>
          </w:tcPr>
          <w:p w14:paraId="767CFF8B" w14:textId="0E29AE59"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1</w:t>
            </w:r>
            <w:r>
              <w:rPr>
                <w:color w:val="000000" w:themeColor="text1"/>
                <w:lang w:eastAsia="lv-LV"/>
              </w:rPr>
              <w:t>,</w:t>
            </w:r>
            <w:r w:rsidRPr="00ED4215">
              <w:rPr>
                <w:color w:val="000000" w:themeColor="text1"/>
                <w:lang w:eastAsia="lv-LV"/>
              </w:rPr>
              <w:t>8</w:t>
            </w:r>
          </w:p>
        </w:tc>
        <w:tc>
          <w:tcPr>
            <w:tcW w:w="993" w:type="dxa"/>
            <w:vAlign w:val="center"/>
          </w:tcPr>
          <w:p w14:paraId="3464698A" w14:textId="0C6A80C4"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1</w:t>
            </w:r>
            <w:r>
              <w:rPr>
                <w:color w:val="000000" w:themeColor="text1"/>
                <w:lang w:eastAsia="lv-LV"/>
              </w:rPr>
              <w:t>,</w:t>
            </w:r>
            <w:r w:rsidRPr="00ED4215">
              <w:rPr>
                <w:color w:val="000000" w:themeColor="text1"/>
                <w:lang w:eastAsia="lv-LV"/>
              </w:rPr>
              <w:t>8</w:t>
            </w:r>
          </w:p>
        </w:tc>
      </w:tr>
      <w:tr w:rsidR="00ED4215" w:rsidRPr="003028D0" w14:paraId="67A6C4B1" w14:textId="77777777" w:rsidTr="000465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14:paraId="08AC41D4" w14:textId="77777777" w:rsidR="00ED4215" w:rsidRPr="003028D0" w:rsidRDefault="00ED4215" w:rsidP="00ED4215">
            <w:pPr>
              <w:pStyle w:val="tabteksts"/>
              <w:jc w:val="both"/>
              <w:rPr>
                <w:b w:val="0"/>
                <w:snapToGrid w:val="0"/>
                <w:color w:val="auto"/>
              </w:rPr>
            </w:pPr>
            <w:r w:rsidRPr="003028D0">
              <w:rPr>
                <w:b w:val="0"/>
                <w:snapToGrid w:val="0"/>
                <w:color w:val="auto"/>
              </w:rPr>
              <w:t>2. Cikliskie izdevumi bezdarbnieku pabalstiem</w:t>
            </w:r>
          </w:p>
        </w:tc>
        <w:tc>
          <w:tcPr>
            <w:tcW w:w="992" w:type="dxa"/>
            <w:vAlign w:val="center"/>
          </w:tcPr>
          <w:p w14:paraId="5366078E" w14:textId="0519BE33" w:rsidR="00ED4215" w:rsidRPr="00ED4215"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000000" w:themeColor="text1"/>
              </w:rPr>
            </w:pPr>
            <w:r w:rsidRPr="00ED4215">
              <w:rPr>
                <w:color w:val="000000" w:themeColor="text1"/>
                <w:lang w:eastAsia="lv-LV"/>
              </w:rPr>
              <w:t>-19</w:t>
            </w:r>
            <w:r>
              <w:rPr>
                <w:color w:val="000000" w:themeColor="text1"/>
                <w:lang w:eastAsia="lv-LV"/>
              </w:rPr>
              <w:t>,</w:t>
            </w:r>
            <w:r w:rsidRPr="00ED4215">
              <w:rPr>
                <w:color w:val="000000" w:themeColor="text1"/>
                <w:lang w:eastAsia="lv-LV"/>
              </w:rPr>
              <w:t>6</w:t>
            </w:r>
          </w:p>
        </w:tc>
        <w:tc>
          <w:tcPr>
            <w:tcW w:w="851" w:type="dxa"/>
            <w:vAlign w:val="center"/>
          </w:tcPr>
          <w:p w14:paraId="0C3CAC81" w14:textId="3E095BDA" w:rsidR="00ED4215" w:rsidRPr="00ED4215"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1</w:t>
            </w:r>
          </w:p>
        </w:tc>
        <w:tc>
          <w:tcPr>
            <w:tcW w:w="851" w:type="dxa"/>
            <w:vAlign w:val="center"/>
          </w:tcPr>
          <w:p w14:paraId="0EB28325" w14:textId="69FF8691" w:rsidR="00ED4215" w:rsidRPr="00ED4215"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1</w:t>
            </w:r>
          </w:p>
        </w:tc>
        <w:tc>
          <w:tcPr>
            <w:tcW w:w="850" w:type="dxa"/>
            <w:vAlign w:val="center"/>
          </w:tcPr>
          <w:p w14:paraId="715DD158" w14:textId="14447387" w:rsidR="00ED4215" w:rsidRPr="00ED4215"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1</w:t>
            </w:r>
          </w:p>
        </w:tc>
        <w:tc>
          <w:tcPr>
            <w:tcW w:w="850" w:type="dxa"/>
            <w:vAlign w:val="center"/>
          </w:tcPr>
          <w:p w14:paraId="373511EF" w14:textId="19A9927F" w:rsidR="00ED4215" w:rsidRPr="00ED4215"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1</w:t>
            </w:r>
          </w:p>
        </w:tc>
        <w:tc>
          <w:tcPr>
            <w:tcW w:w="993" w:type="dxa"/>
            <w:vAlign w:val="center"/>
          </w:tcPr>
          <w:p w14:paraId="09FDC622" w14:textId="0A0C39DB" w:rsidR="00ED4215" w:rsidRPr="00ED4215"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1</w:t>
            </w:r>
          </w:p>
        </w:tc>
      </w:tr>
      <w:tr w:rsidR="00ED4215" w:rsidRPr="003028D0" w14:paraId="5E02AB83" w14:textId="77777777" w:rsidTr="000465FF">
        <w:trPr>
          <w:jc w:val="center"/>
        </w:trPr>
        <w:tc>
          <w:tcPr>
            <w:cnfStyle w:val="001000000000" w:firstRow="0" w:lastRow="0" w:firstColumn="1" w:lastColumn="0" w:oddVBand="0" w:evenVBand="0" w:oddHBand="0" w:evenHBand="0" w:firstRowFirstColumn="0" w:firstRowLastColumn="0" w:lastRowFirstColumn="0" w:lastRowLastColumn="0"/>
            <w:tcW w:w="3544" w:type="dxa"/>
          </w:tcPr>
          <w:p w14:paraId="03D498F0" w14:textId="77777777" w:rsidR="00ED4215" w:rsidRPr="003028D0" w:rsidRDefault="00ED4215" w:rsidP="00ED4215">
            <w:pPr>
              <w:pStyle w:val="tabteksts"/>
              <w:jc w:val="both"/>
              <w:rPr>
                <w:b w:val="0"/>
                <w:snapToGrid w:val="0"/>
                <w:color w:val="auto"/>
              </w:rPr>
            </w:pPr>
            <w:r w:rsidRPr="003028D0">
              <w:rPr>
                <w:b w:val="0"/>
                <w:snapToGrid w:val="0"/>
                <w:color w:val="auto"/>
              </w:rPr>
              <w:t>3. Diskrecionāri ieņēmumu pasākumi</w:t>
            </w:r>
          </w:p>
        </w:tc>
        <w:tc>
          <w:tcPr>
            <w:tcW w:w="992" w:type="dxa"/>
            <w:vAlign w:val="center"/>
          </w:tcPr>
          <w:p w14:paraId="0DFBF27A" w14:textId="476AA801"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73</w:t>
            </w:r>
            <w:r>
              <w:rPr>
                <w:color w:val="000000" w:themeColor="text1"/>
                <w:lang w:eastAsia="lv-LV"/>
              </w:rPr>
              <w:t>,</w:t>
            </w:r>
            <w:r w:rsidRPr="00ED4215">
              <w:rPr>
                <w:color w:val="000000" w:themeColor="text1"/>
                <w:lang w:eastAsia="lv-LV"/>
              </w:rPr>
              <w:t>4</w:t>
            </w:r>
          </w:p>
        </w:tc>
        <w:tc>
          <w:tcPr>
            <w:tcW w:w="851" w:type="dxa"/>
            <w:vAlign w:val="center"/>
          </w:tcPr>
          <w:p w14:paraId="1591EA25" w14:textId="7000A1D2"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3</w:t>
            </w:r>
          </w:p>
        </w:tc>
        <w:tc>
          <w:tcPr>
            <w:tcW w:w="851" w:type="dxa"/>
            <w:vAlign w:val="center"/>
          </w:tcPr>
          <w:p w14:paraId="19D04D48" w14:textId="1C6CE91A"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5</w:t>
            </w:r>
          </w:p>
        </w:tc>
        <w:tc>
          <w:tcPr>
            <w:tcW w:w="850" w:type="dxa"/>
            <w:vAlign w:val="center"/>
          </w:tcPr>
          <w:p w14:paraId="673193B4" w14:textId="0159416B"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1</w:t>
            </w:r>
          </w:p>
        </w:tc>
        <w:tc>
          <w:tcPr>
            <w:tcW w:w="850" w:type="dxa"/>
            <w:vAlign w:val="center"/>
          </w:tcPr>
          <w:p w14:paraId="73FC4458" w14:textId="3BB09D80"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0</w:t>
            </w:r>
          </w:p>
        </w:tc>
        <w:tc>
          <w:tcPr>
            <w:tcW w:w="993" w:type="dxa"/>
            <w:vAlign w:val="center"/>
          </w:tcPr>
          <w:p w14:paraId="2FD6C9A6" w14:textId="57311120" w:rsidR="00ED4215" w:rsidRPr="00ED4215" w:rsidRDefault="00ED4215" w:rsidP="00ED4215">
            <w:pPr>
              <w:pStyle w:val="tabteksts"/>
              <w:jc w:val="right"/>
              <w:cnfStyle w:val="000000000000" w:firstRow="0" w:lastRow="0" w:firstColumn="0" w:lastColumn="0" w:oddVBand="0" w:evenVBand="0" w:oddHBand="0" w:evenHBand="0" w:firstRowFirstColumn="0" w:firstRowLastColumn="0" w:lastRowFirstColumn="0" w:lastRowLastColumn="0"/>
              <w:rPr>
                <w:snapToGrid w:val="0"/>
                <w:color w:val="000000" w:themeColor="text1"/>
              </w:rPr>
            </w:pPr>
            <w:r w:rsidRPr="00ED4215">
              <w:rPr>
                <w:color w:val="000000" w:themeColor="text1"/>
                <w:lang w:eastAsia="lv-LV"/>
              </w:rPr>
              <w:t>0</w:t>
            </w:r>
            <w:r>
              <w:rPr>
                <w:color w:val="000000" w:themeColor="text1"/>
                <w:lang w:eastAsia="lv-LV"/>
              </w:rPr>
              <w:t>,</w:t>
            </w:r>
            <w:r w:rsidRPr="00ED4215">
              <w:rPr>
                <w:color w:val="000000" w:themeColor="text1"/>
                <w:lang w:eastAsia="lv-LV"/>
              </w:rPr>
              <w:t>1</w:t>
            </w:r>
          </w:p>
        </w:tc>
      </w:tr>
      <w:tr w:rsidR="00ED4215" w:rsidRPr="003028D0" w14:paraId="5ED603A9" w14:textId="77777777" w:rsidTr="000465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14:paraId="277AA200" w14:textId="77777777" w:rsidR="00ED4215" w:rsidRPr="003028D0" w:rsidRDefault="00ED4215" w:rsidP="00ED4215">
            <w:pPr>
              <w:pStyle w:val="tabteksts"/>
              <w:jc w:val="both"/>
              <w:rPr>
                <w:b w:val="0"/>
                <w:snapToGrid w:val="0"/>
                <w:color w:val="auto"/>
              </w:rPr>
            </w:pPr>
            <w:r w:rsidRPr="003028D0">
              <w:rPr>
                <w:b w:val="0"/>
                <w:snapToGrid w:val="0"/>
                <w:color w:val="auto"/>
              </w:rPr>
              <w:t xml:space="preserve">4. </w:t>
            </w:r>
            <w:r w:rsidRPr="003028D0">
              <w:rPr>
                <w:b w:val="0"/>
                <w:noProof/>
                <w:snapToGrid w:val="0"/>
                <w:color w:val="auto"/>
              </w:rPr>
              <w:t>Ieņēmumu palielinājums, kas apstiprināts ar likumu</w:t>
            </w:r>
          </w:p>
        </w:tc>
        <w:tc>
          <w:tcPr>
            <w:tcW w:w="992" w:type="dxa"/>
            <w:vAlign w:val="center"/>
          </w:tcPr>
          <w:p w14:paraId="26A59293" w14:textId="61934E17" w:rsidR="00ED4215" w:rsidRPr="003E2559"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auto"/>
              </w:rPr>
            </w:pPr>
            <w:r>
              <w:rPr>
                <w:color w:val="2E74B5"/>
                <w:lang w:eastAsia="lv-LV"/>
              </w:rPr>
              <w:t> </w:t>
            </w:r>
          </w:p>
        </w:tc>
        <w:tc>
          <w:tcPr>
            <w:tcW w:w="851" w:type="dxa"/>
            <w:vAlign w:val="center"/>
          </w:tcPr>
          <w:p w14:paraId="38F4CA33" w14:textId="6B27A890" w:rsidR="00ED4215" w:rsidRPr="003E2559"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auto"/>
              </w:rPr>
            </w:pPr>
            <w:r>
              <w:rPr>
                <w:color w:val="2E74B5"/>
                <w:lang w:eastAsia="lv-LV"/>
              </w:rPr>
              <w:t> </w:t>
            </w:r>
          </w:p>
        </w:tc>
        <w:tc>
          <w:tcPr>
            <w:tcW w:w="851" w:type="dxa"/>
            <w:vAlign w:val="center"/>
          </w:tcPr>
          <w:p w14:paraId="21FDD43B" w14:textId="6B7A7ED7" w:rsidR="00ED4215" w:rsidRPr="003E2559"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auto"/>
              </w:rPr>
            </w:pPr>
            <w:r>
              <w:rPr>
                <w:color w:val="2E74B5"/>
                <w:lang w:eastAsia="lv-LV"/>
              </w:rPr>
              <w:t> </w:t>
            </w:r>
          </w:p>
        </w:tc>
        <w:tc>
          <w:tcPr>
            <w:tcW w:w="850" w:type="dxa"/>
            <w:vAlign w:val="center"/>
          </w:tcPr>
          <w:p w14:paraId="21C39CC6" w14:textId="5560F8E9" w:rsidR="00ED4215" w:rsidRPr="003E2559"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auto"/>
              </w:rPr>
            </w:pPr>
            <w:r>
              <w:rPr>
                <w:color w:val="2E74B5"/>
                <w:lang w:eastAsia="lv-LV"/>
              </w:rPr>
              <w:t> </w:t>
            </w:r>
          </w:p>
        </w:tc>
        <w:tc>
          <w:tcPr>
            <w:tcW w:w="850" w:type="dxa"/>
            <w:vAlign w:val="center"/>
          </w:tcPr>
          <w:p w14:paraId="68621A64" w14:textId="0439F7C3" w:rsidR="00ED4215" w:rsidRPr="003E2559"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auto"/>
              </w:rPr>
            </w:pPr>
            <w:r>
              <w:rPr>
                <w:color w:val="2E74B5"/>
                <w:lang w:eastAsia="lv-LV"/>
              </w:rPr>
              <w:t> </w:t>
            </w:r>
          </w:p>
        </w:tc>
        <w:tc>
          <w:tcPr>
            <w:tcW w:w="993" w:type="dxa"/>
            <w:vAlign w:val="center"/>
          </w:tcPr>
          <w:p w14:paraId="169B4C97" w14:textId="3EE2A3A5" w:rsidR="00ED4215" w:rsidRPr="003E2559" w:rsidRDefault="00ED4215" w:rsidP="00ED4215">
            <w:pPr>
              <w:pStyle w:val="tabteksts"/>
              <w:jc w:val="right"/>
              <w:cnfStyle w:val="000000100000" w:firstRow="0" w:lastRow="0" w:firstColumn="0" w:lastColumn="0" w:oddVBand="0" w:evenVBand="0" w:oddHBand="1" w:evenHBand="0" w:firstRowFirstColumn="0" w:firstRowLastColumn="0" w:lastRowFirstColumn="0" w:lastRowLastColumn="0"/>
              <w:rPr>
                <w:snapToGrid w:val="0"/>
                <w:color w:val="auto"/>
              </w:rPr>
            </w:pPr>
            <w:r>
              <w:rPr>
                <w:color w:val="2E74B5"/>
                <w:lang w:eastAsia="lv-LV"/>
              </w:rPr>
              <w:t> </w:t>
            </w:r>
          </w:p>
        </w:tc>
      </w:tr>
    </w:tbl>
    <w:p w14:paraId="358EF766" w14:textId="1C4FEE89" w:rsidR="00ED4215" w:rsidRPr="00F51615" w:rsidRDefault="00ED4215" w:rsidP="00ED4215">
      <w:pPr>
        <w:rPr>
          <w:rFonts w:ascii="Times New Roman" w:hAnsi="Times New Roman" w:cs="Times New Roman"/>
          <w:b/>
          <w:szCs w:val="24"/>
        </w:rPr>
      </w:pPr>
    </w:p>
    <w:p w14:paraId="1C21499D" w14:textId="508F9B32" w:rsidR="00094C88" w:rsidRPr="00C81719" w:rsidRDefault="00C81719" w:rsidP="003D38BE">
      <w:pPr>
        <w:rPr>
          <w:sz w:val="24"/>
        </w:rPr>
      </w:pPr>
      <w:r>
        <w:rPr>
          <w:rFonts w:ascii="Times New Roman" w:hAnsi="Times New Roman" w:cs="Times New Roman"/>
          <w:b/>
          <w:sz w:val="24"/>
          <w:szCs w:val="24"/>
        </w:rPr>
        <w:t>3.</w:t>
      </w:r>
      <w:r w:rsidR="00F51615" w:rsidRPr="00C81719">
        <w:rPr>
          <w:rFonts w:ascii="Times New Roman" w:hAnsi="Times New Roman" w:cs="Times New Roman"/>
          <w:b/>
          <w:sz w:val="24"/>
          <w:szCs w:val="24"/>
        </w:rPr>
        <w:t>tabula. Vispārējās valdības izdevumi funkciju sadalījumā</w:t>
      </w:r>
    </w:p>
    <w:tbl>
      <w:tblPr>
        <w:tblStyle w:val="GridTable6Colorful-Accent1"/>
        <w:tblW w:w="0" w:type="auto"/>
        <w:tblLayout w:type="fixed"/>
        <w:tblLook w:val="04A0" w:firstRow="1" w:lastRow="0" w:firstColumn="1" w:lastColumn="0" w:noHBand="0" w:noVBand="1"/>
      </w:tblPr>
      <w:tblGrid>
        <w:gridCol w:w="4029"/>
        <w:gridCol w:w="952"/>
        <w:gridCol w:w="797"/>
        <w:gridCol w:w="798"/>
      </w:tblGrid>
      <w:tr w:rsidR="003028D0" w:rsidRPr="003028D0" w14:paraId="273238D6" w14:textId="77777777" w:rsidTr="00302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vAlign w:val="center"/>
          </w:tcPr>
          <w:p w14:paraId="7BE8C44A" w14:textId="77777777" w:rsidR="00F51615" w:rsidRPr="003028D0" w:rsidRDefault="00F51615" w:rsidP="003028D0">
            <w:pPr>
              <w:pStyle w:val="tabteksts"/>
              <w:jc w:val="center"/>
              <w:rPr>
                <w:color w:val="auto"/>
              </w:rPr>
            </w:pPr>
            <w:r w:rsidRPr="003028D0">
              <w:rPr>
                <w:color w:val="auto"/>
              </w:rPr>
              <w:t>% no IKP</w:t>
            </w:r>
          </w:p>
        </w:tc>
        <w:tc>
          <w:tcPr>
            <w:tcW w:w="952" w:type="dxa"/>
            <w:vAlign w:val="center"/>
          </w:tcPr>
          <w:p w14:paraId="2BBF4D8F" w14:textId="77777777" w:rsidR="00F51615" w:rsidRPr="003028D0" w:rsidRDefault="00F51615" w:rsidP="003028D0">
            <w:pPr>
              <w:pStyle w:val="tabteksts"/>
              <w:jc w:val="center"/>
              <w:cnfStyle w:val="100000000000" w:firstRow="1" w:lastRow="0" w:firstColumn="0" w:lastColumn="0" w:oddVBand="0" w:evenVBand="0" w:oddHBand="0" w:evenHBand="0" w:firstRowFirstColumn="0" w:firstRowLastColumn="0" w:lastRowFirstColumn="0" w:lastRowLastColumn="0"/>
              <w:rPr>
                <w:color w:val="auto"/>
              </w:rPr>
            </w:pPr>
            <w:r w:rsidRPr="003028D0">
              <w:rPr>
                <w:color w:val="auto"/>
              </w:rPr>
              <w:t>COFOG</w:t>
            </w:r>
          </w:p>
          <w:p w14:paraId="650F3865" w14:textId="77777777" w:rsidR="00F51615" w:rsidRPr="003028D0" w:rsidRDefault="00F51615" w:rsidP="003028D0">
            <w:pPr>
              <w:pStyle w:val="tabteksts"/>
              <w:jc w:val="center"/>
              <w:cnfStyle w:val="100000000000" w:firstRow="1" w:lastRow="0" w:firstColumn="0" w:lastColumn="0" w:oddVBand="0" w:evenVBand="0" w:oddHBand="0" w:evenHBand="0" w:firstRowFirstColumn="0" w:firstRowLastColumn="0" w:lastRowFirstColumn="0" w:lastRowLastColumn="0"/>
              <w:rPr>
                <w:color w:val="auto"/>
              </w:rPr>
            </w:pPr>
            <w:r w:rsidRPr="003028D0">
              <w:rPr>
                <w:color w:val="auto"/>
              </w:rPr>
              <w:t>kods</w:t>
            </w:r>
          </w:p>
        </w:tc>
        <w:tc>
          <w:tcPr>
            <w:tcW w:w="797" w:type="dxa"/>
            <w:vAlign w:val="center"/>
          </w:tcPr>
          <w:p w14:paraId="13F3658B" w14:textId="3CDEF35D" w:rsidR="00F51615" w:rsidRPr="003028D0" w:rsidRDefault="00F31565" w:rsidP="003028D0">
            <w:pPr>
              <w:pStyle w:val="tabteksts"/>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2015</w:t>
            </w:r>
          </w:p>
        </w:tc>
        <w:tc>
          <w:tcPr>
            <w:tcW w:w="798" w:type="dxa"/>
            <w:vAlign w:val="center"/>
          </w:tcPr>
          <w:p w14:paraId="7B8B39B8" w14:textId="598DAEB8" w:rsidR="00F51615" w:rsidRPr="003028D0" w:rsidRDefault="00F31565" w:rsidP="003028D0">
            <w:pPr>
              <w:pStyle w:val="tabteksts"/>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2020</w:t>
            </w:r>
          </w:p>
        </w:tc>
      </w:tr>
      <w:tr w:rsidR="006D5FB6" w:rsidRPr="003028D0" w14:paraId="2EE26A1C" w14:textId="77777777" w:rsidTr="0009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4CBB4049" w14:textId="77777777" w:rsidR="006D5FB6" w:rsidRPr="003028D0" w:rsidRDefault="006D5FB6" w:rsidP="006D5FB6">
            <w:pPr>
              <w:pStyle w:val="tabteksts"/>
              <w:rPr>
                <w:b w:val="0"/>
                <w:snapToGrid w:val="0"/>
                <w:color w:val="auto"/>
              </w:rPr>
            </w:pPr>
            <w:r w:rsidRPr="003028D0">
              <w:rPr>
                <w:b w:val="0"/>
                <w:snapToGrid w:val="0"/>
                <w:color w:val="auto"/>
              </w:rPr>
              <w:t>1. Vispārējie sabiedriskie pakalpojumi</w:t>
            </w:r>
          </w:p>
        </w:tc>
        <w:tc>
          <w:tcPr>
            <w:tcW w:w="952" w:type="dxa"/>
            <w:vAlign w:val="center"/>
          </w:tcPr>
          <w:p w14:paraId="469E027E" w14:textId="77777777" w:rsidR="006D5FB6" w:rsidRPr="003028D0" w:rsidRDefault="006D5FB6" w:rsidP="006D5FB6">
            <w:pPr>
              <w:pStyle w:val="tabteksts"/>
              <w:jc w:val="center"/>
              <w:cnfStyle w:val="000000100000" w:firstRow="0" w:lastRow="0" w:firstColumn="0" w:lastColumn="0" w:oddVBand="0" w:evenVBand="0" w:oddHBand="1" w:evenHBand="0" w:firstRowFirstColumn="0" w:firstRowLastColumn="0" w:lastRowFirstColumn="0" w:lastRowLastColumn="0"/>
              <w:rPr>
                <w:snapToGrid w:val="0"/>
                <w:color w:val="auto"/>
              </w:rPr>
            </w:pPr>
            <w:r w:rsidRPr="003028D0">
              <w:rPr>
                <w:snapToGrid w:val="0"/>
                <w:color w:val="auto"/>
              </w:rPr>
              <w:t>1</w:t>
            </w:r>
          </w:p>
        </w:tc>
        <w:tc>
          <w:tcPr>
            <w:tcW w:w="797" w:type="dxa"/>
            <w:vAlign w:val="center"/>
          </w:tcPr>
          <w:p w14:paraId="36D26AAC" w14:textId="0909289C"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5</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2</w:t>
            </w:r>
          </w:p>
        </w:tc>
        <w:tc>
          <w:tcPr>
            <w:tcW w:w="798" w:type="dxa"/>
            <w:vAlign w:val="center"/>
          </w:tcPr>
          <w:p w14:paraId="41532C97" w14:textId="40428478"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4</w:t>
            </w:r>
            <w:r>
              <w:rPr>
                <w:rFonts w:ascii="Times New Roman" w:eastAsia="Times New Roman" w:hAnsi="Times New Roman" w:cs="Times New Roman"/>
                <w:color w:val="000000"/>
                <w:sz w:val="20"/>
                <w:lang w:eastAsia="lv-LV"/>
              </w:rPr>
              <w:t>,</w:t>
            </w:r>
            <w:r w:rsidR="00765EA4">
              <w:rPr>
                <w:rFonts w:ascii="Times New Roman" w:eastAsia="Times New Roman" w:hAnsi="Times New Roman" w:cs="Times New Roman"/>
                <w:color w:val="000000"/>
                <w:sz w:val="20"/>
                <w:lang w:eastAsia="lv-LV"/>
              </w:rPr>
              <w:t>9</w:t>
            </w:r>
          </w:p>
        </w:tc>
      </w:tr>
      <w:tr w:rsidR="006D5FB6" w:rsidRPr="003028D0" w14:paraId="700EBE83" w14:textId="77777777" w:rsidTr="00094C88">
        <w:tc>
          <w:tcPr>
            <w:cnfStyle w:val="001000000000" w:firstRow="0" w:lastRow="0" w:firstColumn="1" w:lastColumn="0" w:oddVBand="0" w:evenVBand="0" w:oddHBand="0" w:evenHBand="0" w:firstRowFirstColumn="0" w:firstRowLastColumn="0" w:lastRowFirstColumn="0" w:lastRowLastColumn="0"/>
            <w:tcW w:w="4029" w:type="dxa"/>
          </w:tcPr>
          <w:p w14:paraId="3F0D7210" w14:textId="77777777" w:rsidR="006D5FB6" w:rsidRPr="003028D0" w:rsidRDefault="006D5FB6" w:rsidP="006D5FB6">
            <w:pPr>
              <w:pStyle w:val="tabteksts"/>
              <w:rPr>
                <w:b w:val="0"/>
                <w:snapToGrid w:val="0"/>
                <w:color w:val="auto"/>
              </w:rPr>
            </w:pPr>
            <w:r w:rsidRPr="003028D0">
              <w:rPr>
                <w:b w:val="0"/>
                <w:snapToGrid w:val="0"/>
                <w:color w:val="auto"/>
              </w:rPr>
              <w:t>2. Aizsardzība</w:t>
            </w:r>
          </w:p>
        </w:tc>
        <w:tc>
          <w:tcPr>
            <w:tcW w:w="952" w:type="dxa"/>
            <w:vAlign w:val="center"/>
          </w:tcPr>
          <w:p w14:paraId="01DDAB01" w14:textId="77777777" w:rsidR="006D5FB6" w:rsidRPr="003028D0" w:rsidRDefault="006D5FB6" w:rsidP="006D5FB6">
            <w:pPr>
              <w:pStyle w:val="tabteksts"/>
              <w:jc w:val="center"/>
              <w:cnfStyle w:val="000000000000" w:firstRow="0" w:lastRow="0" w:firstColumn="0" w:lastColumn="0" w:oddVBand="0" w:evenVBand="0" w:oddHBand="0" w:evenHBand="0" w:firstRowFirstColumn="0" w:firstRowLastColumn="0" w:lastRowFirstColumn="0" w:lastRowLastColumn="0"/>
              <w:rPr>
                <w:snapToGrid w:val="0"/>
                <w:color w:val="auto"/>
              </w:rPr>
            </w:pPr>
            <w:r w:rsidRPr="003028D0">
              <w:rPr>
                <w:snapToGrid w:val="0"/>
                <w:color w:val="auto"/>
              </w:rPr>
              <w:t>2</w:t>
            </w:r>
          </w:p>
        </w:tc>
        <w:tc>
          <w:tcPr>
            <w:tcW w:w="797" w:type="dxa"/>
            <w:vAlign w:val="center"/>
          </w:tcPr>
          <w:p w14:paraId="2FF5FB03" w14:textId="2F8D3E2F"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1</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0</w:t>
            </w:r>
          </w:p>
        </w:tc>
        <w:tc>
          <w:tcPr>
            <w:tcW w:w="798" w:type="dxa"/>
            <w:vAlign w:val="center"/>
          </w:tcPr>
          <w:p w14:paraId="0AAB7E08" w14:textId="0D6B5211"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2</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0</w:t>
            </w:r>
          </w:p>
        </w:tc>
      </w:tr>
      <w:tr w:rsidR="006D5FB6" w:rsidRPr="003028D0" w14:paraId="608B6F2C" w14:textId="77777777" w:rsidTr="0009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00AF9DFB" w14:textId="77777777" w:rsidR="006D5FB6" w:rsidRPr="003028D0" w:rsidRDefault="006D5FB6" w:rsidP="006D5FB6">
            <w:pPr>
              <w:pStyle w:val="tabteksts"/>
              <w:rPr>
                <w:b w:val="0"/>
                <w:snapToGrid w:val="0"/>
                <w:color w:val="auto"/>
              </w:rPr>
            </w:pPr>
            <w:r w:rsidRPr="003028D0">
              <w:rPr>
                <w:b w:val="0"/>
                <w:snapToGrid w:val="0"/>
                <w:color w:val="auto"/>
              </w:rPr>
              <w:t>3. Sabiedriskā kārtība un drošība</w:t>
            </w:r>
          </w:p>
        </w:tc>
        <w:tc>
          <w:tcPr>
            <w:tcW w:w="952" w:type="dxa"/>
            <w:vAlign w:val="center"/>
          </w:tcPr>
          <w:p w14:paraId="6C4C595B" w14:textId="77777777" w:rsidR="006D5FB6" w:rsidRPr="003028D0" w:rsidRDefault="006D5FB6" w:rsidP="006D5FB6">
            <w:pPr>
              <w:pStyle w:val="tabteksts"/>
              <w:jc w:val="center"/>
              <w:cnfStyle w:val="000000100000" w:firstRow="0" w:lastRow="0" w:firstColumn="0" w:lastColumn="0" w:oddVBand="0" w:evenVBand="0" w:oddHBand="1" w:evenHBand="0" w:firstRowFirstColumn="0" w:firstRowLastColumn="0" w:lastRowFirstColumn="0" w:lastRowLastColumn="0"/>
              <w:rPr>
                <w:snapToGrid w:val="0"/>
                <w:color w:val="auto"/>
              </w:rPr>
            </w:pPr>
            <w:r w:rsidRPr="003028D0">
              <w:rPr>
                <w:snapToGrid w:val="0"/>
                <w:color w:val="auto"/>
              </w:rPr>
              <w:t>3</w:t>
            </w:r>
          </w:p>
        </w:tc>
        <w:tc>
          <w:tcPr>
            <w:tcW w:w="797" w:type="dxa"/>
            <w:vAlign w:val="center"/>
          </w:tcPr>
          <w:p w14:paraId="480CFA96" w14:textId="18F8B2F5"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2</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0</w:t>
            </w:r>
          </w:p>
        </w:tc>
        <w:tc>
          <w:tcPr>
            <w:tcW w:w="798" w:type="dxa"/>
            <w:vAlign w:val="center"/>
          </w:tcPr>
          <w:p w14:paraId="34F61B8B" w14:textId="475727A2"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1</w:t>
            </w:r>
            <w:r>
              <w:rPr>
                <w:rFonts w:ascii="Times New Roman" w:eastAsia="Times New Roman" w:hAnsi="Times New Roman" w:cs="Times New Roman"/>
                <w:color w:val="000000"/>
                <w:sz w:val="20"/>
                <w:lang w:eastAsia="lv-LV"/>
              </w:rPr>
              <w:t>,</w:t>
            </w:r>
            <w:r w:rsidR="00765EA4">
              <w:rPr>
                <w:rFonts w:ascii="Times New Roman" w:eastAsia="Times New Roman" w:hAnsi="Times New Roman" w:cs="Times New Roman"/>
                <w:color w:val="000000"/>
                <w:sz w:val="20"/>
                <w:lang w:eastAsia="lv-LV"/>
              </w:rPr>
              <w:t>9</w:t>
            </w:r>
          </w:p>
        </w:tc>
      </w:tr>
      <w:tr w:rsidR="006D5FB6" w:rsidRPr="003028D0" w14:paraId="417EC04E" w14:textId="77777777" w:rsidTr="00094C88">
        <w:tc>
          <w:tcPr>
            <w:cnfStyle w:val="001000000000" w:firstRow="0" w:lastRow="0" w:firstColumn="1" w:lastColumn="0" w:oddVBand="0" w:evenVBand="0" w:oddHBand="0" w:evenHBand="0" w:firstRowFirstColumn="0" w:firstRowLastColumn="0" w:lastRowFirstColumn="0" w:lastRowLastColumn="0"/>
            <w:tcW w:w="4029" w:type="dxa"/>
          </w:tcPr>
          <w:p w14:paraId="6034D65B" w14:textId="77777777" w:rsidR="006D5FB6" w:rsidRPr="003028D0" w:rsidRDefault="006D5FB6" w:rsidP="006D5FB6">
            <w:pPr>
              <w:pStyle w:val="tabteksts"/>
              <w:rPr>
                <w:b w:val="0"/>
                <w:snapToGrid w:val="0"/>
                <w:color w:val="auto"/>
              </w:rPr>
            </w:pPr>
            <w:r w:rsidRPr="003028D0">
              <w:rPr>
                <w:b w:val="0"/>
                <w:snapToGrid w:val="0"/>
                <w:color w:val="auto"/>
              </w:rPr>
              <w:t>4. Ekonomiskā darbība</w:t>
            </w:r>
          </w:p>
        </w:tc>
        <w:tc>
          <w:tcPr>
            <w:tcW w:w="952" w:type="dxa"/>
            <w:vAlign w:val="center"/>
          </w:tcPr>
          <w:p w14:paraId="6610460F" w14:textId="77777777" w:rsidR="006D5FB6" w:rsidRPr="003028D0" w:rsidRDefault="006D5FB6" w:rsidP="006D5FB6">
            <w:pPr>
              <w:pStyle w:val="tabteksts"/>
              <w:jc w:val="center"/>
              <w:cnfStyle w:val="000000000000" w:firstRow="0" w:lastRow="0" w:firstColumn="0" w:lastColumn="0" w:oddVBand="0" w:evenVBand="0" w:oddHBand="0" w:evenHBand="0" w:firstRowFirstColumn="0" w:firstRowLastColumn="0" w:lastRowFirstColumn="0" w:lastRowLastColumn="0"/>
              <w:rPr>
                <w:snapToGrid w:val="0"/>
                <w:color w:val="auto"/>
              </w:rPr>
            </w:pPr>
            <w:r w:rsidRPr="003028D0">
              <w:rPr>
                <w:snapToGrid w:val="0"/>
                <w:color w:val="auto"/>
              </w:rPr>
              <w:t>4</w:t>
            </w:r>
          </w:p>
        </w:tc>
        <w:tc>
          <w:tcPr>
            <w:tcW w:w="797" w:type="dxa"/>
            <w:vAlign w:val="center"/>
          </w:tcPr>
          <w:p w14:paraId="195CA7F6" w14:textId="37195D20"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4</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2</w:t>
            </w:r>
          </w:p>
        </w:tc>
        <w:tc>
          <w:tcPr>
            <w:tcW w:w="798" w:type="dxa"/>
            <w:vAlign w:val="center"/>
          </w:tcPr>
          <w:p w14:paraId="12A43B2C" w14:textId="55E32E9A" w:rsidR="006D5FB6" w:rsidRPr="006D5FB6" w:rsidRDefault="00765EA4"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000000"/>
                <w:sz w:val="20"/>
                <w:lang w:eastAsia="lv-LV"/>
              </w:rPr>
              <w:t>4,1</w:t>
            </w:r>
          </w:p>
        </w:tc>
      </w:tr>
      <w:tr w:rsidR="006D5FB6" w:rsidRPr="003028D0" w14:paraId="51F99EF3" w14:textId="77777777" w:rsidTr="0009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36A44874" w14:textId="77777777" w:rsidR="006D5FB6" w:rsidRPr="003028D0" w:rsidRDefault="006D5FB6" w:rsidP="006D5FB6">
            <w:pPr>
              <w:pStyle w:val="tabteksts"/>
              <w:rPr>
                <w:b w:val="0"/>
                <w:snapToGrid w:val="0"/>
                <w:color w:val="auto"/>
              </w:rPr>
            </w:pPr>
            <w:r w:rsidRPr="003028D0">
              <w:rPr>
                <w:b w:val="0"/>
                <w:snapToGrid w:val="0"/>
                <w:color w:val="auto"/>
              </w:rPr>
              <w:t>5. Vides aizsardzība</w:t>
            </w:r>
          </w:p>
        </w:tc>
        <w:tc>
          <w:tcPr>
            <w:tcW w:w="952" w:type="dxa"/>
            <w:vAlign w:val="center"/>
          </w:tcPr>
          <w:p w14:paraId="577C54FE" w14:textId="77777777" w:rsidR="006D5FB6" w:rsidRPr="003028D0" w:rsidRDefault="006D5FB6" w:rsidP="006D5FB6">
            <w:pPr>
              <w:pStyle w:val="tabteksts"/>
              <w:jc w:val="center"/>
              <w:cnfStyle w:val="000000100000" w:firstRow="0" w:lastRow="0" w:firstColumn="0" w:lastColumn="0" w:oddVBand="0" w:evenVBand="0" w:oddHBand="1" w:evenHBand="0" w:firstRowFirstColumn="0" w:firstRowLastColumn="0" w:lastRowFirstColumn="0" w:lastRowLastColumn="0"/>
              <w:rPr>
                <w:color w:val="auto"/>
              </w:rPr>
            </w:pPr>
            <w:r w:rsidRPr="003028D0">
              <w:rPr>
                <w:color w:val="auto"/>
              </w:rPr>
              <w:t>5</w:t>
            </w:r>
          </w:p>
        </w:tc>
        <w:tc>
          <w:tcPr>
            <w:tcW w:w="797" w:type="dxa"/>
            <w:vAlign w:val="center"/>
          </w:tcPr>
          <w:p w14:paraId="57D57FB8" w14:textId="08E23B1C"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0</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7</w:t>
            </w:r>
          </w:p>
        </w:tc>
        <w:tc>
          <w:tcPr>
            <w:tcW w:w="798" w:type="dxa"/>
            <w:vAlign w:val="center"/>
          </w:tcPr>
          <w:p w14:paraId="3491A1D1" w14:textId="6503ACC1" w:rsidR="006D5FB6" w:rsidRPr="006D5FB6" w:rsidRDefault="006D5FB6" w:rsidP="00765EA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0</w:t>
            </w:r>
            <w:r>
              <w:rPr>
                <w:rFonts w:ascii="Times New Roman" w:eastAsia="Times New Roman" w:hAnsi="Times New Roman" w:cs="Times New Roman"/>
                <w:color w:val="000000"/>
                <w:sz w:val="20"/>
                <w:lang w:eastAsia="lv-LV"/>
              </w:rPr>
              <w:t>,</w:t>
            </w:r>
            <w:r w:rsidR="00765EA4">
              <w:rPr>
                <w:rFonts w:ascii="Times New Roman" w:eastAsia="Times New Roman" w:hAnsi="Times New Roman" w:cs="Times New Roman"/>
                <w:color w:val="000000"/>
                <w:sz w:val="20"/>
                <w:lang w:eastAsia="lv-LV"/>
              </w:rPr>
              <w:t>7</w:t>
            </w:r>
          </w:p>
        </w:tc>
      </w:tr>
      <w:tr w:rsidR="006D5FB6" w:rsidRPr="003028D0" w14:paraId="62DDB97E" w14:textId="77777777" w:rsidTr="00094C88">
        <w:tc>
          <w:tcPr>
            <w:cnfStyle w:val="001000000000" w:firstRow="0" w:lastRow="0" w:firstColumn="1" w:lastColumn="0" w:oddVBand="0" w:evenVBand="0" w:oddHBand="0" w:evenHBand="0" w:firstRowFirstColumn="0" w:firstRowLastColumn="0" w:lastRowFirstColumn="0" w:lastRowLastColumn="0"/>
            <w:tcW w:w="4029" w:type="dxa"/>
          </w:tcPr>
          <w:p w14:paraId="7053A9D0" w14:textId="77777777" w:rsidR="006D5FB6" w:rsidRPr="003028D0" w:rsidRDefault="006D5FB6" w:rsidP="006D5FB6">
            <w:pPr>
              <w:pStyle w:val="tabteksts"/>
              <w:rPr>
                <w:b w:val="0"/>
                <w:snapToGrid w:val="0"/>
                <w:color w:val="auto"/>
              </w:rPr>
            </w:pPr>
            <w:r w:rsidRPr="003028D0">
              <w:rPr>
                <w:b w:val="0"/>
                <w:snapToGrid w:val="0"/>
                <w:color w:val="auto"/>
              </w:rPr>
              <w:t>6. Mājoklis un komunālā saimniecība</w:t>
            </w:r>
          </w:p>
        </w:tc>
        <w:tc>
          <w:tcPr>
            <w:tcW w:w="952" w:type="dxa"/>
            <w:vAlign w:val="center"/>
          </w:tcPr>
          <w:p w14:paraId="54A69316" w14:textId="77777777" w:rsidR="006D5FB6" w:rsidRPr="003028D0" w:rsidRDefault="006D5FB6" w:rsidP="006D5FB6">
            <w:pPr>
              <w:pStyle w:val="tabteksts"/>
              <w:jc w:val="center"/>
              <w:cnfStyle w:val="000000000000" w:firstRow="0" w:lastRow="0" w:firstColumn="0" w:lastColumn="0" w:oddVBand="0" w:evenVBand="0" w:oddHBand="0" w:evenHBand="0" w:firstRowFirstColumn="0" w:firstRowLastColumn="0" w:lastRowFirstColumn="0" w:lastRowLastColumn="0"/>
              <w:rPr>
                <w:color w:val="auto"/>
              </w:rPr>
            </w:pPr>
            <w:r w:rsidRPr="003028D0">
              <w:rPr>
                <w:color w:val="auto"/>
              </w:rPr>
              <w:t>6</w:t>
            </w:r>
          </w:p>
        </w:tc>
        <w:tc>
          <w:tcPr>
            <w:tcW w:w="797" w:type="dxa"/>
            <w:vAlign w:val="center"/>
          </w:tcPr>
          <w:p w14:paraId="15659D05" w14:textId="2AFFA652"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1</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0</w:t>
            </w:r>
          </w:p>
        </w:tc>
        <w:tc>
          <w:tcPr>
            <w:tcW w:w="798" w:type="dxa"/>
            <w:vAlign w:val="center"/>
          </w:tcPr>
          <w:p w14:paraId="76457D1D" w14:textId="703CBD12"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0</w:t>
            </w:r>
            <w:r>
              <w:rPr>
                <w:rFonts w:ascii="Times New Roman" w:eastAsia="Times New Roman" w:hAnsi="Times New Roman" w:cs="Times New Roman"/>
                <w:color w:val="000000"/>
                <w:sz w:val="20"/>
                <w:lang w:eastAsia="lv-LV"/>
              </w:rPr>
              <w:t>,</w:t>
            </w:r>
            <w:r w:rsidR="004F1374">
              <w:rPr>
                <w:rFonts w:ascii="Times New Roman" w:eastAsia="Times New Roman" w:hAnsi="Times New Roman" w:cs="Times New Roman"/>
                <w:color w:val="000000"/>
                <w:sz w:val="20"/>
                <w:lang w:eastAsia="lv-LV"/>
              </w:rPr>
              <w:t>9</w:t>
            </w:r>
          </w:p>
        </w:tc>
      </w:tr>
      <w:tr w:rsidR="006D5FB6" w:rsidRPr="003028D0" w14:paraId="551534A3" w14:textId="77777777" w:rsidTr="0009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6F220FA1" w14:textId="77777777" w:rsidR="006D5FB6" w:rsidRPr="003028D0" w:rsidRDefault="006D5FB6" w:rsidP="006D5FB6">
            <w:pPr>
              <w:pStyle w:val="tabteksts"/>
              <w:rPr>
                <w:b w:val="0"/>
                <w:snapToGrid w:val="0"/>
                <w:color w:val="auto"/>
              </w:rPr>
            </w:pPr>
            <w:r w:rsidRPr="003028D0">
              <w:rPr>
                <w:b w:val="0"/>
                <w:snapToGrid w:val="0"/>
                <w:color w:val="auto"/>
              </w:rPr>
              <w:t>7. Veselība</w:t>
            </w:r>
          </w:p>
        </w:tc>
        <w:tc>
          <w:tcPr>
            <w:tcW w:w="952" w:type="dxa"/>
            <w:vAlign w:val="center"/>
          </w:tcPr>
          <w:p w14:paraId="08BE932B" w14:textId="77777777" w:rsidR="006D5FB6" w:rsidRPr="003028D0" w:rsidRDefault="006D5FB6" w:rsidP="006D5FB6">
            <w:pPr>
              <w:pStyle w:val="tabteksts"/>
              <w:jc w:val="center"/>
              <w:cnfStyle w:val="000000100000" w:firstRow="0" w:lastRow="0" w:firstColumn="0" w:lastColumn="0" w:oddVBand="0" w:evenVBand="0" w:oddHBand="1" w:evenHBand="0" w:firstRowFirstColumn="0" w:firstRowLastColumn="0" w:lastRowFirstColumn="0" w:lastRowLastColumn="0"/>
              <w:rPr>
                <w:color w:val="auto"/>
              </w:rPr>
            </w:pPr>
            <w:r w:rsidRPr="003028D0">
              <w:rPr>
                <w:color w:val="auto"/>
              </w:rPr>
              <w:t>7</w:t>
            </w:r>
          </w:p>
        </w:tc>
        <w:tc>
          <w:tcPr>
            <w:tcW w:w="797" w:type="dxa"/>
            <w:vAlign w:val="center"/>
          </w:tcPr>
          <w:p w14:paraId="12209FE2" w14:textId="02E4EB3A"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3</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8</w:t>
            </w:r>
          </w:p>
        </w:tc>
        <w:tc>
          <w:tcPr>
            <w:tcW w:w="798" w:type="dxa"/>
            <w:vAlign w:val="center"/>
          </w:tcPr>
          <w:p w14:paraId="08A24A9E" w14:textId="52874FAA"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3</w:t>
            </w:r>
            <w:r>
              <w:rPr>
                <w:rFonts w:ascii="Times New Roman" w:eastAsia="Times New Roman" w:hAnsi="Times New Roman" w:cs="Times New Roman"/>
                <w:color w:val="000000"/>
                <w:sz w:val="20"/>
                <w:lang w:eastAsia="lv-LV"/>
              </w:rPr>
              <w:t>,</w:t>
            </w:r>
            <w:r w:rsidR="00765EA4">
              <w:rPr>
                <w:rFonts w:ascii="Times New Roman" w:eastAsia="Times New Roman" w:hAnsi="Times New Roman" w:cs="Times New Roman"/>
                <w:color w:val="000000"/>
                <w:sz w:val="20"/>
                <w:lang w:eastAsia="lv-LV"/>
              </w:rPr>
              <w:t>8</w:t>
            </w:r>
          </w:p>
        </w:tc>
      </w:tr>
      <w:tr w:rsidR="006D5FB6" w:rsidRPr="003028D0" w14:paraId="5781B628" w14:textId="77777777" w:rsidTr="00094C88">
        <w:tc>
          <w:tcPr>
            <w:cnfStyle w:val="001000000000" w:firstRow="0" w:lastRow="0" w:firstColumn="1" w:lastColumn="0" w:oddVBand="0" w:evenVBand="0" w:oddHBand="0" w:evenHBand="0" w:firstRowFirstColumn="0" w:firstRowLastColumn="0" w:lastRowFirstColumn="0" w:lastRowLastColumn="0"/>
            <w:tcW w:w="4029" w:type="dxa"/>
          </w:tcPr>
          <w:p w14:paraId="2991359F" w14:textId="77777777" w:rsidR="006D5FB6" w:rsidRPr="003028D0" w:rsidRDefault="006D5FB6" w:rsidP="006D5FB6">
            <w:pPr>
              <w:pStyle w:val="tabteksts"/>
              <w:rPr>
                <w:b w:val="0"/>
                <w:snapToGrid w:val="0"/>
                <w:color w:val="auto"/>
              </w:rPr>
            </w:pPr>
            <w:r w:rsidRPr="003028D0">
              <w:rPr>
                <w:b w:val="0"/>
                <w:snapToGrid w:val="0"/>
                <w:color w:val="auto"/>
              </w:rPr>
              <w:t>8. Atpūta, kultūra un reliģija</w:t>
            </w:r>
          </w:p>
        </w:tc>
        <w:tc>
          <w:tcPr>
            <w:tcW w:w="952" w:type="dxa"/>
            <w:vAlign w:val="center"/>
          </w:tcPr>
          <w:p w14:paraId="42C2D786" w14:textId="77777777" w:rsidR="006D5FB6" w:rsidRPr="003028D0" w:rsidRDefault="006D5FB6" w:rsidP="006D5FB6">
            <w:pPr>
              <w:pStyle w:val="tabteksts"/>
              <w:jc w:val="center"/>
              <w:cnfStyle w:val="000000000000" w:firstRow="0" w:lastRow="0" w:firstColumn="0" w:lastColumn="0" w:oddVBand="0" w:evenVBand="0" w:oddHBand="0" w:evenHBand="0" w:firstRowFirstColumn="0" w:firstRowLastColumn="0" w:lastRowFirstColumn="0" w:lastRowLastColumn="0"/>
              <w:rPr>
                <w:color w:val="auto"/>
              </w:rPr>
            </w:pPr>
            <w:r w:rsidRPr="003028D0">
              <w:rPr>
                <w:color w:val="auto"/>
              </w:rPr>
              <w:t>8</w:t>
            </w:r>
          </w:p>
        </w:tc>
        <w:tc>
          <w:tcPr>
            <w:tcW w:w="797" w:type="dxa"/>
            <w:vAlign w:val="center"/>
          </w:tcPr>
          <w:p w14:paraId="47D30373" w14:textId="53285666"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1</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6</w:t>
            </w:r>
          </w:p>
        </w:tc>
        <w:tc>
          <w:tcPr>
            <w:tcW w:w="798" w:type="dxa"/>
            <w:vAlign w:val="center"/>
          </w:tcPr>
          <w:p w14:paraId="05382F78" w14:textId="10C12973"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1</w:t>
            </w:r>
            <w:r>
              <w:rPr>
                <w:rFonts w:ascii="Times New Roman" w:eastAsia="Times New Roman" w:hAnsi="Times New Roman" w:cs="Times New Roman"/>
                <w:color w:val="000000"/>
                <w:sz w:val="20"/>
                <w:lang w:eastAsia="lv-LV"/>
              </w:rPr>
              <w:t>,</w:t>
            </w:r>
            <w:r w:rsidR="004F1374">
              <w:rPr>
                <w:rFonts w:ascii="Times New Roman" w:eastAsia="Times New Roman" w:hAnsi="Times New Roman" w:cs="Times New Roman"/>
                <w:color w:val="000000"/>
                <w:sz w:val="20"/>
                <w:lang w:eastAsia="lv-LV"/>
              </w:rPr>
              <w:t>5</w:t>
            </w:r>
          </w:p>
        </w:tc>
      </w:tr>
      <w:tr w:rsidR="006D5FB6" w:rsidRPr="003028D0" w14:paraId="2DBD296B" w14:textId="77777777" w:rsidTr="0009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2635F2C7" w14:textId="77777777" w:rsidR="006D5FB6" w:rsidRPr="003028D0" w:rsidRDefault="006D5FB6" w:rsidP="006D5FB6">
            <w:pPr>
              <w:pStyle w:val="tabteksts"/>
              <w:rPr>
                <w:b w:val="0"/>
                <w:snapToGrid w:val="0"/>
                <w:color w:val="auto"/>
              </w:rPr>
            </w:pPr>
            <w:r w:rsidRPr="003028D0">
              <w:rPr>
                <w:b w:val="0"/>
                <w:snapToGrid w:val="0"/>
                <w:color w:val="auto"/>
              </w:rPr>
              <w:t>9. Izglītība</w:t>
            </w:r>
          </w:p>
        </w:tc>
        <w:tc>
          <w:tcPr>
            <w:tcW w:w="952" w:type="dxa"/>
            <w:vAlign w:val="center"/>
          </w:tcPr>
          <w:p w14:paraId="7EAF7263" w14:textId="77777777" w:rsidR="006D5FB6" w:rsidRPr="003028D0" w:rsidRDefault="006D5FB6" w:rsidP="006D5FB6">
            <w:pPr>
              <w:pStyle w:val="tabteksts"/>
              <w:jc w:val="center"/>
              <w:cnfStyle w:val="000000100000" w:firstRow="0" w:lastRow="0" w:firstColumn="0" w:lastColumn="0" w:oddVBand="0" w:evenVBand="0" w:oddHBand="1" w:evenHBand="0" w:firstRowFirstColumn="0" w:firstRowLastColumn="0" w:lastRowFirstColumn="0" w:lastRowLastColumn="0"/>
              <w:rPr>
                <w:color w:val="auto"/>
              </w:rPr>
            </w:pPr>
            <w:r w:rsidRPr="003028D0">
              <w:rPr>
                <w:color w:val="auto"/>
              </w:rPr>
              <w:t>9</w:t>
            </w:r>
          </w:p>
        </w:tc>
        <w:tc>
          <w:tcPr>
            <w:tcW w:w="797" w:type="dxa"/>
            <w:vAlign w:val="center"/>
          </w:tcPr>
          <w:p w14:paraId="2BC445B7" w14:textId="4ED2C5EB"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6</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0</w:t>
            </w:r>
          </w:p>
        </w:tc>
        <w:tc>
          <w:tcPr>
            <w:tcW w:w="798" w:type="dxa"/>
            <w:vAlign w:val="center"/>
          </w:tcPr>
          <w:p w14:paraId="23B339CD" w14:textId="42A41A6B" w:rsidR="006D5FB6" w:rsidRPr="006D5FB6" w:rsidRDefault="004F1374" w:rsidP="00765EA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000000"/>
                <w:sz w:val="20"/>
                <w:lang w:eastAsia="lv-LV"/>
              </w:rPr>
              <w:t>5,</w:t>
            </w:r>
            <w:r w:rsidR="00765EA4">
              <w:rPr>
                <w:rFonts w:ascii="Times New Roman" w:eastAsia="Times New Roman" w:hAnsi="Times New Roman" w:cs="Times New Roman"/>
                <w:color w:val="000000"/>
                <w:sz w:val="20"/>
                <w:lang w:eastAsia="lv-LV"/>
              </w:rPr>
              <w:t>7</w:t>
            </w:r>
          </w:p>
        </w:tc>
      </w:tr>
      <w:tr w:rsidR="006D5FB6" w:rsidRPr="003028D0" w14:paraId="26F37266" w14:textId="77777777" w:rsidTr="00094C88">
        <w:tc>
          <w:tcPr>
            <w:cnfStyle w:val="001000000000" w:firstRow="0" w:lastRow="0" w:firstColumn="1" w:lastColumn="0" w:oddVBand="0" w:evenVBand="0" w:oddHBand="0" w:evenHBand="0" w:firstRowFirstColumn="0" w:firstRowLastColumn="0" w:lastRowFirstColumn="0" w:lastRowLastColumn="0"/>
            <w:tcW w:w="4029" w:type="dxa"/>
          </w:tcPr>
          <w:p w14:paraId="4CEAAD56" w14:textId="77777777" w:rsidR="006D5FB6" w:rsidRPr="003028D0" w:rsidRDefault="006D5FB6" w:rsidP="006D5FB6">
            <w:pPr>
              <w:pStyle w:val="tabteksts"/>
              <w:rPr>
                <w:b w:val="0"/>
                <w:snapToGrid w:val="0"/>
                <w:color w:val="auto"/>
              </w:rPr>
            </w:pPr>
            <w:r w:rsidRPr="003028D0">
              <w:rPr>
                <w:b w:val="0"/>
                <w:snapToGrid w:val="0"/>
                <w:color w:val="auto"/>
              </w:rPr>
              <w:t>10. Sociālā aizsardzība</w:t>
            </w:r>
          </w:p>
        </w:tc>
        <w:tc>
          <w:tcPr>
            <w:tcW w:w="952" w:type="dxa"/>
            <w:vAlign w:val="center"/>
          </w:tcPr>
          <w:p w14:paraId="6208904F" w14:textId="77777777" w:rsidR="006D5FB6" w:rsidRPr="003028D0" w:rsidRDefault="006D5FB6" w:rsidP="006D5FB6">
            <w:pPr>
              <w:pStyle w:val="tabteksts"/>
              <w:jc w:val="center"/>
              <w:cnfStyle w:val="000000000000" w:firstRow="0" w:lastRow="0" w:firstColumn="0" w:lastColumn="0" w:oddVBand="0" w:evenVBand="0" w:oddHBand="0" w:evenHBand="0" w:firstRowFirstColumn="0" w:firstRowLastColumn="0" w:lastRowFirstColumn="0" w:lastRowLastColumn="0"/>
              <w:rPr>
                <w:color w:val="auto"/>
              </w:rPr>
            </w:pPr>
            <w:r w:rsidRPr="003028D0">
              <w:rPr>
                <w:color w:val="auto"/>
              </w:rPr>
              <w:t>10</w:t>
            </w:r>
          </w:p>
        </w:tc>
        <w:tc>
          <w:tcPr>
            <w:tcW w:w="797" w:type="dxa"/>
            <w:vAlign w:val="center"/>
          </w:tcPr>
          <w:p w14:paraId="7D951F41" w14:textId="6B73768E" w:rsidR="006D5FB6" w:rsidRPr="006D5FB6" w:rsidRDefault="006D5FB6"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color w:val="000000"/>
                <w:sz w:val="20"/>
                <w:lang w:eastAsia="lv-LV"/>
              </w:rPr>
              <w:t>11</w:t>
            </w:r>
            <w:r>
              <w:rPr>
                <w:rFonts w:ascii="Times New Roman" w:eastAsia="Times New Roman" w:hAnsi="Times New Roman" w:cs="Times New Roman"/>
                <w:color w:val="000000"/>
                <w:sz w:val="20"/>
                <w:lang w:eastAsia="lv-LV"/>
              </w:rPr>
              <w:t>,</w:t>
            </w:r>
            <w:r w:rsidRPr="006D5FB6">
              <w:rPr>
                <w:rFonts w:ascii="Times New Roman" w:eastAsia="Times New Roman" w:hAnsi="Times New Roman" w:cs="Times New Roman"/>
                <w:color w:val="000000"/>
                <w:sz w:val="20"/>
                <w:lang w:eastAsia="lv-LV"/>
              </w:rPr>
              <w:t>5</w:t>
            </w:r>
          </w:p>
        </w:tc>
        <w:tc>
          <w:tcPr>
            <w:tcW w:w="798" w:type="dxa"/>
            <w:vAlign w:val="center"/>
          </w:tcPr>
          <w:p w14:paraId="5CDD0AC8" w14:textId="28DA9372" w:rsidR="006D5FB6" w:rsidRPr="006D5FB6" w:rsidRDefault="00765EA4" w:rsidP="006D5FB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000000"/>
                <w:sz w:val="20"/>
                <w:lang w:eastAsia="lv-LV"/>
              </w:rPr>
              <w:t>11,0</w:t>
            </w:r>
          </w:p>
        </w:tc>
      </w:tr>
      <w:tr w:rsidR="006D5FB6" w:rsidRPr="003028D0" w14:paraId="386EC133" w14:textId="77777777" w:rsidTr="0009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6478816E" w14:textId="77777777" w:rsidR="006D5FB6" w:rsidRPr="003028D0" w:rsidRDefault="006D5FB6" w:rsidP="006D5FB6">
            <w:pPr>
              <w:pStyle w:val="tabteksts"/>
              <w:rPr>
                <w:b w:val="0"/>
                <w:snapToGrid w:val="0"/>
                <w:color w:val="auto"/>
              </w:rPr>
            </w:pPr>
            <w:r w:rsidRPr="003028D0">
              <w:rPr>
                <w:b w:val="0"/>
                <w:snapToGrid w:val="0"/>
                <w:color w:val="auto"/>
              </w:rPr>
              <w:t>11. Kopējie izdevumi</w:t>
            </w:r>
          </w:p>
        </w:tc>
        <w:tc>
          <w:tcPr>
            <w:tcW w:w="952" w:type="dxa"/>
            <w:vAlign w:val="center"/>
          </w:tcPr>
          <w:p w14:paraId="7E0A32A6" w14:textId="77777777" w:rsidR="006D5FB6" w:rsidRPr="003028D0" w:rsidRDefault="006D5FB6" w:rsidP="006D5FB6">
            <w:pPr>
              <w:pStyle w:val="tabteksts"/>
              <w:jc w:val="center"/>
              <w:cnfStyle w:val="000000100000" w:firstRow="0" w:lastRow="0" w:firstColumn="0" w:lastColumn="0" w:oddVBand="0" w:evenVBand="0" w:oddHBand="1" w:evenHBand="0" w:firstRowFirstColumn="0" w:firstRowLastColumn="0" w:lastRowFirstColumn="0" w:lastRowLastColumn="0"/>
              <w:rPr>
                <w:color w:val="auto"/>
              </w:rPr>
            </w:pPr>
            <w:r w:rsidRPr="003028D0">
              <w:rPr>
                <w:color w:val="auto"/>
              </w:rPr>
              <w:t>TE</w:t>
            </w:r>
          </w:p>
        </w:tc>
        <w:tc>
          <w:tcPr>
            <w:tcW w:w="797" w:type="dxa"/>
            <w:vAlign w:val="center"/>
          </w:tcPr>
          <w:p w14:paraId="6845F467" w14:textId="320137C0" w:rsidR="006D5FB6" w:rsidRPr="006D5FB6" w:rsidRDefault="006D5FB6"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6D5FB6">
              <w:rPr>
                <w:rFonts w:ascii="Times New Roman" w:eastAsia="Times New Roman" w:hAnsi="Times New Roman" w:cs="Times New Roman"/>
                <w:b/>
                <w:bCs/>
                <w:color w:val="000000"/>
                <w:sz w:val="20"/>
                <w:lang w:eastAsia="lv-LV"/>
              </w:rPr>
              <w:t>37</w:t>
            </w:r>
            <w:r>
              <w:rPr>
                <w:rFonts w:ascii="Times New Roman" w:eastAsia="Times New Roman" w:hAnsi="Times New Roman" w:cs="Times New Roman"/>
                <w:b/>
                <w:bCs/>
                <w:color w:val="000000"/>
                <w:sz w:val="20"/>
                <w:lang w:eastAsia="lv-LV"/>
              </w:rPr>
              <w:t>,</w:t>
            </w:r>
            <w:r w:rsidRPr="006D5FB6">
              <w:rPr>
                <w:rFonts w:ascii="Times New Roman" w:eastAsia="Times New Roman" w:hAnsi="Times New Roman" w:cs="Times New Roman"/>
                <w:b/>
                <w:bCs/>
                <w:color w:val="000000"/>
                <w:sz w:val="20"/>
                <w:lang w:eastAsia="lv-LV"/>
              </w:rPr>
              <w:t>0</w:t>
            </w:r>
          </w:p>
        </w:tc>
        <w:tc>
          <w:tcPr>
            <w:tcW w:w="798" w:type="dxa"/>
            <w:vAlign w:val="center"/>
          </w:tcPr>
          <w:p w14:paraId="5EBDF50C" w14:textId="267996E9" w:rsidR="006D5FB6" w:rsidRPr="006D5FB6" w:rsidRDefault="00765EA4" w:rsidP="006D5FB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b/>
                <w:bCs/>
                <w:color w:val="000000"/>
                <w:sz w:val="20"/>
                <w:lang w:eastAsia="lv-LV"/>
              </w:rPr>
              <w:t>36,6</w:t>
            </w:r>
          </w:p>
        </w:tc>
      </w:tr>
    </w:tbl>
    <w:p w14:paraId="0BF69454" w14:textId="77777777" w:rsidR="00F51615" w:rsidRPr="00F51615" w:rsidRDefault="00F51615" w:rsidP="00F51615">
      <w:pPr>
        <w:spacing w:before="120"/>
        <w:rPr>
          <w:rFonts w:ascii="Times New Roman" w:hAnsi="Times New Roman" w:cs="Times New Roman"/>
        </w:rPr>
      </w:pPr>
    </w:p>
    <w:p w14:paraId="0DA502FB" w14:textId="20DB072D" w:rsidR="0009609E" w:rsidRPr="00F51615" w:rsidRDefault="00F51615" w:rsidP="00F51615">
      <w:pPr>
        <w:rPr>
          <w:rFonts w:ascii="Times New Roman" w:hAnsi="Times New Roman" w:cs="Times New Roman"/>
          <w:b/>
          <w:bCs/>
          <w:szCs w:val="32"/>
          <w:lang w:eastAsia="lv-LV"/>
        </w:rPr>
      </w:pPr>
      <w:r w:rsidRPr="00F51615">
        <w:rPr>
          <w:rFonts w:ascii="Times New Roman" w:hAnsi="Times New Roman" w:cs="Times New Roman"/>
          <w:color w:val="000000"/>
          <w:szCs w:val="24"/>
        </w:rPr>
        <w:br w:type="page"/>
      </w:r>
      <w:r w:rsidR="00C81719">
        <w:rPr>
          <w:rFonts w:ascii="Times New Roman" w:hAnsi="Times New Roman" w:cs="Times New Roman"/>
          <w:b/>
          <w:bCs/>
          <w:sz w:val="24"/>
          <w:szCs w:val="32"/>
          <w:lang w:eastAsia="lv-LV"/>
        </w:rPr>
        <w:lastRenderedPageBreak/>
        <w:t>4.</w:t>
      </w:r>
      <w:r w:rsidRPr="00C81719">
        <w:rPr>
          <w:rFonts w:ascii="Times New Roman" w:hAnsi="Times New Roman" w:cs="Times New Roman"/>
          <w:b/>
          <w:bCs/>
          <w:sz w:val="24"/>
          <w:szCs w:val="32"/>
          <w:lang w:eastAsia="lv-LV"/>
        </w:rPr>
        <w:t>tabula. Vispārējās valdības parāda attīstība un parāda izmaiņas ietekmējošie faktori 201</w:t>
      </w:r>
      <w:r w:rsidR="00F31565">
        <w:rPr>
          <w:rFonts w:ascii="Times New Roman" w:hAnsi="Times New Roman" w:cs="Times New Roman"/>
          <w:b/>
          <w:bCs/>
          <w:sz w:val="24"/>
          <w:szCs w:val="32"/>
          <w:lang w:eastAsia="lv-LV"/>
        </w:rPr>
        <w:t>6.-2020</w:t>
      </w:r>
      <w:r w:rsidRPr="00C81719">
        <w:rPr>
          <w:rFonts w:ascii="Times New Roman" w:hAnsi="Times New Roman" w:cs="Times New Roman"/>
          <w:b/>
          <w:bCs/>
          <w:sz w:val="24"/>
          <w:szCs w:val="32"/>
          <w:lang w:eastAsia="lv-LV"/>
        </w:rPr>
        <w:t>.gadā</w:t>
      </w:r>
    </w:p>
    <w:tbl>
      <w:tblPr>
        <w:tblStyle w:val="GridTable6Colorful-Accent1"/>
        <w:tblW w:w="8926" w:type="dxa"/>
        <w:jc w:val="center"/>
        <w:tblLayout w:type="fixed"/>
        <w:tblLook w:val="04A0" w:firstRow="1" w:lastRow="0" w:firstColumn="1" w:lastColumn="0" w:noHBand="0" w:noVBand="1"/>
      </w:tblPr>
      <w:tblGrid>
        <w:gridCol w:w="3539"/>
        <w:gridCol w:w="1134"/>
        <w:gridCol w:w="851"/>
        <w:gridCol w:w="850"/>
        <w:gridCol w:w="851"/>
        <w:gridCol w:w="850"/>
        <w:gridCol w:w="851"/>
      </w:tblGrid>
      <w:tr w:rsidR="003028D0" w:rsidRPr="003028D0" w14:paraId="6F3DC441" w14:textId="77777777" w:rsidTr="00C8171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E700DF6" w14:textId="77777777" w:rsidR="003666E9" w:rsidRPr="003028D0" w:rsidRDefault="003666E9" w:rsidP="003028D0">
            <w:pPr>
              <w:jc w:val="cente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color w:val="auto"/>
                <w:sz w:val="20"/>
                <w:szCs w:val="20"/>
                <w:lang w:eastAsia="lv-LV"/>
              </w:rPr>
              <w:t>% no IKP</w:t>
            </w:r>
          </w:p>
        </w:tc>
        <w:tc>
          <w:tcPr>
            <w:tcW w:w="1134" w:type="dxa"/>
            <w:vAlign w:val="center"/>
            <w:hideMark/>
          </w:tcPr>
          <w:p w14:paraId="7BD4415F" w14:textId="488C5DE3" w:rsidR="003666E9" w:rsidRPr="003028D0" w:rsidRDefault="003666E9" w:rsidP="00C817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E</w:t>
            </w:r>
            <w:r w:rsidR="00C81719">
              <w:rPr>
                <w:rFonts w:ascii="Times New Roman" w:eastAsia="Times New Roman" w:hAnsi="Times New Roman" w:cs="Times New Roman"/>
                <w:color w:val="auto"/>
                <w:sz w:val="20"/>
                <w:szCs w:val="20"/>
                <w:lang w:eastAsia="lv-LV"/>
              </w:rPr>
              <w:t>KS</w:t>
            </w:r>
            <w:r w:rsidRPr="003028D0">
              <w:rPr>
                <w:rFonts w:ascii="Times New Roman" w:eastAsia="Times New Roman" w:hAnsi="Times New Roman" w:cs="Times New Roman"/>
                <w:color w:val="auto"/>
                <w:sz w:val="20"/>
                <w:szCs w:val="20"/>
                <w:lang w:eastAsia="lv-LV"/>
              </w:rPr>
              <w:t xml:space="preserve"> </w:t>
            </w:r>
            <w:r w:rsidR="00C81719">
              <w:rPr>
                <w:rFonts w:ascii="Times New Roman" w:eastAsia="Times New Roman" w:hAnsi="Times New Roman" w:cs="Times New Roman"/>
                <w:color w:val="auto"/>
                <w:sz w:val="20"/>
                <w:szCs w:val="20"/>
                <w:lang w:eastAsia="lv-LV"/>
              </w:rPr>
              <w:t>K</w:t>
            </w:r>
            <w:r w:rsidRPr="003028D0">
              <w:rPr>
                <w:rFonts w:ascii="Times New Roman" w:eastAsia="Times New Roman" w:hAnsi="Times New Roman" w:cs="Times New Roman"/>
                <w:color w:val="auto"/>
                <w:sz w:val="20"/>
                <w:szCs w:val="20"/>
                <w:lang w:eastAsia="lv-LV"/>
              </w:rPr>
              <w:t>ods</w:t>
            </w:r>
          </w:p>
        </w:tc>
        <w:tc>
          <w:tcPr>
            <w:tcW w:w="851" w:type="dxa"/>
            <w:noWrap/>
            <w:vAlign w:val="center"/>
            <w:hideMark/>
          </w:tcPr>
          <w:p w14:paraId="18DCE3C2" w14:textId="65F9E357" w:rsidR="003666E9" w:rsidRPr="003028D0"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2016</w:t>
            </w:r>
          </w:p>
        </w:tc>
        <w:tc>
          <w:tcPr>
            <w:tcW w:w="850" w:type="dxa"/>
            <w:noWrap/>
            <w:vAlign w:val="center"/>
            <w:hideMark/>
          </w:tcPr>
          <w:p w14:paraId="6D1A41E5" w14:textId="1DB8834A" w:rsidR="003666E9" w:rsidRPr="003028D0"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2017</w:t>
            </w:r>
          </w:p>
        </w:tc>
        <w:tc>
          <w:tcPr>
            <w:tcW w:w="851" w:type="dxa"/>
            <w:noWrap/>
            <w:vAlign w:val="center"/>
            <w:hideMark/>
          </w:tcPr>
          <w:p w14:paraId="235EE5C7" w14:textId="0718E32B" w:rsidR="003666E9" w:rsidRPr="003028D0"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2018</w:t>
            </w:r>
          </w:p>
        </w:tc>
        <w:tc>
          <w:tcPr>
            <w:tcW w:w="850" w:type="dxa"/>
            <w:noWrap/>
            <w:vAlign w:val="center"/>
            <w:hideMark/>
          </w:tcPr>
          <w:p w14:paraId="0AA1D93D" w14:textId="77745DBD" w:rsidR="003666E9" w:rsidRPr="003028D0"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2019</w:t>
            </w:r>
          </w:p>
        </w:tc>
        <w:tc>
          <w:tcPr>
            <w:tcW w:w="851" w:type="dxa"/>
            <w:noWrap/>
            <w:vAlign w:val="center"/>
            <w:hideMark/>
          </w:tcPr>
          <w:p w14:paraId="7E17B9BF" w14:textId="0201D043" w:rsidR="003666E9" w:rsidRPr="003028D0"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v-LV"/>
              </w:rPr>
            </w:pPr>
            <w:r>
              <w:rPr>
                <w:rFonts w:ascii="Times New Roman" w:eastAsia="Times New Roman" w:hAnsi="Times New Roman" w:cs="Times New Roman"/>
                <w:color w:val="auto"/>
                <w:sz w:val="20"/>
                <w:szCs w:val="20"/>
                <w:lang w:eastAsia="lv-LV"/>
              </w:rPr>
              <w:t>2020</w:t>
            </w:r>
          </w:p>
        </w:tc>
      </w:tr>
      <w:tr w:rsidR="006C67E6" w:rsidRPr="003028D0" w14:paraId="47D77C69" w14:textId="77777777" w:rsidTr="007C7D31">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F9ED2CC" w14:textId="02DEED58" w:rsidR="006C67E6" w:rsidRPr="003028D0" w:rsidRDefault="006C67E6" w:rsidP="006C67E6">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1. Bruto parāds</w:t>
            </w:r>
          </w:p>
        </w:tc>
        <w:tc>
          <w:tcPr>
            <w:tcW w:w="1134" w:type="dxa"/>
            <w:noWrap/>
            <w:hideMark/>
          </w:tcPr>
          <w:p w14:paraId="7B09A636" w14:textId="77777777" w:rsidR="006C67E6" w:rsidRPr="003028D0" w:rsidRDefault="006C67E6" w:rsidP="006C67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vAlign w:val="center"/>
          </w:tcPr>
          <w:p w14:paraId="3C3A581C" w14:textId="537BE098"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40,1</w:t>
            </w:r>
          </w:p>
        </w:tc>
        <w:tc>
          <w:tcPr>
            <w:tcW w:w="850" w:type="dxa"/>
            <w:noWrap/>
            <w:vAlign w:val="center"/>
          </w:tcPr>
          <w:p w14:paraId="2552F2A1" w14:textId="09ED6B3C"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39,2</w:t>
            </w:r>
          </w:p>
        </w:tc>
        <w:tc>
          <w:tcPr>
            <w:tcW w:w="851" w:type="dxa"/>
            <w:noWrap/>
            <w:vAlign w:val="center"/>
          </w:tcPr>
          <w:p w14:paraId="7A32D6C3" w14:textId="3C0F069B"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38,2</w:t>
            </w:r>
          </w:p>
        </w:tc>
        <w:tc>
          <w:tcPr>
            <w:tcW w:w="850" w:type="dxa"/>
            <w:noWrap/>
            <w:vAlign w:val="center"/>
          </w:tcPr>
          <w:p w14:paraId="0B65F399" w14:textId="777D9CEA"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39,4</w:t>
            </w:r>
          </w:p>
        </w:tc>
        <w:tc>
          <w:tcPr>
            <w:tcW w:w="851" w:type="dxa"/>
            <w:noWrap/>
            <w:vAlign w:val="center"/>
          </w:tcPr>
          <w:p w14:paraId="613EF8B1" w14:textId="69EFD637"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40,4</w:t>
            </w:r>
          </w:p>
        </w:tc>
      </w:tr>
      <w:tr w:rsidR="006C67E6" w:rsidRPr="003028D0" w14:paraId="771EDD8A" w14:textId="77777777" w:rsidTr="007C7D31">
        <w:trPr>
          <w:trHeight w:val="288"/>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0CCA761" w14:textId="3D44092F" w:rsidR="006C67E6" w:rsidRPr="003028D0" w:rsidRDefault="006C67E6" w:rsidP="006C67E6">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2. Bruto parāda izmaiņas</w:t>
            </w:r>
          </w:p>
        </w:tc>
        <w:tc>
          <w:tcPr>
            <w:tcW w:w="1134" w:type="dxa"/>
            <w:noWrap/>
            <w:hideMark/>
          </w:tcPr>
          <w:p w14:paraId="363E08E8" w14:textId="77777777" w:rsidR="006C67E6" w:rsidRPr="003028D0"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vAlign w:val="center"/>
          </w:tcPr>
          <w:p w14:paraId="04E88FDD" w14:textId="1DB351FC"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3,6</w:t>
            </w:r>
          </w:p>
        </w:tc>
        <w:tc>
          <w:tcPr>
            <w:tcW w:w="850" w:type="dxa"/>
            <w:noWrap/>
            <w:vAlign w:val="center"/>
          </w:tcPr>
          <w:p w14:paraId="68E3D41E" w14:textId="36FF5ED8"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-0,9</w:t>
            </w:r>
          </w:p>
        </w:tc>
        <w:tc>
          <w:tcPr>
            <w:tcW w:w="851" w:type="dxa"/>
            <w:noWrap/>
            <w:vAlign w:val="center"/>
          </w:tcPr>
          <w:p w14:paraId="074D8401" w14:textId="74273784"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-1,0</w:t>
            </w:r>
          </w:p>
        </w:tc>
        <w:tc>
          <w:tcPr>
            <w:tcW w:w="850" w:type="dxa"/>
            <w:noWrap/>
            <w:vAlign w:val="center"/>
          </w:tcPr>
          <w:p w14:paraId="43CDCC91" w14:textId="141E73D1"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1,2</w:t>
            </w:r>
          </w:p>
        </w:tc>
        <w:tc>
          <w:tcPr>
            <w:tcW w:w="851" w:type="dxa"/>
            <w:noWrap/>
            <w:vAlign w:val="center"/>
          </w:tcPr>
          <w:p w14:paraId="492DA4FA" w14:textId="66B6146B"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lang w:eastAsia="lv-LV"/>
              </w:rPr>
            </w:pPr>
            <w:r>
              <w:rPr>
                <w:rFonts w:ascii="Times New Roman" w:eastAsia="Times New Roman" w:hAnsi="Times New Roman" w:cs="Times New Roman"/>
                <w:bCs/>
                <w:color w:val="000000" w:themeColor="text1"/>
                <w:sz w:val="20"/>
                <w:szCs w:val="24"/>
                <w:lang w:eastAsia="lv-LV"/>
              </w:rPr>
              <w:t>1,0</w:t>
            </w:r>
          </w:p>
        </w:tc>
      </w:tr>
      <w:tr w:rsidR="006C67E6" w:rsidRPr="003028D0" w14:paraId="7667D795" w14:textId="77777777" w:rsidTr="00C81719">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075" w:type="dxa"/>
            <w:gridSpan w:val="6"/>
            <w:hideMark/>
          </w:tcPr>
          <w:p w14:paraId="7625E559" w14:textId="07563A38" w:rsidR="006C67E6" w:rsidRPr="003028D0" w:rsidRDefault="006C67E6" w:rsidP="006C67E6">
            <w:pPr>
              <w:jc w:val="cente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color w:val="auto"/>
                <w:sz w:val="20"/>
                <w:szCs w:val="20"/>
                <w:lang w:eastAsia="lv-LV"/>
              </w:rPr>
              <w:t>Kopējā parāda izmaiņas ietekmējošie faktori</w:t>
            </w:r>
          </w:p>
        </w:tc>
        <w:tc>
          <w:tcPr>
            <w:tcW w:w="851" w:type="dxa"/>
            <w:hideMark/>
          </w:tcPr>
          <w:p w14:paraId="26DC8F07" w14:textId="77777777" w:rsidR="006C67E6" w:rsidRPr="003028D0" w:rsidRDefault="006C67E6" w:rsidP="006C67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p>
        </w:tc>
      </w:tr>
      <w:tr w:rsidR="006C67E6" w:rsidRPr="003028D0" w14:paraId="234B2038" w14:textId="77777777" w:rsidTr="007C7D31">
        <w:trPr>
          <w:trHeight w:val="267"/>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8C65962" w14:textId="43CFF4BE" w:rsidR="006C67E6" w:rsidRPr="003028D0" w:rsidRDefault="006C67E6" w:rsidP="006C67E6">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3. Primārā bilance</w:t>
            </w:r>
          </w:p>
        </w:tc>
        <w:tc>
          <w:tcPr>
            <w:tcW w:w="1134" w:type="dxa"/>
            <w:noWrap/>
            <w:hideMark/>
          </w:tcPr>
          <w:p w14:paraId="3C5FA798" w14:textId="77777777" w:rsidR="006C67E6" w:rsidRPr="003028D0"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vAlign w:val="center"/>
          </w:tcPr>
          <w:p w14:paraId="3CAD4564" w14:textId="3E6153C5"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1,1</w:t>
            </w:r>
          </w:p>
        </w:tc>
        <w:tc>
          <w:tcPr>
            <w:tcW w:w="850" w:type="dxa"/>
            <w:noWrap/>
            <w:vAlign w:val="center"/>
          </w:tcPr>
          <w:p w14:paraId="5E4BD8A1" w14:textId="3CA028D6"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0,2</w:t>
            </w:r>
          </w:p>
        </w:tc>
        <w:tc>
          <w:tcPr>
            <w:tcW w:w="851" w:type="dxa"/>
            <w:noWrap/>
            <w:vAlign w:val="center"/>
          </w:tcPr>
          <w:p w14:paraId="1EC28762" w14:textId="43551055"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-0,7</w:t>
            </w:r>
          </w:p>
        </w:tc>
        <w:tc>
          <w:tcPr>
            <w:tcW w:w="850" w:type="dxa"/>
            <w:noWrap/>
            <w:vAlign w:val="center"/>
          </w:tcPr>
          <w:p w14:paraId="27D08DD9" w14:textId="4F4B15AA"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-0,2</w:t>
            </w:r>
          </w:p>
        </w:tc>
        <w:tc>
          <w:tcPr>
            <w:tcW w:w="851" w:type="dxa"/>
            <w:noWrap/>
            <w:vAlign w:val="center"/>
          </w:tcPr>
          <w:p w14:paraId="06DE901B" w14:textId="7A06E0E9"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0,4</w:t>
            </w:r>
          </w:p>
        </w:tc>
      </w:tr>
      <w:tr w:rsidR="006C67E6" w:rsidRPr="003028D0" w14:paraId="1E8BB784" w14:textId="77777777" w:rsidTr="007C7D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41FD7F7" w14:textId="07329DAA" w:rsidR="006C67E6" w:rsidRPr="003028D0" w:rsidRDefault="006C67E6" w:rsidP="006C67E6">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4. Procentu maksājumi</w:t>
            </w:r>
          </w:p>
        </w:tc>
        <w:tc>
          <w:tcPr>
            <w:tcW w:w="1134" w:type="dxa"/>
            <w:hideMark/>
          </w:tcPr>
          <w:p w14:paraId="24ACED7B" w14:textId="77777777" w:rsidR="006C67E6" w:rsidRPr="003028D0" w:rsidRDefault="006C67E6" w:rsidP="006C67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EDP D.41</w:t>
            </w:r>
          </w:p>
        </w:tc>
        <w:tc>
          <w:tcPr>
            <w:tcW w:w="851" w:type="dxa"/>
            <w:noWrap/>
            <w:vAlign w:val="center"/>
          </w:tcPr>
          <w:p w14:paraId="191F5DDB" w14:textId="420570DD"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1,1</w:t>
            </w:r>
          </w:p>
        </w:tc>
        <w:tc>
          <w:tcPr>
            <w:tcW w:w="850" w:type="dxa"/>
            <w:noWrap/>
            <w:vAlign w:val="center"/>
          </w:tcPr>
          <w:p w14:paraId="636049B0" w14:textId="3757356E"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1,0</w:t>
            </w:r>
          </w:p>
        </w:tc>
        <w:tc>
          <w:tcPr>
            <w:tcW w:w="851" w:type="dxa"/>
            <w:noWrap/>
            <w:vAlign w:val="center"/>
          </w:tcPr>
          <w:p w14:paraId="7FF7C870" w14:textId="2CE53D0E"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0,9</w:t>
            </w:r>
          </w:p>
        </w:tc>
        <w:tc>
          <w:tcPr>
            <w:tcW w:w="850" w:type="dxa"/>
            <w:noWrap/>
            <w:vAlign w:val="center"/>
          </w:tcPr>
          <w:p w14:paraId="5FD17948" w14:textId="59E923C6"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1,0</w:t>
            </w:r>
          </w:p>
        </w:tc>
        <w:tc>
          <w:tcPr>
            <w:tcW w:w="851" w:type="dxa"/>
            <w:noWrap/>
            <w:vAlign w:val="center"/>
          </w:tcPr>
          <w:p w14:paraId="02269E18" w14:textId="5082EF3E"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0,9</w:t>
            </w:r>
          </w:p>
        </w:tc>
      </w:tr>
      <w:tr w:rsidR="006C67E6" w:rsidRPr="003028D0" w14:paraId="2E4F6237" w14:textId="77777777" w:rsidTr="007C7D31">
        <w:trPr>
          <w:trHeight w:val="261"/>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10C10A7" w14:textId="79860D75" w:rsidR="006C67E6" w:rsidRPr="003028D0" w:rsidRDefault="006C67E6" w:rsidP="006C67E6">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5. Krājumu izmaiņas, t.sk.</w:t>
            </w:r>
          </w:p>
        </w:tc>
        <w:tc>
          <w:tcPr>
            <w:tcW w:w="1134" w:type="dxa"/>
            <w:hideMark/>
          </w:tcPr>
          <w:p w14:paraId="76E7D55E" w14:textId="77777777" w:rsidR="006C67E6" w:rsidRPr="003028D0"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vAlign w:val="center"/>
          </w:tcPr>
          <w:p w14:paraId="36F17D59" w14:textId="4F27CD3B"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3,6</w:t>
            </w:r>
          </w:p>
        </w:tc>
        <w:tc>
          <w:tcPr>
            <w:tcW w:w="850" w:type="dxa"/>
            <w:noWrap/>
            <w:vAlign w:val="center"/>
          </w:tcPr>
          <w:p w14:paraId="69627F18" w14:textId="158D3D6F"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-1,7</w:t>
            </w:r>
          </w:p>
        </w:tc>
        <w:tc>
          <w:tcPr>
            <w:tcW w:w="851" w:type="dxa"/>
            <w:noWrap/>
            <w:vAlign w:val="center"/>
          </w:tcPr>
          <w:p w14:paraId="02B2ABAA" w14:textId="1C994D6D"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-2,6</w:t>
            </w:r>
          </w:p>
        </w:tc>
        <w:tc>
          <w:tcPr>
            <w:tcW w:w="850" w:type="dxa"/>
            <w:noWrap/>
            <w:vAlign w:val="center"/>
          </w:tcPr>
          <w:p w14:paraId="1B705A79" w14:textId="372A8337"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0,0</w:t>
            </w:r>
          </w:p>
        </w:tc>
        <w:tc>
          <w:tcPr>
            <w:tcW w:w="851" w:type="dxa"/>
            <w:noWrap/>
            <w:vAlign w:val="center"/>
          </w:tcPr>
          <w:p w14:paraId="404B92E6" w14:textId="3294AD3F"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0,5</w:t>
            </w:r>
          </w:p>
        </w:tc>
      </w:tr>
      <w:tr w:rsidR="006C67E6" w:rsidRPr="003028D0" w14:paraId="19F7B0FE" w14:textId="77777777" w:rsidTr="007C7D31">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2C59D6B6" w14:textId="77777777" w:rsidR="006C67E6" w:rsidRPr="003028D0" w:rsidRDefault="006C67E6" w:rsidP="006C67E6">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Valsts parāda netiešā procentu likme</w:t>
            </w:r>
          </w:p>
        </w:tc>
        <w:tc>
          <w:tcPr>
            <w:tcW w:w="1134" w:type="dxa"/>
            <w:noWrap/>
            <w:hideMark/>
          </w:tcPr>
          <w:p w14:paraId="0D8ED44B" w14:textId="77777777" w:rsidR="006C67E6" w:rsidRPr="003028D0" w:rsidRDefault="006C67E6" w:rsidP="006C67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vAlign w:val="center"/>
          </w:tcPr>
          <w:p w14:paraId="3B73025C" w14:textId="18354466"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3,1</w:t>
            </w:r>
          </w:p>
        </w:tc>
        <w:tc>
          <w:tcPr>
            <w:tcW w:w="850" w:type="dxa"/>
            <w:noWrap/>
            <w:vAlign w:val="center"/>
          </w:tcPr>
          <w:p w14:paraId="462E5757" w14:textId="7B6ADD20"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2,6</w:t>
            </w:r>
          </w:p>
        </w:tc>
        <w:tc>
          <w:tcPr>
            <w:tcW w:w="851" w:type="dxa"/>
            <w:noWrap/>
            <w:vAlign w:val="center"/>
          </w:tcPr>
          <w:p w14:paraId="7AD98F3A" w14:textId="33D9B9EC"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2,5</w:t>
            </w:r>
          </w:p>
        </w:tc>
        <w:tc>
          <w:tcPr>
            <w:tcW w:w="850" w:type="dxa"/>
            <w:noWrap/>
            <w:vAlign w:val="center"/>
          </w:tcPr>
          <w:p w14:paraId="0758901F" w14:textId="71476566"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2,8</w:t>
            </w:r>
          </w:p>
        </w:tc>
        <w:tc>
          <w:tcPr>
            <w:tcW w:w="851" w:type="dxa"/>
            <w:noWrap/>
            <w:vAlign w:val="center"/>
          </w:tcPr>
          <w:p w14:paraId="6B9DA60A" w14:textId="548581A3"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2,4</w:t>
            </w:r>
          </w:p>
        </w:tc>
      </w:tr>
      <w:tr w:rsidR="006C67E6" w:rsidRPr="003028D0" w14:paraId="06FDA680" w14:textId="77777777" w:rsidTr="00C81719">
        <w:trPr>
          <w:trHeight w:val="255"/>
          <w:jc w:val="center"/>
        </w:trPr>
        <w:tc>
          <w:tcPr>
            <w:cnfStyle w:val="001000000000" w:firstRow="0" w:lastRow="0" w:firstColumn="1" w:lastColumn="0" w:oddVBand="0" w:evenVBand="0" w:oddHBand="0" w:evenHBand="0" w:firstRowFirstColumn="0" w:firstRowLastColumn="0" w:lastRowFirstColumn="0" w:lastRowLastColumn="0"/>
            <w:tcW w:w="8075" w:type="dxa"/>
            <w:gridSpan w:val="6"/>
            <w:hideMark/>
          </w:tcPr>
          <w:p w14:paraId="4E4DAE5B" w14:textId="1F1647A4" w:rsidR="006C67E6" w:rsidRPr="003028D0" w:rsidRDefault="006C67E6" w:rsidP="006C67E6">
            <w:pPr>
              <w:jc w:val="cente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color w:val="auto"/>
                <w:sz w:val="20"/>
                <w:szCs w:val="20"/>
                <w:lang w:eastAsia="lv-LV"/>
              </w:rPr>
              <w:t>Citi mainīgie</w:t>
            </w:r>
          </w:p>
        </w:tc>
        <w:tc>
          <w:tcPr>
            <w:tcW w:w="851" w:type="dxa"/>
            <w:hideMark/>
          </w:tcPr>
          <w:p w14:paraId="1526A7BC" w14:textId="77777777" w:rsidR="006C67E6" w:rsidRPr="003028D0" w:rsidRDefault="006C67E6" w:rsidP="006C67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eastAsia="lv-LV"/>
              </w:rPr>
            </w:pPr>
          </w:p>
        </w:tc>
      </w:tr>
      <w:tr w:rsidR="006C67E6" w:rsidRPr="003028D0" w14:paraId="32FC8C59" w14:textId="77777777" w:rsidTr="00EC1049">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BE92FC0" w14:textId="02DAF647" w:rsidR="006C67E6" w:rsidRPr="003028D0" w:rsidRDefault="006C67E6" w:rsidP="006C67E6">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6. Likvīdi finanšu aktīvi</w:t>
            </w:r>
          </w:p>
        </w:tc>
        <w:tc>
          <w:tcPr>
            <w:tcW w:w="1134" w:type="dxa"/>
            <w:noWrap/>
            <w:hideMark/>
          </w:tcPr>
          <w:p w14:paraId="4BD9BBE1" w14:textId="77777777" w:rsidR="006C67E6" w:rsidRPr="003028D0" w:rsidRDefault="006C67E6" w:rsidP="006C67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vAlign w:val="center"/>
          </w:tcPr>
          <w:p w14:paraId="7B098C7D" w14:textId="6E2BD676"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5,4</w:t>
            </w:r>
          </w:p>
        </w:tc>
        <w:tc>
          <w:tcPr>
            <w:tcW w:w="850" w:type="dxa"/>
            <w:noWrap/>
            <w:vAlign w:val="center"/>
          </w:tcPr>
          <w:p w14:paraId="385F8AE0" w14:textId="09911738"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1" w:type="dxa"/>
            <w:noWrap/>
            <w:vAlign w:val="center"/>
          </w:tcPr>
          <w:p w14:paraId="445F89C4" w14:textId="5E67A57A"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0" w:type="dxa"/>
            <w:noWrap/>
            <w:vAlign w:val="center"/>
          </w:tcPr>
          <w:p w14:paraId="20350E9B" w14:textId="5360A069"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1" w:type="dxa"/>
            <w:noWrap/>
            <w:vAlign w:val="center"/>
          </w:tcPr>
          <w:p w14:paraId="2E7E0117" w14:textId="61B5BEF0"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r>
      <w:tr w:rsidR="006C67E6" w:rsidRPr="003028D0" w14:paraId="6A5FC4B4" w14:textId="77777777" w:rsidTr="00EC1049">
        <w:trPr>
          <w:trHeight w:val="252"/>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DA106A1" w14:textId="05A44B08" w:rsidR="006C67E6" w:rsidRPr="003028D0" w:rsidRDefault="006C67E6" w:rsidP="006C67E6">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7. Neto finansiālais parāds (7=1-6)</w:t>
            </w:r>
          </w:p>
        </w:tc>
        <w:tc>
          <w:tcPr>
            <w:tcW w:w="1134" w:type="dxa"/>
            <w:noWrap/>
            <w:hideMark/>
          </w:tcPr>
          <w:p w14:paraId="45880F3A" w14:textId="77777777" w:rsidR="006C67E6" w:rsidRPr="003028D0"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vAlign w:val="center"/>
          </w:tcPr>
          <w:p w14:paraId="0FBCFB84" w14:textId="250B5409"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34,7</w:t>
            </w:r>
          </w:p>
        </w:tc>
        <w:tc>
          <w:tcPr>
            <w:tcW w:w="850" w:type="dxa"/>
            <w:noWrap/>
            <w:vAlign w:val="center"/>
          </w:tcPr>
          <w:p w14:paraId="6009A974" w14:textId="10968A77"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1" w:type="dxa"/>
            <w:noWrap/>
            <w:vAlign w:val="center"/>
          </w:tcPr>
          <w:p w14:paraId="6DB6B150" w14:textId="1D5B753D"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0" w:type="dxa"/>
            <w:noWrap/>
            <w:vAlign w:val="center"/>
          </w:tcPr>
          <w:p w14:paraId="14BD32AA" w14:textId="1002964D"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1" w:type="dxa"/>
            <w:noWrap/>
            <w:vAlign w:val="center"/>
          </w:tcPr>
          <w:p w14:paraId="394D6D1D" w14:textId="704741E1"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r>
      <w:tr w:rsidR="006C67E6" w:rsidRPr="003028D0" w14:paraId="03F6C7CC" w14:textId="77777777" w:rsidTr="00EC104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770A1F0E" w14:textId="6BDF5DEC" w:rsidR="006C67E6" w:rsidRPr="003028D0" w:rsidRDefault="006C67E6" w:rsidP="006C67E6">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8. Parāda amortizācija</w:t>
            </w:r>
          </w:p>
        </w:tc>
        <w:tc>
          <w:tcPr>
            <w:tcW w:w="1134" w:type="dxa"/>
            <w:noWrap/>
            <w:hideMark/>
          </w:tcPr>
          <w:p w14:paraId="5A564AFB" w14:textId="77777777" w:rsidR="006C67E6" w:rsidRPr="003028D0"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vAlign w:val="center"/>
          </w:tcPr>
          <w:p w14:paraId="3B87526E" w14:textId="17977A4D"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1,0</w:t>
            </w:r>
          </w:p>
        </w:tc>
        <w:tc>
          <w:tcPr>
            <w:tcW w:w="850" w:type="dxa"/>
            <w:noWrap/>
            <w:vAlign w:val="center"/>
          </w:tcPr>
          <w:p w14:paraId="5172183B" w14:textId="7BB81E6B"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3,8</w:t>
            </w:r>
          </w:p>
        </w:tc>
        <w:tc>
          <w:tcPr>
            <w:tcW w:w="851" w:type="dxa"/>
            <w:noWrap/>
            <w:vAlign w:val="center"/>
          </w:tcPr>
          <w:p w14:paraId="21187A35" w14:textId="63A60399"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2,8</w:t>
            </w:r>
          </w:p>
        </w:tc>
        <w:tc>
          <w:tcPr>
            <w:tcW w:w="850" w:type="dxa"/>
            <w:noWrap/>
            <w:vAlign w:val="center"/>
          </w:tcPr>
          <w:p w14:paraId="431516E0" w14:textId="64E95AAB"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1,2</w:t>
            </w:r>
          </w:p>
        </w:tc>
        <w:tc>
          <w:tcPr>
            <w:tcW w:w="851" w:type="dxa"/>
            <w:noWrap/>
            <w:vAlign w:val="center"/>
          </w:tcPr>
          <w:p w14:paraId="1B1B5E21" w14:textId="29BA26AC"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4,3</w:t>
            </w:r>
          </w:p>
        </w:tc>
      </w:tr>
      <w:tr w:rsidR="006C67E6" w:rsidRPr="003028D0" w14:paraId="2384262C" w14:textId="77777777" w:rsidTr="00EC1049">
        <w:trPr>
          <w:trHeight w:val="41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2D5B8C3E" w14:textId="360D6BC2" w:rsidR="006C67E6" w:rsidRPr="003028D0" w:rsidRDefault="006C67E6" w:rsidP="006C67E6">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9. Ārvalstu valūtā denominētā parāda īpatsvars</w:t>
            </w:r>
          </w:p>
        </w:tc>
        <w:tc>
          <w:tcPr>
            <w:tcW w:w="1134" w:type="dxa"/>
            <w:noWrap/>
            <w:hideMark/>
          </w:tcPr>
          <w:p w14:paraId="2C1FE3AB" w14:textId="77777777" w:rsidR="006C67E6" w:rsidRPr="003028D0"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vAlign w:val="center"/>
          </w:tcPr>
          <w:p w14:paraId="5E6DD2FD" w14:textId="4C215178"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21,0</w:t>
            </w:r>
          </w:p>
        </w:tc>
        <w:tc>
          <w:tcPr>
            <w:tcW w:w="850" w:type="dxa"/>
            <w:noWrap/>
            <w:vAlign w:val="center"/>
          </w:tcPr>
          <w:p w14:paraId="364412C5" w14:textId="662F99E9"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12,0</w:t>
            </w:r>
          </w:p>
        </w:tc>
        <w:tc>
          <w:tcPr>
            <w:tcW w:w="851" w:type="dxa"/>
            <w:noWrap/>
            <w:vAlign w:val="center"/>
          </w:tcPr>
          <w:p w14:paraId="6C90E7C1" w14:textId="66FA8217"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9,9</w:t>
            </w:r>
          </w:p>
        </w:tc>
        <w:tc>
          <w:tcPr>
            <w:tcW w:w="850" w:type="dxa"/>
            <w:noWrap/>
            <w:vAlign w:val="center"/>
          </w:tcPr>
          <w:p w14:paraId="0E17CF4D" w14:textId="3E43B7EE"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9,6</w:t>
            </w:r>
          </w:p>
        </w:tc>
        <w:tc>
          <w:tcPr>
            <w:tcW w:w="851" w:type="dxa"/>
            <w:noWrap/>
            <w:vAlign w:val="center"/>
          </w:tcPr>
          <w:p w14:paraId="42787DF0" w14:textId="6D77AB43" w:rsidR="006C67E6" w:rsidRPr="006C67E6"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Pr>
                <w:rFonts w:ascii="Times New Roman" w:eastAsia="Times New Roman" w:hAnsi="Times New Roman" w:cs="Times New Roman"/>
                <w:bCs/>
                <w:color w:val="000000" w:themeColor="text1"/>
                <w:sz w:val="20"/>
                <w:szCs w:val="24"/>
                <w:lang w:eastAsia="lv-LV"/>
              </w:rPr>
              <w:t>5,7</w:t>
            </w:r>
          </w:p>
        </w:tc>
      </w:tr>
      <w:tr w:rsidR="006C67E6" w:rsidRPr="003028D0" w14:paraId="226E4A67" w14:textId="77777777" w:rsidTr="00EC104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FB9327D" w14:textId="3BEBCE8A" w:rsidR="006C67E6" w:rsidRPr="003028D0" w:rsidRDefault="006C67E6" w:rsidP="006C67E6">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10. Vidējā dzēšana</w:t>
            </w:r>
          </w:p>
        </w:tc>
        <w:tc>
          <w:tcPr>
            <w:tcW w:w="1134" w:type="dxa"/>
            <w:noWrap/>
            <w:hideMark/>
          </w:tcPr>
          <w:p w14:paraId="1ED2AA59" w14:textId="77777777" w:rsidR="006C67E6" w:rsidRPr="003028D0" w:rsidRDefault="006C67E6" w:rsidP="006C67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vAlign w:val="center"/>
          </w:tcPr>
          <w:p w14:paraId="12DDD002" w14:textId="7887470A"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5,43 gadi</w:t>
            </w:r>
          </w:p>
        </w:tc>
        <w:tc>
          <w:tcPr>
            <w:tcW w:w="850" w:type="dxa"/>
            <w:noWrap/>
            <w:vAlign w:val="center"/>
          </w:tcPr>
          <w:p w14:paraId="62818EA1" w14:textId="1DFCF7E6"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1" w:type="dxa"/>
            <w:noWrap/>
            <w:vAlign w:val="center"/>
          </w:tcPr>
          <w:p w14:paraId="1F498F48" w14:textId="0CBEECB4"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0" w:type="dxa"/>
            <w:noWrap/>
            <w:vAlign w:val="center"/>
          </w:tcPr>
          <w:p w14:paraId="640A79FF" w14:textId="138B6712"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c>
          <w:tcPr>
            <w:tcW w:w="851" w:type="dxa"/>
            <w:noWrap/>
            <w:vAlign w:val="center"/>
          </w:tcPr>
          <w:p w14:paraId="00F7185D" w14:textId="65FDE16C" w:rsidR="006C67E6" w:rsidRPr="006C67E6"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4"/>
                <w:lang w:eastAsia="lv-LV"/>
              </w:rPr>
            </w:pPr>
            <w:r w:rsidRPr="006C67E6">
              <w:rPr>
                <w:rFonts w:ascii="Times New Roman" w:eastAsia="Times New Roman" w:hAnsi="Times New Roman" w:cs="Times New Roman"/>
                <w:bCs/>
                <w:color w:val="000000" w:themeColor="text1"/>
                <w:sz w:val="20"/>
                <w:szCs w:val="24"/>
                <w:lang w:eastAsia="lv-LV"/>
              </w:rPr>
              <w:t> </w:t>
            </w:r>
          </w:p>
        </w:tc>
      </w:tr>
    </w:tbl>
    <w:p w14:paraId="63FA3291" w14:textId="77777777" w:rsidR="00EC1049" w:rsidRDefault="00EC1049" w:rsidP="00C81719">
      <w:pPr>
        <w:pStyle w:val="T"/>
        <w:ind w:left="0"/>
        <w:jc w:val="both"/>
        <w:rPr>
          <w:rFonts w:ascii="Times New Roman" w:hAnsi="Times New Roman"/>
          <w:b w:val="0"/>
          <w:sz w:val="20"/>
          <w:lang w:eastAsia="lv-LV"/>
        </w:rPr>
      </w:pPr>
    </w:p>
    <w:p w14:paraId="1072E33C" w14:textId="77777777" w:rsidR="00EC1049" w:rsidRDefault="00EC1049" w:rsidP="00C81719">
      <w:pPr>
        <w:pStyle w:val="T"/>
        <w:ind w:left="0"/>
        <w:jc w:val="both"/>
        <w:rPr>
          <w:rFonts w:ascii="Times New Roman" w:hAnsi="Times New Roman"/>
          <w:b w:val="0"/>
          <w:sz w:val="20"/>
          <w:lang w:eastAsia="lv-LV"/>
        </w:rPr>
      </w:pPr>
    </w:p>
    <w:p w14:paraId="415B3B2E" w14:textId="77777777" w:rsidR="00EC1049" w:rsidRDefault="00EC1049" w:rsidP="00C81719">
      <w:pPr>
        <w:pStyle w:val="T"/>
        <w:ind w:left="0"/>
        <w:jc w:val="both"/>
        <w:rPr>
          <w:rFonts w:ascii="Times New Roman" w:hAnsi="Times New Roman"/>
          <w:b w:val="0"/>
          <w:sz w:val="20"/>
          <w:lang w:eastAsia="lv-LV"/>
        </w:rPr>
      </w:pPr>
    </w:p>
    <w:p w14:paraId="61835C82" w14:textId="4257E78F" w:rsidR="00F51615" w:rsidRDefault="00F51615" w:rsidP="00C81719">
      <w:pPr>
        <w:pStyle w:val="T"/>
        <w:ind w:left="0"/>
        <w:jc w:val="both"/>
        <w:rPr>
          <w:rFonts w:ascii="Times New Roman" w:hAnsi="Times New Roman"/>
          <w:color w:val="000000"/>
          <w:szCs w:val="24"/>
        </w:rPr>
      </w:pPr>
      <w:r w:rsidRPr="00527227">
        <w:rPr>
          <w:rFonts w:ascii="Times New Roman" w:hAnsi="Times New Roman"/>
          <w:b w:val="0"/>
        </w:rPr>
        <w:br w:type="page"/>
      </w:r>
      <w:r w:rsidR="00C81719">
        <w:rPr>
          <w:rFonts w:ascii="Times New Roman" w:hAnsi="Times New Roman"/>
          <w:color w:val="000000"/>
          <w:szCs w:val="24"/>
        </w:rPr>
        <w:lastRenderedPageBreak/>
        <w:t>5.</w:t>
      </w:r>
      <w:r w:rsidRPr="00F51615">
        <w:rPr>
          <w:rFonts w:ascii="Times New Roman" w:hAnsi="Times New Roman"/>
          <w:color w:val="000000"/>
          <w:szCs w:val="24"/>
        </w:rPr>
        <w:t>tabula. Cikliskā attīstība</w:t>
      </w:r>
    </w:p>
    <w:tbl>
      <w:tblPr>
        <w:tblStyle w:val="GridTable6Colorful-Accent1"/>
        <w:tblW w:w="8976" w:type="dxa"/>
        <w:jc w:val="center"/>
        <w:tblLook w:val="04A0" w:firstRow="1" w:lastRow="0" w:firstColumn="1" w:lastColumn="0" w:noHBand="0" w:noVBand="1"/>
      </w:tblPr>
      <w:tblGrid>
        <w:gridCol w:w="3305"/>
        <w:gridCol w:w="840"/>
        <w:gridCol w:w="803"/>
        <w:gridCol w:w="1007"/>
        <w:gridCol w:w="1007"/>
        <w:gridCol w:w="1007"/>
        <w:gridCol w:w="1007"/>
      </w:tblGrid>
      <w:tr w:rsidR="00094C88" w:rsidRPr="00094C88" w14:paraId="4D2B8191" w14:textId="77777777" w:rsidTr="003028D0">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3305" w:type="dxa"/>
            <w:noWrap/>
            <w:vAlign w:val="center"/>
            <w:hideMark/>
          </w:tcPr>
          <w:p w14:paraId="0780E0D7" w14:textId="7DD4E704" w:rsidR="00232B17" w:rsidRPr="00094C88" w:rsidRDefault="00232B17" w:rsidP="003028D0">
            <w:pPr>
              <w:jc w:val="center"/>
              <w:rPr>
                <w:rFonts w:ascii="Times New Roman" w:hAnsi="Times New Roman" w:cs="Times New Roman"/>
                <w:color w:val="auto"/>
                <w:sz w:val="20"/>
                <w:szCs w:val="20"/>
              </w:rPr>
            </w:pPr>
            <w:r w:rsidRPr="00094C88">
              <w:rPr>
                <w:rFonts w:ascii="Times New Roman" w:hAnsi="Times New Roman" w:cs="Times New Roman"/>
                <w:color w:val="auto"/>
                <w:sz w:val="20"/>
                <w:szCs w:val="20"/>
              </w:rPr>
              <w:t>% no IKP</w:t>
            </w:r>
          </w:p>
        </w:tc>
        <w:tc>
          <w:tcPr>
            <w:tcW w:w="840" w:type="dxa"/>
            <w:vAlign w:val="center"/>
            <w:hideMark/>
          </w:tcPr>
          <w:p w14:paraId="763E4403" w14:textId="77777777" w:rsidR="00232B17" w:rsidRPr="00094C88" w:rsidRDefault="00232B17"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EKS Kods</w:t>
            </w:r>
          </w:p>
        </w:tc>
        <w:tc>
          <w:tcPr>
            <w:tcW w:w="803" w:type="dxa"/>
            <w:noWrap/>
            <w:vAlign w:val="center"/>
            <w:hideMark/>
          </w:tcPr>
          <w:p w14:paraId="4DC411DD" w14:textId="1D9439C4" w:rsidR="00232B17" w:rsidRPr="00094C88"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2016</w:t>
            </w:r>
          </w:p>
        </w:tc>
        <w:tc>
          <w:tcPr>
            <w:tcW w:w="1007" w:type="dxa"/>
            <w:noWrap/>
            <w:vAlign w:val="center"/>
            <w:hideMark/>
          </w:tcPr>
          <w:p w14:paraId="75EE1EFA" w14:textId="157F9E4A" w:rsidR="00232B17" w:rsidRPr="00094C88"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2017</w:t>
            </w:r>
          </w:p>
        </w:tc>
        <w:tc>
          <w:tcPr>
            <w:tcW w:w="1007" w:type="dxa"/>
            <w:noWrap/>
            <w:vAlign w:val="center"/>
            <w:hideMark/>
          </w:tcPr>
          <w:p w14:paraId="4B2758E7" w14:textId="2E0D3F31" w:rsidR="00232B17" w:rsidRPr="00094C88" w:rsidRDefault="00232B17" w:rsidP="007C7D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094C88">
              <w:rPr>
                <w:rFonts w:ascii="Times New Roman" w:hAnsi="Times New Roman" w:cs="Times New Roman"/>
                <w:color w:val="auto"/>
                <w:sz w:val="20"/>
                <w:szCs w:val="20"/>
              </w:rPr>
              <w:t>201</w:t>
            </w:r>
            <w:r w:rsidR="00F31565">
              <w:rPr>
                <w:rFonts w:ascii="Times New Roman" w:hAnsi="Times New Roman" w:cs="Times New Roman"/>
                <w:color w:val="auto"/>
                <w:sz w:val="20"/>
                <w:szCs w:val="20"/>
              </w:rPr>
              <w:t>8</w:t>
            </w:r>
          </w:p>
        </w:tc>
        <w:tc>
          <w:tcPr>
            <w:tcW w:w="1007" w:type="dxa"/>
            <w:noWrap/>
            <w:vAlign w:val="center"/>
            <w:hideMark/>
          </w:tcPr>
          <w:p w14:paraId="3F8A67F7" w14:textId="54A9600A" w:rsidR="00232B17" w:rsidRPr="00094C88" w:rsidRDefault="00232B17"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094C88">
              <w:rPr>
                <w:rFonts w:ascii="Times New Roman" w:hAnsi="Times New Roman" w:cs="Times New Roman"/>
                <w:color w:val="auto"/>
                <w:sz w:val="20"/>
                <w:szCs w:val="20"/>
              </w:rPr>
              <w:t>2</w:t>
            </w:r>
            <w:r w:rsidR="00F31565">
              <w:rPr>
                <w:rFonts w:ascii="Times New Roman" w:hAnsi="Times New Roman" w:cs="Times New Roman"/>
                <w:color w:val="auto"/>
                <w:sz w:val="20"/>
                <w:szCs w:val="20"/>
              </w:rPr>
              <w:t>019</w:t>
            </w:r>
          </w:p>
        </w:tc>
        <w:tc>
          <w:tcPr>
            <w:tcW w:w="1007" w:type="dxa"/>
            <w:noWrap/>
            <w:vAlign w:val="center"/>
            <w:hideMark/>
          </w:tcPr>
          <w:p w14:paraId="3BC34499" w14:textId="5FC3C9DA" w:rsidR="00232B17" w:rsidRPr="00094C88" w:rsidRDefault="00F31565"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Pr>
                <w:rFonts w:ascii="Times New Roman" w:hAnsi="Times New Roman" w:cs="Times New Roman"/>
                <w:color w:val="auto"/>
                <w:sz w:val="20"/>
                <w:szCs w:val="20"/>
              </w:rPr>
              <w:t>2020</w:t>
            </w:r>
          </w:p>
        </w:tc>
      </w:tr>
      <w:tr w:rsidR="00766D30" w:rsidRPr="00094C88" w14:paraId="74469710" w14:textId="77777777" w:rsidTr="00766D30">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1916654E" w14:textId="77777777" w:rsidR="00766D30" w:rsidRPr="00094C88" w:rsidRDefault="00766D30" w:rsidP="00766D30">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1. IKP pieaugums salīdzināmās cenās (%)</w:t>
            </w:r>
          </w:p>
        </w:tc>
        <w:tc>
          <w:tcPr>
            <w:tcW w:w="840" w:type="dxa"/>
            <w:noWrap/>
            <w:hideMark/>
          </w:tcPr>
          <w:p w14:paraId="0B391BB5" w14:textId="77777777" w:rsidR="00766D30" w:rsidRPr="00094C88" w:rsidRDefault="00766D30" w:rsidP="00766D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B1g</w:t>
            </w:r>
          </w:p>
        </w:tc>
        <w:tc>
          <w:tcPr>
            <w:tcW w:w="803" w:type="dxa"/>
            <w:noWrap/>
            <w:vAlign w:val="center"/>
          </w:tcPr>
          <w:p w14:paraId="28E8B557" w14:textId="0F6E76D5"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lang w:eastAsia="lv-LV"/>
              </w:rPr>
              <w:t>2,</w:t>
            </w:r>
            <w:r w:rsidRPr="00766D30">
              <w:rPr>
                <w:rFonts w:ascii="Times New Roman" w:eastAsia="Times New Roman" w:hAnsi="Times New Roman" w:cs="Times New Roman"/>
                <w:color w:val="auto"/>
                <w:sz w:val="20"/>
                <w:szCs w:val="20"/>
                <w:lang w:eastAsia="lv-LV"/>
              </w:rPr>
              <w:t>0</w:t>
            </w:r>
          </w:p>
        </w:tc>
        <w:tc>
          <w:tcPr>
            <w:tcW w:w="1007" w:type="dxa"/>
            <w:noWrap/>
            <w:vAlign w:val="center"/>
          </w:tcPr>
          <w:p w14:paraId="02818222" w14:textId="7BA68260"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3</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3D69F651" w14:textId="5FCFE895"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3</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4</w:t>
            </w:r>
          </w:p>
        </w:tc>
        <w:tc>
          <w:tcPr>
            <w:tcW w:w="1007" w:type="dxa"/>
            <w:noWrap/>
            <w:vAlign w:val="center"/>
          </w:tcPr>
          <w:p w14:paraId="251B6276" w14:textId="69B176AA"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3</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269D1BF7" w14:textId="124F8C09"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3</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0</w:t>
            </w:r>
          </w:p>
        </w:tc>
      </w:tr>
      <w:tr w:rsidR="00766D30" w:rsidRPr="00094C88" w14:paraId="07C99C93" w14:textId="77777777" w:rsidTr="00766D30">
        <w:trPr>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531E33D4" w14:textId="77777777" w:rsidR="00766D30" w:rsidRPr="00094C88" w:rsidRDefault="00766D30" w:rsidP="00766D30">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2. Faktiskā budžeta bilance</w:t>
            </w:r>
          </w:p>
        </w:tc>
        <w:tc>
          <w:tcPr>
            <w:tcW w:w="840" w:type="dxa"/>
            <w:noWrap/>
            <w:hideMark/>
          </w:tcPr>
          <w:p w14:paraId="48B71EF6" w14:textId="77777777" w:rsidR="00766D30" w:rsidRPr="00094C88" w:rsidRDefault="00766D30" w:rsidP="00766D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B.9</w:t>
            </w:r>
          </w:p>
        </w:tc>
        <w:tc>
          <w:tcPr>
            <w:tcW w:w="803" w:type="dxa"/>
            <w:noWrap/>
            <w:vAlign w:val="center"/>
          </w:tcPr>
          <w:p w14:paraId="342BA021" w14:textId="6AC08D7C"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0</w:t>
            </w:r>
          </w:p>
        </w:tc>
        <w:tc>
          <w:tcPr>
            <w:tcW w:w="1007" w:type="dxa"/>
            <w:noWrap/>
            <w:vAlign w:val="center"/>
          </w:tcPr>
          <w:p w14:paraId="08AAE6E3" w14:textId="3030F14B"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8</w:t>
            </w:r>
          </w:p>
        </w:tc>
        <w:tc>
          <w:tcPr>
            <w:tcW w:w="1007" w:type="dxa"/>
            <w:noWrap/>
            <w:vAlign w:val="center"/>
          </w:tcPr>
          <w:p w14:paraId="1F683E3A" w14:textId="50FB3F6D"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6</w:t>
            </w:r>
          </w:p>
        </w:tc>
        <w:tc>
          <w:tcPr>
            <w:tcW w:w="1007" w:type="dxa"/>
            <w:noWrap/>
            <w:vAlign w:val="center"/>
          </w:tcPr>
          <w:p w14:paraId="7D27ED8A" w14:textId="361F79F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7FD0C95B" w14:textId="37620E9E"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5</w:t>
            </w:r>
          </w:p>
        </w:tc>
      </w:tr>
      <w:tr w:rsidR="009B498D" w:rsidRPr="00094C88" w14:paraId="0F387A44" w14:textId="77777777" w:rsidTr="0020131C">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5C887843" w14:textId="1E68CB68" w:rsidR="009B498D" w:rsidRPr="00094C88" w:rsidRDefault="009B498D" w:rsidP="009B498D">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3. Procentu izdevumi</w:t>
            </w:r>
            <w:r>
              <w:rPr>
                <w:rFonts w:ascii="Times New Roman" w:hAnsi="Times New Roman" w:cs="Times New Roman"/>
                <w:b w:val="0"/>
                <w:color w:val="auto"/>
                <w:sz w:val="20"/>
                <w:szCs w:val="20"/>
              </w:rPr>
              <w:t xml:space="preserve"> </w:t>
            </w:r>
          </w:p>
        </w:tc>
        <w:tc>
          <w:tcPr>
            <w:tcW w:w="840" w:type="dxa"/>
            <w:noWrap/>
            <w:hideMark/>
          </w:tcPr>
          <w:p w14:paraId="7A7A7967" w14:textId="77777777" w:rsidR="009B498D" w:rsidRPr="00094C88" w:rsidRDefault="009B498D" w:rsidP="009B49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D.41</w:t>
            </w:r>
          </w:p>
        </w:tc>
        <w:tc>
          <w:tcPr>
            <w:tcW w:w="803" w:type="dxa"/>
            <w:noWrap/>
            <w:vAlign w:val="center"/>
          </w:tcPr>
          <w:p w14:paraId="4790672B" w14:textId="0A0A4C45"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1</w:t>
            </w:r>
          </w:p>
        </w:tc>
        <w:tc>
          <w:tcPr>
            <w:tcW w:w="1007" w:type="dxa"/>
            <w:noWrap/>
            <w:vAlign w:val="center"/>
          </w:tcPr>
          <w:p w14:paraId="09D2B51D" w14:textId="378F438E"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0</w:t>
            </w:r>
          </w:p>
        </w:tc>
        <w:tc>
          <w:tcPr>
            <w:tcW w:w="1007" w:type="dxa"/>
            <w:noWrap/>
            <w:vAlign w:val="bottom"/>
          </w:tcPr>
          <w:p w14:paraId="737AE0DD" w14:textId="762021ED" w:rsidR="009B498D" w:rsidRPr="009B498D"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9B498D">
              <w:rPr>
                <w:rFonts w:ascii="Times New Roman" w:eastAsia="Times New Roman" w:hAnsi="Times New Roman" w:cs="Times New Roman"/>
                <w:color w:val="000000"/>
                <w:sz w:val="20"/>
                <w:lang w:eastAsia="lv-LV"/>
              </w:rPr>
              <w:t>0,9</w:t>
            </w:r>
          </w:p>
        </w:tc>
        <w:tc>
          <w:tcPr>
            <w:tcW w:w="1007" w:type="dxa"/>
            <w:noWrap/>
            <w:vAlign w:val="bottom"/>
          </w:tcPr>
          <w:p w14:paraId="4C117B7D" w14:textId="76892274" w:rsidR="009B498D" w:rsidRPr="009B498D"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9B498D">
              <w:rPr>
                <w:rFonts w:ascii="Times New Roman" w:eastAsia="Times New Roman" w:hAnsi="Times New Roman" w:cs="Times New Roman"/>
                <w:color w:val="000000"/>
                <w:sz w:val="20"/>
                <w:lang w:eastAsia="lv-LV"/>
              </w:rPr>
              <w:t>1,0</w:t>
            </w:r>
          </w:p>
        </w:tc>
        <w:tc>
          <w:tcPr>
            <w:tcW w:w="1007" w:type="dxa"/>
            <w:noWrap/>
            <w:vAlign w:val="bottom"/>
          </w:tcPr>
          <w:p w14:paraId="55BB5854" w14:textId="7EED5080" w:rsidR="009B498D" w:rsidRPr="009B498D"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9B498D">
              <w:rPr>
                <w:rFonts w:ascii="Times New Roman" w:eastAsia="Times New Roman" w:hAnsi="Times New Roman" w:cs="Times New Roman"/>
                <w:color w:val="000000"/>
                <w:sz w:val="20"/>
                <w:lang w:eastAsia="lv-LV"/>
              </w:rPr>
              <w:t>0,9</w:t>
            </w:r>
          </w:p>
        </w:tc>
      </w:tr>
      <w:tr w:rsidR="009B498D" w:rsidRPr="00094C88" w14:paraId="23EEC2D7" w14:textId="77777777" w:rsidTr="00766D30">
        <w:trPr>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04B73DD3" w14:textId="77777777" w:rsidR="009B498D" w:rsidRPr="00094C88" w:rsidRDefault="009B498D" w:rsidP="009B498D">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4. Vienreizēji un citi īslaicīgi pasākumi</w:t>
            </w:r>
          </w:p>
        </w:tc>
        <w:tc>
          <w:tcPr>
            <w:tcW w:w="840" w:type="dxa"/>
            <w:noWrap/>
            <w:hideMark/>
          </w:tcPr>
          <w:p w14:paraId="04CB8732" w14:textId="77777777" w:rsidR="009B498D" w:rsidRPr="00094C88" w:rsidRDefault="009B498D" w:rsidP="009B4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0F0E3DD8" w14:textId="18629DF4"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30672F2F" w14:textId="1A524F71"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0189DBE5" w14:textId="62BE658F"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20C58E0D" w14:textId="3D4B120A"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55E7427E" w14:textId="03FFE37A"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r>
      <w:tr w:rsidR="009B498D" w:rsidRPr="00094C88" w14:paraId="7D810D04" w14:textId="77777777" w:rsidTr="00766D3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19B572D9" w14:textId="77777777" w:rsidR="009B498D" w:rsidRPr="00094C88" w:rsidRDefault="009B498D" w:rsidP="009B498D">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5. Potenciālā IKP pieaugums (%)</w:t>
            </w:r>
          </w:p>
        </w:tc>
        <w:tc>
          <w:tcPr>
            <w:tcW w:w="840" w:type="dxa"/>
            <w:noWrap/>
            <w:hideMark/>
          </w:tcPr>
          <w:p w14:paraId="61039FE9" w14:textId="77777777" w:rsidR="009B498D" w:rsidRPr="00094C88" w:rsidRDefault="009B498D" w:rsidP="009B4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631A8682" w14:textId="186C4ABF"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2</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3</w:t>
            </w:r>
          </w:p>
        </w:tc>
        <w:tc>
          <w:tcPr>
            <w:tcW w:w="1007" w:type="dxa"/>
            <w:noWrap/>
            <w:vAlign w:val="center"/>
          </w:tcPr>
          <w:p w14:paraId="0BA71367" w14:textId="780F997C"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2</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8</w:t>
            </w:r>
          </w:p>
        </w:tc>
        <w:tc>
          <w:tcPr>
            <w:tcW w:w="1007" w:type="dxa"/>
            <w:noWrap/>
            <w:vAlign w:val="center"/>
          </w:tcPr>
          <w:p w14:paraId="23A018A8" w14:textId="3D9584CC"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2</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9</w:t>
            </w:r>
          </w:p>
        </w:tc>
        <w:tc>
          <w:tcPr>
            <w:tcW w:w="1007" w:type="dxa"/>
            <w:noWrap/>
            <w:vAlign w:val="center"/>
          </w:tcPr>
          <w:p w14:paraId="4FDEAE63" w14:textId="1C957B2D"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2</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8</w:t>
            </w:r>
          </w:p>
        </w:tc>
        <w:tc>
          <w:tcPr>
            <w:tcW w:w="1007" w:type="dxa"/>
            <w:noWrap/>
            <w:vAlign w:val="center"/>
          </w:tcPr>
          <w:p w14:paraId="2CD4DF23" w14:textId="4255D1DF"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3</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0</w:t>
            </w:r>
          </w:p>
        </w:tc>
      </w:tr>
      <w:tr w:rsidR="009B498D" w:rsidRPr="00094C88" w14:paraId="28B672B1" w14:textId="77777777" w:rsidTr="00766D30">
        <w:trPr>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5ADD4158" w14:textId="77777777" w:rsidR="009B498D" w:rsidRPr="00094C88" w:rsidRDefault="009B498D" w:rsidP="009B498D">
            <w:pPr>
              <w:ind w:firstLineChars="100" w:firstLine="200"/>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ieguldījums:</w:t>
            </w:r>
          </w:p>
        </w:tc>
        <w:tc>
          <w:tcPr>
            <w:tcW w:w="840" w:type="dxa"/>
            <w:noWrap/>
            <w:hideMark/>
          </w:tcPr>
          <w:p w14:paraId="7520C693" w14:textId="77777777" w:rsidR="009B498D" w:rsidRPr="00094C88" w:rsidRDefault="009B498D" w:rsidP="009B4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056EEE0A" w14:textId="12826EF0"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0BAEBA32" w14:textId="30E69739"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4929CB5B" w14:textId="19443BBA"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636B4EED" w14:textId="69B41620"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c>
          <w:tcPr>
            <w:tcW w:w="1007" w:type="dxa"/>
            <w:noWrap/>
            <w:vAlign w:val="center"/>
          </w:tcPr>
          <w:p w14:paraId="26BFD761" w14:textId="3CC1B55F"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 </w:t>
            </w:r>
          </w:p>
        </w:tc>
      </w:tr>
      <w:tr w:rsidR="009B498D" w:rsidRPr="00094C88" w14:paraId="09E6EEE4" w14:textId="77777777" w:rsidTr="00766D3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7A5AAA97" w14:textId="77777777" w:rsidR="009B498D" w:rsidRPr="00094C88" w:rsidRDefault="009B498D" w:rsidP="009B498D">
            <w:pPr>
              <w:ind w:firstLineChars="200" w:firstLine="400"/>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 xml:space="preserve"> - nodarbinātības</w:t>
            </w:r>
          </w:p>
        </w:tc>
        <w:tc>
          <w:tcPr>
            <w:tcW w:w="840" w:type="dxa"/>
            <w:noWrap/>
            <w:hideMark/>
          </w:tcPr>
          <w:p w14:paraId="034F6F33" w14:textId="77777777" w:rsidR="009B498D" w:rsidRPr="00094C88" w:rsidRDefault="009B498D" w:rsidP="009B4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1969B33F" w14:textId="38B2CDAB"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0</w:t>
            </w:r>
          </w:p>
        </w:tc>
        <w:tc>
          <w:tcPr>
            <w:tcW w:w="1007" w:type="dxa"/>
            <w:noWrap/>
            <w:vAlign w:val="center"/>
          </w:tcPr>
          <w:p w14:paraId="070E48D1" w14:textId="19ACAA5A"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4A0C24A2" w14:textId="1E3874A7"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1</w:t>
            </w:r>
          </w:p>
        </w:tc>
        <w:tc>
          <w:tcPr>
            <w:tcW w:w="1007" w:type="dxa"/>
            <w:noWrap/>
            <w:vAlign w:val="center"/>
          </w:tcPr>
          <w:p w14:paraId="4EE64938" w14:textId="0E25C1E2"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0</w:t>
            </w:r>
          </w:p>
        </w:tc>
        <w:tc>
          <w:tcPr>
            <w:tcW w:w="1007" w:type="dxa"/>
            <w:noWrap/>
            <w:vAlign w:val="center"/>
          </w:tcPr>
          <w:p w14:paraId="7393D889" w14:textId="5BF4F96E"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1</w:t>
            </w:r>
          </w:p>
        </w:tc>
      </w:tr>
      <w:tr w:rsidR="009B498D" w:rsidRPr="00094C88" w14:paraId="5DFC60ED" w14:textId="77777777" w:rsidTr="00766D30">
        <w:trPr>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7B6762B0" w14:textId="77777777" w:rsidR="009B498D" w:rsidRPr="00094C88" w:rsidRDefault="009B498D" w:rsidP="009B498D">
            <w:pPr>
              <w:ind w:firstLineChars="200" w:firstLine="400"/>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 xml:space="preserve"> - kapitāla</w:t>
            </w:r>
          </w:p>
        </w:tc>
        <w:tc>
          <w:tcPr>
            <w:tcW w:w="840" w:type="dxa"/>
            <w:noWrap/>
            <w:hideMark/>
          </w:tcPr>
          <w:p w14:paraId="4841ED2D" w14:textId="77777777" w:rsidR="009B498D" w:rsidRPr="00094C88" w:rsidRDefault="009B498D" w:rsidP="009B4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2434BF46" w14:textId="0441EEBE"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169AB7CD" w14:textId="0753C5FA"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5</w:t>
            </w:r>
          </w:p>
        </w:tc>
        <w:tc>
          <w:tcPr>
            <w:tcW w:w="1007" w:type="dxa"/>
            <w:noWrap/>
            <w:vAlign w:val="center"/>
          </w:tcPr>
          <w:p w14:paraId="4889DF01" w14:textId="4E11D2C8"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1</w:t>
            </w:r>
          </w:p>
        </w:tc>
        <w:tc>
          <w:tcPr>
            <w:tcW w:w="1007" w:type="dxa"/>
            <w:noWrap/>
            <w:vAlign w:val="center"/>
          </w:tcPr>
          <w:p w14:paraId="6C3D17A8" w14:textId="03F0DC3A"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3</w:t>
            </w:r>
          </w:p>
        </w:tc>
        <w:tc>
          <w:tcPr>
            <w:tcW w:w="1007" w:type="dxa"/>
            <w:noWrap/>
            <w:vAlign w:val="center"/>
          </w:tcPr>
          <w:p w14:paraId="7EC17041" w14:textId="66EBF8B9"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3</w:t>
            </w:r>
          </w:p>
        </w:tc>
      </w:tr>
      <w:tr w:rsidR="009B498D" w:rsidRPr="00094C88" w14:paraId="6FC2748F" w14:textId="77777777" w:rsidTr="00766D3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361F52EB" w14:textId="77777777" w:rsidR="009B498D" w:rsidRPr="00094C88" w:rsidRDefault="009B498D" w:rsidP="009B498D">
            <w:pPr>
              <w:ind w:firstLineChars="200" w:firstLine="400"/>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 xml:space="preserve"> - kopējās ražošanas faktoru produktivitāte </w:t>
            </w:r>
          </w:p>
        </w:tc>
        <w:tc>
          <w:tcPr>
            <w:tcW w:w="840" w:type="dxa"/>
            <w:noWrap/>
            <w:hideMark/>
          </w:tcPr>
          <w:p w14:paraId="6ABCCDA5" w14:textId="77777777" w:rsidR="009B498D" w:rsidRPr="00094C88" w:rsidRDefault="009B498D" w:rsidP="009B4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682A2FB2" w14:textId="5D350CD0"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2</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3574AA10" w14:textId="75D62CC9"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2</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1</w:t>
            </w:r>
          </w:p>
        </w:tc>
        <w:tc>
          <w:tcPr>
            <w:tcW w:w="1007" w:type="dxa"/>
            <w:noWrap/>
            <w:vAlign w:val="center"/>
          </w:tcPr>
          <w:p w14:paraId="57ACFEF4" w14:textId="76B0C830"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7</w:t>
            </w:r>
          </w:p>
        </w:tc>
        <w:tc>
          <w:tcPr>
            <w:tcW w:w="1007" w:type="dxa"/>
            <w:noWrap/>
            <w:vAlign w:val="center"/>
          </w:tcPr>
          <w:p w14:paraId="22BDB9FF" w14:textId="14BE109E"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6</w:t>
            </w:r>
          </w:p>
        </w:tc>
        <w:tc>
          <w:tcPr>
            <w:tcW w:w="1007" w:type="dxa"/>
            <w:noWrap/>
            <w:vAlign w:val="center"/>
          </w:tcPr>
          <w:p w14:paraId="63953FEE" w14:textId="2D586DB2"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6</w:t>
            </w:r>
          </w:p>
        </w:tc>
      </w:tr>
      <w:tr w:rsidR="009B498D" w:rsidRPr="00094C88" w14:paraId="5F1F14E7" w14:textId="77777777" w:rsidTr="00766D30">
        <w:trPr>
          <w:trHeight w:val="63"/>
          <w:jc w:val="center"/>
        </w:trPr>
        <w:tc>
          <w:tcPr>
            <w:cnfStyle w:val="001000000000" w:firstRow="0" w:lastRow="0" w:firstColumn="1" w:lastColumn="0" w:oddVBand="0" w:evenVBand="0" w:oddHBand="0" w:evenHBand="0" w:firstRowFirstColumn="0" w:firstRowLastColumn="0" w:lastRowFirstColumn="0" w:lastRowLastColumn="0"/>
            <w:tcW w:w="3305" w:type="dxa"/>
            <w:hideMark/>
          </w:tcPr>
          <w:p w14:paraId="11FE8FC2" w14:textId="77777777" w:rsidR="009B498D" w:rsidRPr="00094C88" w:rsidRDefault="009B498D" w:rsidP="009B498D">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6. Starpība starp faktisko un potenciālo IKP (% no potenciālā IKP)</w:t>
            </w:r>
          </w:p>
        </w:tc>
        <w:tc>
          <w:tcPr>
            <w:tcW w:w="840" w:type="dxa"/>
            <w:noWrap/>
            <w:hideMark/>
          </w:tcPr>
          <w:p w14:paraId="6DDDB80D" w14:textId="77777777" w:rsidR="009B498D" w:rsidRPr="00094C88"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6DEABBDD" w14:textId="2836FE3C"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5</w:t>
            </w:r>
          </w:p>
        </w:tc>
        <w:tc>
          <w:tcPr>
            <w:tcW w:w="1007" w:type="dxa"/>
            <w:noWrap/>
            <w:vAlign w:val="center"/>
          </w:tcPr>
          <w:p w14:paraId="6135F1EA" w14:textId="7B1FCB73"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6D8E75BF" w14:textId="0561A19E"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3</w:t>
            </w:r>
          </w:p>
        </w:tc>
        <w:tc>
          <w:tcPr>
            <w:tcW w:w="1007" w:type="dxa"/>
            <w:noWrap/>
            <w:vAlign w:val="center"/>
          </w:tcPr>
          <w:p w14:paraId="0D481521" w14:textId="331FE8E3"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7</w:t>
            </w:r>
          </w:p>
        </w:tc>
        <w:tc>
          <w:tcPr>
            <w:tcW w:w="1007" w:type="dxa"/>
            <w:noWrap/>
            <w:vAlign w:val="center"/>
          </w:tcPr>
          <w:p w14:paraId="215F4677" w14:textId="32F01A09"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7</w:t>
            </w:r>
          </w:p>
        </w:tc>
      </w:tr>
      <w:tr w:rsidR="009B498D" w:rsidRPr="00094C88" w14:paraId="6AD764C7" w14:textId="77777777" w:rsidTr="00766D3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4671BB4F" w14:textId="34CECFB4" w:rsidR="009B498D" w:rsidRPr="00094C88" w:rsidRDefault="009B498D" w:rsidP="009B498D">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7</w:t>
            </w:r>
            <w:r>
              <w:rPr>
                <w:rFonts w:ascii="Times New Roman" w:hAnsi="Times New Roman" w:cs="Times New Roman"/>
                <w:b w:val="0"/>
                <w:color w:val="auto"/>
                <w:sz w:val="20"/>
                <w:szCs w:val="20"/>
              </w:rPr>
              <w:t>.</w:t>
            </w:r>
            <w:r w:rsidRPr="00094C88">
              <w:rPr>
                <w:rFonts w:ascii="Times New Roman" w:hAnsi="Times New Roman" w:cs="Times New Roman"/>
                <w:b w:val="0"/>
                <w:color w:val="auto"/>
                <w:sz w:val="20"/>
                <w:szCs w:val="20"/>
              </w:rPr>
              <w:t xml:space="preserve"> Budžeta bilances cikliskā komponente</w:t>
            </w:r>
          </w:p>
        </w:tc>
        <w:tc>
          <w:tcPr>
            <w:tcW w:w="840" w:type="dxa"/>
            <w:noWrap/>
            <w:hideMark/>
          </w:tcPr>
          <w:p w14:paraId="142B93ED" w14:textId="77777777" w:rsidR="009B498D" w:rsidRPr="00094C88" w:rsidRDefault="009B498D" w:rsidP="009B4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66D6B6D9" w14:textId="7E98C7F8"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5631952C" w14:textId="0AF890A3"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1</w:t>
            </w:r>
          </w:p>
        </w:tc>
        <w:tc>
          <w:tcPr>
            <w:tcW w:w="1007" w:type="dxa"/>
            <w:noWrap/>
            <w:vAlign w:val="center"/>
          </w:tcPr>
          <w:p w14:paraId="473499DE" w14:textId="399D4FC1"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1</w:t>
            </w:r>
          </w:p>
        </w:tc>
        <w:tc>
          <w:tcPr>
            <w:tcW w:w="1007" w:type="dxa"/>
            <w:noWrap/>
            <w:vAlign w:val="center"/>
          </w:tcPr>
          <w:p w14:paraId="47FFAE2B" w14:textId="219AA399"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3</w:t>
            </w:r>
          </w:p>
        </w:tc>
        <w:tc>
          <w:tcPr>
            <w:tcW w:w="1007" w:type="dxa"/>
            <w:noWrap/>
            <w:vAlign w:val="center"/>
          </w:tcPr>
          <w:p w14:paraId="36C97D44" w14:textId="134889AE"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3</w:t>
            </w:r>
          </w:p>
        </w:tc>
      </w:tr>
      <w:tr w:rsidR="009B498D" w:rsidRPr="00094C88" w14:paraId="283EF107" w14:textId="77777777" w:rsidTr="00766D30">
        <w:trPr>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644226A5" w14:textId="77777777" w:rsidR="009B498D" w:rsidRPr="00094C88" w:rsidRDefault="009B498D" w:rsidP="009B498D">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8. Cikliski koriģētā bilance (2-7)</w:t>
            </w:r>
          </w:p>
        </w:tc>
        <w:tc>
          <w:tcPr>
            <w:tcW w:w="840" w:type="dxa"/>
            <w:noWrap/>
            <w:hideMark/>
          </w:tcPr>
          <w:p w14:paraId="58D167A0" w14:textId="77777777" w:rsidR="009B498D" w:rsidRPr="00094C88" w:rsidRDefault="009B498D" w:rsidP="009B49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74813D3D" w14:textId="0B8E0444"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1D173E61" w14:textId="311CAD3E"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7</w:t>
            </w:r>
          </w:p>
        </w:tc>
        <w:tc>
          <w:tcPr>
            <w:tcW w:w="1007" w:type="dxa"/>
            <w:noWrap/>
            <w:vAlign w:val="center"/>
          </w:tcPr>
          <w:p w14:paraId="1FC0D466" w14:textId="5E966684"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7</w:t>
            </w:r>
          </w:p>
        </w:tc>
        <w:tc>
          <w:tcPr>
            <w:tcW w:w="1007" w:type="dxa"/>
            <w:noWrap/>
            <w:vAlign w:val="center"/>
          </w:tcPr>
          <w:p w14:paraId="43A119A2" w14:textId="403AB428"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,5</w:t>
            </w:r>
          </w:p>
        </w:tc>
        <w:tc>
          <w:tcPr>
            <w:tcW w:w="1007" w:type="dxa"/>
            <w:noWrap/>
            <w:vAlign w:val="center"/>
          </w:tcPr>
          <w:p w14:paraId="166127C2" w14:textId="3C4463A5" w:rsidR="009B498D" w:rsidRPr="00766D30" w:rsidRDefault="009B498D" w:rsidP="009B49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8</w:t>
            </w:r>
          </w:p>
        </w:tc>
      </w:tr>
      <w:tr w:rsidR="009B498D" w:rsidRPr="00094C88" w14:paraId="421F13AD" w14:textId="77777777" w:rsidTr="009B498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11B17230" w14:textId="77777777" w:rsidR="009B498D" w:rsidRPr="00094C88" w:rsidRDefault="009B498D" w:rsidP="009B498D">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9. Cikliski koriģētā primārā bilance (8+3)</w:t>
            </w:r>
          </w:p>
        </w:tc>
        <w:tc>
          <w:tcPr>
            <w:tcW w:w="840" w:type="dxa"/>
            <w:noWrap/>
            <w:hideMark/>
          </w:tcPr>
          <w:p w14:paraId="5F764A57" w14:textId="77777777" w:rsidR="009B498D" w:rsidRPr="00094C88" w:rsidRDefault="009B498D" w:rsidP="009B4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580EE091" w14:textId="2AD1AE30"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3</w:t>
            </w:r>
          </w:p>
        </w:tc>
        <w:tc>
          <w:tcPr>
            <w:tcW w:w="1007" w:type="dxa"/>
            <w:noWrap/>
            <w:vAlign w:val="center"/>
          </w:tcPr>
          <w:p w14:paraId="4DCA0945" w14:textId="3AD62A6D"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5AD279CD" w14:textId="6F31A2EC"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B498D">
              <w:rPr>
                <w:rFonts w:ascii="Times New Roman" w:eastAsia="Times New Roman" w:hAnsi="Times New Roman" w:cs="Times New Roman"/>
                <w:color w:val="auto"/>
                <w:sz w:val="20"/>
                <w:szCs w:val="20"/>
                <w:lang w:eastAsia="lv-LV"/>
              </w:rPr>
              <w:t>-0,8</w:t>
            </w:r>
          </w:p>
        </w:tc>
        <w:tc>
          <w:tcPr>
            <w:tcW w:w="1007" w:type="dxa"/>
            <w:noWrap/>
            <w:vAlign w:val="center"/>
          </w:tcPr>
          <w:p w14:paraId="5797903A" w14:textId="7B9BE3CD"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B498D">
              <w:rPr>
                <w:rFonts w:ascii="Times New Roman" w:eastAsia="Times New Roman" w:hAnsi="Times New Roman" w:cs="Times New Roman"/>
                <w:color w:val="auto"/>
                <w:sz w:val="20"/>
                <w:szCs w:val="20"/>
                <w:lang w:eastAsia="lv-LV"/>
              </w:rPr>
              <w:t>-0,5</w:t>
            </w:r>
          </w:p>
        </w:tc>
        <w:tc>
          <w:tcPr>
            <w:tcW w:w="1007" w:type="dxa"/>
            <w:noWrap/>
            <w:vAlign w:val="center"/>
          </w:tcPr>
          <w:p w14:paraId="6C84EA58" w14:textId="7019B694" w:rsidR="009B498D" w:rsidRPr="00766D30" w:rsidRDefault="009B498D" w:rsidP="009B498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9B498D">
              <w:rPr>
                <w:rFonts w:ascii="Times New Roman" w:eastAsia="Times New Roman" w:hAnsi="Times New Roman" w:cs="Times New Roman"/>
                <w:color w:val="auto"/>
                <w:sz w:val="20"/>
                <w:szCs w:val="20"/>
                <w:lang w:eastAsia="lv-LV"/>
              </w:rPr>
              <w:t>0,1</w:t>
            </w:r>
          </w:p>
        </w:tc>
      </w:tr>
      <w:tr w:rsidR="005E474C" w:rsidRPr="00094C88" w14:paraId="5F991A74" w14:textId="77777777" w:rsidTr="009B498D">
        <w:trPr>
          <w:trHeight w:val="63"/>
          <w:jc w:val="center"/>
        </w:trPr>
        <w:tc>
          <w:tcPr>
            <w:cnfStyle w:val="001000000000" w:firstRow="0" w:lastRow="0" w:firstColumn="1" w:lastColumn="0" w:oddVBand="0" w:evenVBand="0" w:oddHBand="0" w:evenHBand="0" w:firstRowFirstColumn="0" w:firstRowLastColumn="0" w:lastRowFirstColumn="0" w:lastRowLastColumn="0"/>
            <w:tcW w:w="3305" w:type="dxa"/>
            <w:noWrap/>
            <w:hideMark/>
          </w:tcPr>
          <w:p w14:paraId="3D42A84B" w14:textId="1CBB7345" w:rsidR="005E474C" w:rsidRPr="00094C88" w:rsidRDefault="005E474C" w:rsidP="005E474C">
            <w:pPr>
              <w:rPr>
                <w:rFonts w:ascii="Times New Roman" w:hAnsi="Times New Roman" w:cs="Times New Roman"/>
                <w:b w:val="0"/>
                <w:color w:val="auto"/>
                <w:sz w:val="20"/>
                <w:szCs w:val="20"/>
              </w:rPr>
            </w:pPr>
            <w:r w:rsidRPr="00094C88">
              <w:rPr>
                <w:rFonts w:ascii="Times New Roman" w:hAnsi="Times New Roman" w:cs="Times New Roman"/>
                <w:b w:val="0"/>
                <w:color w:val="auto"/>
                <w:sz w:val="20"/>
                <w:szCs w:val="20"/>
              </w:rPr>
              <w:t>10. Strukturālā bilance</w:t>
            </w:r>
            <w:r>
              <w:rPr>
                <w:rFonts w:ascii="Times New Roman" w:hAnsi="Times New Roman" w:cs="Times New Roman"/>
                <w:b w:val="0"/>
                <w:color w:val="auto"/>
                <w:sz w:val="20"/>
                <w:szCs w:val="20"/>
              </w:rPr>
              <w:t>*</w:t>
            </w:r>
            <w:r w:rsidRPr="00094C88">
              <w:rPr>
                <w:rFonts w:ascii="Times New Roman" w:hAnsi="Times New Roman" w:cs="Times New Roman"/>
                <w:b w:val="0"/>
                <w:color w:val="auto"/>
                <w:sz w:val="20"/>
                <w:szCs w:val="20"/>
              </w:rPr>
              <w:t xml:space="preserve"> (8-4)</w:t>
            </w:r>
          </w:p>
        </w:tc>
        <w:tc>
          <w:tcPr>
            <w:tcW w:w="840" w:type="dxa"/>
            <w:noWrap/>
            <w:hideMark/>
          </w:tcPr>
          <w:p w14:paraId="413F13EC" w14:textId="77777777" w:rsidR="005E474C" w:rsidRPr="00094C88" w:rsidRDefault="005E474C" w:rsidP="005E47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 </w:t>
            </w:r>
          </w:p>
        </w:tc>
        <w:tc>
          <w:tcPr>
            <w:tcW w:w="803" w:type="dxa"/>
            <w:noWrap/>
            <w:vAlign w:val="center"/>
          </w:tcPr>
          <w:p w14:paraId="2BEC13EF" w14:textId="4635B544" w:rsidR="005E474C" w:rsidRPr="00766D30" w:rsidRDefault="005E474C" w:rsidP="005E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2</w:t>
            </w:r>
          </w:p>
        </w:tc>
        <w:tc>
          <w:tcPr>
            <w:tcW w:w="1007" w:type="dxa"/>
            <w:noWrap/>
            <w:vAlign w:val="center"/>
          </w:tcPr>
          <w:p w14:paraId="1AC59171" w14:textId="3E2049D5" w:rsidR="005E474C" w:rsidRPr="00766D30" w:rsidRDefault="005E474C" w:rsidP="005E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7</w:t>
            </w:r>
          </w:p>
        </w:tc>
        <w:tc>
          <w:tcPr>
            <w:tcW w:w="1007" w:type="dxa"/>
            <w:noWrap/>
            <w:vAlign w:val="center"/>
          </w:tcPr>
          <w:p w14:paraId="286958D2" w14:textId="5823FECC" w:rsidR="005E474C" w:rsidRPr="00766D30" w:rsidRDefault="005E474C" w:rsidP="005E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7</w:t>
            </w:r>
          </w:p>
        </w:tc>
        <w:tc>
          <w:tcPr>
            <w:tcW w:w="1007" w:type="dxa"/>
            <w:noWrap/>
            <w:vAlign w:val="center"/>
          </w:tcPr>
          <w:p w14:paraId="6C812FAD" w14:textId="35E09A98" w:rsidR="005E474C" w:rsidRPr="00766D30" w:rsidRDefault="005E474C" w:rsidP="005E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-1</w:t>
            </w:r>
            <w:r>
              <w:rPr>
                <w:rFonts w:ascii="Times New Roman" w:eastAsia="Times New Roman" w:hAnsi="Times New Roman" w:cs="Times New Roman"/>
                <w:color w:val="auto"/>
                <w:sz w:val="20"/>
                <w:szCs w:val="20"/>
                <w:lang w:eastAsia="lv-LV"/>
              </w:rPr>
              <w:t>,5</w:t>
            </w:r>
          </w:p>
        </w:tc>
        <w:tc>
          <w:tcPr>
            <w:tcW w:w="1007" w:type="dxa"/>
            <w:noWrap/>
            <w:vAlign w:val="center"/>
          </w:tcPr>
          <w:p w14:paraId="330EF350" w14:textId="465333B9" w:rsidR="005E474C" w:rsidRPr="00766D30" w:rsidRDefault="005E474C" w:rsidP="005E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-0</w:t>
            </w:r>
            <w:r>
              <w:rPr>
                <w:rFonts w:ascii="Times New Roman" w:eastAsia="Times New Roman" w:hAnsi="Times New Roman" w:cs="Times New Roman"/>
                <w:color w:val="auto"/>
                <w:sz w:val="20"/>
                <w:szCs w:val="20"/>
                <w:lang w:eastAsia="lv-LV"/>
              </w:rPr>
              <w:t>,</w:t>
            </w:r>
            <w:r w:rsidRPr="00766D30">
              <w:rPr>
                <w:rFonts w:ascii="Times New Roman" w:eastAsia="Times New Roman" w:hAnsi="Times New Roman" w:cs="Times New Roman"/>
                <w:color w:val="auto"/>
                <w:sz w:val="20"/>
                <w:szCs w:val="20"/>
                <w:lang w:eastAsia="lv-LV"/>
              </w:rPr>
              <w:t>8</w:t>
            </w:r>
          </w:p>
        </w:tc>
      </w:tr>
    </w:tbl>
    <w:p w14:paraId="36AE6358" w14:textId="3F9258DE" w:rsidR="009B498D" w:rsidRPr="00A97BBE" w:rsidRDefault="00735212" w:rsidP="00A97BBE">
      <w:pPr>
        <w:pStyle w:val="T"/>
        <w:ind w:left="0"/>
        <w:jc w:val="both"/>
        <w:rPr>
          <w:rFonts w:ascii="Times New Roman" w:hAnsi="Times New Roman"/>
          <w:b w:val="0"/>
          <w:color w:val="000000"/>
          <w:szCs w:val="24"/>
        </w:rPr>
      </w:pPr>
      <w:r>
        <w:rPr>
          <w:rFonts w:ascii="Times New Roman" w:hAnsi="Times New Roman"/>
          <w:color w:val="000000"/>
          <w:sz w:val="20"/>
          <w:szCs w:val="24"/>
        </w:rPr>
        <w:t xml:space="preserve">* </w:t>
      </w:r>
      <w:r w:rsidRPr="00BA7E71">
        <w:rPr>
          <w:rFonts w:ascii="Times New Roman" w:hAnsi="Times New Roman"/>
          <w:b w:val="0"/>
          <w:color w:val="000000"/>
          <w:sz w:val="20"/>
        </w:rPr>
        <w:t xml:space="preserve">strukturālā bilance uzrādīta, tajā iekļaujot vienreizējo pasākumu - nodokļu reformas izsaukto bilances </w:t>
      </w:r>
      <w:r>
        <w:rPr>
          <w:rFonts w:ascii="Times New Roman" w:hAnsi="Times New Roman"/>
          <w:b w:val="0"/>
          <w:color w:val="000000"/>
          <w:sz w:val="20"/>
        </w:rPr>
        <w:t>īstermiņa</w:t>
      </w:r>
      <w:r w:rsidRPr="00BA7E71">
        <w:rPr>
          <w:rFonts w:ascii="Times New Roman" w:hAnsi="Times New Roman"/>
          <w:b w:val="0"/>
          <w:color w:val="000000"/>
          <w:sz w:val="20"/>
        </w:rPr>
        <w:t xml:space="preserve"> samazinājumu, jo saskaņā ar SIP noteikumu piemērošanas  praksi, EK to neatzīs par vienreizēj</w:t>
      </w:r>
      <w:r>
        <w:rPr>
          <w:rFonts w:ascii="Times New Roman" w:hAnsi="Times New Roman"/>
          <w:b w:val="0"/>
          <w:color w:val="000000"/>
          <w:sz w:val="20"/>
        </w:rPr>
        <w:t>u</w:t>
      </w:r>
      <w:r w:rsidRPr="00BA7E71">
        <w:rPr>
          <w:rFonts w:ascii="Times New Roman" w:hAnsi="Times New Roman"/>
          <w:b w:val="0"/>
          <w:color w:val="000000"/>
          <w:sz w:val="20"/>
        </w:rPr>
        <w:t xml:space="preserve"> pasākumu (</w:t>
      </w:r>
      <w:r w:rsidRPr="00735212">
        <w:rPr>
          <w:rFonts w:ascii="Times New Roman" w:hAnsi="Times New Roman"/>
          <w:b w:val="0"/>
          <w:i/>
          <w:color w:val="000000"/>
          <w:sz w:val="20"/>
        </w:rPr>
        <w:t>one-off</w:t>
      </w:r>
      <w:r w:rsidRPr="00BA7E71">
        <w:rPr>
          <w:rFonts w:ascii="Times New Roman" w:hAnsi="Times New Roman"/>
          <w:b w:val="0"/>
          <w:color w:val="000000"/>
          <w:sz w:val="20"/>
        </w:rPr>
        <w:t>).</w:t>
      </w:r>
      <w:r>
        <w:rPr>
          <w:rFonts w:ascii="Times New Roman" w:hAnsi="Times New Roman"/>
          <w:b w:val="0"/>
          <w:color w:val="000000"/>
          <w:szCs w:val="24"/>
        </w:rPr>
        <w:t xml:space="preserve">   </w:t>
      </w:r>
    </w:p>
    <w:p w14:paraId="447BA108" w14:textId="77777777" w:rsidR="00F171EC" w:rsidRPr="00F51615" w:rsidRDefault="00F171EC" w:rsidP="00F51615">
      <w:pPr>
        <w:pStyle w:val="T"/>
        <w:ind w:left="0"/>
        <w:rPr>
          <w:rFonts w:ascii="Times New Roman" w:hAnsi="Times New Roman"/>
          <w:color w:val="000000"/>
          <w:szCs w:val="24"/>
        </w:rPr>
      </w:pPr>
    </w:p>
    <w:p w14:paraId="14D851FF" w14:textId="4BCB5F6F" w:rsidR="00094C88" w:rsidRDefault="00C81719" w:rsidP="00F51615">
      <w:pPr>
        <w:pStyle w:val="T"/>
        <w:ind w:left="0"/>
        <w:rPr>
          <w:rFonts w:ascii="Times New Roman" w:hAnsi="Times New Roman"/>
          <w:color w:val="000000"/>
          <w:szCs w:val="24"/>
        </w:rPr>
      </w:pPr>
      <w:r>
        <w:rPr>
          <w:rFonts w:ascii="Times New Roman" w:hAnsi="Times New Roman"/>
          <w:color w:val="000000"/>
          <w:szCs w:val="24"/>
        </w:rPr>
        <w:t>6.</w:t>
      </w:r>
      <w:r w:rsidR="00F51615" w:rsidRPr="00F51615">
        <w:rPr>
          <w:rFonts w:ascii="Times New Roman" w:hAnsi="Times New Roman"/>
          <w:color w:val="000000"/>
          <w:szCs w:val="24"/>
        </w:rPr>
        <w:t xml:space="preserve">tabula. Salīdzinājums ar </w:t>
      </w:r>
      <w:r w:rsidR="003D38BE">
        <w:rPr>
          <w:rFonts w:ascii="Times New Roman" w:hAnsi="Times New Roman"/>
          <w:color w:val="000000"/>
          <w:szCs w:val="24"/>
        </w:rPr>
        <w:t>Stabilitātes programmas 201</w:t>
      </w:r>
      <w:r w:rsidR="00F31565">
        <w:rPr>
          <w:rFonts w:ascii="Times New Roman" w:hAnsi="Times New Roman"/>
          <w:color w:val="000000"/>
          <w:szCs w:val="24"/>
        </w:rPr>
        <w:t>6</w:t>
      </w:r>
      <w:r w:rsidR="003D38BE">
        <w:rPr>
          <w:rFonts w:ascii="Times New Roman" w:hAnsi="Times New Roman"/>
          <w:color w:val="000000"/>
          <w:szCs w:val="24"/>
        </w:rPr>
        <w:t>.-201</w:t>
      </w:r>
      <w:r w:rsidR="00F31565">
        <w:rPr>
          <w:rFonts w:ascii="Times New Roman" w:hAnsi="Times New Roman"/>
          <w:color w:val="000000"/>
          <w:szCs w:val="24"/>
        </w:rPr>
        <w:t>9</w:t>
      </w:r>
      <w:r w:rsidR="00F51615" w:rsidRPr="00F51615">
        <w:rPr>
          <w:rFonts w:ascii="Times New Roman" w:hAnsi="Times New Roman"/>
          <w:color w:val="000000"/>
          <w:szCs w:val="24"/>
        </w:rPr>
        <w:t>.gadam prognozēm</w:t>
      </w:r>
    </w:p>
    <w:tbl>
      <w:tblPr>
        <w:tblStyle w:val="GridTable6Colorful-Accent1"/>
        <w:tblW w:w="8992" w:type="dxa"/>
        <w:jc w:val="center"/>
        <w:tblLayout w:type="fixed"/>
        <w:tblLook w:val="04A0" w:firstRow="1" w:lastRow="0" w:firstColumn="1" w:lastColumn="0" w:noHBand="0" w:noVBand="1"/>
      </w:tblPr>
      <w:tblGrid>
        <w:gridCol w:w="4046"/>
        <w:gridCol w:w="694"/>
        <w:gridCol w:w="850"/>
        <w:gridCol w:w="851"/>
        <w:gridCol w:w="850"/>
        <w:gridCol w:w="851"/>
        <w:gridCol w:w="850"/>
      </w:tblGrid>
      <w:tr w:rsidR="00094C88" w:rsidRPr="00094C88" w14:paraId="00774B4E" w14:textId="77777777" w:rsidTr="003028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14:paraId="25AE98B2" w14:textId="77777777" w:rsidR="00527227" w:rsidRPr="00094C88" w:rsidRDefault="00527227" w:rsidP="003028D0">
            <w:pPr>
              <w:jc w:val="center"/>
              <w:rPr>
                <w:rFonts w:ascii="Times New Roman" w:hAnsi="Times New Roman" w:cs="Times New Roman"/>
                <w:color w:val="auto"/>
                <w:sz w:val="20"/>
                <w:szCs w:val="20"/>
              </w:rPr>
            </w:pPr>
          </w:p>
        </w:tc>
        <w:tc>
          <w:tcPr>
            <w:tcW w:w="694" w:type="dxa"/>
            <w:vAlign w:val="center"/>
          </w:tcPr>
          <w:p w14:paraId="3624AB53" w14:textId="77777777" w:rsidR="00527227" w:rsidRPr="00094C88" w:rsidRDefault="00527227"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EKS kods</w:t>
            </w:r>
          </w:p>
        </w:tc>
        <w:tc>
          <w:tcPr>
            <w:tcW w:w="850" w:type="dxa"/>
            <w:vAlign w:val="center"/>
          </w:tcPr>
          <w:p w14:paraId="37CD4DA5" w14:textId="30DFA107" w:rsidR="00527227" w:rsidRPr="00094C88" w:rsidRDefault="00527227" w:rsidP="007C7D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94C88">
              <w:rPr>
                <w:rFonts w:ascii="Times New Roman" w:hAnsi="Times New Roman" w:cs="Times New Roman"/>
                <w:color w:val="auto"/>
                <w:sz w:val="20"/>
                <w:szCs w:val="20"/>
              </w:rPr>
              <w:t>201</w:t>
            </w:r>
            <w:r w:rsidR="00E665F1">
              <w:rPr>
                <w:rFonts w:ascii="Times New Roman" w:hAnsi="Times New Roman" w:cs="Times New Roman"/>
                <w:color w:val="auto"/>
                <w:sz w:val="20"/>
                <w:szCs w:val="20"/>
              </w:rPr>
              <w:t>6</w:t>
            </w:r>
          </w:p>
        </w:tc>
        <w:tc>
          <w:tcPr>
            <w:tcW w:w="851" w:type="dxa"/>
            <w:vAlign w:val="center"/>
          </w:tcPr>
          <w:p w14:paraId="5A287926" w14:textId="796C8521" w:rsidR="00527227" w:rsidRPr="00094C88" w:rsidRDefault="00527227"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94C88">
              <w:rPr>
                <w:rFonts w:ascii="Times New Roman" w:hAnsi="Times New Roman" w:cs="Times New Roman"/>
                <w:color w:val="auto"/>
                <w:sz w:val="20"/>
                <w:szCs w:val="20"/>
              </w:rPr>
              <w:t>2</w:t>
            </w:r>
            <w:r w:rsidR="00E665F1">
              <w:rPr>
                <w:rFonts w:ascii="Times New Roman" w:hAnsi="Times New Roman" w:cs="Times New Roman"/>
                <w:color w:val="auto"/>
                <w:sz w:val="20"/>
                <w:szCs w:val="20"/>
              </w:rPr>
              <w:t>017</w:t>
            </w:r>
          </w:p>
        </w:tc>
        <w:tc>
          <w:tcPr>
            <w:tcW w:w="850" w:type="dxa"/>
            <w:vAlign w:val="center"/>
          </w:tcPr>
          <w:p w14:paraId="5DBC8836" w14:textId="398B5DDD" w:rsidR="00527227" w:rsidRPr="00094C88" w:rsidRDefault="00E665F1"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color w:val="auto"/>
                <w:sz w:val="20"/>
                <w:szCs w:val="20"/>
              </w:rPr>
              <w:t>2018</w:t>
            </w:r>
          </w:p>
        </w:tc>
        <w:tc>
          <w:tcPr>
            <w:tcW w:w="851" w:type="dxa"/>
            <w:vAlign w:val="center"/>
          </w:tcPr>
          <w:p w14:paraId="24C25E8E" w14:textId="02A77D19" w:rsidR="00527227" w:rsidRPr="00094C88" w:rsidRDefault="00E665F1"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color w:val="auto"/>
                <w:sz w:val="20"/>
                <w:szCs w:val="20"/>
              </w:rPr>
              <w:t>2019</w:t>
            </w:r>
          </w:p>
        </w:tc>
        <w:tc>
          <w:tcPr>
            <w:tcW w:w="850" w:type="dxa"/>
            <w:vAlign w:val="center"/>
          </w:tcPr>
          <w:p w14:paraId="4FB22662" w14:textId="7051C4ED" w:rsidR="00527227" w:rsidRPr="00094C88" w:rsidRDefault="00E665F1" w:rsidP="00302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color w:val="auto"/>
                <w:sz w:val="20"/>
                <w:szCs w:val="20"/>
              </w:rPr>
              <w:t>2020</w:t>
            </w:r>
          </w:p>
        </w:tc>
      </w:tr>
      <w:tr w:rsidR="00094C88" w:rsidRPr="00094C88" w14:paraId="71EB091B" w14:textId="77777777" w:rsidTr="00302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tcPr>
          <w:p w14:paraId="7B90B0AC" w14:textId="77777777" w:rsidR="00527227" w:rsidRPr="00094C88" w:rsidRDefault="00527227" w:rsidP="00527227">
            <w:pPr>
              <w:rPr>
                <w:rFonts w:ascii="Times New Roman" w:hAnsi="Times New Roman" w:cs="Times New Roman"/>
                <w:snapToGrid w:val="0"/>
                <w:color w:val="auto"/>
                <w:sz w:val="20"/>
                <w:szCs w:val="20"/>
              </w:rPr>
            </w:pPr>
            <w:r w:rsidRPr="00094C88">
              <w:rPr>
                <w:rFonts w:ascii="Times New Roman" w:hAnsi="Times New Roman" w:cs="Times New Roman"/>
                <w:color w:val="auto"/>
                <w:sz w:val="20"/>
                <w:szCs w:val="20"/>
              </w:rPr>
              <w:t>IKP pieaugums (%)</w:t>
            </w:r>
          </w:p>
        </w:tc>
        <w:tc>
          <w:tcPr>
            <w:tcW w:w="694" w:type="dxa"/>
          </w:tcPr>
          <w:p w14:paraId="78D69F4F" w14:textId="77777777" w:rsidR="00527227" w:rsidRPr="00094C88" w:rsidRDefault="00527227" w:rsidP="00527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B1g</w:t>
            </w:r>
          </w:p>
        </w:tc>
        <w:tc>
          <w:tcPr>
            <w:tcW w:w="850" w:type="dxa"/>
          </w:tcPr>
          <w:p w14:paraId="5CAA8392" w14:textId="77777777" w:rsidR="00527227" w:rsidRPr="00094C88" w:rsidRDefault="00527227" w:rsidP="00527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1" w:type="dxa"/>
          </w:tcPr>
          <w:p w14:paraId="14866B35" w14:textId="77777777" w:rsidR="00527227" w:rsidRPr="00094C88" w:rsidRDefault="00527227" w:rsidP="00527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03CB8AB4" w14:textId="77777777" w:rsidR="00527227" w:rsidRPr="00094C88" w:rsidRDefault="00527227" w:rsidP="00527227">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p>
        </w:tc>
        <w:tc>
          <w:tcPr>
            <w:tcW w:w="851" w:type="dxa"/>
          </w:tcPr>
          <w:p w14:paraId="3294C294" w14:textId="77777777" w:rsidR="00527227" w:rsidRPr="00094C88" w:rsidRDefault="00527227" w:rsidP="00527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0FF98188" w14:textId="77777777" w:rsidR="00527227" w:rsidRPr="00094C88" w:rsidRDefault="00527227" w:rsidP="00527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C67E6" w:rsidRPr="00094C88" w14:paraId="44F3D909" w14:textId="77777777" w:rsidTr="00D47B98">
        <w:trPr>
          <w:jc w:val="center"/>
        </w:trPr>
        <w:tc>
          <w:tcPr>
            <w:cnfStyle w:val="001000000000" w:firstRow="0" w:lastRow="0" w:firstColumn="1" w:lastColumn="0" w:oddVBand="0" w:evenVBand="0" w:oddHBand="0" w:evenHBand="0" w:firstRowFirstColumn="0" w:firstRowLastColumn="0" w:lastRowFirstColumn="0" w:lastRowLastColumn="0"/>
            <w:tcW w:w="4046" w:type="dxa"/>
          </w:tcPr>
          <w:p w14:paraId="60C954AE" w14:textId="54A6EC23" w:rsidR="006C67E6" w:rsidRPr="00094C88" w:rsidRDefault="006C67E6" w:rsidP="006C67E6">
            <w:pPr>
              <w:jc w:val="right"/>
              <w:rPr>
                <w:rFonts w:ascii="Times New Roman" w:hAnsi="Times New Roman" w:cs="Times New Roman"/>
                <w:b w:val="0"/>
                <w:color w:val="auto"/>
                <w:sz w:val="20"/>
                <w:szCs w:val="20"/>
              </w:rPr>
            </w:pPr>
            <w:r w:rsidRPr="001E5D9F">
              <w:rPr>
                <w:rFonts w:ascii="Times New Roman" w:eastAsia="Times New Roman" w:hAnsi="Times New Roman" w:cs="Times New Roman"/>
                <w:b w:val="0"/>
                <w:bCs w:val="0"/>
                <w:color w:val="auto"/>
                <w:sz w:val="20"/>
                <w:szCs w:val="20"/>
              </w:rPr>
              <w:t>2016.-2019.gada Stabilitātes programma</w:t>
            </w:r>
          </w:p>
        </w:tc>
        <w:tc>
          <w:tcPr>
            <w:tcW w:w="694" w:type="dxa"/>
          </w:tcPr>
          <w:p w14:paraId="26C28B6D" w14:textId="77777777" w:rsidR="006C67E6" w:rsidRPr="00094C88" w:rsidRDefault="006C67E6" w:rsidP="006C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tcPr>
          <w:p w14:paraId="106BA3E0" w14:textId="5F62ACBD" w:rsidR="006C67E6" w:rsidRPr="00DD2914"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3,0</w:t>
            </w:r>
          </w:p>
        </w:tc>
        <w:tc>
          <w:tcPr>
            <w:tcW w:w="851" w:type="dxa"/>
          </w:tcPr>
          <w:p w14:paraId="0C7A8299" w14:textId="6789C4BF" w:rsidR="006C67E6" w:rsidRPr="00DD2914"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3,3</w:t>
            </w:r>
          </w:p>
        </w:tc>
        <w:tc>
          <w:tcPr>
            <w:tcW w:w="850" w:type="dxa"/>
          </w:tcPr>
          <w:p w14:paraId="52F0E03A" w14:textId="2B4DB76B" w:rsidR="006C67E6" w:rsidRPr="00DD2914"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3,4</w:t>
            </w:r>
          </w:p>
        </w:tc>
        <w:tc>
          <w:tcPr>
            <w:tcW w:w="851" w:type="dxa"/>
          </w:tcPr>
          <w:p w14:paraId="7DD6F732" w14:textId="5F824A27" w:rsidR="006C67E6" w:rsidRPr="00DD2914"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3,4</w:t>
            </w:r>
          </w:p>
        </w:tc>
        <w:tc>
          <w:tcPr>
            <w:tcW w:w="850" w:type="dxa"/>
            <w:vAlign w:val="center"/>
          </w:tcPr>
          <w:p w14:paraId="3AD6291C" w14:textId="2463A28C" w:rsidR="006C67E6" w:rsidRPr="00DD2914"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DD2914">
              <w:rPr>
                <w:rFonts w:ascii="Times New Roman" w:eastAsia="Arial Unicode MS" w:hAnsi="Times New Roman" w:cs="Times New Roman"/>
                <w:color w:val="auto"/>
                <w:sz w:val="20"/>
              </w:rPr>
              <w:t>-</w:t>
            </w:r>
          </w:p>
        </w:tc>
      </w:tr>
      <w:tr w:rsidR="006C67E6" w:rsidRPr="00094C88" w14:paraId="550DAFF3" w14:textId="77777777" w:rsidTr="00D47B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tcPr>
          <w:p w14:paraId="59D9FB25" w14:textId="68C3AF6B" w:rsidR="006C67E6" w:rsidRPr="00094C88" w:rsidRDefault="006C67E6" w:rsidP="006C67E6">
            <w:pPr>
              <w:jc w:val="right"/>
              <w:rPr>
                <w:rFonts w:ascii="Times New Roman" w:hAnsi="Times New Roman" w:cs="Times New Roman"/>
                <w:b w:val="0"/>
                <w:color w:val="auto"/>
                <w:sz w:val="20"/>
                <w:szCs w:val="20"/>
              </w:rPr>
            </w:pPr>
            <w:r w:rsidRPr="001E5D9F">
              <w:rPr>
                <w:rFonts w:ascii="Times New Roman" w:eastAsia="Times New Roman" w:hAnsi="Times New Roman" w:cs="Times New Roman"/>
                <w:b w:val="0"/>
                <w:bCs w:val="0"/>
                <w:color w:val="auto"/>
                <w:sz w:val="20"/>
                <w:szCs w:val="20"/>
              </w:rPr>
              <w:t>2017.-2020.gada Stabilitātes programma</w:t>
            </w:r>
          </w:p>
        </w:tc>
        <w:tc>
          <w:tcPr>
            <w:tcW w:w="694" w:type="dxa"/>
          </w:tcPr>
          <w:p w14:paraId="1A84A238" w14:textId="77777777" w:rsidR="006C67E6" w:rsidRPr="00094C88" w:rsidRDefault="006C67E6" w:rsidP="006C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6D5007C5" w14:textId="1D5F8950" w:rsidR="006C67E6" w:rsidRPr="00DD2914"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2</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0</w:t>
            </w:r>
          </w:p>
        </w:tc>
        <w:tc>
          <w:tcPr>
            <w:tcW w:w="851" w:type="dxa"/>
          </w:tcPr>
          <w:p w14:paraId="32471112" w14:textId="75237B3B" w:rsidR="006C67E6" w:rsidRPr="00DD2914"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2</w:t>
            </w:r>
          </w:p>
        </w:tc>
        <w:tc>
          <w:tcPr>
            <w:tcW w:w="850" w:type="dxa"/>
          </w:tcPr>
          <w:p w14:paraId="6B66A6CB" w14:textId="6D3B76F9" w:rsidR="006C67E6" w:rsidRPr="00DD2914"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4</w:t>
            </w:r>
          </w:p>
        </w:tc>
        <w:tc>
          <w:tcPr>
            <w:tcW w:w="851" w:type="dxa"/>
          </w:tcPr>
          <w:p w14:paraId="5C19AFFB" w14:textId="1D502811" w:rsidR="006C67E6" w:rsidRPr="00DD2914"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2</w:t>
            </w:r>
          </w:p>
        </w:tc>
        <w:tc>
          <w:tcPr>
            <w:tcW w:w="850" w:type="dxa"/>
          </w:tcPr>
          <w:p w14:paraId="6081224C" w14:textId="271DE686" w:rsidR="006C67E6" w:rsidRPr="00DD2914"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3</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0</w:t>
            </w:r>
          </w:p>
        </w:tc>
      </w:tr>
      <w:tr w:rsidR="006753E1" w:rsidRPr="00094C88" w14:paraId="044AFD88" w14:textId="77777777" w:rsidTr="00D47B98">
        <w:trPr>
          <w:jc w:val="center"/>
        </w:trPr>
        <w:tc>
          <w:tcPr>
            <w:cnfStyle w:val="001000000000" w:firstRow="0" w:lastRow="0" w:firstColumn="1" w:lastColumn="0" w:oddVBand="0" w:evenVBand="0" w:oddHBand="0" w:evenHBand="0" w:firstRowFirstColumn="0" w:firstRowLastColumn="0" w:lastRowFirstColumn="0" w:lastRowLastColumn="0"/>
            <w:tcW w:w="4046" w:type="dxa"/>
          </w:tcPr>
          <w:p w14:paraId="0923DE2A" w14:textId="77777777" w:rsidR="006753E1" w:rsidRPr="00094C88" w:rsidRDefault="006753E1" w:rsidP="006753E1">
            <w:pPr>
              <w:jc w:val="right"/>
              <w:rPr>
                <w:rFonts w:ascii="Times New Roman" w:hAnsi="Times New Roman" w:cs="Times New Roman"/>
                <w:b w:val="0"/>
                <w:snapToGrid w:val="0"/>
                <w:color w:val="auto"/>
                <w:sz w:val="20"/>
                <w:szCs w:val="20"/>
              </w:rPr>
            </w:pPr>
            <w:r w:rsidRPr="00094C88">
              <w:rPr>
                <w:rFonts w:ascii="Times New Roman" w:hAnsi="Times New Roman" w:cs="Times New Roman"/>
                <w:b w:val="0"/>
                <w:snapToGrid w:val="0"/>
                <w:color w:val="auto"/>
                <w:sz w:val="20"/>
                <w:szCs w:val="20"/>
              </w:rPr>
              <w:t>Izmaiņas</w:t>
            </w:r>
          </w:p>
        </w:tc>
        <w:tc>
          <w:tcPr>
            <w:tcW w:w="694" w:type="dxa"/>
          </w:tcPr>
          <w:p w14:paraId="400E9F6A" w14:textId="77777777" w:rsidR="006753E1" w:rsidRPr="00094C88" w:rsidRDefault="006753E1" w:rsidP="00675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tcPr>
          <w:p w14:paraId="0C067B28" w14:textId="41216E0F"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-1</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0</w:t>
            </w:r>
          </w:p>
        </w:tc>
        <w:tc>
          <w:tcPr>
            <w:tcW w:w="851" w:type="dxa"/>
          </w:tcPr>
          <w:p w14:paraId="6FAF523E" w14:textId="3A8804F3"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1</w:t>
            </w:r>
          </w:p>
        </w:tc>
        <w:tc>
          <w:tcPr>
            <w:tcW w:w="850" w:type="dxa"/>
          </w:tcPr>
          <w:p w14:paraId="33F314E0" w14:textId="0F32AD68"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0</w:t>
            </w:r>
          </w:p>
        </w:tc>
        <w:tc>
          <w:tcPr>
            <w:tcW w:w="851" w:type="dxa"/>
          </w:tcPr>
          <w:p w14:paraId="0F74B510" w14:textId="26331B11"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-0</w:t>
            </w:r>
            <w:r>
              <w:rPr>
                <w:rFonts w:ascii="Times New Roman" w:eastAsia="Arial Unicode MS" w:hAnsi="Times New Roman" w:cs="Times New Roman"/>
                <w:color w:val="auto"/>
                <w:sz w:val="20"/>
              </w:rPr>
              <w:t>,</w:t>
            </w:r>
            <w:r w:rsidRPr="00883AC4">
              <w:rPr>
                <w:rFonts w:ascii="Times New Roman" w:eastAsia="Arial Unicode MS" w:hAnsi="Times New Roman" w:cs="Times New Roman"/>
                <w:color w:val="auto"/>
                <w:sz w:val="20"/>
              </w:rPr>
              <w:t>2</w:t>
            </w:r>
          </w:p>
        </w:tc>
        <w:tc>
          <w:tcPr>
            <w:tcW w:w="850" w:type="dxa"/>
          </w:tcPr>
          <w:p w14:paraId="0B52D892" w14:textId="11A21C11"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83AC4">
              <w:rPr>
                <w:rFonts w:ascii="Times New Roman" w:eastAsia="Arial Unicode MS" w:hAnsi="Times New Roman" w:cs="Times New Roman"/>
                <w:color w:val="auto"/>
                <w:sz w:val="20"/>
              </w:rPr>
              <w:t>-</w:t>
            </w:r>
          </w:p>
        </w:tc>
      </w:tr>
      <w:tr w:rsidR="006753E1" w:rsidRPr="00094C88" w14:paraId="29C6E96B" w14:textId="77777777" w:rsidTr="00302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tcPr>
          <w:p w14:paraId="4BED0F7D" w14:textId="77777777" w:rsidR="006753E1" w:rsidRPr="00094C88" w:rsidRDefault="006753E1" w:rsidP="005D20A1">
            <w:pPr>
              <w:jc w:val="both"/>
              <w:rPr>
                <w:rFonts w:ascii="Times New Roman" w:hAnsi="Times New Roman" w:cs="Times New Roman"/>
                <w:b w:val="0"/>
                <w:color w:val="auto"/>
                <w:sz w:val="20"/>
                <w:szCs w:val="20"/>
              </w:rPr>
            </w:pPr>
            <w:r w:rsidRPr="00094C88">
              <w:rPr>
                <w:rFonts w:ascii="Times New Roman" w:hAnsi="Times New Roman" w:cs="Times New Roman"/>
                <w:color w:val="auto"/>
                <w:sz w:val="20"/>
                <w:szCs w:val="20"/>
              </w:rPr>
              <w:t>Faktiskā budžeta bilance</w:t>
            </w:r>
          </w:p>
          <w:p w14:paraId="60781A61" w14:textId="77777777" w:rsidR="006753E1" w:rsidRPr="00094C88" w:rsidRDefault="006753E1" w:rsidP="006753E1">
            <w:pPr>
              <w:rPr>
                <w:rFonts w:ascii="Times New Roman" w:hAnsi="Times New Roman" w:cs="Times New Roman"/>
                <w:snapToGrid w:val="0"/>
                <w:color w:val="auto"/>
                <w:sz w:val="20"/>
                <w:szCs w:val="20"/>
              </w:rPr>
            </w:pPr>
            <w:r w:rsidRPr="00094C88">
              <w:rPr>
                <w:rFonts w:ascii="Times New Roman" w:hAnsi="Times New Roman" w:cs="Times New Roman"/>
                <w:color w:val="auto"/>
                <w:sz w:val="20"/>
                <w:szCs w:val="20"/>
              </w:rPr>
              <w:t>(% no IKP)</w:t>
            </w:r>
          </w:p>
        </w:tc>
        <w:tc>
          <w:tcPr>
            <w:tcW w:w="694" w:type="dxa"/>
          </w:tcPr>
          <w:p w14:paraId="7A98F19F" w14:textId="77777777" w:rsidR="006753E1" w:rsidRPr="00094C88" w:rsidRDefault="006753E1" w:rsidP="006753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94C88">
              <w:rPr>
                <w:rFonts w:ascii="Times New Roman" w:hAnsi="Times New Roman" w:cs="Times New Roman"/>
                <w:color w:val="auto"/>
                <w:sz w:val="20"/>
                <w:szCs w:val="20"/>
              </w:rPr>
              <w:t>B.9</w:t>
            </w:r>
          </w:p>
        </w:tc>
        <w:tc>
          <w:tcPr>
            <w:tcW w:w="850" w:type="dxa"/>
          </w:tcPr>
          <w:p w14:paraId="587A60AA"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1" w:type="dxa"/>
          </w:tcPr>
          <w:p w14:paraId="69DB35FE"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19B3421E"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1" w:type="dxa"/>
          </w:tcPr>
          <w:p w14:paraId="0CFC4182"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p>
        </w:tc>
        <w:tc>
          <w:tcPr>
            <w:tcW w:w="850" w:type="dxa"/>
          </w:tcPr>
          <w:p w14:paraId="4469CC14"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C67E6" w:rsidRPr="00094C88" w14:paraId="12505D99" w14:textId="77777777" w:rsidTr="00D47B98">
        <w:trPr>
          <w:jc w:val="center"/>
        </w:trPr>
        <w:tc>
          <w:tcPr>
            <w:cnfStyle w:val="001000000000" w:firstRow="0" w:lastRow="0" w:firstColumn="1" w:lastColumn="0" w:oddVBand="0" w:evenVBand="0" w:oddHBand="0" w:evenHBand="0" w:firstRowFirstColumn="0" w:firstRowLastColumn="0" w:lastRowFirstColumn="0" w:lastRowLastColumn="0"/>
            <w:tcW w:w="4046" w:type="dxa"/>
          </w:tcPr>
          <w:p w14:paraId="4EF572A8" w14:textId="0D9FBB5F" w:rsidR="006C67E6" w:rsidRPr="00094C88" w:rsidRDefault="006C67E6" w:rsidP="006C67E6">
            <w:pPr>
              <w:jc w:val="right"/>
              <w:rPr>
                <w:rFonts w:ascii="Times New Roman" w:hAnsi="Times New Roman" w:cs="Times New Roman"/>
                <w:b w:val="0"/>
                <w:color w:val="auto"/>
                <w:sz w:val="20"/>
                <w:szCs w:val="20"/>
              </w:rPr>
            </w:pPr>
            <w:r w:rsidRPr="001E5D9F">
              <w:rPr>
                <w:rFonts w:ascii="Times New Roman" w:eastAsia="Times New Roman" w:hAnsi="Times New Roman" w:cs="Times New Roman"/>
                <w:b w:val="0"/>
                <w:bCs w:val="0"/>
                <w:color w:val="auto"/>
                <w:sz w:val="20"/>
                <w:szCs w:val="20"/>
              </w:rPr>
              <w:t>2016.-2019.gada Stabilitātes programma</w:t>
            </w:r>
          </w:p>
        </w:tc>
        <w:tc>
          <w:tcPr>
            <w:tcW w:w="694" w:type="dxa"/>
          </w:tcPr>
          <w:p w14:paraId="393C6721" w14:textId="77777777" w:rsidR="006C67E6" w:rsidRPr="00094C88"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tcPr>
          <w:p w14:paraId="5D4D3D7F" w14:textId="14F50E77"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-1,0</w:t>
            </w:r>
          </w:p>
        </w:tc>
        <w:tc>
          <w:tcPr>
            <w:tcW w:w="851" w:type="dxa"/>
          </w:tcPr>
          <w:p w14:paraId="773D092D" w14:textId="18389F88"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-1,0</w:t>
            </w:r>
          </w:p>
        </w:tc>
        <w:tc>
          <w:tcPr>
            <w:tcW w:w="850" w:type="dxa"/>
          </w:tcPr>
          <w:p w14:paraId="7B95ED98" w14:textId="4F4CF601"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-1,0</w:t>
            </w:r>
          </w:p>
        </w:tc>
        <w:tc>
          <w:tcPr>
            <w:tcW w:w="851" w:type="dxa"/>
          </w:tcPr>
          <w:p w14:paraId="41C8CFF0" w14:textId="568656C9"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-0,5</w:t>
            </w:r>
          </w:p>
        </w:tc>
        <w:tc>
          <w:tcPr>
            <w:tcW w:w="850" w:type="dxa"/>
          </w:tcPr>
          <w:p w14:paraId="4FDDFD6F" w14:textId="7ABC2F5D"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w:t>
            </w:r>
          </w:p>
        </w:tc>
      </w:tr>
      <w:tr w:rsidR="006C67E6" w:rsidRPr="00094C88" w14:paraId="5B2F9426" w14:textId="77777777" w:rsidTr="00D47B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tcPr>
          <w:p w14:paraId="30237AFE" w14:textId="1AE53F71" w:rsidR="006C67E6" w:rsidRPr="00094C88" w:rsidRDefault="006C67E6" w:rsidP="006C67E6">
            <w:pPr>
              <w:jc w:val="right"/>
              <w:rPr>
                <w:rFonts w:ascii="Times New Roman" w:hAnsi="Times New Roman" w:cs="Times New Roman"/>
                <w:b w:val="0"/>
                <w:color w:val="auto"/>
                <w:sz w:val="20"/>
                <w:szCs w:val="20"/>
              </w:rPr>
            </w:pPr>
            <w:r w:rsidRPr="001E5D9F">
              <w:rPr>
                <w:rFonts w:ascii="Times New Roman" w:eastAsia="Times New Roman" w:hAnsi="Times New Roman" w:cs="Times New Roman"/>
                <w:b w:val="0"/>
                <w:bCs w:val="0"/>
                <w:color w:val="auto"/>
                <w:sz w:val="20"/>
                <w:szCs w:val="20"/>
              </w:rPr>
              <w:t>2017.-2020.gada Stabilitātes programma</w:t>
            </w:r>
          </w:p>
        </w:tc>
        <w:tc>
          <w:tcPr>
            <w:tcW w:w="694" w:type="dxa"/>
          </w:tcPr>
          <w:p w14:paraId="5C3235E4" w14:textId="77777777" w:rsidR="006C67E6" w:rsidRPr="00094C88" w:rsidRDefault="006C67E6" w:rsidP="006C67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0D4A60F2" w14:textId="2071F487"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0</w:t>
            </w:r>
          </w:p>
        </w:tc>
        <w:tc>
          <w:tcPr>
            <w:tcW w:w="851" w:type="dxa"/>
          </w:tcPr>
          <w:p w14:paraId="7975D3B7" w14:textId="4EBEAEB1"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-0,8</w:t>
            </w:r>
          </w:p>
        </w:tc>
        <w:tc>
          <w:tcPr>
            <w:tcW w:w="850" w:type="dxa"/>
          </w:tcPr>
          <w:p w14:paraId="38480F56" w14:textId="0440995E"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-1,6</w:t>
            </w:r>
          </w:p>
        </w:tc>
        <w:tc>
          <w:tcPr>
            <w:tcW w:w="851" w:type="dxa"/>
          </w:tcPr>
          <w:p w14:paraId="3F8139D2" w14:textId="3D484F30"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-1,2</w:t>
            </w:r>
          </w:p>
        </w:tc>
        <w:tc>
          <w:tcPr>
            <w:tcW w:w="850" w:type="dxa"/>
          </w:tcPr>
          <w:p w14:paraId="5B94167D" w14:textId="1A12CC71"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-0,5</w:t>
            </w:r>
          </w:p>
        </w:tc>
      </w:tr>
      <w:tr w:rsidR="006753E1" w:rsidRPr="00094C88" w14:paraId="00D20520" w14:textId="77777777" w:rsidTr="00D47B98">
        <w:trPr>
          <w:jc w:val="center"/>
        </w:trPr>
        <w:tc>
          <w:tcPr>
            <w:cnfStyle w:val="001000000000" w:firstRow="0" w:lastRow="0" w:firstColumn="1" w:lastColumn="0" w:oddVBand="0" w:evenVBand="0" w:oddHBand="0" w:evenHBand="0" w:firstRowFirstColumn="0" w:firstRowLastColumn="0" w:lastRowFirstColumn="0" w:lastRowLastColumn="0"/>
            <w:tcW w:w="4046" w:type="dxa"/>
          </w:tcPr>
          <w:p w14:paraId="4B534E5F" w14:textId="77777777" w:rsidR="006753E1" w:rsidRPr="00094C88" w:rsidRDefault="006753E1" w:rsidP="006753E1">
            <w:pPr>
              <w:jc w:val="right"/>
              <w:rPr>
                <w:rFonts w:ascii="Times New Roman" w:hAnsi="Times New Roman" w:cs="Times New Roman"/>
                <w:b w:val="0"/>
                <w:snapToGrid w:val="0"/>
                <w:color w:val="auto"/>
                <w:sz w:val="20"/>
                <w:szCs w:val="20"/>
              </w:rPr>
            </w:pPr>
            <w:r w:rsidRPr="00094C88">
              <w:rPr>
                <w:rFonts w:ascii="Times New Roman" w:hAnsi="Times New Roman" w:cs="Times New Roman"/>
                <w:b w:val="0"/>
                <w:snapToGrid w:val="0"/>
                <w:color w:val="auto"/>
                <w:sz w:val="20"/>
                <w:szCs w:val="20"/>
              </w:rPr>
              <w:t>Izmaiņas</w:t>
            </w:r>
          </w:p>
        </w:tc>
        <w:tc>
          <w:tcPr>
            <w:tcW w:w="694" w:type="dxa"/>
          </w:tcPr>
          <w:p w14:paraId="55F260D0" w14:textId="77777777" w:rsidR="006753E1" w:rsidRPr="00094C88" w:rsidRDefault="006753E1" w:rsidP="006753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tcPr>
          <w:p w14:paraId="4E78DE48" w14:textId="5E39C305" w:rsidR="006753E1" w:rsidRPr="00094C88"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1,0</w:t>
            </w:r>
          </w:p>
        </w:tc>
        <w:tc>
          <w:tcPr>
            <w:tcW w:w="851" w:type="dxa"/>
          </w:tcPr>
          <w:p w14:paraId="0DF45E61" w14:textId="68FB8AF4" w:rsidR="006753E1" w:rsidRPr="00094C88"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0,2</w:t>
            </w:r>
          </w:p>
        </w:tc>
        <w:tc>
          <w:tcPr>
            <w:tcW w:w="850" w:type="dxa"/>
          </w:tcPr>
          <w:p w14:paraId="72D56A21" w14:textId="150EA150" w:rsidR="006753E1" w:rsidRPr="00094C88"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-0,6</w:t>
            </w:r>
          </w:p>
        </w:tc>
        <w:tc>
          <w:tcPr>
            <w:tcW w:w="851" w:type="dxa"/>
          </w:tcPr>
          <w:p w14:paraId="00556B5A" w14:textId="6D4F3867" w:rsidR="006753E1" w:rsidRPr="00094C88"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-0,7</w:t>
            </w:r>
          </w:p>
        </w:tc>
        <w:tc>
          <w:tcPr>
            <w:tcW w:w="850" w:type="dxa"/>
          </w:tcPr>
          <w:p w14:paraId="68041CCE" w14:textId="1333A60E" w:rsidR="006753E1" w:rsidRPr="00094C88"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rPr>
            </w:pPr>
            <w:r w:rsidRPr="00F60E83">
              <w:rPr>
                <w:rFonts w:ascii="Times New Roman" w:eastAsia="Arial Unicode MS" w:hAnsi="Times New Roman" w:cs="Times New Roman"/>
                <w:color w:val="auto"/>
                <w:sz w:val="20"/>
              </w:rPr>
              <w:t>-</w:t>
            </w:r>
          </w:p>
        </w:tc>
      </w:tr>
      <w:tr w:rsidR="006753E1" w:rsidRPr="00094C88" w14:paraId="72474E1C" w14:textId="77777777" w:rsidTr="00302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tcPr>
          <w:p w14:paraId="141B48E9" w14:textId="77777777" w:rsidR="006753E1" w:rsidRPr="00094C88" w:rsidRDefault="006753E1" w:rsidP="006753E1">
            <w:pPr>
              <w:rPr>
                <w:rFonts w:ascii="Times New Roman" w:hAnsi="Times New Roman" w:cs="Times New Roman"/>
                <w:snapToGrid w:val="0"/>
                <w:color w:val="auto"/>
                <w:sz w:val="20"/>
                <w:szCs w:val="20"/>
              </w:rPr>
            </w:pPr>
            <w:r w:rsidRPr="00094C88">
              <w:rPr>
                <w:rFonts w:ascii="Times New Roman" w:hAnsi="Times New Roman" w:cs="Times New Roman"/>
                <w:color w:val="auto"/>
                <w:sz w:val="20"/>
                <w:szCs w:val="20"/>
              </w:rPr>
              <w:t>Vispārējās valdības kopējais parāds (% no IKP)</w:t>
            </w:r>
          </w:p>
        </w:tc>
        <w:tc>
          <w:tcPr>
            <w:tcW w:w="694" w:type="dxa"/>
          </w:tcPr>
          <w:p w14:paraId="75C8D388" w14:textId="77777777" w:rsidR="006753E1" w:rsidRPr="00094C88" w:rsidRDefault="006753E1" w:rsidP="006753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3467F949"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1" w:type="dxa"/>
          </w:tcPr>
          <w:p w14:paraId="13D344E8"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2B073486"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1" w:type="dxa"/>
          </w:tcPr>
          <w:p w14:paraId="4E76D404" w14:textId="77777777" w:rsidR="006753E1" w:rsidRPr="00094C88" w:rsidRDefault="006753E1" w:rsidP="006753E1">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szCs w:val="20"/>
              </w:rPr>
            </w:pPr>
          </w:p>
        </w:tc>
        <w:tc>
          <w:tcPr>
            <w:tcW w:w="850" w:type="dxa"/>
          </w:tcPr>
          <w:p w14:paraId="3FB08767" w14:textId="77777777" w:rsidR="006753E1" w:rsidRPr="00094C88"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6C67E6" w:rsidRPr="00094C88" w14:paraId="772ED682" w14:textId="77777777" w:rsidTr="006C67E6">
        <w:trPr>
          <w:jc w:val="center"/>
        </w:trPr>
        <w:tc>
          <w:tcPr>
            <w:cnfStyle w:val="001000000000" w:firstRow="0" w:lastRow="0" w:firstColumn="1" w:lastColumn="0" w:oddVBand="0" w:evenVBand="0" w:oddHBand="0" w:evenHBand="0" w:firstRowFirstColumn="0" w:firstRowLastColumn="0" w:lastRowFirstColumn="0" w:lastRowLastColumn="0"/>
            <w:tcW w:w="4046" w:type="dxa"/>
          </w:tcPr>
          <w:p w14:paraId="348C8441" w14:textId="092DC1AA" w:rsidR="006C67E6" w:rsidRPr="00094C88" w:rsidRDefault="006C67E6" w:rsidP="006C67E6">
            <w:pPr>
              <w:jc w:val="right"/>
              <w:rPr>
                <w:rFonts w:ascii="Times New Roman" w:hAnsi="Times New Roman" w:cs="Times New Roman"/>
                <w:b w:val="0"/>
                <w:color w:val="auto"/>
                <w:sz w:val="20"/>
                <w:szCs w:val="20"/>
              </w:rPr>
            </w:pPr>
            <w:r w:rsidRPr="001E5D9F">
              <w:rPr>
                <w:rFonts w:ascii="Times New Roman" w:eastAsia="Times New Roman" w:hAnsi="Times New Roman" w:cs="Times New Roman"/>
                <w:b w:val="0"/>
                <w:bCs w:val="0"/>
                <w:color w:val="auto"/>
                <w:sz w:val="20"/>
                <w:szCs w:val="20"/>
              </w:rPr>
              <w:t>2016.-2019.gada Stabilitātes programma</w:t>
            </w:r>
          </w:p>
        </w:tc>
        <w:tc>
          <w:tcPr>
            <w:tcW w:w="694" w:type="dxa"/>
          </w:tcPr>
          <w:p w14:paraId="0DBA83AA" w14:textId="77777777" w:rsidR="006C67E6" w:rsidRPr="00094C88"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tcPr>
          <w:p w14:paraId="4759C043" w14:textId="755A62D5"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40,3</w:t>
            </w:r>
          </w:p>
        </w:tc>
        <w:tc>
          <w:tcPr>
            <w:tcW w:w="851" w:type="dxa"/>
          </w:tcPr>
          <w:p w14:paraId="5931AA52" w14:textId="278E7194"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38,3</w:t>
            </w:r>
          </w:p>
        </w:tc>
        <w:tc>
          <w:tcPr>
            <w:tcW w:w="850" w:type="dxa"/>
          </w:tcPr>
          <w:p w14:paraId="615FFFC7" w14:textId="1EA7F955"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37,5</w:t>
            </w:r>
          </w:p>
        </w:tc>
        <w:tc>
          <w:tcPr>
            <w:tcW w:w="851" w:type="dxa"/>
          </w:tcPr>
          <w:p w14:paraId="3AE45607" w14:textId="2D14FF0E" w:rsidR="006C67E6" w:rsidRPr="00094C88" w:rsidRDefault="006C67E6" w:rsidP="006C67E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38,2</w:t>
            </w:r>
          </w:p>
        </w:tc>
        <w:tc>
          <w:tcPr>
            <w:tcW w:w="850" w:type="dxa"/>
          </w:tcPr>
          <w:p w14:paraId="64C51120" w14:textId="19899960" w:rsidR="006C67E6" w:rsidRPr="00094C88" w:rsidRDefault="006C67E6" w:rsidP="006C67E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w:t>
            </w:r>
          </w:p>
        </w:tc>
      </w:tr>
      <w:tr w:rsidR="006C67E6" w:rsidRPr="00094C88" w14:paraId="1F5552A0" w14:textId="77777777" w:rsidTr="006C67E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046" w:type="dxa"/>
          </w:tcPr>
          <w:p w14:paraId="5AE829EB" w14:textId="1E0BB179" w:rsidR="006C67E6" w:rsidRPr="00094C88" w:rsidRDefault="006C67E6" w:rsidP="006C67E6">
            <w:pPr>
              <w:jc w:val="right"/>
              <w:rPr>
                <w:rFonts w:ascii="Times New Roman" w:hAnsi="Times New Roman" w:cs="Times New Roman"/>
                <w:b w:val="0"/>
                <w:color w:val="auto"/>
                <w:sz w:val="20"/>
                <w:szCs w:val="20"/>
              </w:rPr>
            </w:pPr>
            <w:r w:rsidRPr="001E5D9F">
              <w:rPr>
                <w:rFonts w:ascii="Times New Roman" w:eastAsia="Times New Roman" w:hAnsi="Times New Roman" w:cs="Times New Roman"/>
                <w:b w:val="0"/>
                <w:bCs w:val="0"/>
                <w:color w:val="auto"/>
                <w:sz w:val="20"/>
                <w:szCs w:val="20"/>
              </w:rPr>
              <w:t>2017.-2020.gada Stabilitātes programma</w:t>
            </w:r>
          </w:p>
        </w:tc>
        <w:tc>
          <w:tcPr>
            <w:tcW w:w="694" w:type="dxa"/>
          </w:tcPr>
          <w:p w14:paraId="179CFD68" w14:textId="77777777" w:rsidR="006C67E6" w:rsidRPr="00094C88" w:rsidRDefault="006C67E6" w:rsidP="006C67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tcPr>
          <w:p w14:paraId="7CB23ADF" w14:textId="4ECDB0D2" w:rsidR="006C67E6" w:rsidRPr="00094C88" w:rsidRDefault="006C67E6" w:rsidP="006C67E6">
            <w:pPr>
              <w:tabs>
                <w:tab w:val="decimal" w:pos="33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40,1</w:t>
            </w:r>
          </w:p>
        </w:tc>
        <w:tc>
          <w:tcPr>
            <w:tcW w:w="851" w:type="dxa"/>
          </w:tcPr>
          <w:p w14:paraId="5C8970C6" w14:textId="440543ED"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39,2</w:t>
            </w:r>
          </w:p>
        </w:tc>
        <w:tc>
          <w:tcPr>
            <w:tcW w:w="850" w:type="dxa"/>
          </w:tcPr>
          <w:p w14:paraId="1FB84E33" w14:textId="190BBA8F"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38,2</w:t>
            </w:r>
          </w:p>
        </w:tc>
        <w:tc>
          <w:tcPr>
            <w:tcW w:w="851" w:type="dxa"/>
          </w:tcPr>
          <w:p w14:paraId="7C9CAE13" w14:textId="7200C328"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39,4</w:t>
            </w:r>
          </w:p>
        </w:tc>
        <w:tc>
          <w:tcPr>
            <w:tcW w:w="850" w:type="dxa"/>
          </w:tcPr>
          <w:p w14:paraId="21CF0DE8" w14:textId="224BD31D" w:rsidR="006C67E6" w:rsidRPr="00094C88" w:rsidRDefault="006C67E6" w:rsidP="006C67E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40,4</w:t>
            </w:r>
          </w:p>
        </w:tc>
      </w:tr>
      <w:tr w:rsidR="006C67E6" w:rsidRPr="00094C88" w14:paraId="7939DB0C" w14:textId="77777777" w:rsidTr="006C67E6">
        <w:trPr>
          <w:jc w:val="center"/>
        </w:trPr>
        <w:tc>
          <w:tcPr>
            <w:cnfStyle w:val="001000000000" w:firstRow="0" w:lastRow="0" w:firstColumn="1" w:lastColumn="0" w:oddVBand="0" w:evenVBand="0" w:oddHBand="0" w:evenHBand="0" w:firstRowFirstColumn="0" w:firstRowLastColumn="0" w:lastRowFirstColumn="0" w:lastRowLastColumn="0"/>
            <w:tcW w:w="4046" w:type="dxa"/>
          </w:tcPr>
          <w:p w14:paraId="274F99B2" w14:textId="77777777" w:rsidR="006C67E6" w:rsidRPr="00094C88" w:rsidRDefault="006C67E6" w:rsidP="006C67E6">
            <w:pPr>
              <w:jc w:val="right"/>
              <w:rPr>
                <w:rFonts w:ascii="Times New Roman" w:hAnsi="Times New Roman" w:cs="Times New Roman"/>
                <w:b w:val="0"/>
                <w:snapToGrid w:val="0"/>
                <w:color w:val="auto"/>
                <w:sz w:val="20"/>
                <w:szCs w:val="20"/>
              </w:rPr>
            </w:pPr>
            <w:r w:rsidRPr="00094C88">
              <w:rPr>
                <w:rFonts w:ascii="Times New Roman" w:hAnsi="Times New Roman" w:cs="Times New Roman"/>
                <w:b w:val="0"/>
                <w:snapToGrid w:val="0"/>
                <w:color w:val="auto"/>
                <w:sz w:val="20"/>
                <w:szCs w:val="20"/>
              </w:rPr>
              <w:t>Izmaiņas</w:t>
            </w:r>
          </w:p>
        </w:tc>
        <w:tc>
          <w:tcPr>
            <w:tcW w:w="694" w:type="dxa"/>
          </w:tcPr>
          <w:p w14:paraId="33C805C6" w14:textId="77777777" w:rsidR="006C67E6" w:rsidRPr="00094C88" w:rsidRDefault="006C67E6" w:rsidP="006C67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tcPr>
          <w:p w14:paraId="1B925B0B" w14:textId="51EEC37F" w:rsidR="006C67E6" w:rsidRPr="00094C88" w:rsidRDefault="006C67E6" w:rsidP="006C67E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-0,2</w:t>
            </w:r>
          </w:p>
        </w:tc>
        <w:tc>
          <w:tcPr>
            <w:tcW w:w="851" w:type="dxa"/>
          </w:tcPr>
          <w:p w14:paraId="58BB6DDE" w14:textId="4FCEAF4F" w:rsidR="006C67E6" w:rsidRPr="00094C88" w:rsidRDefault="006C67E6" w:rsidP="006C67E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+0,9</w:t>
            </w:r>
          </w:p>
        </w:tc>
        <w:tc>
          <w:tcPr>
            <w:tcW w:w="850" w:type="dxa"/>
          </w:tcPr>
          <w:p w14:paraId="2972B252" w14:textId="4728512D" w:rsidR="006C67E6" w:rsidRPr="00094C88" w:rsidRDefault="006C67E6" w:rsidP="006C67E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+0,7</w:t>
            </w:r>
          </w:p>
        </w:tc>
        <w:tc>
          <w:tcPr>
            <w:tcW w:w="851" w:type="dxa"/>
          </w:tcPr>
          <w:p w14:paraId="302FB102" w14:textId="70BEFF44" w:rsidR="006C67E6" w:rsidRPr="00094C88" w:rsidRDefault="006C67E6" w:rsidP="006C67E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+1,2</w:t>
            </w:r>
          </w:p>
        </w:tc>
        <w:tc>
          <w:tcPr>
            <w:tcW w:w="850" w:type="dxa"/>
          </w:tcPr>
          <w:p w14:paraId="30A65C90" w14:textId="6A53BE53" w:rsidR="006C67E6" w:rsidRPr="00094C88" w:rsidRDefault="006C67E6" w:rsidP="006C67E6">
            <w:pPr>
              <w:tabs>
                <w:tab w:val="decimal" w:pos="33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5896">
              <w:rPr>
                <w:rFonts w:ascii="Times New Roman" w:eastAsia="Times New Roman" w:hAnsi="Times New Roman" w:cs="Times New Roman"/>
                <w:color w:val="auto"/>
                <w:sz w:val="20"/>
                <w:szCs w:val="20"/>
              </w:rPr>
              <w:t>-</w:t>
            </w:r>
          </w:p>
        </w:tc>
      </w:tr>
    </w:tbl>
    <w:p w14:paraId="52CB51B8" w14:textId="7FFA959A" w:rsidR="00527227" w:rsidRDefault="00527227" w:rsidP="00F51615">
      <w:pPr>
        <w:pStyle w:val="T"/>
        <w:ind w:left="0"/>
        <w:rPr>
          <w:rFonts w:ascii="Times New Roman" w:hAnsi="Times New Roman"/>
          <w:color w:val="000000"/>
          <w:szCs w:val="24"/>
        </w:rPr>
      </w:pPr>
    </w:p>
    <w:p w14:paraId="4B4A36CC" w14:textId="77777777" w:rsidR="006C67E6" w:rsidRDefault="006C67E6" w:rsidP="00F51615">
      <w:pPr>
        <w:pStyle w:val="T"/>
        <w:ind w:left="0"/>
        <w:rPr>
          <w:rFonts w:ascii="Times New Roman" w:hAnsi="Times New Roman"/>
          <w:color w:val="000000"/>
          <w:szCs w:val="24"/>
        </w:rPr>
      </w:pPr>
    </w:p>
    <w:p w14:paraId="6C7FF028" w14:textId="77777777" w:rsidR="00766D30" w:rsidRDefault="00766D30" w:rsidP="00F51615">
      <w:pPr>
        <w:pStyle w:val="T"/>
        <w:ind w:left="0"/>
        <w:rPr>
          <w:rFonts w:ascii="Times New Roman" w:hAnsi="Times New Roman"/>
          <w:color w:val="000000"/>
          <w:szCs w:val="24"/>
        </w:rPr>
      </w:pPr>
    </w:p>
    <w:p w14:paraId="5C8441F5" w14:textId="2B1645B3" w:rsidR="00F51615" w:rsidRDefault="00F51615" w:rsidP="00F51615">
      <w:pPr>
        <w:spacing w:after="0"/>
        <w:rPr>
          <w:rFonts w:ascii="Times New Roman" w:hAnsi="Times New Roman" w:cs="Times New Roman"/>
          <w:b/>
          <w:sz w:val="24"/>
          <w:szCs w:val="24"/>
        </w:rPr>
      </w:pPr>
      <w:r w:rsidRPr="00F51615">
        <w:rPr>
          <w:rFonts w:ascii="Times New Roman" w:hAnsi="Times New Roman" w:cs="Times New Roman"/>
          <w:b/>
          <w:szCs w:val="24"/>
        </w:rPr>
        <w:br w:type="page"/>
      </w:r>
      <w:r w:rsidR="00C81719" w:rsidRPr="00142441">
        <w:rPr>
          <w:rFonts w:ascii="Times New Roman" w:hAnsi="Times New Roman" w:cs="Times New Roman"/>
          <w:b/>
          <w:sz w:val="24"/>
          <w:szCs w:val="24"/>
        </w:rPr>
        <w:lastRenderedPageBreak/>
        <w:t>7.</w:t>
      </w:r>
      <w:r w:rsidRPr="00142441">
        <w:rPr>
          <w:rFonts w:ascii="Times New Roman" w:hAnsi="Times New Roman" w:cs="Times New Roman"/>
          <w:b/>
          <w:sz w:val="24"/>
          <w:szCs w:val="24"/>
        </w:rPr>
        <w:t>tabula. Publisko finanšu ilgtspēja</w:t>
      </w:r>
      <w:r w:rsidR="003028D0" w:rsidRPr="00142441">
        <w:rPr>
          <w:rStyle w:val="FootnoteReference"/>
          <w:rFonts w:ascii="Times New Roman" w:hAnsi="Times New Roman" w:cs="Times New Roman"/>
          <w:b/>
          <w:sz w:val="24"/>
          <w:szCs w:val="24"/>
        </w:rPr>
        <w:footnoteReference w:id="35"/>
      </w:r>
    </w:p>
    <w:tbl>
      <w:tblPr>
        <w:tblStyle w:val="GridTable6Colorful-Accent1"/>
        <w:tblW w:w="8931" w:type="dxa"/>
        <w:jc w:val="center"/>
        <w:tblLayout w:type="fixed"/>
        <w:tblLook w:val="04A0" w:firstRow="1" w:lastRow="0" w:firstColumn="1" w:lastColumn="0" w:noHBand="0" w:noVBand="1"/>
      </w:tblPr>
      <w:tblGrid>
        <w:gridCol w:w="4678"/>
        <w:gridCol w:w="691"/>
        <w:gridCol w:w="727"/>
        <w:gridCol w:w="709"/>
        <w:gridCol w:w="708"/>
        <w:gridCol w:w="709"/>
        <w:gridCol w:w="709"/>
      </w:tblGrid>
      <w:tr w:rsidR="00094C88" w:rsidRPr="00766D30" w14:paraId="78FBF155" w14:textId="77777777" w:rsidTr="002F508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2F153A54" w14:textId="77777777" w:rsidR="00094C88" w:rsidRPr="00766D30" w:rsidRDefault="00094C88" w:rsidP="002F508C">
            <w:pPr>
              <w:jc w:val="center"/>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 no IKP</w:t>
            </w:r>
          </w:p>
        </w:tc>
        <w:tc>
          <w:tcPr>
            <w:tcW w:w="691" w:type="dxa"/>
            <w:noWrap/>
            <w:vAlign w:val="center"/>
            <w:hideMark/>
          </w:tcPr>
          <w:p w14:paraId="5C6B626F" w14:textId="77777777" w:rsidR="00094C88" w:rsidRPr="00766D30" w:rsidRDefault="00094C88" w:rsidP="002F50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2013</w:t>
            </w:r>
          </w:p>
        </w:tc>
        <w:tc>
          <w:tcPr>
            <w:tcW w:w="727" w:type="dxa"/>
            <w:noWrap/>
            <w:vAlign w:val="center"/>
            <w:hideMark/>
          </w:tcPr>
          <w:p w14:paraId="1EAC25D3" w14:textId="77777777" w:rsidR="00094C88" w:rsidRPr="00766D30" w:rsidRDefault="00094C88" w:rsidP="002F50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2020</w:t>
            </w:r>
          </w:p>
        </w:tc>
        <w:tc>
          <w:tcPr>
            <w:tcW w:w="709" w:type="dxa"/>
            <w:noWrap/>
            <w:vAlign w:val="center"/>
            <w:hideMark/>
          </w:tcPr>
          <w:p w14:paraId="4D33DFE6" w14:textId="77777777" w:rsidR="00094C88" w:rsidRPr="00766D30" w:rsidRDefault="00094C88" w:rsidP="002F50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2030</w:t>
            </w:r>
          </w:p>
        </w:tc>
        <w:tc>
          <w:tcPr>
            <w:tcW w:w="708" w:type="dxa"/>
            <w:noWrap/>
            <w:vAlign w:val="center"/>
            <w:hideMark/>
          </w:tcPr>
          <w:p w14:paraId="5A2168FF" w14:textId="77777777" w:rsidR="00094C88" w:rsidRPr="00766D30" w:rsidRDefault="00094C88" w:rsidP="002F50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2040</w:t>
            </w:r>
          </w:p>
        </w:tc>
        <w:tc>
          <w:tcPr>
            <w:tcW w:w="709" w:type="dxa"/>
            <w:noWrap/>
            <w:vAlign w:val="center"/>
            <w:hideMark/>
          </w:tcPr>
          <w:p w14:paraId="4EC5F4CC" w14:textId="77777777" w:rsidR="00094C88" w:rsidRPr="00766D30" w:rsidRDefault="00094C88" w:rsidP="002F50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2050</w:t>
            </w:r>
          </w:p>
        </w:tc>
        <w:tc>
          <w:tcPr>
            <w:tcW w:w="709" w:type="dxa"/>
            <w:noWrap/>
            <w:vAlign w:val="center"/>
            <w:hideMark/>
          </w:tcPr>
          <w:p w14:paraId="1B4D211C" w14:textId="77777777" w:rsidR="00094C88" w:rsidRPr="00766D30" w:rsidRDefault="00094C88" w:rsidP="002F50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2060</w:t>
            </w:r>
          </w:p>
        </w:tc>
      </w:tr>
      <w:tr w:rsidR="00766D30" w:rsidRPr="00766D30" w14:paraId="5716127D" w14:textId="77777777" w:rsidTr="00766D3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746632A0"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Ar vecumu saistītie vispārējās valdības budžeta izdevumi</w:t>
            </w:r>
          </w:p>
        </w:tc>
        <w:tc>
          <w:tcPr>
            <w:tcW w:w="691" w:type="dxa"/>
            <w:noWrap/>
            <w:vAlign w:val="center"/>
          </w:tcPr>
          <w:p w14:paraId="0FB121EF" w14:textId="64335C98"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766D30">
              <w:rPr>
                <w:rFonts w:ascii="Times New Roman" w:eastAsia="Times New Roman" w:hAnsi="Times New Roman" w:cs="Times New Roman"/>
                <w:b/>
                <w:bCs/>
                <w:color w:val="000000"/>
                <w:sz w:val="20"/>
                <w:szCs w:val="20"/>
                <w:lang w:eastAsia="lv-LV"/>
              </w:rPr>
              <w:t>16</w:t>
            </w:r>
            <w:r>
              <w:rPr>
                <w:rFonts w:ascii="Times New Roman" w:eastAsia="Times New Roman" w:hAnsi="Times New Roman" w:cs="Times New Roman"/>
                <w:b/>
                <w:bCs/>
                <w:color w:val="000000"/>
                <w:sz w:val="20"/>
                <w:szCs w:val="20"/>
                <w:lang w:eastAsia="lv-LV"/>
              </w:rPr>
              <w:t>,</w:t>
            </w:r>
            <w:r w:rsidRPr="00766D30">
              <w:rPr>
                <w:rFonts w:ascii="Times New Roman" w:eastAsia="Times New Roman" w:hAnsi="Times New Roman" w:cs="Times New Roman"/>
                <w:b/>
                <w:bCs/>
                <w:color w:val="000000"/>
                <w:sz w:val="20"/>
                <w:szCs w:val="20"/>
                <w:lang w:eastAsia="lv-LV"/>
              </w:rPr>
              <w:t>2</w:t>
            </w:r>
          </w:p>
        </w:tc>
        <w:tc>
          <w:tcPr>
            <w:tcW w:w="727" w:type="dxa"/>
            <w:noWrap/>
            <w:vAlign w:val="center"/>
          </w:tcPr>
          <w:p w14:paraId="196F8067" w14:textId="44A5C7F1"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766D30">
              <w:rPr>
                <w:rFonts w:ascii="Times New Roman" w:eastAsia="Times New Roman" w:hAnsi="Times New Roman" w:cs="Times New Roman"/>
                <w:b/>
                <w:bCs/>
                <w:color w:val="000000"/>
                <w:sz w:val="20"/>
                <w:szCs w:val="20"/>
                <w:lang w:eastAsia="lv-LV"/>
              </w:rPr>
              <w:t>14</w:t>
            </w:r>
            <w:r>
              <w:rPr>
                <w:rFonts w:ascii="Times New Roman" w:eastAsia="Times New Roman" w:hAnsi="Times New Roman" w:cs="Times New Roman"/>
                <w:b/>
                <w:bCs/>
                <w:color w:val="000000"/>
                <w:sz w:val="20"/>
                <w:szCs w:val="20"/>
                <w:lang w:eastAsia="lv-LV"/>
              </w:rPr>
              <w:t>,</w:t>
            </w:r>
            <w:r w:rsidRPr="00766D30">
              <w:rPr>
                <w:rFonts w:ascii="Times New Roman" w:eastAsia="Times New Roman" w:hAnsi="Times New Roman" w:cs="Times New Roman"/>
                <w:b/>
                <w:bCs/>
                <w:color w:val="000000"/>
                <w:sz w:val="20"/>
                <w:szCs w:val="20"/>
                <w:lang w:eastAsia="lv-LV"/>
              </w:rPr>
              <w:t>6</w:t>
            </w:r>
          </w:p>
        </w:tc>
        <w:tc>
          <w:tcPr>
            <w:tcW w:w="709" w:type="dxa"/>
            <w:noWrap/>
            <w:vAlign w:val="center"/>
          </w:tcPr>
          <w:p w14:paraId="659DBA32" w14:textId="7F837158"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766D30">
              <w:rPr>
                <w:rFonts w:ascii="Times New Roman" w:eastAsia="Times New Roman" w:hAnsi="Times New Roman" w:cs="Times New Roman"/>
                <w:b/>
                <w:bCs/>
                <w:color w:val="000000"/>
                <w:sz w:val="20"/>
                <w:szCs w:val="20"/>
                <w:lang w:eastAsia="lv-LV"/>
              </w:rPr>
              <w:t>14</w:t>
            </w:r>
            <w:r>
              <w:rPr>
                <w:rFonts w:ascii="Times New Roman" w:eastAsia="Times New Roman" w:hAnsi="Times New Roman" w:cs="Times New Roman"/>
                <w:b/>
                <w:bCs/>
                <w:color w:val="000000"/>
                <w:sz w:val="20"/>
                <w:szCs w:val="20"/>
                <w:lang w:eastAsia="lv-LV"/>
              </w:rPr>
              <w:t>,</w:t>
            </w:r>
            <w:r w:rsidRPr="00766D30">
              <w:rPr>
                <w:rFonts w:ascii="Times New Roman" w:eastAsia="Times New Roman" w:hAnsi="Times New Roman" w:cs="Times New Roman"/>
                <w:b/>
                <w:bCs/>
                <w:color w:val="000000"/>
                <w:sz w:val="20"/>
                <w:szCs w:val="20"/>
                <w:lang w:eastAsia="lv-LV"/>
              </w:rPr>
              <w:t>7</w:t>
            </w:r>
          </w:p>
        </w:tc>
        <w:tc>
          <w:tcPr>
            <w:tcW w:w="708" w:type="dxa"/>
            <w:noWrap/>
            <w:vAlign w:val="center"/>
          </w:tcPr>
          <w:p w14:paraId="6EFCF4A4" w14:textId="1C6A95B4"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766D30">
              <w:rPr>
                <w:rFonts w:ascii="Times New Roman" w:eastAsia="Times New Roman" w:hAnsi="Times New Roman" w:cs="Times New Roman"/>
                <w:b/>
                <w:bCs/>
                <w:color w:val="000000"/>
                <w:sz w:val="20"/>
                <w:szCs w:val="20"/>
                <w:lang w:eastAsia="lv-LV"/>
              </w:rPr>
              <w:t>14</w:t>
            </w:r>
            <w:r>
              <w:rPr>
                <w:rFonts w:ascii="Times New Roman" w:eastAsia="Times New Roman" w:hAnsi="Times New Roman" w:cs="Times New Roman"/>
                <w:b/>
                <w:bCs/>
                <w:color w:val="000000"/>
                <w:sz w:val="20"/>
                <w:szCs w:val="20"/>
                <w:lang w:eastAsia="lv-LV"/>
              </w:rPr>
              <w:t>,</w:t>
            </w:r>
            <w:r w:rsidRPr="00766D30">
              <w:rPr>
                <w:rFonts w:ascii="Times New Roman" w:eastAsia="Times New Roman" w:hAnsi="Times New Roman" w:cs="Times New Roman"/>
                <w:b/>
                <w:bCs/>
                <w:color w:val="000000"/>
                <w:sz w:val="20"/>
                <w:szCs w:val="20"/>
                <w:lang w:eastAsia="lv-LV"/>
              </w:rPr>
              <w:t>5</w:t>
            </w:r>
          </w:p>
        </w:tc>
        <w:tc>
          <w:tcPr>
            <w:tcW w:w="709" w:type="dxa"/>
            <w:noWrap/>
            <w:vAlign w:val="center"/>
          </w:tcPr>
          <w:p w14:paraId="794227AB" w14:textId="6B51EE05"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766D30">
              <w:rPr>
                <w:rFonts w:ascii="Times New Roman" w:eastAsia="Times New Roman" w:hAnsi="Times New Roman" w:cs="Times New Roman"/>
                <w:b/>
                <w:bCs/>
                <w:color w:val="000000"/>
                <w:sz w:val="20"/>
                <w:szCs w:val="20"/>
                <w:lang w:eastAsia="lv-LV"/>
              </w:rPr>
              <w:t>14</w:t>
            </w:r>
            <w:r>
              <w:rPr>
                <w:rFonts w:ascii="Times New Roman" w:eastAsia="Times New Roman" w:hAnsi="Times New Roman" w:cs="Times New Roman"/>
                <w:b/>
                <w:bCs/>
                <w:color w:val="000000"/>
                <w:sz w:val="20"/>
                <w:szCs w:val="20"/>
                <w:lang w:eastAsia="lv-LV"/>
              </w:rPr>
              <w:t>,</w:t>
            </w:r>
            <w:r w:rsidRPr="00766D30">
              <w:rPr>
                <w:rFonts w:ascii="Times New Roman" w:eastAsia="Times New Roman" w:hAnsi="Times New Roman" w:cs="Times New Roman"/>
                <w:b/>
                <w:bCs/>
                <w:color w:val="000000"/>
                <w:sz w:val="20"/>
                <w:szCs w:val="20"/>
                <w:lang w:eastAsia="lv-LV"/>
              </w:rPr>
              <w:t>7</w:t>
            </w:r>
          </w:p>
        </w:tc>
        <w:tc>
          <w:tcPr>
            <w:tcW w:w="709" w:type="dxa"/>
            <w:noWrap/>
            <w:vAlign w:val="center"/>
          </w:tcPr>
          <w:p w14:paraId="79F8C121" w14:textId="2DFB042B"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eastAsia="lv-LV"/>
              </w:rPr>
            </w:pPr>
            <w:r w:rsidRPr="00766D30">
              <w:rPr>
                <w:rFonts w:ascii="Times New Roman" w:eastAsia="Times New Roman" w:hAnsi="Times New Roman" w:cs="Times New Roman"/>
                <w:b/>
                <w:bCs/>
                <w:color w:val="000000"/>
                <w:sz w:val="20"/>
                <w:szCs w:val="20"/>
                <w:lang w:eastAsia="lv-LV"/>
              </w:rPr>
              <w:t>14</w:t>
            </w:r>
            <w:r>
              <w:rPr>
                <w:rFonts w:ascii="Times New Roman" w:eastAsia="Times New Roman" w:hAnsi="Times New Roman" w:cs="Times New Roman"/>
                <w:b/>
                <w:bCs/>
                <w:color w:val="000000"/>
                <w:sz w:val="20"/>
                <w:szCs w:val="20"/>
                <w:lang w:eastAsia="lv-LV"/>
              </w:rPr>
              <w:t>,</w:t>
            </w:r>
            <w:r w:rsidRPr="00766D30">
              <w:rPr>
                <w:rFonts w:ascii="Times New Roman" w:eastAsia="Times New Roman" w:hAnsi="Times New Roman" w:cs="Times New Roman"/>
                <w:b/>
                <w:bCs/>
                <w:color w:val="000000"/>
                <w:sz w:val="20"/>
                <w:szCs w:val="20"/>
                <w:lang w:eastAsia="lv-LV"/>
              </w:rPr>
              <w:t>5</w:t>
            </w:r>
          </w:p>
        </w:tc>
      </w:tr>
      <w:tr w:rsidR="00766D30" w:rsidRPr="00766D30" w14:paraId="01D19617" w14:textId="77777777" w:rsidTr="00766D30">
        <w:trPr>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04D016DC"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Pensiju izdevumi (valsts pensijām)</w:t>
            </w:r>
          </w:p>
        </w:tc>
        <w:tc>
          <w:tcPr>
            <w:tcW w:w="691" w:type="dxa"/>
            <w:noWrap/>
            <w:vAlign w:val="center"/>
          </w:tcPr>
          <w:p w14:paraId="3E09BA68" w14:textId="77C59E41"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27" w:type="dxa"/>
            <w:noWrap/>
            <w:vAlign w:val="center"/>
          </w:tcPr>
          <w:p w14:paraId="1641025F" w14:textId="2CB186D5"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9" w:type="dxa"/>
            <w:noWrap/>
            <w:vAlign w:val="center"/>
          </w:tcPr>
          <w:p w14:paraId="5704C124" w14:textId="71386215"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c>
          <w:tcPr>
            <w:tcW w:w="708" w:type="dxa"/>
            <w:noWrap/>
            <w:vAlign w:val="center"/>
          </w:tcPr>
          <w:p w14:paraId="6C72589E" w14:textId="0E82A5FA"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c>
          <w:tcPr>
            <w:tcW w:w="709" w:type="dxa"/>
            <w:noWrap/>
            <w:vAlign w:val="center"/>
          </w:tcPr>
          <w:p w14:paraId="79BE9DBB" w14:textId="015532C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09" w:type="dxa"/>
            <w:noWrap/>
            <w:vAlign w:val="center"/>
          </w:tcPr>
          <w:p w14:paraId="20B60459" w14:textId="5D7D02F6"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r>
      <w:tr w:rsidR="00766D30" w:rsidRPr="00766D30" w14:paraId="4B1D9E62" w14:textId="77777777" w:rsidTr="00766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607795F8" w14:textId="59BE64A1" w:rsidR="00766D30" w:rsidRPr="00766D30" w:rsidRDefault="00766D30" w:rsidP="00766D30">
            <w:pPr>
              <w:ind w:firstLineChars="100" w:firstLine="200"/>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 xml:space="preserve"> Sociālās apdrošināšanas pensijas</w:t>
            </w:r>
          </w:p>
        </w:tc>
        <w:tc>
          <w:tcPr>
            <w:tcW w:w="691" w:type="dxa"/>
            <w:noWrap/>
            <w:vAlign w:val="center"/>
          </w:tcPr>
          <w:p w14:paraId="66C12BFA" w14:textId="09684AE6"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27" w:type="dxa"/>
            <w:noWrap/>
            <w:vAlign w:val="center"/>
          </w:tcPr>
          <w:p w14:paraId="1BC10158" w14:textId="2EE7D96A"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9" w:type="dxa"/>
            <w:noWrap/>
            <w:vAlign w:val="center"/>
          </w:tcPr>
          <w:p w14:paraId="565D598B" w14:textId="7C511649"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c>
          <w:tcPr>
            <w:tcW w:w="708" w:type="dxa"/>
            <w:noWrap/>
            <w:vAlign w:val="center"/>
          </w:tcPr>
          <w:p w14:paraId="56411BC3" w14:textId="48AB69A9"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c>
          <w:tcPr>
            <w:tcW w:w="709" w:type="dxa"/>
            <w:noWrap/>
            <w:vAlign w:val="center"/>
          </w:tcPr>
          <w:p w14:paraId="1AD2E1C2" w14:textId="13E80F22"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9" w:type="dxa"/>
            <w:noWrap/>
            <w:vAlign w:val="center"/>
          </w:tcPr>
          <w:p w14:paraId="272B81C1" w14:textId="2AB5CBAE"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r>
      <w:tr w:rsidR="00766D30" w:rsidRPr="00766D30" w14:paraId="1875FE9E" w14:textId="77777777" w:rsidTr="00766D30">
        <w:trPr>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4A51E433" w14:textId="4915CA3B" w:rsidR="00766D30" w:rsidRPr="00766D30" w:rsidRDefault="00766D30" w:rsidP="00766D30">
            <w:pPr>
              <w:ind w:firstLineChars="200" w:firstLine="400"/>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 xml:space="preserve"> Vecuma un priekšlaicīgās pensijas</w:t>
            </w:r>
          </w:p>
        </w:tc>
        <w:tc>
          <w:tcPr>
            <w:tcW w:w="691" w:type="dxa"/>
            <w:noWrap/>
            <w:vAlign w:val="center"/>
          </w:tcPr>
          <w:p w14:paraId="42AC671F" w14:textId="64CDA5CB"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27" w:type="dxa"/>
            <w:noWrap/>
            <w:vAlign w:val="center"/>
          </w:tcPr>
          <w:p w14:paraId="6AFCEDFF" w14:textId="108316E6"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09" w:type="dxa"/>
            <w:noWrap/>
            <w:vAlign w:val="center"/>
          </w:tcPr>
          <w:p w14:paraId="04433265" w14:textId="1079B019"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8" w:type="dxa"/>
            <w:noWrap/>
            <w:vAlign w:val="center"/>
          </w:tcPr>
          <w:p w14:paraId="20F10FC1" w14:textId="65C0F4BB"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9" w:type="dxa"/>
            <w:noWrap/>
            <w:vAlign w:val="center"/>
          </w:tcPr>
          <w:p w14:paraId="5AF62864" w14:textId="4DC2FE2A"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9" w:type="dxa"/>
            <w:noWrap/>
            <w:vAlign w:val="center"/>
          </w:tcPr>
          <w:p w14:paraId="307876E5" w14:textId="73B625BD"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r>
      <w:tr w:rsidR="00766D30" w:rsidRPr="00766D30" w14:paraId="3C1EB2D7" w14:textId="77777777" w:rsidTr="00766D3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01B5BB8F" w14:textId="13E9BD4E" w:rsidR="00766D30" w:rsidRPr="00766D30" w:rsidRDefault="00766D30" w:rsidP="00766D30">
            <w:pPr>
              <w:ind w:firstLineChars="200" w:firstLine="400"/>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 xml:space="preserve">  Citas pensijas</w:t>
            </w:r>
            <w:r w:rsidRPr="00766D30">
              <w:rPr>
                <w:rFonts w:ascii="Times New Roman" w:eastAsia="Times New Roman" w:hAnsi="Times New Roman" w:cs="Times New Roman"/>
                <w:b w:val="0"/>
                <w:color w:val="auto"/>
                <w:sz w:val="20"/>
                <w:szCs w:val="20"/>
                <w:lang w:eastAsia="lv-LV"/>
              </w:rPr>
              <w:br/>
              <w:t xml:space="preserve">  (t.sk. invaliditātes, apgādnieka zaudējuma)</w:t>
            </w:r>
          </w:p>
        </w:tc>
        <w:tc>
          <w:tcPr>
            <w:tcW w:w="691" w:type="dxa"/>
            <w:noWrap/>
            <w:vAlign w:val="center"/>
          </w:tcPr>
          <w:p w14:paraId="33E90D5B" w14:textId="2CCF4615"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27" w:type="dxa"/>
            <w:noWrap/>
            <w:vAlign w:val="center"/>
          </w:tcPr>
          <w:p w14:paraId="0EB21C94" w14:textId="20AD3DDB"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9" w:type="dxa"/>
            <w:noWrap/>
            <w:vAlign w:val="center"/>
          </w:tcPr>
          <w:p w14:paraId="61FF0CF1" w14:textId="0B5040AB"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8" w:type="dxa"/>
            <w:noWrap/>
            <w:vAlign w:val="center"/>
          </w:tcPr>
          <w:p w14:paraId="10A055B7" w14:textId="7674EFA3"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c>
          <w:tcPr>
            <w:tcW w:w="709" w:type="dxa"/>
            <w:noWrap/>
            <w:vAlign w:val="center"/>
          </w:tcPr>
          <w:p w14:paraId="720510FD" w14:textId="47E5C686"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c>
          <w:tcPr>
            <w:tcW w:w="709" w:type="dxa"/>
            <w:noWrap/>
            <w:vAlign w:val="center"/>
          </w:tcPr>
          <w:p w14:paraId="4769AD00" w14:textId="344D2AB8"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r>
      <w:tr w:rsidR="00766D30" w:rsidRPr="00766D30" w14:paraId="3E64C6FD" w14:textId="77777777" w:rsidTr="00766D30">
        <w:trPr>
          <w:trHeight w:val="645"/>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00BFB3C8" w14:textId="5B363EED" w:rsidR="00766D30" w:rsidRPr="00766D30" w:rsidRDefault="00766D30" w:rsidP="00766D30">
            <w:pPr>
              <w:ind w:firstLineChars="100" w:firstLine="200"/>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 xml:space="preserve"> Ne-sociālās apdrošināšanas pensijas</w:t>
            </w:r>
            <w:r w:rsidRPr="00766D30">
              <w:rPr>
                <w:rFonts w:ascii="Times New Roman" w:eastAsia="Times New Roman" w:hAnsi="Times New Roman" w:cs="Times New Roman"/>
                <w:b w:val="0"/>
                <w:color w:val="auto"/>
                <w:sz w:val="20"/>
                <w:szCs w:val="20"/>
                <w:lang w:eastAsia="lv-LV"/>
              </w:rPr>
              <w:br/>
              <w:t xml:space="preserve"> (iesk</w:t>
            </w:r>
            <w:r>
              <w:rPr>
                <w:rFonts w:ascii="Times New Roman" w:eastAsia="Times New Roman" w:hAnsi="Times New Roman" w:cs="Times New Roman"/>
                <w:b w:val="0"/>
                <w:color w:val="auto"/>
                <w:sz w:val="20"/>
                <w:szCs w:val="20"/>
                <w:lang w:eastAsia="lv-LV"/>
              </w:rPr>
              <w:t>.</w:t>
            </w:r>
            <w:r w:rsidRPr="00766D30">
              <w:rPr>
                <w:rFonts w:ascii="Times New Roman" w:eastAsia="Times New Roman" w:hAnsi="Times New Roman" w:cs="Times New Roman"/>
                <w:b w:val="0"/>
                <w:color w:val="auto"/>
                <w:sz w:val="20"/>
                <w:szCs w:val="20"/>
                <w:lang w:eastAsia="lv-LV"/>
              </w:rPr>
              <w:t xml:space="preserve"> minimālās pensijas un minimālā ienākuma nodrošināšanu)</w:t>
            </w:r>
          </w:p>
        </w:tc>
        <w:tc>
          <w:tcPr>
            <w:tcW w:w="691" w:type="dxa"/>
            <w:noWrap/>
            <w:vAlign w:val="center"/>
          </w:tcPr>
          <w:p w14:paraId="5560B2AE" w14:textId="37938882"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27" w:type="dxa"/>
            <w:noWrap/>
            <w:vAlign w:val="center"/>
          </w:tcPr>
          <w:p w14:paraId="79B3B1CC" w14:textId="6D3910F7"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9" w:type="dxa"/>
            <w:noWrap/>
            <w:vAlign w:val="center"/>
          </w:tcPr>
          <w:p w14:paraId="7DB8DCB0" w14:textId="5A7C51E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08" w:type="dxa"/>
            <w:noWrap/>
            <w:vAlign w:val="center"/>
          </w:tcPr>
          <w:p w14:paraId="37F73643" w14:textId="5286C1B7"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09" w:type="dxa"/>
            <w:noWrap/>
            <w:vAlign w:val="center"/>
          </w:tcPr>
          <w:p w14:paraId="21E97897" w14:textId="48FE7C7B"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09" w:type="dxa"/>
            <w:noWrap/>
            <w:vAlign w:val="center"/>
          </w:tcPr>
          <w:p w14:paraId="14C400F0" w14:textId="2033D02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r>
      <w:tr w:rsidR="00766D30" w:rsidRPr="00766D30" w14:paraId="7F9ED910" w14:textId="77777777" w:rsidTr="00766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3B329C8C"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Veselības aprūpes izdevumi</w:t>
            </w:r>
          </w:p>
        </w:tc>
        <w:tc>
          <w:tcPr>
            <w:tcW w:w="691" w:type="dxa"/>
            <w:noWrap/>
            <w:vAlign w:val="center"/>
          </w:tcPr>
          <w:p w14:paraId="1FAC6906" w14:textId="2F2B3281"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3</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27" w:type="dxa"/>
            <w:noWrap/>
            <w:vAlign w:val="center"/>
          </w:tcPr>
          <w:p w14:paraId="3445CD91" w14:textId="6EC3C2E5"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09" w:type="dxa"/>
            <w:noWrap/>
            <w:vAlign w:val="center"/>
          </w:tcPr>
          <w:p w14:paraId="74EC0AF7" w14:textId="0868E593"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08" w:type="dxa"/>
            <w:noWrap/>
            <w:vAlign w:val="center"/>
          </w:tcPr>
          <w:p w14:paraId="1E6D9706" w14:textId="1363E3BA"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c>
          <w:tcPr>
            <w:tcW w:w="709" w:type="dxa"/>
            <w:noWrap/>
            <w:vAlign w:val="center"/>
          </w:tcPr>
          <w:p w14:paraId="6D478D3B" w14:textId="581A13E3"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c>
          <w:tcPr>
            <w:tcW w:w="709" w:type="dxa"/>
            <w:noWrap/>
            <w:vAlign w:val="center"/>
          </w:tcPr>
          <w:p w14:paraId="6D01F848" w14:textId="0363183F"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r>
      <w:tr w:rsidR="00766D30" w:rsidRPr="00766D30" w14:paraId="0F15DE6F" w14:textId="77777777" w:rsidTr="00766D30">
        <w:trPr>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0BFA4535"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Ilglaicīgās aprūpes izdevumi</w:t>
            </w:r>
          </w:p>
        </w:tc>
        <w:tc>
          <w:tcPr>
            <w:tcW w:w="691" w:type="dxa"/>
            <w:noWrap/>
            <w:vAlign w:val="center"/>
          </w:tcPr>
          <w:p w14:paraId="1B3DC89D" w14:textId="36DE408E"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27" w:type="dxa"/>
            <w:noWrap/>
            <w:vAlign w:val="center"/>
          </w:tcPr>
          <w:p w14:paraId="2C45F804" w14:textId="7FF35899"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9" w:type="dxa"/>
            <w:noWrap/>
            <w:vAlign w:val="center"/>
          </w:tcPr>
          <w:p w14:paraId="13488826" w14:textId="035F2DDC"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8" w:type="dxa"/>
            <w:noWrap/>
            <w:vAlign w:val="center"/>
          </w:tcPr>
          <w:p w14:paraId="609BD359" w14:textId="68F3A50D"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9" w:type="dxa"/>
            <w:noWrap/>
            <w:vAlign w:val="center"/>
          </w:tcPr>
          <w:p w14:paraId="5507EA5A" w14:textId="18903FB0"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2BB6638D" w14:textId="5DF4D47F"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r>
      <w:tr w:rsidR="00766D30" w:rsidRPr="00766D30" w14:paraId="24D6E011" w14:textId="77777777" w:rsidTr="00766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5503035E"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Izglītības izdevumi</w:t>
            </w:r>
          </w:p>
        </w:tc>
        <w:tc>
          <w:tcPr>
            <w:tcW w:w="691" w:type="dxa"/>
            <w:noWrap/>
            <w:vAlign w:val="center"/>
          </w:tcPr>
          <w:p w14:paraId="6FA50C14" w14:textId="505613FF"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3</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27" w:type="dxa"/>
            <w:noWrap/>
            <w:vAlign w:val="center"/>
          </w:tcPr>
          <w:p w14:paraId="29CD60CA" w14:textId="7726D135"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3</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4706F33C" w14:textId="6B17CEDC"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08" w:type="dxa"/>
            <w:noWrap/>
            <w:vAlign w:val="center"/>
          </w:tcPr>
          <w:p w14:paraId="70AE1412" w14:textId="031DCD74"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3</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6144D71F" w14:textId="5AD2E0AF"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9" w:type="dxa"/>
            <w:noWrap/>
            <w:vAlign w:val="center"/>
          </w:tcPr>
          <w:p w14:paraId="28FD9F59" w14:textId="4ACF6F91"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r>
      <w:tr w:rsidR="00766D30" w:rsidRPr="00766D30" w14:paraId="1029ECA7" w14:textId="77777777" w:rsidTr="00766D30">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625EB1A2"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Izdevumi bezdarbnieku pabalstiem</w:t>
            </w:r>
          </w:p>
        </w:tc>
        <w:tc>
          <w:tcPr>
            <w:tcW w:w="691" w:type="dxa"/>
            <w:noWrap/>
            <w:vAlign w:val="center"/>
          </w:tcPr>
          <w:p w14:paraId="65D17C4D" w14:textId="78B284C6"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27" w:type="dxa"/>
            <w:noWrap/>
            <w:vAlign w:val="center"/>
          </w:tcPr>
          <w:p w14:paraId="309A77C1" w14:textId="25DB77AB"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9" w:type="dxa"/>
            <w:noWrap/>
            <w:vAlign w:val="center"/>
          </w:tcPr>
          <w:p w14:paraId="30F10287" w14:textId="2A9B39BA"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08" w:type="dxa"/>
            <w:noWrap/>
            <w:vAlign w:val="center"/>
          </w:tcPr>
          <w:p w14:paraId="28FABF99" w14:textId="50BEDA54"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9" w:type="dxa"/>
            <w:noWrap/>
            <w:vAlign w:val="center"/>
          </w:tcPr>
          <w:p w14:paraId="36952028" w14:textId="0A0676C6"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9" w:type="dxa"/>
            <w:noWrap/>
            <w:vAlign w:val="center"/>
          </w:tcPr>
          <w:p w14:paraId="11FF74A1" w14:textId="6AE094A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r>
      <w:tr w:rsidR="00766D30" w:rsidRPr="00766D30" w14:paraId="2F01FD2F" w14:textId="77777777" w:rsidTr="00766D3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336883EE"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Sociālās apdrošināšanas iemaksas valsts pensiju speciālajā budžetā</w:t>
            </w:r>
          </w:p>
        </w:tc>
        <w:tc>
          <w:tcPr>
            <w:tcW w:w="691" w:type="dxa"/>
            <w:noWrap/>
            <w:vAlign w:val="center"/>
          </w:tcPr>
          <w:p w14:paraId="4B9A2351" w14:textId="51389968"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27" w:type="dxa"/>
            <w:noWrap/>
            <w:vAlign w:val="center"/>
          </w:tcPr>
          <w:p w14:paraId="7349BCCE" w14:textId="66102BEA"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9" w:type="dxa"/>
            <w:noWrap/>
            <w:vAlign w:val="center"/>
          </w:tcPr>
          <w:p w14:paraId="6EDD17A1" w14:textId="6EA1B55D"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08" w:type="dxa"/>
            <w:noWrap/>
            <w:vAlign w:val="center"/>
          </w:tcPr>
          <w:p w14:paraId="32E071CD" w14:textId="0F993D98"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9" w:type="dxa"/>
            <w:noWrap/>
            <w:vAlign w:val="center"/>
          </w:tcPr>
          <w:p w14:paraId="677A981E" w14:textId="66BB5944"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09" w:type="dxa"/>
            <w:noWrap/>
            <w:vAlign w:val="center"/>
          </w:tcPr>
          <w:p w14:paraId="652A9E26" w14:textId="636F736F"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r>
      <w:tr w:rsidR="00766D30" w:rsidRPr="00766D30" w14:paraId="0738CB97" w14:textId="77777777" w:rsidTr="002F508C">
        <w:trPr>
          <w:trHeight w:val="315"/>
          <w:jc w:val="center"/>
        </w:trPr>
        <w:tc>
          <w:tcPr>
            <w:cnfStyle w:val="001000000000" w:firstRow="0" w:lastRow="0" w:firstColumn="1" w:lastColumn="0" w:oddVBand="0" w:evenVBand="0" w:oddHBand="0" w:evenHBand="0" w:firstRowFirstColumn="0" w:firstRowLastColumn="0" w:lastRowFirstColumn="0" w:lastRowLastColumn="0"/>
            <w:tcW w:w="8931" w:type="dxa"/>
            <w:gridSpan w:val="7"/>
            <w:vAlign w:val="center"/>
            <w:hideMark/>
          </w:tcPr>
          <w:p w14:paraId="7A5AC4B2" w14:textId="1FF345CE" w:rsidR="00766D30" w:rsidRPr="00766D30" w:rsidRDefault="00766D30" w:rsidP="00766D30">
            <w:pPr>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Sistēmiskas pensiju reformas</w:t>
            </w:r>
          </w:p>
        </w:tc>
      </w:tr>
      <w:tr w:rsidR="00766D30" w:rsidRPr="00766D30" w14:paraId="3800A846" w14:textId="77777777" w:rsidTr="00766D3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28E71B20"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Sociālās apdrošināšanas iemaksas valsts fondēto pensiju shēmā</w:t>
            </w:r>
          </w:p>
        </w:tc>
        <w:tc>
          <w:tcPr>
            <w:tcW w:w="691" w:type="dxa"/>
            <w:noWrap/>
            <w:vAlign w:val="center"/>
          </w:tcPr>
          <w:p w14:paraId="4508681A" w14:textId="79F2A1FF"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27" w:type="dxa"/>
            <w:noWrap/>
            <w:vAlign w:val="center"/>
          </w:tcPr>
          <w:p w14:paraId="6E8E803D" w14:textId="6722E25A"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9" w:type="dxa"/>
            <w:noWrap/>
            <w:vAlign w:val="center"/>
          </w:tcPr>
          <w:p w14:paraId="6BDA9958" w14:textId="1E5D2BA7"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8" w:type="dxa"/>
            <w:noWrap/>
            <w:vAlign w:val="center"/>
          </w:tcPr>
          <w:p w14:paraId="3C39C878" w14:textId="3D079F64"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9" w:type="dxa"/>
            <w:noWrap/>
            <w:vAlign w:val="center"/>
          </w:tcPr>
          <w:p w14:paraId="0FCC750B" w14:textId="762F45D2"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9" w:type="dxa"/>
            <w:noWrap/>
            <w:vAlign w:val="center"/>
          </w:tcPr>
          <w:p w14:paraId="31B2EB7B" w14:textId="1F2ACC51"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r>
      <w:tr w:rsidR="00766D30" w:rsidRPr="00766D30" w14:paraId="225079E2" w14:textId="77777777" w:rsidTr="00766D30">
        <w:trPr>
          <w:trHeight w:val="33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0C445010"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Pensiju izdevumi no valsts fondēto pensiju shēmas</w:t>
            </w:r>
          </w:p>
        </w:tc>
        <w:tc>
          <w:tcPr>
            <w:tcW w:w="691" w:type="dxa"/>
            <w:noWrap/>
            <w:vAlign w:val="center"/>
          </w:tcPr>
          <w:p w14:paraId="33C025FE" w14:textId="288AD36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w:t>
            </w:r>
          </w:p>
        </w:tc>
        <w:tc>
          <w:tcPr>
            <w:tcW w:w="727" w:type="dxa"/>
            <w:noWrap/>
            <w:vAlign w:val="center"/>
          </w:tcPr>
          <w:p w14:paraId="6D7E533E" w14:textId="282947E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09" w:type="dxa"/>
            <w:noWrap/>
            <w:vAlign w:val="center"/>
          </w:tcPr>
          <w:p w14:paraId="224C66CA" w14:textId="2CE57EB4"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8" w:type="dxa"/>
            <w:noWrap/>
            <w:vAlign w:val="center"/>
          </w:tcPr>
          <w:p w14:paraId="68101132" w14:textId="753BD6FD"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9" w:type="dxa"/>
            <w:noWrap/>
            <w:vAlign w:val="center"/>
          </w:tcPr>
          <w:p w14:paraId="4B70A5BF" w14:textId="51114701"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c>
          <w:tcPr>
            <w:tcW w:w="709" w:type="dxa"/>
            <w:noWrap/>
            <w:vAlign w:val="center"/>
          </w:tcPr>
          <w:p w14:paraId="3B937085" w14:textId="54DCE9B9"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r>
      <w:tr w:rsidR="00766D30" w:rsidRPr="00766D30" w14:paraId="05E3EFC5" w14:textId="77777777" w:rsidTr="002F508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931" w:type="dxa"/>
            <w:gridSpan w:val="7"/>
            <w:vAlign w:val="center"/>
            <w:hideMark/>
          </w:tcPr>
          <w:p w14:paraId="0460853C" w14:textId="77777777" w:rsidR="00766D30" w:rsidRPr="00766D30" w:rsidRDefault="00766D30" w:rsidP="00766D30">
            <w:pPr>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auto"/>
                <w:sz w:val="20"/>
                <w:szCs w:val="20"/>
                <w:lang w:eastAsia="lv-LV"/>
              </w:rPr>
              <w:t>Pieņēmumi</w:t>
            </w:r>
          </w:p>
        </w:tc>
      </w:tr>
      <w:tr w:rsidR="00766D30" w:rsidRPr="00766D30" w14:paraId="4DB061C1" w14:textId="77777777" w:rsidTr="00766D30">
        <w:trPr>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1472090C"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Darba produktivitātes (stundā) pieaugums, %</w:t>
            </w:r>
          </w:p>
        </w:tc>
        <w:tc>
          <w:tcPr>
            <w:tcW w:w="691" w:type="dxa"/>
            <w:noWrap/>
            <w:vAlign w:val="center"/>
          </w:tcPr>
          <w:p w14:paraId="75D1D8D7" w14:textId="00EC1F0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c>
          <w:tcPr>
            <w:tcW w:w="727" w:type="dxa"/>
            <w:noWrap/>
            <w:vAlign w:val="center"/>
          </w:tcPr>
          <w:p w14:paraId="0E7894E3" w14:textId="2E15610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c>
          <w:tcPr>
            <w:tcW w:w="709" w:type="dxa"/>
            <w:noWrap/>
            <w:vAlign w:val="center"/>
          </w:tcPr>
          <w:p w14:paraId="42F487C8" w14:textId="30C969F4"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c>
          <w:tcPr>
            <w:tcW w:w="708" w:type="dxa"/>
            <w:noWrap/>
            <w:vAlign w:val="center"/>
          </w:tcPr>
          <w:p w14:paraId="3A09C9CA" w14:textId="0B944CF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9" w:type="dxa"/>
            <w:noWrap/>
            <w:vAlign w:val="center"/>
          </w:tcPr>
          <w:p w14:paraId="248F24D3" w14:textId="75893B0B"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22846F59" w14:textId="40D87A81"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r>
      <w:tr w:rsidR="00766D30" w:rsidRPr="00766D30" w14:paraId="28104F8C" w14:textId="77777777" w:rsidTr="00766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02A2FA57"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Potenciālā IKP pieaugums, % salīdzināmās cenās</w:t>
            </w:r>
          </w:p>
        </w:tc>
        <w:tc>
          <w:tcPr>
            <w:tcW w:w="691" w:type="dxa"/>
            <w:noWrap/>
            <w:vAlign w:val="center"/>
          </w:tcPr>
          <w:p w14:paraId="416A8B2F" w14:textId="0A71F157"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27" w:type="dxa"/>
            <w:noWrap/>
            <w:vAlign w:val="center"/>
          </w:tcPr>
          <w:p w14:paraId="2F6A7108" w14:textId="3EA4EBC7"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9" w:type="dxa"/>
            <w:noWrap/>
            <w:vAlign w:val="center"/>
          </w:tcPr>
          <w:p w14:paraId="217EFA0E" w14:textId="34C260B1"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8" w:type="dxa"/>
            <w:noWrap/>
            <w:vAlign w:val="center"/>
          </w:tcPr>
          <w:p w14:paraId="1F4B9CC4" w14:textId="502B62A8"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9" w:type="dxa"/>
            <w:noWrap/>
            <w:vAlign w:val="center"/>
          </w:tcPr>
          <w:p w14:paraId="32C9CF17" w14:textId="5AFA707C"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9" w:type="dxa"/>
            <w:noWrap/>
            <w:vAlign w:val="center"/>
          </w:tcPr>
          <w:p w14:paraId="031A6E91" w14:textId="5AA1D364"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r>
      <w:tr w:rsidR="00766D30" w:rsidRPr="00766D30" w14:paraId="6D813DF7" w14:textId="77777777" w:rsidTr="00766D30">
        <w:trPr>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14C88169"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Līdzdalības līmenis, vīrieši (vecuma grupa 20-64)</w:t>
            </w:r>
          </w:p>
        </w:tc>
        <w:tc>
          <w:tcPr>
            <w:tcW w:w="691" w:type="dxa"/>
            <w:noWrap/>
            <w:vAlign w:val="center"/>
          </w:tcPr>
          <w:p w14:paraId="6B195190" w14:textId="2FCA18B0"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82</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27" w:type="dxa"/>
            <w:noWrap/>
            <w:vAlign w:val="center"/>
          </w:tcPr>
          <w:p w14:paraId="455AF8E6" w14:textId="4974BBD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9" w:type="dxa"/>
            <w:noWrap/>
            <w:vAlign w:val="center"/>
          </w:tcPr>
          <w:p w14:paraId="4E0B657F" w14:textId="239F59F0"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8" w:type="dxa"/>
            <w:noWrap/>
            <w:vAlign w:val="center"/>
          </w:tcPr>
          <w:p w14:paraId="2641A017" w14:textId="45E0A9AD"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9" w:type="dxa"/>
            <w:noWrap/>
            <w:vAlign w:val="center"/>
          </w:tcPr>
          <w:p w14:paraId="3EA75BDC" w14:textId="286FEE85"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84</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357BE808" w14:textId="698D54BB"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4</w:t>
            </w:r>
          </w:p>
        </w:tc>
      </w:tr>
      <w:tr w:rsidR="00766D30" w:rsidRPr="00766D30" w14:paraId="0B21D651" w14:textId="77777777" w:rsidTr="00766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12331C60"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Līdzdalības līmenis, sievietes (vecuma grupa 20-64)</w:t>
            </w:r>
          </w:p>
        </w:tc>
        <w:tc>
          <w:tcPr>
            <w:tcW w:w="691" w:type="dxa"/>
            <w:noWrap/>
            <w:vAlign w:val="center"/>
          </w:tcPr>
          <w:p w14:paraId="4DD45B3A" w14:textId="2E0D22B2"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76</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27" w:type="dxa"/>
            <w:noWrap/>
            <w:vAlign w:val="center"/>
          </w:tcPr>
          <w:p w14:paraId="66BC9D6E" w14:textId="3948FE7D"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9" w:type="dxa"/>
            <w:noWrap/>
            <w:vAlign w:val="center"/>
          </w:tcPr>
          <w:p w14:paraId="6CF06B3C" w14:textId="582A5AE5"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78</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8" w:type="dxa"/>
            <w:noWrap/>
            <w:vAlign w:val="center"/>
          </w:tcPr>
          <w:p w14:paraId="5E4EDAAD" w14:textId="427454F0"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78</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c>
          <w:tcPr>
            <w:tcW w:w="709" w:type="dxa"/>
            <w:noWrap/>
            <w:vAlign w:val="center"/>
          </w:tcPr>
          <w:p w14:paraId="1227FEAF" w14:textId="3410455B"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78</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23623F44" w14:textId="06A94638"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r>
      <w:tr w:rsidR="00766D30" w:rsidRPr="00766D30" w14:paraId="78A32BA9" w14:textId="77777777" w:rsidTr="00766D30">
        <w:trPr>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2C27A743"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Līdzdalības līmenis, kopā (vecuma grupa 20-64)</w:t>
            </w:r>
          </w:p>
        </w:tc>
        <w:tc>
          <w:tcPr>
            <w:tcW w:w="691" w:type="dxa"/>
            <w:noWrap/>
            <w:vAlign w:val="center"/>
          </w:tcPr>
          <w:p w14:paraId="084873E9" w14:textId="617A21D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79</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27" w:type="dxa"/>
            <w:noWrap/>
            <w:vAlign w:val="center"/>
          </w:tcPr>
          <w:p w14:paraId="5E935875" w14:textId="756E8FC1"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55B55DCA" w14:textId="4CAA5D2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c>
          <w:tcPr>
            <w:tcW w:w="708" w:type="dxa"/>
            <w:noWrap/>
            <w:vAlign w:val="center"/>
          </w:tcPr>
          <w:p w14:paraId="29DBEDB1" w14:textId="4C97F20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9" w:type="dxa"/>
            <w:noWrap/>
            <w:vAlign w:val="center"/>
          </w:tcPr>
          <w:p w14:paraId="753A7AEF" w14:textId="6AF1C76D"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8</w:t>
            </w:r>
          </w:p>
        </w:tc>
        <w:tc>
          <w:tcPr>
            <w:tcW w:w="709" w:type="dxa"/>
            <w:noWrap/>
            <w:vAlign w:val="center"/>
          </w:tcPr>
          <w:p w14:paraId="5F8B28A5" w14:textId="6BEAC338"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83</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6</w:t>
            </w:r>
          </w:p>
        </w:tc>
      </w:tr>
      <w:tr w:rsidR="00766D30" w:rsidRPr="00766D30" w14:paraId="7CF45942" w14:textId="77777777" w:rsidTr="00766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26CEFDEA"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Bezdarba līmenis (vecuma grupa 20-64)</w:t>
            </w:r>
          </w:p>
        </w:tc>
        <w:tc>
          <w:tcPr>
            <w:tcW w:w="691" w:type="dxa"/>
            <w:noWrap/>
            <w:vAlign w:val="center"/>
          </w:tcPr>
          <w:p w14:paraId="6DEFB5DF" w14:textId="07881F7F"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11</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27" w:type="dxa"/>
            <w:noWrap/>
            <w:vAlign w:val="center"/>
          </w:tcPr>
          <w:p w14:paraId="2021313D" w14:textId="19BB865F"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12</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2</w:t>
            </w:r>
          </w:p>
        </w:tc>
        <w:tc>
          <w:tcPr>
            <w:tcW w:w="709" w:type="dxa"/>
            <w:noWrap/>
            <w:vAlign w:val="center"/>
          </w:tcPr>
          <w:p w14:paraId="346AA323" w14:textId="3F49A206"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1</w:t>
            </w:r>
          </w:p>
        </w:tc>
        <w:tc>
          <w:tcPr>
            <w:tcW w:w="708" w:type="dxa"/>
            <w:noWrap/>
            <w:vAlign w:val="center"/>
          </w:tcPr>
          <w:p w14:paraId="7A015578" w14:textId="17679502"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9" w:type="dxa"/>
            <w:noWrap/>
            <w:vAlign w:val="center"/>
          </w:tcPr>
          <w:p w14:paraId="2038E20B" w14:textId="513E562D"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9" w:type="dxa"/>
            <w:noWrap/>
            <w:vAlign w:val="center"/>
          </w:tcPr>
          <w:p w14:paraId="414486CE" w14:textId="77040E9D" w:rsidR="00766D30" w:rsidRPr="00766D30" w:rsidRDefault="00766D30" w:rsidP="00766D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r>
      <w:tr w:rsidR="00766D30" w:rsidRPr="00766D30" w14:paraId="51A66191" w14:textId="77777777" w:rsidTr="00766D30">
        <w:trPr>
          <w:trHeight w:val="300"/>
          <w:jc w:val="center"/>
        </w:trPr>
        <w:tc>
          <w:tcPr>
            <w:cnfStyle w:val="001000000000" w:firstRow="0" w:lastRow="0" w:firstColumn="1" w:lastColumn="0" w:oddVBand="0" w:evenVBand="0" w:oddHBand="0" w:evenHBand="0" w:firstRowFirstColumn="0" w:firstRowLastColumn="0" w:lastRowFirstColumn="0" w:lastRowLastColumn="0"/>
            <w:tcW w:w="4678" w:type="dxa"/>
            <w:vAlign w:val="center"/>
            <w:hideMark/>
          </w:tcPr>
          <w:p w14:paraId="451143AB" w14:textId="77777777" w:rsidR="00766D30" w:rsidRPr="00766D30" w:rsidRDefault="00766D30" w:rsidP="00766D30">
            <w:pPr>
              <w:rPr>
                <w:rFonts w:ascii="Times New Roman" w:eastAsia="Times New Roman" w:hAnsi="Times New Roman" w:cs="Times New Roman"/>
                <w:b w:val="0"/>
                <w:color w:val="auto"/>
                <w:sz w:val="20"/>
                <w:szCs w:val="20"/>
                <w:lang w:eastAsia="lv-LV"/>
              </w:rPr>
            </w:pPr>
            <w:r w:rsidRPr="00766D30">
              <w:rPr>
                <w:rFonts w:ascii="Times New Roman" w:eastAsia="Times New Roman" w:hAnsi="Times New Roman" w:cs="Times New Roman"/>
                <w:b w:val="0"/>
                <w:color w:val="auto"/>
                <w:sz w:val="20"/>
                <w:szCs w:val="20"/>
                <w:lang w:eastAsia="lv-LV"/>
              </w:rPr>
              <w:t>Iedzīvotāji (vecuma grupa 65+), % no kopējā iedzīvotāju skaita</w:t>
            </w:r>
          </w:p>
        </w:tc>
        <w:tc>
          <w:tcPr>
            <w:tcW w:w="691" w:type="dxa"/>
            <w:noWrap/>
            <w:vAlign w:val="center"/>
          </w:tcPr>
          <w:p w14:paraId="425DD95A" w14:textId="5EBA88B6"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18</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27" w:type="dxa"/>
            <w:noWrap/>
            <w:vAlign w:val="center"/>
          </w:tcPr>
          <w:p w14:paraId="2568308E" w14:textId="6B2A420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20</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7</w:t>
            </w:r>
          </w:p>
        </w:tc>
        <w:tc>
          <w:tcPr>
            <w:tcW w:w="709" w:type="dxa"/>
            <w:noWrap/>
            <w:vAlign w:val="center"/>
          </w:tcPr>
          <w:p w14:paraId="291B8FC7" w14:textId="23E0F35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25</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5</w:t>
            </w:r>
          </w:p>
        </w:tc>
        <w:tc>
          <w:tcPr>
            <w:tcW w:w="708" w:type="dxa"/>
            <w:noWrap/>
            <w:vAlign w:val="center"/>
          </w:tcPr>
          <w:p w14:paraId="2167971E" w14:textId="178B1FB3"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27</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9</w:t>
            </w:r>
          </w:p>
        </w:tc>
        <w:tc>
          <w:tcPr>
            <w:tcW w:w="709" w:type="dxa"/>
            <w:noWrap/>
            <w:vAlign w:val="center"/>
          </w:tcPr>
          <w:p w14:paraId="1E1D1ADD" w14:textId="72F554A1"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28</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3</w:t>
            </w:r>
          </w:p>
        </w:tc>
        <w:tc>
          <w:tcPr>
            <w:tcW w:w="709" w:type="dxa"/>
            <w:noWrap/>
            <w:vAlign w:val="center"/>
          </w:tcPr>
          <w:p w14:paraId="5D9C5644" w14:textId="4B36CDE4" w:rsidR="00766D30" w:rsidRPr="00766D30" w:rsidRDefault="00766D30" w:rsidP="00766D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66D30">
              <w:rPr>
                <w:rFonts w:ascii="Times New Roman" w:eastAsia="Times New Roman" w:hAnsi="Times New Roman" w:cs="Times New Roman"/>
                <w:color w:val="000000"/>
                <w:sz w:val="20"/>
                <w:szCs w:val="20"/>
                <w:lang w:eastAsia="lv-LV"/>
              </w:rPr>
              <w:t>28</w:t>
            </w:r>
            <w:r>
              <w:rPr>
                <w:rFonts w:ascii="Times New Roman" w:eastAsia="Times New Roman" w:hAnsi="Times New Roman" w:cs="Times New Roman"/>
                <w:color w:val="000000"/>
                <w:sz w:val="20"/>
                <w:szCs w:val="20"/>
                <w:lang w:eastAsia="lv-LV"/>
              </w:rPr>
              <w:t>,</w:t>
            </w:r>
            <w:r w:rsidRPr="00766D30">
              <w:rPr>
                <w:rFonts w:ascii="Times New Roman" w:eastAsia="Times New Roman" w:hAnsi="Times New Roman" w:cs="Times New Roman"/>
                <w:color w:val="000000"/>
                <w:sz w:val="20"/>
                <w:szCs w:val="20"/>
                <w:lang w:eastAsia="lv-LV"/>
              </w:rPr>
              <w:t>0</w:t>
            </w:r>
          </w:p>
        </w:tc>
      </w:tr>
    </w:tbl>
    <w:p w14:paraId="6A79A976" w14:textId="77777777" w:rsidR="003666E9" w:rsidRDefault="003666E9" w:rsidP="00F51615">
      <w:pPr>
        <w:rPr>
          <w:rFonts w:ascii="Times New Roman" w:hAnsi="Times New Roman" w:cs="Times New Roman"/>
        </w:rPr>
      </w:pPr>
    </w:p>
    <w:p w14:paraId="5866F1D4" w14:textId="107CB5ED" w:rsidR="003666E9" w:rsidRPr="00C81719" w:rsidRDefault="005A7265" w:rsidP="00F51615">
      <w:pPr>
        <w:rPr>
          <w:rFonts w:ascii="Times New Roman" w:hAnsi="Times New Roman" w:cs="Times New Roman"/>
          <w:sz w:val="24"/>
        </w:rPr>
      </w:pPr>
      <w:r w:rsidRPr="00C81719">
        <w:rPr>
          <w:rFonts w:ascii="Times New Roman" w:hAnsi="Times New Roman" w:cs="Times New Roman"/>
          <w:b/>
          <w:bCs/>
          <w:color w:val="000000"/>
          <w:sz w:val="24"/>
          <w:szCs w:val="24"/>
        </w:rPr>
        <w:t>7a.tabula</w:t>
      </w:r>
      <w:r w:rsidR="003666E9" w:rsidRPr="00C81719">
        <w:rPr>
          <w:rFonts w:ascii="Times New Roman" w:hAnsi="Times New Roman" w:cs="Times New Roman"/>
          <w:b/>
          <w:bCs/>
          <w:color w:val="000000"/>
          <w:sz w:val="24"/>
          <w:szCs w:val="24"/>
        </w:rPr>
        <w:t xml:space="preserve"> Netiešās saistības</w:t>
      </w:r>
    </w:p>
    <w:tbl>
      <w:tblPr>
        <w:tblStyle w:val="GridTable6Colorful-Accent1"/>
        <w:tblW w:w="0" w:type="auto"/>
        <w:tblLayout w:type="fixed"/>
        <w:tblLook w:val="04A0" w:firstRow="1" w:lastRow="0" w:firstColumn="1" w:lastColumn="0" w:noHBand="0" w:noVBand="1"/>
      </w:tblPr>
      <w:tblGrid>
        <w:gridCol w:w="3387"/>
        <w:gridCol w:w="993"/>
      </w:tblGrid>
      <w:tr w:rsidR="00F51615" w:rsidRPr="003028D0" w14:paraId="7F8ECC8F" w14:textId="77777777" w:rsidTr="003028D0">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387" w:type="dxa"/>
            <w:vAlign w:val="center"/>
          </w:tcPr>
          <w:p w14:paraId="00582EC8" w14:textId="77777777" w:rsidR="00F51615" w:rsidRPr="003028D0" w:rsidRDefault="00F51615" w:rsidP="003028D0">
            <w:pPr>
              <w:autoSpaceDE w:val="0"/>
              <w:autoSpaceDN w:val="0"/>
              <w:adjustRightInd w:val="0"/>
              <w:jc w:val="center"/>
              <w:rPr>
                <w:rFonts w:ascii="Times New Roman" w:hAnsi="Times New Roman" w:cs="Times New Roman"/>
                <w:color w:val="000000"/>
                <w:sz w:val="20"/>
                <w:szCs w:val="20"/>
              </w:rPr>
            </w:pPr>
            <w:r w:rsidRPr="003028D0">
              <w:rPr>
                <w:rFonts w:ascii="Times New Roman" w:hAnsi="Times New Roman" w:cs="Times New Roman"/>
                <w:color w:val="000000"/>
                <w:sz w:val="20"/>
                <w:szCs w:val="20"/>
              </w:rPr>
              <w:t>% no IKP</w:t>
            </w:r>
          </w:p>
        </w:tc>
        <w:tc>
          <w:tcPr>
            <w:tcW w:w="993" w:type="dxa"/>
            <w:vAlign w:val="center"/>
          </w:tcPr>
          <w:p w14:paraId="52075D30" w14:textId="6CAD79F5" w:rsidR="00F51615" w:rsidRPr="003028D0" w:rsidRDefault="00D8431F" w:rsidP="003028D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Pr>
                <w:rFonts w:ascii="Times New Roman" w:hAnsi="Times New Roman" w:cs="Times New Roman"/>
                <w:color w:val="000000"/>
                <w:sz w:val="20"/>
                <w:szCs w:val="20"/>
              </w:rPr>
              <w:t>2016</w:t>
            </w:r>
          </w:p>
        </w:tc>
      </w:tr>
      <w:tr w:rsidR="00F51615" w:rsidRPr="003028D0" w14:paraId="1571DEFC" w14:textId="77777777" w:rsidTr="00FB129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387" w:type="dxa"/>
          </w:tcPr>
          <w:p w14:paraId="244A752C" w14:textId="395792A3" w:rsidR="00F51615" w:rsidRPr="003028D0" w:rsidRDefault="00FA4740" w:rsidP="003E2559">
            <w:pPr>
              <w:rPr>
                <w:rFonts w:ascii="Times New Roman" w:hAnsi="Times New Roman" w:cs="Times New Roman"/>
                <w:b w:val="0"/>
                <w:bCs w:val="0"/>
                <w:color w:val="000000"/>
                <w:sz w:val="20"/>
                <w:szCs w:val="20"/>
              </w:rPr>
            </w:pPr>
            <w:r w:rsidRPr="003028D0">
              <w:rPr>
                <w:rFonts w:ascii="Times New Roman" w:hAnsi="Times New Roman" w:cs="Times New Roman"/>
                <w:b w:val="0"/>
                <w:color w:val="000000"/>
                <w:sz w:val="20"/>
                <w:szCs w:val="20"/>
              </w:rPr>
              <w:t xml:space="preserve">Valsts un pašvaldību </w:t>
            </w:r>
            <w:r w:rsidR="003E2559">
              <w:rPr>
                <w:rFonts w:ascii="Times New Roman" w:hAnsi="Times New Roman" w:cs="Times New Roman"/>
                <w:b w:val="0"/>
                <w:color w:val="000000"/>
                <w:sz w:val="20"/>
                <w:szCs w:val="20"/>
              </w:rPr>
              <w:t>galvojumi</w:t>
            </w:r>
          </w:p>
        </w:tc>
        <w:tc>
          <w:tcPr>
            <w:tcW w:w="993" w:type="dxa"/>
            <w:vAlign w:val="center"/>
          </w:tcPr>
          <w:p w14:paraId="577DF020" w14:textId="72697409" w:rsidR="00F51615" w:rsidRPr="00FB1293" w:rsidRDefault="006C67E6" w:rsidP="00FB129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1,5</w:t>
            </w:r>
          </w:p>
        </w:tc>
      </w:tr>
      <w:tr w:rsidR="00F51615" w:rsidRPr="003028D0" w14:paraId="581C28AD" w14:textId="77777777" w:rsidTr="00FB1293">
        <w:trPr>
          <w:trHeight w:val="133"/>
        </w:trPr>
        <w:tc>
          <w:tcPr>
            <w:cnfStyle w:val="001000000000" w:firstRow="0" w:lastRow="0" w:firstColumn="1" w:lastColumn="0" w:oddVBand="0" w:evenVBand="0" w:oddHBand="0" w:evenHBand="0" w:firstRowFirstColumn="0" w:firstRowLastColumn="0" w:lastRowFirstColumn="0" w:lastRowLastColumn="0"/>
            <w:tcW w:w="3387" w:type="dxa"/>
          </w:tcPr>
          <w:p w14:paraId="4C84177A" w14:textId="5EC312E3" w:rsidR="00F51615" w:rsidRPr="003028D0" w:rsidRDefault="00B74A90" w:rsidP="00FA4740">
            <w:pPr>
              <w:rPr>
                <w:rFonts w:ascii="Times New Roman" w:hAnsi="Times New Roman" w:cs="Times New Roman"/>
                <w:b w:val="0"/>
                <w:i/>
                <w:iCs/>
                <w:color w:val="000000"/>
                <w:sz w:val="20"/>
                <w:szCs w:val="20"/>
              </w:rPr>
            </w:pPr>
            <w:r>
              <w:rPr>
                <w:rFonts w:ascii="Times New Roman" w:hAnsi="Times New Roman" w:cs="Times New Roman"/>
                <w:b w:val="0"/>
                <w:i/>
                <w:iCs/>
                <w:color w:val="000000"/>
                <w:sz w:val="20"/>
                <w:szCs w:val="20"/>
              </w:rPr>
              <w:t>No kurām saistīti</w:t>
            </w:r>
            <w:r w:rsidR="00F51615" w:rsidRPr="003028D0">
              <w:rPr>
                <w:rFonts w:ascii="Times New Roman" w:hAnsi="Times New Roman" w:cs="Times New Roman"/>
                <w:b w:val="0"/>
                <w:i/>
                <w:iCs/>
                <w:color w:val="000000"/>
                <w:sz w:val="20"/>
                <w:szCs w:val="20"/>
              </w:rPr>
              <w:t xml:space="preserve"> ar finanšu sektoru </w:t>
            </w:r>
          </w:p>
        </w:tc>
        <w:tc>
          <w:tcPr>
            <w:tcW w:w="993" w:type="dxa"/>
            <w:vAlign w:val="center"/>
          </w:tcPr>
          <w:p w14:paraId="02858A6D" w14:textId="1FEBF8C9" w:rsidR="00F51615" w:rsidRPr="00FB1293" w:rsidRDefault="006C67E6" w:rsidP="00FB129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0,6</w:t>
            </w:r>
          </w:p>
        </w:tc>
      </w:tr>
    </w:tbl>
    <w:p w14:paraId="4B514DB7" w14:textId="77777777" w:rsidR="003D38BE" w:rsidRDefault="003D38BE" w:rsidP="00F51615">
      <w:pPr>
        <w:pStyle w:val="T"/>
        <w:ind w:left="0"/>
        <w:rPr>
          <w:rFonts w:ascii="Times New Roman" w:hAnsi="Times New Roman"/>
          <w:color w:val="000000"/>
          <w:szCs w:val="24"/>
        </w:rPr>
      </w:pPr>
    </w:p>
    <w:p w14:paraId="52C9B9B7" w14:textId="77777777" w:rsidR="00094C88" w:rsidRDefault="00094C88" w:rsidP="00F51615">
      <w:pPr>
        <w:pStyle w:val="T"/>
        <w:ind w:left="0"/>
        <w:rPr>
          <w:rFonts w:ascii="Times New Roman" w:hAnsi="Times New Roman"/>
          <w:color w:val="000000"/>
          <w:szCs w:val="24"/>
        </w:rPr>
      </w:pPr>
    </w:p>
    <w:p w14:paraId="1FE67F11" w14:textId="77777777" w:rsidR="00094C88" w:rsidRDefault="00094C88" w:rsidP="00F51615">
      <w:pPr>
        <w:pStyle w:val="T"/>
        <w:ind w:left="0"/>
        <w:rPr>
          <w:rFonts w:ascii="Times New Roman" w:hAnsi="Times New Roman"/>
          <w:color w:val="000000"/>
          <w:szCs w:val="24"/>
        </w:rPr>
      </w:pPr>
    </w:p>
    <w:p w14:paraId="27835E58" w14:textId="75C70B17" w:rsidR="00094C88" w:rsidRDefault="00094C88">
      <w:pPr>
        <w:rPr>
          <w:rFonts w:ascii="Times New Roman" w:eastAsia="Times New Roman" w:hAnsi="Times New Roman" w:cs="Times New Roman"/>
          <w:b/>
          <w:color w:val="000000"/>
          <w:sz w:val="24"/>
          <w:szCs w:val="24"/>
        </w:rPr>
      </w:pPr>
      <w:r>
        <w:rPr>
          <w:rFonts w:ascii="Times New Roman" w:hAnsi="Times New Roman"/>
          <w:color w:val="000000"/>
          <w:szCs w:val="24"/>
        </w:rPr>
        <w:br w:type="page"/>
      </w:r>
    </w:p>
    <w:p w14:paraId="091F404C" w14:textId="356CADC5" w:rsidR="00F51615" w:rsidRDefault="00C81719" w:rsidP="00F51615">
      <w:pPr>
        <w:pStyle w:val="T"/>
        <w:ind w:left="0"/>
        <w:rPr>
          <w:rFonts w:ascii="Times New Roman" w:hAnsi="Times New Roman"/>
          <w:color w:val="000000"/>
          <w:szCs w:val="24"/>
        </w:rPr>
      </w:pPr>
      <w:r>
        <w:rPr>
          <w:rFonts w:ascii="Times New Roman" w:hAnsi="Times New Roman"/>
          <w:color w:val="000000"/>
          <w:szCs w:val="24"/>
        </w:rPr>
        <w:lastRenderedPageBreak/>
        <w:t>8.</w:t>
      </w:r>
      <w:r w:rsidR="00F51615" w:rsidRPr="00F51615">
        <w:rPr>
          <w:rFonts w:ascii="Times New Roman" w:hAnsi="Times New Roman"/>
          <w:color w:val="000000"/>
          <w:szCs w:val="24"/>
        </w:rPr>
        <w:t>tabula. Ārējās vides pamata pieņēmumi</w:t>
      </w:r>
    </w:p>
    <w:tbl>
      <w:tblPr>
        <w:tblStyle w:val="GridTable6Colorful-Accent1"/>
        <w:tblW w:w="9092" w:type="dxa"/>
        <w:jc w:val="center"/>
        <w:tblLook w:val="04A0" w:firstRow="1" w:lastRow="0" w:firstColumn="1" w:lastColumn="0" w:noHBand="0" w:noVBand="1"/>
      </w:tblPr>
      <w:tblGrid>
        <w:gridCol w:w="4710"/>
        <w:gridCol w:w="980"/>
        <w:gridCol w:w="851"/>
        <w:gridCol w:w="850"/>
        <w:gridCol w:w="851"/>
        <w:gridCol w:w="850"/>
      </w:tblGrid>
      <w:tr w:rsidR="003028D0" w:rsidRPr="003028D0" w14:paraId="17477192" w14:textId="77777777" w:rsidTr="00C81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0" w:type="dxa"/>
          </w:tcPr>
          <w:p w14:paraId="0EF25CC8" w14:textId="77777777" w:rsidR="0009609E" w:rsidRPr="003028D0" w:rsidRDefault="0009609E" w:rsidP="0009609E">
            <w:pPr>
              <w:rPr>
                <w:rFonts w:ascii="Times New Roman" w:eastAsia="Calibri" w:hAnsi="Times New Roman" w:cs="Times New Roman"/>
                <w:color w:val="auto"/>
                <w:sz w:val="20"/>
                <w:szCs w:val="20"/>
              </w:rPr>
            </w:pPr>
          </w:p>
        </w:tc>
        <w:tc>
          <w:tcPr>
            <w:tcW w:w="980" w:type="dxa"/>
            <w:vAlign w:val="center"/>
            <w:hideMark/>
          </w:tcPr>
          <w:p w14:paraId="02DE2ED7" w14:textId="2299FD05" w:rsidR="0009609E" w:rsidRPr="003028D0" w:rsidRDefault="00D8431F"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2016</w:t>
            </w:r>
          </w:p>
        </w:tc>
        <w:tc>
          <w:tcPr>
            <w:tcW w:w="851" w:type="dxa"/>
            <w:vAlign w:val="center"/>
            <w:hideMark/>
          </w:tcPr>
          <w:p w14:paraId="20B79AD7" w14:textId="64FBE058" w:rsidR="0009609E" w:rsidRPr="003028D0" w:rsidRDefault="00D8431F"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2017</w:t>
            </w:r>
          </w:p>
        </w:tc>
        <w:tc>
          <w:tcPr>
            <w:tcW w:w="850" w:type="dxa"/>
            <w:vAlign w:val="center"/>
            <w:hideMark/>
          </w:tcPr>
          <w:p w14:paraId="3EBBEE71" w14:textId="0DAB9963" w:rsidR="0009609E" w:rsidRPr="003028D0" w:rsidRDefault="00D8431F"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2018</w:t>
            </w:r>
          </w:p>
        </w:tc>
        <w:tc>
          <w:tcPr>
            <w:tcW w:w="851" w:type="dxa"/>
            <w:vAlign w:val="center"/>
            <w:hideMark/>
          </w:tcPr>
          <w:p w14:paraId="4AB748B5" w14:textId="21C37537" w:rsidR="0009609E" w:rsidRPr="003028D0" w:rsidRDefault="00D8431F"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2019</w:t>
            </w:r>
          </w:p>
        </w:tc>
        <w:tc>
          <w:tcPr>
            <w:tcW w:w="850" w:type="dxa"/>
            <w:vAlign w:val="center"/>
            <w:hideMark/>
          </w:tcPr>
          <w:p w14:paraId="746D118E" w14:textId="3A1BD61C" w:rsidR="0009609E" w:rsidRPr="003028D0" w:rsidRDefault="00D8431F" w:rsidP="003028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2020</w:t>
            </w:r>
          </w:p>
        </w:tc>
      </w:tr>
      <w:tr w:rsidR="006753E1" w:rsidRPr="003028D0" w14:paraId="76815C7C" w14:textId="77777777" w:rsidTr="00DD2914">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2ADCA09E" w14:textId="59CC04A9" w:rsidR="006753E1" w:rsidRPr="003028D0" w:rsidRDefault="006753E1" w:rsidP="006753E1">
            <w:pPr>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 xml:space="preserve">Īstermiņa procentu likme </w:t>
            </w:r>
            <w:r w:rsidRPr="003028D0">
              <w:rPr>
                <w:rFonts w:ascii="Times New Roman" w:eastAsia="Calibri" w:hAnsi="Times New Roman" w:cs="Times New Roman"/>
                <w:b w:val="0"/>
                <w:i/>
                <w:color w:val="auto"/>
                <w:sz w:val="20"/>
                <w:szCs w:val="20"/>
                <w:lang w:eastAsia="lv-LV"/>
              </w:rPr>
              <w:t>euro</w:t>
            </w:r>
            <w:r w:rsidRPr="003028D0">
              <w:rPr>
                <w:rFonts w:ascii="Times New Roman" w:eastAsia="Calibri" w:hAnsi="Times New Roman" w:cs="Times New Roman"/>
                <w:b w:val="0"/>
                <w:color w:val="auto"/>
                <w:sz w:val="20"/>
                <w:szCs w:val="20"/>
                <w:lang w:eastAsia="lv-LV"/>
              </w:rPr>
              <w:t xml:space="preserve"> zonā (gada vidējā)</w:t>
            </w:r>
          </w:p>
        </w:tc>
        <w:tc>
          <w:tcPr>
            <w:tcW w:w="980" w:type="dxa"/>
            <w:vAlign w:val="center"/>
          </w:tcPr>
          <w:p w14:paraId="6D0A982D" w14:textId="77777777"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851" w:type="dxa"/>
            <w:vAlign w:val="center"/>
          </w:tcPr>
          <w:p w14:paraId="4A7CDAD4" w14:textId="6822CD54"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-0,3</w:t>
            </w:r>
          </w:p>
        </w:tc>
        <w:tc>
          <w:tcPr>
            <w:tcW w:w="850" w:type="dxa"/>
            <w:vAlign w:val="center"/>
          </w:tcPr>
          <w:p w14:paraId="32E3C0D2" w14:textId="1A2BF412"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-0,2</w:t>
            </w:r>
          </w:p>
        </w:tc>
        <w:tc>
          <w:tcPr>
            <w:tcW w:w="851" w:type="dxa"/>
            <w:vAlign w:val="center"/>
          </w:tcPr>
          <w:p w14:paraId="66690EE7" w14:textId="233F273D"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0,0</w:t>
            </w:r>
          </w:p>
        </w:tc>
        <w:tc>
          <w:tcPr>
            <w:tcW w:w="850" w:type="dxa"/>
            <w:vAlign w:val="center"/>
          </w:tcPr>
          <w:p w14:paraId="676DB338" w14:textId="48D11AB0"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0,1</w:t>
            </w:r>
          </w:p>
        </w:tc>
      </w:tr>
      <w:tr w:rsidR="006753E1" w:rsidRPr="003028D0" w14:paraId="0DD5B155" w14:textId="77777777" w:rsidTr="00DD2914">
        <w:trPr>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5BC5E586" w14:textId="408E57E8" w:rsidR="006753E1" w:rsidRPr="003028D0" w:rsidRDefault="006753E1" w:rsidP="006753E1">
            <w:pPr>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 xml:space="preserve">Ilgtermiņa procentu likme </w:t>
            </w:r>
            <w:r w:rsidRPr="003028D0">
              <w:rPr>
                <w:rFonts w:ascii="Times New Roman" w:eastAsia="Calibri" w:hAnsi="Times New Roman" w:cs="Times New Roman"/>
                <w:b w:val="0"/>
                <w:i/>
                <w:color w:val="auto"/>
                <w:sz w:val="20"/>
                <w:szCs w:val="20"/>
                <w:lang w:eastAsia="lv-LV"/>
              </w:rPr>
              <w:t>euro</w:t>
            </w:r>
            <w:r w:rsidRPr="003028D0">
              <w:rPr>
                <w:rFonts w:ascii="Times New Roman" w:eastAsia="Calibri" w:hAnsi="Times New Roman" w:cs="Times New Roman"/>
                <w:b w:val="0"/>
                <w:color w:val="auto"/>
                <w:sz w:val="20"/>
                <w:szCs w:val="20"/>
                <w:lang w:eastAsia="lv-LV"/>
              </w:rPr>
              <w:t xml:space="preserve"> zonā (gada vidējā)</w:t>
            </w:r>
          </w:p>
        </w:tc>
        <w:tc>
          <w:tcPr>
            <w:tcW w:w="980" w:type="dxa"/>
            <w:vAlign w:val="center"/>
          </w:tcPr>
          <w:p w14:paraId="520335D9" w14:textId="77777777"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tcW w:w="851" w:type="dxa"/>
            <w:vAlign w:val="center"/>
          </w:tcPr>
          <w:p w14:paraId="60359C73" w14:textId="18F9AF60"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0,5</w:t>
            </w:r>
          </w:p>
        </w:tc>
        <w:tc>
          <w:tcPr>
            <w:tcW w:w="850" w:type="dxa"/>
            <w:vAlign w:val="center"/>
          </w:tcPr>
          <w:p w14:paraId="03BFC0B9" w14:textId="3DC9BCC2"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0,7</w:t>
            </w:r>
          </w:p>
        </w:tc>
        <w:tc>
          <w:tcPr>
            <w:tcW w:w="851" w:type="dxa"/>
            <w:vAlign w:val="center"/>
          </w:tcPr>
          <w:p w14:paraId="6E511D9F" w14:textId="7F5B31DE"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0,9</w:t>
            </w:r>
          </w:p>
        </w:tc>
        <w:tc>
          <w:tcPr>
            <w:tcW w:w="850" w:type="dxa"/>
            <w:vAlign w:val="center"/>
          </w:tcPr>
          <w:p w14:paraId="38EA413E" w14:textId="68951838"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1,0</w:t>
            </w:r>
          </w:p>
        </w:tc>
      </w:tr>
      <w:tr w:rsidR="006753E1" w:rsidRPr="003028D0" w14:paraId="478A2F7E" w14:textId="77777777" w:rsidTr="00DD29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5A00BA22" w14:textId="77777777" w:rsidR="006753E1" w:rsidRPr="003028D0" w:rsidRDefault="006753E1" w:rsidP="006753E1">
            <w:pPr>
              <w:rPr>
                <w:rFonts w:ascii="Times New Roman" w:eastAsia="Calibri" w:hAnsi="Times New Roman" w:cs="Times New Roman"/>
                <w:b w:val="0"/>
                <w:color w:val="auto"/>
                <w:sz w:val="20"/>
                <w:szCs w:val="20"/>
                <w:highlight w:val="yellow"/>
              </w:rPr>
            </w:pPr>
            <w:r w:rsidRPr="003028D0">
              <w:rPr>
                <w:rFonts w:ascii="Times New Roman" w:eastAsia="Calibri" w:hAnsi="Times New Roman" w:cs="Times New Roman"/>
                <w:b w:val="0"/>
                <w:color w:val="auto"/>
                <w:sz w:val="20"/>
                <w:szCs w:val="20"/>
                <w:lang w:eastAsia="lv-LV"/>
              </w:rPr>
              <w:t>EUR/USD kurss (gada vidējais)</w:t>
            </w:r>
          </w:p>
        </w:tc>
        <w:tc>
          <w:tcPr>
            <w:tcW w:w="980" w:type="dxa"/>
            <w:vAlign w:val="center"/>
          </w:tcPr>
          <w:p w14:paraId="68F1834A" w14:textId="3ACEFEE0"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501C32">
              <w:rPr>
                <w:rFonts w:ascii="Times New Roman" w:eastAsia="Arial Unicode MS" w:hAnsi="Times New Roman" w:cs="Times New Roman"/>
                <w:color w:val="auto"/>
                <w:sz w:val="20"/>
              </w:rPr>
              <w:t>1,11</w:t>
            </w:r>
          </w:p>
        </w:tc>
        <w:tc>
          <w:tcPr>
            <w:tcW w:w="851" w:type="dxa"/>
            <w:vAlign w:val="center"/>
          </w:tcPr>
          <w:p w14:paraId="14469F07" w14:textId="3214ABBF"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E0BB4">
              <w:rPr>
                <w:rFonts w:ascii="Times New Roman" w:eastAsia="Arial Unicode MS" w:hAnsi="Times New Roman" w:cs="Times New Roman"/>
                <w:color w:val="auto"/>
                <w:sz w:val="20"/>
              </w:rPr>
              <w:t>1,07</w:t>
            </w:r>
          </w:p>
        </w:tc>
        <w:tc>
          <w:tcPr>
            <w:tcW w:w="850" w:type="dxa"/>
            <w:vAlign w:val="center"/>
          </w:tcPr>
          <w:p w14:paraId="744F8DA8" w14:textId="5E0D8617"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E0BB4">
              <w:rPr>
                <w:rFonts w:ascii="Times New Roman" w:eastAsia="Arial Unicode MS" w:hAnsi="Times New Roman" w:cs="Times New Roman"/>
                <w:color w:val="auto"/>
                <w:sz w:val="20"/>
              </w:rPr>
              <w:t>1,07</w:t>
            </w:r>
          </w:p>
        </w:tc>
        <w:tc>
          <w:tcPr>
            <w:tcW w:w="851" w:type="dxa"/>
            <w:vAlign w:val="center"/>
          </w:tcPr>
          <w:p w14:paraId="2AFA5620" w14:textId="47DE1A0A"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E0BB4">
              <w:rPr>
                <w:rFonts w:ascii="Times New Roman" w:eastAsia="Arial Unicode MS" w:hAnsi="Times New Roman" w:cs="Times New Roman"/>
                <w:color w:val="auto"/>
                <w:sz w:val="20"/>
              </w:rPr>
              <w:t>1,07</w:t>
            </w:r>
          </w:p>
        </w:tc>
        <w:tc>
          <w:tcPr>
            <w:tcW w:w="850" w:type="dxa"/>
            <w:vAlign w:val="center"/>
          </w:tcPr>
          <w:p w14:paraId="60C6D946" w14:textId="2E99CAE0"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E0BB4">
              <w:rPr>
                <w:rFonts w:ascii="Times New Roman" w:eastAsia="Arial Unicode MS" w:hAnsi="Times New Roman" w:cs="Times New Roman"/>
                <w:color w:val="auto"/>
                <w:sz w:val="20"/>
              </w:rPr>
              <w:t>1,07</w:t>
            </w:r>
          </w:p>
        </w:tc>
      </w:tr>
      <w:tr w:rsidR="006753E1" w:rsidRPr="003028D0" w14:paraId="039DF98B" w14:textId="77777777" w:rsidTr="00DD2914">
        <w:trPr>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1B4CBF2E" w14:textId="77777777" w:rsidR="006753E1" w:rsidRPr="003028D0" w:rsidRDefault="006753E1" w:rsidP="006753E1">
            <w:pPr>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Nominālais efektīvais maiņas kurss ES</w:t>
            </w:r>
          </w:p>
        </w:tc>
        <w:tc>
          <w:tcPr>
            <w:tcW w:w="980" w:type="dxa"/>
            <w:vAlign w:val="center"/>
          </w:tcPr>
          <w:p w14:paraId="6A4F0959" w14:textId="5D08B3A9"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76713B">
              <w:rPr>
                <w:rFonts w:ascii="Times New Roman" w:eastAsia="Arial Unicode MS" w:hAnsi="Times New Roman" w:cs="Times New Roman"/>
                <w:color w:val="auto"/>
                <w:sz w:val="20"/>
              </w:rPr>
              <w:t>-7,3</w:t>
            </w:r>
          </w:p>
        </w:tc>
        <w:tc>
          <w:tcPr>
            <w:tcW w:w="851" w:type="dxa"/>
            <w:vAlign w:val="center"/>
          </w:tcPr>
          <w:p w14:paraId="752679AA" w14:textId="31E154C1"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76713B">
              <w:rPr>
                <w:rFonts w:ascii="Times New Roman" w:eastAsia="Arial Unicode MS" w:hAnsi="Times New Roman" w:cs="Times New Roman"/>
                <w:color w:val="auto"/>
                <w:sz w:val="20"/>
              </w:rPr>
              <w:t>-1,3</w:t>
            </w:r>
          </w:p>
        </w:tc>
        <w:tc>
          <w:tcPr>
            <w:tcW w:w="850" w:type="dxa"/>
            <w:vAlign w:val="center"/>
          </w:tcPr>
          <w:p w14:paraId="601662E5" w14:textId="2C7D3B58"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76713B">
              <w:rPr>
                <w:rFonts w:ascii="Times New Roman" w:eastAsia="Arial Unicode MS" w:hAnsi="Times New Roman" w:cs="Times New Roman"/>
                <w:color w:val="auto"/>
                <w:sz w:val="20"/>
              </w:rPr>
              <w:t>0,0</w:t>
            </w:r>
          </w:p>
        </w:tc>
        <w:tc>
          <w:tcPr>
            <w:tcW w:w="851" w:type="dxa"/>
            <w:vAlign w:val="center"/>
          </w:tcPr>
          <w:p w14:paraId="55DCDA02" w14:textId="5B5A6088"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76713B">
              <w:rPr>
                <w:rFonts w:ascii="Times New Roman" w:eastAsia="Arial Unicode MS" w:hAnsi="Times New Roman" w:cs="Times New Roman"/>
                <w:color w:val="auto"/>
                <w:sz w:val="20"/>
              </w:rPr>
              <w:t>0,0</w:t>
            </w:r>
          </w:p>
        </w:tc>
        <w:tc>
          <w:tcPr>
            <w:tcW w:w="850" w:type="dxa"/>
            <w:vAlign w:val="center"/>
          </w:tcPr>
          <w:p w14:paraId="14A4715F" w14:textId="353618C6"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76713B">
              <w:rPr>
                <w:rFonts w:ascii="Times New Roman" w:eastAsia="Arial Unicode MS" w:hAnsi="Times New Roman" w:cs="Times New Roman"/>
                <w:color w:val="auto"/>
                <w:sz w:val="20"/>
              </w:rPr>
              <w:t>0,0</w:t>
            </w:r>
          </w:p>
        </w:tc>
      </w:tr>
      <w:tr w:rsidR="006753E1" w:rsidRPr="003028D0" w14:paraId="6DA6EEC5" w14:textId="77777777" w:rsidTr="00DD29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5E7B0D88" w14:textId="77777777" w:rsidR="006753E1" w:rsidRPr="003028D0" w:rsidRDefault="006753E1" w:rsidP="006753E1">
            <w:pPr>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Pasaules IKP, izņemot ES, pieaugums salīdzināmās cenās, %</w:t>
            </w:r>
          </w:p>
        </w:tc>
        <w:tc>
          <w:tcPr>
            <w:tcW w:w="980" w:type="dxa"/>
            <w:vAlign w:val="center"/>
          </w:tcPr>
          <w:p w14:paraId="31C2F18D" w14:textId="776135D3"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3,0</w:t>
            </w:r>
          </w:p>
        </w:tc>
        <w:tc>
          <w:tcPr>
            <w:tcW w:w="851" w:type="dxa"/>
            <w:vAlign w:val="center"/>
          </w:tcPr>
          <w:p w14:paraId="1EB96B37" w14:textId="675ACDF2"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3,4</w:t>
            </w:r>
          </w:p>
        </w:tc>
        <w:tc>
          <w:tcPr>
            <w:tcW w:w="850" w:type="dxa"/>
            <w:vAlign w:val="center"/>
          </w:tcPr>
          <w:p w14:paraId="4A52F146" w14:textId="219BA524"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3,6</w:t>
            </w:r>
          </w:p>
        </w:tc>
        <w:tc>
          <w:tcPr>
            <w:tcW w:w="851" w:type="dxa"/>
            <w:vAlign w:val="center"/>
          </w:tcPr>
          <w:p w14:paraId="6AFEF187" w14:textId="6B1B22F4"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3,6</w:t>
            </w:r>
          </w:p>
        </w:tc>
        <w:tc>
          <w:tcPr>
            <w:tcW w:w="850" w:type="dxa"/>
            <w:vAlign w:val="center"/>
          </w:tcPr>
          <w:p w14:paraId="5184C5D9" w14:textId="0B18D26B"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3,6</w:t>
            </w:r>
          </w:p>
        </w:tc>
      </w:tr>
      <w:tr w:rsidR="006753E1" w:rsidRPr="003028D0" w14:paraId="4AA85540" w14:textId="77777777" w:rsidTr="00DD2914">
        <w:trPr>
          <w:trHeight w:val="189"/>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3822ECB5" w14:textId="77777777" w:rsidR="006753E1" w:rsidRPr="003028D0" w:rsidRDefault="006753E1" w:rsidP="006753E1">
            <w:pPr>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ES IKP pieaugums salīdzināmās cenās, %</w:t>
            </w:r>
          </w:p>
        </w:tc>
        <w:tc>
          <w:tcPr>
            <w:tcW w:w="980" w:type="dxa"/>
            <w:vAlign w:val="center"/>
          </w:tcPr>
          <w:p w14:paraId="2EDFC062" w14:textId="524D1C60"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52A65">
              <w:rPr>
                <w:rFonts w:ascii="Times New Roman" w:eastAsia="Arial Unicode MS" w:hAnsi="Times New Roman" w:cs="Times New Roman"/>
                <w:color w:val="auto"/>
                <w:sz w:val="20"/>
              </w:rPr>
              <w:t>1,9</w:t>
            </w:r>
          </w:p>
        </w:tc>
        <w:tc>
          <w:tcPr>
            <w:tcW w:w="851" w:type="dxa"/>
            <w:vAlign w:val="center"/>
          </w:tcPr>
          <w:p w14:paraId="58E44744" w14:textId="73466FFB"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52A65">
              <w:rPr>
                <w:rFonts w:ascii="Times New Roman" w:eastAsia="Arial Unicode MS" w:hAnsi="Times New Roman" w:cs="Times New Roman"/>
                <w:color w:val="auto"/>
                <w:sz w:val="20"/>
              </w:rPr>
              <w:t>1,8</w:t>
            </w:r>
          </w:p>
        </w:tc>
        <w:tc>
          <w:tcPr>
            <w:tcW w:w="850" w:type="dxa"/>
            <w:vAlign w:val="center"/>
          </w:tcPr>
          <w:p w14:paraId="488EE979" w14:textId="7042D99B"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52A65">
              <w:rPr>
                <w:rFonts w:ascii="Times New Roman" w:eastAsia="Arial Unicode MS" w:hAnsi="Times New Roman" w:cs="Times New Roman"/>
                <w:color w:val="auto"/>
                <w:sz w:val="20"/>
              </w:rPr>
              <w:t>1,8</w:t>
            </w:r>
          </w:p>
        </w:tc>
        <w:tc>
          <w:tcPr>
            <w:tcW w:w="851" w:type="dxa"/>
            <w:vAlign w:val="center"/>
          </w:tcPr>
          <w:p w14:paraId="2D9FA4C5" w14:textId="4FA2FF07"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52A65">
              <w:rPr>
                <w:rFonts w:ascii="Times New Roman" w:eastAsia="Arial Unicode MS" w:hAnsi="Times New Roman" w:cs="Times New Roman"/>
                <w:color w:val="auto"/>
                <w:sz w:val="20"/>
              </w:rPr>
              <w:t>1,8</w:t>
            </w:r>
          </w:p>
        </w:tc>
        <w:tc>
          <w:tcPr>
            <w:tcW w:w="850" w:type="dxa"/>
            <w:vAlign w:val="center"/>
          </w:tcPr>
          <w:p w14:paraId="6080DCED" w14:textId="3B1E82CA"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52A65">
              <w:rPr>
                <w:rFonts w:ascii="Times New Roman" w:eastAsia="Arial Unicode MS" w:hAnsi="Times New Roman" w:cs="Times New Roman"/>
                <w:color w:val="auto"/>
                <w:sz w:val="20"/>
              </w:rPr>
              <w:t>1,8</w:t>
            </w:r>
          </w:p>
        </w:tc>
      </w:tr>
      <w:tr w:rsidR="006753E1" w:rsidRPr="003028D0" w14:paraId="16CE4D7C" w14:textId="77777777" w:rsidTr="00DD29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36DB5A55" w14:textId="77777777" w:rsidR="006753E1" w:rsidRPr="003028D0" w:rsidRDefault="006753E1" w:rsidP="006753E1">
            <w:pPr>
              <w:rPr>
                <w:rFonts w:ascii="Times New Roman" w:eastAsia="Calibri" w:hAnsi="Times New Roman" w:cs="Times New Roman"/>
                <w:b w:val="0"/>
                <w:color w:val="auto"/>
                <w:sz w:val="20"/>
                <w:szCs w:val="20"/>
                <w:lang w:eastAsia="lv-LV"/>
              </w:rPr>
            </w:pPr>
            <w:r w:rsidRPr="003028D0">
              <w:rPr>
                <w:rFonts w:ascii="Times New Roman" w:eastAsia="Calibri" w:hAnsi="Times New Roman" w:cs="Times New Roman"/>
                <w:b w:val="0"/>
                <w:color w:val="auto"/>
                <w:sz w:val="20"/>
                <w:szCs w:val="20"/>
                <w:lang w:eastAsia="lv-LV"/>
              </w:rPr>
              <w:t>Pasaules preču un pakalpojumu tirdzniecības apjomu izmaiņas ES eksporta tirgos, izslēdzot ES, %</w:t>
            </w:r>
          </w:p>
        </w:tc>
        <w:tc>
          <w:tcPr>
            <w:tcW w:w="980" w:type="dxa"/>
            <w:vAlign w:val="center"/>
          </w:tcPr>
          <w:p w14:paraId="18253FCE" w14:textId="1C8C51A8"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1,4</w:t>
            </w:r>
          </w:p>
        </w:tc>
        <w:tc>
          <w:tcPr>
            <w:tcW w:w="851" w:type="dxa"/>
            <w:vAlign w:val="center"/>
          </w:tcPr>
          <w:p w14:paraId="680D7BE7" w14:textId="4E255E71"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2,7</w:t>
            </w:r>
          </w:p>
        </w:tc>
        <w:tc>
          <w:tcPr>
            <w:tcW w:w="850" w:type="dxa"/>
            <w:vAlign w:val="center"/>
          </w:tcPr>
          <w:p w14:paraId="6857445A" w14:textId="0AA4E8AD"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3,2</w:t>
            </w:r>
          </w:p>
        </w:tc>
        <w:tc>
          <w:tcPr>
            <w:tcW w:w="851" w:type="dxa"/>
            <w:vAlign w:val="center"/>
          </w:tcPr>
          <w:p w14:paraId="76E61F10" w14:textId="737EDD3B"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3,2</w:t>
            </w:r>
          </w:p>
        </w:tc>
        <w:tc>
          <w:tcPr>
            <w:tcW w:w="850" w:type="dxa"/>
            <w:vAlign w:val="center"/>
          </w:tcPr>
          <w:p w14:paraId="75429801" w14:textId="64FA1CF6"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3,2</w:t>
            </w:r>
          </w:p>
        </w:tc>
      </w:tr>
      <w:tr w:rsidR="006753E1" w:rsidRPr="003028D0" w14:paraId="0AAB6BFE" w14:textId="77777777" w:rsidTr="00DD2914">
        <w:trPr>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037F4FEA" w14:textId="77777777" w:rsidR="006753E1" w:rsidRPr="003028D0" w:rsidRDefault="006753E1" w:rsidP="006753E1">
            <w:pPr>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Pasaules preču un pakalpojumu importa apjomu izmaiņas, izslēdzot ES, %</w:t>
            </w:r>
          </w:p>
        </w:tc>
        <w:tc>
          <w:tcPr>
            <w:tcW w:w="980" w:type="dxa"/>
            <w:vAlign w:val="center"/>
          </w:tcPr>
          <w:p w14:paraId="46296A85" w14:textId="6A36055F"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0,8</w:t>
            </w:r>
          </w:p>
        </w:tc>
        <w:tc>
          <w:tcPr>
            <w:tcW w:w="851" w:type="dxa"/>
            <w:vAlign w:val="center"/>
          </w:tcPr>
          <w:p w14:paraId="3DE85818" w14:textId="3578FEF4"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3,0</w:t>
            </w:r>
          </w:p>
        </w:tc>
        <w:tc>
          <w:tcPr>
            <w:tcW w:w="850" w:type="dxa"/>
            <w:vAlign w:val="center"/>
          </w:tcPr>
          <w:p w14:paraId="15885A27" w14:textId="7DD9B0A0"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3,7</w:t>
            </w:r>
          </w:p>
        </w:tc>
        <w:tc>
          <w:tcPr>
            <w:tcW w:w="851" w:type="dxa"/>
            <w:vAlign w:val="center"/>
          </w:tcPr>
          <w:p w14:paraId="2AF73DF2" w14:textId="2359F019"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3,7</w:t>
            </w:r>
          </w:p>
        </w:tc>
        <w:tc>
          <w:tcPr>
            <w:tcW w:w="850" w:type="dxa"/>
            <w:vAlign w:val="center"/>
          </w:tcPr>
          <w:p w14:paraId="6A103418" w14:textId="4C5CC03B" w:rsidR="006753E1" w:rsidRPr="00DD2914" w:rsidRDefault="006753E1" w:rsidP="006753E1">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61B17">
              <w:rPr>
                <w:rFonts w:ascii="Times New Roman" w:eastAsia="Arial Unicode MS" w:hAnsi="Times New Roman" w:cs="Times New Roman"/>
                <w:color w:val="auto"/>
                <w:sz w:val="20"/>
              </w:rPr>
              <w:t>3,7</w:t>
            </w:r>
          </w:p>
        </w:tc>
      </w:tr>
      <w:tr w:rsidR="006753E1" w:rsidRPr="003028D0" w14:paraId="2A586F84" w14:textId="77777777" w:rsidTr="00DD29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0" w:type="dxa"/>
            <w:hideMark/>
          </w:tcPr>
          <w:p w14:paraId="6D5A98A2" w14:textId="77777777" w:rsidR="006753E1" w:rsidRPr="003028D0" w:rsidRDefault="006753E1" w:rsidP="006753E1">
            <w:pPr>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Naftas cena (</w:t>
            </w:r>
            <w:r w:rsidRPr="002F508C">
              <w:rPr>
                <w:rFonts w:ascii="Times New Roman" w:eastAsia="Calibri" w:hAnsi="Times New Roman" w:cs="Times New Roman"/>
                <w:b w:val="0"/>
                <w:i/>
                <w:color w:val="auto"/>
                <w:sz w:val="20"/>
                <w:szCs w:val="20"/>
                <w:lang w:eastAsia="lv-LV"/>
              </w:rPr>
              <w:t>Brent</w:t>
            </w:r>
            <w:r w:rsidRPr="003028D0">
              <w:rPr>
                <w:rFonts w:ascii="Times New Roman" w:eastAsia="Calibri" w:hAnsi="Times New Roman" w:cs="Times New Roman"/>
                <w:b w:val="0"/>
                <w:color w:val="auto"/>
                <w:sz w:val="20"/>
                <w:szCs w:val="20"/>
                <w:lang w:eastAsia="lv-LV"/>
              </w:rPr>
              <w:t>, USD par barelu)</w:t>
            </w:r>
          </w:p>
        </w:tc>
        <w:tc>
          <w:tcPr>
            <w:tcW w:w="980" w:type="dxa"/>
            <w:vAlign w:val="center"/>
          </w:tcPr>
          <w:p w14:paraId="479E62E1" w14:textId="1D476669"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44,8</w:t>
            </w:r>
          </w:p>
        </w:tc>
        <w:tc>
          <w:tcPr>
            <w:tcW w:w="851" w:type="dxa"/>
            <w:vAlign w:val="center"/>
          </w:tcPr>
          <w:p w14:paraId="22443E76" w14:textId="57308EDA"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52,3</w:t>
            </w:r>
          </w:p>
        </w:tc>
        <w:tc>
          <w:tcPr>
            <w:tcW w:w="850" w:type="dxa"/>
            <w:vAlign w:val="center"/>
          </w:tcPr>
          <w:p w14:paraId="2F1CFDD9" w14:textId="7CE530AF"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56,0</w:t>
            </w:r>
          </w:p>
        </w:tc>
        <w:tc>
          <w:tcPr>
            <w:tcW w:w="851" w:type="dxa"/>
            <w:vAlign w:val="center"/>
          </w:tcPr>
          <w:p w14:paraId="06434487" w14:textId="7F89B490"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56,0</w:t>
            </w:r>
          </w:p>
        </w:tc>
        <w:tc>
          <w:tcPr>
            <w:tcW w:w="850" w:type="dxa"/>
            <w:vAlign w:val="center"/>
          </w:tcPr>
          <w:p w14:paraId="5DA8A896" w14:textId="60E0F66A" w:rsidR="006753E1" w:rsidRPr="00DD2914" w:rsidRDefault="006753E1" w:rsidP="006753E1">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56,0</w:t>
            </w:r>
          </w:p>
        </w:tc>
      </w:tr>
    </w:tbl>
    <w:p w14:paraId="6E986BE5" w14:textId="2E6715EB" w:rsidR="00FD01EA" w:rsidRDefault="00FD01EA" w:rsidP="003E2FE0">
      <w:pPr>
        <w:tabs>
          <w:tab w:val="left" w:pos="988"/>
        </w:tabs>
        <w:rPr>
          <w:rFonts w:ascii="Times New Roman" w:hAnsi="Times New Roman" w:cs="Times New Roman"/>
          <w:sz w:val="20"/>
        </w:rPr>
      </w:pPr>
    </w:p>
    <w:p w14:paraId="43C0A805" w14:textId="2AE2DB61" w:rsidR="0024257A" w:rsidRDefault="0024257A" w:rsidP="003E2FE0">
      <w:pPr>
        <w:tabs>
          <w:tab w:val="left" w:pos="988"/>
        </w:tabs>
        <w:rPr>
          <w:rFonts w:ascii="Times New Roman" w:hAnsi="Times New Roman" w:cs="Times New Roman"/>
          <w:sz w:val="20"/>
        </w:rPr>
      </w:pPr>
    </w:p>
    <w:p w14:paraId="5C06D42E" w14:textId="7B263D63" w:rsidR="0024257A" w:rsidRDefault="0024257A" w:rsidP="003E2FE0">
      <w:pPr>
        <w:tabs>
          <w:tab w:val="left" w:pos="988"/>
        </w:tabs>
        <w:rPr>
          <w:rFonts w:ascii="Times New Roman" w:hAnsi="Times New Roman" w:cs="Times New Roman"/>
          <w:sz w:val="20"/>
        </w:rPr>
      </w:pPr>
    </w:p>
    <w:p w14:paraId="050DF14F" w14:textId="0FD05CC4" w:rsidR="0024257A" w:rsidRDefault="0024257A" w:rsidP="003E2FE0">
      <w:pPr>
        <w:tabs>
          <w:tab w:val="left" w:pos="988"/>
        </w:tabs>
        <w:rPr>
          <w:rFonts w:ascii="Times New Roman" w:hAnsi="Times New Roman" w:cs="Times New Roman"/>
          <w:sz w:val="24"/>
        </w:rPr>
      </w:pPr>
      <w:r w:rsidRPr="0024257A">
        <w:rPr>
          <w:rFonts w:ascii="Times New Roman" w:hAnsi="Times New Roman" w:cs="Times New Roman"/>
          <w:sz w:val="24"/>
        </w:rPr>
        <w:t>Finanšu ministre</w:t>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t>D.Reizniece-Ozola</w:t>
      </w:r>
    </w:p>
    <w:p w14:paraId="47839349" w14:textId="09A68184" w:rsidR="0024257A" w:rsidRDefault="0024257A" w:rsidP="003E2FE0">
      <w:pPr>
        <w:tabs>
          <w:tab w:val="left" w:pos="988"/>
        </w:tabs>
        <w:rPr>
          <w:rFonts w:ascii="Times New Roman" w:hAnsi="Times New Roman" w:cs="Times New Roman"/>
          <w:sz w:val="24"/>
        </w:rPr>
      </w:pPr>
    </w:p>
    <w:p w14:paraId="53C35522" w14:textId="727F2921" w:rsidR="0024257A" w:rsidRDefault="0024257A" w:rsidP="003E2FE0">
      <w:pPr>
        <w:tabs>
          <w:tab w:val="left" w:pos="988"/>
        </w:tabs>
        <w:rPr>
          <w:rFonts w:ascii="Times New Roman" w:hAnsi="Times New Roman" w:cs="Times New Roman"/>
          <w:sz w:val="24"/>
        </w:rPr>
      </w:pPr>
    </w:p>
    <w:p w14:paraId="6E9C887C" w14:textId="77777777" w:rsidR="00B672CB" w:rsidRDefault="00B672CB" w:rsidP="0024257A">
      <w:pPr>
        <w:tabs>
          <w:tab w:val="left" w:pos="988"/>
        </w:tabs>
        <w:spacing w:after="0" w:line="240" w:lineRule="auto"/>
        <w:rPr>
          <w:rFonts w:ascii="Times New Roman" w:hAnsi="Times New Roman" w:cs="Times New Roman"/>
          <w:sz w:val="20"/>
        </w:rPr>
      </w:pPr>
      <w:r>
        <w:rPr>
          <w:rFonts w:ascii="Times New Roman" w:hAnsi="Times New Roman" w:cs="Times New Roman"/>
          <w:sz w:val="20"/>
        </w:rPr>
        <w:t>10.04.2017 08:02</w:t>
      </w:r>
    </w:p>
    <w:p w14:paraId="1359D339" w14:textId="179C9F6B" w:rsidR="0024257A" w:rsidRPr="0024257A" w:rsidRDefault="0024257A" w:rsidP="0024257A">
      <w:pPr>
        <w:tabs>
          <w:tab w:val="left" w:pos="988"/>
        </w:tabs>
        <w:spacing w:after="0" w:line="240" w:lineRule="auto"/>
        <w:rPr>
          <w:rFonts w:ascii="Times New Roman" w:hAnsi="Times New Roman" w:cs="Times New Roman"/>
          <w:sz w:val="20"/>
        </w:rPr>
      </w:pPr>
      <w:r w:rsidRPr="0024257A">
        <w:rPr>
          <w:rFonts w:ascii="Times New Roman" w:hAnsi="Times New Roman" w:cs="Times New Roman"/>
          <w:sz w:val="20"/>
        </w:rPr>
        <w:t>Gerda Rubīna</w:t>
      </w:r>
    </w:p>
    <w:p w14:paraId="3308003C" w14:textId="5A481066" w:rsidR="0024257A" w:rsidRPr="0024257A" w:rsidRDefault="0006534D" w:rsidP="0024257A">
      <w:pPr>
        <w:tabs>
          <w:tab w:val="left" w:pos="988"/>
        </w:tabs>
        <w:spacing w:after="0" w:line="240" w:lineRule="auto"/>
        <w:rPr>
          <w:rFonts w:ascii="Times New Roman" w:hAnsi="Times New Roman" w:cs="Times New Roman"/>
          <w:sz w:val="20"/>
        </w:rPr>
      </w:pPr>
      <w:r>
        <w:rPr>
          <w:rFonts w:ascii="Times New Roman" w:hAnsi="Times New Roman" w:cs="Times New Roman"/>
          <w:sz w:val="20"/>
        </w:rPr>
        <w:t>39783</w:t>
      </w:r>
    </w:p>
    <w:p w14:paraId="28A23631" w14:textId="40B90F1F" w:rsidR="0024257A" w:rsidRPr="0024257A" w:rsidRDefault="0024257A" w:rsidP="0024257A">
      <w:pPr>
        <w:tabs>
          <w:tab w:val="left" w:pos="988"/>
        </w:tabs>
        <w:spacing w:after="0" w:line="240" w:lineRule="auto"/>
        <w:rPr>
          <w:rFonts w:ascii="Times New Roman" w:hAnsi="Times New Roman" w:cs="Times New Roman"/>
          <w:sz w:val="20"/>
        </w:rPr>
      </w:pPr>
      <w:r w:rsidRPr="0024257A">
        <w:rPr>
          <w:rFonts w:ascii="Times New Roman" w:hAnsi="Times New Roman" w:cs="Times New Roman"/>
          <w:sz w:val="20"/>
        </w:rPr>
        <w:t>67083911</w:t>
      </w:r>
      <w:r>
        <w:rPr>
          <w:rFonts w:ascii="Times New Roman" w:hAnsi="Times New Roman" w:cs="Times New Roman"/>
          <w:sz w:val="20"/>
        </w:rPr>
        <w:t xml:space="preserve">, </w:t>
      </w:r>
      <w:hyperlink r:id="rId44" w:history="1">
        <w:r w:rsidRPr="0024257A">
          <w:rPr>
            <w:rStyle w:val="Hyperlink"/>
            <w:rFonts w:ascii="Times New Roman" w:hAnsi="Times New Roman" w:cs="Times New Roman"/>
            <w:sz w:val="20"/>
          </w:rPr>
          <w:t>Gerda.Rubina@fm.gov.lv</w:t>
        </w:r>
      </w:hyperlink>
    </w:p>
    <w:p w14:paraId="0E502DC2" w14:textId="77777777" w:rsidR="0024257A" w:rsidRPr="0024257A" w:rsidRDefault="0024257A">
      <w:pPr>
        <w:tabs>
          <w:tab w:val="left" w:pos="988"/>
        </w:tabs>
        <w:spacing w:after="0" w:line="240" w:lineRule="auto"/>
        <w:rPr>
          <w:rFonts w:ascii="Times New Roman" w:hAnsi="Times New Roman" w:cs="Times New Roman"/>
          <w:sz w:val="20"/>
        </w:rPr>
      </w:pPr>
    </w:p>
    <w:sectPr w:rsidR="0024257A" w:rsidRPr="0024257A" w:rsidSect="006B0EBB">
      <w:footerReference w:type="default" r:id="rId45"/>
      <w:pgSz w:w="11906" w:h="16838"/>
      <w:pgMar w:top="1418" w:right="1134" w:bottom="709" w:left="1701" w:header="79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C3F7D" w14:textId="77777777" w:rsidR="00EB3270" w:rsidRDefault="00EB3270" w:rsidP="00623757">
      <w:pPr>
        <w:spacing w:after="0" w:line="240" w:lineRule="auto"/>
      </w:pPr>
      <w:r>
        <w:separator/>
      </w:r>
    </w:p>
  </w:endnote>
  <w:endnote w:type="continuationSeparator" w:id="0">
    <w:p w14:paraId="673A3705" w14:textId="77777777" w:rsidR="00EB3270" w:rsidRDefault="00EB3270" w:rsidP="00623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BA"/>
    <w:family w:val="swiss"/>
    <w:pitch w:val="variable"/>
    <w:sig w:usb0="E10022FF" w:usb1="C000E47F" w:usb2="00000029" w:usb3="00000000" w:csb0="000001DF" w:csb1="00000000"/>
  </w:font>
  <w:font w:name="Helvetica">
    <w:panose1 w:val="020B0604020202020204"/>
    <w:charset w:val="BA"/>
    <w:family w:val="swiss"/>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446761671"/>
      <w:docPartObj>
        <w:docPartGallery w:val="Page Numbers (Bottom of Page)"/>
        <w:docPartUnique/>
      </w:docPartObj>
    </w:sdtPr>
    <w:sdtEndPr>
      <w:rPr>
        <w:noProof/>
      </w:rPr>
    </w:sdtEndPr>
    <w:sdtContent>
      <w:p w14:paraId="4CD88812" w14:textId="38234600" w:rsidR="00EB3270" w:rsidRPr="00E829CD" w:rsidRDefault="00EB3270" w:rsidP="00492A61">
        <w:pPr>
          <w:pStyle w:val="Footer"/>
          <w:spacing w:before="120"/>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FILENAME   \* MERGEFORMAT </w:instrText>
        </w:r>
        <w:r>
          <w:rPr>
            <w:rFonts w:ascii="Times New Roman" w:hAnsi="Times New Roman" w:cs="Times New Roman"/>
            <w:sz w:val="20"/>
          </w:rPr>
          <w:fldChar w:fldCharType="separate"/>
        </w:r>
        <w:r>
          <w:rPr>
            <w:rFonts w:ascii="Times New Roman" w:hAnsi="Times New Roman" w:cs="Times New Roman"/>
            <w:noProof/>
            <w:sz w:val="20"/>
          </w:rPr>
          <w:t>FMInfo_10042017_SP.docx</w:t>
        </w:r>
        <w:r>
          <w:rPr>
            <w:rFonts w:ascii="Times New Roman" w:hAnsi="Times New Roman" w:cs="Times New Roman"/>
            <w:sz w:val="20"/>
          </w:rPr>
          <w:fldChar w:fldCharType="end"/>
        </w:r>
        <w:r w:rsidRPr="00B71182">
          <w:rPr>
            <w:rFonts w:ascii="Times New Roman" w:hAnsi="Times New Roman" w:cs="Times New Roman"/>
            <w:sz w:val="20"/>
          </w:rPr>
          <w:t>; Latvijas Stabilitātes programma 201</w:t>
        </w:r>
        <w:r>
          <w:rPr>
            <w:rFonts w:ascii="Times New Roman" w:hAnsi="Times New Roman" w:cs="Times New Roman"/>
            <w:sz w:val="20"/>
          </w:rPr>
          <w:t>7.-2020</w:t>
        </w:r>
        <w:r w:rsidRPr="00B71182">
          <w:rPr>
            <w:rFonts w:ascii="Times New Roman" w:hAnsi="Times New Roman" w:cs="Times New Roman"/>
            <w:sz w:val="20"/>
          </w:rPr>
          <w:t>.gadam</w:t>
        </w:r>
      </w:p>
      <w:p w14:paraId="4BDE8A71" w14:textId="7629FCD7" w:rsidR="00EB3270" w:rsidRPr="002D4AED" w:rsidRDefault="00EB3270" w:rsidP="00FB1293">
        <w:pPr>
          <w:pStyle w:val="Footer"/>
          <w:tabs>
            <w:tab w:val="right" w:pos="9071"/>
          </w:tabs>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2D4AED">
          <w:rPr>
            <w:rFonts w:ascii="Times New Roman" w:hAnsi="Times New Roman" w:cs="Times New Roman"/>
            <w:sz w:val="24"/>
          </w:rPr>
          <w:fldChar w:fldCharType="begin"/>
        </w:r>
        <w:r w:rsidRPr="002D4AED">
          <w:rPr>
            <w:rFonts w:ascii="Times New Roman" w:hAnsi="Times New Roman" w:cs="Times New Roman"/>
            <w:sz w:val="24"/>
          </w:rPr>
          <w:instrText xml:space="preserve"> PAGE   \* MERGEFORMAT </w:instrText>
        </w:r>
        <w:r w:rsidRPr="002D4AED">
          <w:rPr>
            <w:rFonts w:ascii="Times New Roman" w:hAnsi="Times New Roman" w:cs="Times New Roman"/>
            <w:sz w:val="24"/>
          </w:rPr>
          <w:fldChar w:fldCharType="separate"/>
        </w:r>
        <w:r w:rsidR="00C4725E">
          <w:rPr>
            <w:rFonts w:ascii="Times New Roman" w:hAnsi="Times New Roman" w:cs="Times New Roman"/>
            <w:noProof/>
            <w:sz w:val="24"/>
          </w:rPr>
          <w:t>68</w:t>
        </w:r>
        <w:r w:rsidRPr="002D4AED">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A49F8" w14:textId="77777777" w:rsidR="00EB3270" w:rsidRDefault="00EB3270" w:rsidP="00623757">
      <w:pPr>
        <w:spacing w:after="0" w:line="240" w:lineRule="auto"/>
      </w:pPr>
      <w:r>
        <w:separator/>
      </w:r>
    </w:p>
  </w:footnote>
  <w:footnote w:type="continuationSeparator" w:id="0">
    <w:p w14:paraId="53DDC80E" w14:textId="77777777" w:rsidR="00EB3270" w:rsidRDefault="00EB3270" w:rsidP="00623757">
      <w:pPr>
        <w:spacing w:after="0" w:line="240" w:lineRule="auto"/>
      </w:pPr>
      <w:r>
        <w:continuationSeparator/>
      </w:r>
    </w:p>
  </w:footnote>
  <w:footnote w:id="1">
    <w:p w14:paraId="5EE2F965" w14:textId="77777777" w:rsidR="00EB3270" w:rsidRPr="00492A61" w:rsidRDefault="00EB3270" w:rsidP="00A62844">
      <w:pPr>
        <w:pStyle w:val="FootnoteText"/>
        <w:rPr>
          <w:color w:val="000000" w:themeColor="text1"/>
        </w:rPr>
      </w:pPr>
      <w:r w:rsidRPr="00492A61">
        <w:rPr>
          <w:rStyle w:val="FootnoteReference"/>
          <w:rFonts w:ascii="Times New Roman" w:hAnsi="Times New Roman"/>
          <w:color w:val="000000" w:themeColor="text1"/>
        </w:rPr>
        <w:footnoteRef/>
      </w:r>
      <w:r w:rsidRPr="00492A61">
        <w:rPr>
          <w:color w:val="000000" w:themeColor="text1"/>
        </w:rPr>
        <w:t xml:space="preserve"> </w:t>
      </w:r>
      <w:proofErr w:type="spellStart"/>
      <w:r w:rsidRPr="00492A61">
        <w:rPr>
          <w:color w:val="000000" w:themeColor="text1"/>
        </w:rPr>
        <w:t>European</w:t>
      </w:r>
      <w:proofErr w:type="spellEnd"/>
      <w:r w:rsidRPr="00492A61">
        <w:rPr>
          <w:color w:val="000000" w:themeColor="text1"/>
        </w:rPr>
        <w:t xml:space="preserve"> </w:t>
      </w:r>
      <w:proofErr w:type="spellStart"/>
      <w:r w:rsidRPr="00492A61">
        <w:rPr>
          <w:color w:val="000000" w:themeColor="text1"/>
        </w:rPr>
        <w:t>Economic</w:t>
      </w:r>
      <w:proofErr w:type="spellEnd"/>
      <w:r w:rsidRPr="00492A61">
        <w:rPr>
          <w:color w:val="000000" w:themeColor="text1"/>
        </w:rPr>
        <w:t xml:space="preserve"> </w:t>
      </w:r>
      <w:proofErr w:type="spellStart"/>
      <w:r w:rsidRPr="00492A61">
        <w:rPr>
          <w:color w:val="000000" w:themeColor="text1"/>
        </w:rPr>
        <w:t>Forecast</w:t>
      </w:r>
      <w:proofErr w:type="spellEnd"/>
      <w:r w:rsidRPr="00492A61">
        <w:rPr>
          <w:color w:val="000000" w:themeColor="text1"/>
        </w:rPr>
        <w:t xml:space="preserve"> - </w:t>
      </w:r>
      <w:proofErr w:type="spellStart"/>
      <w:r w:rsidRPr="00492A61">
        <w:rPr>
          <w:color w:val="000000" w:themeColor="text1"/>
        </w:rPr>
        <w:t>Winter</w:t>
      </w:r>
      <w:proofErr w:type="spellEnd"/>
      <w:r w:rsidRPr="00492A61">
        <w:rPr>
          <w:color w:val="000000" w:themeColor="text1"/>
        </w:rPr>
        <w:t xml:space="preserve"> 201</w:t>
      </w:r>
      <w:r w:rsidRPr="00492A61">
        <w:rPr>
          <w:color w:val="000000" w:themeColor="text1"/>
          <w:lang w:val="lv-LV"/>
        </w:rPr>
        <w:t>7</w:t>
      </w:r>
      <w:r w:rsidRPr="00492A61">
        <w:rPr>
          <w:color w:val="000000" w:themeColor="text1"/>
        </w:rPr>
        <w:t xml:space="preserve">, </w:t>
      </w:r>
      <w:proofErr w:type="spellStart"/>
      <w:r w:rsidRPr="00492A61">
        <w:rPr>
          <w:color w:val="000000" w:themeColor="text1"/>
        </w:rPr>
        <w:t>European</w:t>
      </w:r>
      <w:proofErr w:type="spellEnd"/>
      <w:r w:rsidRPr="00492A61">
        <w:rPr>
          <w:color w:val="000000" w:themeColor="text1"/>
        </w:rPr>
        <w:t xml:space="preserve"> </w:t>
      </w:r>
      <w:proofErr w:type="spellStart"/>
      <w:r w:rsidRPr="00492A61">
        <w:rPr>
          <w:color w:val="000000" w:themeColor="text1"/>
        </w:rPr>
        <w:t>Commission</w:t>
      </w:r>
      <w:proofErr w:type="spellEnd"/>
    </w:p>
  </w:footnote>
  <w:footnote w:id="2">
    <w:p w14:paraId="44867820" w14:textId="77777777" w:rsidR="00EB3270" w:rsidRPr="00492A61" w:rsidRDefault="00EB3270" w:rsidP="00A62844">
      <w:pPr>
        <w:pStyle w:val="FootnoteText"/>
        <w:rPr>
          <w:color w:val="000000" w:themeColor="text1"/>
        </w:rPr>
      </w:pPr>
      <w:r w:rsidRPr="00492A61">
        <w:rPr>
          <w:rStyle w:val="FootnoteReference"/>
          <w:rFonts w:ascii="Times New Roman" w:hAnsi="Times New Roman"/>
          <w:color w:val="000000" w:themeColor="text1"/>
        </w:rPr>
        <w:footnoteRef/>
      </w:r>
      <w:r w:rsidRPr="00492A61">
        <w:rPr>
          <w:color w:val="000000" w:themeColor="text1"/>
        </w:rPr>
        <w:t xml:space="preserve"> Latvijas ārējās tirdzniecības galveno partnervalstu (Lietuva, Igaunija, Krievija, Vācija, Zviedrija, Lielbritānija, Polija) vidējā izaugsme, svērta ar vidējo eksporta īpatsvaru uz konkrēto valsti 2016.gadā. Datu avots: </w:t>
      </w:r>
      <w:proofErr w:type="spellStart"/>
      <w:r w:rsidRPr="00492A61">
        <w:rPr>
          <w:i/>
          <w:color w:val="000000" w:themeColor="text1"/>
        </w:rPr>
        <w:t>Eurostat</w:t>
      </w:r>
      <w:proofErr w:type="spellEnd"/>
      <w:r w:rsidRPr="00492A61">
        <w:rPr>
          <w:i/>
          <w:color w:val="000000" w:themeColor="text1"/>
        </w:rPr>
        <w:t xml:space="preserve">; </w:t>
      </w:r>
      <w:proofErr w:type="spellStart"/>
      <w:r w:rsidRPr="00492A61">
        <w:rPr>
          <w:i/>
          <w:color w:val="000000" w:themeColor="text1"/>
        </w:rPr>
        <w:t>European</w:t>
      </w:r>
      <w:proofErr w:type="spellEnd"/>
      <w:r w:rsidRPr="00492A61">
        <w:rPr>
          <w:i/>
          <w:color w:val="000000" w:themeColor="text1"/>
        </w:rPr>
        <w:t xml:space="preserve"> </w:t>
      </w:r>
      <w:proofErr w:type="spellStart"/>
      <w:r w:rsidRPr="00492A61">
        <w:rPr>
          <w:i/>
          <w:color w:val="000000" w:themeColor="text1"/>
        </w:rPr>
        <w:t>Economic</w:t>
      </w:r>
      <w:proofErr w:type="spellEnd"/>
      <w:r w:rsidRPr="00492A61">
        <w:rPr>
          <w:i/>
          <w:color w:val="000000" w:themeColor="text1"/>
        </w:rPr>
        <w:t xml:space="preserve"> </w:t>
      </w:r>
      <w:proofErr w:type="spellStart"/>
      <w:r w:rsidRPr="00492A61">
        <w:rPr>
          <w:i/>
          <w:color w:val="000000" w:themeColor="text1"/>
        </w:rPr>
        <w:t>Forecast</w:t>
      </w:r>
      <w:proofErr w:type="spellEnd"/>
      <w:r w:rsidRPr="00492A61">
        <w:rPr>
          <w:i/>
          <w:color w:val="000000" w:themeColor="text1"/>
        </w:rPr>
        <w:t xml:space="preserve"> - </w:t>
      </w:r>
      <w:proofErr w:type="spellStart"/>
      <w:r w:rsidRPr="00492A61">
        <w:rPr>
          <w:i/>
          <w:color w:val="000000" w:themeColor="text1"/>
        </w:rPr>
        <w:t>Winter</w:t>
      </w:r>
      <w:proofErr w:type="spellEnd"/>
      <w:r w:rsidRPr="00492A61">
        <w:rPr>
          <w:i/>
          <w:color w:val="000000" w:themeColor="text1"/>
        </w:rPr>
        <w:t xml:space="preserve"> 2017, </w:t>
      </w:r>
      <w:proofErr w:type="spellStart"/>
      <w:r w:rsidRPr="00492A61">
        <w:rPr>
          <w:i/>
          <w:color w:val="000000" w:themeColor="text1"/>
        </w:rPr>
        <w:t>European</w:t>
      </w:r>
      <w:proofErr w:type="spellEnd"/>
      <w:r w:rsidRPr="00492A61">
        <w:rPr>
          <w:i/>
          <w:color w:val="000000" w:themeColor="text1"/>
        </w:rPr>
        <w:t xml:space="preserve"> </w:t>
      </w:r>
      <w:proofErr w:type="spellStart"/>
      <w:r w:rsidRPr="00492A61">
        <w:rPr>
          <w:i/>
          <w:color w:val="000000" w:themeColor="text1"/>
        </w:rPr>
        <w:t>Commission</w:t>
      </w:r>
      <w:proofErr w:type="spellEnd"/>
      <w:r w:rsidRPr="00492A61">
        <w:rPr>
          <w:color w:val="000000" w:themeColor="text1"/>
        </w:rPr>
        <w:t>; FM aprēķini.</w:t>
      </w:r>
    </w:p>
  </w:footnote>
  <w:footnote w:id="3">
    <w:p w14:paraId="75BB34B2" w14:textId="77777777" w:rsidR="00EB3270" w:rsidRPr="00492A61" w:rsidRDefault="00EB3270" w:rsidP="00A62844">
      <w:pPr>
        <w:rPr>
          <w:rFonts w:ascii="Times New Roman" w:hAnsi="Times New Roman" w:cs="Times New Roman"/>
          <w:caps/>
          <w:color w:val="000000" w:themeColor="text1"/>
          <w:sz w:val="20"/>
          <w:szCs w:val="20"/>
        </w:rPr>
      </w:pPr>
      <w:r w:rsidRPr="00492A61">
        <w:rPr>
          <w:rStyle w:val="FootnoteReference"/>
          <w:rFonts w:ascii="Times New Roman" w:hAnsi="Times New Roman" w:cs="Times New Roman"/>
          <w:color w:val="000000" w:themeColor="text1"/>
          <w:szCs w:val="20"/>
        </w:rPr>
        <w:footnoteRef/>
      </w:r>
      <w:r w:rsidRPr="00492A61">
        <w:rPr>
          <w:rFonts w:ascii="Times New Roman" w:hAnsi="Times New Roman" w:cs="Times New Roman"/>
          <w:color w:val="000000" w:themeColor="text1"/>
          <w:sz w:val="20"/>
          <w:szCs w:val="20"/>
        </w:rPr>
        <w:t xml:space="preserve"> </w:t>
      </w:r>
      <w:proofErr w:type="spellStart"/>
      <w:r w:rsidRPr="00492A61">
        <w:rPr>
          <w:rFonts w:ascii="Times New Roman" w:hAnsi="Times New Roman" w:cs="Times New Roman"/>
          <w:snapToGrid w:val="0"/>
          <w:color w:val="000000" w:themeColor="text1"/>
          <w:sz w:val="20"/>
          <w:szCs w:val="20"/>
        </w:rPr>
        <w:t>World</w:t>
      </w:r>
      <w:proofErr w:type="spellEnd"/>
      <w:r w:rsidRPr="00492A61">
        <w:rPr>
          <w:rFonts w:ascii="Times New Roman" w:hAnsi="Times New Roman" w:cs="Times New Roman"/>
          <w:snapToGrid w:val="0"/>
          <w:color w:val="000000" w:themeColor="text1"/>
          <w:sz w:val="20"/>
          <w:szCs w:val="20"/>
        </w:rPr>
        <w:t xml:space="preserve"> </w:t>
      </w:r>
      <w:proofErr w:type="spellStart"/>
      <w:r w:rsidRPr="00492A61">
        <w:rPr>
          <w:rFonts w:ascii="Times New Roman" w:hAnsi="Times New Roman" w:cs="Times New Roman"/>
          <w:snapToGrid w:val="0"/>
          <w:color w:val="000000" w:themeColor="text1"/>
          <w:sz w:val="20"/>
          <w:szCs w:val="20"/>
        </w:rPr>
        <w:t>Economic</w:t>
      </w:r>
      <w:proofErr w:type="spellEnd"/>
      <w:r w:rsidRPr="00492A61">
        <w:rPr>
          <w:rFonts w:ascii="Times New Roman" w:hAnsi="Times New Roman" w:cs="Times New Roman"/>
          <w:snapToGrid w:val="0"/>
          <w:color w:val="000000" w:themeColor="text1"/>
          <w:sz w:val="20"/>
          <w:szCs w:val="20"/>
        </w:rPr>
        <w:t xml:space="preserve"> Outlook (WEO) </w:t>
      </w:r>
      <w:proofErr w:type="spellStart"/>
      <w:r w:rsidRPr="00492A61">
        <w:rPr>
          <w:rFonts w:ascii="Times New Roman" w:hAnsi="Times New Roman" w:cs="Times New Roman"/>
          <w:snapToGrid w:val="0"/>
          <w:color w:val="000000" w:themeColor="text1"/>
          <w:sz w:val="20"/>
          <w:szCs w:val="20"/>
        </w:rPr>
        <w:t>Update</w:t>
      </w:r>
      <w:proofErr w:type="spellEnd"/>
      <w:r w:rsidRPr="00492A61">
        <w:rPr>
          <w:rFonts w:ascii="Times New Roman" w:hAnsi="Times New Roman" w:cs="Times New Roman"/>
          <w:snapToGrid w:val="0"/>
          <w:color w:val="000000" w:themeColor="text1"/>
          <w:sz w:val="20"/>
          <w:szCs w:val="20"/>
        </w:rPr>
        <w:t xml:space="preserve">, </w:t>
      </w:r>
      <w:proofErr w:type="spellStart"/>
      <w:r w:rsidRPr="00492A61">
        <w:rPr>
          <w:rFonts w:ascii="Times New Roman" w:hAnsi="Times New Roman" w:cs="Times New Roman"/>
          <w:snapToGrid w:val="0"/>
          <w:color w:val="000000" w:themeColor="text1"/>
          <w:sz w:val="20"/>
          <w:szCs w:val="20"/>
        </w:rPr>
        <w:t>January</w:t>
      </w:r>
      <w:proofErr w:type="spellEnd"/>
      <w:r w:rsidRPr="00492A61">
        <w:rPr>
          <w:rFonts w:ascii="Times New Roman" w:hAnsi="Times New Roman" w:cs="Times New Roman"/>
          <w:snapToGrid w:val="0"/>
          <w:color w:val="000000" w:themeColor="text1"/>
          <w:sz w:val="20"/>
          <w:szCs w:val="20"/>
        </w:rPr>
        <w:t xml:space="preserve"> 2017, IMF</w:t>
      </w:r>
    </w:p>
  </w:footnote>
  <w:footnote w:id="4">
    <w:p w14:paraId="27ACA7B8" w14:textId="77777777" w:rsidR="00EB3270" w:rsidRPr="00492A61" w:rsidRDefault="00EB3270" w:rsidP="00A62844">
      <w:pPr>
        <w:pStyle w:val="FootnoteText"/>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Datu avots: </w:t>
      </w:r>
      <w:r w:rsidRPr="00492A61">
        <w:rPr>
          <w:i/>
          <w:iCs/>
          <w:color w:val="000000" w:themeColor="text1"/>
        </w:rPr>
        <w:t>Swedbank AS</w:t>
      </w:r>
      <w:r w:rsidRPr="00492A61">
        <w:rPr>
          <w:color w:val="000000" w:themeColor="text1"/>
        </w:rPr>
        <w:t xml:space="preserve"> (Latvija)</w:t>
      </w:r>
    </w:p>
  </w:footnote>
  <w:footnote w:id="5">
    <w:p w14:paraId="25AAF2F8" w14:textId="77777777" w:rsidR="00EB3270" w:rsidRPr="00492A61" w:rsidRDefault="00EB3270" w:rsidP="0073213D">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w:t>
      </w:r>
      <w:r w:rsidRPr="00492A61">
        <w:rPr>
          <w:color w:val="000000" w:themeColor="text1"/>
          <w:lang w:val="lv-LV"/>
        </w:rPr>
        <w:t xml:space="preserve">Saskaņā ar FM modeļa metodoloģiju novērtēta ESF, ERAF, KF/ISPA, ES </w:t>
      </w:r>
      <w:proofErr w:type="spellStart"/>
      <w:r w:rsidRPr="00492A61">
        <w:rPr>
          <w:color w:val="000000" w:themeColor="text1"/>
          <w:lang w:val="lv-LV"/>
        </w:rPr>
        <w:t>pirmsiestāšanās</w:t>
      </w:r>
      <w:proofErr w:type="spellEnd"/>
      <w:r w:rsidRPr="00492A61">
        <w:rPr>
          <w:color w:val="000000" w:themeColor="text1"/>
          <w:lang w:val="lv-LV"/>
        </w:rPr>
        <w:t xml:space="preserve"> finanšu instrumentu </w:t>
      </w:r>
      <w:proofErr w:type="spellStart"/>
      <w:r w:rsidRPr="00492A61">
        <w:rPr>
          <w:color w:val="000000" w:themeColor="text1"/>
          <w:lang w:val="lv-LV"/>
        </w:rPr>
        <w:t>Phare</w:t>
      </w:r>
      <w:proofErr w:type="spellEnd"/>
      <w:r w:rsidRPr="00492A61">
        <w:rPr>
          <w:color w:val="000000" w:themeColor="text1"/>
          <w:lang w:val="lv-LV"/>
        </w:rPr>
        <w:t xml:space="preserve"> un SAPARD, INTERREG, ES Kohēzijas politikas 3.mērķa „Eiropas teritoriālā sadarbība” programmas (ERAF), EEZ/Norvēģijas finanšu instrumentu, kā arī Latvijas un Šveices sadarbības programmas ietekme.</w:t>
      </w:r>
    </w:p>
  </w:footnote>
  <w:footnote w:id="6">
    <w:p w14:paraId="146C7C1E" w14:textId="77777777" w:rsidR="00EB3270" w:rsidRPr="00492A61" w:rsidRDefault="00EB3270" w:rsidP="00A62844">
      <w:pPr>
        <w:pStyle w:val="FootnoteText"/>
        <w:rPr>
          <w:i/>
          <w:color w:val="000000" w:themeColor="text1"/>
        </w:rPr>
      </w:pPr>
      <w:r w:rsidRPr="00492A61">
        <w:rPr>
          <w:rStyle w:val="FootnoteReference"/>
          <w:rFonts w:ascii="Times New Roman" w:hAnsi="Times New Roman"/>
          <w:color w:val="000000" w:themeColor="text1"/>
        </w:rPr>
        <w:footnoteRef/>
      </w:r>
      <w:r w:rsidRPr="00492A61">
        <w:rPr>
          <w:color w:val="000000" w:themeColor="text1"/>
        </w:rPr>
        <w:t xml:space="preserve"> </w:t>
      </w:r>
      <w:proofErr w:type="spellStart"/>
      <w:r w:rsidRPr="00492A61">
        <w:rPr>
          <w:i/>
          <w:color w:val="000000" w:themeColor="text1"/>
        </w:rPr>
        <w:t>Plausibility</w:t>
      </w:r>
      <w:proofErr w:type="spellEnd"/>
      <w:r w:rsidRPr="00492A61">
        <w:rPr>
          <w:i/>
          <w:color w:val="000000" w:themeColor="text1"/>
        </w:rPr>
        <w:t xml:space="preserve"> </w:t>
      </w:r>
      <w:proofErr w:type="spellStart"/>
      <w:r w:rsidRPr="00492A61">
        <w:rPr>
          <w:i/>
          <w:color w:val="000000" w:themeColor="text1"/>
        </w:rPr>
        <w:t>tool</w:t>
      </w:r>
      <w:proofErr w:type="spellEnd"/>
    </w:p>
  </w:footnote>
  <w:footnote w:id="7">
    <w:p w14:paraId="0585E9A4" w14:textId="2CCBB896" w:rsidR="00EB3270" w:rsidRPr="00492A61" w:rsidRDefault="00EB3270" w:rsidP="00C6773B">
      <w:pPr>
        <w:pStyle w:val="FootnoteText"/>
        <w:jc w:val="both"/>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w:t>
      </w:r>
      <w:r w:rsidRPr="00492A61">
        <w:rPr>
          <w:color w:val="000000" w:themeColor="text1"/>
        </w:rPr>
        <w:tab/>
        <w:t>Datu avots: 201</w:t>
      </w:r>
      <w:r w:rsidRPr="00492A61">
        <w:rPr>
          <w:color w:val="000000" w:themeColor="text1"/>
          <w:lang w:val="lv-LV"/>
        </w:rPr>
        <w:t>6</w:t>
      </w:r>
      <w:r w:rsidRPr="00492A61">
        <w:rPr>
          <w:color w:val="000000" w:themeColor="text1"/>
        </w:rPr>
        <w:t xml:space="preserve">.gada </w:t>
      </w:r>
      <w:r w:rsidRPr="00492A61">
        <w:rPr>
          <w:color w:val="000000" w:themeColor="text1"/>
          <w:lang w:val="lv-LV"/>
        </w:rPr>
        <w:t>oktobra</w:t>
      </w:r>
      <w:r w:rsidRPr="00492A61">
        <w:rPr>
          <w:color w:val="000000" w:themeColor="text1"/>
        </w:rPr>
        <w:t xml:space="preserve"> </w:t>
      </w:r>
      <w:r w:rsidRPr="00492A61">
        <w:rPr>
          <w:color w:val="000000" w:themeColor="text1"/>
          <w:lang w:val="lv-LV"/>
        </w:rPr>
        <w:t>vispārējās valdības</w:t>
      </w:r>
      <w:r w:rsidRPr="00492A61">
        <w:rPr>
          <w:color w:val="000000" w:themeColor="text1"/>
        </w:rPr>
        <w:t xml:space="preserve"> budžeta deficīta un parāda notifikācija</w:t>
      </w:r>
      <w:r w:rsidRPr="00492A61">
        <w:rPr>
          <w:color w:val="000000" w:themeColor="text1"/>
          <w:lang w:val="lv-LV"/>
        </w:rPr>
        <w:t xml:space="preserve"> (2007. – 2015.gadam) un FM indikatīvs novērtējums 2016.gadam.</w:t>
      </w:r>
    </w:p>
  </w:footnote>
  <w:footnote w:id="8">
    <w:p w14:paraId="7D60FB56" w14:textId="1E296D20" w:rsidR="00EB3270" w:rsidRPr="00492A61" w:rsidRDefault="00EB3270" w:rsidP="00C6773B">
      <w:pPr>
        <w:pStyle w:val="FootnoteText"/>
        <w:jc w:val="both"/>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w:t>
      </w:r>
      <w:r w:rsidRPr="00492A61">
        <w:rPr>
          <w:color w:val="000000" w:themeColor="text1"/>
        </w:rPr>
        <w:tab/>
        <w:t>Datu avots: 201</w:t>
      </w:r>
      <w:r w:rsidRPr="00492A61">
        <w:rPr>
          <w:color w:val="000000" w:themeColor="text1"/>
          <w:lang w:val="lv-LV"/>
        </w:rPr>
        <w:t>6</w:t>
      </w:r>
      <w:r w:rsidRPr="00492A61">
        <w:rPr>
          <w:color w:val="000000" w:themeColor="text1"/>
        </w:rPr>
        <w:t xml:space="preserve">.gada </w:t>
      </w:r>
      <w:r w:rsidRPr="00492A61">
        <w:rPr>
          <w:color w:val="000000" w:themeColor="text1"/>
          <w:lang w:val="lv-LV"/>
        </w:rPr>
        <w:t>oktobra</w:t>
      </w:r>
      <w:r w:rsidRPr="00492A61">
        <w:rPr>
          <w:color w:val="000000" w:themeColor="text1"/>
        </w:rPr>
        <w:t xml:space="preserve"> </w:t>
      </w:r>
      <w:r w:rsidRPr="00492A61">
        <w:rPr>
          <w:color w:val="000000" w:themeColor="text1"/>
          <w:lang w:val="lv-LV"/>
        </w:rPr>
        <w:t>vispārējās valdības</w:t>
      </w:r>
      <w:r w:rsidRPr="00492A61">
        <w:rPr>
          <w:color w:val="000000" w:themeColor="text1"/>
        </w:rPr>
        <w:t xml:space="preserve"> budžeta deficīta un parāda notifikācija</w:t>
      </w:r>
      <w:r w:rsidRPr="00492A61">
        <w:rPr>
          <w:color w:val="000000" w:themeColor="text1"/>
          <w:lang w:val="lv-LV"/>
        </w:rPr>
        <w:t xml:space="preserve"> (2007. – 2015.gadam) un FM indikatīvs novērtējums (2016.gadam).</w:t>
      </w:r>
    </w:p>
  </w:footnote>
  <w:footnote w:id="9">
    <w:p w14:paraId="0C970C61" w14:textId="1A3F4895" w:rsidR="00EB3270" w:rsidRPr="00492A61" w:rsidRDefault="00EB3270" w:rsidP="00C6773B">
      <w:pPr>
        <w:pStyle w:val="FootnoteText"/>
        <w:jc w:val="both"/>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w:t>
      </w:r>
      <w:r w:rsidRPr="00492A61">
        <w:rPr>
          <w:color w:val="000000" w:themeColor="text1"/>
        </w:rPr>
        <w:tab/>
      </w:r>
      <w:r w:rsidRPr="00492A61">
        <w:rPr>
          <w:color w:val="000000" w:themeColor="text1"/>
          <w:lang w:val="lv-LV"/>
        </w:rPr>
        <w:t xml:space="preserve">Vispārējās valdības sektora dalījums </w:t>
      </w:r>
      <w:r w:rsidRPr="00492A61">
        <w:rPr>
          <w:noProof/>
          <w:color w:val="000000" w:themeColor="text1"/>
          <w:lang w:val="lv-LV"/>
        </w:rPr>
        <w:t>apakšsektoros</w:t>
      </w:r>
      <w:r w:rsidRPr="00492A61">
        <w:rPr>
          <w:color w:val="000000" w:themeColor="text1"/>
          <w:lang w:val="lv-LV"/>
        </w:rPr>
        <w:t xml:space="preserve"> definēts </w:t>
      </w:r>
      <w:r w:rsidRPr="00492A61">
        <w:rPr>
          <w:color w:val="000000" w:themeColor="text1"/>
          <w:lang w:val="lv-LV" w:eastAsia="lv-LV"/>
        </w:rPr>
        <w:t>saskaņā ar Eiropas nacionālo un reģionālo kontu sistēmu ES. Konsolidētā kopbudžeta nacionālajā uzskaites metodoloģijā ar centrālo valdību identificē valsts pamatbudžetu, no valsts budžeta daļēji finansēto atvasināto publisko personu budžetus un budžeta nefinansēto iestāžu budžetus; sociālās nodrošināšanas fondi – valsts sociālās apdrošināšanas speciālais budžets; vietējā valdība – pašvaldību budžeti.</w:t>
      </w:r>
      <w:r w:rsidRPr="00492A61">
        <w:rPr>
          <w:color w:val="000000" w:themeColor="text1"/>
        </w:rPr>
        <w:t xml:space="preserve"> </w:t>
      </w:r>
    </w:p>
    <w:p w14:paraId="19C29BB7" w14:textId="77777777" w:rsidR="00EB3270" w:rsidRPr="00492A61" w:rsidRDefault="00EB3270" w:rsidP="00C6773B">
      <w:pPr>
        <w:pStyle w:val="FootnoteText"/>
        <w:jc w:val="both"/>
        <w:rPr>
          <w:color w:val="000000" w:themeColor="text1"/>
          <w:lang w:val="lv-LV"/>
        </w:rPr>
      </w:pPr>
    </w:p>
  </w:footnote>
  <w:footnote w:id="10">
    <w:p w14:paraId="79A0B946" w14:textId="77777777" w:rsidR="00EB3270" w:rsidRPr="00492A61" w:rsidRDefault="00EB3270" w:rsidP="0077183B">
      <w:pPr>
        <w:pStyle w:val="FootnoteText"/>
        <w:ind w:left="0" w:firstLine="0"/>
        <w:jc w:val="both"/>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lang w:val="lv-LV"/>
        </w:rPr>
        <w:t xml:space="preserve"> L</w:t>
      </w:r>
      <w:r w:rsidRPr="00492A61">
        <w:rPr>
          <w:rFonts w:eastAsia="Calibri"/>
          <w:color w:val="000000" w:themeColor="text1"/>
          <w:lang w:val="lv-LV"/>
        </w:rPr>
        <w:t xml:space="preserve">īdztekus EK kopējo metodoloģijas pielietošanas rezultātā iegūtajiem izlaižu starpību aprēķiniem, </w:t>
      </w:r>
      <w:r w:rsidRPr="00492A61">
        <w:rPr>
          <w:color w:val="000000" w:themeColor="text1"/>
          <w:lang w:val="lv-LV"/>
        </w:rPr>
        <w:t xml:space="preserve">jaunā EK </w:t>
      </w:r>
      <w:r w:rsidRPr="00492A61">
        <w:rPr>
          <w:rFonts w:eastAsia="Calibri"/>
          <w:color w:val="000000" w:themeColor="text1"/>
        </w:rPr>
        <w:t xml:space="preserve">procedūra </w:t>
      </w:r>
      <w:r w:rsidRPr="00492A61">
        <w:rPr>
          <w:rFonts w:eastAsia="Calibri"/>
          <w:color w:val="000000" w:themeColor="text1"/>
          <w:lang w:val="lv-LV"/>
        </w:rPr>
        <w:t>paredz ES valstīm veikt alternatīvu izlaižu starpības novērtējumu, pielietojot ticamības testu (</w:t>
      </w:r>
      <w:proofErr w:type="spellStart"/>
      <w:r w:rsidRPr="00492A61">
        <w:rPr>
          <w:rFonts w:eastAsia="Calibri"/>
          <w:i/>
          <w:color w:val="000000" w:themeColor="text1"/>
          <w:lang w:val="lv-LV"/>
        </w:rPr>
        <w:t>plausibility</w:t>
      </w:r>
      <w:proofErr w:type="spellEnd"/>
      <w:r w:rsidRPr="00492A61">
        <w:rPr>
          <w:rFonts w:eastAsia="Calibri"/>
          <w:i/>
          <w:color w:val="000000" w:themeColor="text1"/>
          <w:lang w:val="lv-LV"/>
        </w:rPr>
        <w:t xml:space="preserve"> </w:t>
      </w:r>
      <w:proofErr w:type="spellStart"/>
      <w:r w:rsidRPr="00492A61">
        <w:rPr>
          <w:rFonts w:eastAsia="Calibri"/>
          <w:i/>
          <w:color w:val="000000" w:themeColor="text1"/>
          <w:lang w:val="lv-LV"/>
        </w:rPr>
        <w:t>tool</w:t>
      </w:r>
      <w:proofErr w:type="spellEnd"/>
      <w:r w:rsidRPr="00492A61">
        <w:rPr>
          <w:rFonts w:eastAsia="Calibri"/>
          <w:color w:val="000000" w:themeColor="text1"/>
          <w:lang w:val="lv-LV"/>
        </w:rPr>
        <w:t>). Ticamības testa pielietošanas rezultātā tiek noteikts izlaižu starpības ticamo vērtību intervāls un tā centrālā vērtība. Ja tiek  secināts, ka ar kopējo metodoloģiju aprēķinātais izlaižu starpības lielums ir ārpus ticamo vērtību intervālā, kas noteikts pielietojot ticamības testu, EK, analizējot valsts makroekonomiskos rādītājus, valsts specifiskus faktorus un citu starptautisku institūciju (SVF, OECD) prognozes par izlaižu starpību, pieņem lēmumu par atbilstošāku izlaižu starpības vērtējumu. Vērtējums tiek veikts jauna intervāla robežās, kura augšējā robeža ir izlaižu starpības vērtība, kas iegūta pielietojot EK kopējo metodoloģiju, savukārt apakšējā robeža ir ar ticamības testu noteiktā izlaižu starpības ticamo vērtību intervāla centrālā vērtība.</w:t>
      </w:r>
    </w:p>
  </w:footnote>
  <w:footnote w:id="11">
    <w:p w14:paraId="08FB22A0" w14:textId="77777777" w:rsidR="00EB3270" w:rsidRPr="00492A61" w:rsidRDefault="00EB3270" w:rsidP="006B6037">
      <w:pPr>
        <w:pStyle w:val="FootnoteText"/>
        <w:rPr>
          <w:color w:val="000000" w:themeColor="text1"/>
        </w:rPr>
      </w:pPr>
      <w:r w:rsidRPr="00492A61">
        <w:rPr>
          <w:rStyle w:val="FootnoteReference"/>
          <w:rFonts w:ascii="Times New Roman" w:hAnsi="Times New Roman"/>
          <w:color w:val="000000" w:themeColor="text1"/>
        </w:rPr>
        <w:footnoteRef/>
      </w:r>
      <w:r w:rsidRPr="00492A61">
        <w:rPr>
          <w:color w:val="000000" w:themeColor="text1"/>
          <w:lang w:val="lv-LV"/>
        </w:rPr>
        <w:t xml:space="preserve">IMF </w:t>
      </w:r>
      <w:hyperlink r:id="rId1" w:history="1">
        <w:proofErr w:type="spellStart"/>
        <w:r w:rsidRPr="00492A61">
          <w:rPr>
            <w:color w:val="000000" w:themeColor="text1"/>
            <w:lang w:val="lv-LV"/>
          </w:rPr>
          <w:t>World</w:t>
        </w:r>
        <w:proofErr w:type="spellEnd"/>
        <w:r w:rsidRPr="00492A61">
          <w:rPr>
            <w:color w:val="000000" w:themeColor="text1"/>
            <w:lang w:val="lv-LV"/>
          </w:rPr>
          <w:t xml:space="preserve"> </w:t>
        </w:r>
        <w:proofErr w:type="spellStart"/>
        <w:r w:rsidRPr="00492A61">
          <w:rPr>
            <w:color w:val="000000" w:themeColor="text1"/>
            <w:lang w:val="lv-LV"/>
          </w:rPr>
          <w:t>Economic</w:t>
        </w:r>
        <w:proofErr w:type="spellEnd"/>
        <w:r w:rsidRPr="00492A61">
          <w:rPr>
            <w:color w:val="000000" w:themeColor="text1"/>
            <w:lang w:val="lv-LV"/>
          </w:rPr>
          <w:t xml:space="preserve"> Outlook </w:t>
        </w:r>
        <w:proofErr w:type="spellStart"/>
        <w:r w:rsidRPr="00492A61">
          <w:rPr>
            <w:color w:val="000000" w:themeColor="text1"/>
            <w:lang w:val="lv-LV"/>
          </w:rPr>
          <w:t>Database</w:t>
        </w:r>
        <w:proofErr w:type="spellEnd"/>
        <w:r w:rsidRPr="00492A61">
          <w:rPr>
            <w:color w:val="000000" w:themeColor="text1"/>
            <w:lang w:val="lv-LV"/>
          </w:rPr>
          <w:t xml:space="preserve">, </w:t>
        </w:r>
        <w:proofErr w:type="spellStart"/>
        <w:r w:rsidRPr="00492A61">
          <w:rPr>
            <w:color w:val="000000" w:themeColor="text1"/>
            <w:lang w:val="lv-LV"/>
          </w:rPr>
          <w:t>October</w:t>
        </w:r>
        <w:proofErr w:type="spellEnd"/>
        <w:r w:rsidRPr="00492A61">
          <w:rPr>
            <w:color w:val="000000" w:themeColor="text1"/>
          </w:rPr>
          <w:t xml:space="preserve"> </w:t>
        </w:r>
        <w:r w:rsidRPr="00492A61">
          <w:rPr>
            <w:color w:val="000000" w:themeColor="text1"/>
            <w:lang w:val="lv-LV"/>
          </w:rPr>
          <w:t>2016</w:t>
        </w:r>
      </w:hyperlink>
    </w:p>
  </w:footnote>
  <w:footnote w:id="12">
    <w:p w14:paraId="256C12B1" w14:textId="77777777" w:rsidR="00EB3270" w:rsidRPr="00492A61" w:rsidRDefault="00EB3270" w:rsidP="006B6037">
      <w:pPr>
        <w:pStyle w:val="FootnoteText"/>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w:t>
      </w:r>
      <w:r w:rsidRPr="00492A61">
        <w:rPr>
          <w:color w:val="000000" w:themeColor="text1"/>
          <w:lang w:val="lv-LV"/>
        </w:rPr>
        <w:t xml:space="preserve">OECD </w:t>
      </w:r>
      <w:proofErr w:type="spellStart"/>
      <w:r w:rsidRPr="00492A61">
        <w:rPr>
          <w:color w:val="000000" w:themeColor="text1"/>
          <w:lang w:val="lv-LV"/>
        </w:rPr>
        <w:t>draft</w:t>
      </w:r>
      <w:proofErr w:type="spellEnd"/>
      <w:r w:rsidRPr="00492A61">
        <w:rPr>
          <w:color w:val="000000" w:themeColor="text1"/>
          <w:lang w:val="lv-LV"/>
        </w:rPr>
        <w:t xml:space="preserve"> </w:t>
      </w:r>
      <w:proofErr w:type="spellStart"/>
      <w:r w:rsidRPr="00492A61">
        <w:rPr>
          <w:color w:val="000000" w:themeColor="text1"/>
          <w:lang w:val="lv-LV"/>
        </w:rPr>
        <w:t>report</w:t>
      </w:r>
      <w:proofErr w:type="spellEnd"/>
      <w:r w:rsidRPr="00492A61">
        <w:rPr>
          <w:color w:val="000000" w:themeColor="text1"/>
          <w:lang w:val="lv-LV"/>
        </w:rPr>
        <w:t xml:space="preserve"> </w:t>
      </w:r>
      <w:proofErr w:type="spellStart"/>
      <w:r w:rsidRPr="00492A61">
        <w:rPr>
          <w:color w:val="000000" w:themeColor="text1"/>
          <w:lang w:val="lv-LV"/>
        </w:rPr>
        <w:t>on</w:t>
      </w:r>
      <w:proofErr w:type="spellEnd"/>
      <w:r w:rsidRPr="00492A61">
        <w:rPr>
          <w:color w:val="000000" w:themeColor="text1"/>
          <w:lang w:val="lv-LV"/>
        </w:rPr>
        <w:t xml:space="preserve"> Latvia 2017</w:t>
      </w:r>
    </w:p>
  </w:footnote>
  <w:footnote w:id="13">
    <w:p w14:paraId="4A2C9614" w14:textId="77777777" w:rsidR="00EB3270" w:rsidRPr="00492A61" w:rsidRDefault="00EB3270" w:rsidP="002D4062">
      <w:pPr>
        <w:pStyle w:val="FootnoteText"/>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w:t>
      </w:r>
      <w:r w:rsidRPr="00492A61">
        <w:rPr>
          <w:color w:val="000000" w:themeColor="text1"/>
          <w:lang w:val="lv-LV"/>
        </w:rPr>
        <w:t xml:space="preserve">Nodokļu stratēģija 20/20: </w:t>
      </w:r>
      <w:r w:rsidRPr="00492A61">
        <w:rPr>
          <w:rStyle w:val="HTMLCite"/>
          <w:rFonts w:eastAsiaTheme="majorEastAsia"/>
          <w:i w:val="0"/>
          <w:color w:val="000000" w:themeColor="text1"/>
        </w:rPr>
        <w:t>https://www.makroekonomika.lv/nodoklu-strategija-2020</w:t>
      </w:r>
    </w:p>
  </w:footnote>
  <w:footnote w:id="14">
    <w:p w14:paraId="7E710D4D" w14:textId="77777777" w:rsidR="00EB3270" w:rsidRPr="00492A61" w:rsidRDefault="00EB3270" w:rsidP="005F4C67">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Latvijai šis rādītājs ir noteikts 1,7% no IKP.</w:t>
      </w:r>
    </w:p>
  </w:footnote>
  <w:footnote w:id="15">
    <w:p w14:paraId="521850F6" w14:textId="77777777" w:rsidR="00EB3270" w:rsidRPr="00492A61" w:rsidRDefault="00EB3270" w:rsidP="005F4C67">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Pasaules banka, 2014.gads.</w:t>
      </w:r>
    </w:p>
  </w:footnote>
  <w:footnote w:id="16">
    <w:p w14:paraId="09E6CF4D" w14:textId="77777777" w:rsidR="00EB3270" w:rsidRPr="00492A61" w:rsidRDefault="00EB3270" w:rsidP="005F4C67">
      <w:pPr>
        <w:pStyle w:val="FootnoteText"/>
        <w:rPr>
          <w:i/>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Datu avots: </w:t>
      </w:r>
      <w:proofErr w:type="spellStart"/>
      <w:r w:rsidRPr="00492A61">
        <w:rPr>
          <w:i/>
          <w:color w:val="000000" w:themeColor="text1"/>
        </w:rPr>
        <w:t>Eurostat</w:t>
      </w:r>
      <w:proofErr w:type="spellEnd"/>
    </w:p>
  </w:footnote>
  <w:footnote w:id="17">
    <w:p w14:paraId="76AB7FF5" w14:textId="77777777" w:rsidR="00EB3270" w:rsidRPr="00492A61" w:rsidRDefault="00EB3270" w:rsidP="005F4C67">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Ieguvumu apmērs, pieņemot, ka tiek izpildīts NAP 2020 mērķis samazināt PZDG (līdz 64 </w:t>
      </w:r>
      <w:proofErr w:type="spellStart"/>
      <w:r w:rsidRPr="00492A61">
        <w:rPr>
          <w:color w:val="000000" w:themeColor="text1"/>
        </w:rPr>
        <w:t>g.v</w:t>
      </w:r>
      <w:proofErr w:type="spellEnd"/>
      <w:r w:rsidRPr="00492A61">
        <w:rPr>
          <w:color w:val="000000" w:themeColor="text1"/>
        </w:rPr>
        <w:t>.) rādītāju līdz 5300 uz 100 000 iedzīvotāju 2020.gadā.</w:t>
      </w:r>
    </w:p>
  </w:footnote>
  <w:footnote w:id="18">
    <w:p w14:paraId="64315D9B" w14:textId="786EC276" w:rsidR="00EB3270" w:rsidRPr="00492A61" w:rsidRDefault="00EB3270" w:rsidP="008D2CD3">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Ieguvumu apmērs, pieņemot, ka tiek sasniegts Slimību profilakses un kontroles centra prognozēto PZDG samazinājums līdz 4786 gadiem uz 100 000 iedzīvotājiem 2020.gadā.</w:t>
      </w:r>
    </w:p>
  </w:footnote>
  <w:footnote w:id="19">
    <w:p w14:paraId="54E0FFB0" w14:textId="77777777" w:rsidR="00EB3270" w:rsidRPr="00492A61" w:rsidRDefault="00EB3270" w:rsidP="005F4C67">
      <w:pPr>
        <w:pStyle w:val="FootnoteText"/>
        <w:rPr>
          <w:bCs/>
          <w:color w:val="000000" w:themeColor="text1"/>
          <w:kern w:val="36"/>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w:t>
      </w:r>
      <w:r w:rsidRPr="00492A61">
        <w:rPr>
          <w:bCs/>
          <w:color w:val="000000" w:themeColor="text1"/>
          <w:kern w:val="36"/>
        </w:rPr>
        <w:t>Kopējais VM budžets pamatfunkcijām, milj. EUR, 0-64 gadi: scenārijs atbilstoši Latvijas Universitātes pētījumam:  “</w:t>
      </w:r>
      <w:proofErr w:type="spellStart"/>
      <w:r w:rsidRPr="00492A61">
        <w:rPr>
          <w:bCs/>
          <w:color w:val="000000" w:themeColor="text1"/>
          <w:kern w:val="36"/>
        </w:rPr>
        <w:t>Izvērtējums</w:t>
      </w:r>
      <w:proofErr w:type="spellEnd"/>
      <w:r w:rsidRPr="00492A61">
        <w:rPr>
          <w:bCs/>
          <w:color w:val="000000" w:themeColor="text1"/>
          <w:kern w:val="36"/>
        </w:rPr>
        <w:t xml:space="preserve"> Sabiedrības veselības pamatnostādņu 2014.–2020.gadam izstrādei” un faktiskais finansējuma pieaugums minētajai mērķa grupai ieskaitot deficīta atkāpes finansējumu. </w:t>
      </w:r>
    </w:p>
  </w:footnote>
  <w:footnote w:id="20">
    <w:p w14:paraId="56BDF0DB" w14:textId="77777777" w:rsidR="00EB3270" w:rsidRPr="00492A61" w:rsidRDefault="00EB3270" w:rsidP="005F4C67">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Tiek novērtēta kopējā intervences ietekme, ņemot vērā ambulatoro pakalpojumu dažādību un to ietekmi uz dažādām saslimšanas diagnozēm</w:t>
      </w:r>
    </w:p>
  </w:footnote>
  <w:footnote w:id="21">
    <w:p w14:paraId="6F7C1FD5" w14:textId="14CAC875" w:rsidR="00EB3270" w:rsidRPr="00492A61" w:rsidRDefault="00EB3270">
      <w:pPr>
        <w:pStyle w:val="FootnoteText"/>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w:t>
      </w:r>
      <w:proofErr w:type="spellStart"/>
      <w:r w:rsidRPr="00492A61">
        <w:rPr>
          <w:color w:val="000000" w:themeColor="text1"/>
        </w:rPr>
        <w:t>Global</w:t>
      </w:r>
      <w:proofErr w:type="spellEnd"/>
      <w:r w:rsidRPr="00492A61">
        <w:rPr>
          <w:color w:val="000000" w:themeColor="text1"/>
        </w:rPr>
        <w:t xml:space="preserve"> </w:t>
      </w:r>
      <w:proofErr w:type="spellStart"/>
      <w:r w:rsidRPr="00492A61">
        <w:rPr>
          <w:color w:val="000000" w:themeColor="text1"/>
        </w:rPr>
        <w:t>health</w:t>
      </w:r>
      <w:proofErr w:type="spellEnd"/>
      <w:r w:rsidRPr="00492A61">
        <w:rPr>
          <w:color w:val="000000" w:themeColor="text1"/>
        </w:rPr>
        <w:t xml:space="preserve"> </w:t>
      </w:r>
      <w:proofErr w:type="spellStart"/>
      <w:r w:rsidRPr="00492A61">
        <w:rPr>
          <w:color w:val="000000" w:themeColor="text1"/>
        </w:rPr>
        <w:t>sector</w:t>
      </w:r>
      <w:proofErr w:type="spellEnd"/>
      <w:r w:rsidRPr="00492A61">
        <w:rPr>
          <w:color w:val="000000" w:themeColor="text1"/>
        </w:rPr>
        <w:t xml:space="preserve"> </w:t>
      </w:r>
      <w:proofErr w:type="spellStart"/>
      <w:r w:rsidRPr="00492A61">
        <w:rPr>
          <w:color w:val="000000" w:themeColor="text1"/>
        </w:rPr>
        <w:t>strategy</w:t>
      </w:r>
      <w:proofErr w:type="spellEnd"/>
      <w:r w:rsidRPr="00492A61">
        <w:rPr>
          <w:color w:val="000000" w:themeColor="text1"/>
        </w:rPr>
        <w:t xml:space="preserve"> </w:t>
      </w:r>
      <w:proofErr w:type="spellStart"/>
      <w:r w:rsidRPr="00492A61">
        <w:rPr>
          <w:color w:val="000000" w:themeColor="text1"/>
        </w:rPr>
        <w:t>on</w:t>
      </w:r>
      <w:proofErr w:type="spellEnd"/>
      <w:r w:rsidRPr="00492A61">
        <w:rPr>
          <w:color w:val="000000" w:themeColor="text1"/>
        </w:rPr>
        <w:t xml:space="preserve"> </w:t>
      </w:r>
      <w:proofErr w:type="spellStart"/>
      <w:r w:rsidRPr="00492A61">
        <w:rPr>
          <w:color w:val="000000" w:themeColor="text1"/>
        </w:rPr>
        <w:t>viral</w:t>
      </w:r>
      <w:proofErr w:type="spellEnd"/>
      <w:r w:rsidRPr="00492A61">
        <w:rPr>
          <w:color w:val="000000" w:themeColor="text1"/>
        </w:rPr>
        <w:t xml:space="preserve"> </w:t>
      </w:r>
      <w:proofErr w:type="spellStart"/>
      <w:r w:rsidRPr="00492A61">
        <w:rPr>
          <w:color w:val="000000" w:themeColor="text1"/>
        </w:rPr>
        <w:t>hepatitis</w:t>
      </w:r>
      <w:proofErr w:type="spellEnd"/>
      <w:r w:rsidRPr="00492A61">
        <w:rPr>
          <w:color w:val="000000" w:themeColor="text1"/>
        </w:rPr>
        <w:t xml:space="preserve"> 2016-2021</w:t>
      </w:r>
    </w:p>
  </w:footnote>
  <w:footnote w:id="22">
    <w:p w14:paraId="2A15AAD2" w14:textId="77777777" w:rsidR="00EB3270" w:rsidRPr="00492A61" w:rsidRDefault="00EB3270" w:rsidP="005F4C67">
      <w:pPr>
        <w:pStyle w:val="FootnoteText"/>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ASV bāzēts sabiedrības veselības pētījumu uzņēmums, kura pamatdarbības jomas ir epidemioloģija un slimību izplatības modelēšana, tai skaitā slimību ekonomiskās ietekmes analīze. http://centerforda.com/about_us.htm</w:t>
      </w:r>
    </w:p>
  </w:footnote>
  <w:footnote w:id="23">
    <w:p w14:paraId="29E9CC54" w14:textId="77777777" w:rsidR="00EB3270" w:rsidRPr="00492A61" w:rsidRDefault="00EB3270" w:rsidP="00712C58">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Diskontēts 2014.gada vērtībās; kumulatīvais efekts.</w:t>
      </w:r>
    </w:p>
  </w:footnote>
  <w:footnote w:id="24">
    <w:p w14:paraId="09506A0B" w14:textId="77777777" w:rsidR="00EB3270" w:rsidRPr="00492A61" w:rsidRDefault="00EB3270" w:rsidP="00712C58">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X apzīmē 2013.gadu. </w:t>
      </w:r>
    </w:p>
  </w:footnote>
  <w:footnote w:id="25">
    <w:p w14:paraId="6D00CBF6" w14:textId="77777777" w:rsidR="00EB3270" w:rsidRPr="00492A61" w:rsidRDefault="00EB3270" w:rsidP="00712C58">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Tautsaimniecības izlaide dalīta ar 2014.gada IKP faktiskajās cenās.</w:t>
      </w:r>
    </w:p>
  </w:footnote>
  <w:footnote w:id="26">
    <w:p w14:paraId="529D7D66" w14:textId="77777777" w:rsidR="00EB3270" w:rsidRPr="00492A61" w:rsidRDefault="00EB3270" w:rsidP="00712C58">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Nodarbinātības pieaugums dalīts ar nodarbināto skaitu vecuma grupā 15-64 gadi (2012.gadā).</w:t>
      </w:r>
    </w:p>
  </w:footnote>
  <w:footnote w:id="27">
    <w:p w14:paraId="7EE09495" w14:textId="77777777" w:rsidR="00EB3270" w:rsidRPr="00492A61" w:rsidRDefault="00EB3270" w:rsidP="00712C58">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Tiešā fiskālā ietekme, kas attiecināma uz vecuma grupu – 0-64 gadi.</w:t>
      </w:r>
    </w:p>
  </w:footnote>
  <w:footnote w:id="28">
    <w:p w14:paraId="08B112DD" w14:textId="77777777" w:rsidR="00EB3270" w:rsidRPr="00492A61" w:rsidRDefault="00EB3270" w:rsidP="00712C58">
      <w:pPr>
        <w:pStyle w:val="FootnoteText"/>
        <w:jc w:val="both"/>
        <w:rPr>
          <w:color w:val="000000" w:themeColor="text1"/>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Novērtējot netiešo ietekmi uz budžetu, tiek izmantota budžeta bilances elastība 0,43 (5 gadiem) un 0,41 (10 gadi un vairāk.</w:t>
      </w:r>
    </w:p>
  </w:footnote>
  <w:footnote w:id="29">
    <w:p w14:paraId="1C794614" w14:textId="77777777" w:rsidR="00EB3270" w:rsidRPr="00492A61" w:rsidRDefault="00EB3270" w:rsidP="00C6773B">
      <w:pPr>
        <w:pStyle w:val="FootnoteText"/>
        <w:spacing w:after="240"/>
        <w:jc w:val="both"/>
        <w:rPr>
          <w:color w:val="000000" w:themeColor="text1"/>
          <w:lang w:val="lv-LV"/>
        </w:rPr>
      </w:pPr>
      <w:r w:rsidRPr="00492A61">
        <w:rPr>
          <w:rStyle w:val="FootnoteReference"/>
          <w:rFonts w:ascii="Times New Roman" w:eastAsiaTheme="majorEastAsia" w:hAnsi="Times New Roman"/>
          <w:color w:val="000000" w:themeColor="text1"/>
        </w:rPr>
        <w:footnoteRef/>
      </w:r>
      <w:r w:rsidRPr="00492A61">
        <w:rPr>
          <w:color w:val="000000" w:themeColor="text1"/>
        </w:rPr>
        <w:t xml:space="preserve"> </w:t>
      </w:r>
      <w:r w:rsidRPr="00492A61">
        <w:rPr>
          <w:color w:val="000000" w:themeColor="text1"/>
          <w:lang w:val="lv-LV"/>
        </w:rPr>
        <w:t xml:space="preserve">    </w:t>
      </w:r>
      <w:r w:rsidRPr="00492A61">
        <w:rPr>
          <w:color w:val="000000" w:themeColor="text1"/>
        </w:rPr>
        <w:t>Budžeta bilances cikliskās komponentes aprēķinā izmantota budžeta pus-elast</w:t>
      </w:r>
      <w:r w:rsidRPr="00492A61">
        <w:rPr>
          <w:color w:val="000000" w:themeColor="text1"/>
          <w:lang w:val="lv-LV"/>
        </w:rPr>
        <w:t>ība</w:t>
      </w:r>
      <w:r w:rsidRPr="00492A61">
        <w:rPr>
          <w:color w:val="000000" w:themeColor="text1"/>
        </w:rPr>
        <w:t xml:space="preserve"> 0,3</w:t>
      </w:r>
      <w:r w:rsidRPr="00492A61">
        <w:rPr>
          <w:color w:val="000000" w:themeColor="text1"/>
          <w:lang w:val="lv-LV"/>
        </w:rPr>
        <w:t>8</w:t>
      </w:r>
      <w:r w:rsidRPr="00492A61">
        <w:rPr>
          <w:color w:val="000000" w:themeColor="text1"/>
        </w:rPr>
        <w:t xml:space="preserve"> (Datu avots: </w:t>
      </w:r>
      <w:r w:rsidRPr="00492A61">
        <w:rPr>
          <w:color w:val="000000" w:themeColor="text1"/>
          <w:lang w:val="en-GB"/>
        </w:rPr>
        <w:t>Adjusting the budget balance for the business cycle: the EU methodology</w:t>
      </w:r>
      <w:r w:rsidRPr="00492A61">
        <w:rPr>
          <w:noProof/>
          <w:color w:val="000000" w:themeColor="text1"/>
          <w:lang w:val="en-GB"/>
        </w:rPr>
        <w:t>, Economic Papers 536, November 2014).</w:t>
      </w:r>
    </w:p>
  </w:footnote>
  <w:footnote w:id="30">
    <w:p w14:paraId="182DA5A3" w14:textId="77777777" w:rsidR="00EB3270" w:rsidRDefault="00EB3270" w:rsidP="00342AA7">
      <w:pPr>
        <w:pStyle w:val="FootnoteText"/>
      </w:pPr>
      <w:r>
        <w:rPr>
          <w:rStyle w:val="FootnoteReference"/>
        </w:rPr>
        <w:footnoteRef/>
      </w:r>
      <w:r>
        <w:t xml:space="preserve"> Ņemot vērā </w:t>
      </w:r>
      <w:r w:rsidRPr="0060070B">
        <w:t>Valsts kases administrētajiem ārējiem aizņēmumiem un parāda vērtspapīriem piesaistīto atvasināto finanšu instrumentu valūtas rezultāt</w:t>
      </w:r>
      <w:r>
        <w:t>u</w:t>
      </w:r>
    </w:p>
  </w:footnote>
  <w:footnote w:id="31">
    <w:p w14:paraId="275D824E" w14:textId="77777777" w:rsidR="00EB3270" w:rsidRPr="00492A61" w:rsidRDefault="00EB3270" w:rsidP="00CE6BCD">
      <w:pPr>
        <w:pStyle w:val="FootnoteText"/>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w:t>
      </w:r>
      <w:r w:rsidRPr="00492A61">
        <w:rPr>
          <w:color w:val="000000" w:themeColor="text1"/>
          <w:lang w:val="lv-LV"/>
        </w:rPr>
        <w:t>Šeit un turpmākajās nodokļu politikas izmaiņu ietekmes tabulās atspoguļota ieviešanas gada ietekme</w:t>
      </w:r>
    </w:p>
  </w:footnote>
  <w:footnote w:id="32">
    <w:p w14:paraId="495CAD3F" w14:textId="77777777" w:rsidR="00EB3270" w:rsidRPr="00492A61" w:rsidRDefault="00EB3270" w:rsidP="00CE6BCD">
      <w:pPr>
        <w:pStyle w:val="FootnoteText"/>
        <w:rPr>
          <w:color w:val="000000" w:themeColor="text1"/>
        </w:rPr>
      </w:pPr>
      <w:r w:rsidRPr="00492A61">
        <w:rPr>
          <w:rStyle w:val="FootnoteReference"/>
          <w:rFonts w:ascii="Times New Roman" w:hAnsi="Times New Roman"/>
          <w:color w:val="000000" w:themeColor="text1"/>
        </w:rPr>
        <w:footnoteRef/>
      </w:r>
      <w:r w:rsidRPr="00492A61">
        <w:rPr>
          <w:color w:val="000000" w:themeColor="text1"/>
        </w:rPr>
        <w:t xml:space="preserve"> Neskaitot iemaksas valsts </w:t>
      </w:r>
      <w:proofErr w:type="spellStart"/>
      <w:r w:rsidRPr="00492A61">
        <w:rPr>
          <w:color w:val="000000" w:themeColor="text1"/>
        </w:rPr>
        <w:t>fondēto</w:t>
      </w:r>
      <w:proofErr w:type="spellEnd"/>
      <w:r w:rsidRPr="00492A61">
        <w:rPr>
          <w:color w:val="000000" w:themeColor="text1"/>
        </w:rPr>
        <w:t xml:space="preserve"> pensiju shēmā.</w:t>
      </w:r>
    </w:p>
  </w:footnote>
  <w:footnote w:id="33">
    <w:p w14:paraId="036F3719" w14:textId="4B708FB5" w:rsidR="00EB3270" w:rsidRPr="00492A61" w:rsidRDefault="00EB3270" w:rsidP="00CE6BCD">
      <w:pPr>
        <w:spacing w:after="0"/>
        <w:rPr>
          <w:rFonts w:ascii="Times New Roman" w:hAnsi="Times New Roman" w:cs="Times New Roman"/>
          <w:color w:val="000000" w:themeColor="text1"/>
          <w:sz w:val="20"/>
          <w:szCs w:val="20"/>
        </w:rPr>
      </w:pPr>
      <w:r w:rsidRPr="00492A61">
        <w:rPr>
          <w:rStyle w:val="FootnoteReference"/>
          <w:rFonts w:ascii="Times New Roman" w:hAnsi="Times New Roman" w:cs="Times New Roman"/>
          <w:color w:val="000000" w:themeColor="text1"/>
          <w:szCs w:val="20"/>
        </w:rPr>
        <w:footnoteRef/>
      </w:r>
      <w:r w:rsidRPr="00492A61">
        <w:rPr>
          <w:rFonts w:ascii="Times New Roman" w:hAnsi="Times New Roman" w:cs="Times New Roman"/>
          <w:color w:val="000000" w:themeColor="text1"/>
          <w:sz w:val="20"/>
          <w:szCs w:val="20"/>
        </w:rPr>
        <w:t>S</w:t>
      </w:r>
      <w:r w:rsidRPr="00492A61">
        <w:rPr>
          <w:rFonts w:ascii="Times New Roman" w:hAnsi="Times New Roman" w:cs="Times New Roman"/>
          <w:iCs/>
          <w:color w:val="000000" w:themeColor="text1"/>
          <w:sz w:val="20"/>
          <w:szCs w:val="20"/>
        </w:rPr>
        <w:t>askaņā ar</w:t>
      </w:r>
      <w:r w:rsidRPr="00492A61">
        <w:rPr>
          <w:rFonts w:ascii="Times New Roman" w:hAnsi="Times New Roman" w:cs="Times New Roman"/>
          <w:color w:val="000000" w:themeColor="text1"/>
          <w:sz w:val="20"/>
          <w:szCs w:val="20"/>
        </w:rPr>
        <w:t xml:space="preserve"> EKS metodoloģiju, sociālās apdrošināšanas iemaksas, kas tiek novirzītas valsts </w:t>
      </w:r>
      <w:proofErr w:type="spellStart"/>
      <w:r w:rsidRPr="00492A61">
        <w:rPr>
          <w:rFonts w:ascii="Times New Roman" w:hAnsi="Times New Roman" w:cs="Times New Roman"/>
          <w:color w:val="000000" w:themeColor="text1"/>
          <w:sz w:val="20"/>
          <w:szCs w:val="20"/>
        </w:rPr>
        <w:t>fondēto</w:t>
      </w:r>
      <w:proofErr w:type="spellEnd"/>
      <w:r w:rsidRPr="00492A61">
        <w:rPr>
          <w:rFonts w:ascii="Times New Roman" w:hAnsi="Times New Roman" w:cs="Times New Roman"/>
          <w:color w:val="000000" w:themeColor="text1"/>
          <w:sz w:val="20"/>
          <w:szCs w:val="20"/>
        </w:rPr>
        <w:t xml:space="preserve"> pensiju shēmā, netiek uzskaitītas kā vispārējās valdības budžeta ieņēmumi.</w:t>
      </w:r>
    </w:p>
  </w:footnote>
  <w:footnote w:id="34">
    <w:p w14:paraId="5CA176C6" w14:textId="77777777" w:rsidR="00EB3270" w:rsidRPr="00492A61" w:rsidRDefault="00EB3270" w:rsidP="00CE6BCD">
      <w:pPr>
        <w:pStyle w:val="FootnoteText"/>
        <w:rPr>
          <w:color w:val="000000" w:themeColor="text1"/>
          <w:lang w:val="lv-LV"/>
        </w:rPr>
      </w:pPr>
      <w:r w:rsidRPr="00492A61">
        <w:rPr>
          <w:rStyle w:val="FootnoteReference"/>
          <w:rFonts w:ascii="Times New Roman" w:hAnsi="Times New Roman"/>
          <w:color w:val="000000" w:themeColor="text1"/>
        </w:rPr>
        <w:footnoteRef/>
      </w:r>
      <w:r w:rsidRPr="00492A61">
        <w:rPr>
          <w:color w:val="000000" w:themeColor="text1"/>
        </w:rPr>
        <w:t xml:space="preserve"> Neskaitot iemaksas valsts </w:t>
      </w:r>
      <w:proofErr w:type="spellStart"/>
      <w:r w:rsidRPr="00492A61">
        <w:rPr>
          <w:color w:val="000000" w:themeColor="text1"/>
        </w:rPr>
        <w:t>fondēto</w:t>
      </w:r>
      <w:proofErr w:type="spellEnd"/>
      <w:r w:rsidRPr="00492A61">
        <w:rPr>
          <w:color w:val="000000" w:themeColor="text1"/>
        </w:rPr>
        <w:t xml:space="preserve"> pensiju shēmā.</w:t>
      </w:r>
    </w:p>
  </w:footnote>
  <w:footnote w:id="35">
    <w:p w14:paraId="561ABCEF" w14:textId="0CE0552C" w:rsidR="00EB3270" w:rsidRPr="00492A61" w:rsidRDefault="00EB3270" w:rsidP="00766D30">
      <w:pPr>
        <w:spacing w:after="0" w:line="240" w:lineRule="auto"/>
        <w:jc w:val="both"/>
        <w:rPr>
          <w:rFonts w:ascii="Times New Roman" w:hAnsi="Times New Roman" w:cs="Times New Roman"/>
          <w:color w:val="000000" w:themeColor="text1"/>
          <w:sz w:val="20"/>
          <w:szCs w:val="20"/>
          <w:lang w:val="en-GB"/>
        </w:rPr>
      </w:pPr>
      <w:r w:rsidRPr="00492A61">
        <w:rPr>
          <w:rStyle w:val="FootnoteReference"/>
          <w:rFonts w:ascii="Times New Roman" w:hAnsi="Times New Roman" w:cs="Times New Roman"/>
          <w:color w:val="000000" w:themeColor="text1"/>
          <w:szCs w:val="20"/>
          <w:lang w:val="en-GB"/>
        </w:rPr>
        <w:footnoteRef/>
      </w:r>
      <w:r w:rsidRPr="00492A61">
        <w:rPr>
          <w:rFonts w:ascii="Times New Roman" w:hAnsi="Times New Roman" w:cs="Times New Roman"/>
          <w:color w:val="000000" w:themeColor="text1"/>
          <w:sz w:val="20"/>
          <w:szCs w:val="20"/>
          <w:lang w:val="en-GB"/>
        </w:rPr>
        <w:t xml:space="preserve"> </w:t>
      </w:r>
      <w:r w:rsidRPr="00492A61">
        <w:rPr>
          <w:rFonts w:ascii="Times New Roman" w:eastAsia="Times New Roman" w:hAnsi="Times New Roman" w:cs="Times New Roman"/>
          <w:color w:val="000000" w:themeColor="text1"/>
          <w:sz w:val="20"/>
          <w:szCs w:val="20"/>
          <w:lang w:eastAsia="lv-LV"/>
        </w:rPr>
        <w:t xml:space="preserve">Datu avots: AWG, </w:t>
      </w:r>
      <w:proofErr w:type="spellStart"/>
      <w:r w:rsidRPr="00492A61">
        <w:rPr>
          <w:rFonts w:ascii="Times New Roman" w:eastAsia="Times New Roman" w:hAnsi="Times New Roman" w:cs="Times New Roman"/>
          <w:color w:val="000000" w:themeColor="text1"/>
          <w:sz w:val="20"/>
          <w:szCs w:val="20"/>
          <w:lang w:eastAsia="lv-LV"/>
        </w:rPr>
        <w:t>The</w:t>
      </w:r>
      <w:proofErr w:type="spellEnd"/>
      <w:r w:rsidRPr="00492A61">
        <w:rPr>
          <w:rFonts w:ascii="Times New Roman" w:eastAsia="Times New Roman" w:hAnsi="Times New Roman" w:cs="Times New Roman"/>
          <w:color w:val="000000" w:themeColor="text1"/>
          <w:sz w:val="20"/>
          <w:szCs w:val="20"/>
          <w:lang w:eastAsia="lv-LV"/>
        </w:rPr>
        <w:t xml:space="preserve"> 2015 </w:t>
      </w:r>
      <w:proofErr w:type="spellStart"/>
      <w:r w:rsidRPr="00492A61">
        <w:rPr>
          <w:rFonts w:ascii="Times New Roman" w:eastAsia="Times New Roman" w:hAnsi="Times New Roman" w:cs="Times New Roman"/>
          <w:color w:val="000000" w:themeColor="text1"/>
          <w:sz w:val="20"/>
          <w:szCs w:val="20"/>
          <w:lang w:eastAsia="lv-LV"/>
        </w:rPr>
        <w:t>Ageing</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Report</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Underlying</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Assumptions</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and</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Projection</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Methodologies</w:t>
      </w:r>
      <w:proofErr w:type="spellEnd"/>
      <w:r w:rsidRPr="00492A61">
        <w:rPr>
          <w:rFonts w:ascii="Times New Roman" w:eastAsia="Times New Roman" w:hAnsi="Times New Roman" w:cs="Times New Roman"/>
          <w:color w:val="000000" w:themeColor="text1"/>
          <w:sz w:val="20"/>
          <w:szCs w:val="20"/>
          <w:lang w:eastAsia="lv-LV"/>
        </w:rPr>
        <w:t xml:space="preserve">, 2014; </w:t>
      </w:r>
      <w:proofErr w:type="spellStart"/>
      <w:r w:rsidRPr="00492A61">
        <w:rPr>
          <w:rFonts w:ascii="Times New Roman" w:eastAsia="Times New Roman" w:hAnsi="Times New Roman" w:cs="Times New Roman"/>
          <w:color w:val="000000" w:themeColor="text1"/>
          <w:sz w:val="20"/>
          <w:szCs w:val="20"/>
          <w:lang w:eastAsia="lv-LV"/>
        </w:rPr>
        <w:t>The</w:t>
      </w:r>
      <w:proofErr w:type="spellEnd"/>
      <w:r w:rsidRPr="00492A61">
        <w:rPr>
          <w:rFonts w:ascii="Times New Roman" w:eastAsia="Times New Roman" w:hAnsi="Times New Roman" w:cs="Times New Roman"/>
          <w:color w:val="000000" w:themeColor="text1"/>
          <w:sz w:val="20"/>
          <w:szCs w:val="20"/>
          <w:lang w:eastAsia="lv-LV"/>
        </w:rPr>
        <w:t xml:space="preserve"> 2015 </w:t>
      </w:r>
      <w:proofErr w:type="spellStart"/>
      <w:r w:rsidRPr="00492A61">
        <w:rPr>
          <w:rFonts w:ascii="Times New Roman" w:eastAsia="Times New Roman" w:hAnsi="Times New Roman" w:cs="Times New Roman"/>
          <w:color w:val="000000" w:themeColor="text1"/>
          <w:sz w:val="20"/>
          <w:szCs w:val="20"/>
          <w:lang w:eastAsia="lv-LV"/>
        </w:rPr>
        <w:t>Ageing</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Report</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Economic</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and</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budgetary</w:t>
      </w:r>
      <w:proofErr w:type="spellEnd"/>
      <w:r w:rsidRPr="00492A61">
        <w:rPr>
          <w:rFonts w:ascii="Times New Roman" w:eastAsia="Times New Roman" w:hAnsi="Times New Roman" w:cs="Times New Roman"/>
          <w:color w:val="000000" w:themeColor="text1"/>
          <w:sz w:val="20"/>
          <w:szCs w:val="20"/>
          <w:lang w:eastAsia="lv-LV"/>
        </w:rPr>
        <w:br/>
      </w:r>
      <w:proofErr w:type="spellStart"/>
      <w:r w:rsidRPr="00492A61">
        <w:rPr>
          <w:rFonts w:ascii="Times New Roman" w:eastAsia="Times New Roman" w:hAnsi="Times New Roman" w:cs="Times New Roman"/>
          <w:color w:val="000000" w:themeColor="text1"/>
          <w:sz w:val="20"/>
          <w:szCs w:val="20"/>
          <w:lang w:eastAsia="lv-LV"/>
        </w:rPr>
        <w:t>projections</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for</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the</w:t>
      </w:r>
      <w:proofErr w:type="spellEnd"/>
      <w:r w:rsidRPr="00492A61">
        <w:rPr>
          <w:rFonts w:ascii="Times New Roman" w:eastAsia="Times New Roman" w:hAnsi="Times New Roman" w:cs="Times New Roman"/>
          <w:color w:val="000000" w:themeColor="text1"/>
          <w:sz w:val="20"/>
          <w:szCs w:val="20"/>
          <w:lang w:eastAsia="lv-LV"/>
        </w:rPr>
        <w:t xml:space="preserve"> 28 EU </w:t>
      </w:r>
      <w:proofErr w:type="spellStart"/>
      <w:r w:rsidRPr="00492A61">
        <w:rPr>
          <w:rFonts w:ascii="Times New Roman" w:eastAsia="Times New Roman" w:hAnsi="Times New Roman" w:cs="Times New Roman"/>
          <w:color w:val="000000" w:themeColor="text1"/>
          <w:sz w:val="20"/>
          <w:szCs w:val="20"/>
          <w:lang w:eastAsia="lv-LV"/>
        </w:rPr>
        <w:t>Member</w:t>
      </w:r>
      <w:proofErr w:type="spellEnd"/>
      <w:r w:rsidRPr="00492A61">
        <w:rPr>
          <w:rFonts w:ascii="Times New Roman" w:eastAsia="Times New Roman" w:hAnsi="Times New Roman" w:cs="Times New Roman"/>
          <w:color w:val="000000" w:themeColor="text1"/>
          <w:sz w:val="20"/>
          <w:szCs w:val="20"/>
          <w:lang w:eastAsia="lv-LV"/>
        </w:rPr>
        <w:t xml:space="preserve"> </w:t>
      </w:r>
      <w:proofErr w:type="spellStart"/>
      <w:r w:rsidRPr="00492A61">
        <w:rPr>
          <w:rFonts w:ascii="Times New Roman" w:eastAsia="Times New Roman" w:hAnsi="Times New Roman" w:cs="Times New Roman"/>
          <w:color w:val="000000" w:themeColor="text1"/>
          <w:sz w:val="20"/>
          <w:szCs w:val="20"/>
          <w:lang w:eastAsia="lv-LV"/>
        </w:rPr>
        <w:t>States</w:t>
      </w:r>
      <w:proofErr w:type="spellEnd"/>
      <w:r w:rsidRPr="00492A61">
        <w:rPr>
          <w:rFonts w:ascii="Times New Roman" w:eastAsia="Times New Roman" w:hAnsi="Times New Roman" w:cs="Times New Roman"/>
          <w:color w:val="000000" w:themeColor="text1"/>
          <w:sz w:val="20"/>
          <w:szCs w:val="20"/>
          <w:lang w:eastAsia="lv-LV"/>
        </w:rPr>
        <w:t xml:space="preserve"> (2013-2060)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967"/>
    <w:multiLevelType w:val="hybridMultilevel"/>
    <w:tmpl w:val="84E26610"/>
    <w:lvl w:ilvl="0" w:tplc="04260001">
      <w:start w:val="1"/>
      <w:numFmt w:val="bullet"/>
      <w:lvlText w:val=""/>
      <w:lvlJc w:val="left"/>
      <w:pPr>
        <w:ind w:left="1080" w:hanging="360"/>
      </w:pPr>
      <w:rPr>
        <w:rFonts w:ascii="Symbol" w:hAnsi="Symbol" w:hint="default"/>
      </w:rPr>
    </w:lvl>
    <w:lvl w:ilvl="1" w:tplc="DCE832EE">
      <w:numFmt w:val="bullet"/>
      <w:lvlText w:val="•"/>
      <w:lvlJc w:val="left"/>
      <w:pPr>
        <w:ind w:left="2160" w:hanging="720"/>
      </w:pPr>
      <w:rPr>
        <w:rFonts w:ascii="Times New Roman" w:eastAsia="Calibri" w:hAnsi="Times New Roman"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33F47AC"/>
    <w:multiLevelType w:val="hybridMultilevel"/>
    <w:tmpl w:val="8A9AC17A"/>
    <w:lvl w:ilvl="0" w:tplc="04260001">
      <w:start w:val="1"/>
      <w:numFmt w:val="bullet"/>
      <w:lvlText w:val=""/>
      <w:lvlJc w:val="left"/>
      <w:pPr>
        <w:ind w:left="2289" w:hanging="360"/>
      </w:pPr>
      <w:rPr>
        <w:rFonts w:ascii="Symbol" w:hAnsi="Symbol" w:hint="default"/>
      </w:rPr>
    </w:lvl>
    <w:lvl w:ilvl="1" w:tplc="04260003">
      <w:start w:val="1"/>
      <w:numFmt w:val="bullet"/>
      <w:lvlText w:val="o"/>
      <w:lvlJc w:val="left"/>
      <w:pPr>
        <w:ind w:left="3009" w:hanging="360"/>
      </w:pPr>
      <w:rPr>
        <w:rFonts w:ascii="Courier New" w:hAnsi="Courier New" w:cs="Courier New" w:hint="default"/>
      </w:rPr>
    </w:lvl>
    <w:lvl w:ilvl="2" w:tplc="04260005" w:tentative="1">
      <w:start w:val="1"/>
      <w:numFmt w:val="bullet"/>
      <w:lvlText w:val=""/>
      <w:lvlJc w:val="left"/>
      <w:pPr>
        <w:ind w:left="3729" w:hanging="360"/>
      </w:pPr>
      <w:rPr>
        <w:rFonts w:ascii="Wingdings" w:hAnsi="Wingdings" w:hint="default"/>
      </w:rPr>
    </w:lvl>
    <w:lvl w:ilvl="3" w:tplc="04260001" w:tentative="1">
      <w:start w:val="1"/>
      <w:numFmt w:val="bullet"/>
      <w:lvlText w:val=""/>
      <w:lvlJc w:val="left"/>
      <w:pPr>
        <w:ind w:left="4449" w:hanging="360"/>
      </w:pPr>
      <w:rPr>
        <w:rFonts w:ascii="Symbol" w:hAnsi="Symbol" w:hint="default"/>
      </w:rPr>
    </w:lvl>
    <w:lvl w:ilvl="4" w:tplc="04260003" w:tentative="1">
      <w:start w:val="1"/>
      <w:numFmt w:val="bullet"/>
      <w:lvlText w:val="o"/>
      <w:lvlJc w:val="left"/>
      <w:pPr>
        <w:ind w:left="5169" w:hanging="360"/>
      </w:pPr>
      <w:rPr>
        <w:rFonts w:ascii="Courier New" w:hAnsi="Courier New" w:cs="Courier New" w:hint="default"/>
      </w:rPr>
    </w:lvl>
    <w:lvl w:ilvl="5" w:tplc="04260005" w:tentative="1">
      <w:start w:val="1"/>
      <w:numFmt w:val="bullet"/>
      <w:lvlText w:val=""/>
      <w:lvlJc w:val="left"/>
      <w:pPr>
        <w:ind w:left="5889" w:hanging="360"/>
      </w:pPr>
      <w:rPr>
        <w:rFonts w:ascii="Wingdings" w:hAnsi="Wingdings" w:hint="default"/>
      </w:rPr>
    </w:lvl>
    <w:lvl w:ilvl="6" w:tplc="04260001" w:tentative="1">
      <w:start w:val="1"/>
      <w:numFmt w:val="bullet"/>
      <w:lvlText w:val=""/>
      <w:lvlJc w:val="left"/>
      <w:pPr>
        <w:ind w:left="6609" w:hanging="360"/>
      </w:pPr>
      <w:rPr>
        <w:rFonts w:ascii="Symbol" w:hAnsi="Symbol" w:hint="default"/>
      </w:rPr>
    </w:lvl>
    <w:lvl w:ilvl="7" w:tplc="04260003" w:tentative="1">
      <w:start w:val="1"/>
      <w:numFmt w:val="bullet"/>
      <w:lvlText w:val="o"/>
      <w:lvlJc w:val="left"/>
      <w:pPr>
        <w:ind w:left="7329" w:hanging="360"/>
      </w:pPr>
      <w:rPr>
        <w:rFonts w:ascii="Courier New" w:hAnsi="Courier New" w:cs="Courier New" w:hint="default"/>
      </w:rPr>
    </w:lvl>
    <w:lvl w:ilvl="8" w:tplc="04260005" w:tentative="1">
      <w:start w:val="1"/>
      <w:numFmt w:val="bullet"/>
      <w:lvlText w:val=""/>
      <w:lvlJc w:val="left"/>
      <w:pPr>
        <w:ind w:left="8049" w:hanging="360"/>
      </w:pPr>
      <w:rPr>
        <w:rFonts w:ascii="Wingdings" w:hAnsi="Wingdings" w:hint="default"/>
      </w:rPr>
    </w:lvl>
  </w:abstractNum>
  <w:abstractNum w:abstractNumId="2" w15:restartNumberingAfterBreak="0">
    <w:nsid w:val="03DA7A81"/>
    <w:multiLevelType w:val="hybridMultilevel"/>
    <w:tmpl w:val="D1181F2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15:restartNumberingAfterBreak="0">
    <w:nsid w:val="04835821"/>
    <w:multiLevelType w:val="hybridMultilevel"/>
    <w:tmpl w:val="769481F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9B21A77"/>
    <w:multiLevelType w:val="hybridMultilevel"/>
    <w:tmpl w:val="C6C2941E"/>
    <w:lvl w:ilvl="0" w:tplc="E4DA01A0">
      <w:start w:val="2016"/>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A225EFC"/>
    <w:multiLevelType w:val="hybridMultilevel"/>
    <w:tmpl w:val="8C341A4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139A3B86"/>
    <w:multiLevelType w:val="hybridMultilevel"/>
    <w:tmpl w:val="7E84FE88"/>
    <w:lvl w:ilvl="0" w:tplc="04260001">
      <w:start w:val="1"/>
      <w:numFmt w:val="bullet"/>
      <w:lvlText w:val=""/>
      <w:lvlJc w:val="left"/>
      <w:pPr>
        <w:ind w:left="1080" w:hanging="360"/>
      </w:pPr>
      <w:rPr>
        <w:rFonts w:ascii="Symbol" w:hAnsi="Symbol"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82775B"/>
    <w:multiLevelType w:val="multilevel"/>
    <w:tmpl w:val="61E4D4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7CE7097"/>
    <w:multiLevelType w:val="hybridMultilevel"/>
    <w:tmpl w:val="3EC6914A"/>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0" w15:restartNumberingAfterBreak="0">
    <w:nsid w:val="189825A1"/>
    <w:multiLevelType w:val="hybridMultilevel"/>
    <w:tmpl w:val="2F7C08B4"/>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604EFE4E">
      <w:numFmt w:val="bullet"/>
      <w:lvlText w:val="-"/>
      <w:lvlJc w:val="left"/>
      <w:pPr>
        <w:ind w:left="2727" w:hanging="360"/>
      </w:pPr>
      <w:rPr>
        <w:rFonts w:ascii="Times New Roman" w:eastAsia="Times New Roman" w:hAnsi="Times New Roman" w:cs="Times New Roman"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1B9969B0"/>
    <w:multiLevelType w:val="hybridMultilevel"/>
    <w:tmpl w:val="7C8A41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1C080CE6"/>
    <w:multiLevelType w:val="hybridMultilevel"/>
    <w:tmpl w:val="EA38E6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D1B4985"/>
    <w:multiLevelType w:val="hybridMultilevel"/>
    <w:tmpl w:val="6D76B63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1F4B4890"/>
    <w:multiLevelType w:val="hybridMultilevel"/>
    <w:tmpl w:val="0A6AC51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42B2E27"/>
    <w:multiLevelType w:val="hybridMultilevel"/>
    <w:tmpl w:val="94340FAE"/>
    <w:lvl w:ilvl="0" w:tplc="04260001">
      <w:start w:val="1"/>
      <w:numFmt w:val="bullet"/>
      <w:lvlText w:val=""/>
      <w:lvlJc w:val="left"/>
      <w:pPr>
        <w:ind w:left="1488" w:hanging="360"/>
      </w:pPr>
      <w:rPr>
        <w:rFonts w:ascii="Symbol" w:hAnsi="Symbol" w:hint="default"/>
        <w:b w:val="0"/>
      </w:rPr>
    </w:lvl>
    <w:lvl w:ilvl="1" w:tplc="04260003" w:tentative="1">
      <w:start w:val="1"/>
      <w:numFmt w:val="bullet"/>
      <w:lvlText w:val="o"/>
      <w:lvlJc w:val="left"/>
      <w:pPr>
        <w:ind w:left="2208" w:hanging="360"/>
      </w:pPr>
      <w:rPr>
        <w:rFonts w:ascii="Courier New" w:hAnsi="Courier New" w:cs="Courier New" w:hint="default"/>
      </w:rPr>
    </w:lvl>
    <w:lvl w:ilvl="2" w:tplc="04260005" w:tentative="1">
      <w:start w:val="1"/>
      <w:numFmt w:val="bullet"/>
      <w:lvlText w:val=""/>
      <w:lvlJc w:val="left"/>
      <w:pPr>
        <w:ind w:left="2928" w:hanging="360"/>
      </w:pPr>
      <w:rPr>
        <w:rFonts w:ascii="Wingdings" w:hAnsi="Wingdings" w:hint="default"/>
      </w:rPr>
    </w:lvl>
    <w:lvl w:ilvl="3" w:tplc="04260001" w:tentative="1">
      <w:start w:val="1"/>
      <w:numFmt w:val="bullet"/>
      <w:lvlText w:val=""/>
      <w:lvlJc w:val="left"/>
      <w:pPr>
        <w:ind w:left="3648" w:hanging="360"/>
      </w:pPr>
      <w:rPr>
        <w:rFonts w:ascii="Symbol" w:hAnsi="Symbol" w:hint="default"/>
      </w:rPr>
    </w:lvl>
    <w:lvl w:ilvl="4" w:tplc="04260003" w:tentative="1">
      <w:start w:val="1"/>
      <w:numFmt w:val="bullet"/>
      <w:lvlText w:val="o"/>
      <w:lvlJc w:val="left"/>
      <w:pPr>
        <w:ind w:left="4368" w:hanging="360"/>
      </w:pPr>
      <w:rPr>
        <w:rFonts w:ascii="Courier New" w:hAnsi="Courier New" w:cs="Courier New" w:hint="default"/>
      </w:rPr>
    </w:lvl>
    <w:lvl w:ilvl="5" w:tplc="04260005" w:tentative="1">
      <w:start w:val="1"/>
      <w:numFmt w:val="bullet"/>
      <w:lvlText w:val=""/>
      <w:lvlJc w:val="left"/>
      <w:pPr>
        <w:ind w:left="5088" w:hanging="360"/>
      </w:pPr>
      <w:rPr>
        <w:rFonts w:ascii="Wingdings" w:hAnsi="Wingdings" w:hint="default"/>
      </w:rPr>
    </w:lvl>
    <w:lvl w:ilvl="6" w:tplc="04260001" w:tentative="1">
      <w:start w:val="1"/>
      <w:numFmt w:val="bullet"/>
      <w:lvlText w:val=""/>
      <w:lvlJc w:val="left"/>
      <w:pPr>
        <w:ind w:left="5808" w:hanging="360"/>
      </w:pPr>
      <w:rPr>
        <w:rFonts w:ascii="Symbol" w:hAnsi="Symbol" w:hint="default"/>
      </w:rPr>
    </w:lvl>
    <w:lvl w:ilvl="7" w:tplc="04260003" w:tentative="1">
      <w:start w:val="1"/>
      <w:numFmt w:val="bullet"/>
      <w:lvlText w:val="o"/>
      <w:lvlJc w:val="left"/>
      <w:pPr>
        <w:ind w:left="6528" w:hanging="360"/>
      </w:pPr>
      <w:rPr>
        <w:rFonts w:ascii="Courier New" w:hAnsi="Courier New" w:cs="Courier New" w:hint="default"/>
      </w:rPr>
    </w:lvl>
    <w:lvl w:ilvl="8" w:tplc="04260005" w:tentative="1">
      <w:start w:val="1"/>
      <w:numFmt w:val="bullet"/>
      <w:lvlText w:val=""/>
      <w:lvlJc w:val="left"/>
      <w:pPr>
        <w:ind w:left="7248" w:hanging="360"/>
      </w:pPr>
      <w:rPr>
        <w:rFonts w:ascii="Wingdings" w:hAnsi="Wingdings" w:hint="default"/>
      </w:rPr>
    </w:lvl>
  </w:abstractNum>
  <w:abstractNum w:abstractNumId="16" w15:restartNumberingAfterBreak="0">
    <w:nsid w:val="25654417"/>
    <w:multiLevelType w:val="hybridMultilevel"/>
    <w:tmpl w:val="482AEDAE"/>
    <w:lvl w:ilvl="0" w:tplc="126C1576">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29376378"/>
    <w:multiLevelType w:val="hybridMultilevel"/>
    <w:tmpl w:val="8D7AE5D4"/>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30A02398"/>
    <w:multiLevelType w:val="hybridMultilevel"/>
    <w:tmpl w:val="E2F6B96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1">
      <w:start w:val="1"/>
      <w:numFmt w:val="bullet"/>
      <w:lvlText w:val=""/>
      <w:lvlJc w:val="left"/>
      <w:pPr>
        <w:ind w:left="2727" w:hanging="360"/>
      </w:pPr>
      <w:rPr>
        <w:rFonts w:ascii="Symbol" w:hAnsi="Symbol"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311B02A4"/>
    <w:multiLevelType w:val="hybridMultilevel"/>
    <w:tmpl w:val="EC704792"/>
    <w:lvl w:ilvl="0" w:tplc="04260001">
      <w:start w:val="1"/>
      <w:numFmt w:val="bullet"/>
      <w:lvlText w:val=""/>
      <w:lvlJc w:val="left"/>
      <w:pPr>
        <w:ind w:left="2520" w:hanging="360"/>
      </w:pPr>
      <w:rPr>
        <w:rFonts w:ascii="Symbol" w:hAnsi="Symbol"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20" w15:restartNumberingAfterBreak="0">
    <w:nsid w:val="31497D72"/>
    <w:multiLevelType w:val="hybridMultilevel"/>
    <w:tmpl w:val="6840BC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9F94E9B"/>
    <w:multiLevelType w:val="hybridMultilevel"/>
    <w:tmpl w:val="1444E9CC"/>
    <w:lvl w:ilvl="0" w:tplc="04260011">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DEF3BB5"/>
    <w:multiLevelType w:val="multilevel"/>
    <w:tmpl w:val="7A1CEA64"/>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3" w15:restartNumberingAfterBreak="0">
    <w:nsid w:val="41A87B02"/>
    <w:multiLevelType w:val="hybridMultilevel"/>
    <w:tmpl w:val="1EE20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2F45CC4"/>
    <w:multiLevelType w:val="hybridMultilevel"/>
    <w:tmpl w:val="2C8AF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AB13F64"/>
    <w:multiLevelType w:val="hybridMultilevel"/>
    <w:tmpl w:val="59EE5EE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B3567C6"/>
    <w:multiLevelType w:val="hybridMultilevel"/>
    <w:tmpl w:val="B2C268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BD867B9"/>
    <w:multiLevelType w:val="hybridMultilevel"/>
    <w:tmpl w:val="D6FC39B2"/>
    <w:lvl w:ilvl="0" w:tplc="304E7A08">
      <w:start w:val="5"/>
      <w:numFmt w:val="bullet"/>
      <w:lvlText w:val="-"/>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4CB75FFD"/>
    <w:multiLevelType w:val="hybridMultilevel"/>
    <w:tmpl w:val="82CEA8FE"/>
    <w:lvl w:ilvl="0" w:tplc="04260001">
      <w:start w:val="1"/>
      <w:numFmt w:val="bullet"/>
      <w:lvlText w:val=""/>
      <w:lvlJc w:val="left"/>
      <w:pPr>
        <w:ind w:left="1287" w:hanging="360"/>
      </w:pPr>
      <w:rPr>
        <w:rFonts w:ascii="Symbol" w:hAnsi="Symbol" w:hint="default"/>
      </w:rPr>
    </w:lvl>
    <w:lvl w:ilvl="1" w:tplc="0426000B">
      <w:start w:val="1"/>
      <w:numFmt w:val="bullet"/>
      <w:lvlText w:val=""/>
      <w:lvlJc w:val="left"/>
      <w:pPr>
        <w:ind w:left="2007" w:hanging="360"/>
      </w:pPr>
      <w:rPr>
        <w:rFonts w:ascii="Wingdings" w:hAnsi="Wingdings"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9" w15:restartNumberingAfterBreak="0">
    <w:nsid w:val="4D823B26"/>
    <w:multiLevelType w:val="hybridMultilevel"/>
    <w:tmpl w:val="AE928E5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0" w15:restartNumberingAfterBreak="0">
    <w:nsid w:val="4EF311FF"/>
    <w:multiLevelType w:val="hybridMultilevel"/>
    <w:tmpl w:val="25E086E6"/>
    <w:lvl w:ilvl="0" w:tplc="0426000B">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51062820"/>
    <w:multiLevelType w:val="hybridMultilevel"/>
    <w:tmpl w:val="118A17E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1974980"/>
    <w:multiLevelType w:val="hybridMultilevel"/>
    <w:tmpl w:val="768AFFEC"/>
    <w:lvl w:ilvl="0" w:tplc="84842E00">
      <w:start w:val="1"/>
      <w:numFmt w:val="bullet"/>
      <w:lvlText w:val=""/>
      <w:lvlJc w:val="left"/>
      <w:pPr>
        <w:ind w:left="1080" w:hanging="360"/>
      </w:pPr>
      <w:rPr>
        <w:rFonts w:ascii="Symbol" w:hAnsi="Symbol" w:hint="default"/>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625E0022"/>
    <w:multiLevelType w:val="hybridMultilevel"/>
    <w:tmpl w:val="2C844CC4"/>
    <w:lvl w:ilvl="0" w:tplc="86AC0708">
      <w:start w:val="1"/>
      <w:numFmt w:val="bullet"/>
      <w:lvlText w:val=""/>
      <w:lvlJc w:val="left"/>
      <w:pPr>
        <w:ind w:left="2987" w:hanging="360"/>
      </w:pPr>
      <w:rPr>
        <w:rFonts w:ascii="Symbol" w:hAnsi="Symbol" w:hint="default"/>
        <w:sz w:val="24"/>
        <w:szCs w:val="24"/>
      </w:rPr>
    </w:lvl>
    <w:lvl w:ilvl="1" w:tplc="04260003" w:tentative="1">
      <w:start w:val="1"/>
      <w:numFmt w:val="bullet"/>
      <w:lvlText w:val="o"/>
      <w:lvlJc w:val="left"/>
      <w:pPr>
        <w:ind w:left="3707" w:hanging="360"/>
      </w:pPr>
      <w:rPr>
        <w:rFonts w:ascii="Courier New" w:hAnsi="Courier New" w:cs="Courier New" w:hint="default"/>
      </w:rPr>
    </w:lvl>
    <w:lvl w:ilvl="2" w:tplc="04260005" w:tentative="1">
      <w:start w:val="1"/>
      <w:numFmt w:val="bullet"/>
      <w:lvlText w:val=""/>
      <w:lvlJc w:val="left"/>
      <w:pPr>
        <w:ind w:left="4427" w:hanging="360"/>
      </w:pPr>
      <w:rPr>
        <w:rFonts w:ascii="Wingdings" w:hAnsi="Wingdings" w:hint="default"/>
      </w:rPr>
    </w:lvl>
    <w:lvl w:ilvl="3" w:tplc="04260001" w:tentative="1">
      <w:start w:val="1"/>
      <w:numFmt w:val="bullet"/>
      <w:lvlText w:val=""/>
      <w:lvlJc w:val="left"/>
      <w:pPr>
        <w:ind w:left="5147" w:hanging="360"/>
      </w:pPr>
      <w:rPr>
        <w:rFonts w:ascii="Symbol" w:hAnsi="Symbol" w:hint="default"/>
      </w:rPr>
    </w:lvl>
    <w:lvl w:ilvl="4" w:tplc="04260003" w:tentative="1">
      <w:start w:val="1"/>
      <w:numFmt w:val="bullet"/>
      <w:lvlText w:val="o"/>
      <w:lvlJc w:val="left"/>
      <w:pPr>
        <w:ind w:left="5867" w:hanging="360"/>
      </w:pPr>
      <w:rPr>
        <w:rFonts w:ascii="Courier New" w:hAnsi="Courier New" w:cs="Courier New" w:hint="default"/>
      </w:rPr>
    </w:lvl>
    <w:lvl w:ilvl="5" w:tplc="04260005" w:tentative="1">
      <w:start w:val="1"/>
      <w:numFmt w:val="bullet"/>
      <w:lvlText w:val=""/>
      <w:lvlJc w:val="left"/>
      <w:pPr>
        <w:ind w:left="6587" w:hanging="360"/>
      </w:pPr>
      <w:rPr>
        <w:rFonts w:ascii="Wingdings" w:hAnsi="Wingdings" w:hint="default"/>
      </w:rPr>
    </w:lvl>
    <w:lvl w:ilvl="6" w:tplc="04260001" w:tentative="1">
      <w:start w:val="1"/>
      <w:numFmt w:val="bullet"/>
      <w:lvlText w:val=""/>
      <w:lvlJc w:val="left"/>
      <w:pPr>
        <w:ind w:left="7307" w:hanging="360"/>
      </w:pPr>
      <w:rPr>
        <w:rFonts w:ascii="Symbol" w:hAnsi="Symbol" w:hint="default"/>
      </w:rPr>
    </w:lvl>
    <w:lvl w:ilvl="7" w:tplc="04260003" w:tentative="1">
      <w:start w:val="1"/>
      <w:numFmt w:val="bullet"/>
      <w:lvlText w:val="o"/>
      <w:lvlJc w:val="left"/>
      <w:pPr>
        <w:ind w:left="8027" w:hanging="360"/>
      </w:pPr>
      <w:rPr>
        <w:rFonts w:ascii="Courier New" w:hAnsi="Courier New" w:cs="Courier New" w:hint="default"/>
      </w:rPr>
    </w:lvl>
    <w:lvl w:ilvl="8" w:tplc="04260005" w:tentative="1">
      <w:start w:val="1"/>
      <w:numFmt w:val="bullet"/>
      <w:lvlText w:val=""/>
      <w:lvlJc w:val="left"/>
      <w:pPr>
        <w:ind w:left="8747" w:hanging="360"/>
      </w:pPr>
      <w:rPr>
        <w:rFonts w:ascii="Wingdings" w:hAnsi="Wingdings" w:hint="default"/>
      </w:rPr>
    </w:lvl>
  </w:abstractNum>
  <w:abstractNum w:abstractNumId="34" w15:restartNumberingAfterBreak="0">
    <w:nsid w:val="6DEF276D"/>
    <w:multiLevelType w:val="hybridMultilevel"/>
    <w:tmpl w:val="367455A0"/>
    <w:lvl w:ilvl="0" w:tplc="4B4C0760">
      <w:start w:val="8"/>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0C8031E"/>
    <w:multiLevelType w:val="hybridMultilevel"/>
    <w:tmpl w:val="AA2E5BC8"/>
    <w:lvl w:ilvl="0" w:tplc="0426000B">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6" w15:restartNumberingAfterBreak="0">
    <w:nsid w:val="70D45504"/>
    <w:multiLevelType w:val="hybridMultilevel"/>
    <w:tmpl w:val="5E44EFD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71FE611F"/>
    <w:multiLevelType w:val="hybridMultilevel"/>
    <w:tmpl w:val="6284F67A"/>
    <w:lvl w:ilvl="0" w:tplc="04260001">
      <w:start w:val="1"/>
      <w:numFmt w:val="bullet"/>
      <w:lvlText w:val=""/>
      <w:lvlJc w:val="left"/>
      <w:pPr>
        <w:ind w:left="2289" w:hanging="360"/>
      </w:pPr>
      <w:rPr>
        <w:rFonts w:ascii="Symbol" w:hAnsi="Symbol" w:hint="default"/>
      </w:rPr>
    </w:lvl>
    <w:lvl w:ilvl="1" w:tplc="0426000B">
      <w:start w:val="1"/>
      <w:numFmt w:val="bullet"/>
      <w:lvlText w:val=""/>
      <w:lvlJc w:val="left"/>
      <w:pPr>
        <w:ind w:left="3009" w:hanging="360"/>
      </w:pPr>
      <w:rPr>
        <w:rFonts w:ascii="Wingdings" w:hAnsi="Wingdings" w:hint="default"/>
      </w:rPr>
    </w:lvl>
    <w:lvl w:ilvl="2" w:tplc="04260005" w:tentative="1">
      <w:start w:val="1"/>
      <w:numFmt w:val="bullet"/>
      <w:lvlText w:val=""/>
      <w:lvlJc w:val="left"/>
      <w:pPr>
        <w:ind w:left="3729" w:hanging="360"/>
      </w:pPr>
      <w:rPr>
        <w:rFonts w:ascii="Wingdings" w:hAnsi="Wingdings" w:hint="default"/>
      </w:rPr>
    </w:lvl>
    <w:lvl w:ilvl="3" w:tplc="04260001" w:tentative="1">
      <w:start w:val="1"/>
      <w:numFmt w:val="bullet"/>
      <w:lvlText w:val=""/>
      <w:lvlJc w:val="left"/>
      <w:pPr>
        <w:ind w:left="4449" w:hanging="360"/>
      </w:pPr>
      <w:rPr>
        <w:rFonts w:ascii="Symbol" w:hAnsi="Symbol" w:hint="default"/>
      </w:rPr>
    </w:lvl>
    <w:lvl w:ilvl="4" w:tplc="04260003" w:tentative="1">
      <w:start w:val="1"/>
      <w:numFmt w:val="bullet"/>
      <w:lvlText w:val="o"/>
      <w:lvlJc w:val="left"/>
      <w:pPr>
        <w:ind w:left="5169" w:hanging="360"/>
      </w:pPr>
      <w:rPr>
        <w:rFonts w:ascii="Courier New" w:hAnsi="Courier New" w:cs="Courier New" w:hint="default"/>
      </w:rPr>
    </w:lvl>
    <w:lvl w:ilvl="5" w:tplc="04260005" w:tentative="1">
      <w:start w:val="1"/>
      <w:numFmt w:val="bullet"/>
      <w:lvlText w:val=""/>
      <w:lvlJc w:val="left"/>
      <w:pPr>
        <w:ind w:left="5889" w:hanging="360"/>
      </w:pPr>
      <w:rPr>
        <w:rFonts w:ascii="Wingdings" w:hAnsi="Wingdings" w:hint="default"/>
      </w:rPr>
    </w:lvl>
    <w:lvl w:ilvl="6" w:tplc="04260001" w:tentative="1">
      <w:start w:val="1"/>
      <w:numFmt w:val="bullet"/>
      <w:lvlText w:val=""/>
      <w:lvlJc w:val="left"/>
      <w:pPr>
        <w:ind w:left="6609" w:hanging="360"/>
      </w:pPr>
      <w:rPr>
        <w:rFonts w:ascii="Symbol" w:hAnsi="Symbol" w:hint="default"/>
      </w:rPr>
    </w:lvl>
    <w:lvl w:ilvl="7" w:tplc="04260003" w:tentative="1">
      <w:start w:val="1"/>
      <w:numFmt w:val="bullet"/>
      <w:lvlText w:val="o"/>
      <w:lvlJc w:val="left"/>
      <w:pPr>
        <w:ind w:left="7329" w:hanging="360"/>
      </w:pPr>
      <w:rPr>
        <w:rFonts w:ascii="Courier New" w:hAnsi="Courier New" w:cs="Courier New" w:hint="default"/>
      </w:rPr>
    </w:lvl>
    <w:lvl w:ilvl="8" w:tplc="04260005" w:tentative="1">
      <w:start w:val="1"/>
      <w:numFmt w:val="bullet"/>
      <w:lvlText w:val=""/>
      <w:lvlJc w:val="left"/>
      <w:pPr>
        <w:ind w:left="8049" w:hanging="360"/>
      </w:pPr>
      <w:rPr>
        <w:rFonts w:ascii="Wingdings" w:hAnsi="Wingdings" w:hint="default"/>
      </w:rPr>
    </w:lvl>
  </w:abstractNum>
  <w:abstractNum w:abstractNumId="38" w15:restartNumberingAfterBreak="0">
    <w:nsid w:val="76141E9A"/>
    <w:multiLevelType w:val="hybridMultilevel"/>
    <w:tmpl w:val="90DA61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7205DB9"/>
    <w:multiLevelType w:val="hybridMultilevel"/>
    <w:tmpl w:val="68BC73A4"/>
    <w:lvl w:ilvl="0" w:tplc="04260011">
      <w:start w:val="1"/>
      <w:numFmt w:val="decimal"/>
      <w:lvlText w:val="%1)"/>
      <w:lvlJc w:val="left"/>
      <w:pPr>
        <w:ind w:left="1069" w:hanging="360"/>
      </w:p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779C7D3C"/>
    <w:multiLevelType w:val="hybridMultilevel"/>
    <w:tmpl w:val="7ED6662E"/>
    <w:lvl w:ilvl="0" w:tplc="04260001">
      <w:start w:val="1"/>
      <w:numFmt w:val="bullet"/>
      <w:lvlText w:val=""/>
      <w:lvlJc w:val="left"/>
      <w:pPr>
        <w:ind w:left="1080" w:hanging="360"/>
      </w:pPr>
      <w:rPr>
        <w:rFonts w:ascii="Symbol" w:hAnsi="Symbol" w:hint="default"/>
      </w:rPr>
    </w:lvl>
    <w:lvl w:ilvl="1" w:tplc="DCE832EE">
      <w:numFmt w:val="bullet"/>
      <w:lvlText w:val="•"/>
      <w:lvlJc w:val="left"/>
      <w:pPr>
        <w:ind w:left="2160" w:hanging="720"/>
      </w:pPr>
      <w:rPr>
        <w:rFonts w:ascii="Times New Roman" w:eastAsia="Calibri" w:hAnsi="Times New Roman"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78F525CE"/>
    <w:multiLevelType w:val="hybridMultilevel"/>
    <w:tmpl w:val="F2D0DC4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2" w15:restartNumberingAfterBreak="0">
    <w:nsid w:val="7B511985"/>
    <w:multiLevelType w:val="multilevel"/>
    <w:tmpl w:val="FCFC10EC"/>
    <w:lvl w:ilvl="0">
      <w:start w:val="1"/>
      <w:numFmt w:val="decimal"/>
      <w:lvlText w:val="%1."/>
      <w:lvlJc w:val="left"/>
      <w:pPr>
        <w:ind w:left="720" w:hanging="360"/>
      </w:pPr>
      <w:rPr>
        <w:rFonts w:hint="default"/>
        <w:sz w:val="32"/>
      </w:rPr>
    </w:lvl>
    <w:lvl w:ilvl="1">
      <w:start w:val="1"/>
      <w:numFmt w:val="decimal"/>
      <w:isLgl/>
      <w:lvlText w:val="%1.%2."/>
      <w:lvlJc w:val="left"/>
      <w:pPr>
        <w:ind w:left="1296" w:hanging="720"/>
      </w:pPr>
      <w:rPr>
        <w:rFonts w:ascii="Times New Roman" w:hAnsi="Times New Roman" w:cs="Times New Roman" w:hint="default"/>
        <w:sz w:val="24"/>
      </w:rPr>
    </w:lvl>
    <w:lvl w:ilvl="2">
      <w:start w:val="1"/>
      <w:numFmt w:val="decimal"/>
      <w:isLgl/>
      <w:lvlText w:val="%1.%2.%3."/>
      <w:lvlJc w:val="left"/>
      <w:pPr>
        <w:ind w:left="3556" w:hanging="720"/>
      </w:pPr>
      <w:rPr>
        <w:rFonts w:hint="default"/>
        <w:b/>
      </w:rPr>
    </w:lvl>
    <w:lvl w:ilvl="3">
      <w:start w:val="1"/>
      <w:numFmt w:val="decimal"/>
      <w:isLgl/>
      <w:lvlText w:val="%1.%2.%3.%4."/>
      <w:lvlJc w:val="left"/>
      <w:pPr>
        <w:ind w:left="2088" w:hanging="1080"/>
      </w:pPr>
      <w:rPr>
        <w:rFonts w:hint="default"/>
        <w:b/>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num w:numId="1">
    <w:abstractNumId w:val="42"/>
  </w:num>
  <w:num w:numId="2">
    <w:abstractNumId w:val="8"/>
  </w:num>
  <w:num w:numId="3">
    <w:abstractNumId w:val="7"/>
  </w:num>
  <w:num w:numId="4">
    <w:abstractNumId w:val="12"/>
  </w:num>
  <w:num w:numId="5">
    <w:abstractNumId w:val="4"/>
  </w:num>
  <w:num w:numId="6">
    <w:abstractNumId w:val="23"/>
  </w:num>
  <w:num w:numId="7">
    <w:abstractNumId w:val="22"/>
  </w:num>
  <w:num w:numId="8">
    <w:abstractNumId w:val="40"/>
  </w:num>
  <w:num w:numId="9">
    <w:abstractNumId w:val="0"/>
  </w:num>
  <w:num w:numId="10">
    <w:abstractNumId w:val="1"/>
  </w:num>
  <w:num w:numId="11">
    <w:abstractNumId w:val="33"/>
  </w:num>
  <w:num w:numId="12">
    <w:abstractNumId w:val="3"/>
  </w:num>
  <w:num w:numId="13">
    <w:abstractNumId w:val="6"/>
  </w:num>
  <w:num w:numId="14">
    <w:abstractNumId w:val="14"/>
  </w:num>
  <w:num w:numId="15">
    <w:abstractNumId w:val="31"/>
  </w:num>
  <w:num w:numId="16">
    <w:abstractNumId w:val="10"/>
  </w:num>
  <w:num w:numId="17">
    <w:abstractNumId w:val="41"/>
  </w:num>
  <w:num w:numId="18">
    <w:abstractNumId w:val="28"/>
  </w:num>
  <w:num w:numId="19">
    <w:abstractNumId w:val="24"/>
  </w:num>
  <w:num w:numId="20">
    <w:abstractNumId w:val="18"/>
  </w:num>
  <w:num w:numId="21">
    <w:abstractNumId w:val="35"/>
  </w:num>
  <w:num w:numId="22">
    <w:abstractNumId w:val="30"/>
  </w:num>
  <w:num w:numId="23">
    <w:abstractNumId w:val="37"/>
  </w:num>
  <w:num w:numId="24">
    <w:abstractNumId w:val="13"/>
  </w:num>
  <w:num w:numId="25">
    <w:abstractNumId w:val="16"/>
  </w:num>
  <w:num w:numId="26">
    <w:abstractNumId w:val="39"/>
  </w:num>
  <w:num w:numId="27">
    <w:abstractNumId w:val="17"/>
  </w:num>
  <w:num w:numId="28">
    <w:abstractNumId w:val="11"/>
  </w:num>
  <w:num w:numId="29">
    <w:abstractNumId w:val="29"/>
  </w:num>
  <w:num w:numId="30">
    <w:abstractNumId w:val="9"/>
  </w:num>
  <w:num w:numId="31">
    <w:abstractNumId w:val="19"/>
  </w:num>
  <w:num w:numId="32">
    <w:abstractNumId w:val="5"/>
  </w:num>
  <w:num w:numId="33">
    <w:abstractNumId w:val="26"/>
  </w:num>
  <w:num w:numId="34">
    <w:abstractNumId w:val="38"/>
  </w:num>
  <w:num w:numId="35">
    <w:abstractNumId w:val="21"/>
  </w:num>
  <w:num w:numId="36">
    <w:abstractNumId w:val="34"/>
  </w:num>
  <w:num w:numId="37">
    <w:abstractNumId w:val="20"/>
  </w:num>
  <w:num w:numId="38">
    <w:abstractNumId w:val="15"/>
  </w:num>
  <w:num w:numId="39">
    <w:abstractNumId w:val="2"/>
  </w:num>
  <w:num w:numId="40">
    <w:abstractNumId w:val="36"/>
  </w:num>
  <w:num w:numId="41">
    <w:abstractNumId w:val="25"/>
  </w:num>
  <w:num w:numId="42">
    <w:abstractNumId w:val="27"/>
  </w:num>
  <w:num w:numId="43">
    <w:abstractNumId w:val="32"/>
  </w:num>
  <w:num w:numId="44">
    <w:abstractNumId w:val="8"/>
  </w:num>
  <w:num w:numId="45">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11"/>
    <w:rsid w:val="00002EF2"/>
    <w:rsid w:val="00003729"/>
    <w:rsid w:val="000039CF"/>
    <w:rsid w:val="000047C9"/>
    <w:rsid w:val="00013692"/>
    <w:rsid w:val="000144E7"/>
    <w:rsid w:val="00015238"/>
    <w:rsid w:val="00016A6C"/>
    <w:rsid w:val="00025AC5"/>
    <w:rsid w:val="00032403"/>
    <w:rsid w:val="00032492"/>
    <w:rsid w:val="00034117"/>
    <w:rsid w:val="00042C35"/>
    <w:rsid w:val="00044011"/>
    <w:rsid w:val="000465FF"/>
    <w:rsid w:val="0006534D"/>
    <w:rsid w:val="0007049D"/>
    <w:rsid w:val="00072378"/>
    <w:rsid w:val="00075AE8"/>
    <w:rsid w:val="00075DEB"/>
    <w:rsid w:val="00094C88"/>
    <w:rsid w:val="000958F5"/>
    <w:rsid w:val="0009609E"/>
    <w:rsid w:val="000A334F"/>
    <w:rsid w:val="000B2F72"/>
    <w:rsid w:val="000B76F4"/>
    <w:rsid w:val="000B788C"/>
    <w:rsid w:val="000C5841"/>
    <w:rsid w:val="000C5D4A"/>
    <w:rsid w:val="000D2789"/>
    <w:rsid w:val="000D2F49"/>
    <w:rsid w:val="000D3EB3"/>
    <w:rsid w:val="000E03C6"/>
    <w:rsid w:val="000F0BAA"/>
    <w:rsid w:val="000F77B8"/>
    <w:rsid w:val="00104BB9"/>
    <w:rsid w:val="001058C2"/>
    <w:rsid w:val="001106C6"/>
    <w:rsid w:val="00116EF0"/>
    <w:rsid w:val="00117EEF"/>
    <w:rsid w:val="001210E9"/>
    <w:rsid w:val="0013151B"/>
    <w:rsid w:val="0013333A"/>
    <w:rsid w:val="00133521"/>
    <w:rsid w:val="00142441"/>
    <w:rsid w:val="00142A2C"/>
    <w:rsid w:val="001537FA"/>
    <w:rsid w:val="00154249"/>
    <w:rsid w:val="001556DD"/>
    <w:rsid w:val="00163C55"/>
    <w:rsid w:val="001940D5"/>
    <w:rsid w:val="00197E00"/>
    <w:rsid w:val="001A0D9C"/>
    <w:rsid w:val="001A4E85"/>
    <w:rsid w:val="001A63E8"/>
    <w:rsid w:val="001B606F"/>
    <w:rsid w:val="001C0691"/>
    <w:rsid w:val="001C2D6F"/>
    <w:rsid w:val="001C4856"/>
    <w:rsid w:val="001C7FA4"/>
    <w:rsid w:val="001D6752"/>
    <w:rsid w:val="001E0507"/>
    <w:rsid w:val="001E1858"/>
    <w:rsid w:val="001E2E7A"/>
    <w:rsid w:val="001E4063"/>
    <w:rsid w:val="001E5D9F"/>
    <w:rsid w:val="001F013A"/>
    <w:rsid w:val="001F01DA"/>
    <w:rsid w:val="001F5A0D"/>
    <w:rsid w:val="0020131C"/>
    <w:rsid w:val="0020442A"/>
    <w:rsid w:val="002046C8"/>
    <w:rsid w:val="0020740D"/>
    <w:rsid w:val="00215965"/>
    <w:rsid w:val="002230F0"/>
    <w:rsid w:val="00232B17"/>
    <w:rsid w:val="002370DF"/>
    <w:rsid w:val="00242556"/>
    <w:rsid w:val="0024257A"/>
    <w:rsid w:val="002441F0"/>
    <w:rsid w:val="00245C37"/>
    <w:rsid w:val="0025180F"/>
    <w:rsid w:val="00252E16"/>
    <w:rsid w:val="002605DD"/>
    <w:rsid w:val="00262343"/>
    <w:rsid w:val="0026238C"/>
    <w:rsid w:val="00262B9F"/>
    <w:rsid w:val="002664DE"/>
    <w:rsid w:val="00273334"/>
    <w:rsid w:val="0027783C"/>
    <w:rsid w:val="0028110F"/>
    <w:rsid w:val="002827F8"/>
    <w:rsid w:val="00284643"/>
    <w:rsid w:val="002861A8"/>
    <w:rsid w:val="002941BE"/>
    <w:rsid w:val="0029761E"/>
    <w:rsid w:val="002A157E"/>
    <w:rsid w:val="002A4216"/>
    <w:rsid w:val="002B179B"/>
    <w:rsid w:val="002B4304"/>
    <w:rsid w:val="002C10FB"/>
    <w:rsid w:val="002C2384"/>
    <w:rsid w:val="002C7C43"/>
    <w:rsid w:val="002D4062"/>
    <w:rsid w:val="002D4880"/>
    <w:rsid w:val="002D4AED"/>
    <w:rsid w:val="002D6792"/>
    <w:rsid w:val="002E5EA2"/>
    <w:rsid w:val="002E7E06"/>
    <w:rsid w:val="002F2779"/>
    <w:rsid w:val="002F508C"/>
    <w:rsid w:val="002F7CDB"/>
    <w:rsid w:val="003028D0"/>
    <w:rsid w:val="00304B94"/>
    <w:rsid w:val="00313EDD"/>
    <w:rsid w:val="00316BFC"/>
    <w:rsid w:val="00325295"/>
    <w:rsid w:val="00342AA7"/>
    <w:rsid w:val="00343B42"/>
    <w:rsid w:val="00345E20"/>
    <w:rsid w:val="00347278"/>
    <w:rsid w:val="00353DF1"/>
    <w:rsid w:val="0035708E"/>
    <w:rsid w:val="00360952"/>
    <w:rsid w:val="00362815"/>
    <w:rsid w:val="003666E9"/>
    <w:rsid w:val="003707B4"/>
    <w:rsid w:val="003714DA"/>
    <w:rsid w:val="0037345C"/>
    <w:rsid w:val="00377651"/>
    <w:rsid w:val="00385B59"/>
    <w:rsid w:val="003A534C"/>
    <w:rsid w:val="003A79E2"/>
    <w:rsid w:val="003B4685"/>
    <w:rsid w:val="003C1BF7"/>
    <w:rsid w:val="003C2897"/>
    <w:rsid w:val="003D1496"/>
    <w:rsid w:val="003D2CE1"/>
    <w:rsid w:val="003D38BE"/>
    <w:rsid w:val="003E2559"/>
    <w:rsid w:val="003E2FE0"/>
    <w:rsid w:val="003E52A2"/>
    <w:rsid w:val="003F3595"/>
    <w:rsid w:val="003F78CC"/>
    <w:rsid w:val="003F7B43"/>
    <w:rsid w:val="00400D0D"/>
    <w:rsid w:val="0040143C"/>
    <w:rsid w:val="004044DA"/>
    <w:rsid w:val="00407782"/>
    <w:rsid w:val="00411073"/>
    <w:rsid w:val="00414267"/>
    <w:rsid w:val="00417CF3"/>
    <w:rsid w:val="00421D0B"/>
    <w:rsid w:val="00424181"/>
    <w:rsid w:val="0043197A"/>
    <w:rsid w:val="00435773"/>
    <w:rsid w:val="00436C53"/>
    <w:rsid w:val="004375A0"/>
    <w:rsid w:val="0044219A"/>
    <w:rsid w:val="00455171"/>
    <w:rsid w:val="00457572"/>
    <w:rsid w:val="00463011"/>
    <w:rsid w:val="00475C4D"/>
    <w:rsid w:val="004773CC"/>
    <w:rsid w:val="00486064"/>
    <w:rsid w:val="00486AE7"/>
    <w:rsid w:val="00486BB4"/>
    <w:rsid w:val="00486E1F"/>
    <w:rsid w:val="00487842"/>
    <w:rsid w:val="004903E4"/>
    <w:rsid w:val="00492A61"/>
    <w:rsid w:val="004A09BB"/>
    <w:rsid w:val="004A21CC"/>
    <w:rsid w:val="004A6B47"/>
    <w:rsid w:val="004B569B"/>
    <w:rsid w:val="004C01D6"/>
    <w:rsid w:val="004C44BC"/>
    <w:rsid w:val="004C6CC5"/>
    <w:rsid w:val="004C7E0F"/>
    <w:rsid w:val="004D29CF"/>
    <w:rsid w:val="004D308F"/>
    <w:rsid w:val="004D3BBE"/>
    <w:rsid w:val="004D5182"/>
    <w:rsid w:val="004D5E99"/>
    <w:rsid w:val="004E0D45"/>
    <w:rsid w:val="004E0F3F"/>
    <w:rsid w:val="004E10BA"/>
    <w:rsid w:val="004E3EB2"/>
    <w:rsid w:val="004E4756"/>
    <w:rsid w:val="004E71AB"/>
    <w:rsid w:val="004F1374"/>
    <w:rsid w:val="004F1E5E"/>
    <w:rsid w:val="004F7910"/>
    <w:rsid w:val="00502866"/>
    <w:rsid w:val="00502AB5"/>
    <w:rsid w:val="00503163"/>
    <w:rsid w:val="005048C8"/>
    <w:rsid w:val="005056D1"/>
    <w:rsid w:val="005265A2"/>
    <w:rsid w:val="00527227"/>
    <w:rsid w:val="00530C46"/>
    <w:rsid w:val="00530D80"/>
    <w:rsid w:val="00531951"/>
    <w:rsid w:val="0053259F"/>
    <w:rsid w:val="005352E9"/>
    <w:rsid w:val="00536198"/>
    <w:rsid w:val="00540C35"/>
    <w:rsid w:val="0054118E"/>
    <w:rsid w:val="005414FE"/>
    <w:rsid w:val="00542318"/>
    <w:rsid w:val="00542988"/>
    <w:rsid w:val="005468AB"/>
    <w:rsid w:val="00546F18"/>
    <w:rsid w:val="0055057B"/>
    <w:rsid w:val="00551458"/>
    <w:rsid w:val="005536A9"/>
    <w:rsid w:val="00566BC8"/>
    <w:rsid w:val="0057255A"/>
    <w:rsid w:val="0057432D"/>
    <w:rsid w:val="0057735F"/>
    <w:rsid w:val="0057754A"/>
    <w:rsid w:val="005811A2"/>
    <w:rsid w:val="005812B4"/>
    <w:rsid w:val="00590B28"/>
    <w:rsid w:val="005938B5"/>
    <w:rsid w:val="00595A9A"/>
    <w:rsid w:val="00596F7E"/>
    <w:rsid w:val="005979A4"/>
    <w:rsid w:val="005A7265"/>
    <w:rsid w:val="005B370F"/>
    <w:rsid w:val="005B38F7"/>
    <w:rsid w:val="005B4791"/>
    <w:rsid w:val="005B6F28"/>
    <w:rsid w:val="005C368F"/>
    <w:rsid w:val="005C432D"/>
    <w:rsid w:val="005C4F32"/>
    <w:rsid w:val="005C55BA"/>
    <w:rsid w:val="005C7F03"/>
    <w:rsid w:val="005D20A1"/>
    <w:rsid w:val="005D26FE"/>
    <w:rsid w:val="005E0259"/>
    <w:rsid w:val="005E0704"/>
    <w:rsid w:val="005E474C"/>
    <w:rsid w:val="005F4A5A"/>
    <w:rsid w:val="005F4C67"/>
    <w:rsid w:val="005F5E31"/>
    <w:rsid w:val="005F6768"/>
    <w:rsid w:val="005F6B02"/>
    <w:rsid w:val="005F6C02"/>
    <w:rsid w:val="005F7408"/>
    <w:rsid w:val="006042AA"/>
    <w:rsid w:val="0060517D"/>
    <w:rsid w:val="006118DF"/>
    <w:rsid w:val="00612F17"/>
    <w:rsid w:val="006168F0"/>
    <w:rsid w:val="00616BA1"/>
    <w:rsid w:val="00620C43"/>
    <w:rsid w:val="00620D83"/>
    <w:rsid w:val="00623757"/>
    <w:rsid w:val="00624882"/>
    <w:rsid w:val="00627E0A"/>
    <w:rsid w:val="00630CBF"/>
    <w:rsid w:val="00635A94"/>
    <w:rsid w:val="00644CDC"/>
    <w:rsid w:val="006462D5"/>
    <w:rsid w:val="006534DE"/>
    <w:rsid w:val="00656A6E"/>
    <w:rsid w:val="00656E6E"/>
    <w:rsid w:val="006573ED"/>
    <w:rsid w:val="00660B76"/>
    <w:rsid w:val="00664FE5"/>
    <w:rsid w:val="00665E69"/>
    <w:rsid w:val="00671E97"/>
    <w:rsid w:val="00673749"/>
    <w:rsid w:val="006753E1"/>
    <w:rsid w:val="00676AF7"/>
    <w:rsid w:val="00677DFE"/>
    <w:rsid w:val="00680464"/>
    <w:rsid w:val="00682FA4"/>
    <w:rsid w:val="006854CF"/>
    <w:rsid w:val="006968E9"/>
    <w:rsid w:val="00697FC6"/>
    <w:rsid w:val="006A42EE"/>
    <w:rsid w:val="006A4D1B"/>
    <w:rsid w:val="006B0EBB"/>
    <w:rsid w:val="006B6037"/>
    <w:rsid w:val="006C52BB"/>
    <w:rsid w:val="006C67E6"/>
    <w:rsid w:val="006D2EA2"/>
    <w:rsid w:val="006D5FB6"/>
    <w:rsid w:val="006E3A48"/>
    <w:rsid w:val="006E5765"/>
    <w:rsid w:val="006E67FD"/>
    <w:rsid w:val="006E71BF"/>
    <w:rsid w:val="006E71E5"/>
    <w:rsid w:val="007006EC"/>
    <w:rsid w:val="007022BB"/>
    <w:rsid w:val="00711F13"/>
    <w:rsid w:val="007127D8"/>
    <w:rsid w:val="00712C58"/>
    <w:rsid w:val="0071330B"/>
    <w:rsid w:val="00716665"/>
    <w:rsid w:val="00723877"/>
    <w:rsid w:val="0072464F"/>
    <w:rsid w:val="00730690"/>
    <w:rsid w:val="00730FA8"/>
    <w:rsid w:val="0073213D"/>
    <w:rsid w:val="007322C9"/>
    <w:rsid w:val="00735212"/>
    <w:rsid w:val="00741A3B"/>
    <w:rsid w:val="007515BC"/>
    <w:rsid w:val="007524E5"/>
    <w:rsid w:val="00765EA4"/>
    <w:rsid w:val="00766D30"/>
    <w:rsid w:val="0076779E"/>
    <w:rsid w:val="007679E8"/>
    <w:rsid w:val="0077183B"/>
    <w:rsid w:val="007765D8"/>
    <w:rsid w:val="00780B40"/>
    <w:rsid w:val="00781A6B"/>
    <w:rsid w:val="007822CC"/>
    <w:rsid w:val="007901FA"/>
    <w:rsid w:val="00792B66"/>
    <w:rsid w:val="00795349"/>
    <w:rsid w:val="007A22ED"/>
    <w:rsid w:val="007A24F9"/>
    <w:rsid w:val="007B4B84"/>
    <w:rsid w:val="007B6362"/>
    <w:rsid w:val="007B6377"/>
    <w:rsid w:val="007B6AFC"/>
    <w:rsid w:val="007B70FA"/>
    <w:rsid w:val="007B7965"/>
    <w:rsid w:val="007C7D31"/>
    <w:rsid w:val="007D0A57"/>
    <w:rsid w:val="007D1C4A"/>
    <w:rsid w:val="007E26F6"/>
    <w:rsid w:val="007E5182"/>
    <w:rsid w:val="007E51A4"/>
    <w:rsid w:val="007E74E2"/>
    <w:rsid w:val="00800E14"/>
    <w:rsid w:val="008055B0"/>
    <w:rsid w:val="008116D6"/>
    <w:rsid w:val="00813193"/>
    <w:rsid w:val="00814F98"/>
    <w:rsid w:val="00815587"/>
    <w:rsid w:val="00815B9D"/>
    <w:rsid w:val="0081651E"/>
    <w:rsid w:val="008214DD"/>
    <w:rsid w:val="008223F4"/>
    <w:rsid w:val="00822761"/>
    <w:rsid w:val="008238F4"/>
    <w:rsid w:val="00836881"/>
    <w:rsid w:val="00836D6A"/>
    <w:rsid w:val="00845AD9"/>
    <w:rsid w:val="00846B1F"/>
    <w:rsid w:val="00852D80"/>
    <w:rsid w:val="00852DC0"/>
    <w:rsid w:val="0085760F"/>
    <w:rsid w:val="008644D5"/>
    <w:rsid w:val="00871531"/>
    <w:rsid w:val="00872CED"/>
    <w:rsid w:val="00873615"/>
    <w:rsid w:val="00874D93"/>
    <w:rsid w:val="0087695D"/>
    <w:rsid w:val="0087700E"/>
    <w:rsid w:val="00882754"/>
    <w:rsid w:val="00890A27"/>
    <w:rsid w:val="008920E5"/>
    <w:rsid w:val="008A053E"/>
    <w:rsid w:val="008A0719"/>
    <w:rsid w:val="008B2FEA"/>
    <w:rsid w:val="008B7372"/>
    <w:rsid w:val="008D2801"/>
    <w:rsid w:val="008D2CD3"/>
    <w:rsid w:val="008D454E"/>
    <w:rsid w:val="008D4698"/>
    <w:rsid w:val="008D681C"/>
    <w:rsid w:val="008D7AE2"/>
    <w:rsid w:val="008E57FF"/>
    <w:rsid w:val="008F15A4"/>
    <w:rsid w:val="008F38D4"/>
    <w:rsid w:val="008F7460"/>
    <w:rsid w:val="008F7F0D"/>
    <w:rsid w:val="009009E5"/>
    <w:rsid w:val="00904AE5"/>
    <w:rsid w:val="00906268"/>
    <w:rsid w:val="00907B96"/>
    <w:rsid w:val="00912108"/>
    <w:rsid w:val="0091356D"/>
    <w:rsid w:val="009136E1"/>
    <w:rsid w:val="009214B7"/>
    <w:rsid w:val="00921E2D"/>
    <w:rsid w:val="009267FC"/>
    <w:rsid w:val="0093108F"/>
    <w:rsid w:val="00931837"/>
    <w:rsid w:val="00936BFF"/>
    <w:rsid w:val="00950097"/>
    <w:rsid w:val="0095481A"/>
    <w:rsid w:val="00955BEE"/>
    <w:rsid w:val="00957163"/>
    <w:rsid w:val="009606F9"/>
    <w:rsid w:val="00962DEF"/>
    <w:rsid w:val="00963696"/>
    <w:rsid w:val="009649F1"/>
    <w:rsid w:val="00966E08"/>
    <w:rsid w:val="009720A1"/>
    <w:rsid w:val="0097399B"/>
    <w:rsid w:val="009764DD"/>
    <w:rsid w:val="00977D11"/>
    <w:rsid w:val="00986F3F"/>
    <w:rsid w:val="00990AC9"/>
    <w:rsid w:val="0099193B"/>
    <w:rsid w:val="009943C3"/>
    <w:rsid w:val="009944F6"/>
    <w:rsid w:val="00996613"/>
    <w:rsid w:val="009A1351"/>
    <w:rsid w:val="009A650F"/>
    <w:rsid w:val="009A6CAC"/>
    <w:rsid w:val="009B0620"/>
    <w:rsid w:val="009B4404"/>
    <w:rsid w:val="009B498D"/>
    <w:rsid w:val="009B6D03"/>
    <w:rsid w:val="009C5694"/>
    <w:rsid w:val="009C5C07"/>
    <w:rsid w:val="009C7832"/>
    <w:rsid w:val="009C7F18"/>
    <w:rsid w:val="009D0D0E"/>
    <w:rsid w:val="009D199B"/>
    <w:rsid w:val="009D2D01"/>
    <w:rsid w:val="009F4CAE"/>
    <w:rsid w:val="009F5A79"/>
    <w:rsid w:val="009F71D0"/>
    <w:rsid w:val="00A02E4F"/>
    <w:rsid w:val="00A04FC6"/>
    <w:rsid w:val="00A056F8"/>
    <w:rsid w:val="00A118B2"/>
    <w:rsid w:val="00A1425B"/>
    <w:rsid w:val="00A142DE"/>
    <w:rsid w:val="00A1520A"/>
    <w:rsid w:val="00A156DB"/>
    <w:rsid w:val="00A24A4C"/>
    <w:rsid w:val="00A27DC0"/>
    <w:rsid w:val="00A30BF7"/>
    <w:rsid w:val="00A32ACF"/>
    <w:rsid w:val="00A34463"/>
    <w:rsid w:val="00A35E0B"/>
    <w:rsid w:val="00A41559"/>
    <w:rsid w:val="00A46C6A"/>
    <w:rsid w:val="00A47006"/>
    <w:rsid w:val="00A507C8"/>
    <w:rsid w:val="00A509FC"/>
    <w:rsid w:val="00A534DA"/>
    <w:rsid w:val="00A53FB4"/>
    <w:rsid w:val="00A54960"/>
    <w:rsid w:val="00A5655D"/>
    <w:rsid w:val="00A62844"/>
    <w:rsid w:val="00A63667"/>
    <w:rsid w:val="00A673F7"/>
    <w:rsid w:val="00A73871"/>
    <w:rsid w:val="00A77F81"/>
    <w:rsid w:val="00A8142A"/>
    <w:rsid w:val="00A81504"/>
    <w:rsid w:val="00A82997"/>
    <w:rsid w:val="00A93989"/>
    <w:rsid w:val="00A95879"/>
    <w:rsid w:val="00A97BBE"/>
    <w:rsid w:val="00AA1CA0"/>
    <w:rsid w:val="00AB2C05"/>
    <w:rsid w:val="00AB4877"/>
    <w:rsid w:val="00AC1747"/>
    <w:rsid w:val="00AC62C2"/>
    <w:rsid w:val="00AC646D"/>
    <w:rsid w:val="00AC764B"/>
    <w:rsid w:val="00AC7CAB"/>
    <w:rsid w:val="00AD738C"/>
    <w:rsid w:val="00AE4549"/>
    <w:rsid w:val="00AE4E31"/>
    <w:rsid w:val="00AE4FE1"/>
    <w:rsid w:val="00AF0417"/>
    <w:rsid w:val="00AF0874"/>
    <w:rsid w:val="00AF7D1C"/>
    <w:rsid w:val="00B1197A"/>
    <w:rsid w:val="00B22254"/>
    <w:rsid w:val="00B229E3"/>
    <w:rsid w:val="00B2482A"/>
    <w:rsid w:val="00B2570E"/>
    <w:rsid w:val="00B2729D"/>
    <w:rsid w:val="00B27659"/>
    <w:rsid w:val="00B3016A"/>
    <w:rsid w:val="00B31B1E"/>
    <w:rsid w:val="00B36A37"/>
    <w:rsid w:val="00B4033A"/>
    <w:rsid w:val="00B47C8A"/>
    <w:rsid w:val="00B51086"/>
    <w:rsid w:val="00B51338"/>
    <w:rsid w:val="00B51DE5"/>
    <w:rsid w:val="00B52022"/>
    <w:rsid w:val="00B5365D"/>
    <w:rsid w:val="00B557A0"/>
    <w:rsid w:val="00B60BE6"/>
    <w:rsid w:val="00B61F83"/>
    <w:rsid w:val="00B63BC3"/>
    <w:rsid w:val="00B672CB"/>
    <w:rsid w:val="00B70A8B"/>
    <w:rsid w:val="00B71182"/>
    <w:rsid w:val="00B74609"/>
    <w:rsid w:val="00B74A90"/>
    <w:rsid w:val="00B77911"/>
    <w:rsid w:val="00B77AD2"/>
    <w:rsid w:val="00B81150"/>
    <w:rsid w:val="00B82B2D"/>
    <w:rsid w:val="00B83F8D"/>
    <w:rsid w:val="00B84C19"/>
    <w:rsid w:val="00B92B72"/>
    <w:rsid w:val="00BA3B19"/>
    <w:rsid w:val="00BA6CB1"/>
    <w:rsid w:val="00BA77C4"/>
    <w:rsid w:val="00BA78E6"/>
    <w:rsid w:val="00BB025E"/>
    <w:rsid w:val="00BB1064"/>
    <w:rsid w:val="00BB33B7"/>
    <w:rsid w:val="00BB3847"/>
    <w:rsid w:val="00BB6834"/>
    <w:rsid w:val="00BC1EDB"/>
    <w:rsid w:val="00BD18E1"/>
    <w:rsid w:val="00BD3877"/>
    <w:rsid w:val="00BE17DD"/>
    <w:rsid w:val="00BE6FBC"/>
    <w:rsid w:val="00BF0CF2"/>
    <w:rsid w:val="00BF324A"/>
    <w:rsid w:val="00BF41E1"/>
    <w:rsid w:val="00BF605D"/>
    <w:rsid w:val="00C0120B"/>
    <w:rsid w:val="00C027B2"/>
    <w:rsid w:val="00C03F0F"/>
    <w:rsid w:val="00C10259"/>
    <w:rsid w:val="00C103E3"/>
    <w:rsid w:val="00C12F8D"/>
    <w:rsid w:val="00C1712E"/>
    <w:rsid w:val="00C21188"/>
    <w:rsid w:val="00C26791"/>
    <w:rsid w:val="00C27667"/>
    <w:rsid w:val="00C325E9"/>
    <w:rsid w:val="00C327A7"/>
    <w:rsid w:val="00C400AC"/>
    <w:rsid w:val="00C46F33"/>
    <w:rsid w:val="00C4725E"/>
    <w:rsid w:val="00C6773B"/>
    <w:rsid w:val="00C75A4E"/>
    <w:rsid w:val="00C81719"/>
    <w:rsid w:val="00C82114"/>
    <w:rsid w:val="00C83EAD"/>
    <w:rsid w:val="00C84F61"/>
    <w:rsid w:val="00C85FD7"/>
    <w:rsid w:val="00C94235"/>
    <w:rsid w:val="00C9739D"/>
    <w:rsid w:val="00CA58E5"/>
    <w:rsid w:val="00CA5A3C"/>
    <w:rsid w:val="00CB0323"/>
    <w:rsid w:val="00CB52C4"/>
    <w:rsid w:val="00CB58D4"/>
    <w:rsid w:val="00CB612C"/>
    <w:rsid w:val="00CC516E"/>
    <w:rsid w:val="00CC6037"/>
    <w:rsid w:val="00CC6081"/>
    <w:rsid w:val="00CC6D93"/>
    <w:rsid w:val="00CD1F9B"/>
    <w:rsid w:val="00CD4EA3"/>
    <w:rsid w:val="00CE3B47"/>
    <w:rsid w:val="00CE4F37"/>
    <w:rsid w:val="00CE6BCD"/>
    <w:rsid w:val="00CF3D2B"/>
    <w:rsid w:val="00CF52E6"/>
    <w:rsid w:val="00CF68DE"/>
    <w:rsid w:val="00D0232C"/>
    <w:rsid w:val="00D04089"/>
    <w:rsid w:val="00D1007E"/>
    <w:rsid w:val="00D150F6"/>
    <w:rsid w:val="00D15EB0"/>
    <w:rsid w:val="00D17E80"/>
    <w:rsid w:val="00D21A87"/>
    <w:rsid w:val="00D25D45"/>
    <w:rsid w:val="00D31704"/>
    <w:rsid w:val="00D31AE5"/>
    <w:rsid w:val="00D32420"/>
    <w:rsid w:val="00D41078"/>
    <w:rsid w:val="00D4339B"/>
    <w:rsid w:val="00D47B98"/>
    <w:rsid w:val="00D47E1F"/>
    <w:rsid w:val="00D50473"/>
    <w:rsid w:val="00D51057"/>
    <w:rsid w:val="00D51107"/>
    <w:rsid w:val="00D64D9E"/>
    <w:rsid w:val="00D65052"/>
    <w:rsid w:val="00D661A9"/>
    <w:rsid w:val="00D706B5"/>
    <w:rsid w:val="00D744D4"/>
    <w:rsid w:val="00D74886"/>
    <w:rsid w:val="00D759FF"/>
    <w:rsid w:val="00D811E2"/>
    <w:rsid w:val="00D81602"/>
    <w:rsid w:val="00D8431F"/>
    <w:rsid w:val="00D87688"/>
    <w:rsid w:val="00D87F8D"/>
    <w:rsid w:val="00DA1222"/>
    <w:rsid w:val="00DA2131"/>
    <w:rsid w:val="00DA59F2"/>
    <w:rsid w:val="00DA5FEA"/>
    <w:rsid w:val="00DA674D"/>
    <w:rsid w:val="00DB1EE8"/>
    <w:rsid w:val="00DB2B30"/>
    <w:rsid w:val="00DB504F"/>
    <w:rsid w:val="00DB554A"/>
    <w:rsid w:val="00DB6FF0"/>
    <w:rsid w:val="00DD2914"/>
    <w:rsid w:val="00DD2E6A"/>
    <w:rsid w:val="00DD4F0C"/>
    <w:rsid w:val="00DE47F7"/>
    <w:rsid w:val="00DF16F6"/>
    <w:rsid w:val="00DF2AF3"/>
    <w:rsid w:val="00DF51E9"/>
    <w:rsid w:val="00DF5AF2"/>
    <w:rsid w:val="00DF74CD"/>
    <w:rsid w:val="00DF7813"/>
    <w:rsid w:val="00E034C8"/>
    <w:rsid w:val="00E045E3"/>
    <w:rsid w:val="00E0526F"/>
    <w:rsid w:val="00E055A8"/>
    <w:rsid w:val="00E15858"/>
    <w:rsid w:val="00E16163"/>
    <w:rsid w:val="00E20DFB"/>
    <w:rsid w:val="00E22D3A"/>
    <w:rsid w:val="00E356FC"/>
    <w:rsid w:val="00E40A6D"/>
    <w:rsid w:val="00E40F95"/>
    <w:rsid w:val="00E42D7B"/>
    <w:rsid w:val="00E55BF9"/>
    <w:rsid w:val="00E55DCE"/>
    <w:rsid w:val="00E60947"/>
    <w:rsid w:val="00E63B19"/>
    <w:rsid w:val="00E64B57"/>
    <w:rsid w:val="00E665F1"/>
    <w:rsid w:val="00E73C85"/>
    <w:rsid w:val="00E77096"/>
    <w:rsid w:val="00E773FD"/>
    <w:rsid w:val="00E829CD"/>
    <w:rsid w:val="00E86E44"/>
    <w:rsid w:val="00EA0DB0"/>
    <w:rsid w:val="00EA23AB"/>
    <w:rsid w:val="00EA2F8F"/>
    <w:rsid w:val="00EB2070"/>
    <w:rsid w:val="00EB3270"/>
    <w:rsid w:val="00EB58F5"/>
    <w:rsid w:val="00EC1049"/>
    <w:rsid w:val="00EC224A"/>
    <w:rsid w:val="00EC27F9"/>
    <w:rsid w:val="00EC7FD3"/>
    <w:rsid w:val="00ED1F1C"/>
    <w:rsid w:val="00ED3CF7"/>
    <w:rsid w:val="00ED4215"/>
    <w:rsid w:val="00EE609D"/>
    <w:rsid w:val="00EE6662"/>
    <w:rsid w:val="00EE7F46"/>
    <w:rsid w:val="00EF18F5"/>
    <w:rsid w:val="00EF6F09"/>
    <w:rsid w:val="00EF7759"/>
    <w:rsid w:val="00F00EDA"/>
    <w:rsid w:val="00F05D16"/>
    <w:rsid w:val="00F11D34"/>
    <w:rsid w:val="00F1620C"/>
    <w:rsid w:val="00F1691B"/>
    <w:rsid w:val="00F171EC"/>
    <w:rsid w:val="00F20A42"/>
    <w:rsid w:val="00F225E9"/>
    <w:rsid w:val="00F23308"/>
    <w:rsid w:val="00F30F1A"/>
    <w:rsid w:val="00F31565"/>
    <w:rsid w:val="00F3248F"/>
    <w:rsid w:val="00F32B12"/>
    <w:rsid w:val="00F3471F"/>
    <w:rsid w:val="00F50BBF"/>
    <w:rsid w:val="00F512CA"/>
    <w:rsid w:val="00F51615"/>
    <w:rsid w:val="00F54AC5"/>
    <w:rsid w:val="00F638E4"/>
    <w:rsid w:val="00F65896"/>
    <w:rsid w:val="00F67060"/>
    <w:rsid w:val="00F74C66"/>
    <w:rsid w:val="00F758A2"/>
    <w:rsid w:val="00F77032"/>
    <w:rsid w:val="00F87F41"/>
    <w:rsid w:val="00F902B3"/>
    <w:rsid w:val="00F952FE"/>
    <w:rsid w:val="00FA4740"/>
    <w:rsid w:val="00FA6829"/>
    <w:rsid w:val="00FB1293"/>
    <w:rsid w:val="00FB13C4"/>
    <w:rsid w:val="00FB649B"/>
    <w:rsid w:val="00FC7A05"/>
    <w:rsid w:val="00FC7D91"/>
    <w:rsid w:val="00FD01EA"/>
    <w:rsid w:val="00FD3E51"/>
    <w:rsid w:val="00FE12DC"/>
    <w:rsid w:val="00FE16BA"/>
    <w:rsid w:val="00FF02B3"/>
    <w:rsid w:val="00FF0A6D"/>
    <w:rsid w:val="00FF221D"/>
    <w:rsid w:val="00FF4987"/>
    <w:rsid w:val="00FF63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8D00CF"/>
  <w15:chartTrackingRefBased/>
  <w15:docId w15:val="{29371065-09D2-4D5C-A81F-BE12E8E7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8CC"/>
  </w:style>
  <w:style w:type="paragraph" w:styleId="Heading1">
    <w:name w:val="heading 1"/>
    <w:basedOn w:val="Normal"/>
    <w:next w:val="Normal"/>
    <w:link w:val="Heading1Char"/>
    <w:uiPriority w:val="9"/>
    <w:qFormat/>
    <w:rsid w:val="003F78CC"/>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3F78CC"/>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3F78CC"/>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F78CC"/>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F78CC"/>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F78CC"/>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F78C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78C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F78C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3F78C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F78CC"/>
    <w:rPr>
      <w:color w:val="000000" w:themeColor="text1"/>
      <w:shd w:val="clear" w:color="auto" w:fill="F2F2F2" w:themeFill="background1" w:themeFillShade="F2"/>
    </w:rPr>
  </w:style>
  <w:style w:type="character" w:customStyle="1" w:styleId="Heading1Char">
    <w:name w:val="Heading 1 Char"/>
    <w:basedOn w:val="DefaultParagraphFont"/>
    <w:link w:val="Heading1"/>
    <w:uiPriority w:val="9"/>
    <w:rsid w:val="003F78CC"/>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3F78C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3F78C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F78C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F78C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F78C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F7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7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78C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F78C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3F78C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F78C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F78C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F78CC"/>
    <w:rPr>
      <w:color w:val="5A5A5A" w:themeColor="text1" w:themeTint="A5"/>
      <w:spacing w:val="10"/>
    </w:rPr>
  </w:style>
  <w:style w:type="character" w:styleId="Strong">
    <w:name w:val="Strong"/>
    <w:basedOn w:val="DefaultParagraphFont"/>
    <w:uiPriority w:val="22"/>
    <w:qFormat/>
    <w:rsid w:val="003F78CC"/>
    <w:rPr>
      <w:b/>
      <w:bCs/>
      <w:color w:val="000000" w:themeColor="text1"/>
    </w:rPr>
  </w:style>
  <w:style w:type="character" w:styleId="Emphasis">
    <w:name w:val="Emphasis"/>
    <w:basedOn w:val="DefaultParagraphFont"/>
    <w:uiPriority w:val="20"/>
    <w:qFormat/>
    <w:rsid w:val="003F78CC"/>
    <w:rPr>
      <w:i/>
      <w:iCs/>
      <w:color w:val="auto"/>
    </w:rPr>
  </w:style>
  <w:style w:type="paragraph" w:styleId="NoSpacing">
    <w:name w:val="No Spacing"/>
    <w:aliases w:val="Normal1,No Spacing1,Parastais"/>
    <w:link w:val="NoSpacingChar"/>
    <w:uiPriority w:val="1"/>
    <w:qFormat/>
    <w:rsid w:val="003F78CC"/>
    <w:pPr>
      <w:spacing w:after="0" w:line="240" w:lineRule="auto"/>
    </w:pPr>
  </w:style>
  <w:style w:type="paragraph" w:styleId="Quote">
    <w:name w:val="Quote"/>
    <w:basedOn w:val="Normal"/>
    <w:next w:val="Normal"/>
    <w:link w:val="QuoteChar"/>
    <w:uiPriority w:val="29"/>
    <w:qFormat/>
    <w:rsid w:val="003F78CC"/>
    <w:pPr>
      <w:spacing w:before="160"/>
      <w:ind w:left="720" w:right="720"/>
    </w:pPr>
    <w:rPr>
      <w:i/>
      <w:iCs/>
      <w:color w:val="000000" w:themeColor="text1"/>
    </w:rPr>
  </w:style>
  <w:style w:type="character" w:customStyle="1" w:styleId="QuoteChar">
    <w:name w:val="Quote Char"/>
    <w:basedOn w:val="DefaultParagraphFont"/>
    <w:link w:val="Quote"/>
    <w:uiPriority w:val="29"/>
    <w:rsid w:val="003F78CC"/>
    <w:rPr>
      <w:i/>
      <w:iCs/>
      <w:color w:val="000000" w:themeColor="text1"/>
    </w:rPr>
  </w:style>
  <w:style w:type="character" w:styleId="SubtleEmphasis">
    <w:name w:val="Subtle Emphasis"/>
    <w:basedOn w:val="DefaultParagraphFont"/>
    <w:uiPriority w:val="19"/>
    <w:qFormat/>
    <w:rsid w:val="003F78CC"/>
    <w:rPr>
      <w:i/>
      <w:iCs/>
      <w:color w:val="404040" w:themeColor="text1" w:themeTint="BF"/>
    </w:rPr>
  </w:style>
  <w:style w:type="character" w:styleId="IntenseEmphasis">
    <w:name w:val="Intense Emphasis"/>
    <w:basedOn w:val="DefaultParagraphFont"/>
    <w:uiPriority w:val="21"/>
    <w:qFormat/>
    <w:rsid w:val="003F78CC"/>
    <w:rPr>
      <w:b/>
      <w:bCs/>
      <w:i/>
      <w:iCs/>
      <w:caps/>
    </w:rPr>
  </w:style>
  <w:style w:type="character" w:styleId="SubtleReference">
    <w:name w:val="Subtle Reference"/>
    <w:basedOn w:val="DefaultParagraphFont"/>
    <w:uiPriority w:val="31"/>
    <w:qFormat/>
    <w:rsid w:val="003F78C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F78CC"/>
    <w:rPr>
      <w:b/>
      <w:bCs/>
      <w:smallCaps/>
      <w:u w:val="single"/>
    </w:rPr>
  </w:style>
  <w:style w:type="character" w:styleId="BookTitle">
    <w:name w:val="Book Title"/>
    <w:basedOn w:val="DefaultParagraphFont"/>
    <w:uiPriority w:val="33"/>
    <w:qFormat/>
    <w:rsid w:val="003F78CC"/>
    <w:rPr>
      <w:b w:val="0"/>
      <w:bCs w:val="0"/>
      <w:smallCaps/>
      <w:spacing w:val="5"/>
    </w:rPr>
  </w:style>
  <w:style w:type="paragraph" w:styleId="TOCHeading">
    <w:name w:val="TOC Heading"/>
    <w:basedOn w:val="Heading1"/>
    <w:next w:val="Normal"/>
    <w:uiPriority w:val="39"/>
    <w:unhideWhenUsed/>
    <w:qFormat/>
    <w:rsid w:val="003F78CC"/>
    <w:pPr>
      <w:outlineLvl w:val="9"/>
    </w:pPr>
  </w:style>
  <w:style w:type="character" w:customStyle="1" w:styleId="NoSpacingChar">
    <w:name w:val="No Spacing Char"/>
    <w:aliases w:val="Normal1 Char,No Spacing1 Char,Parastais Char"/>
    <w:basedOn w:val="DefaultParagraphFont"/>
    <w:link w:val="NoSpacing"/>
    <w:uiPriority w:val="1"/>
    <w:rsid w:val="00044011"/>
  </w:style>
  <w:style w:type="paragraph" w:styleId="Header">
    <w:name w:val="header"/>
    <w:basedOn w:val="Normal"/>
    <w:link w:val="HeaderChar"/>
    <w:uiPriority w:val="99"/>
    <w:unhideWhenUsed/>
    <w:rsid w:val="0062375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3757"/>
  </w:style>
  <w:style w:type="paragraph" w:styleId="Footer">
    <w:name w:val="footer"/>
    <w:basedOn w:val="Normal"/>
    <w:link w:val="FooterChar"/>
    <w:uiPriority w:val="99"/>
    <w:unhideWhenUsed/>
    <w:rsid w:val="006237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3757"/>
  </w:style>
  <w:style w:type="paragraph" w:styleId="ListParagraph">
    <w:name w:val="List Paragraph"/>
    <w:aliases w:val="2"/>
    <w:basedOn w:val="Normal"/>
    <w:link w:val="ListParagraphChar"/>
    <w:uiPriority w:val="34"/>
    <w:qFormat/>
    <w:rsid w:val="00A156DB"/>
    <w:pPr>
      <w:ind w:left="720"/>
      <w:contextualSpacing/>
    </w:pPr>
  </w:style>
  <w:style w:type="paragraph" w:customStyle="1" w:styleId="PIRMAIS">
    <w:name w:val="PIRMAIS"/>
    <w:basedOn w:val="Normal"/>
    <w:link w:val="PIRMAISChar"/>
    <w:qFormat/>
    <w:rsid w:val="003F78CC"/>
    <w:pPr>
      <w:keepNext/>
      <w:keepLines/>
      <w:pageBreakBefore/>
      <w:pBdr>
        <w:bottom w:val="thickThinLargeGap" w:sz="24" w:space="1" w:color="17365D"/>
      </w:pBdr>
      <w:tabs>
        <w:tab w:val="left" w:pos="567"/>
      </w:tabs>
      <w:spacing w:after="120" w:line="240" w:lineRule="auto"/>
      <w:ind w:left="567" w:hanging="567"/>
      <w:outlineLvl w:val="0"/>
    </w:pPr>
    <w:rPr>
      <w:rFonts w:ascii="Times New Roman" w:eastAsia="Times New Roman" w:hAnsi="Times New Roman" w:cs="Times New Roman"/>
      <w:b/>
      <w:sz w:val="36"/>
      <w:szCs w:val="20"/>
    </w:rPr>
  </w:style>
  <w:style w:type="character" w:customStyle="1" w:styleId="PIRMAISChar">
    <w:name w:val="PIRMAIS Char"/>
    <w:basedOn w:val="DefaultParagraphFont"/>
    <w:link w:val="PIRMAIS"/>
    <w:rsid w:val="003F78CC"/>
    <w:rPr>
      <w:rFonts w:ascii="Times New Roman" w:eastAsia="Times New Roman" w:hAnsi="Times New Roman" w:cs="Times New Roman"/>
      <w:b/>
      <w:sz w:val="36"/>
      <w:szCs w:val="20"/>
    </w:rPr>
  </w:style>
  <w:style w:type="character" w:styleId="PageNumber">
    <w:name w:val="page number"/>
    <w:basedOn w:val="DefaultParagraphFont"/>
    <w:rsid w:val="00F51615"/>
  </w:style>
  <w:style w:type="character" w:customStyle="1" w:styleId="HeaderChar1">
    <w:name w:val="Header Char1"/>
    <w:uiPriority w:val="99"/>
    <w:semiHidden/>
    <w:rsid w:val="00F51615"/>
    <w:rPr>
      <w:rFonts w:eastAsia="Times New Roman" w:cs="Times New Roman"/>
      <w:sz w:val="24"/>
      <w:szCs w:val="20"/>
    </w:rPr>
  </w:style>
  <w:style w:type="paragraph" w:customStyle="1" w:styleId="H1">
    <w:name w:val="H1"/>
    <w:link w:val="H1Char"/>
    <w:rsid w:val="00F51615"/>
    <w:pPr>
      <w:keepNext/>
      <w:keepLines/>
      <w:pageBreakBefore/>
      <w:pBdr>
        <w:bottom w:val="thickThinLargeGap" w:sz="24" w:space="1" w:color="17365D"/>
      </w:pBdr>
      <w:tabs>
        <w:tab w:val="left" w:pos="1134"/>
      </w:tabs>
      <w:spacing w:after="120" w:line="240" w:lineRule="auto"/>
      <w:ind w:left="1134" w:hanging="567"/>
      <w:outlineLvl w:val="0"/>
    </w:pPr>
    <w:rPr>
      <w:rFonts w:ascii="Times New Roman" w:eastAsia="Times New Roman" w:hAnsi="Times New Roman" w:cs="Times New Roman"/>
      <w:b/>
      <w:sz w:val="36"/>
      <w:szCs w:val="20"/>
    </w:rPr>
  </w:style>
  <w:style w:type="character" w:customStyle="1" w:styleId="H1Char">
    <w:name w:val="H1 Char"/>
    <w:link w:val="H1"/>
    <w:rsid w:val="00F51615"/>
    <w:rPr>
      <w:rFonts w:ascii="Times New Roman" w:eastAsia="Times New Roman" w:hAnsi="Times New Roman" w:cs="Times New Roman"/>
      <w:b/>
      <w:sz w:val="36"/>
      <w:szCs w:val="20"/>
    </w:rPr>
  </w:style>
  <w:style w:type="character" w:styleId="CommentReference">
    <w:name w:val="annotation reference"/>
    <w:uiPriority w:val="99"/>
    <w:semiHidden/>
    <w:unhideWhenUsed/>
    <w:rsid w:val="00F51615"/>
    <w:rPr>
      <w:sz w:val="16"/>
      <w:szCs w:val="16"/>
    </w:rPr>
  </w:style>
  <w:style w:type="paragraph" w:styleId="CommentText">
    <w:name w:val="annotation text"/>
    <w:basedOn w:val="Normal"/>
    <w:link w:val="CommentTextChar"/>
    <w:uiPriority w:val="99"/>
    <w:unhideWhenUsed/>
    <w:rsid w:val="00F51615"/>
    <w:pPr>
      <w:spacing w:after="120" w:line="240" w:lineRule="auto"/>
      <w:ind w:firstLine="567"/>
      <w:jc w:val="both"/>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rsid w:val="00F51615"/>
    <w:rPr>
      <w:rFonts w:ascii="Times New Roman" w:eastAsia="Times New Roman" w:hAnsi="Times New Roman" w:cs="Times New Roman"/>
      <w:sz w:val="20"/>
      <w:szCs w:val="20"/>
      <w:lang w:val="x-none" w:eastAsia="x-none"/>
    </w:rPr>
  </w:style>
  <w:style w:type="paragraph" w:styleId="BalloonText">
    <w:name w:val="Balloon Text"/>
    <w:basedOn w:val="Normal"/>
    <w:link w:val="BalloonTextChar"/>
    <w:uiPriority w:val="99"/>
    <w:semiHidden/>
    <w:unhideWhenUsed/>
    <w:rsid w:val="00F51615"/>
    <w:pPr>
      <w:spacing w:after="0" w:line="240" w:lineRule="auto"/>
      <w:ind w:firstLine="567"/>
      <w:jc w:val="both"/>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F51615"/>
    <w:rPr>
      <w:rFonts w:ascii="Tahoma" w:eastAsia="Times New Roman" w:hAnsi="Tahoma" w:cs="Times New Roman"/>
      <w:sz w:val="16"/>
      <w:szCs w:val="16"/>
      <w:lang w:val="x-none" w:eastAsia="x-none"/>
    </w:rPr>
  </w:style>
  <w:style w:type="paragraph" w:customStyle="1" w:styleId="H2">
    <w:name w:val="H2"/>
    <w:link w:val="H2Char"/>
    <w:uiPriority w:val="99"/>
    <w:rsid w:val="00F51615"/>
    <w:pPr>
      <w:keepNext/>
      <w:tabs>
        <w:tab w:val="left" w:pos="1134"/>
      </w:tabs>
      <w:spacing w:before="480" w:after="240" w:line="240" w:lineRule="auto"/>
      <w:ind w:left="1134" w:hanging="567"/>
      <w:outlineLvl w:val="1"/>
    </w:pPr>
    <w:rPr>
      <w:rFonts w:ascii="Calibri" w:eastAsia="Times New Roman" w:hAnsi="Calibri" w:cs="Times New Roman"/>
      <w:b/>
      <w:sz w:val="32"/>
      <w:szCs w:val="20"/>
    </w:rPr>
  </w:style>
  <w:style w:type="character" w:customStyle="1" w:styleId="H2Char">
    <w:name w:val="H2 Char"/>
    <w:link w:val="H2"/>
    <w:uiPriority w:val="99"/>
    <w:rsid w:val="00F51615"/>
    <w:rPr>
      <w:rFonts w:ascii="Calibri" w:eastAsia="Times New Roman" w:hAnsi="Calibri" w:cs="Times New Roman"/>
      <w:b/>
      <w:sz w:val="32"/>
      <w:szCs w:val="20"/>
    </w:rPr>
  </w:style>
  <w:style w:type="paragraph" w:customStyle="1" w:styleId="H4">
    <w:name w:val="H4"/>
    <w:uiPriority w:val="99"/>
    <w:rsid w:val="00F51615"/>
    <w:pPr>
      <w:spacing w:before="120" w:after="120" w:line="240" w:lineRule="auto"/>
      <w:ind w:left="567"/>
      <w:outlineLvl w:val="3"/>
    </w:pPr>
    <w:rPr>
      <w:rFonts w:ascii="Calibri" w:eastAsia="Times New Roman" w:hAnsi="Calibri" w:cs="Times New Roman"/>
      <w:b/>
      <w:sz w:val="28"/>
      <w:szCs w:val="20"/>
    </w:rPr>
  </w:style>
  <w:style w:type="paragraph" w:customStyle="1" w:styleId="H3">
    <w:name w:val="H3"/>
    <w:link w:val="H3Char"/>
    <w:rsid w:val="00F51615"/>
    <w:pPr>
      <w:keepNext/>
      <w:spacing w:before="480" w:after="120" w:line="240" w:lineRule="auto"/>
      <w:ind w:left="1701" w:hanging="1134"/>
      <w:outlineLvl w:val="2"/>
    </w:pPr>
    <w:rPr>
      <w:rFonts w:ascii="Calibri" w:eastAsia="Times New Roman" w:hAnsi="Calibri" w:cs="Times New Roman"/>
      <w:b/>
      <w:sz w:val="28"/>
      <w:szCs w:val="20"/>
    </w:rPr>
  </w:style>
  <w:style w:type="character" w:customStyle="1" w:styleId="H3Char">
    <w:name w:val="H3 Char"/>
    <w:link w:val="H3"/>
    <w:rsid w:val="00F51615"/>
    <w:rPr>
      <w:rFonts w:ascii="Calibri" w:eastAsia="Times New Roman" w:hAnsi="Calibri" w:cs="Times New Roman"/>
      <w:b/>
      <w:sz w:val="28"/>
      <w:szCs w:val="20"/>
    </w:rPr>
  </w:style>
  <w:style w:type="paragraph" w:customStyle="1" w:styleId="T">
    <w:name w:val="T"/>
    <w:basedOn w:val="Normal"/>
    <w:rsid w:val="00F51615"/>
    <w:pPr>
      <w:keepNext/>
      <w:spacing w:after="120" w:line="240" w:lineRule="auto"/>
      <w:ind w:left="567"/>
    </w:pPr>
    <w:rPr>
      <w:rFonts w:ascii="Calibri" w:eastAsia="Times New Roman" w:hAnsi="Calibri" w:cs="Times New Roman"/>
      <w:b/>
      <w:sz w:val="24"/>
      <w:szCs w:val="20"/>
    </w:rPr>
  </w:style>
  <w:style w:type="paragraph" w:customStyle="1" w:styleId="Z">
    <w:name w:val="Z"/>
    <w:basedOn w:val="T"/>
    <w:uiPriority w:val="99"/>
    <w:qFormat/>
    <w:rsid w:val="00F51615"/>
    <w:pPr>
      <w:ind w:right="1701"/>
    </w:pPr>
    <w:rPr>
      <w:b w:val="0"/>
      <w:sz w:val="20"/>
    </w:rPr>
  </w:style>
  <w:style w:type="paragraph" w:customStyle="1" w:styleId="tabteksts">
    <w:name w:val="tab_teksts"/>
    <w:basedOn w:val="Normal"/>
    <w:uiPriority w:val="99"/>
    <w:rsid w:val="00F51615"/>
    <w:pPr>
      <w:spacing w:after="0" w:line="240" w:lineRule="auto"/>
    </w:pPr>
    <w:rPr>
      <w:rFonts w:ascii="Times New Roman" w:eastAsia="Times New Roman" w:hAnsi="Times New Roman" w:cs="Times New Roman"/>
      <w:sz w:val="20"/>
      <w:szCs w:val="20"/>
    </w:rPr>
  </w:style>
  <w:style w:type="paragraph" w:styleId="FootnoteText">
    <w:name w:val="footnote text"/>
    <w:aliases w:val="Footnote,Fußnote,Fußnote Char Char Char,single space,ft Rakstz. Rakstz.,ft Rakstz.,ft,-E Fußnotentext,Fußnotentext Ursprung,Vēres teksts Char Char Char Char Char,Char Char Char Char Char Char Char Char Char Char Char Char,footnote tex"/>
    <w:basedOn w:val="Normal"/>
    <w:link w:val="FootnoteTextChar"/>
    <w:uiPriority w:val="99"/>
    <w:qFormat/>
    <w:rsid w:val="00F51615"/>
    <w:pPr>
      <w:keepLines/>
      <w:widowControl w:val="0"/>
      <w:spacing w:after="0" w:line="240" w:lineRule="auto"/>
      <w:ind w:left="340" w:hanging="340"/>
    </w:pPr>
    <w:rPr>
      <w:rFonts w:ascii="Times New Roman" w:eastAsia="Times New Roman" w:hAnsi="Times New Roman" w:cs="Times New Roman"/>
      <w:snapToGrid w:val="0"/>
      <w:color w:val="000000"/>
      <w:sz w:val="20"/>
      <w:szCs w:val="20"/>
      <w:lang w:val="x-none" w:eastAsia="x-none"/>
    </w:rPr>
  </w:style>
  <w:style w:type="character" w:customStyle="1" w:styleId="FootnoteTextChar">
    <w:name w:val="Footnote Text Char"/>
    <w:aliases w:val="Footnote Char,Fußnote Char,Fußnote Char Char Char Char,single space Char,ft Rakstz. Rakstz. Char,ft Rakstz. Char,ft Char,-E Fußnotentext Char,Fußnotentext Ursprung Char,Vēres teksts Char Char Char Char Char Char,footnote tex Char"/>
    <w:basedOn w:val="DefaultParagraphFont"/>
    <w:link w:val="FootnoteText"/>
    <w:uiPriority w:val="99"/>
    <w:rsid w:val="00F51615"/>
    <w:rPr>
      <w:rFonts w:ascii="Times New Roman" w:eastAsia="Times New Roman" w:hAnsi="Times New Roman" w:cs="Times New Roman"/>
      <w:snapToGrid w:val="0"/>
      <w:color w:val="000000"/>
      <w:sz w:val="20"/>
      <w:szCs w:val="20"/>
      <w:lang w:val="x-none" w:eastAsia="x-none"/>
    </w:rPr>
  </w:style>
  <w:style w:type="character" w:styleId="FootnoteReference">
    <w:name w:val="footnote reference"/>
    <w:aliases w:val="Footnote Reference Number,Footnote symbol,Footnote Reference Superscript,ftref,Footnote Refernece,Odwołanie przypisu,BVI fnr,Footnotes refss,SUPERS,Ref,de nota al pie,-E Fußnotenzeichen,Footnote reference number,Times 10 Point,E,E FNZ"/>
    <w:link w:val="Char2"/>
    <w:uiPriority w:val="99"/>
    <w:qFormat/>
    <w:rsid w:val="00F51615"/>
    <w:rPr>
      <w:rFonts w:ascii="Garamond" w:hAnsi="Garamond"/>
      <w:sz w:val="20"/>
      <w:vertAlign w:val="superscript"/>
    </w:rPr>
  </w:style>
  <w:style w:type="paragraph" w:customStyle="1" w:styleId="Zpar">
    <w:name w:val="Z_par"/>
    <w:basedOn w:val="Z"/>
    <w:rsid w:val="00F51615"/>
    <w:pPr>
      <w:spacing w:after="480"/>
      <w:ind w:left="1418" w:hanging="851"/>
    </w:pPr>
    <w:rPr>
      <w:i/>
    </w:rPr>
  </w:style>
  <w:style w:type="character" w:customStyle="1" w:styleId="ListParagraphChar">
    <w:name w:val="List Paragraph Char"/>
    <w:aliases w:val="2 Char"/>
    <w:link w:val="ListParagraph"/>
    <w:uiPriority w:val="34"/>
    <w:locked/>
    <w:rsid w:val="00F51615"/>
  </w:style>
  <w:style w:type="paragraph" w:styleId="BodyTextIndent2">
    <w:name w:val="Body Text Indent 2"/>
    <w:basedOn w:val="Normal"/>
    <w:link w:val="BodyTextIndent2Char"/>
    <w:semiHidden/>
    <w:rsid w:val="00F51615"/>
    <w:pPr>
      <w:spacing w:before="120" w:after="120" w:line="240" w:lineRule="auto"/>
      <w:ind w:firstLine="706"/>
      <w:jc w:val="both"/>
    </w:pPr>
    <w:rPr>
      <w:rFonts w:ascii="Times New Roman" w:eastAsia="Times New Roman" w:hAnsi="Times New Roman" w:cs="Times New Roman"/>
      <w:sz w:val="24"/>
      <w:szCs w:val="20"/>
      <w:lang w:val="x-none" w:eastAsia="x-none"/>
    </w:rPr>
  </w:style>
  <w:style w:type="character" w:customStyle="1" w:styleId="BodyTextIndent2Char">
    <w:name w:val="Body Text Indent 2 Char"/>
    <w:basedOn w:val="DefaultParagraphFont"/>
    <w:link w:val="BodyTextIndent2"/>
    <w:semiHidden/>
    <w:rsid w:val="00F51615"/>
    <w:rPr>
      <w:rFonts w:ascii="Times New Roman" w:eastAsia="Times New Roman" w:hAnsi="Times New Roman" w:cs="Times New Roman"/>
      <w:sz w:val="24"/>
      <w:szCs w:val="20"/>
      <w:lang w:val="x-none" w:eastAsia="x-none"/>
    </w:rPr>
  </w:style>
  <w:style w:type="paragraph" w:customStyle="1" w:styleId="Default">
    <w:name w:val="Default"/>
    <w:rsid w:val="00F51615"/>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odyTextIndent">
    <w:name w:val="Body Text Indent"/>
    <w:basedOn w:val="Normal"/>
    <w:link w:val="BodyTextIndentChar"/>
    <w:unhideWhenUsed/>
    <w:rsid w:val="00F51615"/>
    <w:pPr>
      <w:spacing w:after="120" w:line="240" w:lineRule="auto"/>
      <w:ind w:left="283" w:firstLine="567"/>
      <w:jc w:val="both"/>
    </w:pPr>
    <w:rPr>
      <w:rFonts w:ascii="Times New Roman" w:eastAsia="Times New Roman" w:hAnsi="Times New Roman" w:cs="Times New Roman"/>
      <w:sz w:val="24"/>
      <w:szCs w:val="20"/>
      <w:lang w:val="x-none" w:eastAsia="x-none"/>
    </w:rPr>
  </w:style>
  <w:style w:type="character" w:customStyle="1" w:styleId="BodyTextIndentChar">
    <w:name w:val="Body Text Indent Char"/>
    <w:basedOn w:val="DefaultParagraphFont"/>
    <w:link w:val="BodyTextIndent"/>
    <w:rsid w:val="00F51615"/>
    <w:rPr>
      <w:rFonts w:ascii="Times New Roman" w:eastAsia="Times New Roman" w:hAnsi="Times New Roman" w:cs="Times New Roman"/>
      <w:sz w:val="24"/>
      <w:szCs w:val="20"/>
      <w:lang w:val="x-none" w:eastAsia="x-none"/>
    </w:rPr>
  </w:style>
  <w:style w:type="paragraph" w:customStyle="1" w:styleId="ridk">
    <w:name w:val="ridk"/>
    <w:basedOn w:val="Normal"/>
    <w:rsid w:val="00F51615"/>
    <w:pPr>
      <w:spacing w:before="100" w:beforeAutospacing="1" w:after="100" w:afterAutospacing="1" w:line="240" w:lineRule="auto"/>
    </w:pPr>
    <w:rPr>
      <w:rFonts w:ascii="Arial Unicode MS" w:eastAsia="Arial Unicode MS" w:hAnsi="Arial Unicode MS" w:cs="Arial Unicode MS"/>
      <w:sz w:val="24"/>
      <w:szCs w:val="24"/>
      <w:lang w:val="en-US"/>
    </w:rPr>
  </w:style>
  <w:style w:type="table" w:styleId="TableGrid">
    <w:name w:val="Table Grid"/>
    <w:basedOn w:val="TableNormal"/>
    <w:uiPriority w:val="39"/>
    <w:rsid w:val="00F51615"/>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
    <w:name w:val="Virsraksts1"/>
    <w:basedOn w:val="Heading1"/>
    <w:rsid w:val="00F51615"/>
    <w:pPr>
      <w:keepLines w:val="0"/>
      <w:numPr>
        <w:numId w:val="0"/>
      </w:numPr>
      <w:pBdr>
        <w:bottom w:val="none" w:sz="0" w:space="0" w:color="auto"/>
      </w:pBdr>
      <w:spacing w:before="240" w:after="60" w:line="240" w:lineRule="auto"/>
      <w:ind w:firstLine="709"/>
      <w:jc w:val="both"/>
    </w:pPr>
    <w:rPr>
      <w:rFonts w:ascii="Times New Roman" w:eastAsia="Calibri" w:hAnsi="Times New Roman" w:cs="Times New Roman"/>
      <w:smallCaps w:val="0"/>
      <w:color w:val="auto"/>
      <w:kern w:val="32"/>
      <w:sz w:val="40"/>
      <w:szCs w:val="40"/>
      <w:lang w:val="x-none" w:eastAsia="x-none"/>
    </w:rPr>
  </w:style>
  <w:style w:type="character" w:customStyle="1" w:styleId="spelle">
    <w:name w:val="spelle"/>
    <w:basedOn w:val="DefaultParagraphFont"/>
    <w:rsid w:val="00F51615"/>
  </w:style>
  <w:style w:type="paragraph" w:customStyle="1" w:styleId="ParagraphNumbering">
    <w:name w:val="Paragraph Numbering"/>
    <w:basedOn w:val="Normal"/>
    <w:uiPriority w:val="1"/>
    <w:qFormat/>
    <w:rsid w:val="00F51615"/>
    <w:pPr>
      <w:numPr>
        <w:numId w:val="3"/>
      </w:numPr>
      <w:spacing w:after="240" w:line="264" w:lineRule="auto"/>
    </w:pPr>
    <w:rPr>
      <w:rFonts w:ascii="Times New Roman" w:eastAsia="Calibri"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F51615"/>
    <w:rPr>
      <w:b/>
      <w:bCs/>
    </w:rPr>
  </w:style>
  <w:style w:type="character" w:customStyle="1" w:styleId="CommentSubjectChar">
    <w:name w:val="Comment Subject Char"/>
    <w:basedOn w:val="CommentTextChar"/>
    <w:link w:val="CommentSubject"/>
    <w:uiPriority w:val="99"/>
    <w:semiHidden/>
    <w:rsid w:val="00F51615"/>
    <w:rPr>
      <w:rFonts w:ascii="Times New Roman" w:eastAsia="Times New Roman" w:hAnsi="Times New Roman" w:cs="Times New Roman"/>
      <w:b/>
      <w:bCs/>
      <w:sz w:val="20"/>
      <w:szCs w:val="20"/>
      <w:lang w:val="x-none" w:eastAsia="x-none"/>
    </w:rPr>
  </w:style>
  <w:style w:type="paragraph" w:customStyle="1" w:styleId="otrais">
    <w:name w:val="otrais"/>
    <w:basedOn w:val="H2"/>
    <w:link w:val="otraisChar"/>
    <w:qFormat/>
    <w:rsid w:val="00F51615"/>
    <w:pPr>
      <w:tabs>
        <w:tab w:val="clear" w:pos="1134"/>
        <w:tab w:val="left" w:pos="567"/>
      </w:tabs>
      <w:ind w:left="567"/>
    </w:pPr>
    <w:rPr>
      <w:rFonts w:ascii="Times New Roman" w:hAnsi="Times New Roman"/>
    </w:rPr>
  </w:style>
  <w:style w:type="character" w:customStyle="1" w:styleId="otraisChar">
    <w:name w:val="otrais Char"/>
    <w:basedOn w:val="H2Char"/>
    <w:link w:val="otrais"/>
    <w:rsid w:val="00F51615"/>
    <w:rPr>
      <w:rFonts w:ascii="Times New Roman" w:eastAsia="Times New Roman" w:hAnsi="Times New Roman" w:cs="Times New Roman"/>
      <w:b/>
      <w:sz w:val="32"/>
      <w:szCs w:val="20"/>
    </w:rPr>
  </w:style>
  <w:style w:type="paragraph" w:customStyle="1" w:styleId="tresais">
    <w:name w:val="tresais"/>
    <w:basedOn w:val="H3"/>
    <w:link w:val="tresaisChar"/>
    <w:qFormat/>
    <w:rsid w:val="00F51615"/>
    <w:pPr>
      <w:ind w:left="0" w:firstLine="0"/>
    </w:pPr>
    <w:rPr>
      <w:rFonts w:ascii="Times New Roman" w:hAnsi="Times New Roman"/>
    </w:rPr>
  </w:style>
  <w:style w:type="character" w:customStyle="1" w:styleId="tresaisChar">
    <w:name w:val="tresais Char"/>
    <w:basedOn w:val="H3Char"/>
    <w:link w:val="tresais"/>
    <w:rsid w:val="00F51615"/>
    <w:rPr>
      <w:rFonts w:ascii="Times New Roman" w:eastAsia="Times New Roman" w:hAnsi="Times New Roman" w:cs="Times New Roman"/>
      <w:b/>
      <w:sz w:val="28"/>
      <w:szCs w:val="20"/>
    </w:rPr>
  </w:style>
  <w:style w:type="paragraph" w:styleId="TOC1">
    <w:name w:val="toc 1"/>
    <w:basedOn w:val="Normal"/>
    <w:next w:val="Normal"/>
    <w:autoRedefine/>
    <w:uiPriority w:val="39"/>
    <w:unhideWhenUsed/>
    <w:rsid w:val="00551458"/>
    <w:pPr>
      <w:tabs>
        <w:tab w:val="left" w:pos="284"/>
        <w:tab w:val="right" w:leader="dot" w:pos="9072"/>
      </w:tabs>
      <w:spacing w:after="0" w:line="240" w:lineRule="auto"/>
      <w:ind w:left="284" w:right="-1" w:hanging="284"/>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F51615"/>
    <w:pPr>
      <w:tabs>
        <w:tab w:val="right" w:leader="dot" w:pos="9072"/>
      </w:tabs>
      <w:spacing w:after="0" w:line="240" w:lineRule="auto"/>
      <w:ind w:left="238" w:firstLine="46"/>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F51615"/>
    <w:pPr>
      <w:tabs>
        <w:tab w:val="right" w:leader="dot" w:pos="9061"/>
      </w:tabs>
      <w:spacing w:after="0" w:line="240" w:lineRule="auto"/>
      <w:ind w:left="482" w:firstLine="567"/>
      <w:jc w:val="both"/>
    </w:pPr>
    <w:rPr>
      <w:rFonts w:ascii="Times New Roman" w:eastAsia="Times New Roman" w:hAnsi="Times New Roman" w:cs="Times New Roman"/>
      <w:sz w:val="24"/>
      <w:szCs w:val="20"/>
    </w:rPr>
  </w:style>
  <w:style w:type="character" w:styleId="Hyperlink">
    <w:name w:val="Hyperlink"/>
    <w:uiPriority w:val="99"/>
    <w:unhideWhenUsed/>
    <w:rsid w:val="00F51615"/>
    <w:rPr>
      <w:color w:val="0000FF"/>
      <w:u w:val="single"/>
    </w:rPr>
  </w:style>
  <w:style w:type="paragraph" w:customStyle="1" w:styleId="naisf">
    <w:name w:val="naisf"/>
    <w:basedOn w:val="Normal"/>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ksts">
    <w:name w:val="teksts"/>
    <w:rsid w:val="00F51615"/>
    <w:pPr>
      <w:spacing w:after="120" w:line="240" w:lineRule="auto"/>
      <w:jc w:val="both"/>
    </w:pPr>
    <w:rPr>
      <w:rFonts w:ascii="Garamond" w:eastAsia="Times New Roman" w:hAnsi="Garamond" w:cs="Times New Roman"/>
      <w:sz w:val="24"/>
      <w:szCs w:val="20"/>
    </w:rPr>
  </w:style>
  <w:style w:type="paragraph" w:customStyle="1" w:styleId="EE-paragr">
    <w:name w:val="EE-paragr"/>
    <w:basedOn w:val="Normal"/>
    <w:autoRedefine/>
    <w:uiPriority w:val="99"/>
    <w:rsid w:val="00F51615"/>
    <w:pPr>
      <w:spacing w:before="120" w:after="120" w:line="240" w:lineRule="auto"/>
      <w:jc w:val="both"/>
    </w:pPr>
    <w:rPr>
      <w:rFonts w:ascii="Times New Roman" w:eastAsia="Times New Roman" w:hAnsi="Times New Roman" w:cs="Times New Roman"/>
      <w:iCs/>
      <w:sz w:val="24"/>
      <w:szCs w:val="24"/>
      <w:lang w:eastAsia="lv-LV" w:bidi="lo-LA"/>
    </w:rPr>
  </w:style>
  <w:style w:type="paragraph" w:customStyle="1" w:styleId="tabtekst">
    <w:name w:val="tab_tekst"/>
    <w:basedOn w:val="Normal"/>
    <w:rsid w:val="00F51615"/>
    <w:pPr>
      <w:spacing w:after="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unhideWhenUsed/>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1pt">
    <w:name w:val="Normal + 11 pt"/>
    <w:aliases w:val="Bold,Justified,Line spacing:  1.5 lines"/>
    <w:basedOn w:val="Normal"/>
    <w:rsid w:val="00F51615"/>
    <w:pPr>
      <w:widowControl w:val="0"/>
      <w:adjustRightInd w:val="0"/>
      <w:spacing w:after="0" w:line="360" w:lineRule="auto"/>
      <w:jc w:val="both"/>
      <w:textAlignment w:val="baseline"/>
    </w:pPr>
    <w:rPr>
      <w:rFonts w:ascii="Times New Roman" w:eastAsia="Times New Roman" w:hAnsi="Times New Roman" w:cs="Times New Roman"/>
      <w:b/>
      <w:lang w:val="en-GB" w:eastAsia="lv-LV"/>
    </w:rPr>
  </w:style>
  <w:style w:type="paragraph" w:styleId="BodyText">
    <w:name w:val="Body Text"/>
    <w:basedOn w:val="Normal"/>
    <w:link w:val="BodyTextChar"/>
    <w:uiPriority w:val="99"/>
    <w:semiHidden/>
    <w:unhideWhenUsed/>
    <w:rsid w:val="00F51615"/>
    <w:pPr>
      <w:spacing w:after="120" w:line="240" w:lineRule="auto"/>
      <w:ind w:firstLine="567"/>
      <w:jc w:val="both"/>
    </w:pPr>
    <w:rPr>
      <w:rFonts w:ascii="Times New Roman" w:eastAsia="Times New Roman" w:hAnsi="Times New Roman" w:cs="Times New Roman"/>
      <w:sz w:val="24"/>
      <w:szCs w:val="20"/>
      <w:lang w:val="x-none"/>
    </w:rPr>
  </w:style>
  <w:style w:type="character" w:customStyle="1" w:styleId="BodyTextChar">
    <w:name w:val="Body Text Char"/>
    <w:basedOn w:val="DefaultParagraphFont"/>
    <w:link w:val="BodyText"/>
    <w:uiPriority w:val="99"/>
    <w:semiHidden/>
    <w:rsid w:val="00F51615"/>
    <w:rPr>
      <w:rFonts w:ascii="Times New Roman" w:eastAsia="Times New Roman" w:hAnsi="Times New Roman" w:cs="Times New Roman"/>
      <w:sz w:val="24"/>
      <w:szCs w:val="20"/>
      <w:lang w:val="x-none"/>
    </w:rPr>
  </w:style>
  <w:style w:type="paragraph" w:styleId="BodyText3">
    <w:name w:val="Body Text 3"/>
    <w:basedOn w:val="Normal"/>
    <w:link w:val="BodyText3Char"/>
    <w:uiPriority w:val="99"/>
    <w:semiHidden/>
    <w:unhideWhenUsed/>
    <w:rsid w:val="00F51615"/>
    <w:pPr>
      <w:spacing w:after="120" w:line="240" w:lineRule="auto"/>
      <w:ind w:firstLine="567"/>
      <w:jc w:val="both"/>
    </w:pPr>
    <w:rPr>
      <w:rFonts w:ascii="Times New Roman" w:eastAsia="Times New Roman" w:hAnsi="Times New Roman" w:cs="Times New Roman"/>
      <w:sz w:val="16"/>
      <w:szCs w:val="16"/>
      <w:lang w:val="x-none"/>
    </w:rPr>
  </w:style>
  <w:style w:type="character" w:customStyle="1" w:styleId="BodyText3Char">
    <w:name w:val="Body Text 3 Char"/>
    <w:basedOn w:val="DefaultParagraphFont"/>
    <w:link w:val="BodyText3"/>
    <w:uiPriority w:val="99"/>
    <w:semiHidden/>
    <w:rsid w:val="00F51615"/>
    <w:rPr>
      <w:rFonts w:ascii="Times New Roman" w:eastAsia="Times New Roman" w:hAnsi="Times New Roman" w:cs="Times New Roman"/>
      <w:sz w:val="16"/>
      <w:szCs w:val="16"/>
      <w:lang w:val="x-none"/>
    </w:rPr>
  </w:style>
  <w:style w:type="paragraph" w:styleId="TOC8">
    <w:name w:val="toc 8"/>
    <w:basedOn w:val="Normal"/>
    <w:next w:val="Normal"/>
    <w:autoRedefine/>
    <w:uiPriority w:val="39"/>
    <w:semiHidden/>
    <w:unhideWhenUsed/>
    <w:rsid w:val="00F51615"/>
    <w:pPr>
      <w:spacing w:after="120" w:line="240" w:lineRule="auto"/>
      <w:ind w:left="1680" w:firstLine="567"/>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F51615"/>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F51615"/>
    <w:rPr>
      <w:rFonts w:ascii="Consolas" w:eastAsia="Calibri" w:hAnsi="Consolas" w:cs="Times New Roman"/>
      <w:sz w:val="21"/>
      <w:szCs w:val="21"/>
      <w:lang w:val="x-none" w:eastAsia="x-none"/>
    </w:rPr>
  </w:style>
  <w:style w:type="paragraph" w:customStyle="1" w:styleId="Text1">
    <w:name w:val="Text 1"/>
    <w:basedOn w:val="Normal"/>
    <w:uiPriority w:val="99"/>
    <w:rsid w:val="00F51615"/>
    <w:pPr>
      <w:spacing w:before="120" w:after="120" w:line="240" w:lineRule="auto"/>
      <w:ind w:left="850"/>
      <w:jc w:val="both"/>
    </w:pPr>
    <w:rPr>
      <w:rFonts w:ascii="Times New Roman" w:eastAsia="Times New Roman" w:hAnsi="Times New Roman" w:cs="Times New Roman"/>
      <w:sz w:val="24"/>
      <w:szCs w:val="20"/>
      <w:lang w:val="en-GB" w:eastAsia="de-DE"/>
    </w:rPr>
  </w:style>
  <w:style w:type="character" w:styleId="FollowedHyperlink">
    <w:name w:val="FollowedHyperlink"/>
    <w:uiPriority w:val="99"/>
    <w:semiHidden/>
    <w:unhideWhenUsed/>
    <w:rsid w:val="00F51615"/>
    <w:rPr>
      <w:color w:val="800080"/>
      <w:u w:val="single"/>
    </w:rPr>
  </w:style>
  <w:style w:type="paragraph" w:styleId="Revision">
    <w:name w:val="Revision"/>
    <w:hidden/>
    <w:uiPriority w:val="99"/>
    <w:semiHidden/>
    <w:rsid w:val="00F51615"/>
    <w:pPr>
      <w:spacing w:after="0" w:line="240" w:lineRule="auto"/>
    </w:pPr>
    <w:rPr>
      <w:rFonts w:ascii="Times New Roman" w:eastAsia="Times New Roman" w:hAnsi="Times New Roman" w:cs="Times New Roman"/>
      <w:sz w:val="24"/>
      <w:szCs w:val="20"/>
    </w:rPr>
  </w:style>
  <w:style w:type="paragraph" w:customStyle="1" w:styleId="tv2131">
    <w:name w:val="tv2131"/>
    <w:basedOn w:val="Normal"/>
    <w:rsid w:val="00F51615"/>
    <w:pPr>
      <w:spacing w:before="240" w:after="0" w:line="360" w:lineRule="auto"/>
      <w:ind w:firstLine="300"/>
      <w:jc w:val="both"/>
    </w:pPr>
    <w:rPr>
      <w:rFonts w:ascii="Verdana" w:eastAsia="Times New Roman" w:hAnsi="Verdana" w:cs="Times New Roman"/>
      <w:sz w:val="18"/>
      <w:szCs w:val="18"/>
      <w:lang w:eastAsia="lv-LV"/>
    </w:rPr>
  </w:style>
  <w:style w:type="paragraph" w:customStyle="1" w:styleId="CM1">
    <w:name w:val="CM1"/>
    <w:basedOn w:val="Default"/>
    <w:next w:val="Default"/>
    <w:uiPriority w:val="99"/>
    <w:rsid w:val="00F51615"/>
    <w:rPr>
      <w:rFonts w:ascii="EUAlbertina" w:eastAsia="Calibri" w:hAnsi="EUAlbertina"/>
      <w:color w:val="auto"/>
      <w:lang w:val="en-GB" w:eastAsia="en-GB"/>
    </w:rPr>
  </w:style>
  <w:style w:type="character" w:customStyle="1" w:styleId="st1">
    <w:name w:val="st1"/>
    <w:basedOn w:val="DefaultParagraphFont"/>
    <w:rsid w:val="00F51615"/>
  </w:style>
  <w:style w:type="paragraph" w:customStyle="1" w:styleId="mt-translation1">
    <w:name w:val="mt-translation1"/>
    <w:basedOn w:val="Normal"/>
    <w:rsid w:val="00F51615"/>
    <w:pPr>
      <w:spacing w:after="0" w:line="240" w:lineRule="auto"/>
    </w:pPr>
    <w:rPr>
      <w:rFonts w:ascii="Segoe UI" w:eastAsia="Times New Roman" w:hAnsi="Segoe UI" w:cs="Segoe UI"/>
      <w:lang w:eastAsia="lv-LV"/>
    </w:rPr>
  </w:style>
  <w:style w:type="table" w:styleId="ListTable3-Accent1">
    <w:name w:val="List Table 3 Accent 1"/>
    <w:basedOn w:val="TableNormal"/>
    <w:uiPriority w:val="48"/>
    <w:rsid w:val="00400D0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2-Accent1">
    <w:name w:val="Grid Table 2 Accent 1"/>
    <w:basedOn w:val="TableNormal"/>
    <w:uiPriority w:val="47"/>
    <w:rsid w:val="00400D0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00D0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00D0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00D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00D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00D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775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0144E7"/>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609E"/>
  </w:style>
  <w:style w:type="table" w:customStyle="1" w:styleId="TableGrid2">
    <w:name w:val="Table Grid2"/>
    <w:basedOn w:val="TableNormal"/>
    <w:next w:val="TableGrid"/>
    <w:uiPriority w:val="39"/>
    <w:rsid w:val="0009609E"/>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67FC"/>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EE7F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5">
    <w:name w:val="Grid Table 6 Colorful Accent 5"/>
    <w:basedOn w:val="TableNormal"/>
    <w:uiPriority w:val="51"/>
    <w:rsid w:val="00EE7F4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D811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ps">
    <w:name w:val="hps"/>
    <w:basedOn w:val="DefaultParagraphFont"/>
    <w:rsid w:val="00DB2B30"/>
  </w:style>
  <w:style w:type="numbering" w:customStyle="1" w:styleId="NoList2">
    <w:name w:val="No List2"/>
    <w:next w:val="NoList"/>
    <w:uiPriority w:val="99"/>
    <w:semiHidden/>
    <w:unhideWhenUsed/>
    <w:rsid w:val="000B788C"/>
  </w:style>
  <w:style w:type="character" w:customStyle="1" w:styleId="apple-converted-space">
    <w:name w:val="apple-converted-space"/>
    <w:basedOn w:val="DefaultParagraphFont"/>
    <w:rsid w:val="002046C8"/>
  </w:style>
  <w:style w:type="table" w:customStyle="1" w:styleId="GridTable6Colorful-Accent11">
    <w:name w:val="Grid Table 6 Colorful - Accent 11"/>
    <w:basedOn w:val="TableNormal"/>
    <w:uiPriority w:val="51"/>
    <w:rsid w:val="00B70A8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
    <w:name w:val="No List3"/>
    <w:next w:val="NoList"/>
    <w:uiPriority w:val="99"/>
    <w:semiHidden/>
    <w:unhideWhenUsed/>
    <w:rsid w:val="00CE6BCD"/>
  </w:style>
  <w:style w:type="table" w:customStyle="1" w:styleId="TableGrid4">
    <w:name w:val="Table Grid4"/>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
    <w:name w:val="Grid Table 6 Colorful - Accent 13"/>
    <w:basedOn w:val="TableNormal"/>
    <w:next w:val="GridTable6Colorful-Accent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2">
    <w:name w:val="Grid Table 6 Colorful - Accent 12"/>
    <w:basedOn w:val="TableNormal"/>
    <w:next w:val="GridTable6Colorful-Accent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3">
    <w:name w:val="Style3"/>
    <w:basedOn w:val="Heading3"/>
    <w:link w:val="Style3Char"/>
    <w:qFormat/>
    <w:rsid w:val="0077183B"/>
    <w:pPr>
      <w:numPr>
        <w:ilvl w:val="0"/>
        <w:numId w:val="0"/>
      </w:numPr>
      <w:jc w:val="center"/>
    </w:pPr>
    <w:rPr>
      <w:rFonts w:ascii="Times New Roman" w:hAnsi="Times New Roman" w:cs="Times New Roman"/>
      <w:sz w:val="28"/>
      <w:szCs w:val="32"/>
    </w:rPr>
  </w:style>
  <w:style w:type="table" w:styleId="GridTable4-Accent5">
    <w:name w:val="Grid Table 4 Accent 5"/>
    <w:basedOn w:val="TableNormal"/>
    <w:uiPriority w:val="49"/>
    <w:rsid w:val="0077183B"/>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3Char">
    <w:name w:val="Style3 Char"/>
    <w:basedOn w:val="Heading3Char"/>
    <w:link w:val="Style3"/>
    <w:rsid w:val="0077183B"/>
    <w:rPr>
      <w:rFonts w:ascii="Times New Roman" w:eastAsiaTheme="majorEastAsia" w:hAnsi="Times New Roman" w:cs="Times New Roman"/>
      <w:b/>
      <w:bCs/>
      <w:color w:val="000000" w:themeColor="text1"/>
      <w:sz w:val="28"/>
      <w:szCs w:val="32"/>
    </w:rPr>
  </w:style>
  <w:style w:type="table" w:styleId="ListTable3-Accent5">
    <w:name w:val="List Table 3 Accent 5"/>
    <w:basedOn w:val="TableNormal"/>
    <w:uiPriority w:val="48"/>
    <w:rsid w:val="0077183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5">
    <w:name w:val="Table Grid5"/>
    <w:basedOn w:val="TableNormal"/>
    <w:next w:val="TableGrid"/>
    <w:uiPriority w:val="39"/>
    <w:rsid w:val="00C6773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16B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har2">
    <w:name w:val="Char2"/>
    <w:aliases w:val="Char Char Char Char"/>
    <w:basedOn w:val="Normal"/>
    <w:next w:val="Normal"/>
    <w:link w:val="FootnoteReference"/>
    <w:uiPriority w:val="99"/>
    <w:rsid w:val="005F4C67"/>
    <w:pPr>
      <w:spacing w:line="240" w:lineRule="exact"/>
      <w:jc w:val="both"/>
      <w:textAlignment w:val="baseline"/>
    </w:pPr>
    <w:rPr>
      <w:rFonts w:ascii="Garamond" w:hAnsi="Garamond"/>
      <w:sz w:val="20"/>
      <w:vertAlign w:val="superscript"/>
    </w:rPr>
  </w:style>
  <w:style w:type="character" w:styleId="HTMLCite">
    <w:name w:val="HTML Cite"/>
    <w:basedOn w:val="DefaultParagraphFont"/>
    <w:uiPriority w:val="99"/>
    <w:semiHidden/>
    <w:unhideWhenUsed/>
    <w:rsid w:val="002D4062"/>
    <w:rPr>
      <w:i/>
      <w:iCs/>
    </w:rPr>
  </w:style>
  <w:style w:type="table" w:styleId="ListTable1Light-Accent4">
    <w:name w:val="List Table 1 Light Accent 4"/>
    <w:basedOn w:val="TableNormal"/>
    <w:uiPriority w:val="46"/>
    <w:rsid w:val="006C67E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2">
    <w:name w:val="Grid Table 6 Colorful Accent 2"/>
    <w:basedOn w:val="TableNormal"/>
    <w:uiPriority w:val="51"/>
    <w:rsid w:val="006C67E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15">
      <w:bodyDiv w:val="1"/>
      <w:marLeft w:val="0"/>
      <w:marRight w:val="0"/>
      <w:marTop w:val="0"/>
      <w:marBottom w:val="0"/>
      <w:divBdr>
        <w:top w:val="none" w:sz="0" w:space="0" w:color="auto"/>
        <w:left w:val="none" w:sz="0" w:space="0" w:color="auto"/>
        <w:bottom w:val="none" w:sz="0" w:space="0" w:color="auto"/>
        <w:right w:val="none" w:sz="0" w:space="0" w:color="auto"/>
      </w:divBdr>
    </w:div>
    <w:div w:id="29884897">
      <w:bodyDiv w:val="1"/>
      <w:marLeft w:val="0"/>
      <w:marRight w:val="0"/>
      <w:marTop w:val="0"/>
      <w:marBottom w:val="0"/>
      <w:divBdr>
        <w:top w:val="none" w:sz="0" w:space="0" w:color="auto"/>
        <w:left w:val="none" w:sz="0" w:space="0" w:color="auto"/>
        <w:bottom w:val="none" w:sz="0" w:space="0" w:color="auto"/>
        <w:right w:val="none" w:sz="0" w:space="0" w:color="auto"/>
      </w:divBdr>
    </w:div>
    <w:div w:id="35666004">
      <w:bodyDiv w:val="1"/>
      <w:marLeft w:val="0"/>
      <w:marRight w:val="0"/>
      <w:marTop w:val="0"/>
      <w:marBottom w:val="0"/>
      <w:divBdr>
        <w:top w:val="none" w:sz="0" w:space="0" w:color="auto"/>
        <w:left w:val="none" w:sz="0" w:space="0" w:color="auto"/>
        <w:bottom w:val="none" w:sz="0" w:space="0" w:color="auto"/>
        <w:right w:val="none" w:sz="0" w:space="0" w:color="auto"/>
      </w:divBdr>
    </w:div>
    <w:div w:id="40982938">
      <w:bodyDiv w:val="1"/>
      <w:marLeft w:val="0"/>
      <w:marRight w:val="0"/>
      <w:marTop w:val="0"/>
      <w:marBottom w:val="0"/>
      <w:divBdr>
        <w:top w:val="none" w:sz="0" w:space="0" w:color="auto"/>
        <w:left w:val="none" w:sz="0" w:space="0" w:color="auto"/>
        <w:bottom w:val="none" w:sz="0" w:space="0" w:color="auto"/>
        <w:right w:val="none" w:sz="0" w:space="0" w:color="auto"/>
      </w:divBdr>
    </w:div>
    <w:div w:id="74086681">
      <w:bodyDiv w:val="1"/>
      <w:marLeft w:val="0"/>
      <w:marRight w:val="0"/>
      <w:marTop w:val="0"/>
      <w:marBottom w:val="0"/>
      <w:divBdr>
        <w:top w:val="none" w:sz="0" w:space="0" w:color="auto"/>
        <w:left w:val="none" w:sz="0" w:space="0" w:color="auto"/>
        <w:bottom w:val="none" w:sz="0" w:space="0" w:color="auto"/>
        <w:right w:val="none" w:sz="0" w:space="0" w:color="auto"/>
      </w:divBdr>
    </w:div>
    <w:div w:id="75829142">
      <w:bodyDiv w:val="1"/>
      <w:marLeft w:val="0"/>
      <w:marRight w:val="0"/>
      <w:marTop w:val="0"/>
      <w:marBottom w:val="0"/>
      <w:divBdr>
        <w:top w:val="none" w:sz="0" w:space="0" w:color="auto"/>
        <w:left w:val="none" w:sz="0" w:space="0" w:color="auto"/>
        <w:bottom w:val="none" w:sz="0" w:space="0" w:color="auto"/>
        <w:right w:val="none" w:sz="0" w:space="0" w:color="auto"/>
      </w:divBdr>
    </w:div>
    <w:div w:id="306204804">
      <w:bodyDiv w:val="1"/>
      <w:marLeft w:val="0"/>
      <w:marRight w:val="0"/>
      <w:marTop w:val="0"/>
      <w:marBottom w:val="0"/>
      <w:divBdr>
        <w:top w:val="none" w:sz="0" w:space="0" w:color="auto"/>
        <w:left w:val="none" w:sz="0" w:space="0" w:color="auto"/>
        <w:bottom w:val="none" w:sz="0" w:space="0" w:color="auto"/>
        <w:right w:val="none" w:sz="0" w:space="0" w:color="auto"/>
      </w:divBdr>
    </w:div>
    <w:div w:id="312829947">
      <w:bodyDiv w:val="1"/>
      <w:marLeft w:val="0"/>
      <w:marRight w:val="0"/>
      <w:marTop w:val="0"/>
      <w:marBottom w:val="0"/>
      <w:divBdr>
        <w:top w:val="none" w:sz="0" w:space="0" w:color="auto"/>
        <w:left w:val="none" w:sz="0" w:space="0" w:color="auto"/>
        <w:bottom w:val="none" w:sz="0" w:space="0" w:color="auto"/>
        <w:right w:val="none" w:sz="0" w:space="0" w:color="auto"/>
      </w:divBdr>
    </w:div>
    <w:div w:id="316032292">
      <w:bodyDiv w:val="1"/>
      <w:marLeft w:val="0"/>
      <w:marRight w:val="0"/>
      <w:marTop w:val="0"/>
      <w:marBottom w:val="0"/>
      <w:divBdr>
        <w:top w:val="none" w:sz="0" w:space="0" w:color="auto"/>
        <w:left w:val="none" w:sz="0" w:space="0" w:color="auto"/>
        <w:bottom w:val="none" w:sz="0" w:space="0" w:color="auto"/>
        <w:right w:val="none" w:sz="0" w:space="0" w:color="auto"/>
      </w:divBdr>
    </w:div>
    <w:div w:id="364912471">
      <w:bodyDiv w:val="1"/>
      <w:marLeft w:val="0"/>
      <w:marRight w:val="0"/>
      <w:marTop w:val="0"/>
      <w:marBottom w:val="0"/>
      <w:divBdr>
        <w:top w:val="none" w:sz="0" w:space="0" w:color="auto"/>
        <w:left w:val="none" w:sz="0" w:space="0" w:color="auto"/>
        <w:bottom w:val="none" w:sz="0" w:space="0" w:color="auto"/>
        <w:right w:val="none" w:sz="0" w:space="0" w:color="auto"/>
      </w:divBdr>
    </w:div>
    <w:div w:id="382173104">
      <w:bodyDiv w:val="1"/>
      <w:marLeft w:val="0"/>
      <w:marRight w:val="0"/>
      <w:marTop w:val="0"/>
      <w:marBottom w:val="0"/>
      <w:divBdr>
        <w:top w:val="none" w:sz="0" w:space="0" w:color="auto"/>
        <w:left w:val="none" w:sz="0" w:space="0" w:color="auto"/>
        <w:bottom w:val="none" w:sz="0" w:space="0" w:color="auto"/>
        <w:right w:val="none" w:sz="0" w:space="0" w:color="auto"/>
      </w:divBdr>
    </w:div>
    <w:div w:id="516312171">
      <w:bodyDiv w:val="1"/>
      <w:marLeft w:val="0"/>
      <w:marRight w:val="0"/>
      <w:marTop w:val="0"/>
      <w:marBottom w:val="0"/>
      <w:divBdr>
        <w:top w:val="none" w:sz="0" w:space="0" w:color="auto"/>
        <w:left w:val="none" w:sz="0" w:space="0" w:color="auto"/>
        <w:bottom w:val="none" w:sz="0" w:space="0" w:color="auto"/>
        <w:right w:val="none" w:sz="0" w:space="0" w:color="auto"/>
      </w:divBdr>
    </w:div>
    <w:div w:id="581915553">
      <w:bodyDiv w:val="1"/>
      <w:marLeft w:val="0"/>
      <w:marRight w:val="0"/>
      <w:marTop w:val="0"/>
      <w:marBottom w:val="0"/>
      <w:divBdr>
        <w:top w:val="none" w:sz="0" w:space="0" w:color="auto"/>
        <w:left w:val="none" w:sz="0" w:space="0" w:color="auto"/>
        <w:bottom w:val="none" w:sz="0" w:space="0" w:color="auto"/>
        <w:right w:val="none" w:sz="0" w:space="0" w:color="auto"/>
      </w:divBdr>
    </w:div>
    <w:div w:id="645016098">
      <w:bodyDiv w:val="1"/>
      <w:marLeft w:val="0"/>
      <w:marRight w:val="0"/>
      <w:marTop w:val="0"/>
      <w:marBottom w:val="0"/>
      <w:divBdr>
        <w:top w:val="none" w:sz="0" w:space="0" w:color="auto"/>
        <w:left w:val="none" w:sz="0" w:space="0" w:color="auto"/>
        <w:bottom w:val="none" w:sz="0" w:space="0" w:color="auto"/>
        <w:right w:val="none" w:sz="0" w:space="0" w:color="auto"/>
      </w:divBdr>
    </w:div>
    <w:div w:id="684596545">
      <w:bodyDiv w:val="1"/>
      <w:marLeft w:val="0"/>
      <w:marRight w:val="0"/>
      <w:marTop w:val="0"/>
      <w:marBottom w:val="0"/>
      <w:divBdr>
        <w:top w:val="none" w:sz="0" w:space="0" w:color="auto"/>
        <w:left w:val="none" w:sz="0" w:space="0" w:color="auto"/>
        <w:bottom w:val="none" w:sz="0" w:space="0" w:color="auto"/>
        <w:right w:val="none" w:sz="0" w:space="0" w:color="auto"/>
      </w:divBdr>
    </w:div>
    <w:div w:id="829563314">
      <w:bodyDiv w:val="1"/>
      <w:marLeft w:val="0"/>
      <w:marRight w:val="0"/>
      <w:marTop w:val="0"/>
      <w:marBottom w:val="0"/>
      <w:divBdr>
        <w:top w:val="none" w:sz="0" w:space="0" w:color="auto"/>
        <w:left w:val="none" w:sz="0" w:space="0" w:color="auto"/>
        <w:bottom w:val="none" w:sz="0" w:space="0" w:color="auto"/>
        <w:right w:val="none" w:sz="0" w:space="0" w:color="auto"/>
      </w:divBdr>
    </w:div>
    <w:div w:id="944507542">
      <w:bodyDiv w:val="1"/>
      <w:marLeft w:val="0"/>
      <w:marRight w:val="0"/>
      <w:marTop w:val="0"/>
      <w:marBottom w:val="0"/>
      <w:divBdr>
        <w:top w:val="none" w:sz="0" w:space="0" w:color="auto"/>
        <w:left w:val="none" w:sz="0" w:space="0" w:color="auto"/>
        <w:bottom w:val="none" w:sz="0" w:space="0" w:color="auto"/>
        <w:right w:val="none" w:sz="0" w:space="0" w:color="auto"/>
      </w:divBdr>
    </w:div>
    <w:div w:id="951742720">
      <w:bodyDiv w:val="1"/>
      <w:marLeft w:val="0"/>
      <w:marRight w:val="0"/>
      <w:marTop w:val="0"/>
      <w:marBottom w:val="0"/>
      <w:divBdr>
        <w:top w:val="none" w:sz="0" w:space="0" w:color="auto"/>
        <w:left w:val="none" w:sz="0" w:space="0" w:color="auto"/>
        <w:bottom w:val="none" w:sz="0" w:space="0" w:color="auto"/>
        <w:right w:val="none" w:sz="0" w:space="0" w:color="auto"/>
      </w:divBdr>
    </w:div>
    <w:div w:id="951861105">
      <w:bodyDiv w:val="1"/>
      <w:marLeft w:val="0"/>
      <w:marRight w:val="0"/>
      <w:marTop w:val="0"/>
      <w:marBottom w:val="0"/>
      <w:divBdr>
        <w:top w:val="none" w:sz="0" w:space="0" w:color="auto"/>
        <w:left w:val="none" w:sz="0" w:space="0" w:color="auto"/>
        <w:bottom w:val="none" w:sz="0" w:space="0" w:color="auto"/>
        <w:right w:val="none" w:sz="0" w:space="0" w:color="auto"/>
      </w:divBdr>
    </w:div>
    <w:div w:id="994065472">
      <w:bodyDiv w:val="1"/>
      <w:marLeft w:val="0"/>
      <w:marRight w:val="0"/>
      <w:marTop w:val="0"/>
      <w:marBottom w:val="0"/>
      <w:divBdr>
        <w:top w:val="none" w:sz="0" w:space="0" w:color="auto"/>
        <w:left w:val="none" w:sz="0" w:space="0" w:color="auto"/>
        <w:bottom w:val="none" w:sz="0" w:space="0" w:color="auto"/>
        <w:right w:val="none" w:sz="0" w:space="0" w:color="auto"/>
      </w:divBdr>
    </w:div>
    <w:div w:id="1028681681">
      <w:bodyDiv w:val="1"/>
      <w:marLeft w:val="0"/>
      <w:marRight w:val="0"/>
      <w:marTop w:val="0"/>
      <w:marBottom w:val="0"/>
      <w:divBdr>
        <w:top w:val="none" w:sz="0" w:space="0" w:color="auto"/>
        <w:left w:val="none" w:sz="0" w:space="0" w:color="auto"/>
        <w:bottom w:val="none" w:sz="0" w:space="0" w:color="auto"/>
        <w:right w:val="none" w:sz="0" w:space="0" w:color="auto"/>
      </w:divBdr>
    </w:div>
    <w:div w:id="1031416789">
      <w:bodyDiv w:val="1"/>
      <w:marLeft w:val="0"/>
      <w:marRight w:val="0"/>
      <w:marTop w:val="0"/>
      <w:marBottom w:val="0"/>
      <w:divBdr>
        <w:top w:val="none" w:sz="0" w:space="0" w:color="auto"/>
        <w:left w:val="none" w:sz="0" w:space="0" w:color="auto"/>
        <w:bottom w:val="none" w:sz="0" w:space="0" w:color="auto"/>
        <w:right w:val="none" w:sz="0" w:space="0" w:color="auto"/>
      </w:divBdr>
    </w:div>
    <w:div w:id="1035042229">
      <w:bodyDiv w:val="1"/>
      <w:marLeft w:val="0"/>
      <w:marRight w:val="0"/>
      <w:marTop w:val="0"/>
      <w:marBottom w:val="0"/>
      <w:divBdr>
        <w:top w:val="none" w:sz="0" w:space="0" w:color="auto"/>
        <w:left w:val="none" w:sz="0" w:space="0" w:color="auto"/>
        <w:bottom w:val="none" w:sz="0" w:space="0" w:color="auto"/>
        <w:right w:val="none" w:sz="0" w:space="0" w:color="auto"/>
      </w:divBdr>
    </w:div>
    <w:div w:id="1083185001">
      <w:bodyDiv w:val="1"/>
      <w:marLeft w:val="0"/>
      <w:marRight w:val="0"/>
      <w:marTop w:val="0"/>
      <w:marBottom w:val="0"/>
      <w:divBdr>
        <w:top w:val="none" w:sz="0" w:space="0" w:color="auto"/>
        <w:left w:val="none" w:sz="0" w:space="0" w:color="auto"/>
        <w:bottom w:val="none" w:sz="0" w:space="0" w:color="auto"/>
        <w:right w:val="none" w:sz="0" w:space="0" w:color="auto"/>
      </w:divBdr>
    </w:div>
    <w:div w:id="1137533331">
      <w:bodyDiv w:val="1"/>
      <w:marLeft w:val="0"/>
      <w:marRight w:val="0"/>
      <w:marTop w:val="0"/>
      <w:marBottom w:val="0"/>
      <w:divBdr>
        <w:top w:val="none" w:sz="0" w:space="0" w:color="auto"/>
        <w:left w:val="none" w:sz="0" w:space="0" w:color="auto"/>
        <w:bottom w:val="none" w:sz="0" w:space="0" w:color="auto"/>
        <w:right w:val="none" w:sz="0" w:space="0" w:color="auto"/>
      </w:divBdr>
    </w:div>
    <w:div w:id="1202282923">
      <w:bodyDiv w:val="1"/>
      <w:marLeft w:val="0"/>
      <w:marRight w:val="0"/>
      <w:marTop w:val="0"/>
      <w:marBottom w:val="0"/>
      <w:divBdr>
        <w:top w:val="none" w:sz="0" w:space="0" w:color="auto"/>
        <w:left w:val="none" w:sz="0" w:space="0" w:color="auto"/>
        <w:bottom w:val="none" w:sz="0" w:space="0" w:color="auto"/>
        <w:right w:val="none" w:sz="0" w:space="0" w:color="auto"/>
      </w:divBdr>
    </w:div>
    <w:div w:id="1234776103">
      <w:bodyDiv w:val="1"/>
      <w:marLeft w:val="0"/>
      <w:marRight w:val="0"/>
      <w:marTop w:val="0"/>
      <w:marBottom w:val="0"/>
      <w:divBdr>
        <w:top w:val="none" w:sz="0" w:space="0" w:color="auto"/>
        <w:left w:val="none" w:sz="0" w:space="0" w:color="auto"/>
        <w:bottom w:val="none" w:sz="0" w:space="0" w:color="auto"/>
        <w:right w:val="none" w:sz="0" w:space="0" w:color="auto"/>
      </w:divBdr>
    </w:div>
    <w:div w:id="1301838879">
      <w:bodyDiv w:val="1"/>
      <w:marLeft w:val="0"/>
      <w:marRight w:val="0"/>
      <w:marTop w:val="0"/>
      <w:marBottom w:val="0"/>
      <w:divBdr>
        <w:top w:val="none" w:sz="0" w:space="0" w:color="auto"/>
        <w:left w:val="none" w:sz="0" w:space="0" w:color="auto"/>
        <w:bottom w:val="none" w:sz="0" w:space="0" w:color="auto"/>
        <w:right w:val="none" w:sz="0" w:space="0" w:color="auto"/>
      </w:divBdr>
    </w:div>
    <w:div w:id="1394113210">
      <w:bodyDiv w:val="1"/>
      <w:marLeft w:val="0"/>
      <w:marRight w:val="0"/>
      <w:marTop w:val="0"/>
      <w:marBottom w:val="0"/>
      <w:divBdr>
        <w:top w:val="none" w:sz="0" w:space="0" w:color="auto"/>
        <w:left w:val="none" w:sz="0" w:space="0" w:color="auto"/>
        <w:bottom w:val="none" w:sz="0" w:space="0" w:color="auto"/>
        <w:right w:val="none" w:sz="0" w:space="0" w:color="auto"/>
      </w:divBdr>
    </w:div>
    <w:div w:id="1420523522">
      <w:bodyDiv w:val="1"/>
      <w:marLeft w:val="0"/>
      <w:marRight w:val="0"/>
      <w:marTop w:val="0"/>
      <w:marBottom w:val="0"/>
      <w:divBdr>
        <w:top w:val="none" w:sz="0" w:space="0" w:color="auto"/>
        <w:left w:val="none" w:sz="0" w:space="0" w:color="auto"/>
        <w:bottom w:val="none" w:sz="0" w:space="0" w:color="auto"/>
        <w:right w:val="none" w:sz="0" w:space="0" w:color="auto"/>
      </w:divBdr>
    </w:div>
    <w:div w:id="1424378592">
      <w:bodyDiv w:val="1"/>
      <w:marLeft w:val="0"/>
      <w:marRight w:val="0"/>
      <w:marTop w:val="0"/>
      <w:marBottom w:val="0"/>
      <w:divBdr>
        <w:top w:val="none" w:sz="0" w:space="0" w:color="auto"/>
        <w:left w:val="none" w:sz="0" w:space="0" w:color="auto"/>
        <w:bottom w:val="none" w:sz="0" w:space="0" w:color="auto"/>
        <w:right w:val="none" w:sz="0" w:space="0" w:color="auto"/>
      </w:divBdr>
    </w:div>
    <w:div w:id="1457064674">
      <w:bodyDiv w:val="1"/>
      <w:marLeft w:val="0"/>
      <w:marRight w:val="0"/>
      <w:marTop w:val="0"/>
      <w:marBottom w:val="0"/>
      <w:divBdr>
        <w:top w:val="none" w:sz="0" w:space="0" w:color="auto"/>
        <w:left w:val="none" w:sz="0" w:space="0" w:color="auto"/>
        <w:bottom w:val="none" w:sz="0" w:space="0" w:color="auto"/>
        <w:right w:val="none" w:sz="0" w:space="0" w:color="auto"/>
      </w:divBdr>
    </w:div>
    <w:div w:id="1467819897">
      <w:bodyDiv w:val="1"/>
      <w:marLeft w:val="0"/>
      <w:marRight w:val="0"/>
      <w:marTop w:val="0"/>
      <w:marBottom w:val="0"/>
      <w:divBdr>
        <w:top w:val="none" w:sz="0" w:space="0" w:color="auto"/>
        <w:left w:val="none" w:sz="0" w:space="0" w:color="auto"/>
        <w:bottom w:val="none" w:sz="0" w:space="0" w:color="auto"/>
        <w:right w:val="none" w:sz="0" w:space="0" w:color="auto"/>
      </w:divBdr>
    </w:div>
    <w:div w:id="1469130278">
      <w:bodyDiv w:val="1"/>
      <w:marLeft w:val="0"/>
      <w:marRight w:val="0"/>
      <w:marTop w:val="0"/>
      <w:marBottom w:val="0"/>
      <w:divBdr>
        <w:top w:val="none" w:sz="0" w:space="0" w:color="auto"/>
        <w:left w:val="none" w:sz="0" w:space="0" w:color="auto"/>
        <w:bottom w:val="none" w:sz="0" w:space="0" w:color="auto"/>
        <w:right w:val="none" w:sz="0" w:space="0" w:color="auto"/>
      </w:divBdr>
    </w:div>
    <w:div w:id="1598633343">
      <w:bodyDiv w:val="1"/>
      <w:marLeft w:val="0"/>
      <w:marRight w:val="0"/>
      <w:marTop w:val="0"/>
      <w:marBottom w:val="0"/>
      <w:divBdr>
        <w:top w:val="none" w:sz="0" w:space="0" w:color="auto"/>
        <w:left w:val="none" w:sz="0" w:space="0" w:color="auto"/>
        <w:bottom w:val="none" w:sz="0" w:space="0" w:color="auto"/>
        <w:right w:val="none" w:sz="0" w:space="0" w:color="auto"/>
      </w:divBdr>
    </w:div>
    <w:div w:id="1620605040">
      <w:bodyDiv w:val="1"/>
      <w:marLeft w:val="0"/>
      <w:marRight w:val="0"/>
      <w:marTop w:val="0"/>
      <w:marBottom w:val="0"/>
      <w:divBdr>
        <w:top w:val="none" w:sz="0" w:space="0" w:color="auto"/>
        <w:left w:val="none" w:sz="0" w:space="0" w:color="auto"/>
        <w:bottom w:val="none" w:sz="0" w:space="0" w:color="auto"/>
        <w:right w:val="none" w:sz="0" w:space="0" w:color="auto"/>
      </w:divBdr>
    </w:div>
    <w:div w:id="1716419001">
      <w:bodyDiv w:val="1"/>
      <w:marLeft w:val="0"/>
      <w:marRight w:val="0"/>
      <w:marTop w:val="0"/>
      <w:marBottom w:val="0"/>
      <w:divBdr>
        <w:top w:val="none" w:sz="0" w:space="0" w:color="auto"/>
        <w:left w:val="none" w:sz="0" w:space="0" w:color="auto"/>
        <w:bottom w:val="none" w:sz="0" w:space="0" w:color="auto"/>
        <w:right w:val="none" w:sz="0" w:space="0" w:color="auto"/>
      </w:divBdr>
    </w:div>
    <w:div w:id="1717775540">
      <w:bodyDiv w:val="1"/>
      <w:marLeft w:val="0"/>
      <w:marRight w:val="0"/>
      <w:marTop w:val="0"/>
      <w:marBottom w:val="0"/>
      <w:divBdr>
        <w:top w:val="none" w:sz="0" w:space="0" w:color="auto"/>
        <w:left w:val="none" w:sz="0" w:space="0" w:color="auto"/>
        <w:bottom w:val="none" w:sz="0" w:space="0" w:color="auto"/>
        <w:right w:val="none" w:sz="0" w:space="0" w:color="auto"/>
      </w:divBdr>
    </w:div>
    <w:div w:id="1724672657">
      <w:bodyDiv w:val="1"/>
      <w:marLeft w:val="0"/>
      <w:marRight w:val="0"/>
      <w:marTop w:val="0"/>
      <w:marBottom w:val="0"/>
      <w:divBdr>
        <w:top w:val="none" w:sz="0" w:space="0" w:color="auto"/>
        <w:left w:val="none" w:sz="0" w:space="0" w:color="auto"/>
        <w:bottom w:val="none" w:sz="0" w:space="0" w:color="auto"/>
        <w:right w:val="none" w:sz="0" w:space="0" w:color="auto"/>
      </w:divBdr>
    </w:div>
    <w:div w:id="1742750254">
      <w:bodyDiv w:val="1"/>
      <w:marLeft w:val="0"/>
      <w:marRight w:val="0"/>
      <w:marTop w:val="0"/>
      <w:marBottom w:val="0"/>
      <w:divBdr>
        <w:top w:val="none" w:sz="0" w:space="0" w:color="auto"/>
        <w:left w:val="none" w:sz="0" w:space="0" w:color="auto"/>
        <w:bottom w:val="none" w:sz="0" w:space="0" w:color="auto"/>
        <w:right w:val="none" w:sz="0" w:space="0" w:color="auto"/>
      </w:divBdr>
    </w:div>
    <w:div w:id="1805270287">
      <w:bodyDiv w:val="1"/>
      <w:marLeft w:val="0"/>
      <w:marRight w:val="0"/>
      <w:marTop w:val="0"/>
      <w:marBottom w:val="0"/>
      <w:divBdr>
        <w:top w:val="none" w:sz="0" w:space="0" w:color="auto"/>
        <w:left w:val="none" w:sz="0" w:space="0" w:color="auto"/>
        <w:bottom w:val="none" w:sz="0" w:space="0" w:color="auto"/>
        <w:right w:val="none" w:sz="0" w:space="0" w:color="auto"/>
      </w:divBdr>
    </w:div>
    <w:div w:id="1891769886">
      <w:bodyDiv w:val="1"/>
      <w:marLeft w:val="0"/>
      <w:marRight w:val="0"/>
      <w:marTop w:val="0"/>
      <w:marBottom w:val="0"/>
      <w:divBdr>
        <w:top w:val="none" w:sz="0" w:space="0" w:color="auto"/>
        <w:left w:val="none" w:sz="0" w:space="0" w:color="auto"/>
        <w:bottom w:val="none" w:sz="0" w:space="0" w:color="auto"/>
        <w:right w:val="none" w:sz="0" w:space="0" w:color="auto"/>
      </w:divBdr>
    </w:div>
    <w:div w:id="1991254365">
      <w:bodyDiv w:val="1"/>
      <w:marLeft w:val="0"/>
      <w:marRight w:val="0"/>
      <w:marTop w:val="0"/>
      <w:marBottom w:val="0"/>
      <w:divBdr>
        <w:top w:val="none" w:sz="0" w:space="0" w:color="auto"/>
        <w:left w:val="none" w:sz="0" w:space="0" w:color="auto"/>
        <w:bottom w:val="none" w:sz="0" w:space="0" w:color="auto"/>
        <w:right w:val="none" w:sz="0" w:space="0" w:color="auto"/>
      </w:divBdr>
    </w:div>
    <w:div w:id="2075885471">
      <w:bodyDiv w:val="1"/>
      <w:marLeft w:val="0"/>
      <w:marRight w:val="0"/>
      <w:marTop w:val="0"/>
      <w:marBottom w:val="0"/>
      <w:divBdr>
        <w:top w:val="none" w:sz="0" w:space="0" w:color="auto"/>
        <w:left w:val="none" w:sz="0" w:space="0" w:color="auto"/>
        <w:bottom w:val="none" w:sz="0" w:space="0" w:color="auto"/>
        <w:right w:val="none" w:sz="0" w:space="0" w:color="auto"/>
      </w:divBdr>
    </w:div>
    <w:div w:id="2101367432">
      <w:bodyDiv w:val="1"/>
      <w:marLeft w:val="0"/>
      <w:marRight w:val="0"/>
      <w:marTop w:val="0"/>
      <w:marBottom w:val="0"/>
      <w:divBdr>
        <w:top w:val="none" w:sz="0" w:space="0" w:color="auto"/>
        <w:left w:val="none" w:sz="0" w:space="0" w:color="auto"/>
        <w:bottom w:val="none" w:sz="0" w:space="0" w:color="auto"/>
        <w:right w:val="none" w:sz="0" w:space="0" w:color="auto"/>
      </w:divBdr>
    </w:div>
    <w:div w:id="2112891586">
      <w:bodyDiv w:val="1"/>
      <w:marLeft w:val="0"/>
      <w:marRight w:val="0"/>
      <w:marTop w:val="0"/>
      <w:marBottom w:val="0"/>
      <w:divBdr>
        <w:top w:val="none" w:sz="0" w:space="0" w:color="auto"/>
        <w:left w:val="none" w:sz="0" w:space="0" w:color="auto"/>
        <w:bottom w:val="none" w:sz="0" w:space="0" w:color="auto"/>
        <w:right w:val="none" w:sz="0" w:space="0" w:color="auto"/>
      </w:divBdr>
    </w:div>
    <w:div w:id="2129541071">
      <w:bodyDiv w:val="1"/>
      <w:marLeft w:val="0"/>
      <w:marRight w:val="0"/>
      <w:marTop w:val="0"/>
      <w:marBottom w:val="0"/>
      <w:divBdr>
        <w:top w:val="none" w:sz="0" w:space="0" w:color="auto"/>
        <w:left w:val="none" w:sz="0" w:space="0" w:color="auto"/>
        <w:bottom w:val="none" w:sz="0" w:space="0" w:color="auto"/>
        <w:right w:val="none" w:sz="0" w:space="0" w:color="auto"/>
      </w:divBdr>
    </w:div>
    <w:div w:id="21359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1.xml"/><Relationship Id="rId39"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7.png"/><Relationship Id="rId42" Type="http://schemas.openxmlformats.org/officeDocument/2006/relationships/hyperlink" Target="http://www.likumi.lv/doc.php?id=38048"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emf"/><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10.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chart" Target="charts/chart14.xml"/><Relationship Id="rId41" Type="http://schemas.openxmlformats.org/officeDocument/2006/relationships/hyperlink" Target="http://www.likumi.lv/doc.php?id=380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19.xml"/><Relationship Id="rId40" Type="http://schemas.openxmlformats.org/officeDocument/2006/relationships/image" Target="media/image12.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6.emf"/><Relationship Id="rId28" Type="http://schemas.openxmlformats.org/officeDocument/2006/relationships/chart" Target="charts/chart13.xml"/><Relationship Id="rId36" Type="http://schemas.openxmlformats.org/officeDocument/2006/relationships/image" Target="media/image9.png"/><Relationship Id="rId10" Type="http://schemas.openxmlformats.org/officeDocument/2006/relationships/hyperlink" Target="http://eur-lex.europa.eu/eli/reg/1997/1466/oj/?locale=LV" TargetMode="External"/><Relationship Id="rId19" Type="http://schemas.openxmlformats.org/officeDocument/2006/relationships/chart" Target="charts/chart7.xml"/><Relationship Id="rId31" Type="http://schemas.openxmlformats.org/officeDocument/2006/relationships/chart" Target="charts/chart16.xml"/><Relationship Id="rId44" Type="http://schemas.openxmlformats.org/officeDocument/2006/relationships/hyperlink" Target="mailto:Gerda.Rubina@fm.gov.l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8.png"/><Relationship Id="rId43"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imf.org/external/pubs/ft/weo/2016/02/weodata/index.asp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fs\fpd\FPD\Tautsaimniecibas_un_fiskalas_parvaldibas_nodala\M&#257;rti&#326;&#353;\veselibas_reforma\aizsutitais%20COM_2017\gov_10a_exp.xls"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oleObject" Target="file:///C:\Users\akasparans\Downloads\PZMG_prognoze.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kasparans\Downloads\PZMG_prognoze.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vnozare.pri\vm\Redirect_profiles\akasparans\Desktop\34M_zinojums\PZMG_prognoze%20(Autosaved).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vnozare.pri\vm\Redirect_profiles\akasparans\Desktop\34M_zinojums\PZMG_prognoze%20(Autosaved).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vnozare.pri\vm\Redirect_profiles\akasparans\Desktop\34M_zinojums\PZMG_prognoze%20(Autosaved).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s\nad\IE&#325;&#274;MUMU%20ANAL&#298;ZES%20UN%20PROGNOZ&#274;&#352;ANAS%20NODA&#315;A\Nodok&#316;u%20anal&#299;ze%20un%20prognoz&#275;&#353;ana\SOLIDARITATE\Efektiva%20likm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fs\tand\TAND\_Makro_modeli\Infl&#257;cija\Inflation_mai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oleObject" Target="file:///\\fs\fpd\FPD\Tautsaimniecibas_un_fiskalas_parvaldibas_nodala\Gints\_Eiropas_semestris\_SP_2017_2020\Copy%20of%20Copy%20of%20scen&#257;rijs%20nodok&#316;u%20izmai&#326;&#257;m%2013032017v2.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207165133474054E-2"/>
          <c:y val="4.7159699892818867E-2"/>
          <c:w val="0.93521042134108123"/>
          <c:h val="0.66623639258207479"/>
        </c:manualLayout>
      </c:layout>
      <c:barChart>
        <c:barDir val="col"/>
        <c:grouping val="clustered"/>
        <c:varyColors val="0"/>
        <c:ser>
          <c:idx val="4"/>
          <c:order val="2"/>
          <c:tx>
            <c:strRef>
              <c:f>'Parnervalstu svērtā izaugsme'!$C$9</c:f>
              <c:strCache>
                <c:ptCount val="1"/>
                <c:pt idx="0">
                  <c:v>Latvija</c:v>
                </c:pt>
              </c:strCache>
            </c:strRef>
          </c:tx>
          <c:spPr>
            <a:solidFill>
              <a:srgbClr val="C00000"/>
            </a:solidFill>
            <a:ln>
              <a:noFill/>
            </a:ln>
            <a:effectLst/>
          </c:spPr>
          <c:invertIfNegative val="0"/>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izaugsme'!$N$10:$N$35</c:f>
              <c:numCache>
                <c:formatCode>General</c:formatCode>
                <c:ptCount val="26"/>
                <c:pt idx="0">
                  <c:v>0</c:v>
                </c:pt>
                <c:pt idx="1">
                  <c:v>0</c:v>
                </c:pt>
                <c:pt idx="24">
                  <c:v>2.8</c:v>
                </c:pt>
                <c:pt idx="25">
                  <c:v>3</c:v>
                </c:pt>
              </c:numCache>
            </c:numRef>
          </c:val>
          <c:extLst>
            <c:ext xmlns:c16="http://schemas.microsoft.com/office/drawing/2014/chart" uri="{C3380CC4-5D6E-409C-BE32-E72D297353CC}">
              <c16:uniqueId val="{00000000-22E5-46F7-94AB-4109A6F79099}"/>
            </c:ext>
          </c:extLst>
        </c:ser>
        <c:ser>
          <c:idx val="3"/>
          <c:order val="4"/>
          <c:tx>
            <c:strRef>
              <c:f>'Parnervalstu svērtā izaugsme'!$K$9</c:f>
              <c:strCache>
                <c:ptCount val="1"/>
                <c:pt idx="0">
                  <c:v>ES</c:v>
                </c:pt>
              </c:strCache>
            </c:strRef>
          </c:tx>
          <c:spPr>
            <a:solidFill>
              <a:srgbClr val="10253F"/>
            </a:solidFill>
            <a:ln>
              <a:noFill/>
            </a:ln>
            <a:effectLst/>
          </c:spPr>
          <c:invertIfNegative val="0"/>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izaugsme'!$O$10:$O$35</c:f>
              <c:numCache>
                <c:formatCode>General</c:formatCode>
                <c:ptCount val="26"/>
                <c:pt idx="24">
                  <c:v>1.8</c:v>
                </c:pt>
                <c:pt idx="25">
                  <c:v>1.8</c:v>
                </c:pt>
              </c:numCache>
            </c:numRef>
          </c:val>
          <c:extLst>
            <c:ext xmlns:c16="http://schemas.microsoft.com/office/drawing/2014/chart" uri="{C3380CC4-5D6E-409C-BE32-E72D297353CC}">
              <c16:uniqueId val="{00000001-22E5-46F7-94AB-4109A6F79099}"/>
            </c:ext>
          </c:extLst>
        </c:ser>
        <c:ser>
          <c:idx val="5"/>
          <c:order val="5"/>
          <c:tx>
            <c:strRef>
              <c:f>'Parnervalstu svērtā izaugsme'!$L$9</c:f>
              <c:strCache>
                <c:ptCount val="1"/>
                <c:pt idx="0">
                  <c:v>Partnervalstis</c:v>
                </c:pt>
              </c:strCache>
            </c:strRef>
          </c:tx>
          <c:spPr>
            <a:solidFill>
              <a:srgbClr val="9BBB59"/>
            </a:solidFill>
            <a:ln>
              <a:noFill/>
            </a:ln>
            <a:effectLst/>
          </c:spPr>
          <c:invertIfNegative val="0"/>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izaugsme'!$P$10:$P$35</c:f>
              <c:numCache>
                <c:formatCode>General</c:formatCode>
                <c:ptCount val="26"/>
                <c:pt idx="24" formatCode="#,##0.0">
                  <c:v>2.2025271643827904</c:v>
                </c:pt>
                <c:pt idx="25" formatCode="#,##0.0">
                  <c:v>2.2457893521020562</c:v>
                </c:pt>
              </c:numCache>
            </c:numRef>
          </c:val>
          <c:extLst>
            <c:ext xmlns:c16="http://schemas.microsoft.com/office/drawing/2014/chart" uri="{C3380CC4-5D6E-409C-BE32-E72D297353CC}">
              <c16:uniqueId val="{00000002-22E5-46F7-94AB-4109A6F79099}"/>
            </c:ext>
          </c:extLst>
        </c:ser>
        <c:ser>
          <c:idx val="7"/>
          <c:order val="7"/>
          <c:spPr>
            <a:pattFill prst="narHorz">
              <a:fgClr>
                <a:schemeClr val="accent6">
                  <a:lumMod val="75000"/>
                </a:schemeClr>
              </a:fgClr>
              <a:bgClr>
                <a:schemeClr val="bg1"/>
              </a:bgClr>
            </a:pattFill>
            <a:ln>
              <a:solidFill>
                <a:schemeClr val="accent6">
                  <a:lumMod val="75000"/>
                </a:schemeClr>
              </a:solidFill>
            </a:ln>
            <a:effectLst/>
          </c:spPr>
          <c:invertIfNegative val="0"/>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izaugsme'!$Q$10:$Q$35</c:f>
              <c:numCache>
                <c:formatCode>General</c:formatCode>
                <c:ptCount val="26"/>
                <c:pt idx="24" formatCode="#,##0.0">
                  <c:v>2.2397099974827128</c:v>
                </c:pt>
                <c:pt idx="25" formatCode="#,##0.0">
                  <c:v>2.2788522126255124</c:v>
                </c:pt>
              </c:numCache>
            </c:numRef>
          </c:val>
          <c:extLst>
            <c:ext xmlns:c16="http://schemas.microsoft.com/office/drawing/2014/chart" uri="{C3380CC4-5D6E-409C-BE32-E72D297353CC}">
              <c16:uniqueId val="{00000003-22E5-46F7-94AB-4109A6F79099}"/>
            </c:ext>
          </c:extLst>
        </c:ser>
        <c:dLbls>
          <c:showLegendKey val="0"/>
          <c:showVal val="0"/>
          <c:showCatName val="0"/>
          <c:showSerName val="0"/>
          <c:showPercent val="0"/>
          <c:showBubbleSize val="0"/>
        </c:dLbls>
        <c:gapWidth val="150"/>
        <c:axId val="264364168"/>
        <c:axId val="264363776"/>
      </c:barChart>
      <c:lineChart>
        <c:grouping val="standard"/>
        <c:varyColors val="0"/>
        <c:ser>
          <c:idx val="0"/>
          <c:order val="0"/>
          <c:tx>
            <c:strRef>
              <c:f>'Parnervalstu svērtā izaugsme'!$K$9</c:f>
              <c:strCache>
                <c:ptCount val="1"/>
                <c:pt idx="0">
                  <c:v>ES</c:v>
                </c:pt>
              </c:strCache>
            </c:strRef>
          </c:tx>
          <c:spPr>
            <a:ln w="28575" cap="rnd">
              <a:solidFill>
                <a:srgbClr val="10253F"/>
              </a:solidFill>
              <a:round/>
            </a:ln>
            <a:effectLst/>
          </c:spPr>
          <c:marker>
            <c:symbol val="none"/>
          </c:marker>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izaugsme'!$K$10:$K$33</c:f>
              <c:numCache>
                <c:formatCode>#,##0.0</c:formatCode>
                <c:ptCount val="24"/>
                <c:pt idx="0">
                  <c:v>2.9</c:v>
                </c:pt>
                <c:pt idx="1">
                  <c:v>1.8</c:v>
                </c:pt>
                <c:pt idx="2">
                  <c:v>1.5</c:v>
                </c:pt>
                <c:pt idx="3">
                  <c:v>0.6</c:v>
                </c:pt>
                <c:pt idx="4">
                  <c:v>0.1</c:v>
                </c:pt>
                <c:pt idx="5">
                  <c:v>-0.7</c:v>
                </c:pt>
                <c:pt idx="6">
                  <c:v>-0.7</c:v>
                </c:pt>
                <c:pt idx="7">
                  <c:v>-0.6</c:v>
                </c:pt>
                <c:pt idx="8">
                  <c:v>-1.1000000000000001</c:v>
                </c:pt>
                <c:pt idx="9">
                  <c:v>0.3</c:v>
                </c:pt>
                <c:pt idx="10">
                  <c:v>0.8</c:v>
                </c:pt>
                <c:pt idx="11">
                  <c:v>1</c:v>
                </c:pt>
                <c:pt idx="12">
                  <c:v>1.6</c:v>
                </c:pt>
                <c:pt idx="13">
                  <c:v>1.4</c:v>
                </c:pt>
                <c:pt idx="14">
                  <c:v>1.7</c:v>
                </c:pt>
                <c:pt idx="15">
                  <c:v>1.8</c:v>
                </c:pt>
                <c:pt idx="16">
                  <c:v>2.2999999999999998</c:v>
                </c:pt>
                <c:pt idx="17">
                  <c:v>2.2000000000000002</c:v>
                </c:pt>
                <c:pt idx="18">
                  <c:v>2</c:v>
                </c:pt>
                <c:pt idx="19">
                  <c:v>2.5</c:v>
                </c:pt>
                <c:pt idx="20">
                  <c:v>1.9</c:v>
                </c:pt>
                <c:pt idx="21">
                  <c:v>2.2999999999999998</c:v>
                </c:pt>
                <c:pt idx="22">
                  <c:v>1.8</c:v>
                </c:pt>
                <c:pt idx="23">
                  <c:v>1.5</c:v>
                </c:pt>
              </c:numCache>
            </c:numRef>
          </c:val>
          <c:smooth val="0"/>
          <c:extLst>
            <c:ext xmlns:c16="http://schemas.microsoft.com/office/drawing/2014/chart" uri="{C3380CC4-5D6E-409C-BE32-E72D297353CC}">
              <c16:uniqueId val="{00000004-22E5-46F7-94AB-4109A6F79099}"/>
            </c:ext>
          </c:extLst>
        </c:ser>
        <c:ser>
          <c:idx val="2"/>
          <c:order val="1"/>
          <c:tx>
            <c:strRef>
              <c:f>'Parnervalstu svērtā izaugsme'!$C$9</c:f>
              <c:strCache>
                <c:ptCount val="1"/>
                <c:pt idx="0">
                  <c:v>Latvija</c:v>
                </c:pt>
              </c:strCache>
            </c:strRef>
          </c:tx>
          <c:spPr>
            <a:ln w="28575" cap="rnd">
              <a:solidFill>
                <a:srgbClr val="C00000"/>
              </a:solidFill>
              <a:round/>
            </a:ln>
            <a:effectLst/>
          </c:spPr>
          <c:marker>
            <c:symbol val="none"/>
          </c:marker>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izaugsme'!$C$10:$C$33</c:f>
              <c:numCache>
                <c:formatCode>#,##0.0</c:formatCode>
                <c:ptCount val="24"/>
                <c:pt idx="0">
                  <c:v>2.4</c:v>
                </c:pt>
                <c:pt idx="1">
                  <c:v>6.2</c:v>
                </c:pt>
                <c:pt idx="2">
                  <c:v>9.5</c:v>
                </c:pt>
                <c:pt idx="3">
                  <c:v>6.9</c:v>
                </c:pt>
                <c:pt idx="4">
                  <c:v>7.9</c:v>
                </c:pt>
                <c:pt idx="5">
                  <c:v>3.7</c:v>
                </c:pt>
                <c:pt idx="6">
                  <c:v>2.8</c:v>
                </c:pt>
                <c:pt idx="7">
                  <c:v>2.4</c:v>
                </c:pt>
                <c:pt idx="8">
                  <c:v>1.6</c:v>
                </c:pt>
                <c:pt idx="9">
                  <c:v>2.9</c:v>
                </c:pt>
                <c:pt idx="10">
                  <c:v>3.4</c:v>
                </c:pt>
                <c:pt idx="11">
                  <c:v>2.5</c:v>
                </c:pt>
                <c:pt idx="12">
                  <c:v>3</c:v>
                </c:pt>
                <c:pt idx="13">
                  <c:v>2</c:v>
                </c:pt>
                <c:pt idx="14">
                  <c:v>2</c:v>
                </c:pt>
                <c:pt idx="15">
                  <c:v>1.7</c:v>
                </c:pt>
                <c:pt idx="16">
                  <c:v>1.8</c:v>
                </c:pt>
                <c:pt idx="17">
                  <c:v>2.8</c:v>
                </c:pt>
                <c:pt idx="18">
                  <c:v>3.5</c:v>
                </c:pt>
                <c:pt idx="19">
                  <c:v>2.7</c:v>
                </c:pt>
                <c:pt idx="20">
                  <c:v>2.4</c:v>
                </c:pt>
                <c:pt idx="21">
                  <c:v>2.2999999999999998</c:v>
                </c:pt>
                <c:pt idx="22">
                  <c:v>0.5</c:v>
                </c:pt>
                <c:pt idx="23">
                  <c:v>2.6</c:v>
                </c:pt>
              </c:numCache>
            </c:numRef>
          </c:val>
          <c:smooth val="0"/>
          <c:extLst>
            <c:ext xmlns:c16="http://schemas.microsoft.com/office/drawing/2014/chart" uri="{C3380CC4-5D6E-409C-BE32-E72D297353CC}">
              <c16:uniqueId val="{00000005-22E5-46F7-94AB-4109A6F79099}"/>
            </c:ext>
          </c:extLst>
        </c:ser>
        <c:ser>
          <c:idx val="1"/>
          <c:order val="3"/>
          <c:tx>
            <c:strRef>
              <c:f>'Parnervalstu svērtā izaugsme'!$L$9</c:f>
              <c:strCache>
                <c:ptCount val="1"/>
                <c:pt idx="0">
                  <c:v>Partnervalstis</c:v>
                </c:pt>
              </c:strCache>
            </c:strRef>
          </c:tx>
          <c:spPr>
            <a:ln w="28575" cap="rnd">
              <a:solidFill>
                <a:schemeClr val="accent6">
                  <a:lumMod val="60000"/>
                  <a:lumOff val="40000"/>
                </a:schemeClr>
              </a:solidFill>
              <a:round/>
            </a:ln>
            <a:effectLst/>
          </c:spPr>
          <c:marker>
            <c:symbol val="none"/>
          </c:marker>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izaugsme'!$L$10:$L$33</c:f>
              <c:numCache>
                <c:formatCode>#,##0.0</c:formatCode>
                <c:ptCount val="24"/>
                <c:pt idx="0">
                  <c:v>5.6901143856122909</c:v>
                </c:pt>
                <c:pt idx="1">
                  <c:v>4.6796249054824441</c:v>
                </c:pt>
                <c:pt idx="2">
                  <c:v>5.6507935048325875</c:v>
                </c:pt>
                <c:pt idx="3">
                  <c:v>4.151715368711435</c:v>
                </c:pt>
                <c:pt idx="4">
                  <c:v>3.3467006849776153</c:v>
                </c:pt>
                <c:pt idx="5">
                  <c:v>2.3614629361746413</c:v>
                </c:pt>
                <c:pt idx="6">
                  <c:v>2.7258925504247018</c:v>
                </c:pt>
                <c:pt idx="7">
                  <c:v>2.3296628906467114</c:v>
                </c:pt>
                <c:pt idx="8">
                  <c:v>1.5265511735341935</c:v>
                </c:pt>
                <c:pt idx="9">
                  <c:v>1.9481679574205386</c:v>
                </c:pt>
                <c:pt idx="10">
                  <c:v>1.8189379528802652</c:v>
                </c:pt>
                <c:pt idx="11">
                  <c:v>2.4455291221188742</c:v>
                </c:pt>
                <c:pt idx="12">
                  <c:v>2.6254471669284278</c:v>
                </c:pt>
                <c:pt idx="13">
                  <c:v>2.8830690060830473</c:v>
                </c:pt>
                <c:pt idx="14">
                  <c:v>2.4979983658147273</c:v>
                </c:pt>
                <c:pt idx="15">
                  <c:v>2.6437221792343664</c:v>
                </c:pt>
                <c:pt idx="16">
                  <c:v>1.4821762697958389</c:v>
                </c:pt>
                <c:pt idx="17">
                  <c:v>1.3144841534852292</c:v>
                </c:pt>
                <c:pt idx="18">
                  <c:v>1.4820078699234545</c:v>
                </c:pt>
                <c:pt idx="19" formatCode="0.0">
                  <c:v>1.6324454054405098</c:v>
                </c:pt>
                <c:pt idx="20" formatCode="0.0">
                  <c:v>1.7958036326615057</c:v>
                </c:pt>
                <c:pt idx="21" formatCode="0.0">
                  <c:v>1.867198813126058</c:v>
                </c:pt>
                <c:pt idx="22" formatCode="0.0">
                  <c:v>1.4346286790305691</c:v>
                </c:pt>
                <c:pt idx="23" formatCode="0.0">
                  <c:v>2.2997496186883368</c:v>
                </c:pt>
              </c:numCache>
            </c:numRef>
          </c:val>
          <c:smooth val="0"/>
          <c:extLst>
            <c:ext xmlns:c16="http://schemas.microsoft.com/office/drawing/2014/chart" uri="{C3380CC4-5D6E-409C-BE32-E72D297353CC}">
              <c16:uniqueId val="{00000006-22E5-46F7-94AB-4109A6F79099}"/>
            </c:ext>
          </c:extLst>
        </c:ser>
        <c:ser>
          <c:idx val="6"/>
          <c:order val="6"/>
          <c:tx>
            <c:strRef>
              <c:f>'Parnervalstu svērtā izaugsme'!$M$8</c:f>
              <c:strCache>
                <c:ptCount val="1"/>
                <c:pt idx="0">
                  <c:v>Partnervalstis (bez Krievijas)</c:v>
                </c:pt>
              </c:strCache>
            </c:strRef>
          </c:tx>
          <c:spPr>
            <a:ln w="31750" cap="rnd">
              <a:solidFill>
                <a:schemeClr val="accent6">
                  <a:lumMod val="75000"/>
                </a:schemeClr>
              </a:solidFill>
              <a:prstDash val="sysDash"/>
              <a:round/>
            </a:ln>
            <a:effectLst/>
          </c:spPr>
          <c:marker>
            <c:symbol val="none"/>
          </c:marker>
          <c:cat>
            <c:multiLvlStrRef>
              <c:f>'Parnervalstu svērtā izaugsme'!$A$10:$B$35</c:f>
              <c:multiLvlStrCache>
                <c:ptCount val="2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2017</c:v>
                  </c:pt>
                  <c:pt idx="25">
                    <c:v>2018</c:v>
                  </c:pt>
                </c:lvl>
                <c:lvl>
                  <c:pt idx="0">
                    <c:v>2011</c:v>
                  </c:pt>
                  <c:pt idx="4">
                    <c:v>2012</c:v>
                  </c:pt>
                  <c:pt idx="8">
                    <c:v>2013</c:v>
                  </c:pt>
                  <c:pt idx="12">
                    <c:v>2014</c:v>
                  </c:pt>
                  <c:pt idx="16">
                    <c:v>2015</c:v>
                  </c:pt>
                  <c:pt idx="20">
                    <c:v>2016</c:v>
                  </c:pt>
                  <c:pt idx="24">
                    <c:v>Prognoze</c:v>
                  </c:pt>
                </c:lvl>
              </c:multiLvlStrCache>
            </c:multiLvlStrRef>
          </c:cat>
          <c:val>
            <c:numRef>
              <c:f>'Parnervalstu svērtā izaugsme'!$M$10:$M$33</c:f>
              <c:numCache>
                <c:formatCode>#,##0.0</c:formatCode>
                <c:ptCount val="24"/>
                <c:pt idx="0">
                  <c:v>6.0272401559420787</c:v>
                </c:pt>
                <c:pt idx="1">
                  <c:v>4.8730059557443406</c:v>
                </c:pt>
                <c:pt idx="2">
                  <c:v>5.7351607903278836</c:v>
                </c:pt>
                <c:pt idx="3">
                  <c:v>4.0090939254092044</c:v>
                </c:pt>
                <c:pt idx="4">
                  <c:v>3.0775609544463429</c:v>
                </c:pt>
                <c:pt idx="5">
                  <c:v>2.0920419544070805</c:v>
                </c:pt>
                <c:pt idx="6">
                  <c:v>2.6709055119096443</c:v>
                </c:pt>
                <c:pt idx="7">
                  <c:v>2.402494115044592</c:v>
                </c:pt>
                <c:pt idx="8">
                  <c:v>1.6547774419216561</c:v>
                </c:pt>
                <c:pt idx="9">
                  <c:v>2.0614947596458073</c:v>
                </c:pt>
                <c:pt idx="10">
                  <c:v>1.9103946046711948</c:v>
                </c:pt>
                <c:pt idx="11">
                  <c:v>2.4969221718252177</c:v>
                </c:pt>
                <c:pt idx="12">
                  <c:v>2.9018860284793173</c:v>
                </c:pt>
                <c:pt idx="13">
                  <c:v>3.1318651538669138</c:v>
                </c:pt>
                <c:pt idx="14">
                  <c:v>2.7240691239050521</c:v>
                </c:pt>
                <c:pt idx="15">
                  <c:v>2.9782799822811201</c:v>
                </c:pt>
                <c:pt idx="16">
                  <c:v>2.0777535449053861</c:v>
                </c:pt>
                <c:pt idx="17">
                  <c:v>2.1291906295701417</c:v>
                </c:pt>
                <c:pt idx="18">
                  <c:v>2.2059603628223932</c:v>
                </c:pt>
                <c:pt idx="19">
                  <c:v>2.3919430651181162</c:v>
                </c:pt>
                <c:pt idx="20">
                  <c:v>2.2089959773655958</c:v>
                </c:pt>
                <c:pt idx="21">
                  <c:v>2.2072921456363925</c:v>
                </c:pt>
                <c:pt idx="22">
                  <c:v>1.6906374168177674</c:v>
                </c:pt>
                <c:pt idx="23">
                  <c:v>2.6206625117638414</c:v>
                </c:pt>
              </c:numCache>
            </c:numRef>
          </c:val>
          <c:smooth val="0"/>
          <c:extLst>
            <c:ext xmlns:c16="http://schemas.microsoft.com/office/drawing/2014/chart" uri="{C3380CC4-5D6E-409C-BE32-E72D297353CC}">
              <c16:uniqueId val="{00000007-22E5-46F7-94AB-4109A6F79099}"/>
            </c:ext>
          </c:extLst>
        </c:ser>
        <c:dLbls>
          <c:showLegendKey val="0"/>
          <c:showVal val="0"/>
          <c:showCatName val="0"/>
          <c:showSerName val="0"/>
          <c:showPercent val="0"/>
          <c:showBubbleSize val="0"/>
        </c:dLbls>
        <c:marker val="1"/>
        <c:smooth val="0"/>
        <c:axId val="264364168"/>
        <c:axId val="264363776"/>
      </c:lineChart>
      <c:catAx>
        <c:axId val="264364168"/>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64363776"/>
        <c:crosses val="autoZero"/>
        <c:auto val="1"/>
        <c:lblAlgn val="ctr"/>
        <c:lblOffset val="100"/>
        <c:noMultiLvlLbl val="0"/>
      </c:catAx>
      <c:valAx>
        <c:axId val="26436377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64364168"/>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5.9692172624763368E-2"/>
          <c:y val="0.91111670146662982"/>
          <c:w val="0.88061565475047321"/>
          <c:h val="6.75840440072786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6"/>
            <c:invertIfNegative val="0"/>
            <c:bubble3D val="0"/>
            <c:spPr>
              <a:solidFill>
                <a:schemeClr val="accent1">
                  <a:lumMod val="50000"/>
                </a:schemeClr>
              </a:solidFill>
              <a:ln>
                <a:solidFill>
                  <a:schemeClr val="accent1"/>
                </a:solidFill>
              </a:ln>
              <a:effectLst/>
            </c:spPr>
            <c:extLst>
              <c:ext xmlns:c16="http://schemas.microsoft.com/office/drawing/2014/chart" uri="{C3380CC4-5D6E-409C-BE32-E72D297353CC}">
                <c16:uniqueId val="{00000001-11AB-43D1-9345-9A0A88F0F63B}"/>
              </c:ext>
            </c:extLst>
          </c:dPt>
          <c:cat>
            <c:strRef>
              <c:f>Data!$A$13:$A$40</c:f>
              <c:strCache>
                <c:ptCount val="28"/>
                <c:pt idx="0">
                  <c:v>Dānija</c:v>
                </c:pt>
                <c:pt idx="1">
                  <c:v>Francija</c:v>
                </c:pt>
                <c:pt idx="2">
                  <c:v>Nīderlande</c:v>
                </c:pt>
                <c:pt idx="3">
                  <c:v>Austrija</c:v>
                </c:pt>
                <c:pt idx="4">
                  <c:v>Beļģija</c:v>
                </c:pt>
                <c:pt idx="5">
                  <c:v>Čehija</c:v>
                </c:pt>
                <c:pt idx="6">
                  <c:v>Apvienotā Karaliste</c:v>
                </c:pt>
                <c:pt idx="7">
                  <c:v>Vācija</c:v>
                </c:pt>
                <c:pt idx="8">
                  <c:v>Slovākija</c:v>
                </c:pt>
                <c:pt idx="9">
                  <c:v>Somija</c:v>
                </c:pt>
                <c:pt idx="10">
                  <c:v>Itālija</c:v>
                </c:pt>
                <c:pt idx="11">
                  <c:v>Zviedrija</c:v>
                </c:pt>
                <c:pt idx="12">
                  <c:v>Slovēnija</c:v>
                </c:pt>
                <c:pt idx="13">
                  <c:v>Horvātija</c:v>
                </c:pt>
                <c:pt idx="14">
                  <c:v>Spānija</c:v>
                </c:pt>
                <c:pt idx="15">
                  <c:v>Portugāle</c:v>
                </c:pt>
                <c:pt idx="16">
                  <c:v>Lietuva</c:v>
                </c:pt>
                <c:pt idx="17">
                  <c:v>Malta</c:v>
                </c:pt>
                <c:pt idx="18">
                  <c:v>Īrija</c:v>
                </c:pt>
                <c:pt idx="19">
                  <c:v>Bulgārija</c:v>
                </c:pt>
                <c:pt idx="20">
                  <c:v>Igaunija</c:v>
                </c:pt>
                <c:pt idx="21">
                  <c:v>Ungārija</c:v>
                </c:pt>
                <c:pt idx="22">
                  <c:v>Polija</c:v>
                </c:pt>
                <c:pt idx="23">
                  <c:v>Luksemburga</c:v>
                </c:pt>
                <c:pt idx="24">
                  <c:v>Grieķija</c:v>
                </c:pt>
                <c:pt idx="25">
                  <c:v>Rumānija</c:v>
                </c:pt>
                <c:pt idx="26">
                  <c:v>Latvija</c:v>
                </c:pt>
                <c:pt idx="27">
                  <c:v>Kipra</c:v>
                </c:pt>
              </c:strCache>
            </c:strRef>
          </c:cat>
          <c:val>
            <c:numRef>
              <c:f>Data!$K$13:$K$40</c:f>
              <c:numCache>
                <c:formatCode>#,##0.0</c:formatCode>
                <c:ptCount val="28"/>
                <c:pt idx="0">
                  <c:v>8.6</c:v>
                </c:pt>
                <c:pt idx="1">
                  <c:v>8.1999999999999993</c:v>
                </c:pt>
                <c:pt idx="2">
                  <c:v>8</c:v>
                </c:pt>
                <c:pt idx="3">
                  <c:v>8</c:v>
                </c:pt>
                <c:pt idx="4">
                  <c:v>7.7</c:v>
                </c:pt>
                <c:pt idx="5">
                  <c:v>7.6</c:v>
                </c:pt>
                <c:pt idx="6">
                  <c:v>7.6</c:v>
                </c:pt>
                <c:pt idx="7">
                  <c:v>7.2</c:v>
                </c:pt>
                <c:pt idx="8">
                  <c:v>7.2</c:v>
                </c:pt>
                <c:pt idx="9">
                  <c:v>7.2</c:v>
                </c:pt>
                <c:pt idx="10">
                  <c:v>7.1</c:v>
                </c:pt>
                <c:pt idx="11">
                  <c:v>6.9</c:v>
                </c:pt>
                <c:pt idx="12">
                  <c:v>6.7</c:v>
                </c:pt>
                <c:pt idx="13">
                  <c:v>6.6</c:v>
                </c:pt>
                <c:pt idx="14">
                  <c:v>6.2</c:v>
                </c:pt>
                <c:pt idx="15">
                  <c:v>6.2</c:v>
                </c:pt>
                <c:pt idx="16">
                  <c:v>5.8</c:v>
                </c:pt>
                <c:pt idx="17">
                  <c:v>5.8</c:v>
                </c:pt>
                <c:pt idx="18">
                  <c:v>5.7</c:v>
                </c:pt>
                <c:pt idx="19">
                  <c:v>5.5</c:v>
                </c:pt>
                <c:pt idx="20">
                  <c:v>5.5</c:v>
                </c:pt>
                <c:pt idx="21">
                  <c:v>5.3</c:v>
                </c:pt>
                <c:pt idx="22">
                  <c:v>4.7</c:v>
                </c:pt>
                <c:pt idx="23">
                  <c:v>4.5999999999999996</c:v>
                </c:pt>
                <c:pt idx="24">
                  <c:v>4.5</c:v>
                </c:pt>
                <c:pt idx="25">
                  <c:v>4.2</c:v>
                </c:pt>
                <c:pt idx="26">
                  <c:v>3.8</c:v>
                </c:pt>
                <c:pt idx="27">
                  <c:v>2.6</c:v>
                </c:pt>
              </c:numCache>
            </c:numRef>
          </c:val>
          <c:extLst>
            <c:ext xmlns:c16="http://schemas.microsoft.com/office/drawing/2014/chart" uri="{C3380CC4-5D6E-409C-BE32-E72D297353CC}">
              <c16:uniqueId val="{00000002-11AB-43D1-9345-9A0A88F0F63B}"/>
            </c:ext>
          </c:extLst>
        </c:ser>
        <c:dLbls>
          <c:showLegendKey val="0"/>
          <c:showVal val="0"/>
          <c:showCatName val="0"/>
          <c:showSerName val="0"/>
          <c:showPercent val="0"/>
          <c:showBubbleSize val="0"/>
        </c:dLbls>
        <c:gapWidth val="100"/>
        <c:overlap val="-27"/>
        <c:axId val="337690200"/>
        <c:axId val="337690592"/>
      </c:barChart>
      <c:lineChart>
        <c:grouping val="standard"/>
        <c:varyColors val="0"/>
        <c:ser>
          <c:idx val="1"/>
          <c:order val="1"/>
          <c:spPr>
            <a:ln w="38100" cap="rnd">
              <a:solidFill>
                <a:schemeClr val="accent2">
                  <a:lumMod val="75000"/>
                </a:schemeClr>
              </a:solidFill>
              <a:round/>
            </a:ln>
            <a:effectLst/>
          </c:spPr>
          <c:marker>
            <c:symbol val="none"/>
          </c:marker>
          <c:val>
            <c:numRef>
              <c:f>Data!$L$13:$L$40</c:f>
              <c:numCache>
                <c:formatCode>#,##0.0</c:formatCode>
                <c:ptCount val="28"/>
                <c:pt idx="0">
                  <c:v>7.2</c:v>
                </c:pt>
                <c:pt idx="1">
                  <c:v>7.2</c:v>
                </c:pt>
                <c:pt idx="2">
                  <c:v>7.2</c:v>
                </c:pt>
                <c:pt idx="3">
                  <c:v>7.2</c:v>
                </c:pt>
                <c:pt idx="4">
                  <c:v>7.2</c:v>
                </c:pt>
                <c:pt idx="5">
                  <c:v>7.2</c:v>
                </c:pt>
                <c:pt idx="6">
                  <c:v>7.2</c:v>
                </c:pt>
                <c:pt idx="7">
                  <c:v>7.2</c:v>
                </c:pt>
                <c:pt idx="8">
                  <c:v>7.2</c:v>
                </c:pt>
                <c:pt idx="9">
                  <c:v>7.2</c:v>
                </c:pt>
                <c:pt idx="10">
                  <c:v>7.2</c:v>
                </c:pt>
                <c:pt idx="11">
                  <c:v>7.2</c:v>
                </c:pt>
                <c:pt idx="12">
                  <c:v>7.2</c:v>
                </c:pt>
                <c:pt idx="13">
                  <c:v>7.2</c:v>
                </c:pt>
                <c:pt idx="14">
                  <c:v>7.2</c:v>
                </c:pt>
                <c:pt idx="15">
                  <c:v>7.2</c:v>
                </c:pt>
                <c:pt idx="16">
                  <c:v>7.2</c:v>
                </c:pt>
                <c:pt idx="17">
                  <c:v>7.2</c:v>
                </c:pt>
                <c:pt idx="18">
                  <c:v>7.2</c:v>
                </c:pt>
                <c:pt idx="19">
                  <c:v>7.2</c:v>
                </c:pt>
                <c:pt idx="20">
                  <c:v>7.2</c:v>
                </c:pt>
                <c:pt idx="21">
                  <c:v>7.2</c:v>
                </c:pt>
                <c:pt idx="22">
                  <c:v>7.2</c:v>
                </c:pt>
                <c:pt idx="23">
                  <c:v>7.2</c:v>
                </c:pt>
                <c:pt idx="24">
                  <c:v>7.2</c:v>
                </c:pt>
                <c:pt idx="25">
                  <c:v>7.2</c:v>
                </c:pt>
                <c:pt idx="26">
                  <c:v>7.2</c:v>
                </c:pt>
                <c:pt idx="27">
                  <c:v>7.2</c:v>
                </c:pt>
              </c:numCache>
            </c:numRef>
          </c:val>
          <c:smooth val="0"/>
          <c:extLst>
            <c:ext xmlns:c16="http://schemas.microsoft.com/office/drawing/2014/chart" uri="{C3380CC4-5D6E-409C-BE32-E72D297353CC}">
              <c16:uniqueId val="{00000003-11AB-43D1-9345-9A0A88F0F63B}"/>
            </c:ext>
          </c:extLst>
        </c:ser>
        <c:dLbls>
          <c:showLegendKey val="0"/>
          <c:showVal val="0"/>
          <c:showCatName val="0"/>
          <c:showSerName val="0"/>
          <c:showPercent val="0"/>
          <c:showBubbleSize val="0"/>
        </c:dLbls>
        <c:marker val="1"/>
        <c:smooth val="0"/>
        <c:axId val="337690200"/>
        <c:axId val="337690592"/>
      </c:lineChart>
      <c:catAx>
        <c:axId val="33769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37690592"/>
        <c:crosses val="autoZero"/>
        <c:auto val="1"/>
        <c:lblAlgn val="ctr"/>
        <c:lblOffset val="100"/>
        <c:noMultiLvlLbl val="0"/>
      </c:catAx>
      <c:valAx>
        <c:axId val="337690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37690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Sabiedrības veselības pamatnostādnēs 2014.-2020.gadam noteiktais finansējums</c:v>
                </c:pt>
              </c:strCache>
            </c:strRef>
          </c:tx>
          <c:spPr>
            <a:solidFill>
              <a:schemeClr val="accent1"/>
            </a:solidFill>
            <a:ln>
              <a:noFill/>
            </a:ln>
            <a:effectLst/>
          </c:spPr>
          <c:invertIfNegative val="0"/>
          <c:cat>
            <c:numRef>
              <c:f>Sheet1!$B$2:$H$2</c:f>
              <c:numCache>
                <c:formatCode>General</c:formatCode>
                <c:ptCount val="7"/>
                <c:pt idx="0">
                  <c:v>2013</c:v>
                </c:pt>
                <c:pt idx="1">
                  <c:v>2014</c:v>
                </c:pt>
                <c:pt idx="2">
                  <c:v>2015</c:v>
                </c:pt>
                <c:pt idx="3">
                  <c:v>2016</c:v>
                </c:pt>
                <c:pt idx="4">
                  <c:v>2017</c:v>
                </c:pt>
                <c:pt idx="5">
                  <c:v>2018</c:v>
                </c:pt>
                <c:pt idx="6">
                  <c:v>2019</c:v>
                </c:pt>
              </c:numCache>
            </c:numRef>
          </c:cat>
          <c:val>
            <c:numRef>
              <c:f>Sheet1!$B$3:$H$3</c:f>
              <c:numCache>
                <c:formatCode>0</c:formatCode>
                <c:ptCount val="7"/>
                <c:pt idx="1">
                  <c:v>506</c:v>
                </c:pt>
                <c:pt idx="2">
                  <c:v>516</c:v>
                </c:pt>
                <c:pt idx="3">
                  <c:v>572</c:v>
                </c:pt>
                <c:pt idx="4">
                  <c:v>608</c:v>
                </c:pt>
                <c:pt idx="5">
                  <c:v>646</c:v>
                </c:pt>
                <c:pt idx="6">
                  <c:v>686</c:v>
                </c:pt>
              </c:numCache>
            </c:numRef>
          </c:val>
          <c:extLst>
            <c:ext xmlns:c16="http://schemas.microsoft.com/office/drawing/2014/chart" uri="{C3380CC4-5D6E-409C-BE32-E72D297353CC}">
              <c16:uniqueId val="{00000000-87C3-4619-A74F-6668F374CCAE}"/>
            </c:ext>
          </c:extLst>
        </c:ser>
        <c:ser>
          <c:idx val="1"/>
          <c:order val="1"/>
          <c:tx>
            <c:strRef>
              <c:f>Sheet1!$A$4</c:f>
              <c:strCache>
                <c:ptCount val="1"/>
                <c:pt idx="0">
                  <c:v>Faktiskais un plānotais finansējums</c:v>
                </c:pt>
              </c:strCache>
            </c:strRef>
          </c:tx>
          <c:spPr>
            <a:solidFill>
              <a:schemeClr val="accent2"/>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2-87C3-4619-A74F-6668F374CCAE}"/>
              </c:ext>
            </c:extLst>
          </c:dPt>
          <c:cat>
            <c:numRef>
              <c:f>Sheet1!$B$2:$H$2</c:f>
              <c:numCache>
                <c:formatCode>General</c:formatCode>
                <c:ptCount val="7"/>
                <c:pt idx="0">
                  <c:v>2013</c:v>
                </c:pt>
                <c:pt idx="1">
                  <c:v>2014</c:v>
                </c:pt>
                <c:pt idx="2">
                  <c:v>2015</c:v>
                </c:pt>
                <c:pt idx="3">
                  <c:v>2016</c:v>
                </c:pt>
                <c:pt idx="4">
                  <c:v>2017</c:v>
                </c:pt>
                <c:pt idx="5">
                  <c:v>2018</c:v>
                </c:pt>
                <c:pt idx="6">
                  <c:v>2019</c:v>
                </c:pt>
              </c:numCache>
            </c:numRef>
          </c:cat>
          <c:val>
            <c:numRef>
              <c:f>Sheet1!$B$4:$H$4</c:f>
              <c:numCache>
                <c:formatCode>0</c:formatCode>
                <c:ptCount val="7"/>
                <c:pt idx="0" formatCode="General">
                  <c:v>495</c:v>
                </c:pt>
                <c:pt idx="1">
                  <c:v>524.82000000000005</c:v>
                </c:pt>
                <c:pt idx="2">
                  <c:v>551.44500000000005</c:v>
                </c:pt>
                <c:pt idx="3">
                  <c:v>569.47900000000004</c:v>
                </c:pt>
                <c:pt idx="4">
                  <c:v>593.83199999999999</c:v>
                </c:pt>
                <c:pt idx="5">
                  <c:v>648.07600000000002</c:v>
                </c:pt>
                <c:pt idx="6">
                  <c:v>673.56500000000005</c:v>
                </c:pt>
              </c:numCache>
            </c:numRef>
          </c:val>
          <c:extLst>
            <c:ext xmlns:c16="http://schemas.microsoft.com/office/drawing/2014/chart" uri="{C3380CC4-5D6E-409C-BE32-E72D297353CC}">
              <c16:uniqueId val="{00000003-87C3-4619-A74F-6668F374CCAE}"/>
            </c:ext>
          </c:extLst>
        </c:ser>
        <c:dLbls>
          <c:showLegendKey val="0"/>
          <c:showVal val="0"/>
          <c:showCatName val="0"/>
          <c:showSerName val="0"/>
          <c:showPercent val="0"/>
          <c:showBubbleSize val="0"/>
        </c:dLbls>
        <c:gapWidth val="219"/>
        <c:overlap val="-27"/>
        <c:axId val="337691376"/>
        <c:axId val="337691768"/>
      </c:barChart>
      <c:catAx>
        <c:axId val="33769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7691768"/>
        <c:crosses val="autoZero"/>
        <c:auto val="1"/>
        <c:lblAlgn val="ctr"/>
        <c:lblOffset val="100"/>
        <c:noMultiLvlLbl val="0"/>
      </c:catAx>
      <c:valAx>
        <c:axId val="337691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769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'[PZMG_prognoze.xlsx]Sadalījums pa stadijām'!$B$8</c:f>
              <c:strCache>
                <c:ptCount val="1"/>
                <c:pt idx="0">
                  <c:v>I-II</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'[PZMG_prognoze.xlsx]Sadalījums pa stadijām'!$G$7:$Q$7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'[PZMG_prognoze.xlsx]Sadalījums pa stadijām'!$G$8:$Q$8</c:f>
              <c:numCache>
                <c:formatCode>General</c:formatCode>
                <c:ptCount val="11"/>
                <c:pt idx="0">
                  <c:v>42.1</c:v>
                </c:pt>
                <c:pt idx="1">
                  <c:v>46.7</c:v>
                </c:pt>
                <c:pt idx="2">
                  <c:v>47.9</c:v>
                </c:pt>
                <c:pt idx="3">
                  <c:v>49</c:v>
                </c:pt>
                <c:pt idx="4">
                  <c:v>49</c:v>
                </c:pt>
                <c:pt idx="5">
                  <c:v>47.900000000000006</c:v>
                </c:pt>
                <c:pt idx="6">
                  <c:v>47.2</c:v>
                </c:pt>
                <c:pt idx="7">
                  <c:v>46.9</c:v>
                </c:pt>
                <c:pt idx="8">
                  <c:v>46.4</c:v>
                </c:pt>
                <c:pt idx="9">
                  <c:v>45.8</c:v>
                </c:pt>
                <c:pt idx="10">
                  <c:v>45.3</c:v>
                </c:pt>
              </c:numCache>
            </c:numRef>
          </c:val>
          <c:extLst>
            <c:ext xmlns:c16="http://schemas.microsoft.com/office/drawing/2014/chart" uri="{C3380CC4-5D6E-409C-BE32-E72D297353CC}">
              <c16:uniqueId val="{00000000-29D0-4A1D-8284-18DB933AF9DB}"/>
            </c:ext>
          </c:extLst>
        </c:ser>
        <c:ser>
          <c:idx val="1"/>
          <c:order val="1"/>
          <c:tx>
            <c:strRef>
              <c:f>'[PZMG_prognoze.xlsx]Sadalījums pa stadijām'!$B$9</c:f>
              <c:strCache>
                <c:ptCount val="1"/>
                <c:pt idx="0">
                  <c:v>III-IV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'[PZMG_prognoze.xlsx]Sadalījums pa stadijām'!$G$7:$Q$7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'[PZMG_prognoze.xlsx]Sadalījums pa stadijām'!$G$9:$Q$9</c:f>
              <c:numCache>
                <c:formatCode>General</c:formatCode>
                <c:ptCount val="11"/>
                <c:pt idx="0">
                  <c:v>40.200000000000003</c:v>
                </c:pt>
                <c:pt idx="1">
                  <c:v>41.3</c:v>
                </c:pt>
                <c:pt idx="2">
                  <c:v>37</c:v>
                </c:pt>
                <c:pt idx="3">
                  <c:v>36.200000000000003</c:v>
                </c:pt>
                <c:pt idx="4">
                  <c:v>37.1</c:v>
                </c:pt>
                <c:pt idx="5">
                  <c:v>36.9</c:v>
                </c:pt>
                <c:pt idx="6">
                  <c:v>37.400000000000006</c:v>
                </c:pt>
                <c:pt idx="7">
                  <c:v>37.699999999999996</c:v>
                </c:pt>
                <c:pt idx="8">
                  <c:v>38.1</c:v>
                </c:pt>
                <c:pt idx="9">
                  <c:v>38.600000000000009</c:v>
                </c:pt>
                <c:pt idx="10">
                  <c:v>39</c:v>
                </c:pt>
              </c:numCache>
            </c:numRef>
          </c:val>
          <c:extLst>
            <c:ext xmlns:c16="http://schemas.microsoft.com/office/drawing/2014/chart" uri="{C3380CC4-5D6E-409C-BE32-E72D297353CC}">
              <c16:uniqueId val="{00000001-29D0-4A1D-8284-18DB933AF9DB}"/>
            </c:ext>
          </c:extLst>
        </c:ser>
        <c:ser>
          <c:idx val="2"/>
          <c:order val="2"/>
          <c:tx>
            <c:strRef>
              <c:f>'[PZMG_prognoze.xlsx]Sadalījums pa stadijām'!$B$10</c:f>
              <c:strCache>
                <c:ptCount val="1"/>
                <c:pt idx="0">
                  <c:v>Nezināma</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'[PZMG_prognoze.xlsx]Sadalījums pa stadijām'!$G$7:$Q$7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'[PZMG_prognoze.xlsx]Sadalījums pa stadijām'!$G$10:$Q$10</c:f>
              <c:numCache>
                <c:formatCode>General</c:formatCode>
                <c:ptCount val="11"/>
                <c:pt idx="0">
                  <c:v>17.7</c:v>
                </c:pt>
                <c:pt idx="1">
                  <c:v>12</c:v>
                </c:pt>
                <c:pt idx="2">
                  <c:v>15.1</c:v>
                </c:pt>
                <c:pt idx="3">
                  <c:v>14.8</c:v>
                </c:pt>
                <c:pt idx="4">
                  <c:v>13.8</c:v>
                </c:pt>
                <c:pt idx="5">
                  <c:v>15.2</c:v>
                </c:pt>
                <c:pt idx="6">
                  <c:v>15.2</c:v>
                </c:pt>
                <c:pt idx="7">
                  <c:v>15.4</c:v>
                </c:pt>
                <c:pt idx="8">
                  <c:v>15.5</c:v>
                </c:pt>
                <c:pt idx="9">
                  <c:v>15.6</c:v>
                </c:pt>
                <c:pt idx="10">
                  <c:v>15.7</c:v>
                </c:pt>
              </c:numCache>
            </c:numRef>
          </c:val>
          <c:extLst>
            <c:ext xmlns:c16="http://schemas.microsoft.com/office/drawing/2014/chart" uri="{C3380CC4-5D6E-409C-BE32-E72D297353CC}">
              <c16:uniqueId val="{00000002-29D0-4A1D-8284-18DB933AF9DB}"/>
            </c:ext>
          </c:extLst>
        </c:ser>
        <c:dLbls>
          <c:showLegendKey val="0"/>
          <c:showVal val="0"/>
          <c:showCatName val="0"/>
          <c:showSerName val="0"/>
          <c:showPercent val="0"/>
          <c:showBubbleSize val="0"/>
        </c:dLbls>
        <c:gapWidth val="150"/>
        <c:overlap val="100"/>
        <c:axId val="337692944"/>
        <c:axId val="337693336"/>
      </c:barChart>
      <c:catAx>
        <c:axId val="33769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37693336"/>
        <c:crosses val="autoZero"/>
        <c:auto val="1"/>
        <c:lblAlgn val="ctr"/>
        <c:lblOffset val="100"/>
        <c:noMultiLvlLbl val="0"/>
      </c:catAx>
      <c:valAx>
        <c:axId val="337693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3769294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percentStacked"/>
        <c:varyColors val="0"/>
        <c:ser>
          <c:idx val="0"/>
          <c:order val="0"/>
          <c:tx>
            <c:strRef>
              <c:f>'[PZMG_prognoze.xlsx]Sadalījums pa stadijām'!$B$16</c:f>
              <c:strCache>
                <c:ptCount val="1"/>
                <c:pt idx="0">
                  <c:v>I-II</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'[PZMG_prognoze.xlsx]Sadalījums pa stadijām'!$G$15:$Q$15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'[PZMG_prognoze.xlsx]Sadalījums pa stadijām'!$G$16:$Q$16</c:f>
              <c:numCache>
                <c:formatCode>General</c:formatCode>
                <c:ptCount val="11"/>
                <c:pt idx="0">
                  <c:v>42.1</c:v>
                </c:pt>
                <c:pt idx="1">
                  <c:v>46.7</c:v>
                </c:pt>
                <c:pt idx="2">
                  <c:v>47.9</c:v>
                </c:pt>
                <c:pt idx="3">
                  <c:v>49</c:v>
                </c:pt>
                <c:pt idx="4">
                  <c:v>49</c:v>
                </c:pt>
                <c:pt idx="5">
                  <c:v>47.900000000000006</c:v>
                </c:pt>
                <c:pt idx="6">
                  <c:v>47.2</c:v>
                </c:pt>
                <c:pt idx="7">
                  <c:v>51</c:v>
                </c:pt>
                <c:pt idx="8">
                  <c:v>54</c:v>
                </c:pt>
                <c:pt idx="9">
                  <c:v>57</c:v>
                </c:pt>
                <c:pt idx="10">
                  <c:v>60</c:v>
                </c:pt>
              </c:numCache>
            </c:numRef>
          </c:val>
          <c:extLst>
            <c:ext xmlns:c16="http://schemas.microsoft.com/office/drawing/2014/chart" uri="{C3380CC4-5D6E-409C-BE32-E72D297353CC}">
              <c16:uniqueId val="{00000000-C0B0-4E7C-ACDA-B543FFE3A28E}"/>
            </c:ext>
          </c:extLst>
        </c:ser>
        <c:ser>
          <c:idx val="1"/>
          <c:order val="1"/>
          <c:tx>
            <c:strRef>
              <c:f>'[PZMG_prognoze.xlsx]Sadalījums pa stadijām'!$B$17</c:f>
              <c:strCache>
                <c:ptCount val="1"/>
                <c:pt idx="0">
                  <c:v>III-IV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'[PZMG_prognoze.xlsx]Sadalījums pa stadijām'!$G$15:$Q$15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'[PZMG_prognoze.xlsx]Sadalījums pa stadijām'!$G$17:$Q$17</c:f>
              <c:numCache>
                <c:formatCode>General</c:formatCode>
                <c:ptCount val="11"/>
                <c:pt idx="0">
                  <c:v>40.200000000000003</c:v>
                </c:pt>
                <c:pt idx="1">
                  <c:v>41.3</c:v>
                </c:pt>
                <c:pt idx="2">
                  <c:v>37</c:v>
                </c:pt>
                <c:pt idx="3">
                  <c:v>36.200000000000003</c:v>
                </c:pt>
                <c:pt idx="4">
                  <c:v>37.1</c:v>
                </c:pt>
                <c:pt idx="5">
                  <c:v>36.9</c:v>
                </c:pt>
                <c:pt idx="6">
                  <c:v>37.400000000000006</c:v>
                </c:pt>
                <c:pt idx="7">
                  <c:v>34</c:v>
                </c:pt>
                <c:pt idx="8">
                  <c:v>33</c:v>
                </c:pt>
                <c:pt idx="9">
                  <c:v>32</c:v>
                </c:pt>
                <c:pt idx="10">
                  <c:v>32</c:v>
                </c:pt>
              </c:numCache>
            </c:numRef>
          </c:val>
          <c:extLst>
            <c:ext xmlns:c16="http://schemas.microsoft.com/office/drawing/2014/chart" uri="{C3380CC4-5D6E-409C-BE32-E72D297353CC}">
              <c16:uniqueId val="{00000001-C0B0-4E7C-ACDA-B543FFE3A28E}"/>
            </c:ext>
          </c:extLst>
        </c:ser>
        <c:ser>
          <c:idx val="2"/>
          <c:order val="2"/>
          <c:tx>
            <c:strRef>
              <c:f>'[PZMG_prognoze.xlsx]Sadalījums pa stadijām'!$B$18</c:f>
              <c:strCache>
                <c:ptCount val="1"/>
                <c:pt idx="0">
                  <c:v>Nezināma</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'[PZMG_prognoze.xlsx]Sadalījums pa stadijām'!$G$15:$Q$15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'[PZMG_prognoze.xlsx]Sadalījums pa stadijām'!$G$18:$Q$18</c:f>
              <c:numCache>
                <c:formatCode>General</c:formatCode>
                <c:ptCount val="11"/>
                <c:pt idx="0">
                  <c:v>17.7</c:v>
                </c:pt>
                <c:pt idx="1">
                  <c:v>12</c:v>
                </c:pt>
                <c:pt idx="2">
                  <c:v>15.1</c:v>
                </c:pt>
                <c:pt idx="3">
                  <c:v>14.8</c:v>
                </c:pt>
                <c:pt idx="4">
                  <c:v>13.8</c:v>
                </c:pt>
                <c:pt idx="5">
                  <c:v>15.2</c:v>
                </c:pt>
                <c:pt idx="6">
                  <c:v>15.2</c:v>
                </c:pt>
                <c:pt idx="7">
                  <c:v>15</c:v>
                </c:pt>
                <c:pt idx="8">
                  <c:v>13</c:v>
                </c:pt>
                <c:pt idx="9">
                  <c:v>11</c:v>
                </c:pt>
                <c:pt idx="10">
                  <c:v>8</c:v>
                </c:pt>
              </c:numCache>
            </c:numRef>
          </c:val>
          <c:extLst>
            <c:ext xmlns:c16="http://schemas.microsoft.com/office/drawing/2014/chart" uri="{C3380CC4-5D6E-409C-BE32-E72D297353CC}">
              <c16:uniqueId val="{00000002-C0B0-4E7C-ACDA-B543FFE3A28E}"/>
            </c:ext>
          </c:extLst>
        </c:ser>
        <c:dLbls>
          <c:showLegendKey val="0"/>
          <c:showVal val="0"/>
          <c:showCatName val="0"/>
          <c:showSerName val="0"/>
          <c:showPercent val="0"/>
          <c:showBubbleSize val="0"/>
        </c:dLbls>
        <c:gapWidth val="150"/>
        <c:overlap val="100"/>
        <c:axId val="337694512"/>
        <c:axId val="337694904"/>
      </c:barChart>
      <c:catAx>
        <c:axId val="33769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7694904"/>
        <c:crosses val="autoZero"/>
        <c:auto val="1"/>
        <c:lblAlgn val="ctr"/>
        <c:lblOffset val="100"/>
        <c:noMultiLvlLbl val="0"/>
      </c:catAx>
      <c:valAx>
        <c:axId val="337694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769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PZMG!$A$116</c:f>
              <c:strCache>
                <c:ptCount val="1"/>
                <c:pt idx="0">
                  <c:v>Kopā bez papildus finansējuma</c:v>
                </c:pt>
              </c:strCache>
            </c:strRef>
          </c:tx>
          <c:spPr>
            <a:ln w="28575" cap="rnd">
              <a:solidFill>
                <a:schemeClr val="accent6">
                  <a:shade val="76000"/>
                </a:schemeClr>
              </a:solidFill>
              <a:round/>
            </a:ln>
            <a:effectLst/>
          </c:spPr>
          <c:marker>
            <c:symbol val="none"/>
          </c:marker>
          <c:dLbls>
            <c:dLbl>
              <c:idx val="7"/>
              <c:layout>
                <c:manualLayout>
                  <c:x val="0"/>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22-408C-BEB7-9BC138D18315}"/>
                </c:ext>
              </c:extLst>
            </c:dLbl>
            <c:dLbl>
              <c:idx val="8"/>
              <c:layout>
                <c:manualLayout>
                  <c:x val="-1.0185067526415994E-16"/>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2-408C-BEB7-9BC138D18315}"/>
                </c:ext>
              </c:extLst>
            </c:dLbl>
            <c:dLbl>
              <c:idx val="9"/>
              <c:layout>
                <c:manualLayout>
                  <c:x val="-1.0185067526415994E-16"/>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22-408C-BEB7-9BC138D18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PZMG!$B$115:$L$115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PZMG!$B$116:$L$116</c:f>
              <c:numCache>
                <c:formatCode>General</c:formatCode>
                <c:ptCount val="11"/>
                <c:pt idx="0">
                  <c:v>19881</c:v>
                </c:pt>
                <c:pt idx="1">
                  <c:v>17548.5</c:v>
                </c:pt>
                <c:pt idx="2">
                  <c:v>16293.5</c:v>
                </c:pt>
                <c:pt idx="3">
                  <c:v>17170</c:v>
                </c:pt>
                <c:pt idx="4">
                  <c:v>16341</c:v>
                </c:pt>
                <c:pt idx="5">
                  <c:v>16708</c:v>
                </c:pt>
                <c:pt idx="6">
                  <c:v>16388</c:v>
                </c:pt>
                <c:pt idx="7">
                  <c:v>16158</c:v>
                </c:pt>
                <c:pt idx="8">
                  <c:v>16112</c:v>
                </c:pt>
                <c:pt idx="9">
                  <c:v>16064</c:v>
                </c:pt>
                <c:pt idx="10">
                  <c:v>16031</c:v>
                </c:pt>
              </c:numCache>
            </c:numRef>
          </c:val>
          <c:smooth val="0"/>
          <c:extLst>
            <c:ext xmlns:c16="http://schemas.microsoft.com/office/drawing/2014/chart" uri="{C3380CC4-5D6E-409C-BE32-E72D297353CC}">
              <c16:uniqueId val="{00000003-7122-408C-BEB7-9BC138D18315}"/>
            </c:ext>
          </c:extLst>
        </c:ser>
        <c:ser>
          <c:idx val="1"/>
          <c:order val="1"/>
          <c:tx>
            <c:strRef>
              <c:f>PZMG!$A$119</c:f>
              <c:strCache>
                <c:ptCount val="1"/>
                <c:pt idx="0">
                  <c:v>Kopā ar papildus finansējuma</c:v>
                </c:pt>
              </c:strCache>
            </c:strRef>
          </c:tx>
          <c:spPr>
            <a:ln w="28575" cap="rnd">
              <a:solidFill>
                <a:schemeClr val="accent6">
                  <a:tint val="77000"/>
                </a:schemeClr>
              </a:solidFill>
              <a:round/>
            </a:ln>
            <a:effectLst/>
          </c:spPr>
          <c:marker>
            <c:symbol val="none"/>
          </c:marker>
          <c:dLbls>
            <c:dLbl>
              <c:idx val="7"/>
              <c:layout>
                <c:manualLayout>
                  <c:x val="0"/>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22-408C-BEB7-9BC138D18315}"/>
                </c:ext>
              </c:extLst>
            </c:dLbl>
            <c:dLbl>
              <c:idx val="8"/>
              <c:layout>
                <c:manualLayout>
                  <c:x val="-1.0185067526415994E-16"/>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22-408C-BEB7-9BC138D18315}"/>
                </c:ext>
              </c:extLst>
            </c:dLbl>
            <c:dLbl>
              <c:idx val="9"/>
              <c:layout>
                <c:manualLayout>
                  <c:x val="-1.0185067526415994E-16"/>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22-408C-BEB7-9BC138D18315}"/>
                </c:ext>
              </c:extLst>
            </c:dLbl>
            <c:dLbl>
              <c:idx val="10"/>
              <c:layout>
                <c:manualLayout>
                  <c:x val="0"/>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22-408C-BEB7-9BC138D18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PZMG!$B$115:$L$115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PZMG!$B$119:$L$119</c:f>
              <c:numCache>
                <c:formatCode>0</c:formatCode>
                <c:ptCount val="11"/>
                <c:pt idx="0">
                  <c:v>19881</c:v>
                </c:pt>
                <c:pt idx="1">
                  <c:v>17548.5</c:v>
                </c:pt>
                <c:pt idx="2">
                  <c:v>16293.5</c:v>
                </c:pt>
                <c:pt idx="3">
                  <c:v>17170</c:v>
                </c:pt>
                <c:pt idx="4">
                  <c:v>16341</c:v>
                </c:pt>
                <c:pt idx="5">
                  <c:v>16708</c:v>
                </c:pt>
                <c:pt idx="6">
                  <c:v>16388.309999999998</c:v>
                </c:pt>
                <c:pt idx="7">
                  <c:v>15852</c:v>
                </c:pt>
                <c:pt idx="8">
                  <c:v>15634</c:v>
                </c:pt>
                <c:pt idx="9">
                  <c:v>15377</c:v>
                </c:pt>
                <c:pt idx="10">
                  <c:v>14889</c:v>
                </c:pt>
              </c:numCache>
            </c:numRef>
          </c:val>
          <c:smooth val="0"/>
          <c:extLst>
            <c:ext xmlns:c16="http://schemas.microsoft.com/office/drawing/2014/chart" uri="{C3380CC4-5D6E-409C-BE32-E72D297353CC}">
              <c16:uniqueId val="{00000008-7122-408C-BEB7-9BC138D18315}"/>
            </c:ext>
          </c:extLst>
        </c:ser>
        <c:dLbls>
          <c:dLblPos val="r"/>
          <c:showLegendKey val="0"/>
          <c:showVal val="1"/>
          <c:showCatName val="0"/>
          <c:showSerName val="0"/>
          <c:showPercent val="0"/>
          <c:showBubbleSize val="0"/>
        </c:dLbls>
        <c:smooth val="0"/>
        <c:axId val="366164264"/>
        <c:axId val="366164656"/>
      </c:lineChart>
      <c:catAx>
        <c:axId val="36616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4656"/>
        <c:crosses val="autoZero"/>
        <c:auto val="1"/>
        <c:lblAlgn val="ctr"/>
        <c:lblOffset val="100"/>
        <c:noMultiLvlLbl val="0"/>
      </c:catAx>
      <c:valAx>
        <c:axId val="366164656"/>
        <c:scaling>
          <c:orientation val="minMax"/>
          <c:max val="20000"/>
          <c:min val="1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4264"/>
        <c:crosses val="autoZero"/>
        <c:crossBetween val="between"/>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PZMG!$A$150</c:f>
              <c:strCache>
                <c:ptCount val="1"/>
                <c:pt idx="0">
                  <c:v>Sievietes bez papildus finansējuma</c:v>
                </c:pt>
              </c:strCache>
            </c:strRef>
          </c:tx>
          <c:spPr>
            <a:ln w="28575" cap="rnd">
              <a:solidFill>
                <a:schemeClr val="accent6">
                  <a:shade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PZMG!$B$149:$L$149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PZMG!$B$150:$L$150</c:f>
              <c:numCache>
                <c:formatCode>General</c:formatCode>
                <c:ptCount val="11"/>
                <c:pt idx="0">
                  <c:v>32200.5</c:v>
                </c:pt>
                <c:pt idx="1">
                  <c:v>29996</c:v>
                </c:pt>
                <c:pt idx="2">
                  <c:v>27578.5</c:v>
                </c:pt>
                <c:pt idx="3">
                  <c:v>28365</c:v>
                </c:pt>
                <c:pt idx="4">
                  <c:v>25900.5</c:v>
                </c:pt>
                <c:pt idx="5">
                  <c:v>24419.5</c:v>
                </c:pt>
                <c:pt idx="6">
                  <c:v>24419.5</c:v>
                </c:pt>
                <c:pt idx="7">
                  <c:v>24419.5</c:v>
                </c:pt>
                <c:pt idx="8">
                  <c:v>23456</c:v>
                </c:pt>
                <c:pt idx="9">
                  <c:v>22478</c:v>
                </c:pt>
                <c:pt idx="10">
                  <c:v>21567</c:v>
                </c:pt>
              </c:numCache>
            </c:numRef>
          </c:val>
          <c:smooth val="0"/>
          <c:extLst>
            <c:ext xmlns:c16="http://schemas.microsoft.com/office/drawing/2014/chart" uri="{C3380CC4-5D6E-409C-BE32-E72D297353CC}">
              <c16:uniqueId val="{00000000-B6ED-4D49-9744-0AEE36AF5E8B}"/>
            </c:ext>
          </c:extLst>
        </c:ser>
        <c:ser>
          <c:idx val="1"/>
          <c:order val="1"/>
          <c:tx>
            <c:strRef>
              <c:f>PZMG!$A$151</c:f>
              <c:strCache>
                <c:ptCount val="1"/>
                <c:pt idx="0">
                  <c:v>Vīrieši bez papildus finansējuma</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PZMG!$B$149:$L$149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PZMG!$B$151:$L$151</c:f>
              <c:numCache>
                <c:formatCode>General</c:formatCode>
                <c:ptCount val="11"/>
                <c:pt idx="0">
                  <c:v>78904</c:v>
                </c:pt>
                <c:pt idx="1">
                  <c:v>73125</c:v>
                </c:pt>
                <c:pt idx="2">
                  <c:v>71225.5</c:v>
                </c:pt>
                <c:pt idx="3">
                  <c:v>68266</c:v>
                </c:pt>
                <c:pt idx="4">
                  <c:v>67473.5</c:v>
                </c:pt>
                <c:pt idx="5">
                  <c:v>63771.5</c:v>
                </c:pt>
                <c:pt idx="6">
                  <c:v>63771.5</c:v>
                </c:pt>
                <c:pt idx="7">
                  <c:v>63122</c:v>
                </c:pt>
                <c:pt idx="8">
                  <c:v>62887</c:v>
                </c:pt>
                <c:pt idx="9">
                  <c:v>62567</c:v>
                </c:pt>
                <c:pt idx="10">
                  <c:v>62346</c:v>
                </c:pt>
              </c:numCache>
            </c:numRef>
          </c:val>
          <c:smooth val="0"/>
          <c:extLst>
            <c:ext xmlns:c16="http://schemas.microsoft.com/office/drawing/2014/chart" uri="{C3380CC4-5D6E-409C-BE32-E72D297353CC}">
              <c16:uniqueId val="{00000001-B6ED-4D49-9744-0AEE36AF5E8B}"/>
            </c:ext>
          </c:extLst>
        </c:ser>
        <c:ser>
          <c:idx val="2"/>
          <c:order val="2"/>
          <c:tx>
            <c:strRef>
              <c:f>PZMG!$A$152</c:f>
              <c:strCache>
                <c:ptCount val="1"/>
                <c:pt idx="0">
                  <c:v>Kopā bez papildus finansējuma</c:v>
                </c:pt>
              </c:strCache>
            </c:strRef>
          </c:tx>
          <c:spPr>
            <a:ln w="28575" cap="rnd">
              <a:solidFill>
                <a:schemeClr val="accent6">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PZMG!$B$149:$L$149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PZMG!$B$152:$L$152</c:f>
              <c:numCache>
                <c:formatCode>General</c:formatCode>
                <c:ptCount val="11"/>
                <c:pt idx="0">
                  <c:v>111104.5</c:v>
                </c:pt>
                <c:pt idx="1">
                  <c:v>103121</c:v>
                </c:pt>
                <c:pt idx="2">
                  <c:v>98804</c:v>
                </c:pt>
                <c:pt idx="3">
                  <c:v>96631</c:v>
                </c:pt>
                <c:pt idx="4">
                  <c:v>93374</c:v>
                </c:pt>
                <c:pt idx="5">
                  <c:v>88191</c:v>
                </c:pt>
                <c:pt idx="6">
                  <c:v>88191</c:v>
                </c:pt>
                <c:pt idx="7">
                  <c:v>87541.5</c:v>
                </c:pt>
                <c:pt idx="8">
                  <c:v>86343</c:v>
                </c:pt>
                <c:pt idx="9">
                  <c:v>85045</c:v>
                </c:pt>
                <c:pt idx="10">
                  <c:v>83913</c:v>
                </c:pt>
              </c:numCache>
            </c:numRef>
          </c:val>
          <c:smooth val="0"/>
          <c:extLst>
            <c:ext xmlns:c16="http://schemas.microsoft.com/office/drawing/2014/chart" uri="{C3380CC4-5D6E-409C-BE32-E72D297353CC}">
              <c16:uniqueId val="{00000002-B6ED-4D49-9744-0AEE36AF5E8B}"/>
            </c:ext>
          </c:extLst>
        </c:ser>
        <c:dLbls>
          <c:dLblPos val="r"/>
          <c:showLegendKey val="0"/>
          <c:showVal val="1"/>
          <c:showCatName val="0"/>
          <c:showSerName val="0"/>
          <c:showPercent val="0"/>
          <c:showBubbleSize val="0"/>
        </c:dLbls>
        <c:smooth val="0"/>
        <c:axId val="366165440"/>
        <c:axId val="366165832"/>
      </c:lineChart>
      <c:catAx>
        <c:axId val="36616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5832"/>
        <c:crosses val="autoZero"/>
        <c:auto val="1"/>
        <c:lblAlgn val="ctr"/>
        <c:lblOffset val="100"/>
        <c:noMultiLvlLbl val="0"/>
      </c:catAx>
      <c:valAx>
        <c:axId val="36616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'[PZMG_prognoze (Autosaved).xlsx]PZMG'!$A$155</c:f>
              <c:strCache>
                <c:ptCount val="1"/>
                <c:pt idx="0">
                  <c:v>Kopā ar papildus finansējuma</c:v>
                </c:pt>
              </c:strCache>
            </c:strRef>
          </c:tx>
          <c:spPr>
            <a:ln w="28575" cap="rnd">
              <a:solidFill>
                <a:schemeClr val="accent6">
                  <a:shade val="65000"/>
                </a:schemeClr>
              </a:solidFill>
              <a:round/>
            </a:ln>
            <a:effectLst/>
          </c:spPr>
          <c:marker>
            <c:symbol val="none"/>
          </c:marker>
          <c:dLbls>
            <c:dLbl>
              <c:idx val="8"/>
              <c:layout>
                <c:manualLayout>
                  <c:x val="0"/>
                  <c:y val="4.15224913494809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19-420A-B0F2-6D2EA141A500}"/>
                </c:ext>
              </c:extLst>
            </c:dLbl>
            <c:dLbl>
              <c:idx val="9"/>
              <c:layout>
                <c:manualLayout>
                  <c:x val="2.22667557336896E-3"/>
                  <c:y val="-4.61361014994233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A19-420A-B0F2-6D2EA141A500}"/>
                </c:ext>
              </c:extLst>
            </c:dLbl>
            <c:dLbl>
              <c:idx val="10"/>
              <c:layout>
                <c:manualLayout>
                  <c:x val="-1.6328765573412415E-16"/>
                  <c:y val="5.5363321799307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A19-420A-B0F2-6D2EA141A5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'[PZMG_prognoze (Autosaved).xlsx]PZMG'!$B$154:$L$154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 (Autosaved).xlsx]PZMG'!$B$155:$L$155</c:f>
              <c:numCache>
                <c:formatCode>General</c:formatCode>
                <c:ptCount val="11"/>
                <c:pt idx="0">
                  <c:v>32200.5</c:v>
                </c:pt>
                <c:pt idx="1">
                  <c:v>29996</c:v>
                </c:pt>
                <c:pt idx="2">
                  <c:v>27578.5</c:v>
                </c:pt>
                <c:pt idx="3">
                  <c:v>28365</c:v>
                </c:pt>
                <c:pt idx="4">
                  <c:v>25900.5</c:v>
                </c:pt>
                <c:pt idx="5">
                  <c:v>24419.5</c:v>
                </c:pt>
                <c:pt idx="6">
                  <c:v>24419.5</c:v>
                </c:pt>
                <c:pt idx="7">
                  <c:v>24246.7</c:v>
                </c:pt>
                <c:pt idx="8">
                  <c:v>23201.599999999999</c:v>
                </c:pt>
                <c:pt idx="9">
                  <c:v>21834.799999999999</c:v>
                </c:pt>
                <c:pt idx="10">
                  <c:v>20350.2</c:v>
                </c:pt>
              </c:numCache>
            </c:numRef>
          </c:val>
          <c:smooth val="0"/>
          <c:extLst>
            <c:ext xmlns:c16="http://schemas.microsoft.com/office/drawing/2014/chart" uri="{C3380CC4-5D6E-409C-BE32-E72D297353CC}">
              <c16:uniqueId val="{00000000-0E68-4258-AC85-079B49B66AD1}"/>
            </c:ext>
          </c:extLst>
        </c:ser>
        <c:ser>
          <c:idx val="1"/>
          <c:order val="1"/>
          <c:tx>
            <c:strRef>
              <c:f>'[PZMG_prognoze (Autosaved).xlsx]PZMG'!$A$156</c:f>
              <c:strCache>
                <c:ptCount val="1"/>
                <c:pt idx="0">
                  <c:v>Sievietes ar papildus finansējuma</c:v>
                </c:pt>
              </c:strCache>
            </c:strRef>
          </c:tx>
          <c:spPr>
            <a:ln w="28575" cap="rnd">
              <a:solidFill>
                <a:schemeClr val="accent6"/>
              </a:solidFill>
              <a:round/>
            </a:ln>
            <a:effectLst/>
          </c:spPr>
          <c:marker>
            <c:symbol val="none"/>
          </c:marker>
          <c:dLbls>
            <c:dLbl>
              <c:idx val="10"/>
              <c:layout>
                <c:manualLayout>
                  <c:x val="-6.6800267201068807E-3"/>
                  <c:y val="7.84313725490195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A19-420A-B0F2-6D2EA141A5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'[PZMG_prognoze (Autosaved).xlsx]PZMG'!$B$154:$L$154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 (Autosaved).xlsx]PZMG'!$B$156:$L$156</c:f>
              <c:numCache>
                <c:formatCode>General</c:formatCode>
                <c:ptCount val="11"/>
                <c:pt idx="0">
                  <c:v>78904</c:v>
                </c:pt>
                <c:pt idx="1">
                  <c:v>73125</c:v>
                </c:pt>
                <c:pt idx="2">
                  <c:v>71225.5</c:v>
                </c:pt>
                <c:pt idx="3">
                  <c:v>68266</c:v>
                </c:pt>
                <c:pt idx="4">
                  <c:v>67473.5</c:v>
                </c:pt>
                <c:pt idx="5">
                  <c:v>63771.5</c:v>
                </c:pt>
                <c:pt idx="6">
                  <c:v>63771.5</c:v>
                </c:pt>
                <c:pt idx="7">
                  <c:v>63078.8</c:v>
                </c:pt>
                <c:pt idx="8">
                  <c:v>62823.4</c:v>
                </c:pt>
                <c:pt idx="9">
                  <c:v>62406.2</c:v>
                </c:pt>
                <c:pt idx="10">
                  <c:v>62041.8</c:v>
                </c:pt>
              </c:numCache>
            </c:numRef>
          </c:val>
          <c:smooth val="0"/>
          <c:extLst>
            <c:ext xmlns:c16="http://schemas.microsoft.com/office/drawing/2014/chart" uri="{C3380CC4-5D6E-409C-BE32-E72D297353CC}">
              <c16:uniqueId val="{00000001-0E68-4258-AC85-079B49B66AD1}"/>
            </c:ext>
          </c:extLst>
        </c:ser>
        <c:ser>
          <c:idx val="2"/>
          <c:order val="2"/>
          <c:tx>
            <c:strRef>
              <c:f>'[PZMG_prognoze (Autosaved).xlsx]PZMG'!$A$157</c:f>
              <c:strCache>
                <c:ptCount val="1"/>
                <c:pt idx="0">
                  <c:v>Vīrieši ar papildus finansējuma</c:v>
                </c:pt>
              </c:strCache>
            </c:strRef>
          </c:tx>
          <c:spPr>
            <a:ln w="28575" cap="rnd">
              <a:solidFill>
                <a:schemeClr val="accent6">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'[PZMG_prognoze (Autosaved).xlsx]PZMG'!$B$154:$L$154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 (Autosaved).xlsx]PZMG'!$B$157:$L$157</c:f>
              <c:numCache>
                <c:formatCode>General</c:formatCode>
                <c:ptCount val="11"/>
                <c:pt idx="0">
                  <c:v>111104.5</c:v>
                </c:pt>
                <c:pt idx="1">
                  <c:v>103121</c:v>
                </c:pt>
                <c:pt idx="2">
                  <c:v>98804</c:v>
                </c:pt>
                <c:pt idx="3">
                  <c:v>96631</c:v>
                </c:pt>
                <c:pt idx="4">
                  <c:v>93374</c:v>
                </c:pt>
                <c:pt idx="5">
                  <c:v>88191</c:v>
                </c:pt>
                <c:pt idx="6">
                  <c:v>88191</c:v>
                </c:pt>
                <c:pt idx="7">
                  <c:v>87325.5</c:v>
                </c:pt>
                <c:pt idx="8">
                  <c:v>86025</c:v>
                </c:pt>
                <c:pt idx="9">
                  <c:v>84241</c:v>
                </c:pt>
                <c:pt idx="10">
                  <c:v>82392</c:v>
                </c:pt>
              </c:numCache>
            </c:numRef>
          </c:val>
          <c:smooth val="0"/>
          <c:extLst>
            <c:ext xmlns:c16="http://schemas.microsoft.com/office/drawing/2014/chart" uri="{C3380CC4-5D6E-409C-BE32-E72D297353CC}">
              <c16:uniqueId val="{00000002-0E68-4258-AC85-079B49B66AD1}"/>
            </c:ext>
          </c:extLst>
        </c:ser>
        <c:dLbls>
          <c:dLblPos val="r"/>
          <c:showLegendKey val="0"/>
          <c:showVal val="1"/>
          <c:showCatName val="0"/>
          <c:showSerName val="0"/>
          <c:showPercent val="0"/>
          <c:showBubbleSize val="0"/>
        </c:dLbls>
        <c:smooth val="0"/>
        <c:axId val="366166616"/>
        <c:axId val="366167008"/>
      </c:lineChart>
      <c:catAx>
        <c:axId val="36616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7008"/>
        <c:crosses val="autoZero"/>
        <c:auto val="1"/>
        <c:lblAlgn val="ctr"/>
        <c:lblOffset val="100"/>
        <c:noMultiLvlLbl val="0"/>
      </c:catAx>
      <c:valAx>
        <c:axId val="36616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6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'[PZMG_prognoze (Autosaved).xlsx]PZMG'!$A$100</c:f>
              <c:strCache>
                <c:ptCount val="1"/>
                <c:pt idx="0">
                  <c:v>Sievietes</c:v>
                </c:pt>
              </c:strCache>
            </c:strRef>
          </c:tx>
          <c:spPr>
            <a:ln w="28575" cap="rnd">
              <a:solidFill>
                <a:schemeClr val="accent6">
                  <a:shade val="65000"/>
                </a:schemeClr>
              </a:solidFill>
              <a:round/>
            </a:ln>
            <a:effectLst/>
          </c:spPr>
          <c:marker>
            <c:symbol val="none"/>
          </c:marker>
          <c:dLbls>
            <c:dLbl>
              <c:idx val="10"/>
              <c:layout>
                <c:manualLayout>
                  <c:x val="0"/>
                  <c:y val="2.81690140845069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6B-4467-B496-FCEADB453A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'[PZMG_prognoze (Autosaved).xlsx]PZMG'!$B$95:$L$95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 (Autosaved).xlsx]PZMG'!$B$100:$L$100</c:f>
              <c:numCache>
                <c:formatCode>General</c:formatCode>
                <c:ptCount val="11"/>
                <c:pt idx="0">
                  <c:v>32200.5</c:v>
                </c:pt>
                <c:pt idx="1">
                  <c:v>29996</c:v>
                </c:pt>
                <c:pt idx="2">
                  <c:v>27578.5</c:v>
                </c:pt>
                <c:pt idx="3">
                  <c:v>28365</c:v>
                </c:pt>
                <c:pt idx="4">
                  <c:v>25900.5</c:v>
                </c:pt>
                <c:pt idx="5">
                  <c:v>24419.5</c:v>
                </c:pt>
                <c:pt idx="6">
                  <c:v>24419.5</c:v>
                </c:pt>
                <c:pt idx="7">
                  <c:v>24019.699999999997</c:v>
                </c:pt>
                <c:pt idx="8">
                  <c:v>22747.599999999999</c:v>
                </c:pt>
                <c:pt idx="9">
                  <c:v>20955.800000000003</c:v>
                </c:pt>
                <c:pt idx="10">
                  <c:v>19049.199999999997</c:v>
                </c:pt>
              </c:numCache>
            </c:numRef>
          </c:val>
          <c:smooth val="0"/>
          <c:extLst>
            <c:ext xmlns:c16="http://schemas.microsoft.com/office/drawing/2014/chart" uri="{C3380CC4-5D6E-409C-BE32-E72D297353CC}">
              <c16:uniqueId val="{00000000-AF61-412D-A041-F95C9E321AFF}"/>
            </c:ext>
          </c:extLst>
        </c:ser>
        <c:ser>
          <c:idx val="1"/>
          <c:order val="1"/>
          <c:tx>
            <c:strRef>
              <c:f>'[PZMG_prognoze (Autosaved).xlsx]PZMG'!$A$101</c:f>
              <c:strCache>
                <c:ptCount val="1"/>
                <c:pt idx="0">
                  <c:v>Vīrieši</c:v>
                </c:pt>
              </c:strCache>
            </c:strRef>
          </c:tx>
          <c:spPr>
            <a:ln w="28575" cap="rnd">
              <a:solidFill>
                <a:schemeClr val="accent6"/>
              </a:solidFill>
              <a:round/>
            </a:ln>
            <a:effectLst/>
          </c:spPr>
          <c:marker>
            <c:symbol val="none"/>
          </c:marker>
          <c:dLbls>
            <c:dLbl>
              <c:idx val="10"/>
              <c:layout>
                <c:manualLayout>
                  <c:x val="0"/>
                  <c:y val="5.16431924882628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6B-4467-B496-FCEADB453A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'[PZMG_prognoze (Autosaved).xlsx]PZMG'!$B$95:$L$95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 (Autosaved).xlsx]PZMG'!$B$101:$L$101</c:f>
              <c:numCache>
                <c:formatCode>General</c:formatCode>
                <c:ptCount val="11"/>
                <c:pt idx="0">
                  <c:v>78904</c:v>
                </c:pt>
                <c:pt idx="1">
                  <c:v>73125</c:v>
                </c:pt>
                <c:pt idx="2">
                  <c:v>71225.5</c:v>
                </c:pt>
                <c:pt idx="3">
                  <c:v>68266</c:v>
                </c:pt>
                <c:pt idx="4">
                  <c:v>67473.5</c:v>
                </c:pt>
                <c:pt idx="5">
                  <c:v>63771.5</c:v>
                </c:pt>
                <c:pt idx="6">
                  <c:v>63771.5</c:v>
                </c:pt>
                <c:pt idx="7">
                  <c:v>62876.800000000003</c:v>
                </c:pt>
                <c:pt idx="8">
                  <c:v>62362.400000000001</c:v>
                </c:pt>
                <c:pt idx="9">
                  <c:v>61523.199999999997</c:v>
                </c:pt>
                <c:pt idx="10">
                  <c:v>60767.8</c:v>
                </c:pt>
              </c:numCache>
            </c:numRef>
          </c:val>
          <c:smooth val="0"/>
          <c:extLst>
            <c:ext xmlns:c16="http://schemas.microsoft.com/office/drawing/2014/chart" uri="{C3380CC4-5D6E-409C-BE32-E72D297353CC}">
              <c16:uniqueId val="{00000001-AF61-412D-A041-F95C9E321AFF}"/>
            </c:ext>
          </c:extLst>
        </c:ser>
        <c:ser>
          <c:idx val="2"/>
          <c:order val="2"/>
          <c:tx>
            <c:strRef>
              <c:f>'[PZMG_prognoze (Autosaved).xlsx]PZMG'!$A$102</c:f>
              <c:strCache>
                <c:ptCount val="1"/>
                <c:pt idx="0">
                  <c:v>Kopā</c:v>
                </c:pt>
              </c:strCache>
            </c:strRef>
          </c:tx>
          <c:spPr>
            <a:ln w="28575" cap="rnd">
              <a:solidFill>
                <a:schemeClr val="accent6">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'[PZMG_prognoze (Autosaved).xlsx]PZMG'!$B$95:$L$95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'[PZMG_prognoze (Autosaved).xlsx]PZMG'!$B$102:$L$102</c:f>
              <c:numCache>
                <c:formatCode>General</c:formatCode>
                <c:ptCount val="11"/>
                <c:pt idx="0">
                  <c:v>111104.5</c:v>
                </c:pt>
                <c:pt idx="1">
                  <c:v>103121</c:v>
                </c:pt>
                <c:pt idx="2">
                  <c:v>98804</c:v>
                </c:pt>
                <c:pt idx="3">
                  <c:v>96631</c:v>
                </c:pt>
                <c:pt idx="4">
                  <c:v>93374</c:v>
                </c:pt>
                <c:pt idx="5">
                  <c:v>88191</c:v>
                </c:pt>
                <c:pt idx="6">
                  <c:v>88191</c:v>
                </c:pt>
                <c:pt idx="7">
                  <c:v>86896.5</c:v>
                </c:pt>
                <c:pt idx="8">
                  <c:v>85110</c:v>
                </c:pt>
                <c:pt idx="9">
                  <c:v>82479</c:v>
                </c:pt>
                <c:pt idx="10">
                  <c:v>79817</c:v>
                </c:pt>
              </c:numCache>
            </c:numRef>
          </c:val>
          <c:smooth val="0"/>
          <c:extLst>
            <c:ext xmlns:c16="http://schemas.microsoft.com/office/drawing/2014/chart" uri="{C3380CC4-5D6E-409C-BE32-E72D297353CC}">
              <c16:uniqueId val="{00000002-AF61-412D-A041-F95C9E321AFF}"/>
            </c:ext>
          </c:extLst>
        </c:ser>
        <c:dLbls>
          <c:dLblPos val="r"/>
          <c:showLegendKey val="0"/>
          <c:showVal val="1"/>
          <c:showCatName val="0"/>
          <c:showSerName val="0"/>
          <c:showPercent val="0"/>
          <c:showBubbleSize val="0"/>
        </c:dLbls>
        <c:smooth val="0"/>
        <c:axId val="366167792"/>
        <c:axId val="366168184"/>
      </c:lineChart>
      <c:catAx>
        <c:axId val="36616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8184"/>
        <c:crosses val="autoZero"/>
        <c:auto val="1"/>
        <c:lblAlgn val="ctr"/>
        <c:lblOffset val="100"/>
        <c:noMultiLvlLbl val="0"/>
      </c:catAx>
      <c:valAx>
        <c:axId val="366168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6167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38805852861201E-2"/>
          <c:y val="9.2509899677174504E-2"/>
          <c:w val="0.69176608923884519"/>
          <c:h val="0.72625516870463203"/>
        </c:manualLayout>
      </c:layout>
      <c:barChart>
        <c:barDir val="col"/>
        <c:grouping val="stacked"/>
        <c:varyColors val="0"/>
        <c:ser>
          <c:idx val="0"/>
          <c:order val="0"/>
          <c:tx>
            <c:strRef>
              <c:f>Sheet1!$A$3</c:f>
              <c:strCache>
                <c:ptCount val="1"/>
                <c:pt idx="0">
                  <c:v>Strukturālā bilance</c:v>
                </c:pt>
              </c:strCache>
            </c:strRef>
          </c:tx>
          <c:spPr>
            <a:solidFill>
              <a:schemeClr val="accent1"/>
            </a:solidFill>
            <a:ln>
              <a:noFill/>
            </a:ln>
            <a:effectLst/>
          </c:spPr>
          <c:invertIfNegative val="0"/>
          <c:cat>
            <c:multiLvlStrRef>
              <c:f>Sheet1!$F$1:$M$2</c:f>
              <c:multiLvlStrCache>
                <c:ptCount val="8"/>
                <c:lvl>
                  <c:pt idx="0">
                    <c:v>2013</c:v>
                  </c:pt>
                  <c:pt idx="1">
                    <c:v>2014</c:v>
                  </c:pt>
                  <c:pt idx="2">
                    <c:v>2015</c:v>
                  </c:pt>
                  <c:pt idx="3">
                    <c:v>2016</c:v>
                  </c:pt>
                  <c:pt idx="4">
                    <c:v>2017</c:v>
                  </c:pt>
                  <c:pt idx="5">
                    <c:v>2018</c:v>
                  </c:pt>
                  <c:pt idx="6">
                    <c:v>2019</c:v>
                  </c:pt>
                  <c:pt idx="7">
                    <c:v>2020</c:v>
                  </c:pt>
                </c:lvl>
                <c:lvl>
                  <c:pt idx="0">
                    <c:v>Fakts</c:v>
                  </c:pt>
                  <c:pt idx="3">
                    <c:v>Prognoze</c:v>
                  </c:pt>
                </c:lvl>
              </c:multiLvlStrCache>
            </c:multiLvlStrRef>
          </c:cat>
          <c:val>
            <c:numRef>
              <c:f>Sheet1!$F$3:$M$3</c:f>
              <c:numCache>
                <c:formatCode>0\,0</c:formatCode>
                <c:ptCount val="8"/>
                <c:pt idx="0">
                  <c:v>-0.74896943912057445</c:v>
                </c:pt>
                <c:pt idx="1">
                  <c:v>-0.87520676421525478</c:v>
                </c:pt>
                <c:pt idx="2">
                  <c:v>-1.2279948556620246</c:v>
                </c:pt>
                <c:pt idx="3">
                  <c:v>0.15430058889201215</c:v>
                </c:pt>
                <c:pt idx="4">
                  <c:v>-0.77487447771103946</c:v>
                </c:pt>
                <c:pt idx="5">
                  <c:v>-0.99755659891711501</c:v>
                </c:pt>
                <c:pt idx="6">
                  <c:v>-1</c:v>
                </c:pt>
                <c:pt idx="7">
                  <c:v>-0.5</c:v>
                </c:pt>
              </c:numCache>
            </c:numRef>
          </c:val>
          <c:extLst>
            <c:ext xmlns:c16="http://schemas.microsoft.com/office/drawing/2014/chart" uri="{C3380CC4-5D6E-409C-BE32-E72D297353CC}">
              <c16:uniqueId val="{00000000-43E0-4BF3-8BA4-F71DF7B24781}"/>
            </c:ext>
          </c:extLst>
        </c:ser>
        <c:ser>
          <c:idx val="1"/>
          <c:order val="1"/>
          <c:tx>
            <c:strRef>
              <c:f>Sheet1!$A$4</c:f>
              <c:strCache>
                <c:ptCount val="1"/>
                <c:pt idx="0">
                  <c:v>Cikliskā komponente</c:v>
                </c:pt>
              </c:strCache>
            </c:strRef>
          </c:tx>
          <c:spPr>
            <a:solidFill>
              <a:schemeClr val="accent2"/>
            </a:solidFill>
            <a:ln>
              <a:noFill/>
            </a:ln>
            <a:effectLst/>
          </c:spPr>
          <c:invertIfNegative val="0"/>
          <c:cat>
            <c:multiLvlStrRef>
              <c:f>Sheet1!$F$1:$M$2</c:f>
              <c:multiLvlStrCache>
                <c:ptCount val="8"/>
                <c:lvl>
                  <c:pt idx="0">
                    <c:v>2013</c:v>
                  </c:pt>
                  <c:pt idx="1">
                    <c:v>2014</c:v>
                  </c:pt>
                  <c:pt idx="2">
                    <c:v>2015</c:v>
                  </c:pt>
                  <c:pt idx="3">
                    <c:v>2016</c:v>
                  </c:pt>
                  <c:pt idx="4">
                    <c:v>2017</c:v>
                  </c:pt>
                  <c:pt idx="5">
                    <c:v>2018</c:v>
                  </c:pt>
                  <c:pt idx="6">
                    <c:v>2019</c:v>
                  </c:pt>
                  <c:pt idx="7">
                    <c:v>2020</c:v>
                  </c:pt>
                </c:lvl>
                <c:lvl>
                  <c:pt idx="0">
                    <c:v>Fakts</c:v>
                  </c:pt>
                  <c:pt idx="3">
                    <c:v>Prognoze</c:v>
                  </c:pt>
                </c:lvl>
              </c:multiLvlStrCache>
            </c:multiLvlStrRef>
          </c:cat>
          <c:val>
            <c:numRef>
              <c:f>Sheet1!$F$4:$M$4</c:f>
              <c:numCache>
                <c:formatCode>0\,0</c:formatCode>
                <c:ptCount val="8"/>
                <c:pt idx="0">
                  <c:v>-0.15792918064580305</c:v>
                </c:pt>
                <c:pt idx="1">
                  <c:v>-0.309291242103022</c:v>
                </c:pt>
                <c:pt idx="2">
                  <c:v>-3.9882484340437584E-2</c:v>
                </c:pt>
                <c:pt idx="3">
                  <c:v>-0.18420896336374998</c:v>
                </c:pt>
                <c:pt idx="4">
                  <c:v>-2.1799070789324398E-2</c:v>
                </c:pt>
                <c:pt idx="5">
                  <c:v>0.10642058478417872</c:v>
                </c:pt>
                <c:pt idx="6">
                  <c:v>0.25749195286308402</c:v>
                </c:pt>
                <c:pt idx="7">
                  <c:v>0.26670016659911089</c:v>
                </c:pt>
              </c:numCache>
            </c:numRef>
          </c:val>
          <c:extLst>
            <c:ext xmlns:c16="http://schemas.microsoft.com/office/drawing/2014/chart" uri="{C3380CC4-5D6E-409C-BE32-E72D297353CC}">
              <c16:uniqueId val="{00000001-43E0-4BF3-8BA4-F71DF7B24781}"/>
            </c:ext>
          </c:extLst>
        </c:ser>
        <c:ser>
          <c:idx val="2"/>
          <c:order val="2"/>
          <c:tx>
            <c:strRef>
              <c:f>Sheet1!$A$5</c:f>
              <c:strCache>
                <c:ptCount val="1"/>
                <c:pt idx="0">
                  <c:v>One-off</c:v>
                </c:pt>
              </c:strCache>
            </c:strRef>
          </c:tx>
          <c:spPr>
            <a:solidFill>
              <a:schemeClr val="accent3"/>
            </a:solidFill>
            <a:ln>
              <a:noFill/>
            </a:ln>
            <a:effectLst/>
          </c:spPr>
          <c:invertIfNegative val="0"/>
          <c:cat>
            <c:multiLvlStrRef>
              <c:f>Sheet1!$F$1:$M$2</c:f>
              <c:multiLvlStrCache>
                <c:ptCount val="8"/>
                <c:lvl>
                  <c:pt idx="0">
                    <c:v>2013</c:v>
                  </c:pt>
                  <c:pt idx="1">
                    <c:v>2014</c:v>
                  </c:pt>
                  <c:pt idx="2">
                    <c:v>2015</c:v>
                  </c:pt>
                  <c:pt idx="3">
                    <c:v>2016</c:v>
                  </c:pt>
                  <c:pt idx="4">
                    <c:v>2017</c:v>
                  </c:pt>
                  <c:pt idx="5">
                    <c:v>2018</c:v>
                  </c:pt>
                  <c:pt idx="6">
                    <c:v>2019</c:v>
                  </c:pt>
                  <c:pt idx="7">
                    <c:v>2020</c:v>
                  </c:pt>
                </c:lvl>
                <c:lvl>
                  <c:pt idx="0">
                    <c:v>Fakts</c:v>
                  </c:pt>
                  <c:pt idx="3">
                    <c:v>Prognoze</c:v>
                  </c:pt>
                </c:lvl>
              </c:multiLvlStrCache>
            </c:multiLvlStrRef>
          </c:cat>
          <c:val>
            <c:numRef>
              <c:f>Sheet1!$F$5:$M$5</c:f>
              <c:numCache>
                <c:formatCode>0\,0</c:formatCode>
                <c:ptCount val="8"/>
                <c:pt idx="1">
                  <c:v>-0.37873732277314937</c:v>
                </c:pt>
                <c:pt idx="5">
                  <c:v>-0.69244340108288494</c:v>
                </c:pt>
                <c:pt idx="6">
                  <c:v>-0.4448782383085455</c:v>
                </c:pt>
                <c:pt idx="7">
                  <c:v>-0.25742623006062443</c:v>
                </c:pt>
              </c:numCache>
            </c:numRef>
          </c:val>
          <c:extLst>
            <c:ext xmlns:c16="http://schemas.microsoft.com/office/drawing/2014/chart" uri="{C3380CC4-5D6E-409C-BE32-E72D297353CC}">
              <c16:uniqueId val="{00000002-43E0-4BF3-8BA4-F71DF7B24781}"/>
            </c:ext>
          </c:extLst>
        </c:ser>
        <c:dLbls>
          <c:showLegendKey val="0"/>
          <c:showVal val="0"/>
          <c:showCatName val="0"/>
          <c:showSerName val="0"/>
          <c:showPercent val="0"/>
          <c:showBubbleSize val="0"/>
        </c:dLbls>
        <c:gapWidth val="150"/>
        <c:overlap val="100"/>
        <c:axId val="366168968"/>
        <c:axId val="366169360"/>
      </c:barChart>
      <c:lineChart>
        <c:grouping val="standard"/>
        <c:varyColors val="0"/>
        <c:ser>
          <c:idx val="3"/>
          <c:order val="3"/>
          <c:tx>
            <c:strRef>
              <c:f>Sheet1!$A$6</c:f>
              <c:strCache>
                <c:ptCount val="1"/>
                <c:pt idx="0">
                  <c:v>Vispārējās valdības budžeta bilance</c:v>
                </c:pt>
              </c:strCache>
            </c:strRef>
          </c:tx>
          <c:spPr>
            <a:ln w="28575" cap="rnd">
              <a:solidFill>
                <a:schemeClr val="accent1">
                  <a:lumMod val="50000"/>
                </a:schemeClr>
              </a:solidFill>
              <a:round/>
            </a:ln>
            <a:effectLst/>
          </c:spPr>
          <c:marker>
            <c:symbol val="none"/>
          </c:marker>
          <c:cat>
            <c:multiLvlStrRef>
              <c:f>Sheet1!$F$1:$M$2</c:f>
              <c:multiLvlStrCache>
                <c:ptCount val="8"/>
                <c:lvl>
                  <c:pt idx="0">
                    <c:v>2013</c:v>
                  </c:pt>
                  <c:pt idx="1">
                    <c:v>2014</c:v>
                  </c:pt>
                  <c:pt idx="2">
                    <c:v>2015</c:v>
                  </c:pt>
                  <c:pt idx="3">
                    <c:v>2016</c:v>
                  </c:pt>
                  <c:pt idx="4">
                    <c:v>2017</c:v>
                  </c:pt>
                  <c:pt idx="5">
                    <c:v>2018</c:v>
                  </c:pt>
                  <c:pt idx="6">
                    <c:v>2019</c:v>
                  </c:pt>
                  <c:pt idx="7">
                    <c:v>2020</c:v>
                  </c:pt>
                </c:lvl>
                <c:lvl>
                  <c:pt idx="0">
                    <c:v>Fakts</c:v>
                  </c:pt>
                  <c:pt idx="3">
                    <c:v>Prognoze</c:v>
                  </c:pt>
                </c:lvl>
              </c:multiLvlStrCache>
            </c:multiLvlStrRef>
          </c:cat>
          <c:val>
            <c:numRef>
              <c:f>Sheet1!$F$6:$M$6</c:f>
              <c:numCache>
                <c:formatCode>0\,0</c:formatCode>
                <c:ptCount val="8"/>
                <c:pt idx="0">
                  <c:v>-0.90689861976637753</c:v>
                </c:pt>
                <c:pt idx="1">
                  <c:v>-1.5632353290914263</c:v>
                </c:pt>
                <c:pt idx="2">
                  <c:v>-1.2678773400024621</c:v>
                </c:pt>
                <c:pt idx="3">
                  <c:v>-2.9908374471737817E-2</c:v>
                </c:pt>
                <c:pt idx="4">
                  <c:v>-0.79667354850036387</c:v>
                </c:pt>
                <c:pt idx="5">
                  <c:v>-1.5835794152158211</c:v>
                </c:pt>
                <c:pt idx="6">
                  <c:v>-1.1873862854454615</c:v>
                </c:pt>
                <c:pt idx="7">
                  <c:v>-0.49072606346151354</c:v>
                </c:pt>
              </c:numCache>
            </c:numRef>
          </c:val>
          <c:smooth val="0"/>
          <c:extLst>
            <c:ext xmlns:c16="http://schemas.microsoft.com/office/drawing/2014/chart" uri="{C3380CC4-5D6E-409C-BE32-E72D297353CC}">
              <c16:uniqueId val="{00000003-43E0-4BF3-8BA4-F71DF7B24781}"/>
            </c:ext>
          </c:extLst>
        </c:ser>
        <c:dLbls>
          <c:showLegendKey val="0"/>
          <c:showVal val="0"/>
          <c:showCatName val="0"/>
          <c:showSerName val="0"/>
          <c:showPercent val="0"/>
          <c:showBubbleSize val="0"/>
        </c:dLbls>
        <c:marker val="1"/>
        <c:smooth val="0"/>
        <c:axId val="366168968"/>
        <c:axId val="366169360"/>
      </c:lineChart>
      <c:catAx>
        <c:axId val="366168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6169360"/>
        <c:crosses val="autoZero"/>
        <c:auto val="1"/>
        <c:lblAlgn val="ctr"/>
        <c:lblOffset val="100"/>
        <c:noMultiLvlLbl val="0"/>
      </c:catAx>
      <c:valAx>
        <c:axId val="366169360"/>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6168968"/>
        <c:crosses val="autoZero"/>
        <c:crossBetween val="between"/>
      </c:valAx>
      <c:spPr>
        <a:noFill/>
        <a:ln>
          <a:noFill/>
        </a:ln>
        <a:effectLst/>
      </c:spPr>
    </c:plotArea>
    <c:legend>
      <c:legendPos val="b"/>
      <c:layout>
        <c:manualLayout>
          <c:xMode val="edge"/>
          <c:yMode val="edge"/>
          <c:x val="0.76881739155882955"/>
          <c:y val="0.1653383248556452"/>
          <c:w val="0.22241143971936547"/>
          <c:h val="0.640047389909594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'VSAOI slieksnis'!$H$12</c:f>
              <c:strCache>
                <c:ptCount val="1"/>
                <c:pt idx="0">
                  <c:v>2016.gads (ar solidaritātes nodokli)</c:v>
                </c:pt>
              </c:strCache>
            </c:strRef>
          </c:tx>
          <c:spPr>
            <a:solidFill>
              <a:schemeClr val="bg2">
                <a:lumMod val="75000"/>
              </a:schemeClr>
            </a:solidFill>
            <a:ln>
              <a:noFill/>
            </a:ln>
            <a:effectLst/>
          </c:spPr>
          <c:invertIfNegative val="0"/>
          <c:dLbls>
            <c:dLbl>
              <c:idx val="0"/>
              <c:layout>
                <c:manualLayout>
                  <c:x val="-7.9840302630371247E-3"/>
                  <c:y val="-7.00405789782188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C0-4AE8-BEDC-7CAB6DC11DAA}"/>
                </c:ext>
              </c:extLst>
            </c:dLbl>
            <c:dLbl>
              <c:idx val="1"/>
              <c:layout>
                <c:manualLayout>
                  <c:x val="-1.5968060526074274E-2"/>
                  <c:y val="-3.8204393505253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C0-4AE8-BEDC-7CAB6DC11DA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'VSAOI slieksnis'!$A$14:$A$25</c:f>
              <c:numCache>
                <c:formatCode>#,##0.0</c:formatCode>
                <c:ptCount val="12"/>
                <c:pt idx="0">
                  <c:v>360</c:v>
                </c:pt>
                <c:pt idx="1">
                  <c:v>500</c:v>
                </c:pt>
                <c:pt idx="2">
                  <c:v>1000</c:v>
                </c:pt>
                <c:pt idx="3">
                  <c:v>2000</c:v>
                </c:pt>
                <c:pt idx="4">
                  <c:v>3000</c:v>
                </c:pt>
                <c:pt idx="5">
                  <c:v>4000</c:v>
                </c:pt>
                <c:pt idx="6">
                  <c:v>5000</c:v>
                </c:pt>
                <c:pt idx="7">
                  <c:v>6000</c:v>
                </c:pt>
                <c:pt idx="8">
                  <c:v>7000</c:v>
                </c:pt>
                <c:pt idx="9">
                  <c:v>8000</c:v>
                </c:pt>
                <c:pt idx="10">
                  <c:v>9000</c:v>
                </c:pt>
                <c:pt idx="11">
                  <c:v>10000</c:v>
                </c:pt>
              </c:numCache>
            </c:numRef>
          </c:cat>
          <c:val>
            <c:numRef>
              <c:f>'VSAOI slieksnis'!$M$14:$M$25</c:f>
              <c:numCache>
                <c:formatCode>0.0%</c:formatCode>
                <c:ptCount val="12"/>
                <c:pt idx="0">
                  <c:v>0.26293333333333335</c:v>
                </c:pt>
                <c:pt idx="1">
                  <c:v>0.27635000000000004</c:v>
                </c:pt>
                <c:pt idx="2">
                  <c:v>0.29360000000000003</c:v>
                </c:pt>
                <c:pt idx="3">
                  <c:v>0.30222500000000002</c:v>
                </c:pt>
                <c:pt idx="4">
                  <c:v>0.30510000000000004</c:v>
                </c:pt>
                <c:pt idx="5">
                  <c:v>0.30653750000000002</c:v>
                </c:pt>
                <c:pt idx="6">
                  <c:v>0.30740000000000001</c:v>
                </c:pt>
                <c:pt idx="7">
                  <c:v>0.307975</c:v>
                </c:pt>
                <c:pt idx="8">
                  <c:v>0.30838571428571426</c:v>
                </c:pt>
                <c:pt idx="9">
                  <c:v>0.30869375000000004</c:v>
                </c:pt>
                <c:pt idx="10">
                  <c:v>0.30893333333333334</c:v>
                </c:pt>
                <c:pt idx="11">
                  <c:v>0.30912499999999998</c:v>
                </c:pt>
              </c:numCache>
            </c:numRef>
          </c:val>
          <c:extLst>
            <c:ext xmlns:c16="http://schemas.microsoft.com/office/drawing/2014/chart" uri="{C3380CC4-5D6E-409C-BE32-E72D297353CC}">
              <c16:uniqueId val="{00000002-33C0-4AE8-BEDC-7CAB6DC11DAA}"/>
            </c:ext>
          </c:extLst>
        </c:ser>
        <c:dLbls>
          <c:showLegendKey val="0"/>
          <c:showVal val="0"/>
          <c:showCatName val="0"/>
          <c:showSerName val="0"/>
          <c:showPercent val="0"/>
          <c:showBubbleSize val="0"/>
        </c:dLbls>
        <c:gapWidth val="150"/>
        <c:axId val="366170928"/>
        <c:axId val="366171320"/>
      </c:barChart>
      <c:lineChart>
        <c:grouping val="standard"/>
        <c:varyColors val="0"/>
        <c:ser>
          <c:idx val="0"/>
          <c:order val="0"/>
          <c:tx>
            <c:strRef>
              <c:f>'VSAOI slieksnis'!$A$11</c:f>
              <c:strCache>
                <c:ptCount val="1"/>
                <c:pt idx="0">
                  <c:v>2015.gads (ar valsts sociālās apdrošināšanas griestiem)</c:v>
                </c:pt>
              </c:strCache>
            </c:strRef>
          </c:tx>
          <c:spPr>
            <a:ln w="28575" cap="rnd">
              <a:solidFill>
                <a:schemeClr val="bg2">
                  <a:lumMod val="25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33C0-4AE8-BEDC-7CAB6DC11DAA}"/>
                </c:ext>
              </c:extLst>
            </c:dLbl>
            <c:dLbl>
              <c:idx val="1"/>
              <c:delete val="1"/>
              <c:extLst>
                <c:ext xmlns:c15="http://schemas.microsoft.com/office/drawing/2012/chart" uri="{CE6537A1-D6FC-4f65-9D91-7224C49458BB}"/>
                <c:ext xmlns:c16="http://schemas.microsoft.com/office/drawing/2014/chart" uri="{C3380CC4-5D6E-409C-BE32-E72D297353CC}">
                  <c16:uniqueId val="{00000004-33C0-4AE8-BEDC-7CAB6DC11DAA}"/>
                </c:ext>
              </c:extLst>
            </c:dLbl>
            <c:dLbl>
              <c:idx val="2"/>
              <c:delete val="1"/>
              <c:extLst>
                <c:ext xmlns:c15="http://schemas.microsoft.com/office/drawing/2012/chart" uri="{CE6537A1-D6FC-4f65-9D91-7224C49458BB}"/>
                <c:ext xmlns:c16="http://schemas.microsoft.com/office/drawing/2014/chart" uri="{C3380CC4-5D6E-409C-BE32-E72D297353CC}">
                  <c16:uniqueId val="{00000005-33C0-4AE8-BEDC-7CAB6DC11DAA}"/>
                </c:ext>
              </c:extLst>
            </c:dLbl>
            <c:dLbl>
              <c:idx val="3"/>
              <c:delete val="1"/>
              <c:extLst>
                <c:ext xmlns:c15="http://schemas.microsoft.com/office/drawing/2012/chart" uri="{CE6537A1-D6FC-4f65-9D91-7224C49458BB}"/>
                <c:ext xmlns:c16="http://schemas.microsoft.com/office/drawing/2014/chart" uri="{C3380CC4-5D6E-409C-BE32-E72D297353CC}">
                  <c16:uniqueId val="{00000006-33C0-4AE8-BEDC-7CAB6DC11DAA}"/>
                </c:ext>
              </c:extLst>
            </c:dLbl>
            <c:dLbl>
              <c:idx val="4"/>
              <c:delete val="1"/>
              <c:extLst>
                <c:ext xmlns:c15="http://schemas.microsoft.com/office/drawing/2012/chart" uri="{CE6537A1-D6FC-4f65-9D91-7224C49458BB}"/>
                <c:ext xmlns:c16="http://schemas.microsoft.com/office/drawing/2014/chart" uri="{C3380CC4-5D6E-409C-BE32-E72D297353CC}">
                  <c16:uniqueId val="{00000007-33C0-4AE8-BEDC-7CAB6DC11DAA}"/>
                </c:ext>
              </c:extLst>
            </c:dLbl>
            <c:dLbl>
              <c:idx val="5"/>
              <c:delete val="1"/>
              <c:extLst>
                <c:ext xmlns:c15="http://schemas.microsoft.com/office/drawing/2012/chart" uri="{CE6537A1-D6FC-4f65-9D91-7224C49458BB}"/>
                <c:ext xmlns:c16="http://schemas.microsoft.com/office/drawing/2014/chart" uri="{C3380CC4-5D6E-409C-BE32-E72D297353CC}">
                  <c16:uniqueId val="{00000008-33C0-4AE8-BEDC-7CAB6DC11DAA}"/>
                </c:ext>
              </c:extLst>
            </c:dLbl>
            <c:dLbl>
              <c:idx val="11"/>
              <c:layout>
                <c:manualLayout>
                  <c:x val="0"/>
                  <c:y val="2.6743075453677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C0-4AE8-BEDC-7CAB6DC11DA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'VSAOI slieksnis'!$A$14:$A$25</c:f>
              <c:numCache>
                <c:formatCode>#,##0.0</c:formatCode>
                <c:ptCount val="12"/>
                <c:pt idx="0">
                  <c:v>360</c:v>
                </c:pt>
                <c:pt idx="1">
                  <c:v>500</c:v>
                </c:pt>
                <c:pt idx="2">
                  <c:v>1000</c:v>
                </c:pt>
                <c:pt idx="3">
                  <c:v>2000</c:v>
                </c:pt>
                <c:pt idx="4">
                  <c:v>3000</c:v>
                </c:pt>
                <c:pt idx="5">
                  <c:v>4000</c:v>
                </c:pt>
                <c:pt idx="6">
                  <c:v>5000</c:v>
                </c:pt>
                <c:pt idx="7">
                  <c:v>6000</c:v>
                </c:pt>
                <c:pt idx="8">
                  <c:v>7000</c:v>
                </c:pt>
                <c:pt idx="9">
                  <c:v>8000</c:v>
                </c:pt>
                <c:pt idx="10">
                  <c:v>9000</c:v>
                </c:pt>
                <c:pt idx="11">
                  <c:v>10000</c:v>
                </c:pt>
              </c:numCache>
            </c:numRef>
          </c:cat>
          <c:val>
            <c:numRef>
              <c:f>'VSAOI slieksnis'!$F$14:$F$25</c:f>
              <c:numCache>
                <c:formatCode>0.0%</c:formatCode>
                <c:ptCount val="12"/>
                <c:pt idx="0">
                  <c:v>0.26293333333333335</c:v>
                </c:pt>
                <c:pt idx="1">
                  <c:v>0.27635000000000004</c:v>
                </c:pt>
                <c:pt idx="2">
                  <c:v>0.29360000000000003</c:v>
                </c:pt>
                <c:pt idx="3">
                  <c:v>0.30222500000000002</c:v>
                </c:pt>
                <c:pt idx="4">
                  <c:v>0.30510000000000004</c:v>
                </c:pt>
                <c:pt idx="5">
                  <c:v>0.30653750000000002</c:v>
                </c:pt>
                <c:pt idx="6">
                  <c:v>0.29203850000000003</c:v>
                </c:pt>
                <c:pt idx="7">
                  <c:v>0.28169875</c:v>
                </c:pt>
                <c:pt idx="8">
                  <c:v>0.27431321428571431</c:v>
                </c:pt>
                <c:pt idx="9">
                  <c:v>0.26877406250000002</c:v>
                </c:pt>
                <c:pt idx="10">
                  <c:v>0.26446583333333334</c:v>
                </c:pt>
                <c:pt idx="11">
                  <c:v>0.26101925000000004</c:v>
                </c:pt>
              </c:numCache>
            </c:numRef>
          </c:val>
          <c:smooth val="0"/>
          <c:extLst>
            <c:ext xmlns:c16="http://schemas.microsoft.com/office/drawing/2014/chart" uri="{C3380CC4-5D6E-409C-BE32-E72D297353CC}">
              <c16:uniqueId val="{0000000A-33C0-4AE8-BEDC-7CAB6DC11DAA}"/>
            </c:ext>
          </c:extLst>
        </c:ser>
        <c:dLbls>
          <c:showLegendKey val="0"/>
          <c:showVal val="0"/>
          <c:showCatName val="0"/>
          <c:showSerName val="0"/>
          <c:showPercent val="0"/>
          <c:showBubbleSize val="0"/>
        </c:dLbls>
        <c:marker val="1"/>
        <c:smooth val="0"/>
        <c:axId val="366170928"/>
        <c:axId val="366171320"/>
      </c:lineChart>
      <c:catAx>
        <c:axId val="36617092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Ienākumi, EUR/mēnesī</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v-LV"/>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v-LV"/>
          </a:p>
        </c:txPr>
        <c:crossAx val="366171320"/>
        <c:crosses val="autoZero"/>
        <c:auto val="0"/>
        <c:lblAlgn val="ctr"/>
        <c:lblOffset val="100"/>
        <c:noMultiLvlLbl val="0"/>
      </c:catAx>
      <c:valAx>
        <c:axId val="366171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v-LV"/>
          </a:p>
        </c:txPr>
        <c:crossAx val="36617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962799732000711E-2"/>
          <c:y val="8.7838974343291118E-2"/>
          <c:w val="0.88160283243283111"/>
          <c:h val="0.62989489104559604"/>
        </c:manualLayout>
      </c:layout>
      <c:barChart>
        <c:barDir val="col"/>
        <c:grouping val="stacked"/>
        <c:varyColors val="0"/>
        <c:ser>
          <c:idx val="0"/>
          <c:order val="0"/>
          <c:tx>
            <c:strRef>
              <c:f>'[03_MB_ceturksna-_gada_datu_tabulas_21.03.2017.xls]Sheet'!$P$8</c:f>
              <c:strCache>
                <c:ptCount val="1"/>
                <c:pt idx="0">
                  <c:v>Preces </c:v>
                </c:pt>
              </c:strCache>
            </c:strRef>
          </c:tx>
          <c:spPr>
            <a:solidFill>
              <a:schemeClr val="accent1"/>
            </a:solidFill>
            <a:ln w="3175">
              <a:solidFill>
                <a:schemeClr val="tx1"/>
              </a:solidFill>
            </a:ln>
            <a:effectLst/>
          </c:spPr>
          <c:invertIfNegative val="0"/>
          <c:cat>
            <c:numRef>
              <c:f>'[03_MB_ceturksna-_gada_datu_tabulas_21.03.2017.xls]Sheet'!$Q$7:$Y$7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'[03_MB_ceturksna-_gada_datu_tabulas_21.03.2017.xls]Sheet'!$Q$8:$Y$8</c:f>
              <c:numCache>
                <c:formatCode>#,##0</c:formatCode>
                <c:ptCount val="9"/>
                <c:pt idx="0">
                  <c:v>-4199.04</c:v>
                </c:pt>
                <c:pt idx="1">
                  <c:v>-1579.14</c:v>
                </c:pt>
                <c:pt idx="2">
                  <c:v>-1542.19</c:v>
                </c:pt>
                <c:pt idx="3">
                  <c:v>-2511.1500000000005</c:v>
                </c:pt>
                <c:pt idx="4">
                  <c:v>-2636.97</c:v>
                </c:pt>
                <c:pt idx="5">
                  <c:v>-2619.9799999999996</c:v>
                </c:pt>
                <c:pt idx="6">
                  <c:v>-2199.3700000000008</c:v>
                </c:pt>
                <c:pt idx="7">
                  <c:v>-2041.5499999999995</c:v>
                </c:pt>
                <c:pt idx="8">
                  <c:v>-1741.6200000000017</c:v>
                </c:pt>
              </c:numCache>
            </c:numRef>
          </c:val>
          <c:extLst>
            <c:ext xmlns:c16="http://schemas.microsoft.com/office/drawing/2014/chart" uri="{C3380CC4-5D6E-409C-BE32-E72D297353CC}">
              <c16:uniqueId val="{00000000-76D8-4EF6-8EBC-9E11B0485334}"/>
            </c:ext>
          </c:extLst>
        </c:ser>
        <c:ser>
          <c:idx val="1"/>
          <c:order val="1"/>
          <c:tx>
            <c:strRef>
              <c:f>'[03_MB_ceturksna-_gada_datu_tabulas_21.03.2017.xls]Sheet'!$P$9</c:f>
              <c:strCache>
                <c:ptCount val="1"/>
                <c:pt idx="0">
                  <c:v>Pakalpojumi</c:v>
                </c:pt>
              </c:strCache>
            </c:strRef>
          </c:tx>
          <c:spPr>
            <a:solidFill>
              <a:schemeClr val="accent2"/>
            </a:solidFill>
            <a:ln w="3175">
              <a:solidFill>
                <a:schemeClr val="tx1"/>
              </a:solidFill>
            </a:ln>
            <a:effectLst/>
          </c:spPr>
          <c:invertIfNegative val="0"/>
          <c:cat>
            <c:numRef>
              <c:f>'[03_MB_ceturksna-_gada_datu_tabulas_21.03.2017.xls]Sheet'!$Q$7:$Y$7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'[03_MB_ceturksna-_gada_datu_tabulas_21.03.2017.xls]Sheet'!$Q$9:$Y$9</c:f>
              <c:numCache>
                <c:formatCode>#,##0</c:formatCode>
                <c:ptCount val="9"/>
                <c:pt idx="0">
                  <c:v>1395.01</c:v>
                </c:pt>
                <c:pt idx="1">
                  <c:v>1430.3499999999997</c:v>
                </c:pt>
                <c:pt idx="2">
                  <c:v>1300.9999999999995</c:v>
                </c:pt>
                <c:pt idx="3">
                  <c:v>1480.42</c:v>
                </c:pt>
                <c:pt idx="4">
                  <c:v>1622.35</c:v>
                </c:pt>
                <c:pt idx="5">
                  <c:v>1773.19</c:v>
                </c:pt>
                <c:pt idx="6">
                  <c:v>1751.75</c:v>
                </c:pt>
                <c:pt idx="7">
                  <c:v>1765.9399999999998</c:v>
                </c:pt>
                <c:pt idx="8">
                  <c:v>1878.4399999999978</c:v>
                </c:pt>
              </c:numCache>
            </c:numRef>
          </c:val>
          <c:extLst>
            <c:ext xmlns:c16="http://schemas.microsoft.com/office/drawing/2014/chart" uri="{C3380CC4-5D6E-409C-BE32-E72D297353CC}">
              <c16:uniqueId val="{00000001-76D8-4EF6-8EBC-9E11B0485334}"/>
            </c:ext>
          </c:extLst>
        </c:ser>
        <c:ser>
          <c:idx val="2"/>
          <c:order val="2"/>
          <c:tx>
            <c:strRef>
              <c:f>'[03_MB_ceturksna-_gada_datu_tabulas_21.03.2017.xls]Sheet'!$P$10</c:f>
              <c:strCache>
                <c:ptCount val="1"/>
                <c:pt idx="0">
                  <c:v>Sākotnējie ienākumi</c:v>
                </c:pt>
              </c:strCache>
            </c:strRef>
          </c:tx>
          <c:spPr>
            <a:solidFill>
              <a:schemeClr val="accent3"/>
            </a:solidFill>
            <a:ln>
              <a:solidFill>
                <a:schemeClr val="tx1"/>
              </a:solidFill>
            </a:ln>
            <a:effectLst/>
          </c:spPr>
          <c:invertIfNegative val="0"/>
          <c:cat>
            <c:numRef>
              <c:f>'[03_MB_ceturksna-_gada_datu_tabulas_21.03.2017.xls]Sheet'!$Q$7:$Y$7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'[03_MB_ceturksna-_gada_datu_tabulas_21.03.2017.xls]Sheet'!$Q$10:$Y$10</c:f>
              <c:numCache>
                <c:formatCode>#,##0</c:formatCode>
                <c:ptCount val="9"/>
                <c:pt idx="0">
                  <c:v>-566.2399999999999</c:v>
                </c:pt>
                <c:pt idx="1">
                  <c:v>1152.6400000000001</c:v>
                </c:pt>
                <c:pt idx="2">
                  <c:v>188.48000000000002</c:v>
                </c:pt>
                <c:pt idx="3">
                  <c:v>-2.5400000000000702</c:v>
                </c:pt>
                <c:pt idx="4">
                  <c:v>-129.09999999999997</c:v>
                </c:pt>
                <c:pt idx="5">
                  <c:v>-74.21999999999997</c:v>
                </c:pt>
                <c:pt idx="6">
                  <c:v>-30.749999999999979</c:v>
                </c:pt>
                <c:pt idx="7">
                  <c:v>-58.310000000000088</c:v>
                </c:pt>
                <c:pt idx="8">
                  <c:v>57.970000000000212</c:v>
                </c:pt>
              </c:numCache>
            </c:numRef>
          </c:val>
          <c:extLst>
            <c:ext xmlns:c16="http://schemas.microsoft.com/office/drawing/2014/chart" uri="{C3380CC4-5D6E-409C-BE32-E72D297353CC}">
              <c16:uniqueId val="{00000002-76D8-4EF6-8EBC-9E11B0485334}"/>
            </c:ext>
          </c:extLst>
        </c:ser>
        <c:ser>
          <c:idx val="3"/>
          <c:order val="3"/>
          <c:tx>
            <c:strRef>
              <c:f>'[03_MB_ceturksna-_gada_datu_tabulas_21.03.2017.xls]Sheet'!$P$11</c:f>
              <c:strCache>
                <c:ptCount val="1"/>
                <c:pt idx="0">
                  <c:v>Otrreizējies ienākumi</c:v>
                </c:pt>
              </c:strCache>
            </c:strRef>
          </c:tx>
          <c:spPr>
            <a:solidFill>
              <a:schemeClr val="accent4"/>
            </a:solidFill>
            <a:ln>
              <a:solidFill>
                <a:schemeClr val="tx1"/>
              </a:solidFill>
            </a:ln>
            <a:effectLst/>
          </c:spPr>
          <c:invertIfNegative val="0"/>
          <c:cat>
            <c:numRef>
              <c:f>'[03_MB_ceturksna-_gada_datu_tabulas_21.03.2017.xls]Sheet'!$Q$7:$Y$7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'[03_MB_ceturksna-_gada_datu_tabulas_21.03.2017.xls]Sheet'!$Q$11:$Y$11</c:f>
              <c:numCache>
                <c:formatCode>#,##0</c:formatCode>
                <c:ptCount val="9"/>
                <c:pt idx="0">
                  <c:v>363.19000000000011</c:v>
                </c:pt>
                <c:pt idx="1">
                  <c:v>460.39999999999981</c:v>
                </c:pt>
                <c:pt idx="2">
                  <c:v>419.72</c:v>
                </c:pt>
                <c:pt idx="3">
                  <c:v>392.0499999999999</c:v>
                </c:pt>
                <c:pt idx="4">
                  <c:v>350.11999999999995</c:v>
                </c:pt>
                <c:pt idx="5">
                  <c:v>299.02</c:v>
                </c:pt>
                <c:pt idx="6">
                  <c:v>15.210000000000022</c:v>
                </c:pt>
                <c:pt idx="7">
                  <c:v>145.05999999999995</c:v>
                </c:pt>
                <c:pt idx="8">
                  <c:v>174.74000000000007</c:v>
                </c:pt>
              </c:numCache>
            </c:numRef>
          </c:val>
          <c:extLst>
            <c:ext xmlns:c16="http://schemas.microsoft.com/office/drawing/2014/chart" uri="{C3380CC4-5D6E-409C-BE32-E72D297353CC}">
              <c16:uniqueId val="{00000003-76D8-4EF6-8EBC-9E11B0485334}"/>
            </c:ext>
          </c:extLst>
        </c:ser>
        <c:dLbls>
          <c:showLegendKey val="0"/>
          <c:showVal val="0"/>
          <c:showCatName val="0"/>
          <c:showSerName val="0"/>
          <c:showPercent val="0"/>
          <c:showBubbleSize val="0"/>
        </c:dLbls>
        <c:gapWidth val="219"/>
        <c:overlap val="100"/>
        <c:axId val="264364952"/>
        <c:axId val="264365344"/>
      </c:barChart>
      <c:lineChart>
        <c:grouping val="standard"/>
        <c:varyColors val="0"/>
        <c:ser>
          <c:idx val="4"/>
          <c:order val="4"/>
          <c:tx>
            <c:strRef>
              <c:f>'[03_MB_ceturksna-_gada_datu_tabulas_21.03.2017.xls]Sheet'!$P$12</c:f>
              <c:strCache>
                <c:ptCount val="1"/>
                <c:pt idx="0">
                  <c:v>Tekošais un kapitāla konti, % no IKP (labā ass)</c:v>
                </c:pt>
              </c:strCache>
            </c:strRef>
          </c:tx>
          <c:spPr>
            <a:ln w="28575" cap="rnd">
              <a:solidFill>
                <a:schemeClr val="accent6">
                  <a:lumMod val="75000"/>
                </a:schemeClr>
              </a:solidFill>
              <a:round/>
            </a:ln>
            <a:effectLst/>
          </c:spPr>
          <c:marker>
            <c:symbol val="none"/>
          </c:marker>
          <c:cat>
            <c:numRef>
              <c:f>'[03_MB_ceturksna-_gada_datu_tabulas_21.03.2017.xls]Sheet'!$Q$7:$Y$7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'[03_MB_ceturksna-_gada_datu_tabulas_21.03.2017.xls]Sheet'!$Q$12:$Y$12</c:f>
              <c:numCache>
                <c:formatCode>0.0%</c:formatCode>
                <c:ptCount val="9"/>
                <c:pt idx="0">
                  <c:v>-0.10947658301519408</c:v>
                </c:pt>
                <c:pt idx="1">
                  <c:v>0.10175871970037274</c:v>
                </c:pt>
                <c:pt idx="2">
                  <c:v>4.0093364428050338E-2</c:v>
                </c:pt>
                <c:pt idx="3">
                  <c:v>-1.0469512003810725E-2</c:v>
                </c:pt>
                <c:pt idx="4">
                  <c:v>-6.4412177991084989E-3</c:v>
                </c:pt>
                <c:pt idx="5">
                  <c:v>-2.1486398881302932E-3</c:v>
                </c:pt>
                <c:pt idx="6">
                  <c:v>1.2294363618467393E-2</c:v>
                </c:pt>
                <c:pt idx="7">
                  <c:v>2.0334642590710297E-2</c:v>
                </c:pt>
                <c:pt idx="8">
                  <c:v>2.4750354021875556E-2</c:v>
                </c:pt>
              </c:numCache>
            </c:numRef>
          </c:val>
          <c:smooth val="1"/>
          <c:extLst>
            <c:ext xmlns:c16="http://schemas.microsoft.com/office/drawing/2014/chart" uri="{C3380CC4-5D6E-409C-BE32-E72D297353CC}">
              <c16:uniqueId val="{00000004-76D8-4EF6-8EBC-9E11B0485334}"/>
            </c:ext>
          </c:extLst>
        </c:ser>
        <c:ser>
          <c:idx val="5"/>
          <c:order val="5"/>
          <c:tx>
            <c:strRef>
              <c:f>'[03_MB_ceturksna-_gada_datu_tabulas_21.03.2017.xls]Sheet'!$P$13</c:f>
              <c:strCache>
                <c:ptCount val="1"/>
                <c:pt idx="0">
                  <c:v>Tekošais konts, % no IKP (labā ass)</c:v>
                </c:pt>
              </c:strCache>
            </c:strRef>
          </c:tx>
          <c:spPr>
            <a:ln w="28575" cap="rnd">
              <a:solidFill>
                <a:schemeClr val="accent6">
                  <a:lumMod val="60000"/>
                  <a:lumOff val="40000"/>
                </a:schemeClr>
              </a:solidFill>
              <a:prstDash val="dash"/>
              <a:round/>
            </a:ln>
            <a:effectLst/>
          </c:spPr>
          <c:marker>
            <c:symbol val="none"/>
          </c:marker>
          <c:cat>
            <c:numRef>
              <c:f>'[03_MB_ceturksna-_gada_datu_tabulas_21.03.2017.xls]Sheet'!$Q$7:$Y$7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'[03_MB_ceturksna-_gada_datu_tabulas_21.03.2017.xls]Sheet'!$Q$13:$Y$13</c:f>
              <c:numCache>
                <c:formatCode>0.0%</c:formatCode>
                <c:ptCount val="9"/>
                <c:pt idx="0">
                  <c:v>-0.124</c:v>
                </c:pt>
                <c:pt idx="1">
                  <c:v>7.8E-2</c:v>
                </c:pt>
                <c:pt idx="2">
                  <c:v>0.02</c:v>
                </c:pt>
                <c:pt idx="3">
                  <c:v>-3.2000000000000001E-2</c:v>
                </c:pt>
                <c:pt idx="4">
                  <c:v>-3.5999999999999997E-2</c:v>
                </c:pt>
                <c:pt idx="5">
                  <c:v>-2.7E-2</c:v>
                </c:pt>
                <c:pt idx="6">
                  <c:v>-0.02</c:v>
                </c:pt>
                <c:pt idx="7">
                  <c:v>-8.0000000000000002E-3</c:v>
                </c:pt>
                <c:pt idx="8">
                  <c:v>1.4999999999999999E-2</c:v>
                </c:pt>
              </c:numCache>
            </c:numRef>
          </c:val>
          <c:smooth val="1"/>
          <c:extLst>
            <c:ext xmlns:c16="http://schemas.microsoft.com/office/drawing/2014/chart" uri="{C3380CC4-5D6E-409C-BE32-E72D297353CC}">
              <c16:uniqueId val="{00000005-76D8-4EF6-8EBC-9E11B0485334}"/>
            </c:ext>
          </c:extLst>
        </c:ser>
        <c:dLbls>
          <c:showLegendKey val="0"/>
          <c:showVal val="0"/>
          <c:showCatName val="0"/>
          <c:showSerName val="0"/>
          <c:showPercent val="0"/>
          <c:showBubbleSize val="0"/>
        </c:dLbls>
        <c:marker val="1"/>
        <c:smooth val="0"/>
        <c:axId val="264363384"/>
        <c:axId val="264366128"/>
      </c:lineChart>
      <c:catAx>
        <c:axId val="2643649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64365344"/>
        <c:crosses val="autoZero"/>
        <c:auto val="1"/>
        <c:lblAlgn val="ctr"/>
        <c:lblOffset val="100"/>
        <c:noMultiLvlLbl val="0"/>
      </c:catAx>
      <c:valAx>
        <c:axId val="26436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64364952"/>
        <c:crosses val="autoZero"/>
        <c:crossBetween val="between"/>
      </c:valAx>
      <c:valAx>
        <c:axId val="26436612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64363384"/>
        <c:crosses val="max"/>
        <c:crossBetween val="between"/>
        <c:majorUnit val="3.0000000000000006E-2"/>
      </c:valAx>
      <c:catAx>
        <c:axId val="264363384"/>
        <c:scaling>
          <c:orientation val="minMax"/>
        </c:scaling>
        <c:delete val="1"/>
        <c:axPos val="b"/>
        <c:numFmt formatCode="General" sourceLinked="1"/>
        <c:majorTickMark val="out"/>
        <c:minorTickMark val="none"/>
        <c:tickLblPos val="nextTo"/>
        <c:crossAx val="264366128"/>
        <c:crosses val="autoZero"/>
        <c:auto val="1"/>
        <c:lblAlgn val="ctr"/>
        <c:lblOffset val="100"/>
        <c:noMultiLvlLbl val="0"/>
      </c:catAx>
      <c:spPr>
        <a:noFill/>
        <a:ln>
          <a:noFill/>
        </a:ln>
        <a:effectLst/>
      </c:spPr>
    </c:plotArea>
    <c:legend>
      <c:legendPos val="b"/>
      <c:layout>
        <c:manualLayout>
          <c:xMode val="edge"/>
          <c:yMode val="edge"/>
          <c:x val="6.4983242434790464E-2"/>
          <c:y val="0.78873783800280783"/>
          <c:w val="0.91331082787840823"/>
          <c:h val="0.186071818456321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BySource!$L$1</c:f>
              <c:strCache>
                <c:ptCount val="1"/>
                <c:pt idx="0">
                  <c:v>Pamatinflācija</c:v>
                </c:pt>
              </c:strCache>
            </c:strRef>
          </c:tx>
          <c:spPr>
            <a:solidFill>
              <a:schemeClr val="accent1"/>
            </a:solidFill>
            <a:ln>
              <a:noFill/>
            </a:ln>
          </c:spPr>
          <c:invertIfNegative val="0"/>
          <c:cat>
            <c:multiLvlStrRef>
              <c:f>BySource!$A$74:$B$159</c:f>
              <c:multiLvlStrCache>
                <c:ptCount val="8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lvl>
                <c:lvl>
                  <c:pt idx="0">
                    <c:v>2010</c:v>
                  </c:pt>
                  <c:pt idx="12">
                    <c:v>2011</c:v>
                  </c:pt>
                  <c:pt idx="24">
                    <c:v>2012</c:v>
                  </c:pt>
                  <c:pt idx="36">
                    <c:v>2013</c:v>
                  </c:pt>
                  <c:pt idx="48">
                    <c:v>2014</c:v>
                  </c:pt>
                  <c:pt idx="60">
                    <c:v>2015</c:v>
                  </c:pt>
                  <c:pt idx="72">
                    <c:v>2016</c:v>
                  </c:pt>
                  <c:pt idx="84">
                    <c:v>2017</c:v>
                  </c:pt>
                </c:lvl>
              </c:multiLvlStrCache>
            </c:multiLvlStrRef>
          </c:cat>
          <c:val>
            <c:numRef>
              <c:f>BySource!$L$74:$L$159</c:f>
              <c:numCache>
                <c:formatCode>0.0</c:formatCode>
                <c:ptCount val="86"/>
                <c:pt idx="0">
                  <c:v>-2.9863131245632522</c:v>
                </c:pt>
                <c:pt idx="1">
                  <c:v>-2.8500810898791173</c:v>
                </c:pt>
                <c:pt idx="2">
                  <c:v>-3.0614346309378124</c:v>
                </c:pt>
                <c:pt idx="3">
                  <c:v>-2.8624503363242018</c:v>
                </c:pt>
                <c:pt idx="4">
                  <c:v>-2.6600205151788381</c:v>
                </c:pt>
                <c:pt idx="5">
                  <c:v>-2.2328429731684123</c:v>
                </c:pt>
                <c:pt idx="6">
                  <c:v>-2.0587785401654459</c:v>
                </c:pt>
                <c:pt idx="7">
                  <c:v>-1.9068968346894908</c:v>
                </c:pt>
                <c:pt idx="8">
                  <c:v>-1.3447771335243521</c:v>
                </c:pt>
                <c:pt idx="9">
                  <c:v>-0.84412367086673323</c:v>
                </c:pt>
                <c:pt idx="10">
                  <c:v>-0.25484731751913364</c:v>
                </c:pt>
                <c:pt idx="11">
                  <c:v>-0.19100420127443646</c:v>
                </c:pt>
                <c:pt idx="12">
                  <c:v>-0.22384704296262092</c:v>
                </c:pt>
                <c:pt idx="13">
                  <c:v>0.16124148175607811</c:v>
                </c:pt>
                <c:pt idx="14">
                  <c:v>0.44880634462776747</c:v>
                </c:pt>
                <c:pt idx="15" formatCode="#,##0.0">
                  <c:v>0.81918074104148775</c:v>
                </c:pt>
                <c:pt idx="16" formatCode="#,##0.0">
                  <c:v>1.152592914043685</c:v>
                </c:pt>
                <c:pt idx="17" formatCode="#,##0.0">
                  <c:v>1.1377369501332648</c:v>
                </c:pt>
                <c:pt idx="18" formatCode="#,##0.0">
                  <c:v>0.83408321371840088</c:v>
                </c:pt>
                <c:pt idx="19" formatCode="#,##0.0">
                  <c:v>1.2255909623521906</c:v>
                </c:pt>
                <c:pt idx="20" formatCode="#,##0.0">
                  <c:v>0.89533646617668472</c:v>
                </c:pt>
                <c:pt idx="21" formatCode="#,##0.0">
                  <c:v>0.58348621846635051</c:v>
                </c:pt>
                <c:pt idx="22" formatCode="#,##0.0">
                  <c:v>0.31460013530175024</c:v>
                </c:pt>
                <c:pt idx="23" formatCode="#,##0.0">
                  <c:v>0.89761183728307503</c:v>
                </c:pt>
                <c:pt idx="24" formatCode="#,##0.0">
                  <c:v>1.0951064468252678</c:v>
                </c:pt>
                <c:pt idx="25" formatCode="#,##0.0">
                  <c:v>0.75845895056921853</c:v>
                </c:pt>
                <c:pt idx="26" formatCode="#,##0.0">
                  <c:v>0.69440277801430383</c:v>
                </c:pt>
                <c:pt idx="27" formatCode="#,##0.0">
                  <c:v>0.75676464365697105</c:v>
                </c:pt>
                <c:pt idx="28" formatCode="#,##0.0">
                  <c:v>0.51519556949613854</c:v>
                </c:pt>
                <c:pt idx="29" formatCode="#,##0.0">
                  <c:v>0.52667286637850941</c:v>
                </c:pt>
                <c:pt idx="30" formatCode="#,##0.0">
                  <c:v>0.94000633947199441</c:v>
                </c:pt>
                <c:pt idx="31" formatCode="#,##0.0">
                  <c:v>0.51895849358571378</c:v>
                </c:pt>
                <c:pt idx="32" formatCode="#,##0.0">
                  <c:v>0.46098808601710672</c:v>
                </c:pt>
                <c:pt idx="33" formatCode="#,##0.0">
                  <c:v>0.22223010379547145</c:v>
                </c:pt>
                <c:pt idx="34" formatCode="#,##0.0">
                  <c:v>0.58280743746785879</c:v>
                </c:pt>
                <c:pt idx="35" formatCode="#,##0.0">
                  <c:v>0.23418358005627582</c:v>
                </c:pt>
                <c:pt idx="36" formatCode="#,##0.0">
                  <c:v>0.14863811556982104</c:v>
                </c:pt>
                <c:pt idx="37" formatCode="#,##0.0">
                  <c:v>0.35190589027773445</c:v>
                </c:pt>
                <c:pt idx="38" formatCode="#,##0.0">
                  <c:v>0.44869318336796576</c:v>
                </c:pt>
                <c:pt idx="39" formatCode="#,##0.0">
                  <c:v>0.1389690923627146</c:v>
                </c:pt>
                <c:pt idx="40" formatCode="#,##0.0">
                  <c:v>0.15302012010475408</c:v>
                </c:pt>
                <c:pt idx="41" formatCode="#,##0.0">
                  <c:v>0.17886008382353685</c:v>
                </c:pt>
                <c:pt idx="42" formatCode="#,##0.0">
                  <c:v>-5.0772825881947148E-2</c:v>
                </c:pt>
                <c:pt idx="43" formatCode="#,##0.0">
                  <c:v>-3.4410437837126648E-2</c:v>
                </c:pt>
                <c:pt idx="44" formatCode="#,##0.0">
                  <c:v>0.14089585513270408</c:v>
                </c:pt>
                <c:pt idx="45" formatCode="#,##0.0">
                  <c:v>0.54894054315451257</c:v>
                </c:pt>
                <c:pt idx="46" formatCode="#,##0.0">
                  <c:v>1.2593907592300703E-2</c:v>
                </c:pt>
                <c:pt idx="47" formatCode="#,##0.0">
                  <c:v>9.9428802381561723E-2</c:v>
                </c:pt>
                <c:pt idx="48" formatCode="#,##0.0">
                  <c:v>0.48801821980363269</c:v>
                </c:pt>
                <c:pt idx="49" formatCode="#,##0.0">
                  <c:v>0.57142083604539284</c:v>
                </c:pt>
                <c:pt idx="50" formatCode="#,##0.0">
                  <c:v>0.52332008929592344</c:v>
                </c:pt>
                <c:pt idx="51" formatCode="#,##0.0">
                  <c:v>0.77242848254881824</c:v>
                </c:pt>
                <c:pt idx="52" formatCode="#,##0.0">
                  <c:v>0.80276931422065645</c:v>
                </c:pt>
                <c:pt idx="53" formatCode="#,##0.0">
                  <c:v>0.98462015967219774</c:v>
                </c:pt>
                <c:pt idx="54" formatCode="#,##0.0">
                  <c:v>0.8682799774114931</c:v>
                </c:pt>
                <c:pt idx="55" formatCode="#,##0.0">
                  <c:v>1.0726461064937283</c:v>
                </c:pt>
                <c:pt idx="56" formatCode="#,##0.0">
                  <c:v>1.0222635599800669</c:v>
                </c:pt>
                <c:pt idx="57" formatCode="#,##0.0">
                  <c:v>0.66987964973080294</c:v>
                </c:pt>
                <c:pt idx="58" formatCode="#,##0.0">
                  <c:v>1.1102884717528918</c:v>
                </c:pt>
                <c:pt idx="59" formatCode="#,##0.0">
                  <c:v>0.99016020156261475</c:v>
                </c:pt>
                <c:pt idx="60" formatCode="#,##0.0">
                  <c:v>0.65922703245154191</c:v>
                </c:pt>
                <c:pt idx="61" formatCode="#,##0.0">
                  <c:v>0.5114154077850942</c:v>
                </c:pt>
                <c:pt idx="62" formatCode="#,##0.0">
                  <c:v>0.67592314182225322</c:v>
                </c:pt>
                <c:pt idx="63" formatCode="#,##0.0">
                  <c:v>0.59126012490950208</c:v>
                </c:pt>
                <c:pt idx="64" formatCode="#,##0.0">
                  <c:v>0.78091483209483503</c:v>
                </c:pt>
                <c:pt idx="65" formatCode="#,##0.0">
                  <c:v>0.60989589013833978</c:v>
                </c:pt>
                <c:pt idx="66" formatCode="#,##0.0">
                  <c:v>0.36710090251858851</c:v>
                </c:pt>
                <c:pt idx="67" formatCode="#,##0.0">
                  <c:v>0.46217294810447795</c:v>
                </c:pt>
                <c:pt idx="68" formatCode="#,##0.0">
                  <c:v>0.30149994733582774</c:v>
                </c:pt>
                <c:pt idx="69" formatCode="#,##0.0">
                  <c:v>0.60453720383739551</c:v>
                </c:pt>
                <c:pt idx="70" formatCode="#,##0.0">
                  <c:v>0.49217522668943037</c:v>
                </c:pt>
                <c:pt idx="71" formatCode="#,##0.0">
                  <c:v>0.50113098641132869</c:v>
                </c:pt>
                <c:pt idx="72" formatCode="#,##0.0">
                  <c:v>0.22974621020138983</c:v>
                </c:pt>
                <c:pt idx="73" formatCode="#,##0.0">
                  <c:v>0.49760142564668969</c:v>
                </c:pt>
                <c:pt idx="74" formatCode="#,##0.0">
                  <c:v>0.64051454803596775</c:v>
                </c:pt>
                <c:pt idx="75" formatCode="#,##0.0">
                  <c:v>0.41964154916742591</c:v>
                </c:pt>
                <c:pt idx="76" formatCode="#,##0.0">
                  <c:v>0.70845128486779085</c:v>
                </c:pt>
                <c:pt idx="77">
                  <c:v>0.61495181553140155</c:v>
                </c:pt>
                <c:pt idx="78" formatCode="#,##0.0">
                  <c:v>0.84749419313534113</c:v>
                </c:pt>
                <c:pt idx="79">
                  <c:v>0.56602398032710011</c:v>
                </c:pt>
                <c:pt idx="80" formatCode="#,##0.0">
                  <c:v>0.70819976194658585</c:v>
                </c:pt>
                <c:pt idx="81" formatCode="#,##0.0">
                  <c:v>0.82366837655649527</c:v>
                </c:pt>
                <c:pt idx="82" formatCode="#,##0.0">
                  <c:v>0.88293763769473521</c:v>
                </c:pt>
                <c:pt idx="83" formatCode="#,##0.0">
                  <c:v>1.278105464679129</c:v>
                </c:pt>
                <c:pt idx="84" formatCode="#,##0.0">
                  <c:v>1.5407412072308968</c:v>
                </c:pt>
                <c:pt idx="85" formatCode="#,##0.0">
                  <c:v>1.4361403792811016</c:v>
                </c:pt>
              </c:numCache>
            </c:numRef>
          </c:val>
          <c:extLst>
            <c:ext xmlns:c16="http://schemas.microsoft.com/office/drawing/2014/chart" uri="{C3380CC4-5D6E-409C-BE32-E72D297353CC}">
              <c16:uniqueId val="{00000000-A3D1-4855-B7C4-545CAE456F56}"/>
            </c:ext>
          </c:extLst>
        </c:ser>
        <c:ser>
          <c:idx val="2"/>
          <c:order val="1"/>
          <c:tx>
            <c:strRef>
              <c:f>BySource!$D$1</c:f>
              <c:strCache>
                <c:ptCount val="1"/>
                <c:pt idx="0">
                  <c:v>Nodokļi</c:v>
                </c:pt>
              </c:strCache>
            </c:strRef>
          </c:tx>
          <c:spPr>
            <a:solidFill>
              <a:schemeClr val="accent6">
                <a:lumMod val="60000"/>
                <a:lumOff val="40000"/>
              </a:schemeClr>
            </a:solidFill>
            <a:ln>
              <a:noFill/>
            </a:ln>
          </c:spPr>
          <c:invertIfNegative val="0"/>
          <c:cat>
            <c:multiLvlStrRef>
              <c:f>BySource!$A$74:$B$159</c:f>
              <c:multiLvlStrCache>
                <c:ptCount val="8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lvl>
                <c:lvl>
                  <c:pt idx="0">
                    <c:v>2010</c:v>
                  </c:pt>
                  <c:pt idx="12">
                    <c:v>2011</c:v>
                  </c:pt>
                  <c:pt idx="24">
                    <c:v>2012</c:v>
                  </c:pt>
                  <c:pt idx="36">
                    <c:v>2013</c:v>
                  </c:pt>
                  <c:pt idx="48">
                    <c:v>2014</c:v>
                  </c:pt>
                  <c:pt idx="60">
                    <c:v>2015</c:v>
                  </c:pt>
                  <c:pt idx="72">
                    <c:v>2016</c:v>
                  </c:pt>
                  <c:pt idx="84">
                    <c:v>2017</c:v>
                  </c:pt>
                </c:lvl>
              </c:multiLvlStrCache>
            </c:multiLvlStrRef>
          </c:cat>
          <c:val>
            <c:numRef>
              <c:f>BySource!$D$74:$D$159</c:f>
              <c:numCache>
                <c:formatCode>#,##0.0</c:formatCode>
                <c:ptCount val="86"/>
                <c:pt idx="0">
                  <c:v>1.4825201889678841</c:v>
                </c:pt>
                <c:pt idx="1">
                  <c:v>0.12241757156856714</c:v>
                </c:pt>
                <c:pt idx="2">
                  <c:v>0.16713953223321854</c:v>
                </c:pt>
                <c:pt idx="3">
                  <c:v>0.15459443664879169</c:v>
                </c:pt>
                <c:pt idx="4">
                  <c:v>2.6647843428651008E-2</c:v>
                </c:pt>
                <c:pt idx="5">
                  <c:v>2.9257087552780892E-2</c:v>
                </c:pt>
                <c:pt idx="6">
                  <c:v>-0.10358486178865256</c:v>
                </c:pt>
                <c:pt idx="7">
                  <c:v>-6.0478619168691239E-3</c:v>
                </c:pt>
                <c:pt idx="8">
                  <c:v>-5.9832357090350285E-2</c:v>
                </c:pt>
                <c:pt idx="9">
                  <c:v>-4.1346362378247292E-2</c:v>
                </c:pt>
                <c:pt idx="10">
                  <c:v>-6.1915467612272401E-2</c:v>
                </c:pt>
                <c:pt idx="11">
                  <c:v>-6.4586558137458283E-2</c:v>
                </c:pt>
                <c:pt idx="12">
                  <c:v>1.21895202148945</c:v>
                </c:pt>
                <c:pt idx="13">
                  <c:v>1.1906404427433959</c:v>
                </c:pt>
                <c:pt idx="14">
                  <c:v>1.2200201356344476</c:v>
                </c:pt>
                <c:pt idx="15">
                  <c:v>1.2560338726480103</c:v>
                </c:pt>
                <c:pt idx="16">
                  <c:v>1.3832834884464074</c:v>
                </c:pt>
                <c:pt idx="17">
                  <c:v>1.556217412377281</c:v>
                </c:pt>
                <c:pt idx="18">
                  <c:v>1.7251986155246701</c:v>
                </c:pt>
                <c:pt idx="19">
                  <c:v>1.7420993046602495</c:v>
                </c:pt>
                <c:pt idx="20">
                  <c:v>1.787294684051588</c:v>
                </c:pt>
                <c:pt idx="21">
                  <c:v>1.7578085899223383</c:v>
                </c:pt>
                <c:pt idx="22">
                  <c:v>1.7618947335880986</c:v>
                </c:pt>
                <c:pt idx="23">
                  <c:v>1.7568386825547622</c:v>
                </c:pt>
                <c:pt idx="24">
                  <c:v>0.46806374672825335</c:v>
                </c:pt>
                <c:pt idx="25">
                  <c:v>0.46652984840902523</c:v>
                </c:pt>
                <c:pt idx="26">
                  <c:v>0.49363212185757899</c:v>
                </c:pt>
                <c:pt idx="27">
                  <c:v>0.45613892431346503</c:v>
                </c:pt>
                <c:pt idx="28">
                  <c:v>0.44347225641874211</c:v>
                </c:pt>
                <c:pt idx="29">
                  <c:v>0.28568221927844917</c:v>
                </c:pt>
                <c:pt idx="30">
                  <c:v>-0.57117749789838967</c:v>
                </c:pt>
                <c:pt idx="31">
                  <c:v>-0.5839650011748132</c:v>
                </c:pt>
                <c:pt idx="32">
                  <c:v>-0.59259075946331841</c:v>
                </c:pt>
                <c:pt idx="33">
                  <c:v>-0.5801596787979646</c:v>
                </c:pt>
                <c:pt idx="34">
                  <c:v>-0.57023665098201448</c:v>
                </c:pt>
                <c:pt idx="35">
                  <c:v>-0.59106147967700196</c:v>
                </c:pt>
                <c:pt idx="36">
                  <c:v>-0.57326163874749092</c:v>
                </c:pt>
                <c:pt idx="37">
                  <c:v>-0.58184793780053923</c:v>
                </c:pt>
                <c:pt idx="38">
                  <c:v>-0.57882307610217509</c:v>
                </c:pt>
                <c:pt idx="39">
                  <c:v>-0.57252855439464678</c:v>
                </c:pt>
                <c:pt idx="40">
                  <c:v>-0.56322061716489458</c:v>
                </c:pt>
                <c:pt idx="41">
                  <c:v>-0.57454238099869936</c:v>
                </c:pt>
                <c:pt idx="42">
                  <c:v>5.1750668290995172E-2</c:v>
                </c:pt>
                <c:pt idx="43">
                  <c:v>6.0233111130070238E-2</c:v>
                </c:pt>
                <c:pt idx="44">
                  <c:v>5.9067941541879332E-2</c:v>
                </c:pt>
                <c:pt idx="45">
                  <c:v>6.0327551868455398E-2</c:v>
                </c:pt>
                <c:pt idx="46">
                  <c:v>4.944693645874132E-2</c:v>
                </c:pt>
                <c:pt idx="47">
                  <c:v>5.9237256561306406E-2</c:v>
                </c:pt>
                <c:pt idx="48">
                  <c:v>0.14258665982098684</c:v>
                </c:pt>
                <c:pt idx="49">
                  <c:v>0.15299584875565486</c:v>
                </c:pt>
                <c:pt idx="50">
                  <c:v>0.11138957181231479</c:v>
                </c:pt>
                <c:pt idx="51">
                  <c:v>0.1124736761959122</c:v>
                </c:pt>
                <c:pt idx="52" formatCode="0.0">
                  <c:v>0.1120365221735975</c:v>
                </c:pt>
                <c:pt idx="53" formatCode="0.0">
                  <c:v>0.1016406399408476</c:v>
                </c:pt>
                <c:pt idx="54" formatCode="0.0">
                  <c:v>0.1213448575251741</c:v>
                </c:pt>
                <c:pt idx="55" formatCode="0.0">
                  <c:v>0.12302888134920753</c:v>
                </c:pt>
                <c:pt idx="56" formatCode="0.0">
                  <c:v>0.13395468966999058</c:v>
                </c:pt>
                <c:pt idx="57" formatCode="0.0">
                  <c:v>0.13265018481374291</c:v>
                </c:pt>
                <c:pt idx="58" formatCode="0.0">
                  <c:v>0.13370655665274622</c:v>
                </c:pt>
                <c:pt idx="59" formatCode="0.0">
                  <c:v>0.1321494079090435</c:v>
                </c:pt>
                <c:pt idx="60" formatCode="0.0">
                  <c:v>3.975110435042728E-2</c:v>
                </c:pt>
                <c:pt idx="61" formatCode="0.0">
                  <c:v>5.033931078827214E-2</c:v>
                </c:pt>
                <c:pt idx="62" formatCode="0.0">
                  <c:v>7.0846318374551132E-2</c:v>
                </c:pt>
                <c:pt idx="63" formatCode="0.0">
                  <c:v>7.0542368500414732E-2</c:v>
                </c:pt>
                <c:pt idx="64" formatCode="0.0">
                  <c:v>6.1167376763404668E-2</c:v>
                </c:pt>
                <c:pt idx="65" formatCode="0.0">
                  <c:v>8.0236226804220045E-2</c:v>
                </c:pt>
                <c:pt idx="66" formatCode="0.0">
                  <c:v>0.10923488517972091</c:v>
                </c:pt>
                <c:pt idx="67" formatCode="0.0">
                  <c:v>0.18064227301821667</c:v>
                </c:pt>
                <c:pt idx="68" formatCode="0.0">
                  <c:v>0.18937283258491089</c:v>
                </c:pt>
                <c:pt idx="69" formatCode="0.0">
                  <c:v>0.19008779667691877</c:v>
                </c:pt>
                <c:pt idx="70" formatCode="0.0">
                  <c:v>0.18065237371484022</c:v>
                </c:pt>
                <c:pt idx="71" formatCode="0.0">
                  <c:v>0.19234719652208021</c:v>
                </c:pt>
                <c:pt idx="72" formatCode="0.0">
                  <c:v>0.30259155774963187</c:v>
                </c:pt>
                <c:pt idx="73" formatCode="0.0">
                  <c:v>0.30131232542679465</c:v>
                </c:pt>
                <c:pt idx="74" formatCode="0.0">
                  <c:v>0.3392153772210027</c:v>
                </c:pt>
                <c:pt idx="75" formatCode="0.0">
                  <c:v>0.3472019756389777</c:v>
                </c:pt>
                <c:pt idx="76" formatCode="0.0">
                  <c:v>0.34428781865147862</c:v>
                </c:pt>
                <c:pt idx="77" formatCode="0.0">
                  <c:v>0.33499434167341136</c:v>
                </c:pt>
                <c:pt idx="78" formatCode="0.0">
                  <c:v>0.66819587114790302</c:v>
                </c:pt>
                <c:pt idx="79" formatCode="0.0">
                  <c:v>0.59149972755125901</c:v>
                </c:pt>
                <c:pt idx="80" formatCode="0.0">
                  <c:v>0.57226503211953439</c:v>
                </c:pt>
                <c:pt idx="81" formatCode="0.0">
                  <c:v>0.5716057465338098</c:v>
                </c:pt>
                <c:pt idx="82" formatCode="0.0">
                  <c:v>0.59203918491890217</c:v>
                </c:pt>
                <c:pt idx="83" formatCode="0.0">
                  <c:v>0.57268704576687313</c:v>
                </c:pt>
                <c:pt idx="84" formatCode="0.0">
                  <c:v>0.4208896258503847</c:v>
                </c:pt>
                <c:pt idx="85" formatCode="0.00">
                  <c:v>0.41957212712528946</c:v>
                </c:pt>
              </c:numCache>
            </c:numRef>
          </c:val>
          <c:extLst>
            <c:ext xmlns:c16="http://schemas.microsoft.com/office/drawing/2014/chart" uri="{C3380CC4-5D6E-409C-BE32-E72D297353CC}">
              <c16:uniqueId val="{00000001-A3D1-4855-B7C4-545CAE456F56}"/>
            </c:ext>
          </c:extLst>
        </c:ser>
        <c:ser>
          <c:idx val="1"/>
          <c:order val="2"/>
          <c:tx>
            <c:strRef>
              <c:f>BySource!$N$1</c:f>
              <c:strCache>
                <c:ptCount val="1"/>
                <c:pt idx="0">
                  <c:v>Importētā inflācija</c:v>
                </c:pt>
              </c:strCache>
            </c:strRef>
          </c:tx>
          <c:spPr>
            <a:solidFill>
              <a:srgbClr val="FF4F4F"/>
            </a:solidFill>
            <a:ln>
              <a:noFill/>
            </a:ln>
          </c:spPr>
          <c:invertIfNegative val="0"/>
          <c:cat>
            <c:multiLvlStrRef>
              <c:f>BySource!$A$74:$B$159</c:f>
              <c:multiLvlStrCache>
                <c:ptCount val="8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lvl>
                <c:lvl>
                  <c:pt idx="0">
                    <c:v>2010</c:v>
                  </c:pt>
                  <c:pt idx="12">
                    <c:v>2011</c:v>
                  </c:pt>
                  <c:pt idx="24">
                    <c:v>2012</c:v>
                  </c:pt>
                  <c:pt idx="36">
                    <c:v>2013</c:v>
                  </c:pt>
                  <c:pt idx="48">
                    <c:v>2014</c:v>
                  </c:pt>
                  <c:pt idx="60">
                    <c:v>2015</c:v>
                  </c:pt>
                  <c:pt idx="72">
                    <c:v>2016</c:v>
                  </c:pt>
                  <c:pt idx="84">
                    <c:v>2017</c:v>
                  </c:pt>
                </c:lvl>
              </c:multiLvlStrCache>
            </c:multiLvlStrRef>
          </c:cat>
          <c:val>
            <c:numRef>
              <c:f>BySource!$N$74:$N$159</c:f>
              <c:numCache>
                <c:formatCode>0.0</c:formatCode>
                <c:ptCount val="86"/>
                <c:pt idx="0">
                  <c:v>-1.5962070644046318</c:v>
                </c:pt>
                <c:pt idx="1">
                  <c:v>-1.4723364816894497</c:v>
                </c:pt>
                <c:pt idx="2">
                  <c:v>-1.005704901295406</c:v>
                </c:pt>
                <c:pt idx="3">
                  <c:v>7.8558996754098664E-3</c:v>
                </c:pt>
                <c:pt idx="4">
                  <c:v>0.33337267175018748</c:v>
                </c:pt>
                <c:pt idx="5">
                  <c:v>0.80358588561563138</c:v>
                </c:pt>
                <c:pt idx="6">
                  <c:v>1.5623634019540982</c:v>
                </c:pt>
                <c:pt idx="7">
                  <c:v>1.6129446966063599</c:v>
                </c:pt>
                <c:pt idx="8">
                  <c:v>1.8046094906147023</c:v>
                </c:pt>
                <c:pt idx="9">
                  <c:v>1.8854700332449805</c:v>
                </c:pt>
                <c:pt idx="10">
                  <c:v>2.2167627851314062</c:v>
                </c:pt>
                <c:pt idx="11">
                  <c:v>2.7555907594118949</c:v>
                </c:pt>
                <c:pt idx="12">
                  <c:v>2.7048950214731713</c:v>
                </c:pt>
                <c:pt idx="13">
                  <c:v>2.648118075500526</c:v>
                </c:pt>
                <c:pt idx="14">
                  <c:v>2.5311735197377851</c:v>
                </c:pt>
                <c:pt idx="15" formatCode="#,##0.0">
                  <c:v>2.4247853863105018</c:v>
                </c:pt>
                <c:pt idx="16" formatCode="#,##0.0">
                  <c:v>2.4641235975099076</c:v>
                </c:pt>
                <c:pt idx="17" formatCode="#,##0.0">
                  <c:v>2.1060456374894541</c:v>
                </c:pt>
                <c:pt idx="18" formatCode="#,##0.0">
                  <c:v>1.7407181707569288</c:v>
                </c:pt>
                <c:pt idx="19" formatCode="#,##0.0">
                  <c:v>1.7323097329875601</c:v>
                </c:pt>
                <c:pt idx="20" formatCode="#,##0.0">
                  <c:v>1.9173688497717269</c:v>
                </c:pt>
                <c:pt idx="21" formatCode="#,##0.0">
                  <c:v>2.0587051916113115</c:v>
                </c:pt>
                <c:pt idx="22" formatCode="#,##0.0">
                  <c:v>2.1235051311101514</c:v>
                </c:pt>
                <c:pt idx="23" formatCode="#,##0.0">
                  <c:v>1.3455494801621628</c:v>
                </c:pt>
                <c:pt idx="24" formatCode="#,##0.0">
                  <c:v>2.0368298064464785</c:v>
                </c:pt>
                <c:pt idx="25" formatCode="#,##0.0">
                  <c:v>2.1750112010217562</c:v>
                </c:pt>
                <c:pt idx="26" formatCode="#,##0.0">
                  <c:v>2.111965100128117</c:v>
                </c:pt>
                <c:pt idx="27" formatCode="#,##0.0">
                  <c:v>1.5870964320295637</c:v>
                </c:pt>
                <c:pt idx="28" formatCode="#,##0.0">
                  <c:v>1.2413321740851195</c:v>
                </c:pt>
                <c:pt idx="29" formatCode="#,##0.0">
                  <c:v>1.0876449143430413</c:v>
                </c:pt>
                <c:pt idx="30" formatCode="#,##0.0">
                  <c:v>1.3311711584263954</c:v>
                </c:pt>
                <c:pt idx="31" formatCode="#,##0.0">
                  <c:v>1.7650065075890993</c:v>
                </c:pt>
                <c:pt idx="32" formatCode="#,##0.0">
                  <c:v>1.9316026734462119</c:v>
                </c:pt>
                <c:pt idx="33" formatCode="#,##0.0">
                  <c:v>1.9579295750024932</c:v>
                </c:pt>
                <c:pt idx="34" formatCode="#,##0.0">
                  <c:v>1.5874292135141559</c:v>
                </c:pt>
                <c:pt idx="35" formatCode="#,##0.0">
                  <c:v>1.9568778996207261</c:v>
                </c:pt>
                <c:pt idx="36" formatCode="#,##0.0">
                  <c:v>1.0246235231776699</c:v>
                </c:pt>
                <c:pt idx="37" formatCode="#,##0.0">
                  <c:v>0.52994204752280472</c:v>
                </c:pt>
                <c:pt idx="38" formatCode="#,##0.0">
                  <c:v>0.33012989273420934</c:v>
                </c:pt>
                <c:pt idx="39" formatCode="#,##0.0">
                  <c:v>3.3559462031932163E-2</c:v>
                </c:pt>
                <c:pt idx="40" formatCode="#,##0.0">
                  <c:v>0.31020049706014052</c:v>
                </c:pt>
                <c:pt idx="41" formatCode="#,##0.0">
                  <c:v>0.59568229717516252</c:v>
                </c:pt>
                <c:pt idx="42" formatCode="#,##0.0">
                  <c:v>0.29902215759095196</c:v>
                </c:pt>
                <c:pt idx="43" formatCode="#,##0.0">
                  <c:v>-0.22582267329294359</c:v>
                </c:pt>
                <c:pt idx="44" formatCode="#,##0.0">
                  <c:v>-0.59996379667458344</c:v>
                </c:pt>
                <c:pt idx="45" formatCode="#,##0.0">
                  <c:v>-0.60926809502296797</c:v>
                </c:pt>
                <c:pt idx="46" formatCode="#,##0.0">
                  <c:v>-0.46204084405104207</c:v>
                </c:pt>
                <c:pt idx="47" formatCode="#,##0.0">
                  <c:v>-0.55866605894286814</c:v>
                </c:pt>
                <c:pt idx="48" formatCode="#,##0.0">
                  <c:v>-0.23060487962461954</c:v>
                </c:pt>
                <c:pt idx="49" formatCode="#,##0.0">
                  <c:v>-0.22441668480104771</c:v>
                </c:pt>
                <c:pt idx="50" formatCode="#,##0.0">
                  <c:v>-0.33470966110823819</c:v>
                </c:pt>
                <c:pt idx="51" formatCode="#,##0.0">
                  <c:v>-0.18490215874473043</c:v>
                </c:pt>
                <c:pt idx="52" formatCode="#,##0.0">
                  <c:v>-0.31480583639425391</c:v>
                </c:pt>
                <c:pt idx="53" formatCode="#,##0.0">
                  <c:v>-0.38626079961304538</c:v>
                </c:pt>
                <c:pt idx="54" formatCode="#,##0.0">
                  <c:v>-0.38962483493666722</c:v>
                </c:pt>
                <c:pt idx="55" formatCode="#,##0.0">
                  <c:v>-0.3956749878429357</c:v>
                </c:pt>
                <c:pt idx="56" formatCode="#,##0.0">
                  <c:v>-0.15621824965005751</c:v>
                </c:pt>
                <c:pt idx="57" formatCode="#,##0.0">
                  <c:v>-0.10252983454454592</c:v>
                </c:pt>
                <c:pt idx="58" formatCode="#,##0.0">
                  <c:v>-0.343995028405638</c:v>
                </c:pt>
                <c:pt idx="59" formatCode="#,##0.0">
                  <c:v>-0.9223096094716583</c:v>
                </c:pt>
                <c:pt idx="60" formatCode="#,##0.0">
                  <c:v>-1.0989781368019691</c:v>
                </c:pt>
                <c:pt idx="61" formatCode="#,##0.0">
                  <c:v>-0.66175471857336632</c:v>
                </c:pt>
                <c:pt idx="62" formatCode="#,##0.0">
                  <c:v>-0.34676946019680432</c:v>
                </c:pt>
                <c:pt idx="63" formatCode="#,##0.0">
                  <c:v>-0.16180249340991684</c:v>
                </c:pt>
                <c:pt idx="64" formatCode="#,##0.0">
                  <c:v>0.35791779114176031</c:v>
                </c:pt>
                <c:pt idx="65" formatCode="#,##0.0">
                  <c:v>-9.0132116942559903E-2</c:v>
                </c:pt>
                <c:pt idx="66" formatCode="#,##0.0">
                  <c:v>-0.47633578769830942</c:v>
                </c:pt>
                <c:pt idx="67" formatCode="#,##0.0">
                  <c:v>-0.54281522112269465</c:v>
                </c:pt>
                <c:pt idx="68" formatCode="#,##0.0">
                  <c:v>-0.99087277992073863</c:v>
                </c:pt>
                <c:pt idx="69" formatCode="#,##0.0">
                  <c:v>-0.99462500051431446</c:v>
                </c:pt>
                <c:pt idx="70" formatCode="#,##0.0">
                  <c:v>-0.67282760040427059</c:v>
                </c:pt>
                <c:pt idx="71" formatCode="#,##0.0">
                  <c:v>-0.39347818293340886</c:v>
                </c:pt>
                <c:pt idx="72" formatCode="#,##0.0">
                  <c:v>-0.83233776795102166</c:v>
                </c:pt>
                <c:pt idx="73" formatCode="#,##0.0">
                  <c:v>-1.2989137510734843</c:v>
                </c:pt>
                <c:pt idx="74" formatCode="#,##0.0">
                  <c:v>-1.5797299252569703</c:v>
                </c:pt>
                <c:pt idx="75" formatCode="#,##0.0">
                  <c:v>-1.5668435248064037</c:v>
                </c:pt>
                <c:pt idx="76" formatCode="#,##0.0">
                  <c:v>-1.8527391035192695</c:v>
                </c:pt>
                <c:pt idx="77" formatCode="#,##0.0">
                  <c:v>-1.4499461572048129</c:v>
                </c:pt>
                <c:pt idx="78" formatCode="#,##0.0">
                  <c:v>-1.4156900642832442</c:v>
                </c:pt>
                <c:pt idx="79" formatCode="#,##0.0">
                  <c:v>-1.1575237078783591</c:v>
                </c:pt>
                <c:pt idx="80" formatCode="#,##0.0">
                  <c:v>-0.68046479406612026</c:v>
                </c:pt>
                <c:pt idx="81" formatCode="#,##0.0">
                  <c:v>-0.39527412309030507</c:v>
                </c:pt>
                <c:pt idx="82" formatCode="#,##0.0">
                  <c:v>-0.17497682261363734</c:v>
                </c:pt>
                <c:pt idx="83" formatCode="#,##0.0">
                  <c:v>0.34920748955399811</c:v>
                </c:pt>
                <c:pt idx="84" formatCode="#,##0.0">
                  <c:v>0.93836916691871841</c:v>
                </c:pt>
                <c:pt idx="85" formatCode="#,##0.0">
                  <c:v>1.4442874935936088</c:v>
                </c:pt>
              </c:numCache>
            </c:numRef>
          </c:val>
          <c:extLst>
            <c:ext xmlns:c16="http://schemas.microsoft.com/office/drawing/2014/chart" uri="{C3380CC4-5D6E-409C-BE32-E72D297353CC}">
              <c16:uniqueId val="{00000002-A3D1-4855-B7C4-545CAE456F56}"/>
            </c:ext>
          </c:extLst>
        </c:ser>
        <c:dLbls>
          <c:showLegendKey val="0"/>
          <c:showVal val="0"/>
          <c:showCatName val="0"/>
          <c:showSerName val="0"/>
          <c:showPercent val="0"/>
          <c:showBubbleSize val="0"/>
        </c:dLbls>
        <c:gapWidth val="22"/>
        <c:overlap val="100"/>
        <c:axId val="265402480"/>
        <c:axId val="265402088"/>
      </c:barChart>
      <c:lineChart>
        <c:grouping val="standard"/>
        <c:varyColors val="0"/>
        <c:ser>
          <c:idx val="3"/>
          <c:order val="3"/>
          <c:tx>
            <c:strRef>
              <c:f>BySource!$C$1</c:f>
              <c:strCache>
                <c:ptCount val="1"/>
                <c:pt idx="0">
                  <c:v>PCI</c:v>
                </c:pt>
              </c:strCache>
            </c:strRef>
          </c:tx>
          <c:spPr>
            <a:ln w="19050">
              <a:solidFill>
                <a:schemeClr val="tx1"/>
              </a:solidFill>
              <a:prstDash val="dash"/>
            </a:ln>
            <a:effectLst/>
          </c:spPr>
          <c:marker>
            <c:symbol val="none"/>
          </c:marker>
          <c:val>
            <c:numRef>
              <c:f>BySource!$C$74:$C$159</c:f>
              <c:numCache>
                <c:formatCode>#,##0.0</c:formatCode>
                <c:ptCount val="86"/>
                <c:pt idx="0">
                  <c:v>-3.1</c:v>
                </c:pt>
                <c:pt idx="1">
                  <c:v>-4.2</c:v>
                </c:pt>
                <c:pt idx="2">
                  <c:v>-3.9</c:v>
                </c:pt>
                <c:pt idx="3">
                  <c:v>-2.7</c:v>
                </c:pt>
                <c:pt idx="4">
                  <c:v>-2.2999999999999998</c:v>
                </c:pt>
                <c:pt idx="5">
                  <c:v>-1.4</c:v>
                </c:pt>
                <c:pt idx="6">
                  <c:v>-0.6</c:v>
                </c:pt>
                <c:pt idx="7">
                  <c:v>-0.3</c:v>
                </c:pt>
                <c:pt idx="8">
                  <c:v>0.4</c:v>
                </c:pt>
                <c:pt idx="9">
                  <c:v>1</c:v>
                </c:pt>
                <c:pt idx="10">
                  <c:v>1.9</c:v>
                </c:pt>
                <c:pt idx="11">
                  <c:v>2.5</c:v>
                </c:pt>
                <c:pt idx="12">
                  <c:v>3.7</c:v>
                </c:pt>
                <c:pt idx="13">
                  <c:v>4</c:v>
                </c:pt>
                <c:pt idx="14">
                  <c:v>4.2</c:v>
                </c:pt>
                <c:pt idx="15">
                  <c:v>4.5</c:v>
                </c:pt>
                <c:pt idx="16">
                  <c:v>5</c:v>
                </c:pt>
                <c:pt idx="17">
                  <c:v>4.8</c:v>
                </c:pt>
                <c:pt idx="18">
                  <c:v>4.3</c:v>
                </c:pt>
                <c:pt idx="19">
                  <c:v>4.7</c:v>
                </c:pt>
                <c:pt idx="20">
                  <c:v>4.5999999999999996</c:v>
                </c:pt>
                <c:pt idx="21">
                  <c:v>4.4000000000000004</c:v>
                </c:pt>
                <c:pt idx="22">
                  <c:v>4.2</c:v>
                </c:pt>
                <c:pt idx="23">
                  <c:v>4</c:v>
                </c:pt>
                <c:pt idx="24">
                  <c:v>3.6</c:v>
                </c:pt>
                <c:pt idx="25">
                  <c:v>3.4</c:v>
                </c:pt>
                <c:pt idx="26">
                  <c:v>3.3</c:v>
                </c:pt>
                <c:pt idx="27">
                  <c:v>2.8</c:v>
                </c:pt>
                <c:pt idx="28">
                  <c:v>2.2000000000000002</c:v>
                </c:pt>
                <c:pt idx="29">
                  <c:v>1.9</c:v>
                </c:pt>
                <c:pt idx="30">
                  <c:v>1.7</c:v>
                </c:pt>
                <c:pt idx="31">
                  <c:v>1.7</c:v>
                </c:pt>
                <c:pt idx="32">
                  <c:v>1.8</c:v>
                </c:pt>
                <c:pt idx="33">
                  <c:v>1.6</c:v>
                </c:pt>
                <c:pt idx="34">
                  <c:v>1.6</c:v>
                </c:pt>
                <c:pt idx="35">
                  <c:v>1.6</c:v>
                </c:pt>
                <c:pt idx="36">
                  <c:v>0.6</c:v>
                </c:pt>
                <c:pt idx="37">
                  <c:v>0.3</c:v>
                </c:pt>
                <c:pt idx="38">
                  <c:v>0.2</c:v>
                </c:pt>
                <c:pt idx="39">
                  <c:v>-0.4</c:v>
                </c:pt>
                <c:pt idx="40">
                  <c:v>-0.1</c:v>
                </c:pt>
                <c:pt idx="41">
                  <c:v>0.2</c:v>
                </c:pt>
                <c:pt idx="42">
                  <c:v>0.3</c:v>
                </c:pt>
                <c:pt idx="43">
                  <c:v>-0.2</c:v>
                </c:pt>
                <c:pt idx="44">
                  <c:v>-0.4</c:v>
                </c:pt>
                <c:pt idx="45">
                  <c:v>0</c:v>
                </c:pt>
                <c:pt idx="46">
                  <c:v>-0.4</c:v>
                </c:pt>
                <c:pt idx="47">
                  <c:v>-0.4</c:v>
                </c:pt>
                <c:pt idx="48" formatCode="0.0">
                  <c:v>0.4</c:v>
                </c:pt>
                <c:pt idx="49" formatCode="0.0">
                  <c:v>0.5</c:v>
                </c:pt>
                <c:pt idx="50" formatCode="0.0">
                  <c:v>0.3</c:v>
                </c:pt>
                <c:pt idx="51" formatCode="0.0">
                  <c:v>0.7</c:v>
                </c:pt>
                <c:pt idx="52" formatCode="0.0">
                  <c:v>0.6</c:v>
                </c:pt>
                <c:pt idx="53" formatCode="0.0">
                  <c:v>0.7</c:v>
                </c:pt>
                <c:pt idx="54" formatCode="0.0">
                  <c:v>0.6</c:v>
                </c:pt>
                <c:pt idx="55" formatCode="0.0">
                  <c:v>0.8</c:v>
                </c:pt>
                <c:pt idx="56" formatCode="0.0">
                  <c:v>1</c:v>
                </c:pt>
                <c:pt idx="57" formatCode="0.0">
                  <c:v>0.7</c:v>
                </c:pt>
                <c:pt idx="58" formatCode="0.0">
                  <c:v>0.9</c:v>
                </c:pt>
                <c:pt idx="59" formatCode="0.0">
                  <c:v>0.2</c:v>
                </c:pt>
                <c:pt idx="60" formatCode="0.0">
                  <c:v>-0.4</c:v>
                </c:pt>
                <c:pt idx="61" formatCode="0.0">
                  <c:v>-0.1</c:v>
                </c:pt>
                <c:pt idx="62" formatCode="0.0">
                  <c:v>0.4</c:v>
                </c:pt>
                <c:pt idx="63" formatCode="0.0">
                  <c:v>0.5</c:v>
                </c:pt>
                <c:pt idx="64" formatCode="0.0">
                  <c:v>1.2</c:v>
                </c:pt>
                <c:pt idx="65" formatCode="0.0">
                  <c:v>0.6</c:v>
                </c:pt>
                <c:pt idx="66" formatCode="0.0">
                  <c:v>0</c:v>
                </c:pt>
                <c:pt idx="67" formatCode="0.0">
                  <c:v>0.1</c:v>
                </c:pt>
                <c:pt idx="68" formatCode="0.0">
                  <c:v>-0.5</c:v>
                </c:pt>
                <c:pt idx="69" formatCode="0.0">
                  <c:v>-0.2</c:v>
                </c:pt>
                <c:pt idx="70" formatCode="0.0">
                  <c:v>0</c:v>
                </c:pt>
                <c:pt idx="71" formatCode="0.0">
                  <c:v>0.3</c:v>
                </c:pt>
                <c:pt idx="72" formatCode="0.0">
                  <c:v>-0.3</c:v>
                </c:pt>
                <c:pt idx="73" formatCode="0.0">
                  <c:v>-0.5</c:v>
                </c:pt>
                <c:pt idx="74" formatCode="0.0">
                  <c:v>-0.6</c:v>
                </c:pt>
                <c:pt idx="75" formatCode="0.0">
                  <c:v>-0.8</c:v>
                </c:pt>
                <c:pt idx="76" formatCode="0.0">
                  <c:v>-0.8</c:v>
                </c:pt>
                <c:pt idx="77" formatCode="0.0">
                  <c:v>-0.5</c:v>
                </c:pt>
                <c:pt idx="78" formatCode="0.0">
                  <c:v>0.1</c:v>
                </c:pt>
                <c:pt idx="79" formatCode="0.0">
                  <c:v>0</c:v>
                </c:pt>
                <c:pt idx="80" formatCode="0.0">
                  <c:v>0.6</c:v>
                </c:pt>
                <c:pt idx="81" formatCode="0.0">
                  <c:v>1</c:v>
                </c:pt>
                <c:pt idx="82" formatCode="0.0">
                  <c:v>1.3</c:v>
                </c:pt>
                <c:pt idx="83" formatCode="0.0">
                  <c:v>2.2000000000000002</c:v>
                </c:pt>
                <c:pt idx="84" formatCode="0.0">
                  <c:v>2.9</c:v>
                </c:pt>
                <c:pt idx="85" formatCode="0.0">
                  <c:v>3.3</c:v>
                </c:pt>
              </c:numCache>
            </c:numRef>
          </c:val>
          <c:smooth val="0"/>
          <c:extLst>
            <c:ext xmlns:c16="http://schemas.microsoft.com/office/drawing/2014/chart" uri="{C3380CC4-5D6E-409C-BE32-E72D297353CC}">
              <c16:uniqueId val="{00000003-A3D1-4855-B7C4-545CAE456F56}"/>
            </c:ext>
          </c:extLst>
        </c:ser>
        <c:dLbls>
          <c:showLegendKey val="0"/>
          <c:showVal val="0"/>
          <c:showCatName val="0"/>
          <c:showSerName val="0"/>
          <c:showPercent val="0"/>
          <c:showBubbleSize val="0"/>
        </c:dLbls>
        <c:marker val="1"/>
        <c:smooth val="0"/>
        <c:axId val="265402480"/>
        <c:axId val="265402088"/>
      </c:lineChart>
      <c:catAx>
        <c:axId val="265402480"/>
        <c:scaling>
          <c:orientation val="minMax"/>
        </c:scaling>
        <c:delete val="0"/>
        <c:axPos val="b"/>
        <c:numFmt formatCode="General" sourceLinked="0"/>
        <c:majorTickMark val="out"/>
        <c:minorTickMark val="none"/>
        <c:tickLblPos val="low"/>
        <c:spPr>
          <a:ln>
            <a:solidFill>
              <a:schemeClr val="tx1"/>
            </a:solidFill>
          </a:ln>
        </c:spPr>
        <c:txPr>
          <a:bodyPr/>
          <a:lstStyle/>
          <a:p>
            <a:pPr>
              <a:defRPr b="0"/>
            </a:pPr>
            <a:endParaRPr lang="lv-LV"/>
          </a:p>
        </c:txPr>
        <c:crossAx val="265402088"/>
        <c:crosses val="autoZero"/>
        <c:auto val="1"/>
        <c:lblAlgn val="ctr"/>
        <c:lblOffset val="100"/>
        <c:noMultiLvlLbl val="0"/>
      </c:catAx>
      <c:valAx>
        <c:axId val="265402088"/>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tx1"/>
            </a:solidFill>
          </a:ln>
        </c:spPr>
        <c:txPr>
          <a:bodyPr/>
          <a:lstStyle/>
          <a:p>
            <a:pPr>
              <a:defRPr b="1"/>
            </a:pPr>
            <a:endParaRPr lang="lv-LV"/>
          </a:p>
        </c:txPr>
        <c:crossAx val="265402480"/>
        <c:crosses val="autoZero"/>
        <c:crossBetween val="between"/>
        <c:majorUnit val="1"/>
      </c:valAx>
      <c:spPr>
        <a:noFill/>
      </c:spPr>
    </c:plotArea>
    <c:legend>
      <c:legendPos val="b"/>
      <c:layout/>
      <c:overlay val="0"/>
      <c:txPr>
        <a:bodyPr/>
        <a:lstStyle/>
        <a:p>
          <a:pPr>
            <a:defRPr b="0"/>
          </a:pPr>
          <a:endParaRPr lang="lv-LV"/>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03481782451177E-2"/>
          <c:y val="5.1400554097404488E-2"/>
          <c:w val="0.91690723525920925"/>
          <c:h val="0.69198690369889326"/>
        </c:manualLayout>
      </c:layout>
      <c:barChart>
        <c:barDir val="col"/>
        <c:grouping val="clustered"/>
        <c:varyColors val="0"/>
        <c:ser>
          <c:idx val="0"/>
          <c:order val="0"/>
          <c:tx>
            <c:strRef>
              <c:f>'2 graf'!$J$3</c:f>
              <c:strCache>
                <c:ptCount val="1"/>
                <c:pt idx="0">
                  <c:v>Nodarbināto skaits, tūkstoši (labā ass)</c:v>
                </c:pt>
              </c:strCache>
            </c:strRef>
          </c:tx>
          <c:invertIfNegative val="0"/>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graf'!$K$3:$W$3</c:f>
              <c:numCache>
                <c:formatCode>0</c:formatCode>
                <c:ptCount val="13"/>
                <c:pt idx="0">
                  <c:v>1054.9000000000001</c:v>
                </c:pt>
                <c:pt idx="1">
                  <c:v>908.5</c:v>
                </c:pt>
                <c:pt idx="2">
                  <c:v>850.7</c:v>
                </c:pt>
                <c:pt idx="3">
                  <c:v>861.6</c:v>
                </c:pt>
                <c:pt idx="4">
                  <c:v>875.6</c:v>
                </c:pt>
                <c:pt idx="5">
                  <c:v>893.9</c:v>
                </c:pt>
                <c:pt idx="6">
                  <c:v>884.6</c:v>
                </c:pt>
                <c:pt idx="7">
                  <c:v>896.1</c:v>
                </c:pt>
                <c:pt idx="8">
                  <c:v>893.3</c:v>
                </c:pt>
                <c:pt idx="9">
                  <c:v>895.08659999999998</c:v>
                </c:pt>
                <c:pt idx="10">
                  <c:v>896.8767732</c:v>
                </c:pt>
                <c:pt idx="11">
                  <c:v>896.8767732</c:v>
                </c:pt>
                <c:pt idx="12">
                  <c:v>896.8767732</c:v>
                </c:pt>
              </c:numCache>
            </c:numRef>
          </c:val>
          <c:extLst>
            <c:ext xmlns:c16="http://schemas.microsoft.com/office/drawing/2014/chart" uri="{C3380CC4-5D6E-409C-BE32-E72D297353CC}">
              <c16:uniqueId val="{00000000-383D-408B-B21A-0EC59BBDDEA6}"/>
            </c:ext>
          </c:extLst>
        </c:ser>
        <c:dLbls>
          <c:showLegendKey val="0"/>
          <c:showVal val="0"/>
          <c:showCatName val="0"/>
          <c:showSerName val="0"/>
          <c:showPercent val="0"/>
          <c:showBubbleSize val="0"/>
        </c:dLbls>
        <c:gapWidth val="150"/>
        <c:axId val="270347616"/>
        <c:axId val="265400520"/>
      </c:barChart>
      <c:lineChart>
        <c:grouping val="standard"/>
        <c:varyColors val="0"/>
        <c:ser>
          <c:idx val="1"/>
          <c:order val="1"/>
          <c:tx>
            <c:strRef>
              <c:f>'2 graf'!$J$4</c:f>
              <c:strCache>
                <c:ptCount val="1"/>
                <c:pt idx="0">
                  <c:v>Darba meklētāji, % no ekonomiski aktīvajiem iedzīvotājiem (kreisā ass)</c:v>
                </c:pt>
              </c:strCache>
            </c:strRef>
          </c:tx>
          <c:spPr>
            <a:ln>
              <a:solidFill>
                <a:srgbClr val="FF0000"/>
              </a:solidFill>
              <a:prstDash val="dash"/>
            </a:ln>
          </c:spPr>
          <c:marker>
            <c:symbol val="none"/>
          </c:marker>
          <c:dPt>
            <c:idx val="0"/>
            <c:bubble3D val="0"/>
            <c:spPr>
              <a:ln>
                <a:solidFill>
                  <a:srgbClr val="FF0000"/>
                </a:solidFill>
                <a:prstDash val="solid"/>
              </a:ln>
            </c:spPr>
            <c:extLst>
              <c:ext xmlns:c16="http://schemas.microsoft.com/office/drawing/2014/chart" uri="{C3380CC4-5D6E-409C-BE32-E72D297353CC}">
                <c16:uniqueId val="{00000002-383D-408B-B21A-0EC59BBDDEA6}"/>
              </c:ext>
            </c:extLst>
          </c:dPt>
          <c:dPt>
            <c:idx val="1"/>
            <c:bubble3D val="0"/>
            <c:spPr>
              <a:ln>
                <a:solidFill>
                  <a:srgbClr val="FF0000"/>
                </a:solidFill>
                <a:prstDash val="solid"/>
              </a:ln>
            </c:spPr>
            <c:extLst>
              <c:ext xmlns:c16="http://schemas.microsoft.com/office/drawing/2014/chart" uri="{C3380CC4-5D6E-409C-BE32-E72D297353CC}">
                <c16:uniqueId val="{00000004-383D-408B-B21A-0EC59BBDDEA6}"/>
              </c:ext>
            </c:extLst>
          </c:dPt>
          <c:dPt>
            <c:idx val="2"/>
            <c:bubble3D val="0"/>
            <c:spPr>
              <a:ln>
                <a:solidFill>
                  <a:srgbClr val="FF0000"/>
                </a:solidFill>
                <a:prstDash val="solid"/>
              </a:ln>
            </c:spPr>
            <c:extLst>
              <c:ext xmlns:c16="http://schemas.microsoft.com/office/drawing/2014/chart" uri="{C3380CC4-5D6E-409C-BE32-E72D297353CC}">
                <c16:uniqueId val="{00000006-383D-408B-B21A-0EC59BBDDEA6}"/>
              </c:ext>
            </c:extLst>
          </c:dPt>
          <c:dPt>
            <c:idx val="3"/>
            <c:bubble3D val="0"/>
            <c:spPr>
              <a:ln>
                <a:solidFill>
                  <a:srgbClr val="FF0000"/>
                </a:solidFill>
                <a:prstDash val="solid"/>
              </a:ln>
            </c:spPr>
            <c:extLst>
              <c:ext xmlns:c16="http://schemas.microsoft.com/office/drawing/2014/chart" uri="{C3380CC4-5D6E-409C-BE32-E72D297353CC}">
                <c16:uniqueId val="{00000008-383D-408B-B21A-0EC59BBDDEA6}"/>
              </c:ext>
            </c:extLst>
          </c:dPt>
          <c:dPt>
            <c:idx val="4"/>
            <c:bubble3D val="0"/>
            <c:spPr>
              <a:ln>
                <a:solidFill>
                  <a:srgbClr val="FF0000"/>
                </a:solidFill>
                <a:prstDash val="solid"/>
              </a:ln>
            </c:spPr>
            <c:extLst>
              <c:ext xmlns:c16="http://schemas.microsoft.com/office/drawing/2014/chart" uri="{C3380CC4-5D6E-409C-BE32-E72D297353CC}">
                <c16:uniqueId val="{0000000A-383D-408B-B21A-0EC59BBDDEA6}"/>
              </c:ext>
            </c:extLst>
          </c:dPt>
          <c:dPt>
            <c:idx val="5"/>
            <c:bubble3D val="0"/>
            <c:spPr>
              <a:ln>
                <a:solidFill>
                  <a:srgbClr val="FF0000"/>
                </a:solidFill>
                <a:prstDash val="solid"/>
              </a:ln>
            </c:spPr>
            <c:extLst>
              <c:ext xmlns:c16="http://schemas.microsoft.com/office/drawing/2014/chart" uri="{C3380CC4-5D6E-409C-BE32-E72D297353CC}">
                <c16:uniqueId val="{0000000C-383D-408B-B21A-0EC59BBDDEA6}"/>
              </c:ext>
            </c:extLst>
          </c:dPt>
          <c:dPt>
            <c:idx val="6"/>
            <c:bubble3D val="0"/>
            <c:spPr>
              <a:ln>
                <a:solidFill>
                  <a:srgbClr val="FF0000"/>
                </a:solidFill>
                <a:prstDash val="solid"/>
              </a:ln>
            </c:spPr>
            <c:extLst>
              <c:ext xmlns:c16="http://schemas.microsoft.com/office/drawing/2014/chart" uri="{C3380CC4-5D6E-409C-BE32-E72D297353CC}">
                <c16:uniqueId val="{0000000E-383D-408B-B21A-0EC59BBDDEA6}"/>
              </c:ext>
            </c:extLst>
          </c:dPt>
          <c:dPt>
            <c:idx val="7"/>
            <c:bubble3D val="0"/>
            <c:spPr>
              <a:ln>
                <a:solidFill>
                  <a:srgbClr val="FF0000"/>
                </a:solidFill>
                <a:prstDash val="solid"/>
              </a:ln>
            </c:spPr>
            <c:extLst>
              <c:ext xmlns:c16="http://schemas.microsoft.com/office/drawing/2014/chart" uri="{C3380CC4-5D6E-409C-BE32-E72D297353CC}">
                <c16:uniqueId val="{00000010-383D-408B-B21A-0EC59BBDDEA6}"/>
              </c:ext>
            </c:extLst>
          </c:dPt>
          <c:dPt>
            <c:idx val="8"/>
            <c:bubble3D val="0"/>
            <c:spPr>
              <a:ln>
                <a:solidFill>
                  <a:srgbClr val="FF0000"/>
                </a:solidFill>
                <a:prstDash val="solid"/>
              </a:ln>
            </c:spPr>
            <c:extLst>
              <c:ext xmlns:c16="http://schemas.microsoft.com/office/drawing/2014/chart" uri="{C3380CC4-5D6E-409C-BE32-E72D297353CC}">
                <c16:uniqueId val="{00000012-383D-408B-B21A-0EC59BBDDEA6}"/>
              </c:ext>
            </c:extLst>
          </c:dPt>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graf'!$K$4:$W$4</c:f>
              <c:numCache>
                <c:formatCode>0.0</c:formatCode>
                <c:ptCount val="13"/>
                <c:pt idx="0">
                  <c:v>7.740073465104075</c:v>
                </c:pt>
                <c:pt idx="1">
                  <c:v>17.514072998002543</c:v>
                </c:pt>
                <c:pt idx="2">
                  <c:v>19.479413156649315</c:v>
                </c:pt>
                <c:pt idx="3">
                  <c:v>16.203073332036571</c:v>
                </c:pt>
                <c:pt idx="4">
                  <c:v>15.048025613660618</c:v>
                </c:pt>
                <c:pt idx="5">
                  <c:v>11.870255348516219</c:v>
                </c:pt>
                <c:pt idx="6">
                  <c:v>10.844587784720822</c:v>
                </c:pt>
                <c:pt idx="7">
                  <c:v>9.8762948808206765</c:v>
                </c:pt>
                <c:pt idx="8">
                  <c:v>9.6398948007283032</c:v>
                </c:pt>
                <c:pt idx="9">
                  <c:v>9.4281697099225674</c:v>
                </c:pt>
                <c:pt idx="10">
                  <c:v>8.9217053200261276</c:v>
                </c:pt>
                <c:pt idx="11">
                  <c:v>8.3618256013521197</c:v>
                </c:pt>
                <c:pt idx="12">
                  <c:v>8.1910544690794858</c:v>
                </c:pt>
              </c:numCache>
            </c:numRef>
          </c:val>
          <c:smooth val="1"/>
          <c:extLst>
            <c:ext xmlns:c16="http://schemas.microsoft.com/office/drawing/2014/chart" uri="{C3380CC4-5D6E-409C-BE32-E72D297353CC}">
              <c16:uniqueId val="{00000013-383D-408B-B21A-0EC59BBDDEA6}"/>
            </c:ext>
          </c:extLst>
        </c:ser>
        <c:dLbls>
          <c:showLegendKey val="0"/>
          <c:showVal val="0"/>
          <c:showCatName val="0"/>
          <c:showSerName val="0"/>
          <c:showPercent val="0"/>
          <c:showBubbleSize val="0"/>
        </c:dLbls>
        <c:marker val="1"/>
        <c:smooth val="0"/>
        <c:axId val="265401304"/>
        <c:axId val="265400912"/>
      </c:lineChart>
      <c:catAx>
        <c:axId val="265401304"/>
        <c:scaling>
          <c:orientation val="minMax"/>
        </c:scaling>
        <c:delete val="0"/>
        <c:axPos val="b"/>
        <c:numFmt formatCode="General" sourceLinked="1"/>
        <c:majorTickMark val="out"/>
        <c:minorTickMark val="none"/>
        <c:tickLblPos val="low"/>
        <c:crossAx val="265400912"/>
        <c:crosses val="autoZero"/>
        <c:auto val="1"/>
        <c:lblAlgn val="ctr"/>
        <c:lblOffset val="100"/>
        <c:noMultiLvlLbl val="0"/>
      </c:catAx>
      <c:valAx>
        <c:axId val="265400912"/>
        <c:scaling>
          <c:orientation val="minMax"/>
          <c:min val="4"/>
        </c:scaling>
        <c:delete val="0"/>
        <c:axPos val="l"/>
        <c:majorGridlines/>
        <c:numFmt formatCode="0" sourceLinked="0"/>
        <c:majorTickMark val="out"/>
        <c:minorTickMark val="none"/>
        <c:tickLblPos val="nextTo"/>
        <c:txPr>
          <a:bodyPr/>
          <a:lstStyle/>
          <a:p>
            <a:pPr>
              <a:defRPr sz="1000"/>
            </a:pPr>
            <a:endParaRPr lang="lv-LV"/>
          </a:p>
        </c:txPr>
        <c:crossAx val="265401304"/>
        <c:crosses val="autoZero"/>
        <c:crossBetween val="between"/>
      </c:valAx>
      <c:valAx>
        <c:axId val="265400520"/>
        <c:scaling>
          <c:orientation val="minMax"/>
          <c:min val="700"/>
        </c:scaling>
        <c:delete val="0"/>
        <c:axPos val="r"/>
        <c:numFmt formatCode="0" sourceLinked="1"/>
        <c:majorTickMark val="out"/>
        <c:minorTickMark val="none"/>
        <c:tickLblPos val="nextTo"/>
        <c:crossAx val="270347616"/>
        <c:crosses val="max"/>
        <c:crossBetween val="between"/>
      </c:valAx>
      <c:catAx>
        <c:axId val="270347616"/>
        <c:scaling>
          <c:orientation val="minMax"/>
        </c:scaling>
        <c:delete val="1"/>
        <c:axPos val="b"/>
        <c:numFmt formatCode="General" sourceLinked="1"/>
        <c:majorTickMark val="out"/>
        <c:minorTickMark val="none"/>
        <c:tickLblPos val="nextTo"/>
        <c:crossAx val="265400520"/>
        <c:crosses val="autoZero"/>
        <c:auto val="1"/>
        <c:lblAlgn val="ctr"/>
        <c:lblOffset val="100"/>
        <c:noMultiLvlLbl val="0"/>
      </c:catAx>
    </c:plotArea>
    <c:legend>
      <c:legendPos val="b"/>
      <c:layout>
        <c:manualLayout>
          <c:xMode val="edge"/>
          <c:yMode val="edge"/>
          <c:x val="5.2777777777777778E-2"/>
          <c:y val="0.84834122538806356"/>
          <c:w val="0.9"/>
          <c:h val="0.13411802906080039"/>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03481782451177E-2"/>
          <c:y val="5.1400554097404488E-2"/>
          <c:w val="0.91690723525920925"/>
          <c:h val="0.73780596429971157"/>
        </c:manualLayout>
      </c:layout>
      <c:barChart>
        <c:barDir val="col"/>
        <c:grouping val="clustered"/>
        <c:varyColors val="0"/>
        <c:ser>
          <c:idx val="0"/>
          <c:order val="0"/>
          <c:tx>
            <c:strRef>
              <c:f>'2 graf'!$J$3</c:f>
              <c:strCache>
                <c:ptCount val="1"/>
                <c:pt idx="0">
                  <c:v>Produktivitāte</c:v>
                </c:pt>
              </c:strCache>
            </c:strRef>
          </c:tx>
          <c:invertIfNegative val="0"/>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graf'!$K$3:$W$3</c:f>
              <c:numCache>
                <c:formatCode>0.0</c:formatCode>
                <c:ptCount val="13"/>
                <c:pt idx="0">
                  <c:v>-3.3804790164760679</c:v>
                </c:pt>
                <c:pt idx="1">
                  <c:v>-0.52733539461466972</c:v>
                </c:pt>
                <c:pt idx="2">
                  <c:v>2.7472705709378209</c:v>
                </c:pt>
                <c:pt idx="3">
                  <c:v>5.0356808704689948</c:v>
                </c:pt>
                <c:pt idx="4">
                  <c:v>2.3423253020708357</c:v>
                </c:pt>
                <c:pt idx="5">
                  <c:v>0.52557685381251495</c:v>
                </c:pt>
                <c:pt idx="6">
                  <c:v>3.1935285968151872</c:v>
                </c:pt>
                <c:pt idx="7">
                  <c:v>1.39398354937188</c:v>
                </c:pt>
                <c:pt idx="8">
                  <c:v>2.2731351206611183</c:v>
                </c:pt>
                <c:pt idx="9">
                  <c:v>2.9531240307799189</c:v>
                </c:pt>
                <c:pt idx="10">
                  <c:v>3.1530599771926626</c:v>
                </c:pt>
                <c:pt idx="11">
                  <c:v>3.2247112356082352</c:v>
                </c:pt>
                <c:pt idx="12">
                  <c:v>2.993168817979619</c:v>
                </c:pt>
              </c:numCache>
            </c:numRef>
          </c:val>
          <c:extLst>
            <c:ext xmlns:c16="http://schemas.microsoft.com/office/drawing/2014/chart" uri="{C3380CC4-5D6E-409C-BE32-E72D297353CC}">
              <c16:uniqueId val="{00000000-A58F-4ED7-A70D-5774DCDFE612}"/>
            </c:ext>
          </c:extLst>
        </c:ser>
        <c:dLbls>
          <c:showLegendKey val="0"/>
          <c:showVal val="0"/>
          <c:showCatName val="0"/>
          <c:showSerName val="0"/>
          <c:showPercent val="0"/>
          <c:showBubbleSize val="0"/>
        </c:dLbls>
        <c:gapWidth val="150"/>
        <c:axId val="270348400"/>
        <c:axId val="270348792"/>
      </c:barChart>
      <c:lineChart>
        <c:grouping val="standard"/>
        <c:varyColors val="0"/>
        <c:ser>
          <c:idx val="1"/>
          <c:order val="1"/>
          <c:tx>
            <c:strRef>
              <c:f>'2 graf'!$J$4</c:f>
              <c:strCache>
                <c:ptCount val="1"/>
                <c:pt idx="0">
                  <c:v>Reālā darba samaksa, %</c:v>
                </c:pt>
              </c:strCache>
            </c:strRef>
          </c:tx>
          <c:spPr>
            <a:ln>
              <a:solidFill>
                <a:srgbClr val="FF0000"/>
              </a:solidFill>
              <a:prstDash val="dash"/>
            </a:ln>
          </c:spPr>
          <c:marker>
            <c:symbol val="none"/>
          </c:marker>
          <c:dPt>
            <c:idx val="0"/>
            <c:bubble3D val="0"/>
            <c:spPr>
              <a:ln>
                <a:solidFill>
                  <a:srgbClr val="FF0000"/>
                </a:solidFill>
                <a:prstDash val="solid"/>
              </a:ln>
            </c:spPr>
            <c:extLst>
              <c:ext xmlns:c16="http://schemas.microsoft.com/office/drawing/2014/chart" uri="{C3380CC4-5D6E-409C-BE32-E72D297353CC}">
                <c16:uniqueId val="{00000002-A58F-4ED7-A70D-5774DCDFE612}"/>
              </c:ext>
            </c:extLst>
          </c:dPt>
          <c:dPt>
            <c:idx val="1"/>
            <c:bubble3D val="0"/>
            <c:spPr>
              <a:ln>
                <a:solidFill>
                  <a:srgbClr val="FF0000"/>
                </a:solidFill>
                <a:prstDash val="solid"/>
              </a:ln>
            </c:spPr>
            <c:extLst>
              <c:ext xmlns:c16="http://schemas.microsoft.com/office/drawing/2014/chart" uri="{C3380CC4-5D6E-409C-BE32-E72D297353CC}">
                <c16:uniqueId val="{00000004-A58F-4ED7-A70D-5774DCDFE612}"/>
              </c:ext>
            </c:extLst>
          </c:dPt>
          <c:dPt>
            <c:idx val="2"/>
            <c:bubble3D val="0"/>
            <c:spPr>
              <a:ln>
                <a:solidFill>
                  <a:srgbClr val="FF0000"/>
                </a:solidFill>
                <a:prstDash val="solid"/>
              </a:ln>
            </c:spPr>
            <c:extLst>
              <c:ext xmlns:c16="http://schemas.microsoft.com/office/drawing/2014/chart" uri="{C3380CC4-5D6E-409C-BE32-E72D297353CC}">
                <c16:uniqueId val="{00000006-A58F-4ED7-A70D-5774DCDFE612}"/>
              </c:ext>
            </c:extLst>
          </c:dPt>
          <c:dPt>
            <c:idx val="3"/>
            <c:bubble3D val="0"/>
            <c:spPr>
              <a:ln>
                <a:solidFill>
                  <a:srgbClr val="FF0000"/>
                </a:solidFill>
                <a:prstDash val="solid"/>
              </a:ln>
            </c:spPr>
            <c:extLst>
              <c:ext xmlns:c16="http://schemas.microsoft.com/office/drawing/2014/chart" uri="{C3380CC4-5D6E-409C-BE32-E72D297353CC}">
                <c16:uniqueId val="{00000008-A58F-4ED7-A70D-5774DCDFE612}"/>
              </c:ext>
            </c:extLst>
          </c:dPt>
          <c:dPt>
            <c:idx val="4"/>
            <c:bubble3D val="0"/>
            <c:spPr>
              <a:ln>
                <a:solidFill>
                  <a:srgbClr val="FF0000"/>
                </a:solidFill>
                <a:prstDash val="solid"/>
              </a:ln>
            </c:spPr>
            <c:extLst>
              <c:ext xmlns:c16="http://schemas.microsoft.com/office/drawing/2014/chart" uri="{C3380CC4-5D6E-409C-BE32-E72D297353CC}">
                <c16:uniqueId val="{0000000A-A58F-4ED7-A70D-5774DCDFE612}"/>
              </c:ext>
            </c:extLst>
          </c:dPt>
          <c:dPt>
            <c:idx val="5"/>
            <c:bubble3D val="0"/>
            <c:spPr>
              <a:ln>
                <a:solidFill>
                  <a:srgbClr val="FF0000"/>
                </a:solidFill>
                <a:prstDash val="solid"/>
              </a:ln>
            </c:spPr>
            <c:extLst>
              <c:ext xmlns:c16="http://schemas.microsoft.com/office/drawing/2014/chart" uri="{C3380CC4-5D6E-409C-BE32-E72D297353CC}">
                <c16:uniqueId val="{0000000C-A58F-4ED7-A70D-5774DCDFE612}"/>
              </c:ext>
            </c:extLst>
          </c:dPt>
          <c:dPt>
            <c:idx val="6"/>
            <c:bubble3D val="0"/>
            <c:spPr>
              <a:ln>
                <a:solidFill>
                  <a:srgbClr val="FF0000"/>
                </a:solidFill>
                <a:prstDash val="solid"/>
              </a:ln>
            </c:spPr>
            <c:extLst>
              <c:ext xmlns:c16="http://schemas.microsoft.com/office/drawing/2014/chart" uri="{C3380CC4-5D6E-409C-BE32-E72D297353CC}">
                <c16:uniqueId val="{0000000E-A58F-4ED7-A70D-5774DCDFE612}"/>
              </c:ext>
            </c:extLst>
          </c:dPt>
          <c:dPt>
            <c:idx val="7"/>
            <c:bubble3D val="0"/>
            <c:spPr>
              <a:ln>
                <a:solidFill>
                  <a:srgbClr val="FF0000"/>
                </a:solidFill>
                <a:prstDash val="solid"/>
              </a:ln>
            </c:spPr>
            <c:extLst>
              <c:ext xmlns:c16="http://schemas.microsoft.com/office/drawing/2014/chart" uri="{C3380CC4-5D6E-409C-BE32-E72D297353CC}">
                <c16:uniqueId val="{00000010-A58F-4ED7-A70D-5774DCDFE612}"/>
              </c:ext>
            </c:extLst>
          </c:dPt>
          <c:dPt>
            <c:idx val="8"/>
            <c:bubble3D val="0"/>
            <c:spPr>
              <a:ln>
                <a:solidFill>
                  <a:srgbClr val="FF0000"/>
                </a:solidFill>
                <a:prstDash val="solid"/>
              </a:ln>
            </c:spPr>
            <c:extLst>
              <c:ext xmlns:c16="http://schemas.microsoft.com/office/drawing/2014/chart" uri="{C3380CC4-5D6E-409C-BE32-E72D297353CC}">
                <c16:uniqueId val="{00000012-A58F-4ED7-A70D-5774DCDFE612}"/>
              </c:ext>
            </c:extLst>
          </c:dPt>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graf'!$K$4:$W$4</c:f>
              <c:numCache>
                <c:formatCode>0.0</c:formatCode>
                <c:ptCount val="13"/>
                <c:pt idx="0">
                  <c:v>4.4287396937573664</c:v>
                </c:pt>
                <c:pt idx="1">
                  <c:v>-7.2202916068595746</c:v>
                </c:pt>
                <c:pt idx="2">
                  <c:v>-2.3294638420886193</c:v>
                </c:pt>
                <c:pt idx="3">
                  <c:v>-0.10854262716145646</c:v>
                </c:pt>
                <c:pt idx="4">
                  <c:v>1.4865954444668539</c:v>
                </c:pt>
                <c:pt idx="5">
                  <c:v>4.5835205719583216</c:v>
                </c:pt>
                <c:pt idx="6">
                  <c:v>6.1956816319993946</c:v>
                </c:pt>
                <c:pt idx="7">
                  <c:v>6.7515584476315116</c:v>
                </c:pt>
                <c:pt idx="8">
                  <c:v>4.8845519516217628</c:v>
                </c:pt>
                <c:pt idx="9">
                  <c:v>3.128054740957964</c:v>
                </c:pt>
                <c:pt idx="10">
                  <c:v>2.941176470588247</c:v>
                </c:pt>
                <c:pt idx="11">
                  <c:v>2.941176470588247</c:v>
                </c:pt>
                <c:pt idx="12">
                  <c:v>2.941176470588247</c:v>
                </c:pt>
              </c:numCache>
            </c:numRef>
          </c:val>
          <c:smooth val="1"/>
          <c:extLst>
            <c:ext xmlns:c16="http://schemas.microsoft.com/office/drawing/2014/chart" uri="{C3380CC4-5D6E-409C-BE32-E72D297353CC}">
              <c16:uniqueId val="{00000013-A58F-4ED7-A70D-5774DCDFE612}"/>
            </c:ext>
          </c:extLst>
        </c:ser>
        <c:dLbls>
          <c:showLegendKey val="0"/>
          <c:showVal val="0"/>
          <c:showCatName val="0"/>
          <c:showSerName val="0"/>
          <c:showPercent val="0"/>
          <c:showBubbleSize val="0"/>
        </c:dLbls>
        <c:marker val="1"/>
        <c:smooth val="0"/>
        <c:axId val="270348400"/>
        <c:axId val="270348792"/>
      </c:lineChart>
      <c:catAx>
        <c:axId val="270348400"/>
        <c:scaling>
          <c:orientation val="minMax"/>
        </c:scaling>
        <c:delete val="0"/>
        <c:axPos val="b"/>
        <c:numFmt formatCode="General" sourceLinked="1"/>
        <c:majorTickMark val="out"/>
        <c:minorTickMark val="none"/>
        <c:tickLblPos val="low"/>
        <c:crossAx val="270348792"/>
        <c:crosses val="autoZero"/>
        <c:auto val="1"/>
        <c:lblAlgn val="ctr"/>
        <c:lblOffset val="100"/>
        <c:noMultiLvlLbl val="0"/>
      </c:catAx>
      <c:valAx>
        <c:axId val="270348792"/>
        <c:scaling>
          <c:orientation val="minMax"/>
        </c:scaling>
        <c:delete val="0"/>
        <c:axPos val="l"/>
        <c:majorGridlines/>
        <c:numFmt formatCode="0" sourceLinked="0"/>
        <c:majorTickMark val="out"/>
        <c:minorTickMark val="none"/>
        <c:tickLblPos val="nextTo"/>
        <c:txPr>
          <a:bodyPr/>
          <a:lstStyle/>
          <a:p>
            <a:pPr>
              <a:defRPr sz="1000"/>
            </a:pPr>
            <a:endParaRPr lang="lv-LV"/>
          </a:p>
        </c:txPr>
        <c:crossAx val="270348400"/>
        <c:crosses val="autoZero"/>
        <c:crossBetween val="between"/>
      </c:valAx>
    </c:plotArea>
    <c:legend>
      <c:legendPos val="b"/>
      <c:layout>
        <c:manualLayout>
          <c:xMode val="edge"/>
          <c:yMode val="edge"/>
          <c:x val="5.2777745360699277E-2"/>
          <c:y val="0.89874202115268131"/>
          <c:w val="0.9"/>
          <c:h val="8.3717191601049873E-2"/>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850182459586913E-2"/>
          <c:y val="6.1217445551909611E-2"/>
          <c:w val="0.62188108317546187"/>
          <c:h val="0.84846182733804099"/>
        </c:manualLayout>
      </c:layout>
      <c:barChart>
        <c:barDir val="col"/>
        <c:grouping val="clustered"/>
        <c:varyColors val="0"/>
        <c:ser>
          <c:idx val="3"/>
          <c:order val="0"/>
          <c:tx>
            <c:strRef>
              <c:f>Sheet1!$A$6</c:f>
              <c:strCache>
                <c:ptCount val="1"/>
                <c:pt idx="0">
                  <c:v>Vispārējās valdības ieņēmumi (kreisā ass)</c:v>
                </c:pt>
              </c:strCache>
            </c:strRef>
          </c:tx>
          <c:spPr>
            <a:solidFill>
              <a:srgbClr val="A5A5A5"/>
            </a:solidFill>
            <a:ln>
              <a:noFill/>
            </a:ln>
            <a:effectLst/>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Sheet1!$B$6:$K$6</c:f>
              <c:numCache>
                <c:formatCode>0\,0%</c:formatCode>
                <c:ptCount val="10"/>
                <c:pt idx="0">
                  <c:v>0.33337312615746106</c:v>
                </c:pt>
                <c:pt idx="1">
                  <c:v>0.33178974290215668</c:v>
                </c:pt>
                <c:pt idx="2">
                  <c:v>0.34634105066168902</c:v>
                </c:pt>
                <c:pt idx="3">
                  <c:v>0.36312583409378169</c:v>
                </c:pt>
                <c:pt idx="4">
                  <c:v>0.35670402874249313</c:v>
                </c:pt>
                <c:pt idx="5">
                  <c:v>0.36234848151849891</c:v>
                </c:pt>
                <c:pt idx="6">
                  <c:v>0.36077673683040873</c:v>
                </c:pt>
                <c:pt idx="7">
                  <c:v>0.35903032920017364</c:v>
                </c:pt>
                <c:pt idx="8">
                  <c:v>0.35757660915512707</c:v>
                </c:pt>
                <c:pt idx="9">
                  <c:v>0.36115405369790737</c:v>
                </c:pt>
              </c:numCache>
            </c:numRef>
          </c:val>
          <c:extLst>
            <c:ext xmlns:c16="http://schemas.microsoft.com/office/drawing/2014/chart" uri="{C3380CC4-5D6E-409C-BE32-E72D297353CC}">
              <c16:uniqueId val="{00000000-6BE7-4E18-B498-E941808271D0}"/>
            </c:ext>
          </c:extLst>
        </c:ser>
        <c:ser>
          <c:idx val="0"/>
          <c:order val="1"/>
          <c:tx>
            <c:strRef>
              <c:f>Sheet1!$A$7</c:f>
              <c:strCache>
                <c:ptCount val="1"/>
                <c:pt idx="0">
                  <c:v>Vispārējās valdības izdevumi (kreisā ass)</c:v>
                </c:pt>
              </c:strCache>
            </c:strRef>
          </c:tx>
          <c:spPr>
            <a:solidFill>
              <a:srgbClr val="ED7D31"/>
            </a:solidFill>
            <a:ln>
              <a:noFill/>
            </a:ln>
            <a:effectLst/>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Sheet1!$B$7:$K$7</c:f>
              <c:numCache>
                <c:formatCode>0\,0%</c:formatCode>
                <c:ptCount val="10"/>
                <c:pt idx="0">
                  <c:v>0.33997395451215434</c:v>
                </c:pt>
                <c:pt idx="1">
                  <c:v>0.37301229280568321</c:v>
                </c:pt>
                <c:pt idx="2">
                  <c:v>0.43686109324188394</c:v>
                </c:pt>
                <c:pt idx="3">
                  <c:v>0.44789376181055046</c:v>
                </c:pt>
                <c:pt idx="4">
                  <c:v>0.39041688022545884</c:v>
                </c:pt>
                <c:pt idx="5">
                  <c:v>0.3706586436185888</c:v>
                </c:pt>
                <c:pt idx="6">
                  <c:v>0.36984574380593999</c:v>
                </c:pt>
                <c:pt idx="7">
                  <c:v>0.37466265930136117</c:v>
                </c:pt>
                <c:pt idx="8">
                  <c:v>0.37025535133414689</c:v>
                </c:pt>
                <c:pt idx="9">
                  <c:v>0.36145310031614258</c:v>
                </c:pt>
              </c:numCache>
            </c:numRef>
          </c:val>
          <c:extLst>
            <c:ext xmlns:c16="http://schemas.microsoft.com/office/drawing/2014/chart" uri="{C3380CC4-5D6E-409C-BE32-E72D297353CC}">
              <c16:uniqueId val="{00000001-6BE7-4E18-B498-E941808271D0}"/>
            </c:ext>
          </c:extLst>
        </c:ser>
        <c:dLbls>
          <c:showLegendKey val="0"/>
          <c:showVal val="0"/>
          <c:showCatName val="0"/>
          <c:showSerName val="0"/>
          <c:showPercent val="0"/>
          <c:showBubbleSize val="0"/>
        </c:dLbls>
        <c:gapWidth val="150"/>
        <c:axId val="270349576"/>
        <c:axId val="340413928"/>
      </c:barChart>
      <c:lineChart>
        <c:grouping val="standard"/>
        <c:varyColors val="0"/>
        <c:ser>
          <c:idx val="1"/>
          <c:order val="2"/>
          <c:tx>
            <c:strRef>
              <c:f>Sheet1!$A$8</c:f>
              <c:strCache>
                <c:ptCount val="1"/>
                <c:pt idx="0">
                  <c:v>Vispārējās valdības budžeta bilance (labā ass)</c:v>
                </c:pt>
              </c:strCache>
            </c:strRef>
          </c:tx>
          <c:spPr>
            <a:ln w="28575" cap="rnd">
              <a:solidFill>
                <a:srgbClr val="5B9BD5">
                  <a:lumMod val="50000"/>
                </a:srgbClr>
              </a:solidFill>
              <a:round/>
            </a:ln>
            <a:effectLst/>
          </c:spPr>
          <c:marker>
            <c:symbol val="circle"/>
            <c:size val="5"/>
            <c:spPr>
              <a:solidFill>
                <a:sysClr val="window" lastClr="FFFFFF"/>
              </a:solidFill>
              <a:ln w="9525">
                <a:solidFill>
                  <a:srgbClr val="5B9BD5">
                    <a:lumMod val="50000"/>
                  </a:srgbClr>
                </a:solidFill>
              </a:ln>
              <a:effectLst/>
            </c:spPr>
          </c:marker>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Sheet1!$B$8:$K$8</c:f>
              <c:numCache>
                <c:formatCode>0\,0%</c:formatCode>
                <c:ptCount val="10"/>
                <c:pt idx="0">
                  <c:v>-6.6008283546933177E-3</c:v>
                </c:pt>
                <c:pt idx="1">
                  <c:v>-4.1222539394325089E-2</c:v>
                </c:pt>
                <c:pt idx="2">
                  <c:v>-9.0520041468294871E-2</c:v>
                </c:pt>
                <c:pt idx="3">
                  <c:v>-8.4767954537897913E-2</c:v>
                </c:pt>
                <c:pt idx="4">
                  <c:v>-3.3712842335775366E-2</c:v>
                </c:pt>
                <c:pt idx="5">
                  <c:v>-8.3102597134937714E-3</c:v>
                </c:pt>
                <c:pt idx="6">
                  <c:v>-9.0690013462336547E-3</c:v>
                </c:pt>
                <c:pt idx="7">
                  <c:v>-1.5632336871910697E-2</c:v>
                </c:pt>
                <c:pt idx="8">
                  <c:v>-1.2678744145687981E-2</c:v>
                </c:pt>
                <c:pt idx="9" formatCode="0.00%">
                  <c:v>-2.9904661823525056E-4</c:v>
                </c:pt>
              </c:numCache>
            </c:numRef>
          </c:val>
          <c:smooth val="0"/>
          <c:extLst>
            <c:ext xmlns:c16="http://schemas.microsoft.com/office/drawing/2014/chart" uri="{C3380CC4-5D6E-409C-BE32-E72D297353CC}">
              <c16:uniqueId val="{00000002-6BE7-4E18-B498-E941808271D0}"/>
            </c:ext>
          </c:extLst>
        </c:ser>
        <c:dLbls>
          <c:showLegendKey val="0"/>
          <c:showVal val="0"/>
          <c:showCatName val="0"/>
          <c:showSerName val="0"/>
          <c:showPercent val="0"/>
          <c:showBubbleSize val="0"/>
        </c:dLbls>
        <c:marker val="1"/>
        <c:smooth val="0"/>
        <c:axId val="340414320"/>
        <c:axId val="340410008"/>
      </c:lineChart>
      <c:catAx>
        <c:axId val="270349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0413928"/>
        <c:crossesAt val="0"/>
        <c:auto val="1"/>
        <c:lblAlgn val="ctr"/>
        <c:lblOffset val="100"/>
        <c:noMultiLvlLbl val="0"/>
      </c:catAx>
      <c:valAx>
        <c:axId val="340413928"/>
        <c:scaling>
          <c:orientation val="minMax"/>
          <c:max val="0.46"/>
          <c:min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0349576"/>
        <c:crosses val="autoZero"/>
        <c:crossBetween val="between"/>
        <c:majorUnit val="2.0000000000000004E-2"/>
      </c:valAx>
      <c:valAx>
        <c:axId val="34041000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0414320"/>
        <c:crosses val="max"/>
        <c:crossBetween val="between"/>
      </c:valAx>
      <c:catAx>
        <c:axId val="340414320"/>
        <c:scaling>
          <c:orientation val="minMax"/>
        </c:scaling>
        <c:delete val="1"/>
        <c:axPos val="b"/>
        <c:numFmt formatCode="General" sourceLinked="1"/>
        <c:majorTickMark val="out"/>
        <c:minorTickMark val="none"/>
        <c:tickLblPos val="nextTo"/>
        <c:crossAx val="340410008"/>
        <c:crosses val="autoZero"/>
        <c:auto val="1"/>
        <c:lblAlgn val="ctr"/>
        <c:lblOffset val="100"/>
        <c:noMultiLvlLbl val="0"/>
      </c:catAx>
      <c:spPr>
        <a:noFill/>
        <a:ln>
          <a:noFill/>
        </a:ln>
        <a:effectLst/>
      </c:spPr>
    </c:plotArea>
    <c:legend>
      <c:legendPos val="b"/>
      <c:layout>
        <c:manualLayout>
          <c:xMode val="edge"/>
          <c:yMode val="edge"/>
          <c:x val="0.74550890507032963"/>
          <c:y val="0.15888684360115657"/>
          <c:w val="0.2522466185694141"/>
          <c:h val="0.54788034474414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81871006414214E-2"/>
          <c:y val="2.9943190434529022E-2"/>
          <c:w val="0.62572613431089108"/>
          <c:h val="0.87130890673841654"/>
        </c:manualLayout>
      </c:layout>
      <c:barChart>
        <c:barDir val="col"/>
        <c:grouping val="stacked"/>
        <c:varyColors val="0"/>
        <c:ser>
          <c:idx val="1"/>
          <c:order val="1"/>
          <c:tx>
            <c:strRef>
              <c:f>Sheet1!$A$8</c:f>
              <c:strCache>
                <c:ptCount val="1"/>
                <c:pt idx="0">
                  <c:v>Centrālā valdība</c:v>
                </c:pt>
              </c:strCache>
            </c:strRef>
          </c:tx>
          <c:spPr>
            <a:solidFill>
              <a:schemeClr val="accent2"/>
            </a:solidFill>
            <a:ln>
              <a:noFill/>
            </a:ln>
            <a:effectLst/>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Sheet1!$B$8:$K$8</c:f>
              <c:numCache>
                <c:formatCode>0\,0%</c:formatCode>
                <c:ptCount val="10"/>
                <c:pt idx="0">
                  <c:v>-2.3794382554578029E-2</c:v>
                </c:pt>
                <c:pt idx="1">
                  <c:v>-4.2808331654964032E-2</c:v>
                </c:pt>
                <c:pt idx="2">
                  <c:v>-5.5694146825230488E-2</c:v>
                </c:pt>
                <c:pt idx="3">
                  <c:v>-5.6074097108472443E-2</c:v>
                </c:pt>
                <c:pt idx="4">
                  <c:v>-1.9540878934933645E-2</c:v>
                </c:pt>
                <c:pt idx="5">
                  <c:v>-3.7964727116760475E-3</c:v>
                </c:pt>
                <c:pt idx="6">
                  <c:v>-1.1216668972693787E-3</c:v>
                </c:pt>
                <c:pt idx="7">
                  <c:v>-1.705021092071932E-2</c:v>
                </c:pt>
                <c:pt idx="8">
                  <c:v>-1.7296470583294199E-2</c:v>
                </c:pt>
                <c:pt idx="9">
                  <c:v>-1.1582267882453705E-3</c:v>
                </c:pt>
              </c:numCache>
            </c:numRef>
          </c:val>
          <c:extLst>
            <c:ext xmlns:c16="http://schemas.microsoft.com/office/drawing/2014/chart" uri="{C3380CC4-5D6E-409C-BE32-E72D297353CC}">
              <c16:uniqueId val="{00000000-8FCB-4670-A6C1-F69BE8546061}"/>
            </c:ext>
          </c:extLst>
        </c:ser>
        <c:ser>
          <c:idx val="2"/>
          <c:order val="2"/>
          <c:tx>
            <c:strRef>
              <c:f>Sheet1!$A$9</c:f>
              <c:strCache>
                <c:ptCount val="1"/>
                <c:pt idx="0">
                  <c:v>Vietējā valdība</c:v>
                </c:pt>
              </c:strCache>
            </c:strRef>
          </c:tx>
          <c:spPr>
            <a:solidFill>
              <a:schemeClr val="accent3"/>
            </a:solidFill>
            <a:ln>
              <a:noFill/>
            </a:ln>
            <a:effectLst/>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Sheet1!$B$9:$K$9</c:f>
              <c:numCache>
                <c:formatCode>0\,0%</c:formatCode>
                <c:ptCount val="10"/>
                <c:pt idx="0">
                  <c:v>-6.4257664865897514E-3</c:v>
                </c:pt>
                <c:pt idx="1">
                  <c:v>-1.1647745997276934E-2</c:v>
                </c:pt>
                <c:pt idx="2">
                  <c:v>-1.6948633082397493E-2</c:v>
                </c:pt>
                <c:pt idx="3">
                  <c:v>-3.3380754393453724E-3</c:v>
                </c:pt>
                <c:pt idx="4">
                  <c:v>-5.091277728616431E-3</c:v>
                </c:pt>
                <c:pt idx="5">
                  <c:v>-2.382249819447606E-3</c:v>
                </c:pt>
                <c:pt idx="6">
                  <c:v>-4.3983044703471029E-3</c:v>
                </c:pt>
                <c:pt idx="7">
                  <c:v>-2.1572370100926934E-3</c:v>
                </c:pt>
                <c:pt idx="8">
                  <c:v>3.277335784499096E-3</c:v>
                </c:pt>
                <c:pt idx="9">
                  <c:v>1.2207371917100822E-3</c:v>
                </c:pt>
              </c:numCache>
            </c:numRef>
          </c:val>
          <c:extLst>
            <c:ext xmlns:c16="http://schemas.microsoft.com/office/drawing/2014/chart" uri="{C3380CC4-5D6E-409C-BE32-E72D297353CC}">
              <c16:uniqueId val="{00000001-8FCB-4670-A6C1-F69BE8546061}"/>
            </c:ext>
          </c:extLst>
        </c:ser>
        <c:ser>
          <c:idx val="3"/>
          <c:order val="3"/>
          <c:tx>
            <c:strRef>
              <c:f>Sheet1!$A$10</c:f>
              <c:strCache>
                <c:ptCount val="1"/>
                <c:pt idx="0">
                  <c:v>Sociālās nodrošināšanas fondi</c:v>
                </c:pt>
              </c:strCache>
            </c:strRef>
          </c:tx>
          <c:spPr>
            <a:solidFill>
              <a:schemeClr val="accent4"/>
            </a:solidFill>
            <a:ln>
              <a:noFill/>
            </a:ln>
            <a:effectLst/>
          </c:spPr>
          <c:invertIfNegative val="0"/>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Sheet1!$B$10:$K$10</c:f>
              <c:numCache>
                <c:formatCode>0\,0%</c:formatCode>
                <c:ptCount val="10"/>
                <c:pt idx="0">
                  <c:v>2.3619320686474463E-2</c:v>
                </c:pt>
                <c:pt idx="1">
                  <c:v>1.3233538257915871E-2</c:v>
                </c:pt>
                <c:pt idx="2">
                  <c:v>-1.7877266368761798E-2</c:v>
                </c:pt>
                <c:pt idx="3">
                  <c:v>-2.5355781990080099E-2</c:v>
                </c:pt>
                <c:pt idx="4">
                  <c:v>-9.0806856722252857E-3</c:v>
                </c:pt>
                <c:pt idx="5">
                  <c:v>-2.131537182370117E-3</c:v>
                </c:pt>
                <c:pt idx="6">
                  <c:v>-3.549029978617173E-3</c:v>
                </c:pt>
                <c:pt idx="7">
                  <c:v>3.5751110589013124E-3</c:v>
                </c:pt>
                <c:pt idx="8">
                  <c:v>1.3403906531071208E-3</c:v>
                </c:pt>
                <c:pt idx="9">
                  <c:v>-3.6155702169996234E-4</c:v>
                </c:pt>
              </c:numCache>
            </c:numRef>
          </c:val>
          <c:extLst>
            <c:ext xmlns:c16="http://schemas.microsoft.com/office/drawing/2014/chart" uri="{C3380CC4-5D6E-409C-BE32-E72D297353CC}">
              <c16:uniqueId val="{00000002-8FCB-4670-A6C1-F69BE8546061}"/>
            </c:ext>
          </c:extLst>
        </c:ser>
        <c:dLbls>
          <c:showLegendKey val="0"/>
          <c:showVal val="0"/>
          <c:showCatName val="0"/>
          <c:showSerName val="0"/>
          <c:showPercent val="0"/>
          <c:showBubbleSize val="0"/>
        </c:dLbls>
        <c:gapWidth val="150"/>
        <c:overlap val="100"/>
        <c:axId val="259703104"/>
        <c:axId val="259703496"/>
      </c:barChart>
      <c:lineChart>
        <c:grouping val="standard"/>
        <c:varyColors val="0"/>
        <c:ser>
          <c:idx val="0"/>
          <c:order val="0"/>
          <c:tx>
            <c:strRef>
              <c:f>Sheet1!$A$7</c:f>
              <c:strCache>
                <c:ptCount val="1"/>
                <c:pt idx="0">
                  <c:v>Vispārējās valdības budžeta bilance</c:v>
                </c:pt>
              </c:strCache>
            </c:strRef>
          </c:tx>
          <c:spPr>
            <a:ln w="28575" cap="rnd">
              <a:solidFill>
                <a:schemeClr val="accent1"/>
              </a:solidFill>
              <a:round/>
            </a:ln>
            <a:effectLst/>
          </c:spPr>
          <c:marker>
            <c:symbol val="circle"/>
            <c:size val="5"/>
            <c:spPr>
              <a:solidFill>
                <a:sysClr val="window" lastClr="FFFFFF"/>
              </a:solidFill>
              <a:ln w="9525">
                <a:solidFill>
                  <a:srgbClr val="5B9BD5">
                    <a:lumMod val="50000"/>
                  </a:srgbClr>
                </a:solidFill>
              </a:ln>
              <a:effectLst/>
            </c:spPr>
          </c:marker>
          <c:cat>
            <c:strRef>
              <c:f>Sheet1!$B$1:$K$1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Sheet1!$B$7:$K$7</c:f>
              <c:numCache>
                <c:formatCode>0\,0%</c:formatCode>
                <c:ptCount val="10"/>
                <c:pt idx="0">
                  <c:v>-6.6008283546933177E-3</c:v>
                </c:pt>
                <c:pt idx="1">
                  <c:v>-4.1222539394325089E-2</c:v>
                </c:pt>
                <c:pt idx="2">
                  <c:v>-9.0520046276389779E-2</c:v>
                </c:pt>
                <c:pt idx="3">
                  <c:v>-8.4767954537897913E-2</c:v>
                </c:pt>
                <c:pt idx="4">
                  <c:v>-3.3712842335775366E-2</c:v>
                </c:pt>
                <c:pt idx="5">
                  <c:v>-8.3102597134937714E-3</c:v>
                </c:pt>
                <c:pt idx="6">
                  <c:v>-9.0690013462336547E-3</c:v>
                </c:pt>
                <c:pt idx="7">
                  <c:v>-1.5632336871910697E-2</c:v>
                </c:pt>
                <c:pt idx="8">
                  <c:v>-1.2678744145687981E-2</c:v>
                </c:pt>
                <c:pt idx="9">
                  <c:v>-2.9904661823518919E-4</c:v>
                </c:pt>
              </c:numCache>
            </c:numRef>
          </c:val>
          <c:smooth val="0"/>
          <c:extLst>
            <c:ext xmlns:c16="http://schemas.microsoft.com/office/drawing/2014/chart" uri="{C3380CC4-5D6E-409C-BE32-E72D297353CC}">
              <c16:uniqueId val="{00000003-8FCB-4670-A6C1-F69BE8546061}"/>
            </c:ext>
          </c:extLst>
        </c:ser>
        <c:dLbls>
          <c:showLegendKey val="0"/>
          <c:showVal val="0"/>
          <c:showCatName val="0"/>
          <c:showSerName val="0"/>
          <c:showPercent val="0"/>
          <c:showBubbleSize val="0"/>
        </c:dLbls>
        <c:marker val="1"/>
        <c:smooth val="0"/>
        <c:axId val="259703104"/>
        <c:axId val="259703496"/>
      </c:lineChart>
      <c:catAx>
        <c:axId val="259703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59703496"/>
        <c:crossesAt val="0"/>
        <c:auto val="1"/>
        <c:lblAlgn val="ctr"/>
        <c:lblOffset val="100"/>
        <c:noMultiLvlLbl val="0"/>
      </c:catAx>
      <c:valAx>
        <c:axId val="25970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59703104"/>
        <c:crosses val="autoZero"/>
        <c:crossBetween val="between"/>
      </c:valAx>
      <c:spPr>
        <a:noFill/>
        <a:ln>
          <a:noFill/>
        </a:ln>
        <a:effectLst/>
      </c:spPr>
    </c:plotArea>
    <c:legend>
      <c:legendPos val="b"/>
      <c:layout>
        <c:manualLayout>
          <c:xMode val="edge"/>
          <c:yMode val="edge"/>
          <c:x val="0.71465561885033657"/>
          <c:y val="0.13864479879713526"/>
          <c:w val="0.2656664777337841"/>
          <c:h val="0.690500929846080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'V2'!$R$19</c:f>
              <c:strCache>
                <c:ptCount val="1"/>
                <c:pt idx="0">
                  <c:v>xx</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'V2'!$S$18:$V$18</c:f>
              <c:numCache>
                <c:formatCode>General</c:formatCode>
                <c:ptCount val="4"/>
                <c:pt idx="0" formatCode="0">
                  <c:v>2018</c:v>
                </c:pt>
                <c:pt idx="1">
                  <c:v>2019</c:v>
                </c:pt>
                <c:pt idx="2">
                  <c:v>2020</c:v>
                </c:pt>
                <c:pt idx="3">
                  <c:v>2021</c:v>
                </c:pt>
              </c:numCache>
            </c:numRef>
          </c:cat>
          <c:val>
            <c:numRef>
              <c:f>'V2'!$S$19:$V$19</c:f>
              <c:numCache>
                <c:formatCode>0.0</c:formatCode>
                <c:ptCount val="4"/>
                <c:pt idx="0">
                  <c:v>0.86777312797954664</c:v>
                </c:pt>
                <c:pt idx="1">
                  <c:v>2.0008415325391411</c:v>
                </c:pt>
                <c:pt idx="2">
                  <c:v>3.2865940879976563</c:v>
                </c:pt>
                <c:pt idx="3">
                  <c:v>4.4518941393919249</c:v>
                </c:pt>
              </c:numCache>
            </c:numRef>
          </c:val>
          <c:smooth val="0"/>
          <c:extLst>
            <c:ext xmlns:c16="http://schemas.microsoft.com/office/drawing/2014/chart" uri="{C3380CC4-5D6E-409C-BE32-E72D297353CC}">
              <c16:uniqueId val="{00000000-742F-4C32-875C-4D2944D731D3}"/>
            </c:ext>
          </c:extLst>
        </c:ser>
        <c:dLbls>
          <c:showLegendKey val="0"/>
          <c:showVal val="0"/>
          <c:showCatName val="0"/>
          <c:showSerName val="0"/>
          <c:showPercent val="0"/>
          <c:showBubbleSize val="0"/>
        </c:dLbls>
        <c:marker val="1"/>
        <c:smooth val="0"/>
        <c:axId val="337687848"/>
        <c:axId val="337688240"/>
      </c:lineChart>
      <c:catAx>
        <c:axId val="3376878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37688240"/>
        <c:crosses val="autoZero"/>
        <c:auto val="1"/>
        <c:lblAlgn val="ctr"/>
        <c:lblOffset val="100"/>
        <c:noMultiLvlLbl val="0"/>
      </c:catAx>
      <c:valAx>
        <c:axId val="337688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768784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3"/>
              <c:layout>
                <c:manualLayout>
                  <c:x val="0"/>
                  <c:y val="5.89351851851851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FC-4A96-829D-202B974F234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Sheet1!$E$137:$H$137</c:f>
              <c:numCache>
                <c:formatCode>General</c:formatCode>
                <c:ptCount val="4"/>
                <c:pt idx="0">
                  <c:v>2017</c:v>
                </c:pt>
                <c:pt idx="1">
                  <c:v>2018</c:v>
                </c:pt>
                <c:pt idx="2">
                  <c:v>2019</c:v>
                </c:pt>
                <c:pt idx="3">
                  <c:v>2020</c:v>
                </c:pt>
              </c:numCache>
            </c:numRef>
          </c:cat>
          <c:val>
            <c:numRef>
              <c:f>Sheet1!$E$138:$H$138</c:f>
              <c:numCache>
                <c:formatCode>General</c:formatCode>
                <c:ptCount val="4"/>
                <c:pt idx="0">
                  <c:v>0</c:v>
                </c:pt>
                <c:pt idx="1">
                  <c:v>-145.60000000000008</c:v>
                </c:pt>
                <c:pt idx="2">
                  <c:v>-82.300000000000111</c:v>
                </c:pt>
                <c:pt idx="3">
                  <c:v>8.0999999999998948</c:v>
                </c:pt>
              </c:numCache>
            </c:numRef>
          </c:val>
          <c:extLst>
            <c:ext xmlns:c16="http://schemas.microsoft.com/office/drawing/2014/chart" uri="{C3380CC4-5D6E-409C-BE32-E72D297353CC}">
              <c16:uniqueId val="{00000001-7BFC-4A96-829D-202B974F234B}"/>
            </c:ext>
          </c:extLst>
        </c:ser>
        <c:dLbls>
          <c:dLblPos val="inEnd"/>
          <c:showLegendKey val="0"/>
          <c:showVal val="1"/>
          <c:showCatName val="0"/>
          <c:showSerName val="0"/>
          <c:showPercent val="0"/>
          <c:showBubbleSize val="0"/>
        </c:dLbls>
        <c:gapWidth val="65"/>
        <c:axId val="337689024"/>
        <c:axId val="337689416"/>
      </c:barChart>
      <c:catAx>
        <c:axId val="337689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337689416"/>
        <c:crosses val="autoZero"/>
        <c:auto val="1"/>
        <c:lblAlgn val="ctr"/>
        <c:lblOffset val="100"/>
        <c:noMultiLvlLbl val="0"/>
      </c:catAx>
      <c:valAx>
        <c:axId val="3376894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376890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0.64833</cdr:x>
      <cdr:y>0.05228</cdr:y>
    </cdr:from>
    <cdr:to>
      <cdr:x>0.92824</cdr:x>
      <cdr:y>0.78378</cdr:y>
    </cdr:to>
    <cdr:sp macro="" textlink="">
      <cdr:nvSpPr>
        <cdr:cNvPr id="2" name="Rectangle 1"/>
        <cdr:cNvSpPr/>
      </cdr:nvSpPr>
      <cdr:spPr>
        <a:xfrm xmlns:a="http://schemas.openxmlformats.org/drawingml/2006/main">
          <a:off x="3419475" y="153374"/>
          <a:ext cx="1476376" cy="2146001"/>
        </a:xfrm>
        <a:prstGeom xmlns:a="http://schemas.openxmlformats.org/drawingml/2006/main" prst="rect">
          <a:avLst/>
        </a:prstGeom>
        <a:solidFill xmlns:a="http://schemas.openxmlformats.org/drawingml/2006/main">
          <a:schemeClr val="accent1">
            <a:alpha val="2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baseline="0">
              <a:solidFill>
                <a:sysClr val="windowText" lastClr="000000"/>
              </a:solidFill>
            </a:rPr>
            <a:t>                                </a:t>
          </a:r>
          <a:r>
            <a:rPr lang="lv-LV">
              <a:solidFill>
                <a:sysClr val="windowText" lastClr="000000"/>
              </a:solidFill>
              <a:latin typeface="Times New Roman" panose="02020603050405020304" pitchFamily="18" charset="0"/>
              <a:cs typeface="Times New Roman" panose="02020603050405020304" pitchFamily="18" charset="0"/>
            </a:rPr>
            <a:t>Prognoze</a:t>
          </a:r>
          <a:endParaRPr lang="en-US">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0.68078</cdr:x>
      <cdr:y>0.05228</cdr:y>
    </cdr:from>
    <cdr:to>
      <cdr:x>0.97178</cdr:x>
      <cdr:y>0.78378</cdr:y>
    </cdr:to>
    <cdr:sp macro="" textlink="">
      <cdr:nvSpPr>
        <cdr:cNvPr id="2" name="Rectangle 1"/>
        <cdr:cNvSpPr/>
      </cdr:nvSpPr>
      <cdr:spPr>
        <a:xfrm xmlns:a="http://schemas.openxmlformats.org/drawingml/2006/main">
          <a:off x="4083461" y="123429"/>
          <a:ext cx="1745480" cy="1727021"/>
        </a:xfrm>
        <a:prstGeom xmlns:a="http://schemas.openxmlformats.org/drawingml/2006/main" prst="rect">
          <a:avLst/>
        </a:prstGeom>
        <a:solidFill xmlns:a="http://schemas.openxmlformats.org/drawingml/2006/main">
          <a:schemeClr val="accent1">
            <a:alpha val="2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a:solidFill>
                <a:sysClr val="windowText" lastClr="000000"/>
              </a:solidFill>
              <a:latin typeface="Times New Roman" panose="02020603050405020304" pitchFamily="18" charset="0"/>
              <a:cs typeface="Times New Roman" panose="02020603050405020304" pitchFamily="18" charset="0"/>
            </a:rPr>
            <a:t>Prognoze</a:t>
          </a:r>
          <a:endParaRPr lang="en-US">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96288-6F2E-4B0A-92FA-C129170E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114</Pages>
  <Words>197000</Words>
  <Characters>112291</Characters>
  <Application>Microsoft Office Word</Application>
  <DocSecurity>0</DocSecurity>
  <Lines>935</Lines>
  <Paragraphs>617</Paragraphs>
  <ScaleCrop>false</ScaleCrop>
  <HeadingPairs>
    <vt:vector size="2" baseType="variant">
      <vt:variant>
        <vt:lpstr>Title</vt:lpstr>
      </vt:variant>
      <vt:variant>
        <vt:i4>1</vt:i4>
      </vt:variant>
    </vt:vector>
  </HeadingPairs>
  <TitlesOfParts>
    <vt:vector size="1" baseType="lpstr">
      <vt:lpstr>Latvijas Stabilitātes programma 2017.-2020.gadam</vt:lpstr>
    </vt:vector>
  </TitlesOfParts>
  <Company>Finanšu ministrija</Company>
  <LinksUpToDate>false</LinksUpToDate>
  <CharactersWithSpaces>308674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Stabilitātes programma 2017.-2020.gadam</dc:title>
  <dc:subject/>
  <dc:creator>Gerda Rubīna</dc:creator>
  <cp:keywords/>
  <dc:description>Gerda Rubīna, gerda.rubina@fm.gov.lv
67083911</dc:description>
  <cp:lastModifiedBy>Gerda Rubīna</cp:lastModifiedBy>
  <cp:revision>17</cp:revision>
  <cp:lastPrinted>2017-04-07T10:21:00Z</cp:lastPrinted>
  <dcterms:created xsi:type="dcterms:W3CDTF">2017-04-07T13:31:00Z</dcterms:created>
  <dcterms:modified xsi:type="dcterms:W3CDTF">2017-04-10T06:15:00Z</dcterms:modified>
</cp:coreProperties>
</file>