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E5500" w14:textId="3D4BB4E2" w:rsidR="006457F2" w:rsidRPr="00734AD5" w:rsidRDefault="006457F2" w:rsidP="00213B3E">
      <w:pPr>
        <w:tabs>
          <w:tab w:val="left" w:pos="6804"/>
        </w:tabs>
        <w:jc w:val="both"/>
        <w:rPr>
          <w:sz w:val="28"/>
          <w:szCs w:val="28"/>
        </w:rPr>
      </w:pPr>
      <w:proofErr w:type="gramStart"/>
      <w:r w:rsidRPr="00734AD5">
        <w:rPr>
          <w:sz w:val="28"/>
          <w:szCs w:val="28"/>
        </w:rPr>
        <w:t>201</w:t>
      </w:r>
      <w:r w:rsidR="00C41818" w:rsidRPr="00734AD5">
        <w:rPr>
          <w:sz w:val="28"/>
          <w:szCs w:val="28"/>
        </w:rPr>
        <w:t>7</w:t>
      </w:r>
      <w:r w:rsidRPr="00734AD5">
        <w:rPr>
          <w:sz w:val="28"/>
          <w:szCs w:val="28"/>
        </w:rPr>
        <w:t>.gada</w:t>
      </w:r>
      <w:proofErr w:type="gramEnd"/>
      <w:r w:rsidRPr="00734AD5">
        <w:rPr>
          <w:sz w:val="28"/>
          <w:szCs w:val="28"/>
        </w:rPr>
        <w:t xml:space="preserve"> </w:t>
      </w:r>
      <w:r w:rsidR="003B6775" w:rsidRPr="00734AD5">
        <w:rPr>
          <w:sz w:val="28"/>
          <w:szCs w:val="28"/>
        </w:rPr>
        <w:t xml:space="preserve">    </w:t>
      </w:r>
      <w:r w:rsidRPr="00734AD5">
        <w:rPr>
          <w:sz w:val="28"/>
          <w:szCs w:val="28"/>
        </w:rPr>
        <w:tab/>
        <w:t>Noteikumi Nr.</w:t>
      </w:r>
      <w:r w:rsidR="00CA7A60" w:rsidRPr="00734AD5">
        <w:rPr>
          <w:sz w:val="28"/>
          <w:szCs w:val="28"/>
        </w:rPr>
        <w:t> </w:t>
      </w:r>
      <w:r w:rsidR="003B6775" w:rsidRPr="00734AD5">
        <w:rPr>
          <w:sz w:val="28"/>
          <w:szCs w:val="28"/>
        </w:rPr>
        <w:t xml:space="preserve">   </w:t>
      </w:r>
    </w:p>
    <w:p w14:paraId="401F9A05" w14:textId="465F48FA" w:rsidR="006457F2" w:rsidRPr="00734AD5" w:rsidRDefault="006457F2" w:rsidP="00213B3E">
      <w:pPr>
        <w:tabs>
          <w:tab w:val="left" w:pos="6804"/>
        </w:tabs>
        <w:jc w:val="both"/>
        <w:rPr>
          <w:sz w:val="28"/>
          <w:szCs w:val="28"/>
        </w:rPr>
      </w:pPr>
      <w:r w:rsidRPr="00734AD5">
        <w:rPr>
          <w:sz w:val="28"/>
          <w:szCs w:val="28"/>
        </w:rPr>
        <w:t>Rīgā</w:t>
      </w:r>
      <w:r w:rsidRPr="00734AD5">
        <w:rPr>
          <w:sz w:val="28"/>
          <w:szCs w:val="28"/>
        </w:rPr>
        <w:tab/>
        <w:t>(prot. Nr.</w:t>
      </w:r>
      <w:proofErr w:type="gramStart"/>
      <w:r w:rsidRPr="00734AD5">
        <w:rPr>
          <w:sz w:val="28"/>
          <w:szCs w:val="28"/>
        </w:rPr>
        <w:t> </w:t>
      </w:r>
      <w:r w:rsidR="009F3EFB" w:rsidRPr="00734AD5">
        <w:rPr>
          <w:sz w:val="28"/>
          <w:szCs w:val="28"/>
        </w:rPr>
        <w:t xml:space="preserve">          </w:t>
      </w:r>
      <w:r w:rsidRPr="00734AD5">
        <w:rPr>
          <w:sz w:val="28"/>
          <w:szCs w:val="28"/>
        </w:rPr>
        <w:t>.</w:t>
      </w:r>
      <w:proofErr w:type="gramEnd"/>
      <w:r w:rsidRPr="00734AD5">
        <w:rPr>
          <w:sz w:val="28"/>
          <w:szCs w:val="28"/>
        </w:rPr>
        <w:t>§)</w:t>
      </w:r>
    </w:p>
    <w:p w14:paraId="4B0AC974" w14:textId="77777777" w:rsidR="00213B3E" w:rsidRPr="00734AD5" w:rsidRDefault="00213B3E" w:rsidP="00213B3E">
      <w:pPr>
        <w:shd w:val="clear" w:color="auto" w:fill="FFFFFF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14:paraId="26DB98C4" w14:textId="77777777" w:rsidR="00133521" w:rsidRDefault="00133521" w:rsidP="00213B3E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0371B201" w14:textId="60A8CA3D" w:rsidR="00213B3E" w:rsidRPr="00734AD5" w:rsidRDefault="00213B3E" w:rsidP="00213B3E">
      <w:pPr>
        <w:shd w:val="clear" w:color="auto" w:fill="FFFFFF"/>
        <w:jc w:val="center"/>
        <w:rPr>
          <w:b/>
          <w:bCs/>
          <w:sz w:val="28"/>
          <w:szCs w:val="28"/>
        </w:rPr>
      </w:pPr>
      <w:r w:rsidRPr="00734AD5">
        <w:rPr>
          <w:b/>
          <w:bCs/>
          <w:sz w:val="28"/>
          <w:szCs w:val="28"/>
        </w:rPr>
        <w:t>Kārtība, kādā interaktīvo azartspēļu un interaktīvo izložu organizētājs iesniedz paziņojumu par pārskata ceturksni</w:t>
      </w:r>
    </w:p>
    <w:p w14:paraId="173C2B6C" w14:textId="77777777" w:rsidR="00213B3E" w:rsidRPr="00734AD5" w:rsidRDefault="00213B3E" w:rsidP="00213B3E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  <w:bookmarkStart w:id="1" w:name="p1"/>
      <w:bookmarkStart w:id="2" w:name="p-67046"/>
      <w:bookmarkEnd w:id="1"/>
      <w:bookmarkEnd w:id="2"/>
    </w:p>
    <w:p w14:paraId="67C18C2A" w14:textId="77777777" w:rsidR="00213B3E" w:rsidRPr="00734AD5" w:rsidRDefault="00213B3E" w:rsidP="00213B3E">
      <w:pPr>
        <w:jc w:val="right"/>
        <w:rPr>
          <w:sz w:val="28"/>
          <w:szCs w:val="28"/>
        </w:rPr>
      </w:pPr>
      <w:r w:rsidRPr="00734AD5">
        <w:rPr>
          <w:sz w:val="28"/>
          <w:szCs w:val="28"/>
        </w:rPr>
        <w:t>Izdoti saskaņā ar</w:t>
      </w:r>
    </w:p>
    <w:p w14:paraId="072B0C0A" w14:textId="77777777" w:rsidR="00213B3E" w:rsidRPr="00734AD5" w:rsidRDefault="00213B3E" w:rsidP="00213B3E">
      <w:pPr>
        <w:jc w:val="right"/>
        <w:rPr>
          <w:sz w:val="28"/>
          <w:szCs w:val="28"/>
        </w:rPr>
      </w:pPr>
      <w:r w:rsidRPr="00734AD5">
        <w:rPr>
          <w:sz w:val="28"/>
          <w:szCs w:val="28"/>
        </w:rPr>
        <w:t xml:space="preserve">Azartspēļu un izložu likuma </w:t>
      </w:r>
    </w:p>
    <w:p w14:paraId="083B9D0F" w14:textId="77777777" w:rsidR="00213B3E" w:rsidRPr="00734AD5" w:rsidRDefault="00213B3E" w:rsidP="00213B3E">
      <w:pPr>
        <w:jc w:val="right"/>
        <w:rPr>
          <w:sz w:val="28"/>
          <w:szCs w:val="28"/>
        </w:rPr>
      </w:pPr>
      <w:proofErr w:type="gramStart"/>
      <w:r w:rsidRPr="00734AD5">
        <w:rPr>
          <w:sz w:val="28"/>
          <w:szCs w:val="28"/>
        </w:rPr>
        <w:t>53.panta</w:t>
      </w:r>
      <w:proofErr w:type="gramEnd"/>
      <w:r w:rsidRPr="00734AD5">
        <w:rPr>
          <w:sz w:val="28"/>
          <w:szCs w:val="28"/>
        </w:rPr>
        <w:t xml:space="preserve"> sesto daļu un</w:t>
      </w:r>
    </w:p>
    <w:p w14:paraId="19799AE0" w14:textId="7204F614" w:rsidR="00213B3E" w:rsidRPr="00734AD5" w:rsidRDefault="00213B3E" w:rsidP="00213B3E">
      <w:pPr>
        <w:jc w:val="right"/>
        <w:rPr>
          <w:sz w:val="28"/>
          <w:szCs w:val="28"/>
        </w:rPr>
      </w:pPr>
      <w:proofErr w:type="gramStart"/>
      <w:r w:rsidRPr="00734AD5">
        <w:rPr>
          <w:sz w:val="28"/>
          <w:szCs w:val="28"/>
        </w:rPr>
        <w:t>80.panta</w:t>
      </w:r>
      <w:proofErr w:type="gramEnd"/>
      <w:r w:rsidRPr="00734AD5">
        <w:rPr>
          <w:sz w:val="28"/>
          <w:szCs w:val="28"/>
        </w:rPr>
        <w:t xml:space="preserve"> astoto daļu</w:t>
      </w:r>
    </w:p>
    <w:p w14:paraId="6937428A" w14:textId="7FBD0A3C" w:rsidR="00213B3E" w:rsidRPr="00734AD5" w:rsidRDefault="00213B3E" w:rsidP="00213B3E">
      <w:pPr>
        <w:jc w:val="right"/>
        <w:rPr>
          <w:sz w:val="28"/>
          <w:szCs w:val="28"/>
        </w:rPr>
      </w:pPr>
    </w:p>
    <w:p w14:paraId="119A4E7B" w14:textId="77777777" w:rsidR="00213B3E" w:rsidRPr="00734AD5" w:rsidRDefault="00213B3E" w:rsidP="00213B3E">
      <w:pPr>
        <w:shd w:val="clear" w:color="auto" w:fill="FFFFFF"/>
        <w:spacing w:line="293" w:lineRule="atLeast"/>
        <w:ind w:firstLine="300"/>
        <w:jc w:val="both"/>
        <w:rPr>
          <w:sz w:val="28"/>
          <w:szCs w:val="28"/>
        </w:rPr>
      </w:pPr>
    </w:p>
    <w:p w14:paraId="4C2F4495" w14:textId="298E0771" w:rsidR="00213B3E" w:rsidRPr="00734AD5" w:rsidRDefault="00213B3E" w:rsidP="00213B3E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1. Noteikumi nosaka kārtību, kādā interaktīvo azartspēļu organizētājs un totalizatora vai derību organizētājs, kas pieņem likmes ar elektronisko sakaru pakalpojumu starpniecību</w:t>
      </w:r>
      <w:r w:rsidR="000568E7" w:rsidRPr="00734AD5">
        <w:rPr>
          <w:sz w:val="28"/>
          <w:szCs w:val="28"/>
        </w:rPr>
        <w:t xml:space="preserve">, </w:t>
      </w:r>
      <w:r w:rsidR="000568E7" w:rsidRPr="00734AD5">
        <w:rPr>
          <w:sz w:val="28"/>
          <w:szCs w:val="28"/>
          <w:shd w:val="clear" w:color="auto" w:fill="FFFFFF"/>
        </w:rPr>
        <w:t xml:space="preserve">un </w:t>
      </w:r>
      <w:r w:rsidR="000568E7" w:rsidRPr="00EB4272">
        <w:rPr>
          <w:sz w:val="28"/>
          <w:szCs w:val="28"/>
          <w:shd w:val="clear" w:color="auto" w:fill="FFFFFF"/>
        </w:rPr>
        <w:t>interaktīvo izložu organizētājs</w:t>
      </w:r>
      <w:r w:rsidRPr="00734AD5">
        <w:rPr>
          <w:sz w:val="28"/>
          <w:szCs w:val="28"/>
        </w:rPr>
        <w:t xml:space="preserve"> (turpmāk</w:t>
      </w:r>
      <w:r w:rsidR="001F44CA" w:rsidRPr="00734AD5">
        <w:rPr>
          <w:sz w:val="28"/>
          <w:szCs w:val="28"/>
        </w:rPr>
        <w:t xml:space="preserve"> arī</w:t>
      </w:r>
      <w:r w:rsidRPr="00734AD5">
        <w:rPr>
          <w:sz w:val="28"/>
          <w:szCs w:val="28"/>
        </w:rPr>
        <w:t xml:space="preserve"> </w:t>
      </w:r>
      <w:r w:rsidR="000568E7" w:rsidRPr="00734AD5">
        <w:rPr>
          <w:szCs w:val="28"/>
          <w:shd w:val="clear" w:color="auto" w:fill="FFFFFF"/>
        </w:rPr>
        <w:t>–</w:t>
      </w:r>
      <w:r w:rsidRPr="00734AD5">
        <w:rPr>
          <w:sz w:val="28"/>
          <w:szCs w:val="28"/>
        </w:rPr>
        <w:t xml:space="preserve"> licences saņēmējs) iesniedz Valsts ieņēmumu dienestam un Izložu un azartspēļu uzraudzības inspekcijai paziņojumu par pārskata ceturksnī iemaksāto likmju kopsummu un izmaksāto laimestu kopsummu</w:t>
      </w:r>
      <w:r w:rsidR="000568E7" w:rsidRPr="00734AD5">
        <w:rPr>
          <w:szCs w:val="28"/>
          <w:shd w:val="clear" w:color="auto" w:fill="FFFFFF"/>
        </w:rPr>
        <w:t xml:space="preserve"> </w:t>
      </w:r>
      <w:r w:rsidR="000568E7" w:rsidRPr="00734AD5">
        <w:rPr>
          <w:sz w:val="28"/>
          <w:szCs w:val="28"/>
          <w:shd w:val="clear" w:color="auto" w:fill="FFFFFF"/>
        </w:rPr>
        <w:t xml:space="preserve">un </w:t>
      </w:r>
      <w:r w:rsidR="000568E7" w:rsidRPr="00EB4272">
        <w:rPr>
          <w:sz w:val="28"/>
          <w:szCs w:val="28"/>
          <w:shd w:val="clear" w:color="auto" w:fill="FFFFFF"/>
        </w:rPr>
        <w:t>paziņojumu par pārskata ceturksnī pārdotajām biļetēm un izmaksāto laimestu kopsummu</w:t>
      </w:r>
      <w:r w:rsidRPr="00734AD5">
        <w:rPr>
          <w:sz w:val="28"/>
          <w:szCs w:val="28"/>
        </w:rPr>
        <w:t>, kā arī kredītiestādes izziņu par pārskata ceturksnī savstarpējos norēķinos ar spēlētājiem izmantotajā kontā veiktajiem darījumiem.</w:t>
      </w:r>
    </w:p>
    <w:p w14:paraId="7544EC24" w14:textId="77777777" w:rsidR="000568E7" w:rsidRPr="00734AD5" w:rsidRDefault="000568E7" w:rsidP="00213B3E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3" w:name="p2"/>
      <w:bookmarkStart w:id="4" w:name="p-547273"/>
      <w:bookmarkEnd w:id="3"/>
      <w:bookmarkEnd w:id="4"/>
    </w:p>
    <w:p w14:paraId="4C66F7D9" w14:textId="410647E7" w:rsidR="00213B3E" w:rsidRPr="00734AD5" w:rsidRDefault="00213B3E" w:rsidP="00593F6E">
      <w:pPr>
        <w:shd w:val="clear" w:color="auto" w:fill="FFFFFF"/>
        <w:tabs>
          <w:tab w:val="left" w:pos="993"/>
        </w:tabs>
        <w:spacing w:line="293" w:lineRule="atLeast"/>
        <w:ind w:firstLine="72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 Licences saņēmējs paziņojumā par pārskata ceturksnī iemaksāto interaktīvo azartspēļu likmju kopsummu un izmaksāto laimestu kopsummu (</w:t>
      </w:r>
      <w:hyperlink r:id="rId12" w:anchor="piel1" w:tgtFrame="_blank" w:history="1">
        <w:r w:rsidRPr="00734AD5">
          <w:rPr>
            <w:sz w:val="28"/>
            <w:szCs w:val="28"/>
          </w:rPr>
          <w:t>1.pielikums</w:t>
        </w:r>
      </w:hyperlink>
      <w:r w:rsidRPr="00734AD5">
        <w:rPr>
          <w:sz w:val="28"/>
          <w:szCs w:val="28"/>
        </w:rPr>
        <w:t>) norāda šādu informāciju:</w:t>
      </w:r>
    </w:p>
    <w:p w14:paraId="253F1301" w14:textId="77777777" w:rsidR="00213B3E" w:rsidRPr="00734AD5" w:rsidRDefault="00213B3E" w:rsidP="00B027A8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2.1. licences saņēmēja firma, reģistrācijas numurs komercreģistrā, juridiskā adrese, azartspēļu organizēšanas licences numurs;</w:t>
      </w:r>
    </w:p>
    <w:p w14:paraId="7FC8D8AA" w14:textId="77777777" w:rsidR="00213B3E" w:rsidRPr="00734AD5" w:rsidRDefault="00213B3E" w:rsidP="00B027A8">
      <w:pPr>
        <w:shd w:val="clear" w:color="auto" w:fill="FFFFFF"/>
        <w:spacing w:line="293" w:lineRule="atLeast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 iemaksāto likmju 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un izmaksāto laimestu 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par pārskata ceturkšņa attiecīgajā mēnesī un pārskata ceturksnī spēlētajām interaktīvajām azartspēlēm:</w:t>
      </w:r>
    </w:p>
    <w:p w14:paraId="572CE0A7" w14:textId="77777777" w:rsidR="00213B3E" w:rsidRPr="00734AD5" w:rsidRDefault="00213B3E" w:rsidP="00213B3E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2.2.1. par spēļu automātu spēlēm, ruletēm (cilindriskām spēlēm), kāršu spēlēm (izņemot par kāršu spēlēm starp spēlētājiem), kauliņu spēlēm, bingo;</w:t>
      </w:r>
    </w:p>
    <w:p w14:paraId="6FB339E9" w14:textId="77777777" w:rsidR="00213B3E" w:rsidRPr="00734AD5" w:rsidRDefault="00213B3E" w:rsidP="00213B3E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2.2.2. par totalizatoru un derībām;</w:t>
      </w:r>
    </w:p>
    <w:p w14:paraId="49C19847" w14:textId="48C03578" w:rsidR="00213B3E" w:rsidRPr="00734AD5" w:rsidRDefault="00213B3E" w:rsidP="00213B3E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2.2.3. par kāršu spēlēm starp spēlētājiem;</w:t>
      </w:r>
    </w:p>
    <w:p w14:paraId="10D01802" w14:textId="61A51DDD" w:rsidR="001F44CA" w:rsidRPr="00734AD5" w:rsidRDefault="001F44CA" w:rsidP="00213B3E">
      <w:pPr>
        <w:shd w:val="clear" w:color="auto" w:fill="FFFFFF"/>
        <w:spacing w:line="293" w:lineRule="atLeast"/>
        <w:ind w:left="900" w:firstLine="300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2.2.4. par veiksmes spēlēm pa tālruni;</w:t>
      </w:r>
    </w:p>
    <w:p w14:paraId="22FBC6B8" w14:textId="70BB72B4" w:rsidR="00213B3E" w:rsidRPr="00734AD5" w:rsidRDefault="00213B3E" w:rsidP="00E126A3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2.3. pārskata ceturkšņa attiecīgajā mēnesī un pārskata ceturksnī iemaksāto likmju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un izmaksāto laimestu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).</w:t>
      </w:r>
    </w:p>
    <w:p w14:paraId="622C5CEC" w14:textId="77777777" w:rsidR="00E126A3" w:rsidRPr="00734AD5" w:rsidRDefault="00E126A3" w:rsidP="00E126A3">
      <w:pPr>
        <w:shd w:val="clear" w:color="auto" w:fill="FFFFFF"/>
        <w:ind w:firstLine="868"/>
        <w:jc w:val="both"/>
        <w:rPr>
          <w:sz w:val="28"/>
          <w:szCs w:val="28"/>
        </w:rPr>
      </w:pPr>
    </w:p>
    <w:p w14:paraId="07231225" w14:textId="5A43FA09" w:rsidR="00213B3E" w:rsidRPr="00734AD5" w:rsidRDefault="00213B3E" w:rsidP="001F44CA">
      <w:pPr>
        <w:shd w:val="clear" w:color="auto" w:fill="FFFFFF"/>
        <w:spacing w:line="293" w:lineRule="atLeast"/>
        <w:ind w:firstLine="720"/>
        <w:jc w:val="both"/>
        <w:rPr>
          <w:sz w:val="28"/>
          <w:szCs w:val="28"/>
        </w:rPr>
      </w:pPr>
      <w:bookmarkStart w:id="5" w:name="p3"/>
      <w:bookmarkStart w:id="6" w:name="p-482476"/>
      <w:bookmarkEnd w:id="5"/>
      <w:bookmarkEnd w:id="6"/>
      <w:r w:rsidRPr="00734AD5">
        <w:rPr>
          <w:sz w:val="28"/>
          <w:szCs w:val="28"/>
        </w:rPr>
        <w:t xml:space="preserve">3. Licences saņēmējs paziņojumā par </w:t>
      </w:r>
      <w:r w:rsidR="00B027A8" w:rsidRPr="00734AD5">
        <w:rPr>
          <w:sz w:val="28"/>
          <w:szCs w:val="28"/>
          <w:shd w:val="clear" w:color="auto" w:fill="FFFFFF"/>
        </w:rPr>
        <w:t>pārskata ceturk</w:t>
      </w:r>
      <w:r w:rsidR="00EB4272">
        <w:rPr>
          <w:sz w:val="28"/>
          <w:szCs w:val="28"/>
          <w:shd w:val="clear" w:color="auto" w:fill="FFFFFF"/>
        </w:rPr>
        <w:t>šņa interaktīvo izložu</w:t>
      </w:r>
      <w:r w:rsidR="00B027A8" w:rsidRPr="00734AD5">
        <w:rPr>
          <w:sz w:val="28"/>
          <w:szCs w:val="28"/>
          <w:shd w:val="clear" w:color="auto" w:fill="FFFFFF"/>
        </w:rPr>
        <w:t xml:space="preserve"> biļe</w:t>
      </w:r>
      <w:r w:rsidR="00EB4272">
        <w:rPr>
          <w:sz w:val="28"/>
          <w:szCs w:val="28"/>
          <w:shd w:val="clear" w:color="auto" w:fill="FFFFFF"/>
        </w:rPr>
        <w:t>šu realizācijas ieņēmumiem</w:t>
      </w:r>
      <w:r w:rsidR="00B027A8" w:rsidRPr="00734AD5">
        <w:rPr>
          <w:sz w:val="28"/>
          <w:szCs w:val="28"/>
          <w:shd w:val="clear" w:color="auto" w:fill="FFFFFF"/>
        </w:rPr>
        <w:t xml:space="preserve"> un izmaksāto laimestu kopsummu</w:t>
      </w:r>
      <w:r w:rsidR="00B027A8" w:rsidRPr="00734AD5" w:rsidDel="001F44CA">
        <w:rPr>
          <w:sz w:val="28"/>
          <w:szCs w:val="28"/>
        </w:rPr>
        <w:t xml:space="preserve"> </w:t>
      </w:r>
      <w:r w:rsidRPr="00734AD5">
        <w:rPr>
          <w:sz w:val="28"/>
          <w:szCs w:val="28"/>
        </w:rPr>
        <w:t>(</w:t>
      </w:r>
      <w:hyperlink r:id="rId13" w:anchor="piel2" w:tgtFrame="_blank" w:history="1">
        <w:r w:rsidRPr="00734AD5">
          <w:rPr>
            <w:sz w:val="28"/>
            <w:szCs w:val="28"/>
          </w:rPr>
          <w:t>2.pielikums</w:t>
        </w:r>
      </w:hyperlink>
      <w:r w:rsidRPr="00734AD5">
        <w:rPr>
          <w:sz w:val="28"/>
          <w:szCs w:val="28"/>
        </w:rPr>
        <w:t>) norāda šādu informāciju:</w:t>
      </w:r>
    </w:p>
    <w:p w14:paraId="677BC5FE" w14:textId="10A15946" w:rsidR="00213B3E" w:rsidRPr="00734AD5" w:rsidRDefault="00213B3E" w:rsidP="00B027A8">
      <w:pPr>
        <w:shd w:val="clear" w:color="auto" w:fill="FFFFFF"/>
        <w:tabs>
          <w:tab w:val="left" w:pos="851"/>
        </w:tabs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lastRenderedPageBreak/>
        <w:t xml:space="preserve">3.1. licences saņēmēja firma, reģistrācijas numurs komercreģistrā, juridiskā adrese, </w:t>
      </w:r>
      <w:r w:rsidR="00EB4272">
        <w:rPr>
          <w:sz w:val="28"/>
          <w:szCs w:val="28"/>
        </w:rPr>
        <w:t xml:space="preserve">interaktīvo </w:t>
      </w:r>
      <w:r w:rsidRPr="00734AD5">
        <w:rPr>
          <w:sz w:val="28"/>
          <w:szCs w:val="28"/>
        </w:rPr>
        <w:t>izložu organizēšanas licences numurs;</w:t>
      </w:r>
    </w:p>
    <w:p w14:paraId="12679617" w14:textId="0EC3F74B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>3.2. katrā pārskata ceturkšņa mēnesī spēlēt</w:t>
      </w:r>
      <w:r w:rsidR="007C2329">
        <w:rPr>
          <w:sz w:val="28"/>
          <w:szCs w:val="28"/>
        </w:rPr>
        <w:t>o</w:t>
      </w:r>
      <w:r w:rsidRPr="00734AD5">
        <w:rPr>
          <w:sz w:val="28"/>
          <w:szCs w:val="28"/>
        </w:rPr>
        <w:t xml:space="preserve"> </w:t>
      </w:r>
      <w:r w:rsidR="00B027A8" w:rsidRPr="00734AD5">
        <w:rPr>
          <w:sz w:val="28"/>
          <w:szCs w:val="28"/>
        </w:rPr>
        <w:t>interaktīv</w:t>
      </w:r>
      <w:r w:rsidR="007C2329">
        <w:rPr>
          <w:sz w:val="28"/>
          <w:szCs w:val="28"/>
        </w:rPr>
        <w:t>o</w:t>
      </w:r>
      <w:r w:rsidR="00B027A8" w:rsidRPr="00734AD5">
        <w:rPr>
          <w:sz w:val="28"/>
          <w:szCs w:val="28"/>
        </w:rPr>
        <w:t xml:space="preserve"> </w:t>
      </w:r>
      <w:r w:rsidRPr="00734AD5">
        <w:rPr>
          <w:sz w:val="28"/>
          <w:szCs w:val="28"/>
        </w:rPr>
        <w:t>izlo</w:t>
      </w:r>
      <w:r w:rsidR="007C2329">
        <w:rPr>
          <w:sz w:val="28"/>
          <w:szCs w:val="28"/>
        </w:rPr>
        <w:t xml:space="preserve">žu </w:t>
      </w:r>
      <w:r w:rsidR="007C2329" w:rsidRPr="00B21470">
        <w:rPr>
          <w:sz w:val="28"/>
          <w:szCs w:val="28"/>
        </w:rPr>
        <w:t>veida</w:t>
      </w:r>
      <w:r w:rsidRPr="00734AD5">
        <w:rPr>
          <w:sz w:val="28"/>
          <w:szCs w:val="28"/>
        </w:rPr>
        <w:t xml:space="preserve"> nosaukums;</w:t>
      </w:r>
    </w:p>
    <w:p w14:paraId="2AF5AAA7" w14:textId="458EC1B7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 xml:space="preserve">3.3. </w:t>
      </w:r>
      <w:r w:rsidR="00EB4272">
        <w:rPr>
          <w:sz w:val="28"/>
          <w:szCs w:val="28"/>
        </w:rPr>
        <w:t>interaktīvo izložu</w:t>
      </w:r>
      <w:r w:rsidRPr="00734AD5">
        <w:rPr>
          <w:sz w:val="28"/>
          <w:szCs w:val="28"/>
        </w:rPr>
        <w:t xml:space="preserve"> biļe</w:t>
      </w:r>
      <w:r w:rsidR="00EB4272">
        <w:rPr>
          <w:sz w:val="28"/>
          <w:szCs w:val="28"/>
        </w:rPr>
        <w:t>šu realizācijas ieņēmumi</w:t>
      </w:r>
      <w:r w:rsidRPr="00734AD5">
        <w:rPr>
          <w:sz w:val="28"/>
          <w:szCs w:val="28"/>
        </w:rPr>
        <w:t xml:space="preserve">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 xml:space="preserve">) par katru </w:t>
      </w:r>
      <w:r w:rsidR="00B027A8" w:rsidRPr="00734AD5">
        <w:rPr>
          <w:sz w:val="28"/>
          <w:szCs w:val="28"/>
        </w:rPr>
        <w:t xml:space="preserve">interaktīvo </w:t>
      </w:r>
      <w:r w:rsidRPr="00734AD5">
        <w:rPr>
          <w:sz w:val="28"/>
          <w:szCs w:val="28"/>
        </w:rPr>
        <w:t>izlo</w:t>
      </w:r>
      <w:r w:rsidR="007C2329">
        <w:rPr>
          <w:sz w:val="28"/>
          <w:szCs w:val="28"/>
        </w:rPr>
        <w:t xml:space="preserve">žu </w:t>
      </w:r>
      <w:r w:rsidR="007C2329" w:rsidRPr="00B21470">
        <w:rPr>
          <w:sz w:val="28"/>
          <w:szCs w:val="28"/>
        </w:rPr>
        <w:t>veidu</w:t>
      </w:r>
      <w:r w:rsidRPr="00734AD5">
        <w:rPr>
          <w:sz w:val="28"/>
          <w:szCs w:val="28"/>
        </w:rPr>
        <w:t xml:space="preserve"> pārskata ceturkšņa attiecīgajā mēnesī un </w:t>
      </w:r>
      <w:r w:rsidR="00EB4272">
        <w:rPr>
          <w:sz w:val="28"/>
          <w:szCs w:val="28"/>
        </w:rPr>
        <w:t xml:space="preserve">realizācijas </w:t>
      </w:r>
      <w:r w:rsidRPr="00734AD5">
        <w:rPr>
          <w:sz w:val="28"/>
          <w:szCs w:val="28"/>
        </w:rPr>
        <w:t>ieņēmumu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mēnesī;</w:t>
      </w:r>
    </w:p>
    <w:p w14:paraId="2DA08849" w14:textId="10AA57C9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 xml:space="preserve">3.4. </w:t>
      </w:r>
      <w:r w:rsidR="00EB4272">
        <w:rPr>
          <w:sz w:val="28"/>
          <w:szCs w:val="28"/>
        </w:rPr>
        <w:t xml:space="preserve">interaktīvo izložu </w:t>
      </w:r>
      <w:r w:rsidRPr="00734AD5">
        <w:rPr>
          <w:sz w:val="28"/>
          <w:szCs w:val="28"/>
        </w:rPr>
        <w:t>izmaksāto laimestu 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 xml:space="preserve">) par katru </w:t>
      </w:r>
      <w:r w:rsidR="00B027A8" w:rsidRPr="00734AD5">
        <w:rPr>
          <w:sz w:val="28"/>
          <w:szCs w:val="28"/>
        </w:rPr>
        <w:t xml:space="preserve">interaktīvo </w:t>
      </w:r>
      <w:r w:rsidRPr="00734AD5">
        <w:rPr>
          <w:sz w:val="28"/>
          <w:szCs w:val="28"/>
        </w:rPr>
        <w:t>izlo</w:t>
      </w:r>
      <w:r w:rsidR="007C2329">
        <w:rPr>
          <w:sz w:val="28"/>
          <w:szCs w:val="28"/>
        </w:rPr>
        <w:t xml:space="preserve">žu </w:t>
      </w:r>
      <w:r w:rsidR="007C2329" w:rsidRPr="00B21470">
        <w:rPr>
          <w:sz w:val="28"/>
          <w:szCs w:val="28"/>
        </w:rPr>
        <w:t>veidu</w:t>
      </w:r>
      <w:r w:rsidRPr="00734AD5">
        <w:rPr>
          <w:sz w:val="28"/>
          <w:szCs w:val="28"/>
        </w:rPr>
        <w:t xml:space="preserve"> pārskata ceturkšņa attiecīgajā mēnesī un </w:t>
      </w:r>
      <w:r w:rsidR="00EB4272">
        <w:rPr>
          <w:sz w:val="28"/>
          <w:szCs w:val="28"/>
        </w:rPr>
        <w:t xml:space="preserve">interaktīvo izložu </w:t>
      </w:r>
      <w:r w:rsidRPr="00734AD5">
        <w:rPr>
          <w:sz w:val="28"/>
          <w:szCs w:val="28"/>
        </w:rPr>
        <w:t>izmaksāto laimestu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mēnesī;</w:t>
      </w:r>
    </w:p>
    <w:p w14:paraId="0299142B" w14:textId="14C25F19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 xml:space="preserve">3.5. </w:t>
      </w:r>
      <w:r w:rsidR="00EB4272">
        <w:rPr>
          <w:sz w:val="28"/>
          <w:szCs w:val="28"/>
        </w:rPr>
        <w:t xml:space="preserve">interaktīvo izložu biļešu realizācijas </w:t>
      </w:r>
      <w:r w:rsidRPr="00734AD5">
        <w:rPr>
          <w:sz w:val="28"/>
          <w:szCs w:val="28"/>
        </w:rPr>
        <w:t>ieņēmumu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 pārskata ceturksnī;</w:t>
      </w:r>
    </w:p>
    <w:p w14:paraId="45A75936" w14:textId="55B8CB89" w:rsidR="00213B3E" w:rsidRPr="00734AD5" w:rsidRDefault="00213B3E" w:rsidP="00B027A8">
      <w:pPr>
        <w:shd w:val="clear" w:color="auto" w:fill="FFFFFF"/>
        <w:ind w:firstLine="868"/>
        <w:jc w:val="both"/>
        <w:rPr>
          <w:sz w:val="28"/>
          <w:szCs w:val="28"/>
        </w:rPr>
      </w:pPr>
      <w:r w:rsidRPr="00734AD5">
        <w:rPr>
          <w:sz w:val="28"/>
          <w:szCs w:val="28"/>
        </w:rPr>
        <w:t xml:space="preserve">3.6. pārskata ceturksnī izmaksāto </w:t>
      </w:r>
      <w:r w:rsidR="00437CE9">
        <w:rPr>
          <w:sz w:val="28"/>
          <w:szCs w:val="28"/>
        </w:rPr>
        <w:t xml:space="preserve">interaktīvo izložu </w:t>
      </w:r>
      <w:r w:rsidRPr="00734AD5">
        <w:rPr>
          <w:sz w:val="28"/>
          <w:szCs w:val="28"/>
        </w:rPr>
        <w:t>laimestu kopsumma (</w:t>
      </w:r>
      <w:proofErr w:type="spellStart"/>
      <w:r w:rsidRPr="00734AD5">
        <w:rPr>
          <w:i/>
          <w:iCs/>
          <w:sz w:val="28"/>
          <w:szCs w:val="28"/>
        </w:rPr>
        <w:t>euro</w:t>
      </w:r>
      <w:proofErr w:type="spellEnd"/>
      <w:r w:rsidRPr="00734AD5">
        <w:rPr>
          <w:sz w:val="28"/>
          <w:szCs w:val="28"/>
        </w:rPr>
        <w:t>).</w:t>
      </w:r>
    </w:p>
    <w:p w14:paraId="07A15C12" w14:textId="77777777" w:rsidR="00CA1ED0" w:rsidRPr="00734AD5" w:rsidRDefault="00CA1ED0" w:rsidP="00B027A8">
      <w:pPr>
        <w:shd w:val="clear" w:color="auto" w:fill="FFFFFF"/>
        <w:ind w:firstLine="868"/>
        <w:jc w:val="both"/>
        <w:rPr>
          <w:sz w:val="28"/>
          <w:szCs w:val="28"/>
        </w:rPr>
      </w:pPr>
    </w:p>
    <w:p w14:paraId="1068DE67" w14:textId="53504620" w:rsidR="00213B3E" w:rsidRPr="00734AD5" w:rsidRDefault="00C858F9" w:rsidP="00E126A3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7" w:name="p4"/>
      <w:bookmarkStart w:id="8" w:name="p-547274"/>
      <w:bookmarkStart w:id="9" w:name="p5"/>
      <w:bookmarkStart w:id="10" w:name="p-547275"/>
      <w:bookmarkEnd w:id="7"/>
      <w:bookmarkEnd w:id="8"/>
      <w:bookmarkEnd w:id="9"/>
      <w:bookmarkEnd w:id="10"/>
      <w:r>
        <w:rPr>
          <w:sz w:val="28"/>
          <w:szCs w:val="28"/>
        </w:rPr>
        <w:t>4</w:t>
      </w:r>
      <w:r w:rsidR="00213B3E" w:rsidRPr="00734AD5">
        <w:rPr>
          <w:sz w:val="28"/>
          <w:szCs w:val="28"/>
        </w:rPr>
        <w:t>. Šo noteikumu </w:t>
      </w:r>
      <w:hyperlink r:id="rId14" w:anchor="p2" w:tgtFrame="_blank" w:history="1">
        <w:r w:rsidR="00213B3E" w:rsidRPr="00734AD5">
          <w:rPr>
            <w:sz w:val="28"/>
            <w:szCs w:val="28"/>
          </w:rPr>
          <w:t>2. </w:t>
        </w:r>
      </w:hyperlink>
      <w:r w:rsidR="00213B3E" w:rsidRPr="00734AD5">
        <w:rPr>
          <w:sz w:val="28"/>
          <w:szCs w:val="28"/>
        </w:rPr>
        <w:t>un </w:t>
      </w:r>
      <w:hyperlink r:id="rId15" w:anchor="p3" w:tgtFrame="_blank" w:history="1">
        <w:r w:rsidR="00213B3E" w:rsidRPr="00734AD5">
          <w:rPr>
            <w:sz w:val="28"/>
            <w:szCs w:val="28"/>
          </w:rPr>
          <w:t>3.punktā</w:t>
        </w:r>
      </w:hyperlink>
      <w:r w:rsidR="00213B3E" w:rsidRPr="00734AD5">
        <w:rPr>
          <w:sz w:val="28"/>
          <w:szCs w:val="28"/>
        </w:rPr>
        <w:t> minēto paziņojumu paraksta licences saņēmēja atbildīgā persona (persona, kurai ir tiesības pārstāvēt licences saņēmēju). Licences saņēmējs minētos paziņojumus iesniedz Valsts ieņēmumu dienest</w:t>
      </w:r>
      <w:r w:rsidR="00E126A3" w:rsidRPr="00734AD5">
        <w:rPr>
          <w:sz w:val="28"/>
          <w:szCs w:val="28"/>
        </w:rPr>
        <w:t>am</w:t>
      </w:r>
      <w:r w:rsidR="00E126A3" w:rsidRPr="00734AD5">
        <w:rPr>
          <w:sz w:val="28"/>
          <w:szCs w:val="28"/>
          <w:shd w:val="clear" w:color="auto" w:fill="FFFFFF"/>
        </w:rPr>
        <w:t xml:space="preserve"> elektroniski Elektroniskās deklarēšanas sistēmā </w:t>
      </w:r>
      <w:r w:rsidR="00213B3E" w:rsidRPr="00734AD5">
        <w:rPr>
          <w:sz w:val="28"/>
          <w:szCs w:val="28"/>
        </w:rPr>
        <w:t>un Izložu un azartspēļu uzraudzības inspekcij</w:t>
      </w:r>
      <w:r w:rsidR="00E126A3" w:rsidRPr="00734AD5">
        <w:rPr>
          <w:sz w:val="28"/>
          <w:szCs w:val="28"/>
        </w:rPr>
        <w:t>ai</w:t>
      </w:r>
      <w:r w:rsidR="00213B3E" w:rsidRPr="00734AD5">
        <w:rPr>
          <w:sz w:val="28"/>
          <w:szCs w:val="28"/>
        </w:rPr>
        <w:t>.</w:t>
      </w:r>
      <w:r w:rsidR="00AA258F">
        <w:rPr>
          <w:sz w:val="28"/>
          <w:szCs w:val="28"/>
        </w:rPr>
        <w:t xml:space="preserve"> </w:t>
      </w:r>
    </w:p>
    <w:p w14:paraId="0D371F99" w14:textId="77777777" w:rsidR="00CA1ED0" w:rsidRPr="00734AD5" w:rsidRDefault="00CA1ED0" w:rsidP="00E126A3">
      <w:pPr>
        <w:shd w:val="clear" w:color="auto" w:fill="FFFFFF"/>
        <w:ind w:firstLine="720"/>
        <w:jc w:val="both"/>
        <w:rPr>
          <w:sz w:val="28"/>
          <w:szCs w:val="28"/>
        </w:rPr>
      </w:pPr>
      <w:bookmarkStart w:id="11" w:name="p6"/>
      <w:bookmarkStart w:id="12" w:name="p-547276"/>
      <w:bookmarkEnd w:id="11"/>
      <w:bookmarkEnd w:id="12"/>
    </w:p>
    <w:p w14:paraId="1259633C" w14:textId="1FC0D218" w:rsidR="00213B3E" w:rsidRPr="00734AD5" w:rsidRDefault="00C858F9" w:rsidP="00E126A3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13B3E" w:rsidRPr="00734AD5">
        <w:rPr>
          <w:sz w:val="28"/>
          <w:szCs w:val="28"/>
        </w:rPr>
        <w:t xml:space="preserve">. Kredītiestādes izziņu par pārskata ceturksnī savstarpējos norēķinos ar spēlētājiem izmantotajā kontā veiktajiem darījumiem </w:t>
      </w:r>
      <w:r w:rsidR="00734AD5" w:rsidRPr="00734AD5">
        <w:rPr>
          <w:sz w:val="28"/>
          <w:szCs w:val="28"/>
        </w:rPr>
        <w:t>interaktīvo azartspēļu organizētājs un totalizatora vai derību organizētājs, kas pieņem likmes ar elektronisko sakaru pakalpojumu starpniecību,</w:t>
      </w:r>
      <w:r w:rsidR="00213B3E" w:rsidRPr="00734AD5">
        <w:rPr>
          <w:sz w:val="28"/>
          <w:szCs w:val="28"/>
        </w:rPr>
        <w:t xml:space="preserve"> iesniedz Valsts ieņēmumu dienest</w:t>
      </w:r>
      <w:r w:rsidR="00E126A3" w:rsidRPr="00734AD5">
        <w:rPr>
          <w:sz w:val="28"/>
          <w:szCs w:val="28"/>
        </w:rPr>
        <w:t xml:space="preserve">am </w:t>
      </w:r>
      <w:r w:rsidR="00E126A3" w:rsidRPr="00734AD5">
        <w:rPr>
          <w:sz w:val="28"/>
          <w:szCs w:val="28"/>
          <w:shd w:val="clear" w:color="auto" w:fill="FFFFFF"/>
        </w:rPr>
        <w:t>elektroniski Elektroniskās deklarēšanas sistēmā</w:t>
      </w:r>
      <w:r w:rsidR="00213B3E" w:rsidRPr="00734AD5">
        <w:rPr>
          <w:sz w:val="28"/>
          <w:szCs w:val="28"/>
        </w:rPr>
        <w:t xml:space="preserve"> un Izložu un azartspēļu uzraudzības inspekcij</w:t>
      </w:r>
      <w:r w:rsidR="00E126A3" w:rsidRPr="00734AD5">
        <w:rPr>
          <w:sz w:val="28"/>
          <w:szCs w:val="28"/>
        </w:rPr>
        <w:t>ai</w:t>
      </w:r>
      <w:r w:rsidR="00213B3E" w:rsidRPr="00734AD5">
        <w:rPr>
          <w:sz w:val="28"/>
          <w:szCs w:val="28"/>
        </w:rPr>
        <w:t>.</w:t>
      </w:r>
    </w:p>
    <w:p w14:paraId="0A40C13A" w14:textId="1A3AD650" w:rsidR="00213B3E" w:rsidRPr="00734AD5" w:rsidRDefault="00213B3E" w:rsidP="00E126A3">
      <w:pPr>
        <w:shd w:val="clear" w:color="auto" w:fill="FFFFFF"/>
        <w:ind w:firstLine="720"/>
        <w:jc w:val="both"/>
        <w:rPr>
          <w:i/>
          <w:iCs/>
          <w:sz w:val="28"/>
          <w:szCs w:val="28"/>
        </w:rPr>
      </w:pPr>
    </w:p>
    <w:p w14:paraId="68999F2E" w14:textId="4348B870" w:rsidR="002D3D37" w:rsidRPr="00734AD5" w:rsidRDefault="00C858F9" w:rsidP="002D3D37">
      <w:pPr>
        <w:shd w:val="clear" w:color="auto" w:fill="FFFFFF"/>
        <w:ind w:firstLine="720"/>
        <w:jc w:val="both"/>
        <w:rPr>
          <w:b/>
          <w:bCs/>
          <w:sz w:val="28"/>
          <w:szCs w:val="28"/>
        </w:rPr>
      </w:pPr>
      <w:bookmarkStart w:id="13" w:name="p7"/>
      <w:bookmarkStart w:id="14" w:name="p-67052"/>
      <w:bookmarkEnd w:id="13"/>
      <w:bookmarkEnd w:id="14"/>
      <w:r>
        <w:rPr>
          <w:sz w:val="28"/>
          <w:szCs w:val="28"/>
        </w:rPr>
        <w:t>6</w:t>
      </w:r>
      <w:r w:rsidR="00213B3E" w:rsidRPr="00734AD5">
        <w:rPr>
          <w:sz w:val="28"/>
          <w:szCs w:val="28"/>
        </w:rPr>
        <w:t xml:space="preserve">. </w:t>
      </w:r>
      <w:r w:rsidR="002D3D37" w:rsidRPr="00734AD5">
        <w:rPr>
          <w:sz w:val="28"/>
          <w:szCs w:val="28"/>
        </w:rPr>
        <w:t xml:space="preserve">Atzīt par spēku zaudējušiem Ministru kabineta </w:t>
      </w:r>
      <w:proofErr w:type="gramStart"/>
      <w:r w:rsidR="002D3D37" w:rsidRPr="00734AD5">
        <w:rPr>
          <w:sz w:val="28"/>
          <w:szCs w:val="28"/>
        </w:rPr>
        <w:t>2007.gada</w:t>
      </w:r>
      <w:proofErr w:type="gramEnd"/>
      <w:r w:rsidR="002D3D37" w:rsidRPr="00734AD5">
        <w:rPr>
          <w:sz w:val="28"/>
          <w:szCs w:val="28"/>
        </w:rPr>
        <w:t xml:space="preserve"> 13.februāra noteikumus Nr.105 “</w:t>
      </w:r>
      <w:r w:rsidR="002D3D37" w:rsidRPr="00734AD5">
        <w:rPr>
          <w:bCs/>
          <w:sz w:val="28"/>
          <w:szCs w:val="28"/>
        </w:rPr>
        <w:t>Kārtība, kādā interaktīvo azartspēļu un izložu organizētājs iesniedz paziņojumu par pārskata ceturksni</w:t>
      </w:r>
      <w:r w:rsidR="002D3D37" w:rsidRPr="00593F6E">
        <w:rPr>
          <w:bCs/>
          <w:sz w:val="28"/>
          <w:szCs w:val="28"/>
        </w:rPr>
        <w:t>”</w:t>
      </w:r>
      <w:r w:rsidR="002D3D37" w:rsidRPr="00734AD5">
        <w:rPr>
          <w:bCs/>
          <w:sz w:val="28"/>
          <w:szCs w:val="28"/>
        </w:rPr>
        <w:t xml:space="preserve"> (</w:t>
      </w:r>
      <w:r w:rsidR="002D3D37" w:rsidRPr="00734AD5">
        <w:rPr>
          <w:sz w:val="28"/>
          <w:szCs w:val="28"/>
          <w:shd w:val="clear" w:color="auto" w:fill="FFFFFF"/>
        </w:rPr>
        <w:t>Latvijas Vēstnesis, 2007, 28.nr.; 2013, 183.nr.; 2015, 73.nr.).</w:t>
      </w:r>
    </w:p>
    <w:p w14:paraId="57D90E3E" w14:textId="77777777" w:rsidR="00CA1ED0" w:rsidRPr="00734AD5" w:rsidRDefault="00CA1ED0" w:rsidP="00E126A3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5FB3D0F1" w14:textId="0D523C7E" w:rsidR="00E126A3" w:rsidRPr="00734AD5" w:rsidRDefault="00C858F9" w:rsidP="002D3D37">
      <w:pPr>
        <w:pStyle w:val="tv2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15" w:name="p-540961"/>
      <w:bookmarkEnd w:id="15"/>
      <w:r>
        <w:rPr>
          <w:sz w:val="28"/>
          <w:szCs w:val="28"/>
        </w:rPr>
        <w:t>7</w:t>
      </w:r>
      <w:r w:rsidR="00E126A3" w:rsidRPr="00734AD5">
        <w:rPr>
          <w:sz w:val="28"/>
          <w:szCs w:val="28"/>
        </w:rPr>
        <w:t xml:space="preserve">. Noteikumi piemērojami ar pārskata ceturksni, kas sākas </w:t>
      </w:r>
      <w:proofErr w:type="gramStart"/>
      <w:r w:rsidR="00E126A3" w:rsidRPr="00734AD5">
        <w:rPr>
          <w:sz w:val="28"/>
          <w:szCs w:val="28"/>
        </w:rPr>
        <w:t>201</w:t>
      </w:r>
      <w:r w:rsidR="002D3D37" w:rsidRPr="00734AD5">
        <w:rPr>
          <w:sz w:val="28"/>
          <w:szCs w:val="28"/>
        </w:rPr>
        <w:t>7.gada</w:t>
      </w:r>
      <w:proofErr w:type="gramEnd"/>
      <w:r w:rsidR="002D3D37" w:rsidRPr="00734AD5">
        <w:rPr>
          <w:sz w:val="28"/>
          <w:szCs w:val="28"/>
        </w:rPr>
        <w:t xml:space="preserve"> 1.jūlijā</w:t>
      </w:r>
      <w:r w:rsidR="00E126A3" w:rsidRPr="00734AD5">
        <w:rPr>
          <w:sz w:val="28"/>
          <w:szCs w:val="28"/>
        </w:rPr>
        <w:t>.</w:t>
      </w:r>
    </w:p>
    <w:p w14:paraId="6C953876" w14:textId="77777777" w:rsidR="003C7884" w:rsidRPr="00734AD5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</w:p>
    <w:p w14:paraId="47BBC27F" w14:textId="33A3F4F0" w:rsidR="003C7884" w:rsidRPr="00734AD5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  <w:r w:rsidRPr="00734AD5">
        <w:rPr>
          <w:sz w:val="28"/>
          <w:szCs w:val="28"/>
        </w:rPr>
        <w:t xml:space="preserve">Ministru prezidents </w:t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  <w:t>Māris Kučinskis</w:t>
      </w:r>
    </w:p>
    <w:p w14:paraId="09216F16" w14:textId="77777777" w:rsidR="003C7884" w:rsidRPr="00734AD5" w:rsidRDefault="003C7884" w:rsidP="003C7884">
      <w:pPr>
        <w:autoSpaceDE w:val="0"/>
        <w:autoSpaceDN w:val="0"/>
        <w:adjustRightInd w:val="0"/>
        <w:rPr>
          <w:sz w:val="28"/>
          <w:szCs w:val="28"/>
        </w:rPr>
      </w:pPr>
    </w:p>
    <w:p w14:paraId="2888F554" w14:textId="20E1BA32" w:rsidR="00F95368" w:rsidRPr="00BE5ABD" w:rsidRDefault="003C7884" w:rsidP="001869FF">
      <w:pPr>
        <w:autoSpaceDE w:val="0"/>
        <w:autoSpaceDN w:val="0"/>
        <w:adjustRightInd w:val="0"/>
        <w:rPr>
          <w:szCs w:val="28"/>
        </w:rPr>
      </w:pPr>
      <w:r w:rsidRPr="00734AD5">
        <w:rPr>
          <w:sz w:val="28"/>
          <w:szCs w:val="28"/>
        </w:rPr>
        <w:t xml:space="preserve">Finanšu ministre </w:t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</w:r>
      <w:r w:rsidRPr="00734AD5">
        <w:rPr>
          <w:sz w:val="28"/>
          <w:szCs w:val="28"/>
        </w:rPr>
        <w:tab/>
        <w:t>Dana Reizniece-Ozola</w:t>
      </w:r>
    </w:p>
    <w:sectPr w:rsidR="00F95368" w:rsidRPr="00BE5ABD" w:rsidSect="00AC0AC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418" w:right="851" w:bottom="1418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120747" w14:textId="77777777" w:rsidR="000172D3" w:rsidRDefault="000172D3">
      <w:r>
        <w:separator/>
      </w:r>
    </w:p>
  </w:endnote>
  <w:endnote w:type="continuationSeparator" w:id="0">
    <w:p w14:paraId="433A21BE" w14:textId="77777777" w:rsidR="000172D3" w:rsidRDefault="0001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1A416" w14:textId="77777777" w:rsidR="008663FA" w:rsidRDefault="00866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E96F3" w14:textId="1A6117C4" w:rsidR="009D4786" w:rsidRPr="009D4786" w:rsidRDefault="009D4786" w:rsidP="009D4786">
    <w:pPr>
      <w:pStyle w:val="Footer"/>
      <w:rPr>
        <w:sz w:val="20"/>
        <w:szCs w:val="20"/>
      </w:rPr>
    </w:pPr>
    <w:r w:rsidRPr="009D4786">
      <w:rPr>
        <w:sz w:val="20"/>
        <w:szCs w:val="20"/>
      </w:rPr>
      <w:t>FMnot_</w:t>
    </w:r>
    <w:r w:rsidR="008663FA">
      <w:rPr>
        <w:sz w:val="20"/>
        <w:szCs w:val="20"/>
      </w:rPr>
      <w:t>0304</w:t>
    </w:r>
    <w:r w:rsidRPr="009D4786">
      <w:rPr>
        <w:sz w:val="20"/>
        <w:szCs w:val="20"/>
      </w:rPr>
      <w:t>17_MK105</w:t>
    </w:r>
  </w:p>
  <w:p w14:paraId="6AF6A33A" w14:textId="7EA2A22D" w:rsidR="005570D2" w:rsidRPr="009D4786" w:rsidRDefault="005570D2" w:rsidP="009D47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6DC354" w14:textId="0C28F930" w:rsidR="006457F2" w:rsidRPr="009D4786" w:rsidRDefault="009D4786" w:rsidP="009D4786">
    <w:pPr>
      <w:pStyle w:val="Footer"/>
      <w:rPr>
        <w:sz w:val="20"/>
        <w:szCs w:val="20"/>
      </w:rPr>
    </w:pPr>
    <w:r w:rsidRPr="009D4786">
      <w:rPr>
        <w:sz w:val="20"/>
        <w:szCs w:val="20"/>
      </w:rPr>
      <w:t>FMnot_</w:t>
    </w:r>
    <w:r w:rsidR="008663FA">
      <w:rPr>
        <w:sz w:val="20"/>
        <w:szCs w:val="20"/>
      </w:rPr>
      <w:t>0304</w:t>
    </w:r>
    <w:r w:rsidRPr="009D4786">
      <w:rPr>
        <w:sz w:val="20"/>
        <w:szCs w:val="20"/>
      </w:rPr>
      <w:t>17_MK105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965E8" w14:textId="77777777" w:rsidR="000172D3" w:rsidRDefault="000172D3">
      <w:r>
        <w:separator/>
      </w:r>
    </w:p>
  </w:footnote>
  <w:footnote w:type="continuationSeparator" w:id="0">
    <w:p w14:paraId="5F2FF931" w14:textId="77777777" w:rsidR="000172D3" w:rsidRDefault="000172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3C16C" w14:textId="77777777" w:rsidR="008663FA" w:rsidRDefault="00866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36447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4BF023B" w14:textId="53861F99" w:rsidR="006F1D73" w:rsidRDefault="006F1D7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8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C7E5E" w14:textId="77777777" w:rsidR="00BB55A6" w:rsidRDefault="00BB55A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EF15E" w14:textId="3E9D7326" w:rsidR="006457F2" w:rsidRPr="006457F2" w:rsidRDefault="00110B53" w:rsidP="00110B53">
    <w:pPr>
      <w:pStyle w:val="Header"/>
      <w:jc w:val="right"/>
      <w:rPr>
        <w:sz w:val="28"/>
        <w:szCs w:val="28"/>
      </w:rPr>
    </w:pPr>
    <w:r>
      <w:rPr>
        <w:sz w:val="28"/>
        <w:szCs w:val="28"/>
      </w:rPr>
      <w:t>Projekts</w:t>
    </w:r>
  </w:p>
  <w:p w14:paraId="0D020237" w14:textId="7AB0B6EB" w:rsidR="006457F2" w:rsidRPr="006457F2" w:rsidRDefault="006457F2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03DC"/>
    <w:multiLevelType w:val="hybridMultilevel"/>
    <w:tmpl w:val="B51EF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004AE"/>
    <w:multiLevelType w:val="multilevel"/>
    <w:tmpl w:val="817032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91C22A4"/>
    <w:multiLevelType w:val="hybridMultilevel"/>
    <w:tmpl w:val="C2C0F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7A"/>
    <w:rsid w:val="00001D6E"/>
    <w:rsid w:val="000028D3"/>
    <w:rsid w:val="00010A23"/>
    <w:rsid w:val="0001382E"/>
    <w:rsid w:val="000149FD"/>
    <w:rsid w:val="000172D3"/>
    <w:rsid w:val="00020CFC"/>
    <w:rsid w:val="00023004"/>
    <w:rsid w:val="000343F2"/>
    <w:rsid w:val="00044A1E"/>
    <w:rsid w:val="000568E7"/>
    <w:rsid w:val="00064A65"/>
    <w:rsid w:val="00065417"/>
    <w:rsid w:val="000769E5"/>
    <w:rsid w:val="000772A4"/>
    <w:rsid w:val="00097A3F"/>
    <w:rsid w:val="000A5426"/>
    <w:rsid w:val="000A7D69"/>
    <w:rsid w:val="000B5288"/>
    <w:rsid w:val="000D0BD6"/>
    <w:rsid w:val="000E095E"/>
    <w:rsid w:val="000E5FAA"/>
    <w:rsid w:val="000F2D8F"/>
    <w:rsid w:val="00110B53"/>
    <w:rsid w:val="00115587"/>
    <w:rsid w:val="00122A47"/>
    <w:rsid w:val="001254CA"/>
    <w:rsid w:val="00133521"/>
    <w:rsid w:val="00137AC9"/>
    <w:rsid w:val="00143392"/>
    <w:rsid w:val="00143694"/>
    <w:rsid w:val="00146F5E"/>
    <w:rsid w:val="00162B07"/>
    <w:rsid w:val="00166916"/>
    <w:rsid w:val="00166FCA"/>
    <w:rsid w:val="001725E2"/>
    <w:rsid w:val="0017478B"/>
    <w:rsid w:val="00181AD6"/>
    <w:rsid w:val="001869FF"/>
    <w:rsid w:val="001920E1"/>
    <w:rsid w:val="00196238"/>
    <w:rsid w:val="001A14EC"/>
    <w:rsid w:val="001A29BC"/>
    <w:rsid w:val="001A4853"/>
    <w:rsid w:val="001B33A6"/>
    <w:rsid w:val="001C2481"/>
    <w:rsid w:val="001C54BD"/>
    <w:rsid w:val="001D31F3"/>
    <w:rsid w:val="001D7F58"/>
    <w:rsid w:val="001E7CF0"/>
    <w:rsid w:val="001F44CA"/>
    <w:rsid w:val="002040C5"/>
    <w:rsid w:val="00213B3E"/>
    <w:rsid w:val="00216C6D"/>
    <w:rsid w:val="00225C9B"/>
    <w:rsid w:val="002324E9"/>
    <w:rsid w:val="00240843"/>
    <w:rsid w:val="00242C98"/>
    <w:rsid w:val="0024638F"/>
    <w:rsid w:val="002527D7"/>
    <w:rsid w:val="00256421"/>
    <w:rsid w:val="002668A5"/>
    <w:rsid w:val="002738D4"/>
    <w:rsid w:val="00273E5B"/>
    <w:rsid w:val="00283498"/>
    <w:rsid w:val="00293FA0"/>
    <w:rsid w:val="00294ED1"/>
    <w:rsid w:val="002A0060"/>
    <w:rsid w:val="002A1627"/>
    <w:rsid w:val="002A72A1"/>
    <w:rsid w:val="002B1439"/>
    <w:rsid w:val="002C51C0"/>
    <w:rsid w:val="002D3D37"/>
    <w:rsid w:val="002D5D3B"/>
    <w:rsid w:val="002D5FC0"/>
    <w:rsid w:val="002F09CE"/>
    <w:rsid w:val="002F71E6"/>
    <w:rsid w:val="003062FA"/>
    <w:rsid w:val="00343C6B"/>
    <w:rsid w:val="003460CE"/>
    <w:rsid w:val="003461B0"/>
    <w:rsid w:val="003657FB"/>
    <w:rsid w:val="00370725"/>
    <w:rsid w:val="00376CF7"/>
    <w:rsid w:val="00381D2A"/>
    <w:rsid w:val="003840A8"/>
    <w:rsid w:val="00394279"/>
    <w:rsid w:val="00395176"/>
    <w:rsid w:val="00395BC5"/>
    <w:rsid w:val="003A1A9B"/>
    <w:rsid w:val="003B6775"/>
    <w:rsid w:val="003C2062"/>
    <w:rsid w:val="003C368A"/>
    <w:rsid w:val="003C7884"/>
    <w:rsid w:val="003E1992"/>
    <w:rsid w:val="003F2AFD"/>
    <w:rsid w:val="003F7E38"/>
    <w:rsid w:val="00404CAA"/>
    <w:rsid w:val="00406E2F"/>
    <w:rsid w:val="00420148"/>
    <w:rsid w:val="004203E7"/>
    <w:rsid w:val="00426DC5"/>
    <w:rsid w:val="00433DAD"/>
    <w:rsid w:val="00437CE9"/>
    <w:rsid w:val="004466A0"/>
    <w:rsid w:val="00452998"/>
    <w:rsid w:val="00482603"/>
    <w:rsid w:val="004944D5"/>
    <w:rsid w:val="00497C20"/>
    <w:rsid w:val="004A4BCE"/>
    <w:rsid w:val="004A500D"/>
    <w:rsid w:val="004B6E00"/>
    <w:rsid w:val="004C0159"/>
    <w:rsid w:val="004C532D"/>
    <w:rsid w:val="004C60C4"/>
    <w:rsid w:val="004D4846"/>
    <w:rsid w:val="004D7D4D"/>
    <w:rsid w:val="004E3E9C"/>
    <w:rsid w:val="004E5A1D"/>
    <w:rsid w:val="004E74DA"/>
    <w:rsid w:val="005003A0"/>
    <w:rsid w:val="005140C0"/>
    <w:rsid w:val="00523B02"/>
    <w:rsid w:val="005256C0"/>
    <w:rsid w:val="00530E98"/>
    <w:rsid w:val="00537199"/>
    <w:rsid w:val="005379FD"/>
    <w:rsid w:val="00543A7F"/>
    <w:rsid w:val="00546BC6"/>
    <w:rsid w:val="005570D2"/>
    <w:rsid w:val="005706E2"/>
    <w:rsid w:val="00572852"/>
    <w:rsid w:val="00574B34"/>
    <w:rsid w:val="00575025"/>
    <w:rsid w:val="0058034F"/>
    <w:rsid w:val="0058212B"/>
    <w:rsid w:val="00593F6E"/>
    <w:rsid w:val="005966AB"/>
    <w:rsid w:val="0059785F"/>
    <w:rsid w:val="005A2632"/>
    <w:rsid w:val="005A36F9"/>
    <w:rsid w:val="005A6234"/>
    <w:rsid w:val="005B1579"/>
    <w:rsid w:val="005C2A8B"/>
    <w:rsid w:val="005C2E05"/>
    <w:rsid w:val="005C78D9"/>
    <w:rsid w:val="005C7F82"/>
    <w:rsid w:val="005D285F"/>
    <w:rsid w:val="005D534B"/>
    <w:rsid w:val="005E2B87"/>
    <w:rsid w:val="005F5401"/>
    <w:rsid w:val="005F766C"/>
    <w:rsid w:val="00600472"/>
    <w:rsid w:val="0060088B"/>
    <w:rsid w:val="00602F95"/>
    <w:rsid w:val="00615BB4"/>
    <w:rsid w:val="0062148D"/>
    <w:rsid w:val="006220E8"/>
    <w:rsid w:val="00623DF2"/>
    <w:rsid w:val="006316BD"/>
    <w:rsid w:val="006457F2"/>
    <w:rsid w:val="00651934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E5D5F"/>
    <w:rsid w:val="006E5FE2"/>
    <w:rsid w:val="006E6314"/>
    <w:rsid w:val="006F17EE"/>
    <w:rsid w:val="006F1D73"/>
    <w:rsid w:val="00715612"/>
    <w:rsid w:val="00721036"/>
    <w:rsid w:val="00734AD5"/>
    <w:rsid w:val="00746861"/>
    <w:rsid w:val="00746F4F"/>
    <w:rsid w:val="007471BA"/>
    <w:rsid w:val="00750EE3"/>
    <w:rsid w:val="00766BB3"/>
    <w:rsid w:val="00774A4B"/>
    <w:rsid w:val="00775F74"/>
    <w:rsid w:val="00787DA8"/>
    <w:rsid w:val="007947CC"/>
    <w:rsid w:val="00796BFD"/>
    <w:rsid w:val="007B0B83"/>
    <w:rsid w:val="007B5DBD"/>
    <w:rsid w:val="007B67DE"/>
    <w:rsid w:val="007C2329"/>
    <w:rsid w:val="007C4838"/>
    <w:rsid w:val="007C63F0"/>
    <w:rsid w:val="007E6756"/>
    <w:rsid w:val="007F5342"/>
    <w:rsid w:val="007F7F31"/>
    <w:rsid w:val="0080189A"/>
    <w:rsid w:val="00803BA2"/>
    <w:rsid w:val="00806BAB"/>
    <w:rsid w:val="00812AFA"/>
    <w:rsid w:val="008370E0"/>
    <w:rsid w:val="00837BBE"/>
    <w:rsid w:val="008467C5"/>
    <w:rsid w:val="00857909"/>
    <w:rsid w:val="0086399E"/>
    <w:rsid w:val="008644A0"/>
    <w:rsid w:val="00864D00"/>
    <w:rsid w:val="008663FA"/>
    <w:rsid w:val="008678E7"/>
    <w:rsid w:val="00871391"/>
    <w:rsid w:val="0087685A"/>
    <w:rsid w:val="008769BC"/>
    <w:rsid w:val="008A7539"/>
    <w:rsid w:val="008B279C"/>
    <w:rsid w:val="008B5A9F"/>
    <w:rsid w:val="008C7A3B"/>
    <w:rsid w:val="008D5CC2"/>
    <w:rsid w:val="008E7807"/>
    <w:rsid w:val="00900023"/>
    <w:rsid w:val="0090351F"/>
    <w:rsid w:val="00907025"/>
    <w:rsid w:val="009079D9"/>
    <w:rsid w:val="00910156"/>
    <w:rsid w:val="009172AE"/>
    <w:rsid w:val="0091783B"/>
    <w:rsid w:val="00932D89"/>
    <w:rsid w:val="00947B4D"/>
    <w:rsid w:val="009630EC"/>
    <w:rsid w:val="00980D1E"/>
    <w:rsid w:val="0098390C"/>
    <w:rsid w:val="00990E2D"/>
    <w:rsid w:val="009A7A12"/>
    <w:rsid w:val="009B5A2C"/>
    <w:rsid w:val="009C5A63"/>
    <w:rsid w:val="009D1238"/>
    <w:rsid w:val="009D4786"/>
    <w:rsid w:val="009F1E4B"/>
    <w:rsid w:val="009F3EFB"/>
    <w:rsid w:val="009F7E26"/>
    <w:rsid w:val="00A02F96"/>
    <w:rsid w:val="00A16CE2"/>
    <w:rsid w:val="00A442F3"/>
    <w:rsid w:val="00A50FA0"/>
    <w:rsid w:val="00A6794B"/>
    <w:rsid w:val="00A75F12"/>
    <w:rsid w:val="00A816A6"/>
    <w:rsid w:val="00A81C8B"/>
    <w:rsid w:val="00A94F3A"/>
    <w:rsid w:val="00A955E2"/>
    <w:rsid w:val="00A97155"/>
    <w:rsid w:val="00AA258F"/>
    <w:rsid w:val="00AB0AC9"/>
    <w:rsid w:val="00AC0AC1"/>
    <w:rsid w:val="00AC23DE"/>
    <w:rsid w:val="00AD0418"/>
    <w:rsid w:val="00AD28A5"/>
    <w:rsid w:val="00AF5AB5"/>
    <w:rsid w:val="00AF6C41"/>
    <w:rsid w:val="00B027A8"/>
    <w:rsid w:val="00B12F17"/>
    <w:rsid w:val="00B1488E"/>
    <w:rsid w:val="00B1583A"/>
    <w:rsid w:val="00B21470"/>
    <w:rsid w:val="00B249E8"/>
    <w:rsid w:val="00B30445"/>
    <w:rsid w:val="00B30D1A"/>
    <w:rsid w:val="00B332E4"/>
    <w:rsid w:val="00B57ACD"/>
    <w:rsid w:val="00B60DB3"/>
    <w:rsid w:val="00B77A0F"/>
    <w:rsid w:val="00B81177"/>
    <w:rsid w:val="00B83E78"/>
    <w:rsid w:val="00B906F2"/>
    <w:rsid w:val="00B9584F"/>
    <w:rsid w:val="00B95C76"/>
    <w:rsid w:val="00BA506B"/>
    <w:rsid w:val="00BB487A"/>
    <w:rsid w:val="00BB55A6"/>
    <w:rsid w:val="00BC16EA"/>
    <w:rsid w:val="00BC39BA"/>
    <w:rsid w:val="00BC4543"/>
    <w:rsid w:val="00BD688C"/>
    <w:rsid w:val="00BF4C20"/>
    <w:rsid w:val="00C00364"/>
    <w:rsid w:val="00C00A8E"/>
    <w:rsid w:val="00C27AF9"/>
    <w:rsid w:val="00C31E7D"/>
    <w:rsid w:val="00C406ED"/>
    <w:rsid w:val="00C41818"/>
    <w:rsid w:val="00C44DE9"/>
    <w:rsid w:val="00C51FC1"/>
    <w:rsid w:val="00C53AD0"/>
    <w:rsid w:val="00C724B6"/>
    <w:rsid w:val="00C81CC5"/>
    <w:rsid w:val="00C858F9"/>
    <w:rsid w:val="00C903DE"/>
    <w:rsid w:val="00C93126"/>
    <w:rsid w:val="00CA1ED0"/>
    <w:rsid w:val="00CA30A6"/>
    <w:rsid w:val="00CA7A60"/>
    <w:rsid w:val="00CB6776"/>
    <w:rsid w:val="00CE04CC"/>
    <w:rsid w:val="00CF14BD"/>
    <w:rsid w:val="00D12B9A"/>
    <w:rsid w:val="00D1431D"/>
    <w:rsid w:val="00D14B43"/>
    <w:rsid w:val="00D34E8D"/>
    <w:rsid w:val="00D46149"/>
    <w:rsid w:val="00D53187"/>
    <w:rsid w:val="00D65840"/>
    <w:rsid w:val="00D76D68"/>
    <w:rsid w:val="00D81E23"/>
    <w:rsid w:val="00D92529"/>
    <w:rsid w:val="00D962ED"/>
    <w:rsid w:val="00DA4BAA"/>
    <w:rsid w:val="00DB4AB9"/>
    <w:rsid w:val="00DC25B2"/>
    <w:rsid w:val="00DD155E"/>
    <w:rsid w:val="00DD2323"/>
    <w:rsid w:val="00DD239A"/>
    <w:rsid w:val="00E04CA1"/>
    <w:rsid w:val="00E1068A"/>
    <w:rsid w:val="00E126A3"/>
    <w:rsid w:val="00E130B1"/>
    <w:rsid w:val="00E17242"/>
    <w:rsid w:val="00E25C04"/>
    <w:rsid w:val="00E36A1B"/>
    <w:rsid w:val="00E43197"/>
    <w:rsid w:val="00E555E7"/>
    <w:rsid w:val="00E55AC4"/>
    <w:rsid w:val="00E6461F"/>
    <w:rsid w:val="00E94494"/>
    <w:rsid w:val="00EA43C2"/>
    <w:rsid w:val="00EA441A"/>
    <w:rsid w:val="00EA7694"/>
    <w:rsid w:val="00EB0545"/>
    <w:rsid w:val="00EB16AA"/>
    <w:rsid w:val="00EB4272"/>
    <w:rsid w:val="00EC5657"/>
    <w:rsid w:val="00EC6F18"/>
    <w:rsid w:val="00EC6F3A"/>
    <w:rsid w:val="00EC7F10"/>
    <w:rsid w:val="00EF258D"/>
    <w:rsid w:val="00F04334"/>
    <w:rsid w:val="00F0572A"/>
    <w:rsid w:val="00F12337"/>
    <w:rsid w:val="00F14001"/>
    <w:rsid w:val="00F16AAC"/>
    <w:rsid w:val="00F16D93"/>
    <w:rsid w:val="00F23BB8"/>
    <w:rsid w:val="00F2734A"/>
    <w:rsid w:val="00F34651"/>
    <w:rsid w:val="00F416E7"/>
    <w:rsid w:val="00F42B56"/>
    <w:rsid w:val="00F43C28"/>
    <w:rsid w:val="00F47190"/>
    <w:rsid w:val="00F62C80"/>
    <w:rsid w:val="00F70B63"/>
    <w:rsid w:val="00F749DB"/>
    <w:rsid w:val="00F77E25"/>
    <w:rsid w:val="00F801B9"/>
    <w:rsid w:val="00F844B6"/>
    <w:rsid w:val="00F85B78"/>
    <w:rsid w:val="00F900BC"/>
    <w:rsid w:val="00F95368"/>
    <w:rsid w:val="00FA08B2"/>
    <w:rsid w:val="00FA5043"/>
    <w:rsid w:val="00FB16E8"/>
    <w:rsid w:val="00FB47BE"/>
    <w:rsid w:val="00FD34BC"/>
    <w:rsid w:val="00FD3805"/>
    <w:rsid w:val="00FE702B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20">
    <w:name w:val="Font Style20"/>
    <w:uiPriority w:val="99"/>
    <w:rsid w:val="00110B53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10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">
    <w:name w:val="tv213"/>
    <w:basedOn w:val="Normal"/>
    <w:rsid w:val="005B157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A1ED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10B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character" w:customStyle="1" w:styleId="FontStyle20">
    <w:name w:val="Font Style20"/>
    <w:uiPriority w:val="99"/>
    <w:rsid w:val="00110B53"/>
    <w:rPr>
      <w:rFonts w:ascii="Arial" w:hAnsi="Arial" w:cs="Arial"/>
      <w:b/>
      <w:bCs/>
      <w:color w:val="000000"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110B5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v213">
    <w:name w:val="tv213"/>
    <w:basedOn w:val="Normal"/>
    <w:rsid w:val="005B1579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CA1ED0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1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65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86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41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38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2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553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011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kumi.lv/ta/id/153121-kartiba-kada-interaktivo-azartspelu-un-izlozu-organizetajs-iesniedz-pazinojumu-par-parskata-ceturksni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https://likumi.lv/ta/id/153121-kartiba-kada-interaktivo-azartspelu-un-izlozu-organizetajs-iesniedz-pazinojumu-par-parskata-ceturksni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likumi.lv/ta/id/153121-kartiba-kada-interaktivo-azartspelu-un-izlozu-organizetajs-iesniedz-pazinojumu-par-parskata-ceturksni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ikumi.lv/ta/id/153121-kartiba-kada-interaktivo-azartspelu-un-izlozu-organizetajs-iesniedz-pazinojumu-par-parskata-ceturksn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Astra Kaļāne</Vad_x012b_t_x0101_js>
    <Kategorija xmlns="2e5bb04e-596e-45bd-9003-43ca78b1ba16">MK noteikumu projekts</Kategorija>
    <DKP xmlns="2e5bb04e-596e-45bd-9003-43ca78b1ba16">89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7829-004F-4186-B6CB-153A6703046C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92E2CE61-FE69-4965-9CAE-5E91964759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9E3D5-CD03-437C-972C-0D251470A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A9D3A0-1120-4918-8DE8-8CD213466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2906</Words>
  <Characters>1657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“Kārtība, kādā interaktīvo azartspēļu un interaktīvo izložu organizētājs iesniedz paziņojumu par pārskata ceturksni”</vt:lpstr>
    </vt:vector>
  </TitlesOfParts>
  <Company>Finanšu ministrija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“Kārtība, kādā interaktīvo azartspēļu un interaktīvo izložu organizētājs iesniedz paziņojumu par pārskata ceturksni”</dc:title>
  <dc:subject>Noteikumu projekts</dc:subject>
  <dc:creator>Inga Avotiņa</dc:creator>
  <dc:description>inga.avotina@fm.gov.lv,_x000d_
67095515</dc:description>
  <cp:lastModifiedBy>Jekaterina Borovika</cp:lastModifiedBy>
  <cp:revision>2</cp:revision>
  <cp:lastPrinted>2017-03-21T08:36:00Z</cp:lastPrinted>
  <dcterms:created xsi:type="dcterms:W3CDTF">2017-04-25T06:03:00Z</dcterms:created>
  <dcterms:modified xsi:type="dcterms:W3CDTF">2017-04-25T06:03:00Z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