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121B3" w:rsidRPr="007418BD" w:rsidTr="00894176">
        <w:trPr>
          <w:jc w:val="right"/>
        </w:trPr>
        <w:tc>
          <w:tcPr>
            <w:tcW w:w="4644" w:type="dxa"/>
          </w:tcPr>
          <w:p w:rsidR="00D121B3" w:rsidRPr="00A80B24" w:rsidRDefault="00D121B3" w:rsidP="00894176">
            <w:pPr>
              <w:jc w:val="right"/>
              <w:rPr>
                <w:b/>
                <w:bCs/>
                <w:sz w:val="26"/>
                <w:szCs w:val="26"/>
              </w:rPr>
            </w:pPr>
            <w:bookmarkStart w:id="0" w:name="org_nos"/>
            <w:bookmarkStart w:id="1" w:name="_GoBack"/>
            <w:bookmarkEnd w:id="1"/>
            <w:r w:rsidRPr="00A80B24">
              <w:rPr>
                <w:b/>
                <w:bCs/>
                <w:sz w:val="26"/>
                <w:szCs w:val="26"/>
              </w:rPr>
              <w:t>Latvijas Republikas Saeimas</w:t>
            </w:r>
          </w:p>
          <w:p w:rsidR="00D121B3" w:rsidRPr="00A80B24" w:rsidRDefault="00D121B3" w:rsidP="00894176">
            <w:pPr>
              <w:jc w:val="right"/>
              <w:rPr>
                <w:b/>
                <w:bCs/>
                <w:sz w:val="26"/>
                <w:szCs w:val="26"/>
              </w:rPr>
            </w:pPr>
            <w:r w:rsidRPr="00A80B24">
              <w:rPr>
                <w:b/>
                <w:bCs/>
                <w:sz w:val="26"/>
                <w:szCs w:val="26"/>
              </w:rPr>
              <w:t xml:space="preserve">Valsts pārvaldes un pašvaldības komisijas priekšsēdētājam </w:t>
            </w:r>
          </w:p>
          <w:p w:rsidR="00D121B3" w:rsidRPr="00413C19" w:rsidRDefault="00D121B3" w:rsidP="00894176">
            <w:pPr>
              <w:jc w:val="right"/>
              <w:rPr>
                <w:b/>
                <w:bCs/>
                <w:szCs w:val="24"/>
              </w:rPr>
            </w:pPr>
            <w:r w:rsidRPr="00A80B24">
              <w:rPr>
                <w:b/>
                <w:bCs/>
                <w:sz w:val="26"/>
                <w:szCs w:val="26"/>
              </w:rPr>
              <w:t xml:space="preserve">a.god. </w:t>
            </w:r>
            <w:proofErr w:type="spellStart"/>
            <w:r w:rsidRPr="00A80B24">
              <w:rPr>
                <w:b/>
                <w:bCs/>
                <w:sz w:val="26"/>
                <w:szCs w:val="26"/>
              </w:rPr>
              <w:t>S.Dolg</w:t>
            </w:r>
            <w:r>
              <w:rPr>
                <w:b/>
                <w:bCs/>
                <w:sz w:val="26"/>
                <w:szCs w:val="26"/>
              </w:rPr>
              <w:t>o</w:t>
            </w:r>
            <w:r w:rsidRPr="00A80B24">
              <w:rPr>
                <w:b/>
                <w:bCs/>
                <w:sz w:val="26"/>
                <w:szCs w:val="26"/>
              </w:rPr>
              <w:t>polova</w:t>
            </w:r>
            <w:proofErr w:type="spellEnd"/>
            <w:r w:rsidRPr="00A80B24">
              <w:rPr>
                <w:b/>
                <w:bCs/>
                <w:sz w:val="26"/>
                <w:szCs w:val="26"/>
              </w:rPr>
              <w:t xml:space="preserve"> kungam</w:t>
            </w:r>
          </w:p>
        </w:tc>
      </w:tr>
      <w:bookmarkEnd w:id="0"/>
    </w:tbl>
    <w:p w:rsidR="00D121B3" w:rsidRPr="00FD5B28" w:rsidRDefault="00D121B3" w:rsidP="00D121B3">
      <w:pPr>
        <w:rPr>
          <w:spacing w:val="4"/>
          <w:sz w:val="20"/>
        </w:rPr>
      </w:pPr>
    </w:p>
    <w:tbl>
      <w:tblPr>
        <w:tblStyle w:val="TableGrid"/>
        <w:tblW w:w="0" w:type="auto"/>
        <w:tblLook w:val="04A0" w:firstRow="1" w:lastRow="0" w:firstColumn="1" w:lastColumn="0" w:noHBand="0" w:noVBand="1"/>
      </w:tblPr>
      <w:tblGrid>
        <w:gridCol w:w="4503"/>
      </w:tblGrid>
      <w:tr w:rsidR="00D121B3" w:rsidRPr="00FD5B28" w:rsidTr="00894176">
        <w:tc>
          <w:tcPr>
            <w:tcW w:w="4503" w:type="dxa"/>
            <w:tcBorders>
              <w:top w:val="nil"/>
              <w:left w:val="nil"/>
              <w:bottom w:val="nil"/>
              <w:right w:val="nil"/>
            </w:tcBorders>
          </w:tcPr>
          <w:p w:rsidR="00D121B3" w:rsidRPr="00D121B3" w:rsidRDefault="00D121B3" w:rsidP="00894176">
            <w:pPr>
              <w:jc w:val="left"/>
              <w:rPr>
                <w:i/>
                <w:iCs/>
                <w:sz w:val="24"/>
                <w:szCs w:val="24"/>
              </w:rPr>
            </w:pPr>
            <w:r w:rsidRPr="00D121B3">
              <w:rPr>
                <w:i/>
                <w:iCs/>
                <w:sz w:val="24"/>
                <w:szCs w:val="24"/>
              </w:rPr>
              <w:t xml:space="preserve">Par priekšlikumiem likumprojektam “Grozījums Publiskas personas mantas atsavināšanas likumā” (Nr.644/Lp12) </w:t>
            </w:r>
          </w:p>
        </w:tc>
      </w:tr>
    </w:tbl>
    <w:p w:rsidR="00D121B3" w:rsidRPr="00FD5B28" w:rsidRDefault="00D121B3" w:rsidP="00D121B3">
      <w:pPr>
        <w:jc w:val="left"/>
        <w:rPr>
          <w:szCs w:val="24"/>
        </w:rPr>
      </w:pPr>
    </w:p>
    <w:p w:rsidR="00D121B3" w:rsidRDefault="00D121B3" w:rsidP="00D121B3">
      <w:pPr>
        <w:spacing w:after="60"/>
        <w:ind w:firstLine="720"/>
        <w:rPr>
          <w:szCs w:val="24"/>
        </w:rPr>
      </w:pPr>
      <w:r w:rsidRPr="001A2526">
        <w:rPr>
          <w:szCs w:val="24"/>
        </w:rPr>
        <w:t>Saskaņā ar Saeimas kārtības ruļļa 95.panta pirmās daļas 5.punktu iesniedzu šā</w:t>
      </w:r>
      <w:r>
        <w:rPr>
          <w:szCs w:val="24"/>
        </w:rPr>
        <w:t>dus priekšlikumus likumprojekta</w:t>
      </w:r>
      <w:r w:rsidRPr="001A2526">
        <w:rPr>
          <w:szCs w:val="24"/>
        </w:rPr>
        <w:t xml:space="preserve"> “Grozījums Publiskas personas mantas atsavināšanas likumā” (reģ.Nr.644/Lp12) (turpmāk – likumprojekts) izskatīšanai Saeimā otrajam lasījumam.</w:t>
      </w:r>
    </w:p>
    <w:p w:rsidR="00D121B3" w:rsidRPr="001A2526" w:rsidRDefault="00D121B3" w:rsidP="00D121B3">
      <w:pPr>
        <w:spacing w:after="60"/>
        <w:ind w:firstLine="720"/>
        <w:rPr>
          <w:szCs w:val="24"/>
        </w:rPr>
      </w:pPr>
      <w:r>
        <w:rPr>
          <w:szCs w:val="24"/>
        </w:rPr>
        <w:t>Vienlaikus informēju, ka turpmāk sniegtie priekšlikumi ir atbalstīti Ministru kabineta 2017.gada 25.aprīļa sēdē.</w:t>
      </w:r>
    </w:p>
    <w:p w:rsidR="00D121B3" w:rsidRPr="001A2526" w:rsidRDefault="00D121B3" w:rsidP="00D121B3">
      <w:pPr>
        <w:pStyle w:val="ListParagraph"/>
        <w:numPr>
          <w:ilvl w:val="0"/>
          <w:numId w:val="1"/>
        </w:numPr>
        <w:spacing w:after="60"/>
        <w:ind w:left="0" w:firstLine="709"/>
      </w:pPr>
      <w:r w:rsidRPr="001A2526">
        <w:rPr>
          <w:b/>
          <w:bCs/>
        </w:rPr>
        <w:t xml:space="preserve">Papildināt </w:t>
      </w:r>
      <w:r>
        <w:rPr>
          <w:b/>
          <w:bCs/>
        </w:rPr>
        <w:t xml:space="preserve">Publiskas personas mantas atsavināšanas likumu </w:t>
      </w:r>
      <w:r w:rsidRPr="001A2526">
        <w:rPr>
          <w:b/>
          <w:bCs/>
        </w:rPr>
        <w:t>ar 42.</w:t>
      </w:r>
      <w:r w:rsidRPr="001A2526">
        <w:rPr>
          <w:b/>
          <w:bCs/>
          <w:vertAlign w:val="superscript"/>
        </w:rPr>
        <w:t>1</w:t>
      </w:r>
      <w:r w:rsidRPr="001A2526">
        <w:rPr>
          <w:b/>
          <w:bCs/>
        </w:rPr>
        <w:t xml:space="preserve"> pantu šādā redakcijā:</w:t>
      </w:r>
    </w:p>
    <w:p w:rsidR="00D121B3" w:rsidRPr="001A2526" w:rsidRDefault="00D121B3" w:rsidP="00D121B3">
      <w:pPr>
        <w:spacing w:after="60"/>
        <w:ind w:firstLine="360"/>
        <w:rPr>
          <w:szCs w:val="24"/>
        </w:rPr>
      </w:pPr>
      <w:r w:rsidRPr="001A2526">
        <w:rPr>
          <w:b/>
          <w:bCs/>
          <w:szCs w:val="24"/>
        </w:rPr>
        <w:t>“42.</w:t>
      </w:r>
      <w:r w:rsidRPr="001A2526">
        <w:rPr>
          <w:b/>
          <w:bCs/>
          <w:szCs w:val="24"/>
          <w:vertAlign w:val="superscript"/>
        </w:rPr>
        <w:t>1</w:t>
      </w:r>
      <w:r w:rsidRPr="001A2526">
        <w:rPr>
          <w:b/>
          <w:bCs/>
          <w:szCs w:val="24"/>
        </w:rPr>
        <w:t xml:space="preserve"> pants.</w:t>
      </w:r>
      <w:r w:rsidRPr="001A2526">
        <w:rPr>
          <w:szCs w:val="24"/>
        </w:rPr>
        <w:t xml:space="preserve"> (1) Valstij vai pašvaldībai piekrītošo nekustamo īpašumu var nodot īpašumā bez atlīdzības attiecīgi pašvaldībai vai valstij, ja valstij vai pašvaldībai piekrītošais nekustamais īpašums tiek ierakstīts zemesgrāmatā vienlaikus ar pašvaldības vai attiecīgi valsts īpašuma tiesību nostiprināšanu uz nekustamo īpašumu.</w:t>
      </w:r>
    </w:p>
    <w:p w:rsidR="00D121B3" w:rsidRPr="001A2526" w:rsidRDefault="00D121B3" w:rsidP="00D121B3">
      <w:pPr>
        <w:spacing w:after="60"/>
        <w:ind w:firstLine="360"/>
        <w:rPr>
          <w:szCs w:val="24"/>
        </w:rPr>
      </w:pPr>
      <w:r w:rsidRPr="001A2526">
        <w:rPr>
          <w:szCs w:val="24"/>
        </w:rPr>
        <w:t xml:space="preserve">(2) Ministru kabineta vai pašvaldības domes lēmums par nekustamā īpašuma nodošanu vienlaikus ir pilnvarojums pašvaldībai vai valsts iestādei parakstīt nostiprinājuma lūgumu par nekustamā īpašumā ierakstīšanu zemesgrāmatā uz valsts vai pašvaldības vārda, kā arī veikt citas nepieciešamās darbības nekustamā īpašuma ierakstīšanai zemesgrāmatā. </w:t>
      </w:r>
    </w:p>
    <w:p w:rsidR="00D121B3" w:rsidRPr="001A2526" w:rsidRDefault="00D121B3" w:rsidP="00D121B3">
      <w:pPr>
        <w:spacing w:after="60"/>
        <w:ind w:firstLine="360"/>
        <w:rPr>
          <w:szCs w:val="24"/>
        </w:rPr>
      </w:pPr>
      <w:r w:rsidRPr="001A2526">
        <w:rPr>
          <w:szCs w:val="24"/>
        </w:rPr>
        <w:t xml:space="preserve">(3) Šā panta pirmajā daļā noteiktajā gadījumā valsts iestādes un pašvaldības iestādes atbrīvojamas no kancelejas nodevas, kas saistītas ar nekustamā īpašuma ierakstīšanu un īpašuma tiesību nostiprināšanu,  samaksas. </w:t>
      </w:r>
    </w:p>
    <w:p w:rsidR="00D121B3" w:rsidRPr="001A2526" w:rsidRDefault="00D121B3" w:rsidP="00D121B3">
      <w:pPr>
        <w:spacing w:after="60"/>
        <w:ind w:firstLine="360"/>
        <w:rPr>
          <w:color w:val="1F497D"/>
          <w:szCs w:val="24"/>
        </w:rPr>
      </w:pPr>
      <w:r w:rsidRPr="001A2526">
        <w:rPr>
          <w:szCs w:val="24"/>
        </w:rPr>
        <w:t>(4) Visas ar piekrītošā nekustamā īpašuma reģistrēšanu saistītās darbības veic pašvaldība no sava budžeta līdzekļiem, ja nekustamo īpašumu nodod pašvaldībai, vai valsts iestāde no valsts budžeta līdzekļiem, ja attiecīgais nekustamais īpašums tiek nodots valstij, izņemot gadījumu, kad attiecīgās publiskās personas ir vienojušās citādi.”</w:t>
      </w:r>
    </w:p>
    <w:p w:rsidR="00D121B3" w:rsidRPr="001A2526" w:rsidRDefault="00D121B3" w:rsidP="00D121B3">
      <w:pPr>
        <w:spacing w:after="60"/>
        <w:rPr>
          <w:b/>
          <w:szCs w:val="24"/>
        </w:rPr>
      </w:pPr>
      <w:r w:rsidRPr="001A2526">
        <w:rPr>
          <w:b/>
          <w:szCs w:val="24"/>
        </w:rPr>
        <w:t xml:space="preserve">Pamatojums: </w:t>
      </w:r>
    </w:p>
    <w:p w:rsidR="00D121B3" w:rsidRPr="001A2526" w:rsidRDefault="00D121B3" w:rsidP="00D121B3">
      <w:pPr>
        <w:spacing w:after="60"/>
        <w:ind w:firstLine="720"/>
        <w:rPr>
          <w:szCs w:val="24"/>
        </w:rPr>
      </w:pPr>
      <w:r w:rsidRPr="001A2526">
        <w:rPr>
          <w:szCs w:val="24"/>
        </w:rPr>
        <w:t xml:space="preserve">Atbilstoši Publiskas personas mantas atsavināšanas likuma pārejas noteikumu 3.punktam </w:t>
      </w:r>
      <w:r w:rsidRPr="001A2526">
        <w:rPr>
          <w:szCs w:val="24"/>
          <w:u w:val="single"/>
        </w:rPr>
        <w:t>zemes reformas laikā</w:t>
      </w:r>
      <w:r w:rsidRPr="001A2526">
        <w:rPr>
          <w:szCs w:val="24"/>
        </w:rPr>
        <w:t xml:space="preserve"> valstij piekrītošās ēkas (būves) varēja nodot īpašumā bez atlīdzības pašvaldībai un pašvaldībām piekrītošās ēkas (būves) </w:t>
      </w:r>
      <w:r w:rsidRPr="001A2526">
        <w:rPr>
          <w:szCs w:val="24"/>
          <w:u w:val="single"/>
        </w:rPr>
        <w:t>varēja nodot īpašumā bez atlīdzības</w:t>
      </w:r>
      <w:r w:rsidRPr="001A2526">
        <w:rPr>
          <w:szCs w:val="24"/>
        </w:rPr>
        <w:t xml:space="preserve"> valstij vai citai pašvaldībai, </w:t>
      </w:r>
      <w:r w:rsidRPr="001A2526">
        <w:rPr>
          <w:szCs w:val="24"/>
          <w:u w:val="single"/>
        </w:rPr>
        <w:t>iepriekš tās neierakstot zemesgrāmatā</w:t>
      </w:r>
      <w:r w:rsidRPr="001A2526">
        <w:rPr>
          <w:szCs w:val="24"/>
        </w:rPr>
        <w:t>.</w:t>
      </w:r>
      <w:r w:rsidRPr="001A2526">
        <w:rPr>
          <w:bCs/>
          <w:szCs w:val="24"/>
        </w:rPr>
        <w:t xml:space="preserve"> Atbilstoši likuma „Par zemes reformas pabeigšanu pilsētās” 8.pantam zemes reformas laikā, </w:t>
      </w:r>
      <w:r w:rsidRPr="001A2526">
        <w:rPr>
          <w:szCs w:val="24"/>
        </w:rPr>
        <w:t>ja tiek pieņemts Ministru kabineta rīkojums par atsevišķu valstij piekrītošu zemes gabalu nodošanu kādai no pašvaldībām, īpašuma tiesības uz šiem zemes gabaliem nostiprināmas zemesgrāmatā uz attiecīgās pašvaldības vārda bez iepriekšējas īpašuma tiesību nostiprināšanas uz valsts vārda.</w:t>
      </w:r>
    </w:p>
    <w:p w:rsidR="00D121B3" w:rsidRPr="001A2526" w:rsidRDefault="00D121B3" w:rsidP="00D121B3">
      <w:pPr>
        <w:spacing w:after="60"/>
        <w:ind w:firstLine="720"/>
        <w:rPr>
          <w:szCs w:val="24"/>
        </w:rPr>
      </w:pPr>
      <w:r w:rsidRPr="001A2526">
        <w:rPr>
          <w:szCs w:val="24"/>
        </w:rPr>
        <w:t xml:space="preserve">Saskaņā ar Publiskas personas mantas atsavināšanas likumu nekustamā īpašuma nodošana īpašumā bez atlīdzības </w:t>
      </w:r>
      <w:r w:rsidRPr="001A2526">
        <w:rPr>
          <w:szCs w:val="24"/>
          <w:u w:val="single"/>
        </w:rPr>
        <w:t>pašvaldību, kurās ir pabeigta zemes reforma</w:t>
      </w:r>
      <w:r w:rsidRPr="001A2526">
        <w:rPr>
          <w:szCs w:val="24"/>
        </w:rPr>
        <w:t xml:space="preserve"> (Ministru kabinets ir pieņēmis lēmumu par zemes reformas pabeigšanu), </w:t>
      </w:r>
      <w:r w:rsidRPr="001A2526">
        <w:rPr>
          <w:szCs w:val="24"/>
          <w:u w:val="single"/>
        </w:rPr>
        <w:t>īpašumā iespējama tikai pēc īpašuma tiesību reģistrācijas zemesgrāmatā uz valsts vārda</w:t>
      </w:r>
      <w:r w:rsidRPr="001A2526">
        <w:rPr>
          <w:szCs w:val="24"/>
        </w:rPr>
        <w:t>.</w:t>
      </w:r>
    </w:p>
    <w:p w:rsidR="00D121B3" w:rsidRPr="001A2526" w:rsidRDefault="00D121B3" w:rsidP="00D121B3">
      <w:pPr>
        <w:spacing w:after="60"/>
        <w:ind w:firstLine="720"/>
        <w:rPr>
          <w:szCs w:val="24"/>
        </w:rPr>
      </w:pPr>
      <w:r w:rsidRPr="001A2526">
        <w:rPr>
          <w:szCs w:val="24"/>
        </w:rPr>
        <w:t xml:space="preserve">Priekšlikums sagatavots ar mērķi risināt konstatētās problēmas attiecībā uz publiskai personai piekritīgā nekustamā īpašuma nodošanu citas publiskas personas īpašumā, proti, paātrināt valstij vai pašvaldībai piekrītošo nekustamo īpašumu savstarpējās nodošanas bez atlīdzības īpašumā procesu, ekonomēt laika un budžeta līdzekļu resursus, kā arī cilvēkresursus, vienlaicīgi nodrošinot Latvijas tiesību sistēmā iedibināto principu ievērošanu. Būtiski, ka priekšlikums attiecināms gan uz tiem </w:t>
      </w:r>
      <w:r w:rsidRPr="001A2526">
        <w:rPr>
          <w:szCs w:val="24"/>
        </w:rPr>
        <w:lastRenderedPageBreak/>
        <w:t>piekrītošajiem nekustamajiem īpašumiem, kas ir pirmreizēji reģistrēti zemesgrāmatā, gan uz tiem, kas nav uzmērīti un ierakstīti zemesgrāmatā.</w:t>
      </w:r>
    </w:p>
    <w:p w:rsidR="00D121B3" w:rsidRPr="001A2526" w:rsidRDefault="00D121B3" w:rsidP="00D121B3">
      <w:pPr>
        <w:spacing w:after="60"/>
        <w:ind w:firstLine="720"/>
        <w:rPr>
          <w:szCs w:val="24"/>
        </w:rPr>
      </w:pPr>
      <w:r w:rsidRPr="001A2526">
        <w:rPr>
          <w:szCs w:val="24"/>
        </w:rPr>
        <w:t xml:space="preserve">Lai nodrošinātu iespējami ātru piekrītošo nekustamo īpašumu nodošanu starp valsti un pašvaldību priekšlikumā tiek paredzēts vienlaikus, tas ir, ar vienu nostiprinājumu lūgumu, nostiprināt īpašuma tiesības zemesgrāmatā uz nekustamo īpašumu publiskai personai, kas nodod nekustamo īpašumu, un secīgi arī publiskai personai, kam tiek nodots nekustamais īpašums. Minētais būtu norādāms arī attiecīgajā Ministru kabineta rīkojumā vai pašvaldības domes lēmumā, ar kuru attiecīgais nekustamais īpašums tiek nodots. Tiek paredzēts, ka šādos gadījumos nostiprinājuma lūgumu zemesgrāmatā iesniedz tā publiskā persona, kurai tiek nodots nekustamais īpašums. </w:t>
      </w:r>
    </w:p>
    <w:p w:rsidR="00D121B3" w:rsidRPr="001A2526" w:rsidRDefault="00D121B3" w:rsidP="00D121B3">
      <w:pPr>
        <w:spacing w:after="60"/>
        <w:ind w:firstLine="720"/>
        <w:rPr>
          <w:szCs w:val="24"/>
        </w:rPr>
      </w:pPr>
      <w:r w:rsidRPr="001A2526">
        <w:rPr>
          <w:szCs w:val="24"/>
        </w:rPr>
        <w:t>Ministru kabineta vai pašvaldības domes lēmums par nekustamā īpašuma nodošanu vienlaikus ir pilnvarojums pašvaldībai vai valsts iestādei parakstīt nostiprinājuma lūgumu par nekustamā īpašumā ierakstīšanu zemesgrāmatā uz valsts vai pašvaldības vārda, kā arī veikt citas nepieciešamās darbības nekustamā īpašuma ierakstīšanai zemesgrāmatā. Šādā gadījumā valsts iestādes un pašvaldības iestādes atbrīvojamas no kancelejas nodevas, kas saistītas ar nekustamā īpašuma ierakstīšanu un īpašuma tiesību nostiprināšanu,  samaksas. Visas ar piekrītošā nekustamā īpašuma reģistrēšanu saistītās darbības (t.sk. ar nekustamā īpašuma uzmērīšanu saistītās darbības) veic pašvaldība no sava budžeta līdzekļiem, ja nekustamo īpašumu nodod pašvaldībai, vai valsts iestāde no valsts budžeta līdzekļiem, ja attiecīgais nekustamais īpašums tiek nodots valstij, izņemot gadījumu, kad attiecīgās publiskās personas ir vienojušās citādi.</w:t>
      </w:r>
    </w:p>
    <w:p w:rsidR="00D121B3" w:rsidRPr="001A2526" w:rsidRDefault="00D121B3" w:rsidP="00D121B3">
      <w:pPr>
        <w:spacing w:after="60"/>
        <w:rPr>
          <w:szCs w:val="24"/>
        </w:rPr>
      </w:pPr>
    </w:p>
    <w:p w:rsidR="00D121B3" w:rsidRPr="001A2526" w:rsidRDefault="00D121B3" w:rsidP="00D121B3">
      <w:pPr>
        <w:pStyle w:val="ListParagraph"/>
        <w:numPr>
          <w:ilvl w:val="0"/>
          <w:numId w:val="1"/>
        </w:numPr>
        <w:spacing w:after="60"/>
        <w:ind w:left="0" w:firstLine="714"/>
        <w:rPr>
          <w:b/>
          <w:bCs/>
        </w:rPr>
      </w:pPr>
      <w:r w:rsidRPr="001A2526">
        <w:rPr>
          <w:b/>
          <w:bCs/>
        </w:rPr>
        <w:t xml:space="preserve">Papildināt </w:t>
      </w:r>
      <w:r>
        <w:rPr>
          <w:b/>
          <w:bCs/>
        </w:rPr>
        <w:t xml:space="preserve">Publiskas personas mantas atsavināšanas likuma </w:t>
      </w:r>
      <w:r w:rsidRPr="001A2526">
        <w:rPr>
          <w:b/>
          <w:bCs/>
        </w:rPr>
        <w:t>42.pantu ar 2.</w:t>
      </w:r>
      <w:r w:rsidRPr="001A2526">
        <w:rPr>
          <w:b/>
          <w:bCs/>
          <w:vertAlign w:val="superscript"/>
        </w:rPr>
        <w:t>6</w:t>
      </w:r>
      <w:r w:rsidRPr="001A2526">
        <w:rPr>
          <w:b/>
          <w:bCs/>
        </w:rPr>
        <w:t xml:space="preserve"> daļu šādā redakcijā:</w:t>
      </w:r>
    </w:p>
    <w:p w:rsidR="00D121B3" w:rsidRPr="001A2526" w:rsidRDefault="00D121B3" w:rsidP="00D121B3">
      <w:pPr>
        <w:spacing w:after="60"/>
        <w:ind w:firstLine="714"/>
        <w:rPr>
          <w:szCs w:val="24"/>
        </w:rPr>
      </w:pPr>
      <w:r w:rsidRPr="001A2526">
        <w:rPr>
          <w:szCs w:val="24"/>
        </w:rPr>
        <w:t xml:space="preserve"> “(2</w:t>
      </w:r>
      <w:r w:rsidRPr="001A2526">
        <w:rPr>
          <w:szCs w:val="24"/>
          <w:vertAlign w:val="superscript"/>
        </w:rPr>
        <w:t>6</w:t>
      </w:r>
      <w:r w:rsidRPr="001A2526">
        <w:rPr>
          <w:szCs w:val="24"/>
        </w:rPr>
        <w:t>) Valsts vai pašvaldības nekustamais īpašums var tikt nodots bez atlīdzības attiecīgi valsts vai pašvaldības īpašumā, lai tas tiktu izmantots kā atlīdzības kompensācijas veids atbilstoši Sabiedrības vajadzībām nepieciešamā nekustamā īpašuma atsavināšana likumā noteiktajam, ja par to ir vienojušās attiecīgās publiskās personas. Ministru kabineta vai pašvaldības domes lēmumā par valsts nekustamā īpašuma nodošanu bez atlīdzības īpašumā nosaka, ka nekustamais īpašums tiek nodots, lai tas tiktu izmantots kā atlīdzības kompensācijas veids. Nostiprinot īpašuma tiesības uz nekustamo īpašumu, zemesgrāmatā izdarāma atzīme par Ministru kabineta vai pašvaldības domes lēmumā noteiktajiem tiesību aprobežojumiem. Ja nodotais nekustamais īpašums netiek izmantots kā atlīdzības kompensācijas veids, šo nekustamo īpašumu bez atlīdzības nodod attiecīgi valstij vai pašvaldībai.”</w:t>
      </w:r>
    </w:p>
    <w:p w:rsidR="00D121B3" w:rsidRPr="001A2526" w:rsidRDefault="00D121B3" w:rsidP="00D121B3">
      <w:pPr>
        <w:spacing w:after="60"/>
        <w:rPr>
          <w:b/>
          <w:szCs w:val="24"/>
        </w:rPr>
      </w:pPr>
      <w:r w:rsidRPr="001A2526">
        <w:rPr>
          <w:b/>
          <w:szCs w:val="24"/>
        </w:rPr>
        <w:t xml:space="preserve">Pamatojums: </w:t>
      </w:r>
    </w:p>
    <w:p w:rsidR="00D121B3" w:rsidRPr="001A2526" w:rsidRDefault="00D121B3" w:rsidP="00D121B3">
      <w:pPr>
        <w:spacing w:after="60"/>
        <w:ind w:firstLine="720"/>
        <w:rPr>
          <w:szCs w:val="24"/>
        </w:rPr>
      </w:pPr>
      <w:r w:rsidRPr="001A2526">
        <w:rPr>
          <w:szCs w:val="24"/>
        </w:rPr>
        <w:t>Sabiedrības vajadzībām nepieciešamā nekustamā īpašuma atsavināšanas likuma 26.pantā noteikts, ka institūcija atlīdzību izmaksā bezskaidras naudas norēķinu veidā vai, vienojoties ar nekustamā īpašuma īpašnieku, izmanto citu taisnīgu atlīdzības kompensācijas veidu, piemēram, piedāvājot citu līdzvērtīgu īpašumu.</w:t>
      </w:r>
    </w:p>
    <w:p w:rsidR="00D121B3" w:rsidRPr="001A2526" w:rsidRDefault="00D121B3" w:rsidP="00D121B3">
      <w:pPr>
        <w:spacing w:after="60"/>
        <w:ind w:firstLine="720"/>
        <w:rPr>
          <w:szCs w:val="24"/>
        </w:rPr>
      </w:pPr>
      <w:r w:rsidRPr="001A2526">
        <w:rPr>
          <w:szCs w:val="24"/>
        </w:rPr>
        <w:t xml:space="preserve">Praksē veicot sabiedrības vajadzībām nepieciešamā nekustamā īpašuma atsavināšanu, ir konstatēti gadījumi, kad sabiedrības vajadzībām nepieciešamā nekustamā īpašuma īpašnieks ir lūdzis vienoties par citu taisnīgu atlīdzības kompensācijas veidu, nevis bezskaidras naudas norēķinu veidu. Institūcijai, kurai veic atsavināšanu ir pienākums vērtēt šo lūgumu un piedāvāt lūgto kompensācijas veidu, ja tas ir iespējams, un ar pamatojumu noraidīt attiecīgu lūgumu, ja to apmierināt nav iespējams, vai arī pieņemt. Ir gadījumi, kad īpašnieks kā taisnīgu atlīdzību prasa atsavināmā nekustamā īpašuma vietā </w:t>
      </w:r>
      <w:r w:rsidRPr="001A2526">
        <w:rPr>
          <w:szCs w:val="24"/>
          <w:u w:val="single"/>
        </w:rPr>
        <w:t>citu publiskas personas īpašumā esošu nekustamo īpašumu un pat citas publiskas personas īpašumā esošu īpašumu</w:t>
      </w:r>
      <w:r w:rsidRPr="001A2526">
        <w:rPr>
          <w:szCs w:val="24"/>
        </w:rPr>
        <w:t xml:space="preserve">. Piemēram, Satiksmes ministrijas valdījumā esošie valsts nekustamie īpašumi pārsvarā kalpo publisko funkciju izpildes nodrošinājumam un līdz ar to nav piemērojami brīvai rīcībai, līdz ar to atlīdzības vajadzībām to izmantošanas iespējas ir nelielas. Savukārt pašvaldību īpašumā un valsts īpašumā citu publisko personu valdījumā ir īpašumi, ar kuriem varētu norēķināties, izmantojot tos kā taisnīgas atlīdzības kompensācijas veidu. Ir apzināti  gadījumi, kad pašvaldības piekrīt  atbilstošu nekustamo īpašumu nodot valstij Satiksmes ministrijas personā un kuru Satiksmes </w:t>
      </w:r>
      <w:r w:rsidRPr="001A2526">
        <w:rPr>
          <w:szCs w:val="24"/>
        </w:rPr>
        <w:lastRenderedPageBreak/>
        <w:t xml:space="preserve">ministrija varētu izmantot kā atlīdzības kompensācijas veidu, norēķinoties par sabiedrības vajadzību nodrošināšanai nepieciešamā nekustamā īpašuma iegādi. </w:t>
      </w:r>
    </w:p>
    <w:p w:rsidR="00D121B3" w:rsidRPr="001A2526" w:rsidRDefault="00D121B3" w:rsidP="00D121B3">
      <w:pPr>
        <w:spacing w:after="60"/>
        <w:ind w:firstLine="720"/>
        <w:rPr>
          <w:szCs w:val="24"/>
        </w:rPr>
      </w:pPr>
      <w:r w:rsidRPr="001A2526">
        <w:rPr>
          <w:szCs w:val="24"/>
        </w:rPr>
        <w:t>Lai nodrošinātu Sabiedrības vajadzībām nepieciešamā nekustamā īpašuma atsavināšanas 26.pantā noteiktā alternatīvu atlīdzības veidu gadījumos, kad īpašnieks ir vēlējies atsavināmā nekustamā īpašuma vietā citu publiskas personas īpašumā vai valdījumā esošu nekustamo īpašumu, ir nepieciešams veikt grozījumu Publiskas personas mantas atsavināšanas likuma 42.pantā, to papildinot ar jaunu daļu, nosakot, ka valsts vai pašvaldības nekustamais īpašums var tikt nodots bez atlīdzības attiecīgi valsts vai pašvaldības īpašumā, lai tas tiktu izmantots kā atlīdzības kompensācijas veids atbilstoši Sabiedrības vajadzībām nepieciešamā nekustamā īpašuma atsavināšana likumā noteiktajam, ja par to ir vienojušās attiecīgās publiskās personas. Ministru kabineta vai pašvaldības domes lēmumā par valsts nekustamā īpašuma nodošanu bez atlīdzības īpašumā nosaka, ka nekustamais īpašums tiek nodots, lai tas tiktu izmantots kā atlīdzības kompensācijas veids. Nostiprinot īpašuma tiesības uz nekustamo īpašumu, zemesgrāmatā izdarāma atzīme par Ministru kabineta vai pašvaldības domes lēmumā noteiktajiem tiesību aprobežojumiem. Ja nodotais nekustamais īpašums netiek izmantots kā atlīdzības kompensācijas veids, šo nekustamo īpašumu bez atlīdzības nodod attiecīgi valstij vai pašvaldībai.</w:t>
      </w:r>
    </w:p>
    <w:p w:rsidR="00D121B3" w:rsidRPr="000D0E70" w:rsidRDefault="00D121B3" w:rsidP="00D121B3">
      <w:pPr>
        <w:spacing w:after="60"/>
        <w:rPr>
          <w:szCs w:val="24"/>
        </w:rPr>
      </w:pPr>
    </w:p>
    <w:p w:rsidR="00D121B3" w:rsidRPr="00D121B3" w:rsidRDefault="00D121B3" w:rsidP="00D121B3">
      <w:pPr>
        <w:pStyle w:val="ListParagraph"/>
        <w:ind w:left="1080"/>
      </w:pPr>
      <w:r w:rsidRPr="007418BD">
        <w:tab/>
      </w:r>
      <w:r w:rsidRPr="00D121B3">
        <w:tab/>
      </w:r>
    </w:p>
    <w:p w:rsidR="00D121B3" w:rsidRPr="00D121B3" w:rsidRDefault="00D121B3" w:rsidP="00D121B3">
      <w:pPr>
        <w:rPr>
          <w:szCs w:val="24"/>
        </w:rPr>
      </w:pPr>
      <w:r w:rsidRPr="00D121B3">
        <w:rPr>
          <w:szCs w:val="24"/>
        </w:rPr>
        <w:tab/>
        <w:t>Ar cieņu</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D121B3" w:rsidRPr="00D121B3" w:rsidTr="00D121B3">
        <w:trPr>
          <w:trHeight w:val="212"/>
        </w:trPr>
        <w:tc>
          <w:tcPr>
            <w:tcW w:w="4395" w:type="dxa"/>
          </w:tcPr>
          <w:p w:rsidR="00D121B3" w:rsidRPr="00D121B3" w:rsidRDefault="00D121B3" w:rsidP="00894176">
            <w:pPr>
              <w:rPr>
                <w:sz w:val="24"/>
                <w:szCs w:val="24"/>
              </w:rPr>
            </w:pPr>
            <w:r w:rsidRPr="00D121B3">
              <w:rPr>
                <w:sz w:val="24"/>
                <w:szCs w:val="24"/>
              </w:rPr>
              <w:t xml:space="preserve">finanšu ministres vietā – </w:t>
            </w:r>
          </w:p>
          <w:p w:rsidR="00D121B3" w:rsidRPr="00D121B3" w:rsidRDefault="00D121B3" w:rsidP="00894176">
            <w:pPr>
              <w:rPr>
                <w:sz w:val="24"/>
                <w:szCs w:val="24"/>
              </w:rPr>
            </w:pPr>
            <w:r w:rsidRPr="00D121B3">
              <w:rPr>
                <w:sz w:val="24"/>
                <w:szCs w:val="24"/>
              </w:rPr>
              <w:t>Ministru prezidents</w:t>
            </w:r>
          </w:p>
        </w:tc>
        <w:tc>
          <w:tcPr>
            <w:tcW w:w="1984" w:type="dxa"/>
          </w:tcPr>
          <w:p w:rsidR="00D121B3" w:rsidRPr="00D121B3" w:rsidRDefault="00D121B3" w:rsidP="00894176">
            <w:pPr>
              <w:jc w:val="center"/>
              <w:rPr>
                <w:sz w:val="24"/>
                <w:szCs w:val="24"/>
              </w:rPr>
            </w:pPr>
          </w:p>
        </w:tc>
        <w:tc>
          <w:tcPr>
            <w:tcW w:w="2977" w:type="dxa"/>
            <w:vAlign w:val="bottom"/>
          </w:tcPr>
          <w:p w:rsidR="00D121B3" w:rsidRPr="00D121B3" w:rsidRDefault="00D121B3" w:rsidP="00894176">
            <w:pPr>
              <w:jc w:val="right"/>
              <w:rPr>
                <w:sz w:val="24"/>
                <w:szCs w:val="24"/>
              </w:rPr>
            </w:pPr>
            <w:proofErr w:type="spellStart"/>
            <w:r w:rsidRPr="00D121B3">
              <w:rPr>
                <w:sz w:val="24"/>
                <w:szCs w:val="24"/>
              </w:rPr>
              <w:t>M.Kučinskis</w:t>
            </w:r>
            <w:proofErr w:type="spellEnd"/>
          </w:p>
        </w:tc>
      </w:tr>
    </w:tbl>
    <w:p w:rsidR="00D121B3" w:rsidRPr="00D121B3" w:rsidRDefault="00D121B3" w:rsidP="00D121B3">
      <w:pPr>
        <w:ind w:firstLine="142"/>
        <w:rPr>
          <w:szCs w:val="24"/>
        </w:rPr>
      </w:pPr>
    </w:p>
    <w:p w:rsidR="00D121B3" w:rsidRPr="00D121B3" w:rsidRDefault="00D121B3" w:rsidP="00D121B3">
      <w:pPr>
        <w:ind w:firstLine="142"/>
        <w:rPr>
          <w:szCs w:val="24"/>
        </w:rPr>
      </w:pPr>
    </w:p>
    <w:p w:rsidR="00D121B3" w:rsidRPr="00D121B3" w:rsidRDefault="00D121B3" w:rsidP="00D121B3">
      <w:pPr>
        <w:ind w:firstLine="142"/>
        <w:rPr>
          <w:szCs w:val="24"/>
        </w:rPr>
      </w:pPr>
    </w:p>
    <w:p w:rsidR="00D121B3" w:rsidRDefault="00D121B3" w:rsidP="00D121B3">
      <w:pPr>
        <w:ind w:firstLine="142"/>
        <w:rPr>
          <w:sz w:val="20"/>
        </w:rPr>
      </w:pPr>
    </w:p>
    <w:p w:rsidR="00D121B3" w:rsidRPr="00FD5B28" w:rsidRDefault="00D121B3" w:rsidP="00D121B3">
      <w:pPr>
        <w:ind w:firstLine="142"/>
        <w:rPr>
          <w:sz w:val="20"/>
        </w:rPr>
      </w:pPr>
      <w:r w:rsidRPr="00FD5B28">
        <w:rPr>
          <w:sz w:val="20"/>
        </w:rPr>
        <w:t xml:space="preserve">Ālmane 67 095 597 </w:t>
      </w:r>
    </w:p>
    <w:p w:rsidR="00D121B3" w:rsidRPr="00FD5B28" w:rsidRDefault="00D121B3" w:rsidP="00D121B3">
      <w:pPr>
        <w:ind w:firstLine="142"/>
        <w:rPr>
          <w:sz w:val="20"/>
        </w:rPr>
      </w:pPr>
    </w:p>
    <w:p w:rsidR="00D61AB8" w:rsidRDefault="00D61AB8" w:rsidP="000D0E70">
      <w:pPr>
        <w:rPr>
          <w:sz w:val="20"/>
        </w:rPr>
      </w:pPr>
    </w:p>
    <w:p w:rsidR="00D61AB8" w:rsidRPr="00D61AB8" w:rsidRDefault="00D61AB8" w:rsidP="00D61AB8">
      <w:pPr>
        <w:rPr>
          <w:sz w:val="20"/>
        </w:rPr>
      </w:pPr>
    </w:p>
    <w:p w:rsidR="00D61AB8" w:rsidRPr="00D61AB8" w:rsidRDefault="00D61AB8" w:rsidP="00D61AB8">
      <w:pPr>
        <w:rPr>
          <w:sz w:val="20"/>
        </w:rPr>
      </w:pPr>
    </w:p>
    <w:p w:rsidR="00D61AB8" w:rsidRPr="00D61AB8" w:rsidRDefault="00D61AB8" w:rsidP="00D61AB8">
      <w:pPr>
        <w:rPr>
          <w:sz w:val="20"/>
        </w:rPr>
      </w:pPr>
    </w:p>
    <w:p w:rsidR="00D61AB8" w:rsidRPr="00D61AB8" w:rsidRDefault="00D61AB8" w:rsidP="00D61AB8">
      <w:pPr>
        <w:rPr>
          <w:sz w:val="20"/>
        </w:rPr>
      </w:pPr>
    </w:p>
    <w:p w:rsidR="00D61AB8" w:rsidRPr="00D61AB8" w:rsidRDefault="00D61AB8" w:rsidP="00D61AB8">
      <w:pPr>
        <w:rPr>
          <w:sz w:val="20"/>
        </w:rPr>
      </w:pPr>
    </w:p>
    <w:p w:rsidR="00D61AB8" w:rsidRPr="00D61AB8" w:rsidRDefault="00D61AB8" w:rsidP="00D61AB8">
      <w:pPr>
        <w:rPr>
          <w:sz w:val="20"/>
        </w:rPr>
      </w:pPr>
    </w:p>
    <w:p w:rsidR="00D61AB8" w:rsidRPr="00D61AB8" w:rsidRDefault="00D61AB8" w:rsidP="00D61AB8">
      <w:pPr>
        <w:rPr>
          <w:sz w:val="20"/>
        </w:rPr>
      </w:pPr>
    </w:p>
    <w:p w:rsidR="00D61AB8" w:rsidRPr="00D61AB8" w:rsidRDefault="00D61AB8" w:rsidP="00D61AB8">
      <w:pPr>
        <w:rPr>
          <w:sz w:val="20"/>
        </w:rPr>
      </w:pPr>
    </w:p>
    <w:p w:rsidR="00D61AB8" w:rsidRDefault="00D61AB8" w:rsidP="00D61AB8">
      <w:pPr>
        <w:rPr>
          <w:sz w:val="20"/>
        </w:rPr>
      </w:pPr>
    </w:p>
    <w:p w:rsidR="00D61AB8" w:rsidRPr="00D61AB8" w:rsidRDefault="00D61AB8" w:rsidP="00D61AB8">
      <w:pPr>
        <w:rPr>
          <w:sz w:val="20"/>
        </w:rPr>
      </w:pPr>
    </w:p>
    <w:p w:rsidR="00D61AB8" w:rsidRDefault="00D61AB8" w:rsidP="00D61AB8">
      <w:pPr>
        <w:rPr>
          <w:sz w:val="20"/>
        </w:rPr>
      </w:pPr>
    </w:p>
    <w:p w:rsidR="00544C74" w:rsidRPr="00D61AB8" w:rsidRDefault="00544C74" w:rsidP="00D61AB8">
      <w:pPr>
        <w:ind w:firstLine="720"/>
        <w:rPr>
          <w:sz w:val="20"/>
        </w:rPr>
      </w:pPr>
    </w:p>
    <w:sectPr w:rsidR="00544C74" w:rsidRPr="00D61AB8" w:rsidSect="00F20A83">
      <w:headerReference w:type="even" r:id="rId8"/>
      <w:headerReference w:type="default" r:id="rId9"/>
      <w:footerReference w:type="default" r:id="rId10"/>
      <w:headerReference w:type="first" r:id="rId11"/>
      <w:footerReference w:type="first" r:id="rId12"/>
      <w:pgSz w:w="11907" w:h="16840" w:code="9"/>
      <w:pgMar w:top="1134" w:right="851" w:bottom="851"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30" w:rsidRDefault="00F07730" w:rsidP="00412F3D">
      <w:r>
        <w:separator/>
      </w:r>
    </w:p>
  </w:endnote>
  <w:endnote w:type="continuationSeparator" w:id="0">
    <w:p w:rsidR="00F07730" w:rsidRDefault="00F07730" w:rsidP="0041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4D" w:rsidRPr="00D61AB8" w:rsidRDefault="00D61AB8" w:rsidP="00D61AB8">
    <w:pPr>
      <w:pStyle w:val="Footer"/>
      <w:tabs>
        <w:tab w:val="clear" w:pos="4153"/>
        <w:tab w:val="clear" w:pos="8306"/>
        <w:tab w:val="left" w:pos="938"/>
      </w:tabs>
      <w:rPr>
        <w:szCs w:val="18"/>
      </w:rPr>
    </w:pPr>
    <w:r w:rsidRPr="00D61AB8">
      <w:rPr>
        <w:szCs w:val="18"/>
      </w:rPr>
      <w:t>FMpriekslikumi_190417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3D" w:rsidRDefault="00412F3D">
    <w:pPr>
      <w:pStyle w:val="Footer"/>
    </w:pPr>
    <w:r>
      <w:t>FMpriekslikumi_190417</w:t>
    </w:r>
  </w:p>
  <w:p w:rsidR="00412F3D" w:rsidRDefault="00412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30" w:rsidRDefault="00F07730" w:rsidP="00412F3D">
      <w:r>
        <w:separator/>
      </w:r>
    </w:p>
  </w:footnote>
  <w:footnote w:type="continuationSeparator" w:id="0">
    <w:p w:rsidR="00F07730" w:rsidRDefault="00F07730" w:rsidP="0041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E" w:rsidRDefault="008E6D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3DBE" w:rsidRDefault="00F07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92546"/>
      <w:docPartObj>
        <w:docPartGallery w:val="Page Numbers (Top of Page)"/>
        <w:docPartUnique/>
      </w:docPartObj>
    </w:sdtPr>
    <w:sdtEndPr>
      <w:rPr>
        <w:noProof/>
      </w:rPr>
    </w:sdtEndPr>
    <w:sdtContent>
      <w:p w:rsidR="00D61AB8" w:rsidRDefault="00D61AB8">
        <w:pPr>
          <w:pStyle w:val="Header"/>
          <w:jc w:val="center"/>
        </w:pPr>
        <w:r>
          <w:fldChar w:fldCharType="begin"/>
        </w:r>
        <w:r>
          <w:instrText xml:space="preserve"> PAGE   \* MERGEFORMAT </w:instrText>
        </w:r>
        <w:r>
          <w:fldChar w:fldCharType="separate"/>
        </w:r>
        <w:r w:rsidR="00CB54B1">
          <w:rPr>
            <w:noProof/>
          </w:rPr>
          <w:t>3</w:t>
        </w:r>
        <w:r>
          <w:rPr>
            <w:noProof/>
          </w:rPr>
          <w:fldChar w:fldCharType="end"/>
        </w:r>
      </w:p>
    </w:sdtContent>
  </w:sdt>
  <w:p w:rsidR="00F33DBE" w:rsidRDefault="00F07730" w:rsidP="008C5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B8" w:rsidRDefault="00D61AB8">
    <w:pPr>
      <w:pStyle w:val="Header"/>
      <w:jc w:val="center"/>
    </w:pPr>
  </w:p>
  <w:p w:rsidR="00D61AB8" w:rsidRDefault="00D61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1300B"/>
    <w:multiLevelType w:val="hybridMultilevel"/>
    <w:tmpl w:val="45AC5D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70"/>
    <w:rsid w:val="00055980"/>
    <w:rsid w:val="00094D51"/>
    <w:rsid w:val="000D0E70"/>
    <w:rsid w:val="003D0143"/>
    <w:rsid w:val="00412F3D"/>
    <w:rsid w:val="00544C74"/>
    <w:rsid w:val="005E018F"/>
    <w:rsid w:val="006A0EDF"/>
    <w:rsid w:val="006A4476"/>
    <w:rsid w:val="007442F7"/>
    <w:rsid w:val="008E6D66"/>
    <w:rsid w:val="00937781"/>
    <w:rsid w:val="0095041F"/>
    <w:rsid w:val="00A13623"/>
    <w:rsid w:val="00A80AF6"/>
    <w:rsid w:val="00A91D06"/>
    <w:rsid w:val="00B02243"/>
    <w:rsid w:val="00CB54B1"/>
    <w:rsid w:val="00D10EC5"/>
    <w:rsid w:val="00D121B3"/>
    <w:rsid w:val="00D60C43"/>
    <w:rsid w:val="00D61AB8"/>
    <w:rsid w:val="00F07730"/>
    <w:rsid w:val="00F20A83"/>
    <w:rsid w:val="00F417B3"/>
    <w:rsid w:val="00FC3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857918-2C35-4631-8558-4B668D51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B3"/>
    <w:pPr>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0E70"/>
    <w:pPr>
      <w:ind w:left="720"/>
      <w:contextualSpacing/>
    </w:pPr>
    <w:rPr>
      <w:szCs w:val="24"/>
    </w:rPr>
  </w:style>
  <w:style w:type="character" w:customStyle="1" w:styleId="apple-converted-space">
    <w:name w:val="apple-converted-space"/>
    <w:basedOn w:val="DefaultParagraphFont"/>
    <w:rsid w:val="005E018F"/>
  </w:style>
  <w:style w:type="character" w:styleId="CommentReference">
    <w:name w:val="annotation reference"/>
    <w:basedOn w:val="DefaultParagraphFont"/>
    <w:uiPriority w:val="99"/>
    <w:semiHidden/>
    <w:unhideWhenUsed/>
    <w:rsid w:val="005E018F"/>
    <w:rPr>
      <w:sz w:val="16"/>
      <w:szCs w:val="16"/>
    </w:rPr>
  </w:style>
  <w:style w:type="paragraph" w:styleId="Header">
    <w:name w:val="header"/>
    <w:basedOn w:val="Normal"/>
    <w:link w:val="HeaderChar"/>
    <w:uiPriority w:val="99"/>
    <w:rsid w:val="00D121B3"/>
    <w:pPr>
      <w:tabs>
        <w:tab w:val="center" w:pos="4153"/>
        <w:tab w:val="right" w:pos="8306"/>
      </w:tabs>
    </w:pPr>
    <w:rPr>
      <w:sz w:val="18"/>
    </w:rPr>
  </w:style>
  <w:style w:type="character" w:customStyle="1" w:styleId="HeaderChar">
    <w:name w:val="Header Char"/>
    <w:basedOn w:val="DefaultParagraphFont"/>
    <w:link w:val="Header"/>
    <w:uiPriority w:val="99"/>
    <w:rsid w:val="00D121B3"/>
    <w:rPr>
      <w:rFonts w:eastAsia="Times New Roman" w:cs="Times New Roman"/>
      <w:sz w:val="18"/>
      <w:szCs w:val="20"/>
    </w:rPr>
  </w:style>
  <w:style w:type="paragraph" w:styleId="Footer">
    <w:name w:val="footer"/>
    <w:basedOn w:val="Normal"/>
    <w:link w:val="FooterChar"/>
    <w:uiPriority w:val="99"/>
    <w:rsid w:val="00D121B3"/>
    <w:pPr>
      <w:tabs>
        <w:tab w:val="center" w:pos="4153"/>
        <w:tab w:val="right" w:pos="8306"/>
      </w:tabs>
    </w:pPr>
    <w:rPr>
      <w:sz w:val="18"/>
    </w:rPr>
  </w:style>
  <w:style w:type="character" w:customStyle="1" w:styleId="FooterChar">
    <w:name w:val="Footer Char"/>
    <w:basedOn w:val="DefaultParagraphFont"/>
    <w:link w:val="Footer"/>
    <w:uiPriority w:val="99"/>
    <w:rsid w:val="00D121B3"/>
    <w:rPr>
      <w:rFonts w:eastAsia="Times New Roman" w:cs="Times New Roman"/>
      <w:sz w:val="18"/>
      <w:szCs w:val="20"/>
    </w:rPr>
  </w:style>
  <w:style w:type="character" w:styleId="PageNumber">
    <w:name w:val="page number"/>
    <w:rsid w:val="00D121B3"/>
    <w:rPr>
      <w:rFonts w:ascii="Times New Roman" w:hAnsi="Times New Roman"/>
    </w:rPr>
  </w:style>
  <w:style w:type="table" w:styleId="TableGrid">
    <w:name w:val="Table Grid"/>
    <w:basedOn w:val="TableNormal"/>
    <w:uiPriority w:val="59"/>
    <w:rsid w:val="00D121B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121B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7763">
      <w:bodyDiv w:val="1"/>
      <w:marLeft w:val="0"/>
      <w:marRight w:val="0"/>
      <w:marTop w:val="0"/>
      <w:marBottom w:val="0"/>
      <w:divBdr>
        <w:top w:val="none" w:sz="0" w:space="0" w:color="auto"/>
        <w:left w:val="none" w:sz="0" w:space="0" w:color="auto"/>
        <w:bottom w:val="none" w:sz="0" w:space="0" w:color="auto"/>
        <w:right w:val="none" w:sz="0" w:space="0" w:color="auto"/>
      </w:divBdr>
    </w:div>
    <w:div w:id="1979918880">
      <w:bodyDiv w:val="1"/>
      <w:marLeft w:val="0"/>
      <w:marRight w:val="0"/>
      <w:marTop w:val="0"/>
      <w:marBottom w:val="0"/>
      <w:divBdr>
        <w:top w:val="none" w:sz="0" w:space="0" w:color="auto"/>
        <w:left w:val="none" w:sz="0" w:space="0" w:color="auto"/>
        <w:bottom w:val="none" w:sz="0" w:space="0" w:color="auto"/>
        <w:right w:val="none" w:sz="0" w:space="0" w:color="auto"/>
      </w:divBdr>
    </w:div>
    <w:div w:id="20878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20D7-F693-48D1-B42C-AFB88FC8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5885</Words>
  <Characters>3355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Priekšlikumi</vt:lpstr>
    </vt:vector>
  </TitlesOfParts>
  <Company>Finanšu ministrija</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priekšlikumiem likumprojekta “Grozījums Publiskas personas mantas atsavināšanas likumā” (Nr.644/Lp12) izskatīšanai Saeimā otrajam lasījumam</dc:title>
  <dc:subject>priekšlikumi</dc:subject>
  <dc:creator>Sabīne Ālmane</dc:creator>
  <cp:keywords/>
  <dc:description>sabine.almane@fm.gov.lv tālr.67095597</dc:description>
  <cp:lastModifiedBy>Gunta Puidīte</cp:lastModifiedBy>
  <cp:revision>19</cp:revision>
  <dcterms:created xsi:type="dcterms:W3CDTF">2017-04-19T05:44:00Z</dcterms:created>
  <dcterms:modified xsi:type="dcterms:W3CDTF">2017-04-20T07:40:00Z</dcterms:modified>
</cp:coreProperties>
</file>