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86D" w:rsidRPr="00034F24" w:rsidRDefault="003A286D" w:rsidP="003A286D">
      <w:pPr>
        <w:jc w:val="center"/>
        <w:rPr>
          <w:b/>
          <w:bCs/>
        </w:rPr>
      </w:pPr>
      <w:r w:rsidRPr="00034F24">
        <w:rPr>
          <w:b/>
          <w:bCs/>
        </w:rPr>
        <w:t xml:space="preserve">Likumprojekta </w:t>
      </w:r>
      <w:r w:rsidR="00DE51BA" w:rsidRPr="00034F24">
        <w:rPr>
          <w:b/>
          <w:bCs/>
        </w:rPr>
        <w:t>“</w:t>
      </w:r>
      <w:r w:rsidRPr="00034F24">
        <w:rPr>
          <w:b/>
          <w:bCs/>
        </w:rPr>
        <w:t xml:space="preserve">Grozījumi </w:t>
      </w:r>
      <w:r w:rsidR="00DE51BA" w:rsidRPr="00034F24">
        <w:rPr>
          <w:b/>
          <w:bCs/>
        </w:rPr>
        <w:t>Iedzīvotāju reģistra</w:t>
      </w:r>
      <w:r w:rsidRPr="00034F24">
        <w:rPr>
          <w:b/>
          <w:bCs/>
        </w:rPr>
        <w:t xml:space="preserve"> likumā” sākotnējās ietekmes novērtējuma ziņojums (anotācija)</w:t>
      </w:r>
    </w:p>
    <w:p w:rsidR="001354DA" w:rsidRPr="00034F24" w:rsidRDefault="001354DA" w:rsidP="003A286D">
      <w:pPr>
        <w:jc w:val="center"/>
        <w:rPr>
          <w:b/>
          <w:bCs/>
        </w:rPr>
      </w:pPr>
    </w:p>
    <w:tbl>
      <w:tblPr>
        <w:tblW w:w="9426" w:type="dxa"/>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692"/>
        <w:gridCol w:w="2795"/>
        <w:gridCol w:w="5939"/>
      </w:tblGrid>
      <w:tr w:rsidR="003A286D" w:rsidRPr="00034F24" w:rsidTr="005801BE">
        <w:trPr>
          <w:trHeight w:val="405"/>
          <w:tblCellSpacing w:w="15" w:type="dxa"/>
        </w:trPr>
        <w:tc>
          <w:tcPr>
            <w:tcW w:w="9366" w:type="dxa"/>
            <w:gridSpan w:val="3"/>
            <w:tcBorders>
              <w:top w:val="outset" w:sz="6" w:space="0" w:color="auto"/>
              <w:left w:val="outset" w:sz="6" w:space="0" w:color="auto"/>
              <w:bottom w:val="outset" w:sz="6" w:space="0" w:color="auto"/>
              <w:right w:val="outset" w:sz="6" w:space="0" w:color="auto"/>
            </w:tcBorders>
            <w:vAlign w:val="center"/>
          </w:tcPr>
          <w:p w:rsidR="003A286D" w:rsidRPr="00034F24" w:rsidRDefault="003A286D" w:rsidP="00446662">
            <w:pPr>
              <w:spacing w:before="100" w:beforeAutospacing="1" w:after="100" w:afterAutospacing="1" w:line="360" w:lineRule="auto"/>
              <w:ind w:firstLine="300"/>
              <w:jc w:val="center"/>
              <w:rPr>
                <w:b/>
                <w:bCs/>
              </w:rPr>
            </w:pPr>
            <w:r w:rsidRPr="00034F24">
              <w:rPr>
                <w:b/>
                <w:bCs/>
              </w:rPr>
              <w:t>I. Tiesību akta projekta izstrādes nepieciešamība</w:t>
            </w:r>
          </w:p>
        </w:tc>
      </w:tr>
      <w:tr w:rsidR="003A286D" w:rsidRPr="00034F24" w:rsidTr="005801BE">
        <w:trPr>
          <w:trHeight w:val="405"/>
          <w:tblCellSpacing w:w="15" w:type="dxa"/>
        </w:trPr>
        <w:tc>
          <w:tcPr>
            <w:tcW w:w="647" w:type="dxa"/>
            <w:tcBorders>
              <w:top w:val="outset" w:sz="6" w:space="0" w:color="auto"/>
              <w:left w:val="outset" w:sz="6" w:space="0" w:color="auto"/>
              <w:bottom w:val="outset" w:sz="6" w:space="0" w:color="auto"/>
              <w:right w:val="outset" w:sz="6" w:space="0" w:color="auto"/>
            </w:tcBorders>
          </w:tcPr>
          <w:p w:rsidR="003A286D" w:rsidRPr="00034F24" w:rsidRDefault="003A286D" w:rsidP="00446662">
            <w:pPr>
              <w:spacing w:before="100" w:beforeAutospacing="1" w:after="100" w:afterAutospacing="1" w:line="360" w:lineRule="auto"/>
              <w:ind w:firstLine="300"/>
              <w:jc w:val="center"/>
            </w:pPr>
            <w:r w:rsidRPr="00034F24">
              <w:t>1.</w:t>
            </w:r>
          </w:p>
        </w:tc>
        <w:tc>
          <w:tcPr>
            <w:tcW w:w="2765" w:type="dxa"/>
            <w:tcBorders>
              <w:top w:val="outset" w:sz="6" w:space="0" w:color="auto"/>
              <w:left w:val="outset" w:sz="6" w:space="0" w:color="auto"/>
              <w:bottom w:val="outset" w:sz="6" w:space="0" w:color="auto"/>
              <w:right w:val="outset" w:sz="6" w:space="0" w:color="auto"/>
            </w:tcBorders>
          </w:tcPr>
          <w:p w:rsidR="003A286D" w:rsidRPr="00034F24" w:rsidRDefault="003A286D" w:rsidP="00446662">
            <w:r w:rsidRPr="00034F24">
              <w:t>Pamatojums</w:t>
            </w:r>
          </w:p>
        </w:tc>
        <w:tc>
          <w:tcPr>
            <w:tcW w:w="5894" w:type="dxa"/>
            <w:tcBorders>
              <w:top w:val="outset" w:sz="6" w:space="0" w:color="auto"/>
              <w:left w:val="outset" w:sz="6" w:space="0" w:color="auto"/>
              <w:bottom w:val="outset" w:sz="6" w:space="0" w:color="auto"/>
              <w:right w:val="outset" w:sz="6" w:space="0" w:color="auto"/>
            </w:tcBorders>
          </w:tcPr>
          <w:p w:rsidR="003A286D" w:rsidRPr="00034F24" w:rsidRDefault="00EF0B0B" w:rsidP="00446662">
            <w:pPr>
              <w:jc w:val="both"/>
            </w:pPr>
            <w:r w:rsidRPr="00034F24">
              <w:rPr>
                <w:bCs/>
              </w:rPr>
              <w:t>Ministru kabineta 2016.gada 5.janvāra sēdes prot</w:t>
            </w:r>
            <w:r w:rsidR="00D917F2">
              <w:rPr>
                <w:bCs/>
              </w:rPr>
              <w:t xml:space="preserve">okola Nr.1 28.§ 9.1.apakšpunkts </w:t>
            </w:r>
            <w:r w:rsidR="00D917F2" w:rsidRPr="00D917F2">
              <w:t>un 2017.gada 24.janvāra sēdes protokola Nr.4 14.§.</w:t>
            </w:r>
          </w:p>
        </w:tc>
      </w:tr>
      <w:tr w:rsidR="00EF0B0B" w:rsidRPr="00034F24" w:rsidTr="005801BE">
        <w:trPr>
          <w:trHeight w:val="465"/>
          <w:tblCellSpacing w:w="15" w:type="dxa"/>
        </w:trPr>
        <w:tc>
          <w:tcPr>
            <w:tcW w:w="647" w:type="dxa"/>
            <w:tcBorders>
              <w:top w:val="outset" w:sz="6" w:space="0" w:color="auto"/>
              <w:left w:val="outset" w:sz="6" w:space="0" w:color="auto"/>
              <w:bottom w:val="outset" w:sz="6" w:space="0" w:color="auto"/>
              <w:right w:val="outset" w:sz="6" w:space="0" w:color="auto"/>
            </w:tcBorders>
          </w:tcPr>
          <w:p w:rsidR="003A286D" w:rsidRPr="00034F24" w:rsidRDefault="003A286D" w:rsidP="00446662">
            <w:pPr>
              <w:spacing w:before="100" w:beforeAutospacing="1" w:after="100" w:afterAutospacing="1" w:line="360" w:lineRule="auto"/>
              <w:ind w:firstLine="300"/>
              <w:jc w:val="center"/>
            </w:pPr>
            <w:r w:rsidRPr="00034F24">
              <w:t>2.</w:t>
            </w:r>
          </w:p>
        </w:tc>
        <w:tc>
          <w:tcPr>
            <w:tcW w:w="2765" w:type="dxa"/>
            <w:tcBorders>
              <w:top w:val="outset" w:sz="6" w:space="0" w:color="auto"/>
              <w:left w:val="outset" w:sz="6" w:space="0" w:color="auto"/>
              <w:bottom w:val="outset" w:sz="6" w:space="0" w:color="auto"/>
              <w:right w:val="outset" w:sz="6" w:space="0" w:color="auto"/>
            </w:tcBorders>
          </w:tcPr>
          <w:p w:rsidR="003A286D" w:rsidRPr="00034F24" w:rsidRDefault="003A286D" w:rsidP="00446662">
            <w:r w:rsidRPr="00034F24">
              <w:t>Pašreizējā situācija un problēmas, kuru risināšanai tiesību akta projekts izstrādāts, tiesiskā regulējuma mērķis un būtība</w:t>
            </w:r>
          </w:p>
        </w:tc>
        <w:tc>
          <w:tcPr>
            <w:tcW w:w="5894" w:type="dxa"/>
            <w:tcBorders>
              <w:top w:val="outset" w:sz="6" w:space="0" w:color="auto"/>
              <w:left w:val="outset" w:sz="6" w:space="0" w:color="auto"/>
              <w:bottom w:val="outset" w:sz="6" w:space="0" w:color="auto"/>
              <w:right w:val="outset" w:sz="6" w:space="0" w:color="auto"/>
            </w:tcBorders>
          </w:tcPr>
          <w:p w:rsidR="003A286D" w:rsidRPr="00034F24" w:rsidRDefault="00EF0B0B" w:rsidP="0096609E">
            <w:pPr>
              <w:jc w:val="both"/>
            </w:pPr>
            <w:r w:rsidRPr="00034F24">
              <w:rPr>
                <w:bCs/>
              </w:rPr>
              <w:t xml:space="preserve">Ministru kabineta 2016.gada 5.janvāra sēdes protokola Nr.1 28.§ 9.1.apakšpunktā noteikts, ka </w:t>
            </w:r>
            <w:r w:rsidRPr="00034F24">
              <w:t>Iekšlietu ministrijai jāsagatavo un līdz 2017.gada 1.janvārim</w:t>
            </w:r>
            <w:r w:rsidR="00B61242">
              <w:t xml:space="preserve"> (ar Ministru kabineta </w:t>
            </w:r>
            <w:r w:rsidR="00B61242" w:rsidRPr="00D917F2">
              <w:t>2017.gada 24.janvāra sēdes protokola Nr.4 14.§</w:t>
            </w:r>
            <w:r w:rsidR="00B61242">
              <w:t xml:space="preserve"> iesniegšanas termiņš pagarināts uz 2017.gada 1.jūniju)</w:t>
            </w:r>
            <w:r w:rsidRPr="00034F24">
              <w:t xml:space="preserve"> jāiesniedz not</w:t>
            </w:r>
            <w:r w:rsidR="0096609E" w:rsidRPr="00034F24">
              <w:t xml:space="preserve">eiktā kārtībā Ministru </w:t>
            </w:r>
            <w:r w:rsidRPr="00034F24">
              <w:t>kabinetā</w:t>
            </w:r>
            <w:r w:rsidR="0096609E" w:rsidRPr="00034F24">
              <w:t xml:space="preserve"> </w:t>
            </w:r>
            <w:r w:rsidRPr="00034F24">
              <w:t xml:space="preserve">likumprojekts “Grozījumi Iedzīvotāju reģistra likumā”, paredzot paplašināt Iedzīvotāju reģistrā uzkrāto ziņu apjomu. </w:t>
            </w:r>
            <w:r w:rsidR="00564642" w:rsidRPr="00034F24">
              <w:t>Šāds uzdevums paredzēts arī</w:t>
            </w:r>
            <w:r w:rsidRPr="00034F24">
              <w:t xml:space="preserve"> </w:t>
            </w:r>
            <w:r w:rsidR="00990091" w:rsidRPr="00034F24">
              <w:t>koncepcij</w:t>
            </w:r>
            <w:r w:rsidR="00564642" w:rsidRPr="00034F24">
              <w:t>as</w:t>
            </w:r>
            <w:r w:rsidR="00990091" w:rsidRPr="00034F24">
              <w:t xml:space="preserve"> “Oficiālās elektroniskās adreses koncepcija”, kas apstiprināta ar  </w:t>
            </w:r>
            <w:r w:rsidR="00990091" w:rsidRPr="00034F24">
              <w:rPr>
                <w:bCs/>
              </w:rPr>
              <w:t>Ministru kabineta 2014.gada 3.marta rīkojumu Nr.90 “Par Oficiālās elektroniskās adreses koncepciju”</w:t>
            </w:r>
            <w:r w:rsidR="00564642" w:rsidRPr="00034F24">
              <w:rPr>
                <w:bCs/>
              </w:rPr>
              <w:t>,</w:t>
            </w:r>
            <w:r w:rsidR="00990091" w:rsidRPr="00034F24">
              <w:rPr>
                <w:bCs/>
              </w:rPr>
              <w:t xml:space="preserve"> </w:t>
            </w:r>
            <w:r w:rsidR="00564642" w:rsidRPr="00034F24">
              <w:rPr>
                <w:bCs/>
              </w:rPr>
              <w:t xml:space="preserve">9.sadaļas 5.punktā. Atbilstoši koncepcijā norādītajam </w:t>
            </w:r>
            <w:r w:rsidR="008D39DB" w:rsidRPr="00034F24">
              <w:rPr>
                <w:bCs/>
              </w:rPr>
              <w:t>sākotnēji</w:t>
            </w:r>
            <w:r w:rsidR="00564642" w:rsidRPr="00034F24">
              <w:rPr>
                <w:bCs/>
              </w:rPr>
              <w:t xml:space="preserve"> nepieciešams Iedzīvotāju reģistrā uzkrāt ziņas par </w:t>
            </w:r>
            <w:r w:rsidR="00564642" w:rsidRPr="00034F24">
              <w:t xml:space="preserve">oficiālās elektroniskās adreses konta aktivizēšanu, tas ir, vai personai oficiālās elektroniskās adreses konts ir aktivizēts vai nav. Savukārt gadījumā, ja tiks realizēta oficiālās elektroniskās adreses otrā kārta, nodrošinot saziņu starp privātpersonām, būs nepieciešams iekļaut ziņas Iedzīvotāju reģistrā arī par oficiālo elektronisko adresi, kas varēs būt ne tikai personas personas kods, bet arī atbilstoši koncepcijā norādītajam unikālu ciparu un burtu kombinācija. </w:t>
            </w:r>
            <w:r w:rsidR="004D593D" w:rsidRPr="00034F24">
              <w:t>Ievērojot minēto, Iedzīvotāju reģistra likumā jāparedz, ka Iedzīvotāju reģistrā par personu iekļauj ziņas par personas oficiālās elektroniskās adreses kontu.</w:t>
            </w:r>
            <w:r w:rsidR="00386A44" w:rsidRPr="00034F24">
              <w:t xml:space="preserve"> </w:t>
            </w:r>
          </w:p>
          <w:p w:rsidR="00120891" w:rsidRDefault="00120891" w:rsidP="0096609E">
            <w:pPr>
              <w:jc w:val="both"/>
            </w:pPr>
            <w:r w:rsidRPr="00034F24">
              <w:t>Norādāms, ka Iedzīvotāju reģistrs ir valsts informācijas sistēma, kas nodrošina vienotu iedzīvot</w:t>
            </w:r>
            <w:r w:rsidR="00F968A0" w:rsidRPr="00034F24">
              <w:t>āju uzskaiti. Iedzīvotāju reģistrā tiek iekļautas un aktualizētas ziņas par personu, kā rezultātā visām valsts iestādēm to kompetences ietvaros tam ir piekļuve, lai nodrošinātu personas datu apskati, tai skaitā par iespēju ar personu sazināties, proti, šobrīd vai personai ir nav deklarēta dzīvesvietas adrese un kāda tā ir, kas attiecīgi tiek ņemts vērā sazinoties ar personu. Ievērojot minēto, ir nepieciešams Iedzīvotāju reģistrā iekļaut ziņas par personas oficiālās elektroniskās adreses kontu ne tikai lai izpildītu valdības uzdevumu, bet lai vienuviet būtu pieejamas ziņas par iespējamajiem kanāliem saziņai ar personu, kas atsevišķos gadījumos varētu mazināt administratīvo slogu amatpersonām, proti, pārbaudot datus par personu Iedzīvotāju reģistrā vienlaicīgi tiek pārbaudīts vai personai sagatavojamais dokuments sūtāms izmantojot elektronisko saziņas kanālu vai sūtāms izmantojot VAS “Latvijas Pasts” pakalpojumus</w:t>
            </w:r>
            <w:r w:rsidR="00EA479B">
              <w:t>.</w:t>
            </w:r>
          </w:p>
          <w:p w:rsidR="00046CC2" w:rsidRPr="00C914ED" w:rsidRDefault="00046CC2" w:rsidP="0096609E">
            <w:pPr>
              <w:jc w:val="both"/>
            </w:pPr>
            <w:r w:rsidRPr="00C914ED">
              <w:lastRenderedPageBreak/>
              <w:t>Attiecīgi Ministru kabineta 2011.gada 15.februāra noteikumos Nr.131 “Iedzīvotāju reģistrā iekļauto ziņu aktualizēšanas kārtība” tiks noteikts, ka šādas ziņas Pilsonības un migrācijas lietu pārvaldei sniegs Valsts reģionālās attīstības aģentūra, kas to sniegs tiešsaistē.</w:t>
            </w:r>
          </w:p>
          <w:p w:rsidR="00386A44" w:rsidRPr="00B607CE" w:rsidRDefault="00386A44" w:rsidP="00B607CE">
            <w:pPr>
              <w:jc w:val="both"/>
            </w:pPr>
            <w:r w:rsidRPr="00034F24">
              <w:t xml:space="preserve">Nepieciešamības gadījumā iestādes, kurām ir piekļuve Iedzīvotāju reģistram savas kompetences ietvaros varēs saņemt informāciju par to vai personai ir aktivizēta oficiālā elektroniskā adrese vai nē, un attiecīgi nākotnē varētu saņemt arī personas oficiālās elektroniskās adreses pierakstu (unikālu ciparu un burtu kombināciju), ko varēs, </w:t>
            </w:r>
            <w:r w:rsidRPr="00B607CE">
              <w:t>sagatavojot personai vēstuli, lēmumu, norādīt pie adresāta.</w:t>
            </w:r>
          </w:p>
          <w:p w:rsidR="00B607CE" w:rsidRPr="00B607CE" w:rsidRDefault="00B607CE" w:rsidP="00B607CE">
            <w:pPr>
              <w:jc w:val="both"/>
            </w:pPr>
            <w:r>
              <w:t xml:space="preserve">Oficiālās elektroniskās </w:t>
            </w:r>
            <w:r w:rsidRPr="00B607CE">
              <w:t xml:space="preserve">adreses tehniskā risinājuma ietvaros tiks papildināta esošā Publiskās pārvaldes dokumentu pārvaldības sistēmu integrācijas vides (DIV) tīmekļa pakalpe, kas pēc ievadītiem kritērijiem nodrošinās informācijas iegūšanu par e-adreses konta lietotāja statusu. Šo tīmekļa pakalpi varēs izmantot gan iestādes, kuras jau lieto (vai plāno lietot) DIV un ir pieslēgušas savus dokumentu vadības sistēmas risinājumus, pēc nepieciešamības veicot ar </w:t>
            </w:r>
            <w:r>
              <w:t xml:space="preserve">oficiālo elektronisko </w:t>
            </w:r>
            <w:r w:rsidRPr="00B607CE">
              <w:t>adresi saistītos pielāgojumus, gan tās iestādes, kuras vēlas šo pārbaudi veikt savās biznesa sistēmās un at</w:t>
            </w:r>
            <w:r>
              <w:t xml:space="preserve">bilstoši plāno integrāciju ar oficiālās elektroniskās </w:t>
            </w:r>
            <w:r w:rsidRPr="00B607CE">
              <w:t>adreses sistēmu.</w:t>
            </w:r>
          </w:p>
          <w:p w:rsidR="00B607CE" w:rsidRPr="00B607CE" w:rsidRDefault="00B607CE" w:rsidP="00B607CE">
            <w:pPr>
              <w:jc w:val="both"/>
            </w:pPr>
            <w:r w:rsidRPr="00B607CE">
              <w:t>P</w:t>
            </w:r>
            <w:r>
              <w:t>ilsonības un migrācijas lietu pārvaldei</w:t>
            </w:r>
            <w:r w:rsidRPr="00B607CE">
              <w:t xml:space="preserve"> kā vienai no valsts iestādēm būs nodrošināta piekļuve šai tīmekļa pakalpei, līdz ar to P</w:t>
            </w:r>
            <w:r>
              <w:t>ilsonības un migrācijas lietu pārvalde</w:t>
            </w:r>
            <w:r w:rsidRPr="00B607CE">
              <w:t xml:space="preserve"> būs nodrošināta iespēja uzzināt vai konkrētai personai ir </w:t>
            </w:r>
            <w:r>
              <w:t xml:space="preserve">oficiālā elektroniskā </w:t>
            </w:r>
            <w:r w:rsidRPr="00B607CE">
              <w:t>adrese vai nav, kā arī veikt attiecīgo adresātu sinhronizāciju atbilstoši Oficiālās elektroniskās adreses likumā noteiktajām tiesībām.</w:t>
            </w:r>
          </w:p>
          <w:p w:rsidR="005C75A1" w:rsidRDefault="00EE7C3D" w:rsidP="00B607CE">
            <w:pPr>
              <w:tabs>
                <w:tab w:val="left" w:pos="0"/>
                <w:tab w:val="left" w:pos="705"/>
                <w:tab w:val="left" w:pos="885"/>
              </w:tabs>
              <w:jc w:val="both"/>
            </w:pPr>
            <w:r w:rsidRPr="00B607CE">
              <w:t>Atbilstoši Oficiālās</w:t>
            </w:r>
            <w:r w:rsidRPr="00034F24">
              <w:t xml:space="preserve"> elektroniskās adreses likuma pārejas noteikumu </w:t>
            </w:r>
            <w:r w:rsidR="0028634C" w:rsidRPr="00034F24">
              <w:t>4</w:t>
            </w:r>
            <w:r w:rsidRPr="00034F24">
              <w:t>.punktā noteiktajam Iedzīvotāju reģistrā reģistrēta fiziska persona no 14 gadu vecuma var izveidot oficiālo elektronisko</w:t>
            </w:r>
            <w:r w:rsidR="00B35D1A" w:rsidRPr="00034F24">
              <w:t xml:space="preserve"> adresi sākot ar 2018.gada 1.jūn</w:t>
            </w:r>
            <w:r w:rsidRPr="00034F24">
              <w:t>iju. Ievērojot minēto, projekts paredz, ka ziņu par personas oficiālās elektroniskās adreses kontu</w:t>
            </w:r>
            <w:r w:rsidR="00390B1F" w:rsidRPr="00034F24">
              <w:t xml:space="preserve"> </w:t>
            </w:r>
            <w:r w:rsidR="001F0746" w:rsidRPr="00034F24">
              <w:t>Iedzīvotāju reģistrā</w:t>
            </w:r>
            <w:r w:rsidR="00390B1F" w:rsidRPr="00034F24">
              <w:t xml:space="preserve"> tiks</w:t>
            </w:r>
            <w:r w:rsidRPr="00034F24">
              <w:t xml:space="preserve"> iekļau</w:t>
            </w:r>
            <w:r w:rsidR="00390B1F" w:rsidRPr="00034F24">
              <w:t xml:space="preserve">tas </w:t>
            </w:r>
            <w:r w:rsidR="001F0746" w:rsidRPr="00034F24">
              <w:t>no</w:t>
            </w:r>
            <w:r w:rsidRPr="00034F24">
              <w:t xml:space="preserve"> 2018.gada 1.jūnij</w:t>
            </w:r>
            <w:r w:rsidR="001F0746" w:rsidRPr="00034F24">
              <w:t>a</w:t>
            </w:r>
            <w:r w:rsidRPr="00034F24">
              <w:t>.</w:t>
            </w:r>
          </w:p>
          <w:p w:rsidR="00D8108D" w:rsidRPr="00034F24" w:rsidRDefault="00D8108D" w:rsidP="004A7CFE">
            <w:pPr>
              <w:tabs>
                <w:tab w:val="left" w:pos="0"/>
                <w:tab w:val="left" w:pos="705"/>
                <w:tab w:val="left" w:pos="885"/>
              </w:tabs>
              <w:jc w:val="both"/>
            </w:pPr>
          </w:p>
          <w:p w:rsidR="009342A0" w:rsidRPr="00034F24" w:rsidRDefault="00D8108D" w:rsidP="009342A0">
            <w:pPr>
              <w:pStyle w:val="HTMLPreformatted"/>
              <w:jc w:val="both"/>
              <w:rPr>
                <w:rFonts w:ascii="Times New Roman" w:hAnsi="Times New Roman" w:cs="Times New Roman"/>
                <w:sz w:val="24"/>
                <w:szCs w:val="24"/>
              </w:rPr>
            </w:pPr>
            <w:r w:rsidRPr="00034F24">
              <w:rPr>
                <w:rFonts w:ascii="Times New Roman" w:hAnsi="Times New Roman" w:cs="Times New Roman"/>
                <w:sz w:val="24"/>
                <w:szCs w:val="24"/>
              </w:rPr>
              <w:t xml:space="preserve">Globalizācijas ietekmē, kad liela daļa Latvijas valstspiederīgo dzīvo ārpus Latvijas, tai skaitā vecāka gada gājuma cilvēki, kuriem var nebūt tuvu radinieku (bērni, mazbērni), kas to miršanas gadījumā varētu paziņot Iedzīvotāju reģistram par miršanas faktu ziņu aktualizēšanai Iedzīvotāju reģistrā, veidojas situācija, ka Iedzīvotāju reģistrā ir </w:t>
            </w:r>
            <w:r w:rsidR="0030574D" w:rsidRPr="00034F24">
              <w:rPr>
                <w:rFonts w:ascii="Times New Roman" w:hAnsi="Times New Roman" w:cs="Times New Roman"/>
                <w:sz w:val="24"/>
                <w:szCs w:val="24"/>
              </w:rPr>
              <w:t xml:space="preserve">daudz </w:t>
            </w:r>
            <w:r w:rsidRPr="00034F24">
              <w:rPr>
                <w:rFonts w:ascii="Times New Roman" w:hAnsi="Times New Roman" w:cs="Times New Roman"/>
                <w:sz w:val="24"/>
                <w:szCs w:val="24"/>
              </w:rPr>
              <w:t xml:space="preserve">personu, kuras ir </w:t>
            </w:r>
            <w:r w:rsidR="00C064D6" w:rsidRPr="00034F24">
              <w:rPr>
                <w:rFonts w:ascii="Times New Roman" w:hAnsi="Times New Roman" w:cs="Times New Roman"/>
                <w:sz w:val="24"/>
                <w:szCs w:val="24"/>
              </w:rPr>
              <w:t>vairāk kā</w:t>
            </w:r>
            <w:r w:rsidRPr="00034F24">
              <w:rPr>
                <w:rFonts w:ascii="Times New Roman" w:hAnsi="Times New Roman" w:cs="Times New Roman"/>
                <w:sz w:val="24"/>
                <w:szCs w:val="24"/>
              </w:rPr>
              <w:t xml:space="preserve"> 100 gad</w:t>
            </w:r>
            <w:r w:rsidR="00C064D6" w:rsidRPr="00034F24">
              <w:rPr>
                <w:rFonts w:ascii="Times New Roman" w:hAnsi="Times New Roman" w:cs="Times New Roman"/>
                <w:sz w:val="24"/>
                <w:szCs w:val="24"/>
              </w:rPr>
              <w:t>u vecas</w:t>
            </w:r>
            <w:r w:rsidRPr="00034F24">
              <w:rPr>
                <w:rFonts w:ascii="Times New Roman" w:hAnsi="Times New Roman" w:cs="Times New Roman"/>
                <w:sz w:val="24"/>
                <w:szCs w:val="24"/>
              </w:rPr>
              <w:t xml:space="preserve"> un kas būtiski pārsniedz Latvijas vidējo dzīves ilgumu (sievietēm 79 gadi un vīriešiem 69 gadi). Tādējādi neaktuālu ziņu dēļ rodas situācija, ka ir vairāk Latvijas valstspiederīgo, kuri sasnieguši </w:t>
            </w:r>
            <w:r w:rsidR="00244635" w:rsidRPr="00034F24">
              <w:rPr>
                <w:rFonts w:ascii="Times New Roman" w:hAnsi="Times New Roman" w:cs="Times New Roman"/>
                <w:sz w:val="24"/>
                <w:szCs w:val="24"/>
              </w:rPr>
              <w:t>ievērojamu</w:t>
            </w:r>
            <w:r w:rsidRPr="00034F24">
              <w:rPr>
                <w:rFonts w:ascii="Times New Roman" w:hAnsi="Times New Roman" w:cs="Times New Roman"/>
                <w:sz w:val="24"/>
                <w:szCs w:val="24"/>
              </w:rPr>
              <w:t xml:space="preserve"> vecumu, nekā objektīvi spriežot varētu būt</w:t>
            </w:r>
            <w:r w:rsidR="00D15D8D" w:rsidRPr="00034F24">
              <w:rPr>
                <w:rFonts w:ascii="Times New Roman" w:hAnsi="Times New Roman" w:cs="Times New Roman"/>
                <w:sz w:val="24"/>
                <w:szCs w:val="24"/>
              </w:rPr>
              <w:t xml:space="preserve">. </w:t>
            </w:r>
            <w:r w:rsidR="00C064D6" w:rsidRPr="00034F24">
              <w:rPr>
                <w:rFonts w:ascii="Times New Roman" w:hAnsi="Times New Roman" w:cs="Times New Roman"/>
                <w:sz w:val="24"/>
                <w:szCs w:val="24"/>
              </w:rPr>
              <w:t xml:space="preserve">Šobrīd Iedzīvotāju reģistrā </w:t>
            </w:r>
            <w:r w:rsidR="00C064D6" w:rsidRPr="00034F24">
              <w:rPr>
                <w:rFonts w:ascii="Times New Roman" w:hAnsi="Times New Roman" w:cs="Times New Roman"/>
                <w:sz w:val="24"/>
                <w:szCs w:val="24"/>
              </w:rPr>
              <w:lastRenderedPageBreak/>
              <w:t xml:space="preserve">iekļautas ziņas par </w:t>
            </w:r>
            <w:r w:rsidR="00001089" w:rsidRPr="00034F24">
              <w:rPr>
                <w:rFonts w:ascii="Times New Roman" w:hAnsi="Times New Roman" w:cs="Times New Roman"/>
                <w:sz w:val="24"/>
                <w:szCs w:val="24"/>
              </w:rPr>
              <w:t>3 203</w:t>
            </w:r>
            <w:r w:rsidR="00D15D8D" w:rsidRPr="00034F24">
              <w:rPr>
                <w:rFonts w:ascii="Times New Roman" w:hAnsi="Times New Roman" w:cs="Times New Roman"/>
                <w:sz w:val="24"/>
                <w:szCs w:val="24"/>
              </w:rPr>
              <w:t xml:space="preserve"> Latvijas </w:t>
            </w:r>
            <w:r w:rsidR="00C064D6" w:rsidRPr="00034F24">
              <w:rPr>
                <w:rFonts w:ascii="Times New Roman" w:hAnsi="Times New Roman" w:cs="Times New Roman"/>
                <w:sz w:val="24"/>
                <w:szCs w:val="24"/>
              </w:rPr>
              <w:t>valstspiederīgajiem</w:t>
            </w:r>
            <w:r w:rsidR="00D15D8D" w:rsidRPr="00034F24">
              <w:rPr>
                <w:rFonts w:ascii="Times New Roman" w:hAnsi="Times New Roman" w:cs="Times New Roman"/>
                <w:sz w:val="24"/>
                <w:szCs w:val="24"/>
              </w:rPr>
              <w:t xml:space="preserve"> vecumā no 10</w:t>
            </w:r>
            <w:r w:rsidR="00001089" w:rsidRPr="00034F24">
              <w:rPr>
                <w:rFonts w:ascii="Times New Roman" w:hAnsi="Times New Roman" w:cs="Times New Roman"/>
                <w:sz w:val="24"/>
                <w:szCs w:val="24"/>
              </w:rPr>
              <w:t>0</w:t>
            </w:r>
            <w:r w:rsidR="00D15D8D" w:rsidRPr="00034F24">
              <w:rPr>
                <w:rFonts w:ascii="Times New Roman" w:hAnsi="Times New Roman" w:cs="Times New Roman"/>
                <w:sz w:val="24"/>
                <w:szCs w:val="24"/>
              </w:rPr>
              <w:t xml:space="preserve"> gadiem līdz 12</w:t>
            </w:r>
            <w:r w:rsidR="00001089" w:rsidRPr="00034F24">
              <w:rPr>
                <w:rFonts w:ascii="Times New Roman" w:hAnsi="Times New Roman" w:cs="Times New Roman"/>
                <w:sz w:val="24"/>
                <w:szCs w:val="24"/>
              </w:rPr>
              <w:t>5</w:t>
            </w:r>
            <w:r w:rsidR="00D15D8D" w:rsidRPr="00034F24">
              <w:rPr>
                <w:rFonts w:ascii="Times New Roman" w:hAnsi="Times New Roman" w:cs="Times New Roman"/>
                <w:sz w:val="24"/>
                <w:szCs w:val="24"/>
              </w:rPr>
              <w:t xml:space="preserve"> gadiem</w:t>
            </w:r>
            <w:r w:rsidR="00001089" w:rsidRPr="00034F24">
              <w:rPr>
                <w:rFonts w:ascii="Times New Roman" w:hAnsi="Times New Roman" w:cs="Times New Roman"/>
                <w:sz w:val="24"/>
                <w:szCs w:val="24"/>
              </w:rPr>
              <w:t>,</w:t>
            </w:r>
            <w:r w:rsidR="0030574D" w:rsidRPr="00034F24">
              <w:rPr>
                <w:rFonts w:ascii="Times New Roman" w:hAnsi="Times New Roman" w:cs="Times New Roman"/>
                <w:sz w:val="24"/>
                <w:szCs w:val="24"/>
              </w:rPr>
              <w:t xml:space="preserve"> par</w:t>
            </w:r>
            <w:r w:rsidR="00001089" w:rsidRPr="00034F24">
              <w:rPr>
                <w:rFonts w:ascii="Times New Roman" w:hAnsi="Times New Roman" w:cs="Times New Roman"/>
                <w:sz w:val="24"/>
                <w:szCs w:val="24"/>
              </w:rPr>
              <w:t xml:space="preserve"> kuriem nav ziņu par miršanu</w:t>
            </w:r>
            <w:r w:rsidR="00C064D6" w:rsidRPr="00034F24">
              <w:rPr>
                <w:rFonts w:ascii="Times New Roman" w:hAnsi="Times New Roman" w:cs="Times New Roman"/>
                <w:sz w:val="24"/>
                <w:szCs w:val="24"/>
              </w:rPr>
              <w:t xml:space="preserve">, tai skaitā, </w:t>
            </w:r>
            <w:r w:rsidR="00001089" w:rsidRPr="00034F24">
              <w:rPr>
                <w:rFonts w:ascii="Times New Roman" w:hAnsi="Times New Roman" w:cs="Times New Roman"/>
                <w:sz w:val="24"/>
                <w:szCs w:val="24"/>
              </w:rPr>
              <w:t>389</w:t>
            </w:r>
            <w:r w:rsidR="00C064D6" w:rsidRPr="00034F24">
              <w:rPr>
                <w:rFonts w:ascii="Times New Roman" w:hAnsi="Times New Roman" w:cs="Times New Roman"/>
                <w:sz w:val="24"/>
                <w:szCs w:val="24"/>
              </w:rPr>
              <w:t xml:space="preserve"> </w:t>
            </w:r>
            <w:r w:rsidR="00D15D8D" w:rsidRPr="00034F24">
              <w:rPr>
                <w:rFonts w:ascii="Times New Roman" w:hAnsi="Times New Roman" w:cs="Times New Roman"/>
                <w:sz w:val="24"/>
                <w:szCs w:val="24"/>
              </w:rPr>
              <w:t xml:space="preserve">Latvijā dzīvojošas personas un </w:t>
            </w:r>
            <w:r w:rsidR="00001089" w:rsidRPr="00034F24">
              <w:rPr>
                <w:rFonts w:ascii="Times New Roman" w:hAnsi="Times New Roman" w:cs="Times New Roman"/>
                <w:sz w:val="24"/>
                <w:szCs w:val="24"/>
              </w:rPr>
              <w:t xml:space="preserve">2 814 </w:t>
            </w:r>
            <w:r w:rsidR="00D15D8D" w:rsidRPr="00034F24">
              <w:rPr>
                <w:rFonts w:ascii="Times New Roman" w:hAnsi="Times New Roman" w:cs="Times New Roman"/>
                <w:sz w:val="24"/>
                <w:szCs w:val="24"/>
              </w:rPr>
              <w:t>ārvalst</w:t>
            </w:r>
            <w:r w:rsidR="00C064D6" w:rsidRPr="00034F24">
              <w:rPr>
                <w:rFonts w:ascii="Times New Roman" w:hAnsi="Times New Roman" w:cs="Times New Roman"/>
                <w:sz w:val="24"/>
                <w:szCs w:val="24"/>
              </w:rPr>
              <w:t>īs</w:t>
            </w:r>
            <w:r w:rsidR="00001089" w:rsidRPr="00034F24">
              <w:rPr>
                <w:rFonts w:ascii="Times New Roman" w:hAnsi="Times New Roman" w:cs="Times New Roman"/>
                <w:sz w:val="24"/>
                <w:szCs w:val="24"/>
              </w:rPr>
              <w:t xml:space="preserve"> dzīvojošas</w:t>
            </w:r>
            <w:r w:rsidR="00C064D6" w:rsidRPr="00034F24">
              <w:rPr>
                <w:rFonts w:ascii="Times New Roman" w:hAnsi="Times New Roman" w:cs="Times New Roman"/>
                <w:sz w:val="24"/>
                <w:szCs w:val="24"/>
              </w:rPr>
              <w:t xml:space="preserve">. Fizisko personu datu aizsardzības likuma 10.panta </w:t>
            </w:r>
            <w:r w:rsidR="00DC5227" w:rsidRPr="00034F24">
              <w:rPr>
                <w:rFonts w:ascii="Times New Roman" w:hAnsi="Times New Roman" w:cs="Times New Roman"/>
                <w:sz w:val="24"/>
                <w:szCs w:val="24"/>
              </w:rPr>
              <w:t xml:space="preserve">pirmās daļas 4.punktā noteikts, ka pārzinim jānodrošina personas datu pareizību un to savlaicīgu atjaunošanu, labošanu vai dzēšanu, ja personas dati ir nepilnīgi vai neprecīzi saskaņā ar personas datu apstrādes mērķi. </w:t>
            </w:r>
            <w:r w:rsidR="00446662" w:rsidRPr="00034F24">
              <w:rPr>
                <w:rFonts w:ascii="Times New Roman" w:hAnsi="Times New Roman" w:cs="Times New Roman"/>
                <w:sz w:val="24"/>
                <w:szCs w:val="24"/>
              </w:rPr>
              <w:t>Tādējādi ievērojot to, ka Iedzīvotāj</w:t>
            </w:r>
            <w:r w:rsidR="00001089" w:rsidRPr="00034F24">
              <w:rPr>
                <w:rFonts w:ascii="Times New Roman" w:hAnsi="Times New Roman" w:cs="Times New Roman"/>
                <w:sz w:val="24"/>
                <w:szCs w:val="24"/>
              </w:rPr>
              <w:t xml:space="preserve">u reģistrā iekļautas ziņas par 3 203 </w:t>
            </w:r>
            <w:r w:rsidR="00446662" w:rsidRPr="00034F24">
              <w:rPr>
                <w:rFonts w:ascii="Times New Roman" w:hAnsi="Times New Roman" w:cs="Times New Roman"/>
                <w:sz w:val="24"/>
                <w:szCs w:val="24"/>
              </w:rPr>
              <w:t>personām, kuras sasniegušas 1</w:t>
            </w:r>
            <w:r w:rsidR="00001089" w:rsidRPr="00034F24">
              <w:rPr>
                <w:rFonts w:ascii="Times New Roman" w:hAnsi="Times New Roman" w:cs="Times New Roman"/>
                <w:sz w:val="24"/>
                <w:szCs w:val="24"/>
              </w:rPr>
              <w:t>0</w:t>
            </w:r>
            <w:r w:rsidR="00446662" w:rsidRPr="00034F24">
              <w:rPr>
                <w:rFonts w:ascii="Times New Roman" w:hAnsi="Times New Roman" w:cs="Times New Roman"/>
                <w:sz w:val="24"/>
                <w:szCs w:val="24"/>
              </w:rPr>
              <w:t>0 gadu vecumu un vairāk</w:t>
            </w:r>
            <w:r w:rsidR="00FE31A6" w:rsidRPr="00034F24">
              <w:rPr>
                <w:rFonts w:ascii="Times New Roman" w:hAnsi="Times New Roman" w:cs="Times New Roman"/>
                <w:sz w:val="24"/>
                <w:szCs w:val="24"/>
              </w:rPr>
              <w:t>,</w:t>
            </w:r>
            <w:r w:rsidR="00446662" w:rsidRPr="00034F24">
              <w:rPr>
                <w:rFonts w:ascii="Times New Roman" w:hAnsi="Times New Roman" w:cs="Times New Roman"/>
                <w:sz w:val="24"/>
                <w:szCs w:val="24"/>
              </w:rPr>
              <w:t xml:space="preserve"> </w:t>
            </w:r>
            <w:r w:rsidR="00FE31A6" w:rsidRPr="00034F24">
              <w:rPr>
                <w:rFonts w:ascii="Times New Roman" w:hAnsi="Times New Roman" w:cs="Times New Roman"/>
                <w:sz w:val="24"/>
                <w:szCs w:val="24"/>
              </w:rPr>
              <w:t>kaut arī</w:t>
            </w:r>
            <w:r w:rsidR="00446662" w:rsidRPr="00034F24">
              <w:rPr>
                <w:rFonts w:ascii="Times New Roman" w:hAnsi="Times New Roman" w:cs="Times New Roman"/>
                <w:sz w:val="24"/>
                <w:szCs w:val="24"/>
              </w:rPr>
              <w:t xml:space="preserve"> objektīvi</w:t>
            </w:r>
            <w:r w:rsidR="00FE31A6" w:rsidRPr="00034F24">
              <w:rPr>
                <w:rFonts w:ascii="Times New Roman" w:hAnsi="Times New Roman" w:cs="Times New Roman"/>
                <w:sz w:val="24"/>
                <w:szCs w:val="24"/>
              </w:rPr>
              <w:t xml:space="preserve"> spriežot tik daudz šādu ievērojamu vecumu sasniegušu personu nevar būt</w:t>
            </w:r>
            <w:r w:rsidR="00446662" w:rsidRPr="00034F24">
              <w:rPr>
                <w:rFonts w:ascii="Times New Roman" w:hAnsi="Times New Roman" w:cs="Times New Roman"/>
                <w:sz w:val="24"/>
                <w:szCs w:val="24"/>
              </w:rPr>
              <w:t>, uzskatāms, ka dati nav aktuāli, kā rezultātā, Latvijas valstspiederīgajiem un Iedzīvotāju reģistra lietotājiem var rasties pārliecība par nekvalitatīvu datu apstrādi, tai skaitā glabāšanu</w:t>
            </w:r>
            <w:r w:rsidR="00FE31A6" w:rsidRPr="00034F24">
              <w:rPr>
                <w:rFonts w:ascii="Times New Roman" w:hAnsi="Times New Roman" w:cs="Times New Roman"/>
                <w:sz w:val="24"/>
                <w:szCs w:val="24"/>
              </w:rPr>
              <w:t xml:space="preserve"> un izsniegšanu (piemēram, statistiskām vajadzībām)</w:t>
            </w:r>
            <w:r w:rsidR="00446662" w:rsidRPr="00034F24">
              <w:rPr>
                <w:rFonts w:ascii="Times New Roman" w:hAnsi="Times New Roman" w:cs="Times New Roman"/>
                <w:sz w:val="24"/>
                <w:szCs w:val="24"/>
              </w:rPr>
              <w:t xml:space="preserve">. </w:t>
            </w:r>
            <w:r w:rsidR="00C064D6" w:rsidRPr="00034F24">
              <w:rPr>
                <w:rFonts w:ascii="Times New Roman" w:hAnsi="Times New Roman" w:cs="Times New Roman"/>
                <w:sz w:val="24"/>
                <w:szCs w:val="24"/>
              </w:rPr>
              <w:t>T</w:t>
            </w:r>
            <w:r w:rsidRPr="00034F24">
              <w:rPr>
                <w:rFonts w:ascii="Times New Roman" w:hAnsi="Times New Roman" w:cs="Times New Roman"/>
                <w:sz w:val="24"/>
                <w:szCs w:val="24"/>
              </w:rPr>
              <w:t xml:space="preserve">ā kā nav tiesiska pamata par personu, kurai ir vairāk kā </w:t>
            </w:r>
            <w:r w:rsidR="00244635" w:rsidRPr="00034F24">
              <w:rPr>
                <w:rFonts w:ascii="Times New Roman" w:hAnsi="Times New Roman" w:cs="Times New Roman"/>
                <w:sz w:val="24"/>
                <w:szCs w:val="24"/>
              </w:rPr>
              <w:t>1</w:t>
            </w:r>
            <w:r w:rsidR="00001089" w:rsidRPr="00034F24">
              <w:rPr>
                <w:rFonts w:ascii="Times New Roman" w:hAnsi="Times New Roman" w:cs="Times New Roman"/>
                <w:sz w:val="24"/>
                <w:szCs w:val="24"/>
              </w:rPr>
              <w:t>0</w:t>
            </w:r>
            <w:r w:rsidR="00244635" w:rsidRPr="00034F24">
              <w:rPr>
                <w:rFonts w:ascii="Times New Roman" w:hAnsi="Times New Roman" w:cs="Times New Roman"/>
                <w:sz w:val="24"/>
                <w:szCs w:val="24"/>
              </w:rPr>
              <w:t>0 gadu</w:t>
            </w:r>
            <w:r w:rsidRPr="00034F24">
              <w:rPr>
                <w:rFonts w:ascii="Times New Roman" w:hAnsi="Times New Roman" w:cs="Times New Roman"/>
                <w:sz w:val="24"/>
                <w:szCs w:val="24"/>
              </w:rPr>
              <w:t xml:space="preserve"> un</w:t>
            </w:r>
            <w:r w:rsidR="00244635" w:rsidRPr="00034F24">
              <w:rPr>
                <w:rFonts w:ascii="Times New Roman" w:hAnsi="Times New Roman" w:cs="Times New Roman"/>
                <w:sz w:val="24"/>
                <w:szCs w:val="24"/>
              </w:rPr>
              <w:t xml:space="preserve"> </w:t>
            </w:r>
            <w:r w:rsidR="00446662" w:rsidRPr="00034F24">
              <w:rPr>
                <w:rFonts w:ascii="Times New Roman" w:hAnsi="Times New Roman" w:cs="Times New Roman"/>
                <w:sz w:val="24"/>
                <w:szCs w:val="24"/>
              </w:rPr>
              <w:t>par kuru</w:t>
            </w:r>
            <w:r w:rsidR="00244635" w:rsidRPr="00034F24">
              <w:rPr>
                <w:rFonts w:ascii="Times New Roman" w:hAnsi="Times New Roman" w:cs="Times New Roman"/>
                <w:sz w:val="24"/>
                <w:szCs w:val="24"/>
              </w:rPr>
              <w:t xml:space="preserve"> nav</w:t>
            </w:r>
            <w:r w:rsidRPr="00034F24">
              <w:rPr>
                <w:rFonts w:ascii="Times New Roman" w:hAnsi="Times New Roman" w:cs="Times New Roman"/>
                <w:sz w:val="24"/>
                <w:szCs w:val="24"/>
              </w:rPr>
              <w:t xml:space="preserve"> saņemtas ziņas par miršanu, iekļaut ziņas kā par mirušu, tad ir nepieciešams likumā noteikt, ka personai, kura sasniegusi noteiktu vecumu un</w:t>
            </w:r>
            <w:r w:rsidR="00244635" w:rsidRPr="00034F24">
              <w:rPr>
                <w:rFonts w:ascii="Times New Roman" w:hAnsi="Times New Roman" w:cs="Times New Roman"/>
                <w:sz w:val="24"/>
                <w:szCs w:val="24"/>
              </w:rPr>
              <w:t xml:space="preserve"> </w:t>
            </w:r>
            <w:r w:rsidR="00446662" w:rsidRPr="00034F24">
              <w:rPr>
                <w:rFonts w:ascii="Times New Roman" w:hAnsi="Times New Roman" w:cs="Times New Roman"/>
                <w:sz w:val="24"/>
                <w:szCs w:val="24"/>
              </w:rPr>
              <w:t>kurai</w:t>
            </w:r>
            <w:r w:rsidRPr="00034F24">
              <w:rPr>
                <w:rFonts w:ascii="Times New Roman" w:hAnsi="Times New Roman" w:cs="Times New Roman"/>
                <w:sz w:val="24"/>
                <w:szCs w:val="24"/>
              </w:rPr>
              <w:t xml:space="preserve"> Iedzīvotāju reģistrā</w:t>
            </w:r>
            <w:r w:rsidR="00446662" w:rsidRPr="00034F24">
              <w:rPr>
                <w:rFonts w:ascii="Times New Roman" w:hAnsi="Times New Roman" w:cs="Times New Roman"/>
                <w:sz w:val="24"/>
                <w:szCs w:val="24"/>
              </w:rPr>
              <w:t xml:space="preserve"> nav iekļautas ziņas par miršanu</w:t>
            </w:r>
            <w:r w:rsidRPr="00034F24">
              <w:rPr>
                <w:rFonts w:ascii="Times New Roman" w:hAnsi="Times New Roman" w:cs="Times New Roman"/>
                <w:sz w:val="24"/>
                <w:szCs w:val="24"/>
              </w:rPr>
              <w:t>, tiek mainīts statuss no “aktīvs” uz “pasīvs”</w:t>
            </w:r>
            <w:r w:rsidR="0030574D" w:rsidRPr="00034F24">
              <w:rPr>
                <w:rFonts w:ascii="Times New Roman" w:hAnsi="Times New Roman" w:cs="Times New Roman"/>
                <w:sz w:val="24"/>
                <w:szCs w:val="24"/>
              </w:rPr>
              <w:t>, ja Pilsonīb</w:t>
            </w:r>
            <w:r w:rsidR="00F44D44" w:rsidRPr="00034F24">
              <w:rPr>
                <w:rFonts w:ascii="Times New Roman" w:hAnsi="Times New Roman" w:cs="Times New Roman"/>
                <w:sz w:val="24"/>
                <w:szCs w:val="24"/>
              </w:rPr>
              <w:t>as un migrācijas lietu pārvalde</w:t>
            </w:r>
            <w:r w:rsidR="0030574D" w:rsidRPr="00034F24">
              <w:rPr>
                <w:rFonts w:ascii="Times New Roman" w:hAnsi="Times New Roman" w:cs="Times New Roman"/>
                <w:sz w:val="24"/>
                <w:szCs w:val="24"/>
              </w:rPr>
              <w:t xml:space="preserve"> </w:t>
            </w:r>
            <w:r w:rsidR="00F44D44" w:rsidRPr="00034F24">
              <w:rPr>
                <w:rFonts w:ascii="Times New Roman" w:hAnsi="Times New Roman" w:cs="Times New Roman"/>
                <w:sz w:val="24"/>
                <w:szCs w:val="24"/>
              </w:rPr>
              <w:t>nav ieguvusi apstiprinājumu, ka persona dzīva</w:t>
            </w:r>
            <w:r w:rsidRPr="00034F24">
              <w:rPr>
                <w:rFonts w:ascii="Times New Roman" w:hAnsi="Times New Roman" w:cs="Times New Roman"/>
                <w:sz w:val="24"/>
                <w:szCs w:val="24"/>
              </w:rPr>
              <w:t>. Optimālais vecums, kad ziņas tiktu aktualizētas,</w:t>
            </w:r>
            <w:r w:rsidR="00446662" w:rsidRPr="00034F24">
              <w:rPr>
                <w:rFonts w:ascii="Times New Roman" w:hAnsi="Times New Roman" w:cs="Times New Roman"/>
                <w:sz w:val="24"/>
                <w:szCs w:val="24"/>
              </w:rPr>
              <w:t xml:space="preserve"> </w:t>
            </w:r>
            <w:r w:rsidR="00001089" w:rsidRPr="00034F24">
              <w:rPr>
                <w:rFonts w:ascii="Times New Roman" w:hAnsi="Times New Roman" w:cs="Times New Roman"/>
                <w:sz w:val="24"/>
                <w:szCs w:val="24"/>
              </w:rPr>
              <w:t xml:space="preserve">mazinot iespējamību, </w:t>
            </w:r>
            <w:r w:rsidRPr="00034F24">
              <w:rPr>
                <w:rFonts w:ascii="Times New Roman" w:hAnsi="Times New Roman" w:cs="Times New Roman"/>
                <w:sz w:val="24"/>
                <w:szCs w:val="24"/>
              </w:rPr>
              <w:t>ka tas varētu skart dzīv</w:t>
            </w:r>
            <w:r w:rsidR="00446662" w:rsidRPr="00034F24">
              <w:rPr>
                <w:rFonts w:ascii="Times New Roman" w:hAnsi="Times New Roman" w:cs="Times New Roman"/>
                <w:sz w:val="24"/>
                <w:szCs w:val="24"/>
              </w:rPr>
              <w:t>as</w:t>
            </w:r>
            <w:r w:rsidRPr="00034F24">
              <w:rPr>
                <w:rFonts w:ascii="Times New Roman" w:hAnsi="Times New Roman" w:cs="Times New Roman"/>
                <w:sz w:val="24"/>
                <w:szCs w:val="24"/>
              </w:rPr>
              <w:t xml:space="preserve"> person</w:t>
            </w:r>
            <w:r w:rsidR="00FE31A6" w:rsidRPr="00034F24">
              <w:rPr>
                <w:rFonts w:ascii="Times New Roman" w:hAnsi="Times New Roman" w:cs="Times New Roman"/>
                <w:sz w:val="24"/>
                <w:szCs w:val="24"/>
              </w:rPr>
              <w:t>as</w:t>
            </w:r>
            <w:r w:rsidRPr="00034F24">
              <w:rPr>
                <w:rFonts w:ascii="Times New Roman" w:hAnsi="Times New Roman" w:cs="Times New Roman"/>
                <w:sz w:val="24"/>
                <w:szCs w:val="24"/>
              </w:rPr>
              <w:t xml:space="preserve">, ir </w:t>
            </w:r>
            <w:r w:rsidR="00244635" w:rsidRPr="00034F24">
              <w:rPr>
                <w:rFonts w:ascii="Times New Roman" w:hAnsi="Times New Roman" w:cs="Times New Roman"/>
                <w:sz w:val="24"/>
                <w:szCs w:val="24"/>
              </w:rPr>
              <w:t>1</w:t>
            </w:r>
            <w:r w:rsidR="00001089" w:rsidRPr="00034F24">
              <w:rPr>
                <w:rFonts w:ascii="Times New Roman" w:hAnsi="Times New Roman" w:cs="Times New Roman"/>
                <w:sz w:val="24"/>
                <w:szCs w:val="24"/>
              </w:rPr>
              <w:t>05</w:t>
            </w:r>
            <w:r w:rsidRPr="00034F24">
              <w:rPr>
                <w:rFonts w:ascii="Times New Roman" w:hAnsi="Times New Roman" w:cs="Times New Roman"/>
                <w:sz w:val="24"/>
                <w:szCs w:val="24"/>
              </w:rPr>
              <w:t xml:space="preserve"> gadi.</w:t>
            </w:r>
            <w:r w:rsidR="00446662" w:rsidRPr="00034F24">
              <w:rPr>
                <w:rFonts w:ascii="Times New Roman" w:hAnsi="Times New Roman" w:cs="Times New Roman"/>
                <w:sz w:val="24"/>
                <w:szCs w:val="24"/>
              </w:rPr>
              <w:t xml:space="preserve"> Papildu nosacījumi šādu ziņu aktualizēšanai būtu jānosaka Ministru kabineta noteikumos.</w:t>
            </w:r>
            <w:r w:rsidRPr="00034F24">
              <w:rPr>
                <w:rFonts w:ascii="Times New Roman" w:hAnsi="Times New Roman" w:cs="Times New Roman"/>
                <w:sz w:val="24"/>
                <w:szCs w:val="24"/>
              </w:rPr>
              <w:t xml:space="preserve"> </w:t>
            </w:r>
            <w:r w:rsidR="009342A0" w:rsidRPr="00034F24">
              <w:rPr>
                <w:rFonts w:ascii="Times New Roman" w:hAnsi="Times New Roman" w:cs="Times New Roman"/>
                <w:sz w:val="24"/>
                <w:szCs w:val="24"/>
              </w:rPr>
              <w:t xml:space="preserve">Ministru kabineta 2011.gada 15.februāra noteikumos Nr.131 “Iedzīvotāju reģistrā iekļauto ziņu aktualizēšanas kārtība” tiks noteikta kārtība kādā šīs ziņas tiks aktualizētas, </w:t>
            </w:r>
            <w:r w:rsidR="009342A0" w:rsidRPr="00C914ED">
              <w:rPr>
                <w:rFonts w:ascii="Times New Roman" w:hAnsi="Times New Roman" w:cs="Times New Roman"/>
                <w:sz w:val="24"/>
                <w:szCs w:val="24"/>
              </w:rPr>
              <w:t>kā piemēram, ka pirms aktualizēšanas</w:t>
            </w:r>
            <w:r w:rsidR="00244635" w:rsidRPr="00C914ED">
              <w:rPr>
                <w:rFonts w:ascii="Times New Roman" w:hAnsi="Times New Roman" w:cs="Times New Roman"/>
                <w:sz w:val="24"/>
                <w:szCs w:val="24"/>
              </w:rPr>
              <w:t xml:space="preserve"> Pilsonības un migrācijas lietu pārvalde</w:t>
            </w:r>
            <w:r w:rsidR="000D4AC4" w:rsidRPr="00C914ED">
              <w:rPr>
                <w:rFonts w:ascii="Times New Roman" w:hAnsi="Times New Roman" w:cs="Times New Roman"/>
                <w:sz w:val="24"/>
                <w:szCs w:val="24"/>
              </w:rPr>
              <w:t xml:space="preserve"> pārbauda vai personai ir deklarētā dzīvesvietas adrese Latvijā,</w:t>
            </w:r>
            <w:r w:rsidR="009342A0" w:rsidRPr="00C914ED">
              <w:rPr>
                <w:rFonts w:ascii="Times New Roman" w:hAnsi="Times New Roman" w:cs="Times New Roman"/>
                <w:sz w:val="24"/>
                <w:szCs w:val="24"/>
              </w:rPr>
              <w:t xml:space="preserve"> </w:t>
            </w:r>
            <w:r w:rsidR="00244635" w:rsidRPr="00C914ED">
              <w:rPr>
                <w:rFonts w:ascii="Times New Roman" w:hAnsi="Times New Roman" w:cs="Times New Roman"/>
                <w:sz w:val="24"/>
                <w:szCs w:val="24"/>
              </w:rPr>
              <w:t xml:space="preserve">sazinās ar Valsts sociālās apdrošināšanas aģentūru, lai </w:t>
            </w:r>
            <w:r w:rsidR="009342A0" w:rsidRPr="00C914ED">
              <w:rPr>
                <w:rFonts w:ascii="Times New Roman" w:hAnsi="Times New Roman" w:cs="Times New Roman"/>
                <w:sz w:val="24"/>
                <w:szCs w:val="24"/>
              </w:rPr>
              <w:t>pārbaud</w:t>
            </w:r>
            <w:r w:rsidR="00244635" w:rsidRPr="00C914ED">
              <w:rPr>
                <w:rFonts w:ascii="Times New Roman" w:hAnsi="Times New Roman" w:cs="Times New Roman"/>
                <w:sz w:val="24"/>
                <w:szCs w:val="24"/>
              </w:rPr>
              <w:t>ītu</w:t>
            </w:r>
            <w:r w:rsidR="009342A0" w:rsidRPr="00C914ED">
              <w:rPr>
                <w:rFonts w:ascii="Times New Roman" w:hAnsi="Times New Roman" w:cs="Times New Roman"/>
                <w:sz w:val="24"/>
                <w:szCs w:val="24"/>
              </w:rPr>
              <w:t xml:space="preserve"> vai persona </w:t>
            </w:r>
            <w:r w:rsidR="00446662" w:rsidRPr="00C914ED">
              <w:rPr>
                <w:rFonts w:ascii="Times New Roman" w:hAnsi="Times New Roman" w:cs="Times New Roman"/>
                <w:sz w:val="24"/>
                <w:szCs w:val="24"/>
              </w:rPr>
              <w:t>saņem valsts pensiju,</w:t>
            </w:r>
            <w:r w:rsidR="008C0B47" w:rsidRPr="00C914ED">
              <w:rPr>
                <w:rFonts w:ascii="Times New Roman" w:hAnsi="Times New Roman" w:cs="Times New Roman"/>
                <w:sz w:val="24"/>
                <w:szCs w:val="24"/>
              </w:rPr>
              <w:t xml:space="preserve"> varbūt noskaidro vai persona saņem medicīnas pakalpojumus Latvijā,</w:t>
            </w:r>
            <w:r w:rsidR="00446662" w:rsidRPr="00C914ED">
              <w:rPr>
                <w:rFonts w:ascii="Times New Roman" w:hAnsi="Times New Roman" w:cs="Times New Roman"/>
                <w:sz w:val="24"/>
                <w:szCs w:val="24"/>
              </w:rPr>
              <w:t xml:space="preserve"> </w:t>
            </w:r>
            <w:r w:rsidR="00446662" w:rsidRPr="00034F24">
              <w:rPr>
                <w:rFonts w:ascii="Times New Roman" w:hAnsi="Times New Roman" w:cs="Times New Roman"/>
                <w:sz w:val="24"/>
                <w:szCs w:val="24"/>
              </w:rPr>
              <w:t>papildus apzinot vai personām ir vai nav derīgs personu apliecinošs dokuments, kas ņemot vērā faktu, ka Latvijā līdz 200</w:t>
            </w:r>
            <w:r w:rsidR="00353964" w:rsidRPr="00034F24">
              <w:rPr>
                <w:rFonts w:ascii="Times New Roman" w:hAnsi="Times New Roman" w:cs="Times New Roman"/>
                <w:sz w:val="24"/>
                <w:szCs w:val="24"/>
              </w:rPr>
              <w:t>7.gada 19.novembrim tika izsniegtas pases ar derīguma termiņu 50 gadi,</w:t>
            </w:r>
            <w:r w:rsidR="00446662" w:rsidRPr="00034F24">
              <w:rPr>
                <w:rFonts w:ascii="Times New Roman" w:hAnsi="Times New Roman" w:cs="Times New Roman"/>
                <w:sz w:val="24"/>
                <w:szCs w:val="24"/>
              </w:rPr>
              <w:t xml:space="preserve"> var nebūt objektīvs rādītājs</w:t>
            </w:r>
            <w:r w:rsidR="00FE31A6" w:rsidRPr="00034F24">
              <w:rPr>
                <w:rFonts w:ascii="Times New Roman" w:hAnsi="Times New Roman" w:cs="Times New Roman"/>
                <w:sz w:val="24"/>
                <w:szCs w:val="24"/>
              </w:rPr>
              <w:t xml:space="preserve"> “aktīva” statusa esamībai</w:t>
            </w:r>
            <w:r w:rsidR="00001089" w:rsidRPr="00034F24">
              <w:rPr>
                <w:rFonts w:ascii="Times New Roman" w:hAnsi="Times New Roman" w:cs="Times New Roman"/>
                <w:sz w:val="24"/>
                <w:szCs w:val="24"/>
              </w:rPr>
              <w:t xml:space="preserve"> (piemēram, no 1 500 personām, kuras ir 105 gadu vecas un vairāk, 455 personām ir derīgi personu apliecinoši dokumenti)</w:t>
            </w:r>
            <w:r w:rsidR="00FE31A6" w:rsidRPr="00034F24">
              <w:rPr>
                <w:rFonts w:ascii="Times New Roman" w:hAnsi="Times New Roman" w:cs="Times New Roman"/>
                <w:sz w:val="24"/>
                <w:szCs w:val="24"/>
              </w:rPr>
              <w:t>.</w:t>
            </w:r>
            <w:r w:rsidR="00285C4F" w:rsidRPr="00034F24">
              <w:rPr>
                <w:rFonts w:ascii="Times New Roman" w:hAnsi="Times New Roman" w:cs="Times New Roman"/>
                <w:sz w:val="24"/>
                <w:szCs w:val="24"/>
              </w:rPr>
              <w:t xml:space="preserve"> Izstrādājot minētajos noteikumos grozījumus tiks lemts vai ziņas par 105 gadu vecumu sasniegušām personām tiks pārbaudītas katru gadu vai arī attiecībā uz personām, par kurām tiks konstatēts, ka tās dzīvo Latvijā un saņem valsts pensiju, ziņas atkārtoti netiks pārbaudītas, ņemot vērā faktu, ka Latvijā reģistrēts miršanas fakts tiek fiksēts Civilstāvokļa aktu reģistrācijas informācijas sistēmā, kurai ir sasaiste ar Iedzīvotāju reģistru un šādas ziņas ir uzreiz pieejamas.</w:t>
            </w:r>
            <w:r w:rsidR="00F834BD" w:rsidRPr="00034F24">
              <w:rPr>
                <w:rFonts w:ascii="Times New Roman" w:hAnsi="Times New Roman" w:cs="Times New Roman"/>
                <w:sz w:val="24"/>
                <w:szCs w:val="24"/>
              </w:rPr>
              <w:t xml:space="preserve"> </w:t>
            </w:r>
            <w:r w:rsidR="00285C4F" w:rsidRPr="00034F24">
              <w:rPr>
                <w:rFonts w:ascii="Times New Roman" w:hAnsi="Times New Roman" w:cs="Times New Roman"/>
                <w:sz w:val="24"/>
                <w:szCs w:val="24"/>
              </w:rPr>
              <w:t xml:space="preserve">Šobrīd netiek paredzēts </w:t>
            </w:r>
            <w:r w:rsidR="00285C4F" w:rsidRPr="00034F24">
              <w:rPr>
                <w:rFonts w:ascii="Times New Roman" w:hAnsi="Times New Roman" w:cs="Times New Roman"/>
                <w:sz w:val="24"/>
                <w:szCs w:val="24"/>
              </w:rPr>
              <w:lastRenderedPageBreak/>
              <w:t xml:space="preserve">radīt slogu pašām personām, ierasties Pilsonības un migrācijas lietu pārvaldē, lai apliecinātu, ka persona ir dzīva. </w:t>
            </w:r>
            <w:r w:rsidR="00F834BD" w:rsidRPr="00034F24">
              <w:rPr>
                <w:rFonts w:ascii="Times New Roman" w:hAnsi="Times New Roman" w:cs="Times New Roman"/>
                <w:sz w:val="24"/>
                <w:szCs w:val="24"/>
              </w:rPr>
              <w:t>Tāpat paredzot iespēju,</w:t>
            </w:r>
            <w:r w:rsidR="00446662" w:rsidRPr="00034F24">
              <w:rPr>
                <w:rFonts w:ascii="Times New Roman" w:hAnsi="Times New Roman" w:cs="Times New Roman"/>
                <w:sz w:val="24"/>
                <w:szCs w:val="24"/>
              </w:rPr>
              <w:t xml:space="preserve"> piemēram,</w:t>
            </w:r>
            <w:r w:rsidR="00F834BD" w:rsidRPr="00034F24">
              <w:rPr>
                <w:rFonts w:ascii="Times New Roman" w:hAnsi="Times New Roman" w:cs="Times New Roman"/>
                <w:sz w:val="24"/>
                <w:szCs w:val="24"/>
              </w:rPr>
              <w:t xml:space="preserve"> ka gadījumā, ja šī persona pēc ziņu aktualizēšanas ierodas Pilsonības un migrācijas lietu pārvaldē vai Latvijas diplomātiskā vai konsulārā pārstāvniecībā, lai noformētu jaunu personu apliecinošu dokumentu, personas statuss tiks aktualizēts no “pasīvs” uz “aktīvs”.</w:t>
            </w:r>
          </w:p>
          <w:p w:rsidR="001E5241" w:rsidRPr="00034F24" w:rsidRDefault="001E5241" w:rsidP="009342A0">
            <w:pPr>
              <w:pStyle w:val="HTMLPreformatted"/>
              <w:jc w:val="both"/>
              <w:rPr>
                <w:rFonts w:ascii="Times New Roman" w:hAnsi="Times New Roman" w:cs="Times New Roman"/>
                <w:sz w:val="24"/>
                <w:szCs w:val="24"/>
              </w:rPr>
            </w:pPr>
          </w:p>
          <w:p w:rsidR="001E5241" w:rsidRPr="00034F24" w:rsidRDefault="001E5241" w:rsidP="001E5241">
            <w:pPr>
              <w:jc w:val="both"/>
              <w:rPr>
                <w:bCs/>
              </w:rPr>
            </w:pPr>
            <w:r w:rsidRPr="00034F24">
              <w:t>Satversmes tiesas 2005.gada 7.marta spriedumā “</w:t>
            </w:r>
            <w:r w:rsidRPr="00034F24">
              <w:rPr>
                <w:bCs/>
              </w:rPr>
              <w:t>Par likuma “</w:t>
            </w:r>
            <w:hyperlink r:id="rId8" w:tgtFrame="_blank" w:history="1">
              <w:r w:rsidRPr="00034F24">
                <w:rPr>
                  <w:rStyle w:val="Hyperlink"/>
                  <w:bCs/>
                  <w:color w:val="auto"/>
                  <w:u w:val="none"/>
                </w:rPr>
                <w:t>Par to bijušās PSRS pilsoņu statusu, kuriem nav Latvijas vai citas valsts pilsonības</w:t>
              </w:r>
            </w:hyperlink>
            <w:r w:rsidRPr="00034F24">
              <w:rPr>
                <w:bCs/>
              </w:rPr>
              <w:t xml:space="preserve">” </w:t>
            </w:r>
            <w:hyperlink r:id="rId9" w:anchor="p1" w:tgtFrame="_blank" w:history="1">
              <w:r w:rsidRPr="00034F24">
                <w:rPr>
                  <w:rStyle w:val="Hyperlink"/>
                  <w:bCs/>
                  <w:color w:val="auto"/>
                  <w:u w:val="none"/>
                </w:rPr>
                <w:t>1.panta</w:t>
              </w:r>
            </w:hyperlink>
            <w:r w:rsidRPr="00034F24">
              <w:rPr>
                <w:bCs/>
              </w:rPr>
              <w:t xml:space="preserve"> trešās daļas 5.punkta, </w:t>
            </w:r>
            <w:hyperlink r:id="rId10" w:anchor="p2" w:tgtFrame="_blank" w:history="1">
              <w:r w:rsidRPr="00034F24">
                <w:rPr>
                  <w:rStyle w:val="Hyperlink"/>
                  <w:bCs/>
                  <w:color w:val="auto"/>
                  <w:u w:val="none"/>
                </w:rPr>
                <w:t>2.panta</w:t>
              </w:r>
            </w:hyperlink>
            <w:r w:rsidRPr="00034F24">
              <w:rPr>
                <w:bCs/>
              </w:rPr>
              <w:t xml:space="preserve"> otrās daļas 2.punkta, </w:t>
            </w:r>
            <w:hyperlink r:id="rId11" w:anchor="p7" w:tgtFrame="_blank" w:history="1">
              <w:r w:rsidRPr="00034F24">
                <w:rPr>
                  <w:rStyle w:val="Hyperlink"/>
                  <w:bCs/>
                  <w:color w:val="auto"/>
                  <w:u w:val="none"/>
                </w:rPr>
                <w:t>7.panta</w:t>
              </w:r>
            </w:hyperlink>
            <w:r w:rsidRPr="00034F24">
              <w:rPr>
                <w:bCs/>
              </w:rPr>
              <w:t xml:space="preserve"> pirmās daļas 2.punkta atbilstību Latvijas Republikas Satversmes </w:t>
            </w:r>
            <w:hyperlink r:id="rId12" w:anchor="p98" w:tgtFrame="_blank" w:history="1">
              <w:r w:rsidRPr="00034F24">
                <w:rPr>
                  <w:rStyle w:val="Hyperlink"/>
                  <w:bCs/>
                  <w:color w:val="auto"/>
                  <w:u w:val="none"/>
                </w:rPr>
                <w:t>98.pantam</w:t>
              </w:r>
            </w:hyperlink>
            <w:r w:rsidRPr="00034F24">
              <w:rPr>
                <w:bCs/>
              </w:rPr>
              <w:t xml:space="preserve">, Eiropas Cilvēka tiesību un pamatbrīvību aizsardzības konvencijas Ceturtā protokola </w:t>
            </w:r>
            <w:hyperlink r:id="rId13" w:anchor="p2" w:tgtFrame="_blank" w:history="1">
              <w:r w:rsidRPr="00034F24">
                <w:rPr>
                  <w:rStyle w:val="Hyperlink"/>
                  <w:bCs/>
                  <w:color w:val="auto"/>
                  <w:u w:val="none"/>
                </w:rPr>
                <w:t xml:space="preserve">2. </w:t>
              </w:r>
            </w:hyperlink>
            <w:r w:rsidRPr="00034F24">
              <w:rPr>
                <w:bCs/>
              </w:rPr>
              <w:t xml:space="preserve">un </w:t>
            </w:r>
            <w:hyperlink r:id="rId14" w:anchor="p3" w:tgtFrame="_blank" w:history="1">
              <w:r w:rsidRPr="00034F24">
                <w:rPr>
                  <w:rStyle w:val="Hyperlink"/>
                  <w:bCs/>
                  <w:color w:val="auto"/>
                  <w:u w:val="none"/>
                </w:rPr>
                <w:t>3.pantam</w:t>
              </w:r>
            </w:hyperlink>
            <w:r w:rsidRPr="00034F24">
              <w:rPr>
                <w:bCs/>
              </w:rPr>
              <w:t xml:space="preserve">, Starptautiskā pakta par pilsoniskajām un politiskajām tiesībām </w:t>
            </w:r>
            <w:hyperlink r:id="rId15" w:anchor="p12" w:tgtFrame="_blank" w:history="1">
              <w:r w:rsidRPr="00034F24">
                <w:rPr>
                  <w:rStyle w:val="Hyperlink"/>
                  <w:bCs/>
                  <w:color w:val="auto"/>
                  <w:u w:val="none"/>
                </w:rPr>
                <w:t>12.pantam</w:t>
              </w:r>
            </w:hyperlink>
            <w:r w:rsidRPr="00034F24">
              <w:rPr>
                <w:bCs/>
              </w:rPr>
              <w:t xml:space="preserve"> un </w:t>
            </w:r>
            <w:hyperlink r:id="rId16" w:anchor="p1961" w:tgtFrame="_blank" w:history="1">
              <w:r w:rsidRPr="00034F24">
                <w:rPr>
                  <w:rStyle w:val="Hyperlink"/>
                  <w:bCs/>
                  <w:color w:val="auto"/>
                  <w:u w:val="none"/>
                </w:rPr>
                <w:t>1961.</w:t>
              </w:r>
            </w:hyperlink>
            <w:r w:rsidRPr="00034F24">
              <w:rPr>
                <w:bCs/>
              </w:rPr>
              <w:t xml:space="preserve">gada </w:t>
            </w:r>
            <w:hyperlink r:id="rId17" w:anchor="p30" w:tgtFrame="_blank" w:history="1">
              <w:r w:rsidRPr="00034F24">
                <w:rPr>
                  <w:rStyle w:val="Hyperlink"/>
                  <w:bCs/>
                  <w:color w:val="auto"/>
                  <w:u w:val="none"/>
                </w:rPr>
                <w:t>30.</w:t>
              </w:r>
            </w:hyperlink>
            <w:r w:rsidRPr="00034F24">
              <w:rPr>
                <w:bCs/>
              </w:rPr>
              <w:t xml:space="preserve">augusta Konvencijas par apatrīdu skaita samazināšanu </w:t>
            </w:r>
            <w:hyperlink r:id="rId18" w:anchor="p8" w:tgtFrame="_blank" w:history="1">
              <w:r w:rsidRPr="00034F24">
                <w:rPr>
                  <w:rStyle w:val="Hyperlink"/>
                  <w:bCs/>
                  <w:color w:val="auto"/>
                  <w:u w:val="none"/>
                </w:rPr>
                <w:t>8.panta</w:t>
              </w:r>
            </w:hyperlink>
            <w:r w:rsidRPr="00034F24">
              <w:rPr>
                <w:bCs/>
              </w:rPr>
              <w:t xml:space="preserve"> 1.punktam” tika norādīts, ka nepilsoņa statuss esot bijis noteikts kā pagaidu statuss, lai persona ar laiku iegūtu Latvijas pilsonību vai izvēlētos citu valsti, ar kuru nostiprināt savu tiesisko saikni. </w:t>
            </w:r>
          </w:p>
          <w:p w:rsidR="001E5241" w:rsidRPr="00034F24" w:rsidRDefault="001E5241" w:rsidP="001E5241">
            <w:pPr>
              <w:jc w:val="both"/>
            </w:pPr>
            <w:r w:rsidRPr="00034F24">
              <w:t xml:space="preserve">Personu apliecinošu dokumentu likuma 9.panta pirmajā daļā noteikts, ka personas apliecība vai Latvijas pilsoņa vai nepilsoņa pase ir obligāts personu apliecinošs dokuments attiecīgi Latvijas pilsonim vai nepilsonim, kurš sasniedzis 15 gadu vecumu. </w:t>
            </w:r>
          </w:p>
          <w:p w:rsidR="001E5241" w:rsidRPr="00034F24" w:rsidRDefault="001E5241" w:rsidP="001E5241">
            <w:pPr>
              <w:jc w:val="both"/>
              <w:rPr>
                <w:rFonts w:eastAsiaTheme="minorHAnsi"/>
                <w:lang w:eastAsia="en-US"/>
              </w:rPr>
            </w:pPr>
            <w:r w:rsidRPr="00034F24">
              <w:rPr>
                <w:bCs/>
              </w:rPr>
              <w:t xml:space="preserve">Veicot datu atlasi (2017.gada 11.janvārī), tika konstatēts, ka daļai Latvijas nepilsoņu, proti, 6 639 personām, 5 vai vairāk gadu ir nederīgs personu apliecinošs dokuments, atsevišķām personām personu apliecinošs dokuments kļuvis nederīgs 1998., 1999.gadā. Turklāt tikai 1 591 nepilsoņiem no 6 639 ir deklarētā dzīvesvietas adrese Latvijā, attiecīgi par pārējiem ir ziņas, ka tiem ir anulēta dzīvesvietas adrese Latvijā, norādīta dzīvesvietas adrese ārvalstī vai persona izbraukusi no valsts. Tādējādi, ievērojot to, ka ārvalstīs persona nevar uzturēties bez derīga personu apliecinoša dokumenta, prezumējams, ka lielākā daļa no šīm personām ir ieguvusi citas valsts pilsonību un nav informējusi Pilsonības un migrācijas lietu pārvaldi par izmaiņām. </w:t>
            </w:r>
            <w:r w:rsidRPr="00034F24">
              <w:t xml:space="preserve">Tādējādi neaktuālu ziņu dēļ rodas situācija, ka ir vairāk Latvijas nepilsoņu, par kuru skaita lielumu Latvijai nepārtraukti tiek pārmests, nekā objektīvi spriežot varētu būt. </w:t>
            </w:r>
          </w:p>
          <w:p w:rsidR="001E5241" w:rsidRPr="00034F24" w:rsidRDefault="001E5241" w:rsidP="001E5241">
            <w:pPr>
              <w:jc w:val="both"/>
            </w:pPr>
            <w:r w:rsidRPr="00034F24">
              <w:t>Tādējādi uzskatāms, ka dati par personu valstspiederību nav aktuāli, kā rezultātā, Iedzīvotāju reģistra lietotājiem var rasties pārliecība par nekvalitatīvu datu apstrādi, tai skaitā glabāšanu un izsniegšanu (piemēram, statistiskām vajadzībām). Tā kā nav tiesiska pamata par Latvijas nepilsoni</w:t>
            </w:r>
            <w:r w:rsidR="00A170F5" w:rsidRPr="00034F24">
              <w:t>, kurš sasniedzis 15 gadu vecumu un</w:t>
            </w:r>
            <w:r w:rsidRPr="00034F24">
              <w:t xml:space="preserve"> kuram 5 vai vairāk gadus nav derīga personu apliecinoša dokumenta, </w:t>
            </w:r>
            <w:r w:rsidRPr="00034F24">
              <w:lastRenderedPageBreak/>
              <w:t>iekļaut ziņas kā par citas valsts pilsoni, jo Pilsonības un migrācijas lietu pārvaldei šādas ziņas nav iesniegtas, tad ir nepieciešams likumā noteikt, ka</w:t>
            </w:r>
            <w:r w:rsidR="00741AE5">
              <w:t xml:space="preserve"> personai, kura nav Latvijas pilsonis</w:t>
            </w:r>
            <w:r w:rsidR="008C0B47">
              <w:t xml:space="preserve"> un</w:t>
            </w:r>
            <w:r w:rsidRPr="00034F24">
              <w:t xml:space="preserve"> </w:t>
            </w:r>
            <w:r w:rsidR="00741AE5">
              <w:t>pēc 15 gadu vecuma sasniegšanas vairāk kā 5 gadus dzīvo bez derīga</w:t>
            </w:r>
            <w:r w:rsidRPr="00034F24">
              <w:t xml:space="preserve"> personu apliecinošu dokumenta un Pārvalde nav ieguvusi apstiprinājumu, ka persona </w:t>
            </w:r>
            <w:r w:rsidR="00A170F5" w:rsidRPr="00034F24">
              <w:t>dzīvo</w:t>
            </w:r>
            <w:r w:rsidRPr="00034F24">
              <w:t xml:space="preserve"> Latvijā, tiek mainīts statuss no “aktīvs” uz “pasīvs”. </w:t>
            </w:r>
          </w:p>
          <w:p w:rsidR="001E5241" w:rsidRPr="00034F24" w:rsidRDefault="001E5241" w:rsidP="001E5241">
            <w:pPr>
              <w:pStyle w:val="HTMLPreformatted"/>
              <w:jc w:val="both"/>
              <w:rPr>
                <w:rFonts w:ascii="Times New Roman" w:hAnsi="Times New Roman" w:cs="Times New Roman"/>
                <w:sz w:val="24"/>
                <w:szCs w:val="24"/>
              </w:rPr>
            </w:pPr>
            <w:r w:rsidRPr="00034F24">
              <w:rPr>
                <w:rFonts w:ascii="Times New Roman" w:hAnsi="Times New Roman" w:cs="Times New Roman"/>
                <w:sz w:val="24"/>
                <w:szCs w:val="24"/>
              </w:rPr>
              <w:t>Papildu nosacījumi šādu ziņu aktualizēšanai būtu jānosaka Ministru kabineta noteikumos. Ministru kabineta 2011.gada 15.februāra noteikumos Nr.131 “Iedzīvotāju reģistrā iekļauto ziņu aktualizēšanas kārtība”</w:t>
            </w:r>
            <w:r w:rsidR="00741AE5">
              <w:rPr>
                <w:rFonts w:ascii="Times New Roman" w:hAnsi="Times New Roman" w:cs="Times New Roman"/>
                <w:sz w:val="24"/>
                <w:szCs w:val="24"/>
              </w:rPr>
              <w:t>, proti, noteikumos</w:t>
            </w:r>
            <w:r w:rsidRPr="00034F24">
              <w:rPr>
                <w:rFonts w:ascii="Times New Roman" w:hAnsi="Times New Roman" w:cs="Times New Roman"/>
                <w:sz w:val="24"/>
                <w:szCs w:val="24"/>
              </w:rPr>
              <w:t xml:space="preserve"> tiks noteikta kārtība kādā šīs ziņas tiks aktualizētas, kā piemēram, ka pirms aktualizēšanas Pilsonības un migrācijas lietu pārvalde nosūta personai informatīvu vēstuli uz deklarēto dzīvesvietas adresi. Tāpat paredzot iespēju, piemēram, ka gadījumā, ja šī persona pēc ziņu aktualizēšanas ierodas Pilsonības un migrācijas lietu pārvaldē vai Latvijas diplomātiskā vai konsulārā pārstāvniecībā ārvalstīs, lai noformētu jaunu personu apliecinošu dokumentu, personas statuss tiks aktualizēts no “pasīvs” uz “aktīvs”.</w:t>
            </w:r>
          </w:p>
          <w:p w:rsidR="001E5241" w:rsidRPr="00034F24" w:rsidRDefault="001E5241" w:rsidP="001E5241">
            <w:pPr>
              <w:pStyle w:val="HTMLPreformatted"/>
              <w:jc w:val="both"/>
              <w:rPr>
                <w:rFonts w:ascii="Times New Roman" w:hAnsi="Times New Roman" w:cs="Times New Roman"/>
                <w:sz w:val="24"/>
                <w:szCs w:val="24"/>
              </w:rPr>
            </w:pPr>
            <w:r w:rsidRPr="00034F24">
              <w:rPr>
                <w:rFonts w:ascii="Times New Roman" w:hAnsi="Times New Roman" w:cs="Times New Roman"/>
                <w:sz w:val="24"/>
                <w:szCs w:val="24"/>
              </w:rPr>
              <w:t>Attiecībā uz Latvijas pilsoņiem šāda prasība nebūtu piemērojama, jo Latvijā ir atļauta dubultā pilsonība. Kaut arī citas valsts pilsonības esamība, neatbrīvo Latvijas pilsoņus no pienākuma saņemt Latvijas personu apliecinošo dokumentu, tomēr tie var uzturēties ārvalstīs ar citas pilsonības valsts izsniegto personu apliecinošo dokumentu.</w:t>
            </w:r>
          </w:p>
          <w:p w:rsidR="005C75A1" w:rsidRPr="00034F24" w:rsidRDefault="005C75A1" w:rsidP="00D8108D">
            <w:pPr>
              <w:tabs>
                <w:tab w:val="left" w:pos="0"/>
                <w:tab w:val="left" w:pos="705"/>
                <w:tab w:val="left" w:pos="885"/>
              </w:tabs>
              <w:jc w:val="both"/>
            </w:pPr>
          </w:p>
          <w:p w:rsidR="001F0746" w:rsidRPr="00034F24" w:rsidRDefault="006E7B28" w:rsidP="004A7CFE">
            <w:pPr>
              <w:tabs>
                <w:tab w:val="left" w:pos="0"/>
                <w:tab w:val="left" w:pos="705"/>
                <w:tab w:val="left" w:pos="885"/>
              </w:tabs>
              <w:jc w:val="both"/>
              <w:rPr>
                <w:szCs w:val="28"/>
              </w:rPr>
            </w:pPr>
            <w:r w:rsidRPr="00034F24">
              <w:t>Iedzīvotāju reģistra likuma 8.panta</w:t>
            </w:r>
            <w:r w:rsidR="00385B03" w:rsidRPr="00034F24">
              <w:t xml:space="preserve"> pirmajā daļā noteikts, ka </w:t>
            </w:r>
            <w:r w:rsidR="00385B03" w:rsidRPr="00034F24">
              <w:rPr>
                <w:szCs w:val="28"/>
              </w:rPr>
              <w:t>darbiniekam, kas iekļauj Iedzīvotāju reģistrā ziņas par personu, ir pienākums pārbaudīt šo ziņu atbilstību tās apliecinošajiem dokumentiem, kuriem ir juridisks spēks Latvijā. Savukārt minētā likuma 8.panta ceturtajā daļā noteikts, ka pirmuzskaites veidlapu ārzemniekam aizpilda atbilstoši ziņām, ko ārzemnieks vai viņa likumiskais pārstāvis sniedzis, pieprasot uzturēšanās atļauju, reģistrācijas apliecību vai pastāvīgās uzturēšanās apliecību. Ievērojot minēto, iekļaujot ziņas par ārzemnieku</w:t>
            </w:r>
            <w:r w:rsidR="00563F22" w:rsidRPr="00034F24">
              <w:rPr>
                <w:szCs w:val="28"/>
              </w:rPr>
              <w:t>,</w:t>
            </w:r>
            <w:r w:rsidR="00385B03" w:rsidRPr="00034F24">
              <w:rPr>
                <w:szCs w:val="28"/>
              </w:rPr>
              <w:t xml:space="preserve"> nav obligāti jābūt dokumentāram apliecinājumam norādītajām ziņām, tai skaitā, par tautību.</w:t>
            </w:r>
          </w:p>
          <w:p w:rsidR="00385B03" w:rsidRPr="00034F24" w:rsidRDefault="00385B03" w:rsidP="004A7CFE">
            <w:pPr>
              <w:tabs>
                <w:tab w:val="left" w:pos="0"/>
                <w:tab w:val="left" w:pos="705"/>
                <w:tab w:val="left" w:pos="885"/>
              </w:tabs>
              <w:jc w:val="both"/>
            </w:pPr>
            <w:r w:rsidRPr="00034F24">
              <w:rPr>
                <w:szCs w:val="28"/>
              </w:rPr>
              <w:t>Tomēr</w:t>
            </w:r>
            <w:r w:rsidR="00EB3E58" w:rsidRPr="00034F24">
              <w:rPr>
                <w:szCs w:val="28"/>
              </w:rPr>
              <w:t>,</w:t>
            </w:r>
            <w:r w:rsidRPr="00034F24">
              <w:rPr>
                <w:szCs w:val="28"/>
              </w:rPr>
              <w:t xml:space="preserve"> ievērojot to, ka ziņu par tautību “latvietis” vai “</w:t>
            </w:r>
            <w:r w:rsidR="00EB3E58" w:rsidRPr="00034F24">
              <w:rPr>
                <w:szCs w:val="28"/>
              </w:rPr>
              <w:t>lībietis (līvs)” iekļaušana</w:t>
            </w:r>
            <w:r w:rsidR="00B35D1A" w:rsidRPr="00034F24">
              <w:rPr>
                <w:szCs w:val="28"/>
              </w:rPr>
              <w:t xml:space="preserve"> Iedzīvotāju reģistrā</w:t>
            </w:r>
            <w:r w:rsidR="00EB3E58" w:rsidRPr="00034F24">
              <w:rPr>
                <w:szCs w:val="28"/>
              </w:rPr>
              <w:t xml:space="preserve"> var radīt tiesiskas sekas, piemēram,</w:t>
            </w:r>
            <w:r w:rsidR="00B35D1A" w:rsidRPr="00034F24">
              <w:rPr>
                <w:szCs w:val="28"/>
              </w:rPr>
              <w:t xml:space="preserve"> iespēju</w:t>
            </w:r>
            <w:r w:rsidR="00EB3E58" w:rsidRPr="00034F24">
              <w:rPr>
                <w:szCs w:val="28"/>
              </w:rPr>
              <w:t xml:space="preserve"> lūgt atzīt par Latvijas pilsoni, jo</w:t>
            </w:r>
            <w:r w:rsidR="001B2A7B" w:rsidRPr="00034F24">
              <w:rPr>
                <w:szCs w:val="28"/>
              </w:rPr>
              <w:t xml:space="preserve"> persona</w:t>
            </w:r>
            <w:r w:rsidR="00EB3E58" w:rsidRPr="00034F24">
              <w:rPr>
                <w:szCs w:val="28"/>
              </w:rPr>
              <w:t xml:space="preserve"> ir latvietis vai </w:t>
            </w:r>
            <w:r w:rsidR="00EB3E58" w:rsidRPr="00034F24">
              <w:t>l</w:t>
            </w:r>
            <w:r w:rsidR="00B35D1A" w:rsidRPr="00034F24">
              <w:t>īvs</w:t>
            </w:r>
            <w:r w:rsidR="00EB3E58" w:rsidRPr="00034F24">
              <w:t>, kurš Latvijā apliecinājis Pilsonības likumā norādītos nosacījumus, nepieciešams noteikt, ka gadījumā, ja ārzemnieks norāda tautību “latvietis” vai “lībietis (līvs)” nepieciešams iesnieg</w:t>
            </w:r>
            <w:r w:rsidR="001B2A7B" w:rsidRPr="00034F24">
              <w:t>t dokumentāru apliecinājumu tam, lai novērstu situāciju, kad uz Latvijas pilsonību pretendē personas, kam tā faktiski nepienākas, jo personai neviens no priekštečiem nav bijis latvietis.</w:t>
            </w:r>
          </w:p>
          <w:p w:rsidR="00EB3E58" w:rsidRPr="00034F24" w:rsidRDefault="00EB3E58" w:rsidP="004A7CFE">
            <w:pPr>
              <w:tabs>
                <w:tab w:val="left" w:pos="0"/>
                <w:tab w:val="left" w:pos="705"/>
                <w:tab w:val="left" w:pos="885"/>
              </w:tabs>
              <w:jc w:val="both"/>
            </w:pPr>
            <w:r w:rsidRPr="00034F24">
              <w:lastRenderedPageBreak/>
              <w:t xml:space="preserve">Tādējādi Iedzīvotāju reģistra likuma 8.panta ceturtā daļa precizējama, paredzot, ka </w:t>
            </w:r>
            <w:r w:rsidR="003D7E28" w:rsidRPr="00034F24">
              <w:rPr>
                <w:szCs w:val="28"/>
              </w:rPr>
              <w:t xml:space="preserve">pirmuzskaites veidlapu ārzemniekam aizpilda atbilstoši ziņām, ko ārzemnieks vai viņa likumiskais pārstāvis sniedzis, pieprasot uzturēšanās atļauju, reģistrācijas apliecību vai pastāvīgās uzturēšanās </w:t>
            </w:r>
            <w:r w:rsidR="003D7E28" w:rsidRPr="00034F24">
              <w:t>apliecību, izņemot ziņas par tautību “latvietis” vai “lībietis (līvs)”. Iekļaujot Iedzīvotāju reģistrā ziņas par ārzemnieka tautību “latvietis” vai “lībietis (līvs)”, ievēro šā panta pirmo daļu</w:t>
            </w:r>
            <w:r w:rsidR="00B5555F" w:rsidRPr="00034F24">
              <w:t xml:space="preserve"> un šā likuma 10.panta piektās daļas 1. un 2.punktu, kuros tiks noteikti nosacījumi, ziņu par personas tautību iekļaušanai Iedzīvotāju reģistrā</w:t>
            </w:r>
            <w:r w:rsidR="003D7E28" w:rsidRPr="00034F24">
              <w:t>.</w:t>
            </w:r>
          </w:p>
          <w:p w:rsidR="003D7E28" w:rsidRPr="00034F24" w:rsidRDefault="003D7E28" w:rsidP="003D7E28">
            <w:pPr>
              <w:tabs>
                <w:tab w:val="left" w:pos="0"/>
                <w:tab w:val="left" w:pos="705"/>
                <w:tab w:val="left" w:pos="885"/>
              </w:tabs>
              <w:ind w:right="174"/>
              <w:jc w:val="both"/>
            </w:pPr>
          </w:p>
          <w:p w:rsidR="005C709E" w:rsidRPr="00034F24" w:rsidRDefault="005C709E" w:rsidP="004A7CFE">
            <w:pPr>
              <w:tabs>
                <w:tab w:val="left" w:pos="0"/>
                <w:tab w:val="left" w:pos="705"/>
                <w:tab w:val="left" w:pos="885"/>
              </w:tabs>
              <w:jc w:val="both"/>
            </w:pPr>
            <w:r w:rsidRPr="00034F24">
              <w:t>Pieņemot grozījumus Pilsonības likumā un formulējot Pilsonības likuma mērķi, situācija</w:t>
            </w:r>
            <w:r w:rsidR="00244635" w:rsidRPr="00034F24">
              <w:t xml:space="preserve"> 2013.gadā</w:t>
            </w:r>
            <w:r w:rsidRPr="00034F24">
              <w:t xml:space="preserve"> ir mainījusies – likumdevējs ir paredzējis tiesības reģistrēt Latvijas pilsonību ne tikai Latvijā dzīvojošiem latviešiem vai līviem, bet arī citās valstīs dzīvojošiem latviešiem vai līviem, ziņas par kuriem Iedzīvotāju  reģistrā vispār nav iekļautas un kuru tautība Latvijā nav noteikta.</w:t>
            </w:r>
          </w:p>
          <w:p w:rsidR="003D7E28" w:rsidRPr="00034F24" w:rsidRDefault="00BD1E6E" w:rsidP="004A7CFE">
            <w:pPr>
              <w:tabs>
                <w:tab w:val="left" w:pos="0"/>
                <w:tab w:val="left" w:pos="705"/>
                <w:tab w:val="left" w:pos="885"/>
              </w:tabs>
              <w:jc w:val="both"/>
            </w:pPr>
            <w:r w:rsidRPr="00034F24">
              <w:t>Šobrīd Ministru kabineta 2009.gada 10.marta noteikumu Nr.225 “Noteikumi par Iedzīvotāju reģistra pirmuzskaites veidlapas paraugu un tās aizpildīšanas kārtību” 14.punktā noteikta kārtība kādā iekļaujamas ziņas par personas tautību</w:t>
            </w:r>
            <w:r w:rsidR="00563F22" w:rsidRPr="00034F24">
              <w:t xml:space="preserve"> Iedzīvotāju  reģistrā</w:t>
            </w:r>
            <w:r w:rsidRPr="00034F24">
              <w:t xml:space="preserve">. Ievērojot to, ka tautības ieraksts ir </w:t>
            </w:r>
            <w:r w:rsidR="00CB043D" w:rsidRPr="00034F24">
              <w:t>būtisks</w:t>
            </w:r>
            <w:r w:rsidRPr="00034F24">
              <w:t xml:space="preserve"> atsevišķu </w:t>
            </w:r>
            <w:r w:rsidR="00CB043D" w:rsidRPr="00034F24">
              <w:t>tiesisko attiecību noregulēšanai (pilsonības piešķiršanai vai nepiešķiršanai), šī jautājuma regulējums būtu iekļaujams likumā, nevis Ministru kabineta noteikumos. Tādējādi Iedzīvotāju reģistra likuma 10.pants papildināms ar piekto daļu, nosakot, kādi nosacījumi ir ievērojami, iekļaujot ziņas par personas tautību Iedzīvotāju reģistrā</w:t>
            </w:r>
            <w:r w:rsidR="00D15D8D" w:rsidRPr="00034F24">
              <w:t>, tai skaitā precizējot minēto noteikumu 14.1. un 14.2.apakšpunkta redakciju, norādot no kādiem dokumentiem iekļaujamas ziņas par personas tautību</w:t>
            </w:r>
            <w:r w:rsidR="00CB043D" w:rsidRPr="00034F24">
              <w:t xml:space="preserve">. </w:t>
            </w:r>
          </w:p>
          <w:p w:rsidR="00CB043D" w:rsidRPr="00034F24" w:rsidRDefault="00CB043D" w:rsidP="004A7CFE">
            <w:pPr>
              <w:tabs>
                <w:tab w:val="left" w:pos="0"/>
                <w:tab w:val="left" w:pos="705"/>
                <w:tab w:val="left" w:pos="885"/>
              </w:tabs>
              <w:jc w:val="both"/>
            </w:pPr>
            <w:r w:rsidRPr="00034F24">
              <w:t>Papildus konstatēts, ka nepieciešams likuma līmenī</w:t>
            </w:r>
            <w:r w:rsidR="00244635" w:rsidRPr="00034F24">
              <w:t>, nevis Ministru kabineta noteikumos</w:t>
            </w:r>
            <w:r w:rsidRPr="00034F24">
              <w:t xml:space="preserve"> noregulēt, kā iekļaujamas ziņas par personas tautību “latvietis”</w:t>
            </w:r>
            <w:r w:rsidR="00217625" w:rsidRPr="00034F24">
              <w:t>, kas konstatēta Latvijas pilsonības piešķiršanas procesa ietvaros, pamatojoties uz apliecinājumu par piederību pie latviešu kopienas savā dzīvesvietā ārpus Latvijas (Pilsonības likuma 2.panta pirmās daļas 3.punkta “c” apakšpunkts).</w:t>
            </w:r>
          </w:p>
          <w:p w:rsidR="00C83E0F" w:rsidRPr="00034F24" w:rsidRDefault="00C83E0F" w:rsidP="004A7CFE">
            <w:pPr>
              <w:pStyle w:val="BodyTextIndent2"/>
              <w:ind w:firstLine="0"/>
              <w:rPr>
                <w:szCs w:val="24"/>
              </w:rPr>
            </w:pPr>
            <w:r w:rsidRPr="00034F24">
              <w:rPr>
                <w:szCs w:val="24"/>
              </w:rPr>
              <w:t xml:space="preserve">Latvijas Republikas Saeima 2013.gada 9.maijā pieņēma likumu </w:t>
            </w:r>
            <w:r w:rsidR="00563F22" w:rsidRPr="00034F24">
              <w:t xml:space="preserve"> “</w:t>
            </w:r>
            <w:r w:rsidRPr="00034F24">
              <w:rPr>
                <w:szCs w:val="24"/>
              </w:rPr>
              <w:t>Grozījumi Pilsonības likumā”, kas stājās spēkā 2013.gada 1.oktobrī. Minētais likums paredz</w:t>
            </w:r>
            <w:r w:rsidR="00563F22" w:rsidRPr="00034F24">
              <w:rPr>
                <w:szCs w:val="24"/>
              </w:rPr>
              <w:t>ēja</w:t>
            </w:r>
            <w:r w:rsidRPr="00034F24">
              <w:rPr>
                <w:szCs w:val="24"/>
              </w:rPr>
              <w:t xml:space="preserve"> virkni būtisku grozījumu Latvijas pilsonības institūta regulējumā, cita starpā nodrošinot latviešiem un līviem tiesības reģistrēties par Latvijas pilsoņiem, kas šobrīd ir formulēts arī kā viens no Pilsonības likuma mērķiem.</w:t>
            </w:r>
          </w:p>
          <w:p w:rsidR="00C83E0F" w:rsidRPr="00034F24" w:rsidRDefault="00C83E0F" w:rsidP="004A7CFE">
            <w:pPr>
              <w:pStyle w:val="tv213"/>
              <w:spacing w:before="0" w:beforeAutospacing="0" w:after="0" w:afterAutospacing="0"/>
              <w:jc w:val="both"/>
            </w:pPr>
            <w:r w:rsidRPr="00034F24">
              <w:t>Saskaņā ar Pilsonības likuma 2.panta pirmās daļas 3.punktu Latvijas pilsonis ir latvietis vai līvs, kurš Latvijā apliecinājis visus šādus nosacījumus:</w:t>
            </w:r>
          </w:p>
          <w:p w:rsidR="00C83E0F" w:rsidRPr="00034F24" w:rsidRDefault="00C83E0F" w:rsidP="004A7CFE">
            <w:pPr>
              <w:pStyle w:val="tv213"/>
              <w:spacing w:before="0" w:beforeAutospacing="0" w:after="0" w:afterAutospacing="0"/>
              <w:jc w:val="both"/>
            </w:pPr>
            <w:r w:rsidRPr="00034F24">
              <w:t xml:space="preserve">a) ka viņa priekštecis 1881.gadā vai vēlāk pastāvīgi dzīvoja </w:t>
            </w:r>
            <w:r w:rsidRPr="00034F24">
              <w:lastRenderedPageBreak/>
              <w:t>Latvijas teritorijā, kāda tā pastāvēja līdz 1940.gada 17.jūnijam,</w:t>
            </w:r>
          </w:p>
          <w:p w:rsidR="00C83E0F" w:rsidRPr="00034F24" w:rsidRDefault="00C83E0F" w:rsidP="004A7CFE">
            <w:pPr>
              <w:pStyle w:val="tv213"/>
              <w:spacing w:before="0" w:beforeAutospacing="0" w:after="0" w:afterAutospacing="0"/>
              <w:jc w:val="both"/>
            </w:pPr>
            <w:r w:rsidRPr="00034F24">
              <w:t>b) savu latviešu valodas prasmi saskaņā ar šā likuma 20.pantu vai no latviešu valodas prasmes pārbaudes ir atbrīvots saskaņā ar šā likuma 21.pantu,</w:t>
            </w:r>
          </w:p>
          <w:p w:rsidR="00C83E0F" w:rsidRPr="00034F24" w:rsidRDefault="00C83E0F" w:rsidP="004E464A">
            <w:pPr>
              <w:pStyle w:val="tv213"/>
              <w:spacing w:before="0" w:beforeAutospacing="0" w:after="0" w:afterAutospacing="0"/>
              <w:jc w:val="both"/>
            </w:pPr>
            <w:r w:rsidRPr="00034F24">
              <w:t>c) savu piederību pie valstsnācijas (latviešiem) vai autohtoniem (līviem), iesniedzot dokumentāru apstiprinājumu tam, ka viņš vai vismaz viens no viņa vecākiem vai vecvecākiem ir piederīgs pie valstsnācijas vai autohtoniem, vai arī paskaidrojumu tam, kādēļ šādu apstiprinājumu nav iespējams iesniegt, un minētā apstiprinājuma vietā iesniedzis citus apliecinājumus. Šo apstiprinājumu var aizstāt ar apliecinājumu par piederību pie latviešu kopienas savā dzīvesvietā ārpus Latvijas.</w:t>
            </w:r>
          </w:p>
          <w:p w:rsidR="00C83E0F" w:rsidRPr="00034F24" w:rsidRDefault="00C83E0F" w:rsidP="00563F22">
            <w:pPr>
              <w:pStyle w:val="BodyTextIndent2"/>
              <w:ind w:firstLine="0"/>
              <w:rPr>
                <w:szCs w:val="24"/>
              </w:rPr>
            </w:pPr>
            <w:r w:rsidRPr="00034F24">
              <w:rPr>
                <w:szCs w:val="24"/>
              </w:rPr>
              <w:t>Tādējādi Pilsonības likuma 2.panta pirmās daļas 3.punktā ir ietverti nosacījumi, kas ir pamats reģistrēt latvieti vai līvu par Latvijas pilsoni. Taču vienlaikus jākonstatē, ka sākotnējais priekšnoteikums Latvijas pilsonības reģistrācijai un attiecīgo Pilsonības likuma 2.panta pirmās daļas 3.punkta apakšpunktos noteikto nosacījumu apliecināšanai, ir personas tautība – latvietis vai līvs. Līdz ar to, izskatot personu iesniegumus par Latvijas pilsonības reģistrēšanu, atbildīgajai institūcijai – Pilsonības un migrācijas lietu pārvaldei, ir jākonstatē personas subjektīvo tiesību esamība reģistrēt Latvijas pilsonību atbilstoši Pilsonības likuma 2.panta pirmās daļas 3.punkta nosacījumiem, proti, vispirms jākonstatē fakts, ka persona ir latvietis vai līvs.</w:t>
            </w:r>
          </w:p>
          <w:p w:rsidR="00C83E0F" w:rsidRPr="00034F24" w:rsidRDefault="00C83E0F" w:rsidP="001D5593">
            <w:pPr>
              <w:pStyle w:val="tv213"/>
              <w:spacing w:before="0" w:beforeAutospacing="0" w:after="0" w:afterAutospacing="0"/>
              <w:jc w:val="both"/>
            </w:pPr>
            <w:r w:rsidRPr="00034F24">
              <w:t>Tā kā līdz grozījumu Pilsonības likumā spēkā stāšanās brīdim saskaņā ar Pilsonības likuma 2.panta 1.1.apakšpunktu (redakcijā, kāda bija spēkā līdz 2013.gada 31.septembrim) viens no priekšnoteikumiem latvieša vai līva Latvijas pilsonības reģistrēšanai bija to pastāvīgā dzīvesvieta Latvijā, t.i., normas subjekti bija Latvijas iedzīvotāji (piemēram, latvieši vai līvi, kuri atbilstoši Repatriācijas likuma nosacījumiem kā repatrianti pārceļas uz dzīvi Latvijā un saņem pastāvīgās uzturēšanās atļaujas), līdz ar to, ievērojot, ka Latvijas Republikā pastāv un darbojas vienota iedzīvotāju uzskaites sistēma – Iedzīvotāju reģistrs, ziņas par Latvijas iedzīvotāju tautību bija jau iekļautas Iedzīvotāju reģistrā. Tādējādi līdz 2013.gada 31.septembrim Pilsonības un migrācijas lietu pārvalde konstatēja faktu, ka persona ir latvietis vai līvs, pamatojoties uz Iedzīvotāju reģistrā iekļautajām ziņām par personas tautību.</w:t>
            </w:r>
            <w:r w:rsidR="001D5593" w:rsidRPr="00034F24">
              <w:t xml:space="preserve"> </w:t>
            </w:r>
            <w:r w:rsidRPr="00034F24">
              <w:t>Savukārt ziņas par personas tautību (ieskaitot repatriantu tautību) Iedzīvotāju reģistrā tika un tiek iekļautas atbilstoši Ministru kabineta 2009.gada 10.marta noteikumos Nr.225</w:t>
            </w:r>
            <w:r w:rsidR="001D5593" w:rsidRPr="00034F24">
              <w:t xml:space="preserve"> “</w:t>
            </w:r>
            <w:r w:rsidRPr="00034F24">
              <w:t xml:space="preserve">Noteikumi par Iedzīvotāju reģistra pirmuzskaites veidlapas paraugu un tās aizpildīšanas kārtību” 14.punktā noteiktajai vispārējai kārtībai. Minētie noteikumi kā avotu tautības, ieskaitot tautības </w:t>
            </w:r>
            <w:r w:rsidR="001D5593" w:rsidRPr="00034F24">
              <w:t>“</w:t>
            </w:r>
            <w:r w:rsidR="00B35D1A" w:rsidRPr="00034F24">
              <w:t xml:space="preserve">latvietis” vai </w:t>
            </w:r>
            <w:r w:rsidR="001D5593" w:rsidRPr="00034F24">
              <w:t>“</w:t>
            </w:r>
            <w:r w:rsidRPr="00034F24">
              <w:t xml:space="preserve">līvs”, noteikšanai un ziņu </w:t>
            </w:r>
            <w:r w:rsidRPr="00034F24">
              <w:lastRenderedPageBreak/>
              <w:t xml:space="preserve">iekļaušanai Iedzīvotāju reģistrā nosaka ierakstu kādā dokumentā vai, ja tāda nav, ziņas par personas tautību tiek iekļautas atbilstoši personas izvēlei atbilstoši tiešo augšupējo radinieku tautībai divu paaudžu robežās, kas tādējādi nozīmē, ka šo radinieku tautība arī ir noteikta kādā dokumentā vai ziņas par šīs personas tautību jau ir iekļautas (uz dokumenta pamata) Iedzīvotāju reģistrā. </w:t>
            </w:r>
          </w:p>
          <w:p w:rsidR="00C83E0F" w:rsidRPr="00034F24" w:rsidRDefault="00C83E0F" w:rsidP="001D5593">
            <w:pPr>
              <w:pStyle w:val="tv213"/>
              <w:spacing w:before="0" w:beforeAutospacing="0" w:after="0" w:afterAutospacing="0"/>
              <w:jc w:val="both"/>
            </w:pPr>
            <w:r w:rsidRPr="00034F24">
              <w:t xml:space="preserve">Ievērojot dažādu valstu praksi attiecībā uz tautības norādi dokumentos (uz ko likumprojekta </w:t>
            </w:r>
            <w:r w:rsidR="001D5593" w:rsidRPr="00034F24">
              <w:t>“</w:t>
            </w:r>
            <w:r w:rsidRPr="00034F24">
              <w:t xml:space="preserve">Grozījumi Pilsonības likumā” izskatīšanas gaitā norādīja arī Pasaules Brīvo latviešu apvienības pārstāvji), jāsecina, ka lielākajā daļā gadījumu minēto personu dokumentos (izņemot bijušās PSRS un Neatkarīgo Valstu Sadraudzības dokumentos) tautības ieraksta nav. Taču Pilsonības likumā Latvijas pilsonības reģistrēšanas gadījumā likumdevējs ir paredzējis iespēju personai apliecināt savu piederību pie valstsnācijas, nosakot, ka persona, ja tai nav iespējams iesniegt nevienu no Pilsonības likuma 2.panta pirmās daļas 3.punkta </w:t>
            </w:r>
            <w:r w:rsidR="001D5593" w:rsidRPr="00034F24">
              <w:t xml:space="preserve"> “</w:t>
            </w:r>
            <w:r w:rsidRPr="00034F24">
              <w:t>c</w:t>
            </w:r>
            <w:r w:rsidR="001D5593" w:rsidRPr="00034F24">
              <w:t>”</w:t>
            </w:r>
            <w:r w:rsidRPr="00034F24">
              <w:t xml:space="preserve"> apakšpunktā minēto dokumentāro apstiprinājumu, piederību pie valstsnācijas var apliecināt, iesniedzot apliecinājumu par piederību pie latviešu kopienas savā dzīvesvietā ārpus Latvijas. </w:t>
            </w:r>
          </w:p>
          <w:p w:rsidR="00C83E0F" w:rsidRPr="00034F24" w:rsidRDefault="00C83E0F" w:rsidP="001D5593">
            <w:pPr>
              <w:pStyle w:val="tv213"/>
              <w:spacing w:before="0" w:beforeAutospacing="0" w:after="0" w:afterAutospacing="0"/>
              <w:jc w:val="both"/>
            </w:pPr>
            <w:r w:rsidRPr="00034F24">
              <w:t xml:space="preserve">Līdz ar to jāsecina, ka minētā norma noteiktai personu grupai paredz ne tikai Latvijas pilsonības reģistrēšanu, bet arī personas tautības </w:t>
            </w:r>
            <w:r w:rsidR="001D5593" w:rsidRPr="00034F24">
              <w:t>“</w:t>
            </w:r>
            <w:r w:rsidRPr="00034F24">
              <w:t>latvietis” noteikšanu, kas ir pilnīgi jauns tāda veida regulējums Latvijas tiesību aktos, jo līdz šim nevienā tiesību aktā nav iekļau</w:t>
            </w:r>
            <w:r w:rsidR="00D15D8D" w:rsidRPr="00034F24">
              <w:t>ts tautības, ieskaitot tautības</w:t>
            </w:r>
            <w:r w:rsidR="001D5593" w:rsidRPr="00034F24">
              <w:t xml:space="preserve"> “</w:t>
            </w:r>
            <w:r w:rsidRPr="00034F24">
              <w:t>latvietis”</w:t>
            </w:r>
            <w:r w:rsidR="00D15D8D" w:rsidRPr="00034F24">
              <w:t xml:space="preserve"> vai “lībietis (līvs)”</w:t>
            </w:r>
            <w:r w:rsidRPr="00034F24">
              <w:t xml:space="preserve">, noteikšanas regulējums. </w:t>
            </w:r>
          </w:p>
          <w:p w:rsidR="00C83E0F" w:rsidRPr="00034F24" w:rsidRDefault="001D5593" w:rsidP="001D5593">
            <w:pPr>
              <w:pStyle w:val="tv213"/>
              <w:spacing w:before="0" w:beforeAutospacing="0" w:after="0" w:afterAutospacing="0"/>
              <w:jc w:val="both"/>
            </w:pPr>
            <w:r w:rsidRPr="00034F24">
              <w:t>Ministru kabineta 2009.gada 10.marta noteikumu Nr.225  “Noteikumi par Iedzīvotāju reģistra pirmuzskaites veidlapas paraugu un tās aizpildīšanas kārtību” 14.punktā ietvertā regulējumā,</w:t>
            </w:r>
            <w:r w:rsidR="00B35D1A" w:rsidRPr="00034F24">
              <w:t xml:space="preserve"> ko likumprojekts paredz ietvert Iedzīvotāju reģistra likumā</w:t>
            </w:r>
            <w:r w:rsidR="00C83E0F" w:rsidRPr="00034F24">
              <w:t xml:space="preserve">, galvenais avots ziņām par tautību un šo ziņu iekļaušanas pamats Iedzīvotāju reģistrā ir ieraksts dokumentā, kas nonāk pretrunā ar Pilsonības likuma 2.panta pirmās daļas 3.punkta </w:t>
            </w:r>
            <w:r w:rsidRPr="00034F24">
              <w:t>“</w:t>
            </w:r>
            <w:r w:rsidR="00C83E0F" w:rsidRPr="00034F24">
              <w:t>c</w:t>
            </w:r>
            <w:r w:rsidRPr="00034F24">
              <w:t>”</w:t>
            </w:r>
            <w:r w:rsidR="00C83E0F" w:rsidRPr="00034F24">
              <w:t xml:space="preserve"> apakšpunktā ietverto ap</w:t>
            </w:r>
            <w:r w:rsidRPr="00034F24">
              <w:t>stiprinājumu personas tautībai “latvietis”</w:t>
            </w:r>
            <w:r w:rsidR="00D15D8D" w:rsidRPr="00034F24">
              <w:t xml:space="preserve"> vai “lībietis (līvs)”</w:t>
            </w:r>
            <w:r w:rsidR="00C83E0F" w:rsidRPr="00034F24">
              <w:t>, jo atbilstoši minētajiem Ministru kabineta noteikumiem šāds apstiprinājums nav pamats ziņu par personas tautību iekļaušanai Iedzīvotāju reģistrā.</w:t>
            </w:r>
          </w:p>
          <w:p w:rsidR="00C83E0F" w:rsidRPr="00034F24" w:rsidRDefault="00A904D8" w:rsidP="004A7CFE">
            <w:pPr>
              <w:tabs>
                <w:tab w:val="left" w:pos="0"/>
                <w:tab w:val="left" w:pos="705"/>
                <w:tab w:val="left" w:pos="885"/>
              </w:tabs>
              <w:jc w:val="both"/>
            </w:pPr>
            <w:r w:rsidRPr="00034F24">
              <w:t>Ievērojot minēto, Iedzīvotāju reģistra likumā papildu Ministru kabineta 2009.gada 10.marta noteikumu Nr.225  “Noteikumi par Iedzīvotāju reģistra pirmuzskaites veidlapas paraugu un tās aizpildīšanas kārtību” 14.punktā paredzētajam regulējuma j</w:t>
            </w:r>
            <w:r w:rsidR="007F797A" w:rsidRPr="00034F24">
              <w:t xml:space="preserve">āparedz, ka, </w:t>
            </w:r>
            <w:r w:rsidR="00244635" w:rsidRPr="00034F24">
              <w:t xml:space="preserve">ja personas tautība nav ierakstīta tās vai tiešo augšupējo radinieku (divu paaudžu robežās) personu apliecinošā dokumentā, civilstāvokļa aktu reģistrā vai tiesas spriedumā un persona atzīta par Latvijas pilsoni saskaņā ar Pilsonības likuma 2.panta pirmās daļas 3.punktu, </w:t>
            </w:r>
            <w:r w:rsidR="00D15D8D" w:rsidRPr="00034F24">
              <w:t xml:space="preserve">personas tautību Reģistrā </w:t>
            </w:r>
            <w:r w:rsidR="00D15D8D" w:rsidRPr="00034F24">
              <w:lastRenderedPageBreak/>
              <w:t>iekļauj atbilstoši attiecīgajā lēmumā konstatētajam</w:t>
            </w:r>
            <w:r w:rsidR="00DA0F3C" w:rsidRPr="00034F24">
              <w:t>, proti, vai iesniegts dokuments</w:t>
            </w:r>
            <w:r w:rsidR="00474DEA" w:rsidRPr="00034F24">
              <w:t>, kas apliecina</w:t>
            </w:r>
            <w:r w:rsidR="00DA0F3C" w:rsidRPr="00034F24">
              <w:t xml:space="preserve"> piederību latviešiem vai lībiešiem (līviem)</w:t>
            </w:r>
            <w:r w:rsidR="00244635" w:rsidRPr="00034F24">
              <w:t>.</w:t>
            </w:r>
          </w:p>
          <w:p w:rsidR="004A657E" w:rsidRPr="00034F24" w:rsidRDefault="00622FCF" w:rsidP="004A7CFE">
            <w:pPr>
              <w:tabs>
                <w:tab w:val="left" w:pos="0"/>
                <w:tab w:val="left" w:pos="705"/>
                <w:tab w:val="left" w:pos="885"/>
              </w:tabs>
              <w:jc w:val="both"/>
            </w:pPr>
            <w:r w:rsidRPr="00034F24">
              <w:t>Likumprojektā paredzēts iekļaut Ministru kabineta 2009.gada 10.marta noteikumu Nr.225  “Noteikumi par Iedzīvotāju reģistra pirmuzskaites veidlapas paraugu un tās aizpildīšanas kārtību” 14.punktā ietverto regulējumu precizējot kādos dokumentos tautība varētu būt noteikta ievērojot Vārda, uzvārda un tautības ieraksta maiņas likumā norādītos dokumentus –</w:t>
            </w:r>
            <w:r w:rsidR="004A657E" w:rsidRPr="00034F24">
              <w:t xml:space="preserve"> izrakstus no</w:t>
            </w:r>
            <w:r w:rsidRPr="00034F24">
              <w:t xml:space="preserve"> civilstāvokļa reģistr</w:t>
            </w:r>
            <w:r w:rsidR="004A657E" w:rsidRPr="00034F24">
              <w:t>iem</w:t>
            </w:r>
            <w:r w:rsidRPr="00034F24">
              <w:t xml:space="preserve"> (dzimšanas, laul</w:t>
            </w:r>
            <w:r w:rsidR="004A657E" w:rsidRPr="00034F24">
              <w:t>ību).</w:t>
            </w:r>
            <w:r w:rsidRPr="00034F24">
              <w:t xml:space="preserve"> </w:t>
            </w:r>
            <w:r w:rsidR="004A657E" w:rsidRPr="00034F24">
              <w:t>Ievērojot minēto, tautības ieraksts varētu būt norādīts laulību apliecībā, dzimšanas apliecībā. Attiecībā uz personu apliecinošiem dokumentiem un tiesas spriedumiem, norādāms, ka šādi dokumenti norādīti ņemot vērā Pilsonības un migrācijas lietu pārvaldes ikdienas darbā konstatēto, kādi dokumenti visbiežāk tiek uzrādīti.</w:t>
            </w:r>
          </w:p>
          <w:p w:rsidR="00C83E0F" w:rsidRPr="00034F24" w:rsidRDefault="00C83E0F" w:rsidP="004E464A">
            <w:pPr>
              <w:tabs>
                <w:tab w:val="left" w:pos="0"/>
                <w:tab w:val="left" w:pos="705"/>
                <w:tab w:val="left" w:pos="885"/>
              </w:tabs>
              <w:ind w:right="174"/>
              <w:jc w:val="both"/>
            </w:pPr>
          </w:p>
          <w:p w:rsidR="00D47344" w:rsidRPr="00034F24" w:rsidRDefault="00D47344" w:rsidP="004A7CFE">
            <w:pPr>
              <w:tabs>
                <w:tab w:val="left" w:pos="0"/>
                <w:tab w:val="left" w:pos="705"/>
                <w:tab w:val="left" w:pos="885"/>
              </w:tabs>
              <w:jc w:val="both"/>
            </w:pPr>
            <w:r w:rsidRPr="00034F24">
              <w:t xml:space="preserve">Saskaņā ar Pilsonības likuma 2.panta otrās daļas 2.punktu gribu reģistrēt bērnu par Latvijas pilsoni saskaņā ar šā panta pirmo daļu pauž </w:t>
            </w:r>
            <w:r w:rsidR="00BF7455" w:rsidRPr="00034F24">
              <w:t>nepilngadīgais</w:t>
            </w:r>
            <w:r w:rsidRPr="00034F24">
              <w:t xml:space="preserve"> bērns vecumā no 15 līdz 18 gadiem. Savukārt Iedzīvotāju reģistra likuma 15.panta pirmajā daļā noteikts, ka šā likuma </w:t>
            </w:r>
            <w:hyperlink r:id="rId19" w:anchor="p3" w:tgtFrame="_blank" w:history="1">
              <w:r w:rsidRPr="00034F24">
                <w:t>3.pantā</w:t>
              </w:r>
            </w:hyperlink>
            <w:r w:rsidRPr="00034F24">
              <w:t xml:space="preserve"> minēto personu pienākums ir sniegt Pilsonības un migrācijas lietu pārvaldei ziņas par sevi iekļaušanai Iedzīvotāju reģistrā. Ziņas par personām, kas jaunākas par 18 gadiem vai atrodas ārpusģimenes aprūpē vai aizgādnībā, Pilsonības un migrācijas lietu pārvaldei sniedz attiecīgo personu likumiskie pārstāvji. Personām, kurām ierobežota rīcībspēja, ir tiesības sniegt Pilsonības un migrācijas lietu pārvaldei ziņas par sevi iekļaušanai Iedzīvotāju reģistrā.</w:t>
            </w:r>
          </w:p>
          <w:p w:rsidR="00D47344" w:rsidRPr="00D845F1" w:rsidRDefault="00D47344" w:rsidP="004A7CFE">
            <w:pPr>
              <w:tabs>
                <w:tab w:val="left" w:pos="0"/>
                <w:tab w:val="left" w:pos="705"/>
                <w:tab w:val="left" w:pos="885"/>
              </w:tabs>
              <w:jc w:val="both"/>
            </w:pPr>
            <w:r w:rsidRPr="00034F24">
              <w:t xml:space="preserve">Ievērojot minēto, konstatējams, ka </w:t>
            </w:r>
            <w:r w:rsidR="00332051" w:rsidRPr="00034F24">
              <w:t>nepilngadīgā bērna vecumā</w:t>
            </w:r>
            <w:r w:rsidRPr="00034F24">
              <w:t xml:space="preserve"> no 15 līdz 18 gadiem</w:t>
            </w:r>
            <w:r w:rsidR="00332051" w:rsidRPr="00034F24">
              <w:t>, pienākums ir pašam</w:t>
            </w:r>
            <w:r w:rsidRPr="00034F24">
              <w:t xml:space="preserve"> izteikt gribu par Latvijas pilsonības reģistrēšanu, savukārt, lai </w:t>
            </w:r>
            <w:r w:rsidR="00B35D1A" w:rsidRPr="00034F24">
              <w:t>sniegtu</w:t>
            </w:r>
            <w:r w:rsidRPr="00034F24">
              <w:t xml:space="preserve"> ziņas par </w:t>
            </w:r>
            <w:r w:rsidR="00B35D1A" w:rsidRPr="00034F24">
              <w:t xml:space="preserve">sevi iekļaušanai </w:t>
            </w:r>
            <w:r w:rsidRPr="00034F24">
              <w:t>Iedzīvotāju reģistrā, ir nepieciešama likumiskā pārstāvja izteiktā griba. Šāda kārtība rada administratīvo slogu un ir pārlieku birokrātiska. Līdz ar to nepiecie</w:t>
            </w:r>
            <w:r w:rsidR="001D2686" w:rsidRPr="00034F24">
              <w:t>šams pa</w:t>
            </w:r>
            <w:r w:rsidRPr="00034F24">
              <w:t xml:space="preserve">redzēt, ka </w:t>
            </w:r>
            <w:r w:rsidR="00332051" w:rsidRPr="00034F24">
              <w:t xml:space="preserve">nepilngadīgais bērns </w:t>
            </w:r>
            <w:r w:rsidRPr="00034F24">
              <w:t>vecum</w:t>
            </w:r>
            <w:r w:rsidR="00332051" w:rsidRPr="00034F24">
              <w:t>ā</w:t>
            </w:r>
            <w:r w:rsidRPr="00034F24">
              <w:t xml:space="preserve"> no 15 līdz 18 </w:t>
            </w:r>
            <w:r w:rsidRPr="00D845F1">
              <w:t>gadiem</w:t>
            </w:r>
            <w:r w:rsidR="00C914ED" w:rsidRPr="00D845F1">
              <w:t xml:space="preserve"> (neieskaitot)</w:t>
            </w:r>
            <w:r w:rsidR="001D2686" w:rsidRPr="00D845F1">
              <w:t>,</w:t>
            </w:r>
            <w:r w:rsidRPr="00D845F1">
              <w:t xml:space="preserve"> ir tiesī</w:t>
            </w:r>
            <w:r w:rsidR="00332051" w:rsidRPr="00D845F1">
              <w:t>gs</w:t>
            </w:r>
            <w:r w:rsidRPr="00D845F1">
              <w:t xml:space="preserve"> sniegt Pilsonības un migrācijas lietu pārvaldei ziņas par sevi iekļaušanai Iedzīvotāju reģistrā.</w:t>
            </w:r>
          </w:p>
          <w:p w:rsidR="001D2686" w:rsidRPr="00D845F1" w:rsidRDefault="001D2686" w:rsidP="004A7CFE">
            <w:pPr>
              <w:tabs>
                <w:tab w:val="left" w:pos="0"/>
                <w:tab w:val="left" w:pos="705"/>
                <w:tab w:val="left" w:pos="885"/>
              </w:tabs>
              <w:jc w:val="both"/>
            </w:pPr>
          </w:p>
          <w:p w:rsidR="00454538" w:rsidRDefault="00D20F37" w:rsidP="00332051">
            <w:pPr>
              <w:tabs>
                <w:tab w:val="left" w:pos="0"/>
                <w:tab w:val="left" w:pos="705"/>
                <w:tab w:val="left" w:pos="885"/>
              </w:tabs>
              <w:jc w:val="both"/>
            </w:pPr>
            <w:r w:rsidRPr="00D845F1">
              <w:t>Tāpat</w:t>
            </w:r>
            <w:r w:rsidR="0063202D" w:rsidRPr="00D845F1">
              <w:t xml:space="preserve">, lai mazinātu administratīvo slogu, </w:t>
            </w:r>
            <w:r w:rsidRPr="00D845F1">
              <w:t xml:space="preserve">būtu nosakāms, ka </w:t>
            </w:r>
            <w:r w:rsidR="00332051" w:rsidRPr="00D845F1">
              <w:t>nepilngadīgais bērns vecumā</w:t>
            </w:r>
            <w:r w:rsidRPr="00D845F1">
              <w:t xml:space="preserve"> no 15 līdz 18 gadiem</w:t>
            </w:r>
            <w:r w:rsidR="00C914ED" w:rsidRPr="00D845F1">
              <w:t xml:space="preserve"> (neieskaitot)</w:t>
            </w:r>
            <w:r w:rsidRPr="00D845F1">
              <w:t>, ir tiesī</w:t>
            </w:r>
            <w:r w:rsidR="00332051" w:rsidRPr="00D845F1">
              <w:t xml:space="preserve">gs </w:t>
            </w:r>
            <w:r w:rsidRPr="00D845F1">
              <w:t>sniegt Pilsonības</w:t>
            </w:r>
            <w:r w:rsidRPr="00034F24">
              <w:t xml:space="preserve"> un migrācijas lietu pārvaldei ziņas par</w:t>
            </w:r>
            <w:r w:rsidR="00A75301" w:rsidRPr="00034F24">
              <w:t xml:space="preserve"> savu datu</w:t>
            </w:r>
            <w:r w:rsidRPr="00034F24">
              <w:t xml:space="preserve"> izmaiņām, kas izdarītas ārvalstu</w:t>
            </w:r>
            <w:r w:rsidR="00A75301" w:rsidRPr="00034F24">
              <w:t xml:space="preserve"> </w:t>
            </w:r>
            <w:r w:rsidRPr="00034F24">
              <w:t>institūcijās, Iedzīvotāju reģistrā iekļauto ziņu aktualizēšanai.</w:t>
            </w:r>
            <w:r w:rsidR="00454538" w:rsidRPr="00034F24">
              <w:t xml:space="preserve"> </w:t>
            </w:r>
          </w:p>
          <w:p w:rsidR="00741AE5" w:rsidRDefault="00741AE5" w:rsidP="00332051">
            <w:pPr>
              <w:tabs>
                <w:tab w:val="left" w:pos="0"/>
                <w:tab w:val="left" w:pos="705"/>
                <w:tab w:val="left" w:pos="885"/>
              </w:tabs>
              <w:jc w:val="both"/>
            </w:pPr>
          </w:p>
          <w:p w:rsidR="00741AE5" w:rsidRPr="00C914ED" w:rsidRDefault="00741AE5" w:rsidP="00332051">
            <w:pPr>
              <w:tabs>
                <w:tab w:val="left" w:pos="0"/>
                <w:tab w:val="left" w:pos="705"/>
                <w:tab w:val="left" w:pos="885"/>
              </w:tabs>
              <w:jc w:val="both"/>
            </w:pPr>
            <w:r w:rsidRPr="00C914ED">
              <w:t>Iedzīvotāju reģistra likumā tiek saglabāts nepilngadīgo bērnu vecuma pieraksts “no 15 līdz 18 gadiem”</w:t>
            </w:r>
            <w:r w:rsidR="00BD27CB" w:rsidRPr="00C914ED">
              <w:t xml:space="preserve"> normās, kas </w:t>
            </w:r>
            <w:r w:rsidR="00BD27CB" w:rsidRPr="00C914ED">
              <w:lastRenderedPageBreak/>
              <w:t>nosaka šādu personu tiesības vērsties iestādē</w:t>
            </w:r>
            <w:r w:rsidRPr="00C914ED">
              <w:t xml:space="preserve">, ievērojot Administratīvā procesa likumā lietoto terminoloģiju, tas ir, </w:t>
            </w:r>
            <w:r w:rsidR="00BD27CB" w:rsidRPr="00C914ED">
              <w:t>ka tās fiziskās personas procesuālās tiesības, kura sasniegusi vecumu no 15 līdz 18 gadiem, īsteno šīs personas likumiskais pārstāvis. Šādās lietās iestāde vai tiesa uzaicina piedalīties arī attiecīgo nepilngadīgo personu (21.panta trešā daļa).</w:t>
            </w:r>
          </w:p>
          <w:p w:rsidR="00332051" w:rsidRDefault="00332051" w:rsidP="00332051">
            <w:pPr>
              <w:tabs>
                <w:tab w:val="left" w:pos="0"/>
                <w:tab w:val="left" w:pos="705"/>
                <w:tab w:val="left" w:pos="885"/>
              </w:tabs>
              <w:jc w:val="both"/>
              <w:rPr>
                <w:szCs w:val="28"/>
              </w:rPr>
            </w:pPr>
          </w:p>
          <w:p w:rsidR="00982899" w:rsidRPr="00C914ED" w:rsidRDefault="00982899" w:rsidP="00982899">
            <w:pPr>
              <w:jc w:val="both"/>
              <w:rPr>
                <w:rFonts w:eastAsia="Calibri"/>
              </w:rPr>
            </w:pPr>
            <w:r w:rsidRPr="00C914ED">
              <w:t xml:space="preserve">Iedzīvotāju reģistra likuma 15.panta otrajā daļā norādītais pienākums informēt Pilsonības un migrācijas lietu pārvaldi par dzīvesvietas adresi ārvalstī attiecas tikai uz Latvijas valstspiederīgajiem, jo attiecībā uz ārzemniekiem, kuriem izsniegta uzturēšanās atļauja attiecas Imigrācijas likuma 39.panta otrā daļa, tas ir, ka ārzemniekam ir pienākums triju darbdienu laikā rakstveidā informēt Pilsonības un migrācijas lietu pārvaldi par izmaiņām uzturēšanās atļaujas pieprasīšanai sniegtajās ziņās.  Ministru kabineta 2010.gada 21.jūnija noteikumu Nr.564 “Uzturēšanās atļauju noteikumi” 28.1.apakšpunktā noteikts, ka ārzemnieks, kas vēlas pieprasīt uzturēšanās atļauju, uzrāda derīgu ceļošanas dokumentu un iesniedz aizpildītu noteikta parauga anketu uzturēšanās atļaujas pieprasīšanai. Minētās anketas II sadaļā “Personīgie dati” 15.punktā jānorāda dzīvesvietas adrese. Tādējādi, ievērojot Imigrācijas likuma 39.panta otrajā daļā noteikto, ārzemniekam jāinformē Pilsonības un migrācijas lietu pārvalde par anketā norādītās adreses izmaiņām triju darbdienu laikā.  </w:t>
            </w:r>
          </w:p>
          <w:p w:rsidR="00982899" w:rsidRPr="00034F24" w:rsidRDefault="00982899" w:rsidP="00332051">
            <w:pPr>
              <w:tabs>
                <w:tab w:val="left" w:pos="0"/>
                <w:tab w:val="left" w:pos="705"/>
                <w:tab w:val="left" w:pos="885"/>
              </w:tabs>
              <w:jc w:val="both"/>
              <w:rPr>
                <w:szCs w:val="28"/>
              </w:rPr>
            </w:pPr>
          </w:p>
          <w:p w:rsidR="00332051" w:rsidRPr="00034F24" w:rsidRDefault="00332051" w:rsidP="00332051">
            <w:pPr>
              <w:tabs>
                <w:tab w:val="left" w:pos="0"/>
                <w:tab w:val="left" w:pos="705"/>
                <w:tab w:val="left" w:pos="885"/>
              </w:tabs>
              <w:jc w:val="both"/>
            </w:pPr>
            <w:r w:rsidRPr="00034F24">
              <w:rPr>
                <w:szCs w:val="28"/>
              </w:rPr>
              <w:t xml:space="preserve">Arvien biežāk Pilsonības un migrācijas lietu pārvaldei nākas saskarties ar dažādu Iedzīvotāju reģistra likuma 15.panta otrās daļas interpretāciju, proti, vai nosacījums par uzturēšanos ārpus Latvijas ilgāk par sešiem mēnešiem attiecas tikai uz ārvalsts dzīvesvietas adreses paziņošanu vai arī uz visām pārējām izmaiņām, kas izdarītas ārvalstu institūcijās. Lai novērstu tiesisko neskaidrību nepieciešams izslēgt nosacījumu par uzturēšanās laiku ārvalstīs un precizēt minēto normu nosakot, ka Iedzīvotāju reģistra likuma </w:t>
            </w:r>
            <w:hyperlink r:id="rId20" w:anchor="p3" w:tgtFrame="_blank" w:history="1">
              <w:r w:rsidRPr="00034F24">
                <w:rPr>
                  <w:rStyle w:val="Hyperlink"/>
                  <w:color w:val="auto"/>
                  <w:szCs w:val="28"/>
                  <w:u w:val="none"/>
                </w:rPr>
                <w:t>3.pant</w:t>
              </w:r>
            </w:hyperlink>
            <w:r w:rsidRPr="00034F24">
              <w:rPr>
                <w:szCs w:val="28"/>
              </w:rPr>
              <w:t xml:space="preserve">a 1.punktā minēto personu pienākums ir paziņot Pārvaldei savas dzīvesvietas adresi ārvalstīs, kā arī citas izmaiņas Iedzīvotāju reģistrā iekļautajās ziņās par sevi, saviem bērniem, kas jaunāki par 18 gadiem, un par personām, kas atrodas tās aizbildnībā vai aizgādnībā (ar Latvijas konsulārās vai diplomātiskās pārstāvniecības starpniecību), ja šīs izmaiņas izdarītas ārvalstu institūcijās. Minētā ierobežojuma izslēgšana nepieciešama arī, lai nodrošinātu savlaicīgu ziņu aktualizēšanu un aktuālo ziņu pieejamību. Turklāt atbilstoši Dzīvesvietas deklarēšanas likumā noteiktajai pieejai personai par jauno dzīvesvietas adresi jāpaziņo mēneša laikā kopš tā dzīvo jaunajā dzīvesvietā. Savukārt Ministru kabineta 2011.gada 15.februāra noteikumu Nr.131 “Iedzīvotāju reģistrā iekļauto </w:t>
            </w:r>
            <w:r w:rsidRPr="00034F24">
              <w:rPr>
                <w:szCs w:val="28"/>
              </w:rPr>
              <w:lastRenderedPageBreak/>
              <w:t>ziņu aktualizēšanas kārtība” 30.punktā noteikts, ka par izmaiņām Iedzīvotāju reģistrā iekļautajās ziņās, ja ziņas mainījušās un attiecīgais fakts reģistrēts ārvalsts institūcijā un par dzīvesvietas adresi ārvalstī persona vai tās likumiskais pārstāvis sniedz ziņas Pilsonības un migrācijas lietu pārvaldē 30 dienu laikā pēc Iedzīvotāju reģistrā iekļauto ziņu maiņas vai pēc tam, kad attiecīgās ziņas viņai ir kļuvušas zināmas. Latvijas pilsonis un Latvijas nepilsonis vai tā likumiskais pārstāvis šajā punktā minētajos gadījumos var sniegt ziņas Latvijas Republikas diplomātiskajā vai konsulārajā pārstāvniecībā ārvalstīs 30 dienu laikā pēc Iedzīvotāju reģistrā iekļauto ziņu maiņas vai pēc tam, kad attiecīgās ziņas viņam ir kļuvušas zināmas.</w:t>
            </w:r>
          </w:p>
        </w:tc>
      </w:tr>
      <w:tr w:rsidR="003A286D" w:rsidRPr="00034F24" w:rsidTr="005801BE">
        <w:trPr>
          <w:trHeight w:val="579"/>
          <w:tblCellSpacing w:w="15" w:type="dxa"/>
        </w:trPr>
        <w:tc>
          <w:tcPr>
            <w:tcW w:w="647" w:type="dxa"/>
            <w:tcBorders>
              <w:top w:val="outset" w:sz="6" w:space="0" w:color="auto"/>
              <w:left w:val="outset" w:sz="6" w:space="0" w:color="auto"/>
              <w:bottom w:val="outset" w:sz="6" w:space="0" w:color="auto"/>
              <w:right w:val="outset" w:sz="6" w:space="0" w:color="auto"/>
            </w:tcBorders>
          </w:tcPr>
          <w:p w:rsidR="003A286D" w:rsidRPr="00034F24" w:rsidRDefault="003A286D" w:rsidP="00446662">
            <w:pPr>
              <w:spacing w:before="100" w:beforeAutospacing="1" w:after="100" w:afterAutospacing="1" w:line="360" w:lineRule="auto"/>
              <w:ind w:firstLine="300"/>
              <w:jc w:val="center"/>
            </w:pPr>
            <w:r w:rsidRPr="00034F24">
              <w:lastRenderedPageBreak/>
              <w:t>3.</w:t>
            </w:r>
          </w:p>
        </w:tc>
        <w:tc>
          <w:tcPr>
            <w:tcW w:w="2765" w:type="dxa"/>
            <w:tcBorders>
              <w:top w:val="outset" w:sz="6" w:space="0" w:color="auto"/>
              <w:left w:val="outset" w:sz="6" w:space="0" w:color="auto"/>
              <w:bottom w:val="outset" w:sz="6" w:space="0" w:color="auto"/>
              <w:right w:val="outset" w:sz="6" w:space="0" w:color="auto"/>
            </w:tcBorders>
          </w:tcPr>
          <w:p w:rsidR="003A286D" w:rsidRPr="00034F24" w:rsidRDefault="003A286D" w:rsidP="00446662">
            <w:r w:rsidRPr="00034F24">
              <w:t>Projekta izstrādē iesaistītās institūcijas</w:t>
            </w:r>
          </w:p>
        </w:tc>
        <w:tc>
          <w:tcPr>
            <w:tcW w:w="5894" w:type="dxa"/>
            <w:tcBorders>
              <w:top w:val="outset" w:sz="6" w:space="0" w:color="auto"/>
              <w:left w:val="outset" w:sz="6" w:space="0" w:color="auto"/>
              <w:bottom w:val="outset" w:sz="6" w:space="0" w:color="auto"/>
              <w:right w:val="outset" w:sz="6" w:space="0" w:color="auto"/>
            </w:tcBorders>
          </w:tcPr>
          <w:p w:rsidR="003A286D" w:rsidRPr="00034F24" w:rsidRDefault="003A286D" w:rsidP="00446662">
            <w:r w:rsidRPr="00034F24">
              <w:t>Pilsonības un migrācijas lietu pārvalde.</w:t>
            </w:r>
          </w:p>
        </w:tc>
      </w:tr>
      <w:tr w:rsidR="003A286D" w:rsidRPr="00034F24" w:rsidTr="005801BE">
        <w:trPr>
          <w:trHeight w:val="266"/>
          <w:tblCellSpacing w:w="15" w:type="dxa"/>
        </w:trPr>
        <w:tc>
          <w:tcPr>
            <w:tcW w:w="647" w:type="dxa"/>
            <w:tcBorders>
              <w:top w:val="outset" w:sz="6" w:space="0" w:color="auto"/>
              <w:left w:val="outset" w:sz="6" w:space="0" w:color="auto"/>
              <w:bottom w:val="outset" w:sz="6" w:space="0" w:color="auto"/>
              <w:right w:val="outset" w:sz="6" w:space="0" w:color="auto"/>
            </w:tcBorders>
          </w:tcPr>
          <w:p w:rsidR="003A286D" w:rsidRPr="00034F24" w:rsidRDefault="003A286D" w:rsidP="00446662">
            <w:pPr>
              <w:spacing w:before="100" w:beforeAutospacing="1" w:after="100" w:afterAutospacing="1" w:line="360" w:lineRule="auto"/>
              <w:ind w:firstLine="300"/>
              <w:jc w:val="center"/>
            </w:pPr>
            <w:r w:rsidRPr="00034F24">
              <w:t>4.</w:t>
            </w:r>
          </w:p>
        </w:tc>
        <w:tc>
          <w:tcPr>
            <w:tcW w:w="2765" w:type="dxa"/>
            <w:tcBorders>
              <w:top w:val="outset" w:sz="6" w:space="0" w:color="auto"/>
              <w:left w:val="outset" w:sz="6" w:space="0" w:color="auto"/>
              <w:bottom w:val="outset" w:sz="6" w:space="0" w:color="auto"/>
              <w:right w:val="outset" w:sz="6" w:space="0" w:color="auto"/>
            </w:tcBorders>
          </w:tcPr>
          <w:p w:rsidR="003A286D" w:rsidRPr="00034F24" w:rsidRDefault="003A286D" w:rsidP="00446662">
            <w:r w:rsidRPr="00034F24">
              <w:t>Cita informācija</w:t>
            </w:r>
          </w:p>
        </w:tc>
        <w:tc>
          <w:tcPr>
            <w:tcW w:w="5894" w:type="dxa"/>
            <w:tcBorders>
              <w:top w:val="outset" w:sz="6" w:space="0" w:color="auto"/>
              <w:left w:val="outset" w:sz="6" w:space="0" w:color="auto"/>
              <w:bottom w:val="outset" w:sz="6" w:space="0" w:color="auto"/>
              <w:right w:val="outset" w:sz="6" w:space="0" w:color="auto"/>
            </w:tcBorders>
          </w:tcPr>
          <w:p w:rsidR="003A286D" w:rsidRPr="00034F24" w:rsidRDefault="003A286D" w:rsidP="00446662">
            <w:pPr>
              <w:spacing w:before="100" w:beforeAutospacing="1" w:after="100" w:afterAutospacing="1" w:line="360" w:lineRule="auto"/>
            </w:pPr>
            <w:r w:rsidRPr="00034F24">
              <w:t>Nav</w:t>
            </w:r>
          </w:p>
        </w:tc>
      </w:tr>
    </w:tbl>
    <w:p w:rsidR="003A286D" w:rsidRPr="00034F24" w:rsidRDefault="003A286D" w:rsidP="003A286D">
      <w:pPr>
        <w:spacing w:line="360" w:lineRule="auto"/>
        <w:rPr>
          <w:rFonts w:ascii="Arial" w:hAnsi="Arial" w:cs="Arial"/>
          <w:color w:val="414142"/>
          <w:sz w:val="20"/>
          <w:szCs w:val="20"/>
        </w:rPr>
      </w:pPr>
    </w:p>
    <w:tbl>
      <w:tblPr>
        <w:tblW w:w="9431" w:type="dxa"/>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495"/>
        <w:gridCol w:w="2813"/>
        <w:gridCol w:w="6123"/>
      </w:tblGrid>
      <w:tr w:rsidR="005C709E" w:rsidRPr="00034F24" w:rsidTr="00446662">
        <w:trPr>
          <w:trHeight w:val="746"/>
          <w:tblCellSpacing w:w="15" w:type="dxa"/>
        </w:trPr>
        <w:tc>
          <w:tcPr>
            <w:tcW w:w="9371" w:type="dxa"/>
            <w:gridSpan w:val="3"/>
            <w:tcBorders>
              <w:top w:val="outset" w:sz="6" w:space="0" w:color="auto"/>
              <w:left w:val="outset" w:sz="6" w:space="0" w:color="auto"/>
              <w:bottom w:val="outset" w:sz="6" w:space="0" w:color="auto"/>
              <w:right w:val="outset" w:sz="6" w:space="0" w:color="auto"/>
            </w:tcBorders>
            <w:vAlign w:val="center"/>
          </w:tcPr>
          <w:p w:rsidR="005C709E" w:rsidRPr="00034F24" w:rsidRDefault="005C709E" w:rsidP="00446662">
            <w:pPr>
              <w:jc w:val="center"/>
              <w:rPr>
                <w:b/>
                <w:bCs/>
              </w:rPr>
            </w:pPr>
            <w:r w:rsidRPr="00034F24">
              <w:rPr>
                <w:b/>
                <w:bCs/>
              </w:rPr>
              <w:t>II. Tiesību akta projekta ietekme uz sabiedrību, tautsaimniecības attīstību un administratīvo slogu</w:t>
            </w:r>
          </w:p>
        </w:tc>
      </w:tr>
      <w:tr w:rsidR="005C709E" w:rsidRPr="00034F24" w:rsidTr="00446662">
        <w:trPr>
          <w:trHeight w:val="465"/>
          <w:tblCellSpacing w:w="15" w:type="dxa"/>
        </w:trPr>
        <w:tc>
          <w:tcPr>
            <w:tcW w:w="450" w:type="dxa"/>
            <w:tcBorders>
              <w:top w:val="outset" w:sz="6" w:space="0" w:color="auto"/>
              <w:left w:val="outset" w:sz="6" w:space="0" w:color="auto"/>
              <w:bottom w:val="outset" w:sz="6" w:space="0" w:color="auto"/>
              <w:right w:val="outset" w:sz="6" w:space="0" w:color="auto"/>
            </w:tcBorders>
          </w:tcPr>
          <w:p w:rsidR="005C709E" w:rsidRPr="00034F24" w:rsidRDefault="005C709E" w:rsidP="00446662">
            <w:r w:rsidRPr="00034F24">
              <w:t>1.</w:t>
            </w:r>
          </w:p>
        </w:tc>
        <w:tc>
          <w:tcPr>
            <w:tcW w:w="2783" w:type="dxa"/>
            <w:tcBorders>
              <w:top w:val="outset" w:sz="6" w:space="0" w:color="auto"/>
              <w:left w:val="outset" w:sz="6" w:space="0" w:color="auto"/>
              <w:bottom w:val="outset" w:sz="6" w:space="0" w:color="auto"/>
              <w:right w:val="outset" w:sz="6" w:space="0" w:color="auto"/>
            </w:tcBorders>
          </w:tcPr>
          <w:p w:rsidR="005C709E" w:rsidRPr="00034F24" w:rsidRDefault="005C709E" w:rsidP="00446662">
            <w:r w:rsidRPr="00034F24">
              <w:t>Sabiedrības mērķgrupas, kuras tiesiskais regulējums ietekmē vai varētu ietekmēt</w:t>
            </w:r>
          </w:p>
        </w:tc>
        <w:tc>
          <w:tcPr>
            <w:tcW w:w="6078" w:type="dxa"/>
            <w:tcBorders>
              <w:top w:val="outset" w:sz="6" w:space="0" w:color="auto"/>
              <w:left w:val="outset" w:sz="6" w:space="0" w:color="auto"/>
              <w:bottom w:val="outset" w:sz="6" w:space="0" w:color="auto"/>
              <w:right w:val="outset" w:sz="6" w:space="0" w:color="auto"/>
            </w:tcBorders>
          </w:tcPr>
          <w:p w:rsidR="005C709E" w:rsidRPr="00034F24" w:rsidRDefault="005C709E" w:rsidP="00446662">
            <w:pPr>
              <w:ind w:left="58"/>
              <w:jc w:val="both"/>
            </w:pPr>
            <w:r w:rsidRPr="00034F24">
              <w:t>Likumprojektā ietvertais regulējums:</w:t>
            </w:r>
          </w:p>
          <w:p w:rsidR="005C709E" w:rsidRPr="00034F24" w:rsidRDefault="005C709E" w:rsidP="00446662">
            <w:pPr>
              <w:ind w:left="58"/>
              <w:jc w:val="both"/>
            </w:pPr>
            <w:r w:rsidRPr="00034F24">
              <w:t xml:space="preserve">1) attiecībā uz nepieciešamību ārzemniekam uzrādīt dokumentu par tautību “latvietis” vai „lībietis (līvs)” var skart aptuveni 87 personas gadā (2015.gada statistika);  </w:t>
            </w:r>
          </w:p>
          <w:p w:rsidR="005C709E" w:rsidRPr="00034F24" w:rsidRDefault="005C709E" w:rsidP="00446662">
            <w:pPr>
              <w:ind w:left="58"/>
              <w:jc w:val="both"/>
            </w:pPr>
            <w:r w:rsidRPr="00034F24">
              <w:t>2) attiecībā uz ziņu par personas oficiālās elektroniskās adreses kontu skar personas vecumā no 14 gadiem. Mērķgrupas aptuvenais skaitliskais lielums 1 954 664 (dati uz 2016.gada 7.novembri);</w:t>
            </w:r>
          </w:p>
          <w:p w:rsidR="005C709E" w:rsidRPr="00034F24" w:rsidRDefault="005C709E" w:rsidP="00446662">
            <w:pPr>
              <w:ind w:left="58"/>
              <w:jc w:val="both"/>
            </w:pPr>
            <w:r w:rsidRPr="00034F24">
              <w:t>3) par kārtību kādā iekļaujamas ziņas par personas tautību var skart aptuveni 29 114 Latvijas pilsoņu un nepilsoņu gadā (2015.gada statistika);</w:t>
            </w:r>
          </w:p>
          <w:p w:rsidR="005C709E" w:rsidRPr="00034F24" w:rsidRDefault="005C709E" w:rsidP="00446662">
            <w:pPr>
              <w:ind w:left="58"/>
              <w:jc w:val="both"/>
            </w:pPr>
            <w:r w:rsidRPr="00034F24">
              <w:t xml:space="preserve">4) par personu vecumā no 15 līdz 18 gadiem tiesībām iesniegt dokumentus ziņu iekļaušanai un aktualizēšanai Iedzīvotāju reģistrā var skart aptuveni 861 personu (2015.gada </w:t>
            </w:r>
            <w:r w:rsidR="00353964" w:rsidRPr="00034F24">
              <w:t>statistika);</w:t>
            </w:r>
          </w:p>
          <w:p w:rsidR="00353964" w:rsidRPr="00034F24" w:rsidRDefault="00353964" w:rsidP="00446662">
            <w:pPr>
              <w:ind w:left="58"/>
              <w:jc w:val="both"/>
            </w:pPr>
            <w:r w:rsidRPr="00034F24">
              <w:t>5) attiecībā uz statusa maiņu no “aktīvs” uz “pasīvs” personām, kuras sasniegušas 105 gadu vecumu un par kurām nav ziņu par miršanu – 1 500 personas</w:t>
            </w:r>
            <w:r w:rsidR="001354DA" w:rsidRPr="00034F24">
              <w:t xml:space="preserve"> (dati uz 2016.gada 24.novembri)</w:t>
            </w:r>
            <w:r w:rsidRPr="00034F24">
              <w:t>.</w:t>
            </w:r>
          </w:p>
          <w:p w:rsidR="005C709E" w:rsidRPr="00034F24" w:rsidRDefault="005C709E" w:rsidP="00446662">
            <w:pPr>
              <w:ind w:left="58" w:right="84"/>
              <w:jc w:val="both"/>
            </w:pPr>
            <w:r w:rsidRPr="00034F24">
              <w:t>Pilsonības un migrācijas lietu pārvalde.</w:t>
            </w:r>
          </w:p>
        </w:tc>
      </w:tr>
      <w:tr w:rsidR="005C709E" w:rsidRPr="00034F24" w:rsidTr="00353964">
        <w:trPr>
          <w:trHeight w:val="394"/>
          <w:tblCellSpacing w:w="15" w:type="dxa"/>
        </w:trPr>
        <w:tc>
          <w:tcPr>
            <w:tcW w:w="450" w:type="dxa"/>
            <w:tcBorders>
              <w:top w:val="outset" w:sz="6" w:space="0" w:color="auto"/>
              <w:left w:val="outset" w:sz="6" w:space="0" w:color="auto"/>
              <w:bottom w:val="outset" w:sz="6" w:space="0" w:color="auto"/>
              <w:right w:val="outset" w:sz="6" w:space="0" w:color="auto"/>
            </w:tcBorders>
          </w:tcPr>
          <w:p w:rsidR="005C709E" w:rsidRPr="00034F24" w:rsidRDefault="005C709E" w:rsidP="00446662">
            <w:r w:rsidRPr="00034F24">
              <w:t>2.</w:t>
            </w:r>
          </w:p>
        </w:tc>
        <w:tc>
          <w:tcPr>
            <w:tcW w:w="2783" w:type="dxa"/>
            <w:tcBorders>
              <w:top w:val="outset" w:sz="6" w:space="0" w:color="auto"/>
              <w:left w:val="outset" w:sz="6" w:space="0" w:color="auto"/>
              <w:bottom w:val="outset" w:sz="6" w:space="0" w:color="auto"/>
              <w:right w:val="outset" w:sz="6" w:space="0" w:color="auto"/>
            </w:tcBorders>
          </w:tcPr>
          <w:p w:rsidR="005C709E" w:rsidRPr="00034F24" w:rsidRDefault="005C709E" w:rsidP="00446662">
            <w:r w:rsidRPr="00034F24">
              <w:t>Tiesiskā regulējuma ietekme uz tautsaimniecību un administratīvo slogu</w:t>
            </w:r>
          </w:p>
        </w:tc>
        <w:tc>
          <w:tcPr>
            <w:tcW w:w="6078" w:type="dxa"/>
            <w:tcBorders>
              <w:top w:val="outset" w:sz="6" w:space="0" w:color="auto"/>
              <w:left w:val="outset" w:sz="6" w:space="0" w:color="auto"/>
              <w:bottom w:val="outset" w:sz="6" w:space="0" w:color="auto"/>
              <w:right w:val="outset" w:sz="6" w:space="0" w:color="auto"/>
            </w:tcBorders>
          </w:tcPr>
          <w:p w:rsidR="005C709E" w:rsidRPr="00034F24" w:rsidRDefault="005C709E" w:rsidP="00446662">
            <w:pPr>
              <w:shd w:val="clear" w:color="auto" w:fill="FFFFFF"/>
              <w:jc w:val="both"/>
            </w:pPr>
            <w:r w:rsidRPr="00034F24">
              <w:t>Pilsonības un migrācijas lietu pārvaldei administratīvais slogs paliks nemainīgs, ievērojot to, ka ziņu iekļaušana Iedzīvotāju reģistrā par oficiālās elektroniskās adreses kontu notiks tiešsaistes režīmā, savukārt pārējie likumprojekta grozījumi attiecas uz Pilsonības un migrācijas lietu pārvaldes tiešo funkciju izpildi.</w:t>
            </w:r>
          </w:p>
          <w:p w:rsidR="005C709E" w:rsidRPr="00034F24" w:rsidRDefault="005C709E" w:rsidP="00446662">
            <w:pPr>
              <w:shd w:val="clear" w:color="auto" w:fill="FFFFFF"/>
              <w:jc w:val="both"/>
            </w:pPr>
            <w:r w:rsidRPr="00034F24">
              <w:t xml:space="preserve">Samazināsies administratīvais slogs personu, kuras sasniegušas vecumu no 15 līdz 18 gadiem un vēlas sniegt </w:t>
            </w:r>
            <w:r w:rsidRPr="00034F24">
              <w:lastRenderedPageBreak/>
              <w:t xml:space="preserve">ziņas par sevi iekļaušanai Iedzīvotāju reģistrā vai sniegt ziņas jau iekļauto ziņu aktualizēšanai Iedzīvotāju reģistrā, likumiskiem pārstāvjiem, jo likumiskiem pārstāvjiem nebūs obligāti jāsniedz ziņas Pilsonības un migrācijas lietu pārvaldei gadījumos, kad to bērns vecumā no 15 līdz 18 gadiem jau būs tās sniedzis Pilsonības un migrācijas lietu pārvaldei. </w:t>
            </w:r>
          </w:p>
          <w:p w:rsidR="005C709E" w:rsidRPr="00034F24" w:rsidRDefault="005C709E" w:rsidP="00446662">
            <w:pPr>
              <w:shd w:val="clear" w:color="auto" w:fill="FFFFFF"/>
              <w:jc w:val="both"/>
            </w:pPr>
            <w:r w:rsidRPr="00034F24">
              <w:t xml:space="preserve">Mazliet palielināsies administratīvais slogs ārzemniekiem, kas vēlēsies, lai Iedzīvotāju reģistrā iekļauj ziņas par viņu tautību kā “latvietis” vai “lībietis (līvs)”, jo būs jāuzrāda dokumentārs apliecinājums tam. Tā kā šādu personu skaits nav liels (2015.gadā – 87 personas), dokumenta iesniegšana un izskatīšana (Pilsonības un migrācijas lietu pārvaldei) neaizņem vairāk kā piecas minūtes, tad administratīvais slogs ir niecīgs (nepārsniedz 200 </w:t>
            </w:r>
            <w:r w:rsidRPr="00034F24">
              <w:rPr>
                <w:i/>
              </w:rPr>
              <w:t xml:space="preserve">euro </w:t>
            </w:r>
            <w:r w:rsidRPr="00034F24">
              <w:t>gadā) un netiek aprēķināts.</w:t>
            </w:r>
          </w:p>
          <w:p w:rsidR="00353964" w:rsidRPr="00034F24" w:rsidRDefault="00353964" w:rsidP="006625A6">
            <w:pPr>
              <w:shd w:val="clear" w:color="auto" w:fill="FFFFFF"/>
              <w:jc w:val="both"/>
            </w:pPr>
            <w:r w:rsidRPr="00034F24">
              <w:t>Administratīvo slogu</w:t>
            </w:r>
            <w:r w:rsidR="00B03E72" w:rsidRPr="00034F24">
              <w:t xml:space="preserve"> Pilsonības un migrācijas pārvaldei un</w:t>
            </w:r>
            <w:r w:rsidRPr="00034F24">
              <w:t xml:space="preserve"> personām, kuras sasniegušas 105 gadu vecumu un par kurām nav ziņu par miršanu,</w:t>
            </w:r>
            <w:r w:rsidR="006625A6">
              <w:t xml:space="preserve"> </w:t>
            </w:r>
            <w:r w:rsidR="006625A6" w:rsidRPr="006625A6">
              <w:t xml:space="preserve">kā arī </w:t>
            </w:r>
            <w:r w:rsidR="006625A6">
              <w:t>personām</w:t>
            </w:r>
            <w:r w:rsidR="006625A6" w:rsidRPr="006625A6">
              <w:t>, kura</w:t>
            </w:r>
            <w:r w:rsidR="006625A6">
              <w:t>s</w:t>
            </w:r>
            <w:r w:rsidR="006625A6" w:rsidRPr="006625A6">
              <w:t xml:space="preserve"> nav Latvijas pilso</w:t>
            </w:r>
            <w:r w:rsidR="006625A6">
              <w:t>ņi</w:t>
            </w:r>
            <w:r w:rsidR="006625A6" w:rsidRPr="006625A6">
              <w:t xml:space="preserve"> un pēc 15 gadu vecuma sasniegšanas vairāk kā 5 gadus dzīvo bez derīga personu apliecinoša dokumenta, </w:t>
            </w:r>
            <w:r w:rsidRPr="00034F24">
              <w:t>varēs aprēķināt izstrādājot grozījumus Ministru kabineta 2011.gada 15.februāra noteikumos Nr.131 “Iedzīvotāju reģistrā iekļauto ziņu aktualizēšanas kārtība”, nosakot kārtību kādā minētajām personām tiks aktualizēts statuss no “aktīvs” uz “pasīvs”.</w:t>
            </w:r>
          </w:p>
        </w:tc>
      </w:tr>
      <w:tr w:rsidR="005C709E" w:rsidRPr="00034F24" w:rsidTr="00446662">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tcPr>
          <w:p w:rsidR="005C709E" w:rsidRPr="00034F24" w:rsidRDefault="005C709E" w:rsidP="00446662">
            <w:r w:rsidRPr="00034F24">
              <w:lastRenderedPageBreak/>
              <w:t>3.</w:t>
            </w:r>
          </w:p>
        </w:tc>
        <w:tc>
          <w:tcPr>
            <w:tcW w:w="2783" w:type="dxa"/>
            <w:tcBorders>
              <w:top w:val="outset" w:sz="6" w:space="0" w:color="auto"/>
              <w:left w:val="outset" w:sz="6" w:space="0" w:color="auto"/>
              <w:bottom w:val="outset" w:sz="6" w:space="0" w:color="auto"/>
              <w:right w:val="outset" w:sz="6" w:space="0" w:color="auto"/>
            </w:tcBorders>
          </w:tcPr>
          <w:p w:rsidR="005C709E" w:rsidRPr="00034F24" w:rsidRDefault="005C709E" w:rsidP="00446662">
            <w:r w:rsidRPr="00034F24">
              <w:t>Administratīvo izmaksu monetārs novērtējums</w:t>
            </w:r>
          </w:p>
        </w:tc>
        <w:tc>
          <w:tcPr>
            <w:tcW w:w="6078" w:type="dxa"/>
            <w:tcBorders>
              <w:top w:val="outset" w:sz="6" w:space="0" w:color="auto"/>
              <w:left w:val="outset" w:sz="6" w:space="0" w:color="auto"/>
              <w:bottom w:val="outset" w:sz="6" w:space="0" w:color="auto"/>
              <w:right w:val="outset" w:sz="6" w:space="0" w:color="auto"/>
            </w:tcBorders>
          </w:tcPr>
          <w:p w:rsidR="005C709E" w:rsidRPr="00034F24" w:rsidRDefault="005C709E" w:rsidP="00446662">
            <w:pPr>
              <w:jc w:val="both"/>
            </w:pPr>
            <w:r w:rsidRPr="00034F24">
              <w:t>Līdz šim:</w:t>
            </w:r>
          </w:p>
          <w:p w:rsidR="005C709E" w:rsidRPr="00034F24" w:rsidRDefault="005C709E" w:rsidP="00446662">
            <w:pPr>
              <w:jc w:val="both"/>
            </w:pPr>
            <w:r w:rsidRPr="00034F24">
              <w:t>C</w:t>
            </w:r>
            <w:r w:rsidRPr="00034F24">
              <w:rPr>
                <w:vertAlign w:val="subscript"/>
              </w:rPr>
              <w:t>1</w:t>
            </w:r>
            <w:r w:rsidRPr="00034F24">
              <w:t xml:space="preserve"> (likumiskā pārstāvja nokļūšanai Pilsonības un migrācijas lietu pārvaldē ziņu apliecinoša dokumenta iesniegšanai) = (atalgojums 4,47 </w:t>
            </w:r>
            <w:r w:rsidRPr="00034F24">
              <w:rPr>
                <w:i/>
                <w:iCs/>
              </w:rPr>
              <w:t>euro</w:t>
            </w:r>
            <w:r w:rsidRPr="00034F24">
              <w:t xml:space="preserve">/h x 1h) x 861 (gadījumu gadā) = 3 849 </w:t>
            </w:r>
            <w:r w:rsidRPr="00034F24">
              <w:rPr>
                <w:i/>
                <w:iCs/>
              </w:rPr>
              <w:t>euro</w:t>
            </w:r>
          </w:p>
          <w:p w:rsidR="005C709E" w:rsidRPr="00034F24" w:rsidRDefault="005C709E" w:rsidP="00446662">
            <w:pPr>
              <w:jc w:val="both"/>
              <w:rPr>
                <w:i/>
                <w:iCs/>
              </w:rPr>
            </w:pPr>
            <w:r w:rsidRPr="00034F24">
              <w:t>C</w:t>
            </w:r>
            <w:r w:rsidRPr="00034F24">
              <w:rPr>
                <w:vertAlign w:val="subscript"/>
              </w:rPr>
              <w:t>2</w:t>
            </w:r>
            <w:r w:rsidRPr="00034F24">
              <w:t xml:space="preserve"> (ziņu apliecinoša dokumenta iesniegšana) = (atalgojums 4,47 </w:t>
            </w:r>
            <w:r w:rsidRPr="00034F24">
              <w:rPr>
                <w:i/>
                <w:iCs/>
              </w:rPr>
              <w:t>euro</w:t>
            </w:r>
            <w:r w:rsidRPr="00034F24">
              <w:t xml:space="preserve">/h x 0,5h) x 861 (gadījumu gadā) = 1 924  </w:t>
            </w:r>
            <w:r w:rsidRPr="00034F24">
              <w:rPr>
                <w:i/>
                <w:iCs/>
              </w:rPr>
              <w:t>euro</w:t>
            </w:r>
          </w:p>
          <w:p w:rsidR="005C709E" w:rsidRPr="00034F24" w:rsidRDefault="005C709E" w:rsidP="00446662">
            <w:pPr>
              <w:jc w:val="both"/>
            </w:pPr>
          </w:p>
          <w:p w:rsidR="005C709E" w:rsidRPr="00034F24" w:rsidRDefault="005C709E" w:rsidP="00446662">
            <w:pPr>
              <w:jc w:val="both"/>
              <w:rPr>
                <w:i/>
              </w:rPr>
            </w:pPr>
            <w:r w:rsidRPr="00034F24">
              <w:t>C</w:t>
            </w:r>
            <w:r w:rsidRPr="00034F24">
              <w:rPr>
                <w:vertAlign w:val="subscript"/>
              </w:rPr>
              <w:t>1</w:t>
            </w:r>
            <w:r w:rsidRPr="00034F24">
              <w:t xml:space="preserve"> (kopā) = C</w:t>
            </w:r>
            <w:r w:rsidRPr="00034F24">
              <w:rPr>
                <w:vertAlign w:val="subscript"/>
              </w:rPr>
              <w:t>1</w:t>
            </w:r>
            <w:r w:rsidRPr="00034F24">
              <w:t>+ C</w:t>
            </w:r>
            <w:r w:rsidRPr="00034F24">
              <w:rPr>
                <w:vertAlign w:val="subscript"/>
              </w:rPr>
              <w:t xml:space="preserve">2 </w:t>
            </w:r>
            <w:r w:rsidRPr="00034F24">
              <w:t xml:space="preserve">= 5 773 </w:t>
            </w:r>
            <w:r w:rsidRPr="00034F24">
              <w:rPr>
                <w:i/>
              </w:rPr>
              <w:t>euro</w:t>
            </w:r>
          </w:p>
          <w:p w:rsidR="005C709E" w:rsidRPr="00034F24" w:rsidRDefault="005C709E" w:rsidP="00446662">
            <w:pPr>
              <w:jc w:val="both"/>
            </w:pPr>
            <w:r w:rsidRPr="00034F24">
              <w:t>Pēc jaunā regulējuma spēkā stāšanās:</w:t>
            </w:r>
          </w:p>
          <w:p w:rsidR="005C709E" w:rsidRPr="00034F24" w:rsidRDefault="005C709E" w:rsidP="00446662">
            <w:pPr>
              <w:jc w:val="both"/>
            </w:pPr>
            <w:r w:rsidRPr="00034F24">
              <w:t>C</w:t>
            </w:r>
            <w:r w:rsidRPr="00034F24">
              <w:rPr>
                <w:vertAlign w:val="subscript"/>
              </w:rPr>
              <w:t>1</w:t>
            </w:r>
            <w:r w:rsidRPr="00034F24">
              <w:t xml:space="preserve"> (likumiskā pārstāvja nokļūšanai Pilsonības un migrācijas lietu pārvaldē ziņu apliecinoša dokumenta iesniegšanai) = (atalgojums 4,47 </w:t>
            </w:r>
            <w:r w:rsidRPr="00034F24">
              <w:rPr>
                <w:i/>
                <w:iCs/>
              </w:rPr>
              <w:t>euro</w:t>
            </w:r>
            <w:r w:rsidRPr="00034F24">
              <w:t xml:space="preserve">/h x 1h) x 430 (gadījumu gadā (ja ziņas iekļaušanai un aktualizēšanai iesniegtu vismaz puse no personu vecumā no 15 līdz 18 gadiem))) = 1 922 </w:t>
            </w:r>
            <w:r w:rsidRPr="00034F24">
              <w:rPr>
                <w:i/>
                <w:iCs/>
              </w:rPr>
              <w:t>euro</w:t>
            </w:r>
          </w:p>
          <w:p w:rsidR="005C709E" w:rsidRPr="00034F24" w:rsidRDefault="005C709E" w:rsidP="00446662">
            <w:pPr>
              <w:jc w:val="both"/>
              <w:rPr>
                <w:i/>
                <w:iCs/>
              </w:rPr>
            </w:pPr>
            <w:r w:rsidRPr="00034F24">
              <w:t>C</w:t>
            </w:r>
            <w:r w:rsidRPr="00034F24">
              <w:rPr>
                <w:vertAlign w:val="subscript"/>
              </w:rPr>
              <w:t>2</w:t>
            </w:r>
            <w:r w:rsidRPr="00034F24">
              <w:t xml:space="preserve"> (ziņu apliecinoša dokumenta iesniegšana) = (atalgojums 4,47 </w:t>
            </w:r>
            <w:r w:rsidRPr="00034F24">
              <w:rPr>
                <w:i/>
                <w:iCs/>
              </w:rPr>
              <w:t>euro</w:t>
            </w:r>
            <w:r w:rsidRPr="00034F24">
              <w:t xml:space="preserve">/h x 0,5h) x 430 (gadījumu gadā) = 961 </w:t>
            </w:r>
            <w:r w:rsidRPr="00034F24">
              <w:rPr>
                <w:i/>
                <w:iCs/>
              </w:rPr>
              <w:t>euro</w:t>
            </w:r>
          </w:p>
          <w:p w:rsidR="005C709E" w:rsidRPr="00034F24" w:rsidRDefault="005C709E" w:rsidP="00446662">
            <w:pPr>
              <w:jc w:val="both"/>
            </w:pPr>
          </w:p>
          <w:p w:rsidR="005C709E" w:rsidRPr="00034F24" w:rsidRDefault="005C709E" w:rsidP="00446662">
            <w:pPr>
              <w:jc w:val="both"/>
              <w:rPr>
                <w:i/>
              </w:rPr>
            </w:pPr>
            <w:r w:rsidRPr="00034F24">
              <w:t>C</w:t>
            </w:r>
            <w:r w:rsidRPr="00034F24">
              <w:rPr>
                <w:vertAlign w:val="subscript"/>
              </w:rPr>
              <w:t>1</w:t>
            </w:r>
            <w:r w:rsidRPr="00034F24">
              <w:t xml:space="preserve"> (kopā) = C</w:t>
            </w:r>
            <w:r w:rsidRPr="00034F24">
              <w:rPr>
                <w:vertAlign w:val="subscript"/>
              </w:rPr>
              <w:t>1</w:t>
            </w:r>
            <w:r w:rsidRPr="00034F24">
              <w:t>+ C</w:t>
            </w:r>
            <w:r w:rsidRPr="00034F24">
              <w:rPr>
                <w:vertAlign w:val="subscript"/>
              </w:rPr>
              <w:t xml:space="preserve">2 </w:t>
            </w:r>
            <w:r w:rsidRPr="00034F24">
              <w:t xml:space="preserve">= 2 883 </w:t>
            </w:r>
            <w:r w:rsidRPr="00034F24">
              <w:rPr>
                <w:i/>
              </w:rPr>
              <w:t>euro</w:t>
            </w:r>
          </w:p>
          <w:p w:rsidR="005C709E" w:rsidRPr="00034F24" w:rsidRDefault="005C709E" w:rsidP="00446662">
            <w:pPr>
              <w:jc w:val="both"/>
            </w:pPr>
            <w:r w:rsidRPr="00034F24">
              <w:t>Pēc jaunā regulējuma spēkā stāšanās personu vecumā no 15 līdz 18 gadiem likumisko pārstāvju administratīvais slogs varētu samazināties uz pusi.</w:t>
            </w:r>
          </w:p>
        </w:tc>
      </w:tr>
      <w:tr w:rsidR="005C709E" w:rsidRPr="00034F24" w:rsidTr="00446662">
        <w:trPr>
          <w:trHeight w:val="303"/>
          <w:tblCellSpacing w:w="15" w:type="dxa"/>
        </w:trPr>
        <w:tc>
          <w:tcPr>
            <w:tcW w:w="450" w:type="dxa"/>
            <w:tcBorders>
              <w:top w:val="outset" w:sz="6" w:space="0" w:color="auto"/>
              <w:left w:val="outset" w:sz="6" w:space="0" w:color="auto"/>
              <w:bottom w:val="outset" w:sz="6" w:space="0" w:color="auto"/>
              <w:right w:val="outset" w:sz="6" w:space="0" w:color="auto"/>
            </w:tcBorders>
          </w:tcPr>
          <w:p w:rsidR="005C709E" w:rsidRPr="00034F24" w:rsidRDefault="005C709E" w:rsidP="00446662">
            <w:r w:rsidRPr="00034F24">
              <w:t>4.</w:t>
            </w:r>
          </w:p>
        </w:tc>
        <w:tc>
          <w:tcPr>
            <w:tcW w:w="2783" w:type="dxa"/>
            <w:tcBorders>
              <w:top w:val="outset" w:sz="6" w:space="0" w:color="auto"/>
              <w:left w:val="outset" w:sz="6" w:space="0" w:color="auto"/>
              <w:bottom w:val="outset" w:sz="6" w:space="0" w:color="auto"/>
              <w:right w:val="outset" w:sz="6" w:space="0" w:color="auto"/>
            </w:tcBorders>
          </w:tcPr>
          <w:p w:rsidR="005C709E" w:rsidRPr="00034F24" w:rsidRDefault="005C709E" w:rsidP="00446662">
            <w:r w:rsidRPr="00034F24">
              <w:t>Cita informācija</w:t>
            </w:r>
          </w:p>
        </w:tc>
        <w:tc>
          <w:tcPr>
            <w:tcW w:w="6078" w:type="dxa"/>
            <w:tcBorders>
              <w:top w:val="outset" w:sz="6" w:space="0" w:color="auto"/>
              <w:left w:val="outset" w:sz="6" w:space="0" w:color="auto"/>
              <w:bottom w:val="outset" w:sz="6" w:space="0" w:color="auto"/>
              <w:right w:val="outset" w:sz="6" w:space="0" w:color="auto"/>
            </w:tcBorders>
          </w:tcPr>
          <w:p w:rsidR="005C709E" w:rsidRPr="00034F24" w:rsidRDefault="005C709E" w:rsidP="00446662">
            <w:pPr>
              <w:spacing w:before="100" w:beforeAutospacing="1" w:after="100" w:afterAutospacing="1" w:line="360" w:lineRule="auto"/>
            </w:pPr>
            <w:r w:rsidRPr="00034F24">
              <w:t>Nav.</w:t>
            </w:r>
          </w:p>
        </w:tc>
      </w:tr>
    </w:tbl>
    <w:p w:rsidR="003A286D" w:rsidRDefault="003A286D" w:rsidP="003A286D"/>
    <w:p w:rsidR="000D4AC4" w:rsidRDefault="000D4AC4" w:rsidP="003A286D"/>
    <w:tbl>
      <w:tblPr>
        <w:tblW w:w="9490"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770"/>
        <w:gridCol w:w="1032"/>
        <w:gridCol w:w="1557"/>
        <w:gridCol w:w="1127"/>
        <w:gridCol w:w="1127"/>
        <w:gridCol w:w="1877"/>
      </w:tblGrid>
      <w:tr w:rsidR="000D4AC4" w:rsidRPr="005614F6" w:rsidTr="00B7142F">
        <w:trPr>
          <w:trHeight w:val="360"/>
          <w:tblCellSpacing w:w="15" w:type="dxa"/>
          <w:jc w:val="center"/>
        </w:trPr>
        <w:tc>
          <w:tcPr>
            <w:tcW w:w="9430" w:type="dxa"/>
            <w:gridSpan w:val="6"/>
            <w:tcBorders>
              <w:top w:val="outset" w:sz="6" w:space="0" w:color="auto"/>
              <w:left w:val="outset" w:sz="6" w:space="0" w:color="auto"/>
              <w:bottom w:val="outset" w:sz="6" w:space="0" w:color="auto"/>
              <w:right w:val="outset" w:sz="6" w:space="0" w:color="auto"/>
            </w:tcBorders>
            <w:vAlign w:val="center"/>
          </w:tcPr>
          <w:p w:rsidR="000D4AC4" w:rsidRPr="005614F6" w:rsidRDefault="000D4AC4" w:rsidP="00B7142F">
            <w:pPr>
              <w:spacing w:before="100" w:beforeAutospacing="1" w:after="100" w:afterAutospacing="1" w:line="360" w:lineRule="auto"/>
              <w:ind w:firstLine="300"/>
              <w:jc w:val="center"/>
              <w:rPr>
                <w:b/>
                <w:bCs/>
              </w:rPr>
            </w:pPr>
            <w:r w:rsidRPr="005614F6">
              <w:rPr>
                <w:b/>
                <w:bCs/>
              </w:rPr>
              <w:lastRenderedPageBreak/>
              <w:t>III. Tiesību akta projekta ietekme uz valsts budžetu un pašvaldību budžetiem</w:t>
            </w:r>
          </w:p>
        </w:tc>
      </w:tr>
      <w:tr w:rsidR="000D4AC4" w:rsidRPr="005614F6" w:rsidTr="00B7142F">
        <w:trPr>
          <w:tblCellSpacing w:w="15" w:type="dxa"/>
          <w:jc w:val="center"/>
        </w:trPr>
        <w:tc>
          <w:tcPr>
            <w:tcW w:w="2725" w:type="dxa"/>
            <w:vMerge w:val="restart"/>
            <w:tcBorders>
              <w:top w:val="outset" w:sz="6" w:space="0" w:color="auto"/>
              <w:left w:val="outset" w:sz="6" w:space="0" w:color="auto"/>
              <w:bottom w:val="outset" w:sz="6" w:space="0" w:color="auto"/>
              <w:right w:val="outset" w:sz="6" w:space="0" w:color="auto"/>
            </w:tcBorders>
            <w:vAlign w:val="center"/>
          </w:tcPr>
          <w:p w:rsidR="000D4AC4" w:rsidRPr="005614F6" w:rsidRDefault="000D4AC4" w:rsidP="00B7142F">
            <w:pPr>
              <w:spacing w:before="100" w:beforeAutospacing="1" w:after="100" w:afterAutospacing="1"/>
              <w:ind w:firstLine="300"/>
              <w:jc w:val="center"/>
              <w:rPr>
                <w:b/>
                <w:bCs/>
              </w:rPr>
            </w:pPr>
            <w:r w:rsidRPr="005614F6">
              <w:rPr>
                <w:b/>
                <w:bCs/>
              </w:rPr>
              <w:t>Rādītāji</w:t>
            </w:r>
          </w:p>
        </w:tc>
        <w:tc>
          <w:tcPr>
            <w:tcW w:w="2559" w:type="dxa"/>
            <w:gridSpan w:val="2"/>
            <w:vMerge w:val="restart"/>
            <w:tcBorders>
              <w:top w:val="outset" w:sz="6" w:space="0" w:color="auto"/>
              <w:left w:val="outset" w:sz="6" w:space="0" w:color="auto"/>
              <w:bottom w:val="outset" w:sz="6" w:space="0" w:color="auto"/>
              <w:right w:val="outset" w:sz="6" w:space="0" w:color="auto"/>
            </w:tcBorders>
            <w:vAlign w:val="center"/>
          </w:tcPr>
          <w:p w:rsidR="000D4AC4" w:rsidRPr="005614F6" w:rsidRDefault="000D4AC4" w:rsidP="00B7142F">
            <w:pPr>
              <w:spacing w:before="100" w:beforeAutospacing="1" w:after="100" w:afterAutospacing="1"/>
              <w:ind w:firstLine="300"/>
              <w:jc w:val="center"/>
              <w:rPr>
                <w:b/>
                <w:bCs/>
              </w:rPr>
            </w:pPr>
            <w:r>
              <w:rPr>
                <w:b/>
                <w:bCs/>
              </w:rPr>
              <w:t>2017</w:t>
            </w:r>
            <w:r w:rsidRPr="005614F6">
              <w:rPr>
                <w:b/>
                <w:bCs/>
              </w:rPr>
              <w:t>. gads</w:t>
            </w:r>
          </w:p>
        </w:tc>
        <w:tc>
          <w:tcPr>
            <w:tcW w:w="4086" w:type="dxa"/>
            <w:gridSpan w:val="3"/>
            <w:tcBorders>
              <w:top w:val="outset" w:sz="6" w:space="0" w:color="auto"/>
              <w:left w:val="outset" w:sz="6" w:space="0" w:color="auto"/>
              <w:bottom w:val="outset" w:sz="6" w:space="0" w:color="auto"/>
              <w:right w:val="outset" w:sz="6" w:space="0" w:color="auto"/>
            </w:tcBorders>
            <w:vAlign w:val="center"/>
          </w:tcPr>
          <w:p w:rsidR="000D4AC4" w:rsidRPr="005614F6" w:rsidRDefault="000D4AC4" w:rsidP="00B7142F">
            <w:pPr>
              <w:spacing w:before="100" w:beforeAutospacing="1" w:after="100" w:afterAutospacing="1"/>
              <w:ind w:firstLine="300"/>
              <w:jc w:val="center"/>
            </w:pPr>
            <w:r w:rsidRPr="005614F6">
              <w:t>Turpmākie trīs gadi (</w:t>
            </w:r>
            <w:r w:rsidRPr="005614F6">
              <w:rPr>
                <w:i/>
              </w:rPr>
              <w:t>euro</w:t>
            </w:r>
            <w:r w:rsidRPr="005614F6">
              <w:t>)</w:t>
            </w:r>
          </w:p>
        </w:tc>
      </w:tr>
      <w:tr w:rsidR="000D4AC4" w:rsidRPr="005614F6" w:rsidTr="00B7142F">
        <w:trPr>
          <w:tblCellSpacing w:w="15" w:type="dxa"/>
          <w:jc w:val="center"/>
        </w:trPr>
        <w:tc>
          <w:tcPr>
            <w:tcW w:w="2725" w:type="dxa"/>
            <w:vMerge/>
            <w:tcBorders>
              <w:top w:val="outset" w:sz="6" w:space="0" w:color="auto"/>
              <w:left w:val="outset" w:sz="6" w:space="0" w:color="auto"/>
              <w:bottom w:val="outset" w:sz="6" w:space="0" w:color="auto"/>
              <w:right w:val="outset" w:sz="6" w:space="0" w:color="auto"/>
            </w:tcBorders>
            <w:vAlign w:val="center"/>
          </w:tcPr>
          <w:p w:rsidR="000D4AC4" w:rsidRPr="005614F6" w:rsidRDefault="000D4AC4" w:rsidP="00B7142F">
            <w:pPr>
              <w:rPr>
                <w:b/>
                <w:bCs/>
              </w:rPr>
            </w:pPr>
          </w:p>
        </w:tc>
        <w:tc>
          <w:tcPr>
            <w:tcW w:w="2559" w:type="dxa"/>
            <w:gridSpan w:val="2"/>
            <w:vMerge/>
            <w:tcBorders>
              <w:top w:val="outset" w:sz="6" w:space="0" w:color="auto"/>
              <w:left w:val="outset" w:sz="6" w:space="0" w:color="auto"/>
              <w:bottom w:val="outset" w:sz="6" w:space="0" w:color="auto"/>
              <w:right w:val="outset" w:sz="6" w:space="0" w:color="auto"/>
            </w:tcBorders>
            <w:vAlign w:val="center"/>
          </w:tcPr>
          <w:p w:rsidR="000D4AC4" w:rsidRPr="005614F6" w:rsidRDefault="000D4AC4" w:rsidP="00B7142F">
            <w:pPr>
              <w:rPr>
                <w:b/>
                <w:bCs/>
              </w:rPr>
            </w:pPr>
          </w:p>
        </w:tc>
        <w:tc>
          <w:tcPr>
            <w:tcW w:w="1097" w:type="dxa"/>
            <w:tcBorders>
              <w:top w:val="outset" w:sz="6" w:space="0" w:color="auto"/>
              <w:left w:val="outset" w:sz="6" w:space="0" w:color="auto"/>
              <w:bottom w:val="outset" w:sz="6" w:space="0" w:color="auto"/>
              <w:right w:val="outset" w:sz="6" w:space="0" w:color="auto"/>
            </w:tcBorders>
            <w:vAlign w:val="center"/>
          </w:tcPr>
          <w:p w:rsidR="000D4AC4" w:rsidRPr="005614F6" w:rsidRDefault="000D4AC4" w:rsidP="00B7142F">
            <w:pPr>
              <w:spacing w:before="100" w:beforeAutospacing="1" w:after="100" w:afterAutospacing="1"/>
              <w:jc w:val="center"/>
              <w:rPr>
                <w:b/>
                <w:bCs/>
              </w:rPr>
            </w:pPr>
            <w:r w:rsidRPr="005614F6">
              <w:rPr>
                <w:b/>
                <w:bCs/>
              </w:rPr>
              <w:t>201</w:t>
            </w:r>
            <w:r>
              <w:rPr>
                <w:b/>
                <w:bCs/>
              </w:rPr>
              <w:t>8</w:t>
            </w:r>
            <w:r w:rsidRPr="005614F6">
              <w:rPr>
                <w:b/>
                <w:bCs/>
              </w:rPr>
              <w:t>.gads</w:t>
            </w:r>
          </w:p>
        </w:tc>
        <w:tc>
          <w:tcPr>
            <w:tcW w:w="1097" w:type="dxa"/>
            <w:tcBorders>
              <w:top w:val="outset" w:sz="6" w:space="0" w:color="auto"/>
              <w:left w:val="outset" w:sz="6" w:space="0" w:color="auto"/>
              <w:bottom w:val="outset" w:sz="6" w:space="0" w:color="auto"/>
              <w:right w:val="outset" w:sz="6" w:space="0" w:color="auto"/>
            </w:tcBorders>
            <w:vAlign w:val="center"/>
          </w:tcPr>
          <w:p w:rsidR="000D4AC4" w:rsidRPr="005614F6" w:rsidRDefault="000D4AC4" w:rsidP="00B7142F">
            <w:pPr>
              <w:spacing w:before="100" w:beforeAutospacing="1" w:after="100" w:afterAutospacing="1"/>
              <w:jc w:val="center"/>
              <w:rPr>
                <w:b/>
                <w:bCs/>
              </w:rPr>
            </w:pPr>
            <w:r w:rsidRPr="005614F6">
              <w:rPr>
                <w:b/>
                <w:bCs/>
              </w:rPr>
              <w:t>201</w:t>
            </w:r>
            <w:r>
              <w:rPr>
                <w:b/>
                <w:bCs/>
              </w:rPr>
              <w:t>9</w:t>
            </w:r>
            <w:r w:rsidRPr="005614F6">
              <w:rPr>
                <w:b/>
                <w:bCs/>
              </w:rPr>
              <w:t>.gads</w:t>
            </w:r>
          </w:p>
        </w:tc>
        <w:tc>
          <w:tcPr>
            <w:tcW w:w="1832" w:type="dxa"/>
            <w:tcBorders>
              <w:top w:val="outset" w:sz="6" w:space="0" w:color="auto"/>
              <w:left w:val="outset" w:sz="6" w:space="0" w:color="auto"/>
              <w:bottom w:val="outset" w:sz="6" w:space="0" w:color="auto"/>
              <w:right w:val="outset" w:sz="6" w:space="0" w:color="auto"/>
            </w:tcBorders>
            <w:vAlign w:val="center"/>
          </w:tcPr>
          <w:p w:rsidR="000D4AC4" w:rsidRPr="005614F6" w:rsidRDefault="000D4AC4" w:rsidP="00B7142F">
            <w:pPr>
              <w:spacing w:before="100" w:beforeAutospacing="1" w:after="100" w:afterAutospacing="1"/>
              <w:jc w:val="center"/>
              <w:rPr>
                <w:b/>
                <w:bCs/>
              </w:rPr>
            </w:pPr>
            <w:r w:rsidRPr="005614F6">
              <w:rPr>
                <w:b/>
                <w:bCs/>
              </w:rPr>
              <w:t>20</w:t>
            </w:r>
            <w:r>
              <w:rPr>
                <w:b/>
                <w:bCs/>
              </w:rPr>
              <w:t>20</w:t>
            </w:r>
            <w:r w:rsidRPr="005614F6">
              <w:rPr>
                <w:b/>
                <w:bCs/>
              </w:rPr>
              <w:t>.gads</w:t>
            </w:r>
          </w:p>
        </w:tc>
      </w:tr>
      <w:tr w:rsidR="000D4AC4" w:rsidRPr="005614F6" w:rsidTr="00B7142F">
        <w:trPr>
          <w:tblCellSpacing w:w="15" w:type="dxa"/>
          <w:jc w:val="center"/>
        </w:trPr>
        <w:tc>
          <w:tcPr>
            <w:tcW w:w="2725" w:type="dxa"/>
            <w:vMerge/>
            <w:tcBorders>
              <w:top w:val="outset" w:sz="6" w:space="0" w:color="auto"/>
              <w:left w:val="outset" w:sz="6" w:space="0" w:color="auto"/>
              <w:bottom w:val="outset" w:sz="6" w:space="0" w:color="auto"/>
              <w:right w:val="outset" w:sz="6" w:space="0" w:color="auto"/>
            </w:tcBorders>
            <w:vAlign w:val="center"/>
          </w:tcPr>
          <w:p w:rsidR="000D4AC4" w:rsidRPr="005614F6" w:rsidRDefault="000D4AC4" w:rsidP="00B7142F">
            <w:pPr>
              <w:rPr>
                <w:b/>
                <w:bCs/>
              </w:rPr>
            </w:pPr>
          </w:p>
        </w:tc>
        <w:tc>
          <w:tcPr>
            <w:tcW w:w="1002" w:type="dxa"/>
            <w:tcBorders>
              <w:top w:val="outset" w:sz="6" w:space="0" w:color="auto"/>
              <w:left w:val="outset" w:sz="6" w:space="0" w:color="auto"/>
              <w:bottom w:val="outset" w:sz="6" w:space="0" w:color="auto"/>
              <w:right w:val="outset" w:sz="6" w:space="0" w:color="auto"/>
            </w:tcBorders>
            <w:vAlign w:val="center"/>
          </w:tcPr>
          <w:p w:rsidR="000D4AC4" w:rsidRPr="005614F6" w:rsidRDefault="000D4AC4" w:rsidP="00B7142F">
            <w:pPr>
              <w:spacing w:before="100" w:beforeAutospacing="1" w:after="100" w:afterAutospacing="1"/>
              <w:jc w:val="center"/>
            </w:pPr>
            <w:r w:rsidRPr="005614F6">
              <w:t>saskaņā ar valsts budžetu kārtējam gadam</w:t>
            </w:r>
          </w:p>
        </w:tc>
        <w:tc>
          <w:tcPr>
            <w:tcW w:w="1527" w:type="dxa"/>
            <w:tcBorders>
              <w:top w:val="outset" w:sz="6" w:space="0" w:color="auto"/>
              <w:left w:val="outset" w:sz="6" w:space="0" w:color="auto"/>
              <w:bottom w:val="outset" w:sz="6" w:space="0" w:color="auto"/>
              <w:right w:val="outset" w:sz="6" w:space="0" w:color="auto"/>
            </w:tcBorders>
            <w:vAlign w:val="center"/>
          </w:tcPr>
          <w:p w:rsidR="000D4AC4" w:rsidRPr="005614F6" w:rsidRDefault="000D4AC4" w:rsidP="00B7142F">
            <w:pPr>
              <w:spacing w:before="100" w:beforeAutospacing="1" w:after="100" w:afterAutospacing="1"/>
              <w:jc w:val="center"/>
            </w:pPr>
            <w:r w:rsidRPr="005614F6">
              <w:t>izmaiņas kārtējā gadā, salīdzinot ar valsts budžetu kārtējam gadam</w:t>
            </w:r>
          </w:p>
        </w:tc>
        <w:tc>
          <w:tcPr>
            <w:tcW w:w="1097" w:type="dxa"/>
            <w:tcBorders>
              <w:top w:val="outset" w:sz="6" w:space="0" w:color="auto"/>
              <w:left w:val="outset" w:sz="6" w:space="0" w:color="auto"/>
              <w:bottom w:val="outset" w:sz="6" w:space="0" w:color="auto"/>
              <w:right w:val="outset" w:sz="6" w:space="0" w:color="auto"/>
            </w:tcBorders>
            <w:vAlign w:val="center"/>
          </w:tcPr>
          <w:p w:rsidR="000D4AC4" w:rsidRPr="005614F6" w:rsidRDefault="000D4AC4" w:rsidP="00B7142F">
            <w:pPr>
              <w:spacing w:before="100" w:beforeAutospacing="1" w:after="100" w:afterAutospacing="1"/>
              <w:jc w:val="center"/>
            </w:pPr>
            <w:r w:rsidRPr="005614F6">
              <w:t>izmaiņas, salīdzinot ar kārtējo (201</w:t>
            </w:r>
            <w:r>
              <w:t>7</w:t>
            </w:r>
            <w:r w:rsidRPr="005614F6">
              <w:t>) gadu</w:t>
            </w:r>
          </w:p>
        </w:tc>
        <w:tc>
          <w:tcPr>
            <w:tcW w:w="1097" w:type="dxa"/>
            <w:tcBorders>
              <w:top w:val="outset" w:sz="6" w:space="0" w:color="auto"/>
              <w:left w:val="outset" w:sz="6" w:space="0" w:color="auto"/>
              <w:bottom w:val="outset" w:sz="6" w:space="0" w:color="auto"/>
              <w:right w:val="outset" w:sz="6" w:space="0" w:color="auto"/>
            </w:tcBorders>
            <w:vAlign w:val="center"/>
          </w:tcPr>
          <w:p w:rsidR="000D4AC4" w:rsidRPr="005614F6" w:rsidRDefault="000D4AC4" w:rsidP="00B7142F">
            <w:pPr>
              <w:spacing w:before="100" w:beforeAutospacing="1" w:after="100" w:afterAutospacing="1"/>
              <w:jc w:val="center"/>
            </w:pPr>
            <w:r w:rsidRPr="005614F6">
              <w:t>izmaiņas, salīdzinot ar kārtējo (201</w:t>
            </w:r>
            <w:r>
              <w:t>7</w:t>
            </w:r>
            <w:r w:rsidRPr="005614F6">
              <w:t>) gadu</w:t>
            </w:r>
          </w:p>
        </w:tc>
        <w:tc>
          <w:tcPr>
            <w:tcW w:w="1832" w:type="dxa"/>
            <w:tcBorders>
              <w:top w:val="outset" w:sz="6" w:space="0" w:color="auto"/>
              <w:left w:val="outset" w:sz="6" w:space="0" w:color="auto"/>
              <w:bottom w:val="outset" w:sz="6" w:space="0" w:color="auto"/>
              <w:right w:val="outset" w:sz="6" w:space="0" w:color="auto"/>
            </w:tcBorders>
            <w:vAlign w:val="center"/>
          </w:tcPr>
          <w:p w:rsidR="000D4AC4" w:rsidRPr="005614F6" w:rsidRDefault="000D4AC4" w:rsidP="00B7142F">
            <w:pPr>
              <w:spacing w:before="100" w:beforeAutospacing="1" w:after="100" w:afterAutospacing="1"/>
              <w:jc w:val="center"/>
            </w:pPr>
            <w:r w:rsidRPr="005614F6">
              <w:t>izmaiņas, salīdzinot ar kārtējo (201</w:t>
            </w:r>
            <w:r>
              <w:t>7</w:t>
            </w:r>
            <w:r w:rsidRPr="005614F6">
              <w:t>) gadu</w:t>
            </w:r>
          </w:p>
        </w:tc>
      </w:tr>
      <w:tr w:rsidR="000D4AC4" w:rsidRPr="005614F6" w:rsidTr="00B7142F">
        <w:trPr>
          <w:tblCellSpacing w:w="15" w:type="dxa"/>
          <w:jc w:val="center"/>
        </w:trPr>
        <w:tc>
          <w:tcPr>
            <w:tcW w:w="2725" w:type="dxa"/>
            <w:tcBorders>
              <w:top w:val="outset" w:sz="6" w:space="0" w:color="auto"/>
              <w:left w:val="outset" w:sz="6" w:space="0" w:color="auto"/>
              <w:bottom w:val="outset" w:sz="6" w:space="0" w:color="auto"/>
              <w:right w:val="outset" w:sz="6" w:space="0" w:color="auto"/>
            </w:tcBorders>
            <w:vAlign w:val="center"/>
          </w:tcPr>
          <w:p w:rsidR="000D4AC4" w:rsidRPr="005614F6" w:rsidRDefault="000D4AC4" w:rsidP="00B7142F">
            <w:pPr>
              <w:spacing w:before="100" w:beforeAutospacing="1" w:after="100" w:afterAutospacing="1" w:line="360" w:lineRule="auto"/>
              <w:ind w:firstLine="300"/>
              <w:jc w:val="center"/>
            </w:pPr>
            <w:r w:rsidRPr="005614F6">
              <w:t>1</w:t>
            </w:r>
          </w:p>
        </w:tc>
        <w:tc>
          <w:tcPr>
            <w:tcW w:w="1002" w:type="dxa"/>
            <w:tcBorders>
              <w:top w:val="outset" w:sz="6" w:space="0" w:color="auto"/>
              <w:left w:val="outset" w:sz="6" w:space="0" w:color="auto"/>
              <w:bottom w:val="outset" w:sz="6" w:space="0" w:color="auto"/>
              <w:right w:val="outset" w:sz="6" w:space="0" w:color="auto"/>
            </w:tcBorders>
            <w:vAlign w:val="center"/>
          </w:tcPr>
          <w:p w:rsidR="000D4AC4" w:rsidRPr="005614F6" w:rsidRDefault="000D4AC4" w:rsidP="00B7142F">
            <w:pPr>
              <w:spacing w:before="100" w:beforeAutospacing="1" w:after="100" w:afterAutospacing="1" w:line="360" w:lineRule="auto"/>
              <w:ind w:firstLine="300"/>
              <w:jc w:val="center"/>
            </w:pPr>
            <w:r w:rsidRPr="005614F6">
              <w:t>2</w:t>
            </w:r>
          </w:p>
        </w:tc>
        <w:tc>
          <w:tcPr>
            <w:tcW w:w="1527" w:type="dxa"/>
            <w:tcBorders>
              <w:top w:val="outset" w:sz="6" w:space="0" w:color="auto"/>
              <w:left w:val="outset" w:sz="6" w:space="0" w:color="auto"/>
              <w:bottom w:val="outset" w:sz="6" w:space="0" w:color="auto"/>
              <w:right w:val="outset" w:sz="6" w:space="0" w:color="auto"/>
            </w:tcBorders>
            <w:vAlign w:val="center"/>
          </w:tcPr>
          <w:p w:rsidR="000D4AC4" w:rsidRPr="005614F6" w:rsidRDefault="000D4AC4" w:rsidP="00B7142F">
            <w:pPr>
              <w:spacing w:before="100" w:beforeAutospacing="1" w:after="100" w:afterAutospacing="1" w:line="360" w:lineRule="auto"/>
              <w:ind w:firstLine="300"/>
              <w:jc w:val="center"/>
            </w:pPr>
            <w:r w:rsidRPr="005614F6">
              <w:t>3</w:t>
            </w:r>
          </w:p>
        </w:tc>
        <w:tc>
          <w:tcPr>
            <w:tcW w:w="1097" w:type="dxa"/>
            <w:tcBorders>
              <w:top w:val="outset" w:sz="6" w:space="0" w:color="auto"/>
              <w:left w:val="outset" w:sz="6" w:space="0" w:color="auto"/>
              <w:bottom w:val="outset" w:sz="6" w:space="0" w:color="auto"/>
              <w:right w:val="outset" w:sz="6" w:space="0" w:color="auto"/>
            </w:tcBorders>
            <w:vAlign w:val="center"/>
          </w:tcPr>
          <w:p w:rsidR="000D4AC4" w:rsidRPr="005614F6" w:rsidRDefault="000D4AC4" w:rsidP="00B7142F">
            <w:pPr>
              <w:spacing w:before="100" w:beforeAutospacing="1" w:after="100" w:afterAutospacing="1" w:line="360" w:lineRule="auto"/>
              <w:ind w:firstLine="300"/>
              <w:jc w:val="center"/>
            </w:pPr>
            <w:r w:rsidRPr="005614F6">
              <w:t>4</w:t>
            </w:r>
          </w:p>
        </w:tc>
        <w:tc>
          <w:tcPr>
            <w:tcW w:w="1097" w:type="dxa"/>
            <w:tcBorders>
              <w:top w:val="outset" w:sz="6" w:space="0" w:color="auto"/>
              <w:left w:val="outset" w:sz="6" w:space="0" w:color="auto"/>
              <w:bottom w:val="outset" w:sz="6" w:space="0" w:color="auto"/>
              <w:right w:val="outset" w:sz="6" w:space="0" w:color="auto"/>
            </w:tcBorders>
            <w:vAlign w:val="center"/>
          </w:tcPr>
          <w:p w:rsidR="000D4AC4" w:rsidRPr="005614F6" w:rsidRDefault="000D4AC4" w:rsidP="00B7142F">
            <w:pPr>
              <w:spacing w:before="100" w:beforeAutospacing="1" w:after="100" w:afterAutospacing="1" w:line="360" w:lineRule="auto"/>
              <w:ind w:firstLine="300"/>
              <w:jc w:val="center"/>
            </w:pPr>
            <w:r w:rsidRPr="005614F6">
              <w:t>5</w:t>
            </w:r>
          </w:p>
        </w:tc>
        <w:tc>
          <w:tcPr>
            <w:tcW w:w="1832" w:type="dxa"/>
            <w:tcBorders>
              <w:top w:val="outset" w:sz="6" w:space="0" w:color="auto"/>
              <w:left w:val="outset" w:sz="6" w:space="0" w:color="auto"/>
              <w:bottom w:val="outset" w:sz="6" w:space="0" w:color="auto"/>
              <w:right w:val="outset" w:sz="6" w:space="0" w:color="auto"/>
            </w:tcBorders>
            <w:vAlign w:val="center"/>
          </w:tcPr>
          <w:p w:rsidR="000D4AC4" w:rsidRPr="005614F6" w:rsidRDefault="000D4AC4" w:rsidP="00B7142F">
            <w:pPr>
              <w:spacing w:before="100" w:beforeAutospacing="1" w:after="100" w:afterAutospacing="1" w:line="360" w:lineRule="auto"/>
              <w:ind w:firstLine="300"/>
              <w:jc w:val="center"/>
            </w:pPr>
            <w:r w:rsidRPr="005614F6">
              <w:t>6</w:t>
            </w:r>
          </w:p>
        </w:tc>
      </w:tr>
      <w:tr w:rsidR="000D4AC4" w:rsidRPr="005614F6" w:rsidTr="00B7142F">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0D4AC4" w:rsidRPr="005614F6" w:rsidRDefault="000D4AC4" w:rsidP="00B7142F">
            <w:r w:rsidRPr="005614F6">
              <w:t>1. Budžeta ieņēmumi:</w:t>
            </w:r>
          </w:p>
        </w:tc>
        <w:tc>
          <w:tcPr>
            <w:tcW w:w="1002"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52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09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09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832"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r>
      <w:tr w:rsidR="000D4AC4" w:rsidRPr="005614F6" w:rsidTr="00B7142F">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0D4AC4" w:rsidRPr="005614F6" w:rsidRDefault="000D4AC4" w:rsidP="00B7142F">
            <w:r w:rsidRPr="005614F6">
              <w:t>1.1. valsts pamatbudžets, tai skaitā ieņēmumi no maksas pakalpojumiem un citi pašu ieņēmumi</w:t>
            </w:r>
          </w:p>
        </w:tc>
        <w:tc>
          <w:tcPr>
            <w:tcW w:w="1002"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52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09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09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832"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r>
      <w:tr w:rsidR="000D4AC4" w:rsidRPr="005614F6" w:rsidTr="00B7142F">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0D4AC4" w:rsidRPr="005614F6" w:rsidRDefault="000D4AC4" w:rsidP="00B7142F">
            <w:r w:rsidRPr="005614F6">
              <w:t>1.2. valsts speciālais budžets</w:t>
            </w:r>
          </w:p>
        </w:tc>
        <w:tc>
          <w:tcPr>
            <w:tcW w:w="1002"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52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09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09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832"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r>
      <w:tr w:rsidR="000D4AC4" w:rsidRPr="005614F6" w:rsidTr="00B7142F">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0D4AC4" w:rsidRPr="005614F6" w:rsidRDefault="000D4AC4" w:rsidP="00B7142F">
            <w:r w:rsidRPr="005614F6">
              <w:t>1.3. pašvaldību budžets</w:t>
            </w:r>
          </w:p>
        </w:tc>
        <w:tc>
          <w:tcPr>
            <w:tcW w:w="1002"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52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09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09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832"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r>
      <w:tr w:rsidR="000D4AC4" w:rsidRPr="005614F6" w:rsidTr="00B7142F">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0D4AC4" w:rsidRPr="005614F6" w:rsidRDefault="000D4AC4" w:rsidP="00B7142F">
            <w:r w:rsidRPr="005614F6">
              <w:t>2. Budžeta izdevumi:</w:t>
            </w:r>
          </w:p>
        </w:tc>
        <w:tc>
          <w:tcPr>
            <w:tcW w:w="1002"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52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09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09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t>0</w:t>
            </w:r>
          </w:p>
        </w:tc>
        <w:tc>
          <w:tcPr>
            <w:tcW w:w="1832"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r>
      <w:tr w:rsidR="000D4AC4" w:rsidRPr="005614F6" w:rsidTr="00B7142F">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0D4AC4" w:rsidRPr="005614F6" w:rsidRDefault="000D4AC4" w:rsidP="00B7142F">
            <w:r w:rsidRPr="005614F6">
              <w:t>2.1. valsts pamatbudžets</w:t>
            </w:r>
          </w:p>
        </w:tc>
        <w:tc>
          <w:tcPr>
            <w:tcW w:w="1002"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52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09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09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t>0</w:t>
            </w:r>
          </w:p>
        </w:tc>
        <w:tc>
          <w:tcPr>
            <w:tcW w:w="1832"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r>
      <w:tr w:rsidR="000D4AC4" w:rsidRPr="005614F6" w:rsidTr="00B7142F">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0D4AC4" w:rsidRPr="005614F6" w:rsidRDefault="000D4AC4" w:rsidP="00B7142F">
            <w:r w:rsidRPr="005614F6">
              <w:t>2.2. valsts speciālais budžets</w:t>
            </w:r>
          </w:p>
        </w:tc>
        <w:tc>
          <w:tcPr>
            <w:tcW w:w="1002"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52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09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09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832"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r>
      <w:tr w:rsidR="000D4AC4" w:rsidRPr="005614F6" w:rsidTr="00B7142F">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0D4AC4" w:rsidRPr="005614F6" w:rsidRDefault="000D4AC4" w:rsidP="00B7142F">
            <w:r w:rsidRPr="005614F6">
              <w:t>2.3. pašvaldību budžets</w:t>
            </w:r>
          </w:p>
        </w:tc>
        <w:tc>
          <w:tcPr>
            <w:tcW w:w="1002"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52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09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09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832"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r>
      <w:tr w:rsidR="000D4AC4" w:rsidRPr="005614F6" w:rsidTr="00B7142F">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0D4AC4" w:rsidRPr="005614F6" w:rsidRDefault="000D4AC4" w:rsidP="00B7142F">
            <w:r w:rsidRPr="005614F6">
              <w:t>3. Finansiālā ietekme:</w:t>
            </w:r>
          </w:p>
        </w:tc>
        <w:tc>
          <w:tcPr>
            <w:tcW w:w="1002" w:type="dxa"/>
            <w:tcBorders>
              <w:top w:val="outset" w:sz="6" w:space="0" w:color="auto"/>
              <w:left w:val="outset" w:sz="6" w:space="0" w:color="auto"/>
              <w:bottom w:val="outset" w:sz="6" w:space="0" w:color="auto"/>
              <w:right w:val="outset" w:sz="6" w:space="0" w:color="auto"/>
            </w:tcBorders>
            <w:vAlign w:val="center"/>
          </w:tcPr>
          <w:p w:rsidR="000D4AC4" w:rsidRPr="005614F6" w:rsidRDefault="000D4AC4" w:rsidP="00B7142F">
            <w:pPr>
              <w:jc w:val="center"/>
            </w:pPr>
            <w:r w:rsidRPr="005614F6">
              <w:t>0</w:t>
            </w:r>
          </w:p>
        </w:tc>
        <w:tc>
          <w:tcPr>
            <w:tcW w:w="152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09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09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pStyle w:val="ListParagraph"/>
              <w:tabs>
                <w:tab w:val="left" w:pos="589"/>
              </w:tabs>
              <w:ind w:left="109"/>
            </w:pPr>
            <w:r>
              <w:t xml:space="preserve">     0</w:t>
            </w:r>
          </w:p>
        </w:tc>
        <w:tc>
          <w:tcPr>
            <w:tcW w:w="1832"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r>
      <w:tr w:rsidR="000D4AC4" w:rsidRPr="005614F6" w:rsidTr="00B7142F">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0D4AC4" w:rsidRPr="005614F6" w:rsidRDefault="000D4AC4" w:rsidP="00B7142F">
            <w:r w:rsidRPr="005614F6">
              <w:t>3.1. valsts pamatbudžets</w:t>
            </w:r>
          </w:p>
        </w:tc>
        <w:tc>
          <w:tcPr>
            <w:tcW w:w="1002"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52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09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09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t>0</w:t>
            </w:r>
          </w:p>
        </w:tc>
        <w:tc>
          <w:tcPr>
            <w:tcW w:w="1832"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r>
      <w:tr w:rsidR="000D4AC4" w:rsidRPr="005614F6" w:rsidTr="00B7142F">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0D4AC4" w:rsidRPr="005614F6" w:rsidRDefault="000D4AC4" w:rsidP="00B7142F">
            <w:r w:rsidRPr="005614F6">
              <w:t>3.2. speciālais budžets</w:t>
            </w:r>
          </w:p>
        </w:tc>
        <w:tc>
          <w:tcPr>
            <w:tcW w:w="1002"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52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09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09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832"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r>
      <w:tr w:rsidR="000D4AC4" w:rsidRPr="005614F6" w:rsidTr="00B7142F">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0D4AC4" w:rsidRPr="005614F6" w:rsidRDefault="000D4AC4" w:rsidP="00B7142F">
            <w:r w:rsidRPr="005614F6">
              <w:t>3.3. pašvaldību budžets</w:t>
            </w:r>
          </w:p>
        </w:tc>
        <w:tc>
          <w:tcPr>
            <w:tcW w:w="1002"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52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09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09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832"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r>
      <w:tr w:rsidR="000D4AC4" w:rsidRPr="005614F6" w:rsidTr="00B7142F">
        <w:trPr>
          <w:trHeight w:val="331"/>
          <w:tblCellSpacing w:w="15" w:type="dxa"/>
          <w:jc w:val="center"/>
        </w:trPr>
        <w:tc>
          <w:tcPr>
            <w:tcW w:w="2725" w:type="dxa"/>
            <w:vMerge w:val="restart"/>
            <w:tcBorders>
              <w:top w:val="outset" w:sz="6" w:space="0" w:color="auto"/>
              <w:left w:val="outset" w:sz="6" w:space="0" w:color="auto"/>
              <w:bottom w:val="outset" w:sz="6" w:space="0" w:color="auto"/>
              <w:right w:val="outset" w:sz="6" w:space="0" w:color="auto"/>
            </w:tcBorders>
          </w:tcPr>
          <w:p w:rsidR="000D4AC4" w:rsidRPr="005614F6" w:rsidRDefault="000D4AC4" w:rsidP="00B7142F">
            <w:r w:rsidRPr="005614F6">
              <w:t>4. Finanšu līdzekļi papildu izdevumu finansēšanai (kompensējošu izdevumu samazinājumu norāda ar "+" zīmi)</w:t>
            </w:r>
          </w:p>
        </w:tc>
        <w:tc>
          <w:tcPr>
            <w:tcW w:w="1002" w:type="dxa"/>
            <w:vMerge w:val="restart"/>
            <w:tcBorders>
              <w:top w:val="outset" w:sz="6" w:space="0" w:color="auto"/>
              <w:left w:val="outset" w:sz="6" w:space="0" w:color="auto"/>
              <w:bottom w:val="outset" w:sz="6" w:space="0" w:color="auto"/>
              <w:right w:val="outset" w:sz="6" w:space="0" w:color="auto"/>
            </w:tcBorders>
          </w:tcPr>
          <w:p w:rsidR="000D4AC4" w:rsidRPr="005614F6" w:rsidRDefault="000D4AC4" w:rsidP="00B7142F">
            <w:pPr>
              <w:spacing w:before="100" w:beforeAutospacing="1" w:after="100" w:afterAutospacing="1" w:line="360" w:lineRule="auto"/>
              <w:ind w:firstLine="300"/>
              <w:jc w:val="center"/>
            </w:pPr>
            <w:r w:rsidRPr="005614F6">
              <w:t>X</w:t>
            </w:r>
          </w:p>
        </w:tc>
        <w:tc>
          <w:tcPr>
            <w:tcW w:w="5643" w:type="dxa"/>
            <w:gridSpan w:val="4"/>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p>
        </w:tc>
      </w:tr>
      <w:tr w:rsidR="000D4AC4" w:rsidRPr="005614F6" w:rsidTr="00B7142F">
        <w:trPr>
          <w:trHeight w:val="452"/>
          <w:tblCellSpacing w:w="15" w:type="dxa"/>
          <w:jc w:val="center"/>
        </w:trPr>
        <w:tc>
          <w:tcPr>
            <w:tcW w:w="2725" w:type="dxa"/>
            <w:vMerge/>
            <w:tcBorders>
              <w:top w:val="outset" w:sz="6" w:space="0" w:color="auto"/>
              <w:left w:val="outset" w:sz="6" w:space="0" w:color="auto"/>
              <w:bottom w:val="outset" w:sz="6" w:space="0" w:color="auto"/>
              <w:right w:val="outset" w:sz="6" w:space="0" w:color="auto"/>
            </w:tcBorders>
            <w:vAlign w:val="center"/>
          </w:tcPr>
          <w:p w:rsidR="000D4AC4" w:rsidRPr="005614F6" w:rsidRDefault="000D4AC4" w:rsidP="00B7142F"/>
        </w:tc>
        <w:tc>
          <w:tcPr>
            <w:tcW w:w="1002" w:type="dxa"/>
            <w:vMerge/>
            <w:tcBorders>
              <w:top w:val="outset" w:sz="6" w:space="0" w:color="auto"/>
              <w:left w:val="outset" w:sz="6" w:space="0" w:color="auto"/>
              <w:bottom w:val="outset" w:sz="6" w:space="0" w:color="auto"/>
              <w:right w:val="outset" w:sz="6" w:space="0" w:color="auto"/>
            </w:tcBorders>
            <w:vAlign w:val="center"/>
          </w:tcPr>
          <w:p w:rsidR="000D4AC4" w:rsidRPr="005614F6" w:rsidRDefault="000D4AC4" w:rsidP="00B7142F">
            <w:pPr>
              <w:jc w:val="center"/>
            </w:pPr>
          </w:p>
        </w:tc>
        <w:tc>
          <w:tcPr>
            <w:tcW w:w="152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09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09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832"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r>
      <w:tr w:rsidR="000D4AC4" w:rsidRPr="005614F6" w:rsidTr="00B7142F">
        <w:trPr>
          <w:tblCellSpacing w:w="15" w:type="dxa"/>
          <w:jc w:val="center"/>
        </w:trPr>
        <w:tc>
          <w:tcPr>
            <w:tcW w:w="2725" w:type="dxa"/>
            <w:vMerge/>
            <w:tcBorders>
              <w:top w:val="outset" w:sz="6" w:space="0" w:color="auto"/>
              <w:left w:val="outset" w:sz="6" w:space="0" w:color="auto"/>
              <w:bottom w:val="outset" w:sz="6" w:space="0" w:color="auto"/>
              <w:right w:val="outset" w:sz="6" w:space="0" w:color="auto"/>
            </w:tcBorders>
            <w:vAlign w:val="center"/>
          </w:tcPr>
          <w:p w:rsidR="000D4AC4" w:rsidRPr="005614F6" w:rsidRDefault="000D4AC4" w:rsidP="00B7142F"/>
        </w:tc>
        <w:tc>
          <w:tcPr>
            <w:tcW w:w="1002" w:type="dxa"/>
            <w:vMerge/>
            <w:tcBorders>
              <w:top w:val="outset" w:sz="6" w:space="0" w:color="auto"/>
              <w:left w:val="outset" w:sz="6" w:space="0" w:color="auto"/>
              <w:bottom w:val="outset" w:sz="6" w:space="0" w:color="auto"/>
              <w:right w:val="outset" w:sz="6" w:space="0" w:color="auto"/>
            </w:tcBorders>
            <w:vAlign w:val="center"/>
          </w:tcPr>
          <w:p w:rsidR="000D4AC4" w:rsidRPr="005614F6" w:rsidRDefault="000D4AC4" w:rsidP="00B7142F">
            <w:pPr>
              <w:jc w:val="center"/>
            </w:pPr>
          </w:p>
        </w:tc>
        <w:tc>
          <w:tcPr>
            <w:tcW w:w="152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09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09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832"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r>
      <w:tr w:rsidR="000D4AC4" w:rsidRPr="005614F6" w:rsidTr="00B7142F">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0D4AC4" w:rsidRPr="005614F6" w:rsidRDefault="000D4AC4" w:rsidP="00B7142F">
            <w:r w:rsidRPr="005614F6">
              <w:t>5. Precizēta finansiālā ietekme:</w:t>
            </w:r>
          </w:p>
        </w:tc>
        <w:tc>
          <w:tcPr>
            <w:tcW w:w="1002" w:type="dxa"/>
            <w:vMerge w:val="restart"/>
            <w:tcBorders>
              <w:top w:val="outset" w:sz="6" w:space="0" w:color="auto"/>
              <w:left w:val="outset" w:sz="6" w:space="0" w:color="auto"/>
              <w:bottom w:val="outset" w:sz="6" w:space="0" w:color="auto"/>
              <w:right w:val="outset" w:sz="6" w:space="0" w:color="auto"/>
            </w:tcBorders>
          </w:tcPr>
          <w:p w:rsidR="000D4AC4" w:rsidRPr="005614F6" w:rsidRDefault="000D4AC4" w:rsidP="00B7142F">
            <w:pPr>
              <w:spacing w:before="100" w:beforeAutospacing="1" w:after="100" w:afterAutospacing="1" w:line="360" w:lineRule="auto"/>
              <w:ind w:firstLine="300"/>
              <w:jc w:val="center"/>
            </w:pPr>
            <w:r w:rsidRPr="005614F6">
              <w:t>X</w:t>
            </w:r>
          </w:p>
        </w:tc>
        <w:tc>
          <w:tcPr>
            <w:tcW w:w="5643" w:type="dxa"/>
            <w:gridSpan w:val="4"/>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p>
        </w:tc>
      </w:tr>
      <w:tr w:rsidR="000D4AC4" w:rsidRPr="005614F6" w:rsidTr="00B7142F">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0D4AC4" w:rsidRPr="005614F6" w:rsidRDefault="000D4AC4" w:rsidP="00B7142F">
            <w:r w:rsidRPr="005614F6">
              <w:t>5.1. valsts pamatbudžets</w:t>
            </w:r>
          </w:p>
        </w:tc>
        <w:tc>
          <w:tcPr>
            <w:tcW w:w="1002" w:type="dxa"/>
            <w:vMerge/>
            <w:tcBorders>
              <w:top w:val="outset" w:sz="6" w:space="0" w:color="auto"/>
              <w:left w:val="outset" w:sz="6" w:space="0" w:color="auto"/>
              <w:bottom w:val="outset" w:sz="6" w:space="0" w:color="auto"/>
              <w:right w:val="outset" w:sz="6" w:space="0" w:color="auto"/>
            </w:tcBorders>
            <w:vAlign w:val="center"/>
          </w:tcPr>
          <w:p w:rsidR="000D4AC4" w:rsidRPr="005614F6" w:rsidRDefault="000D4AC4" w:rsidP="00B7142F">
            <w:pPr>
              <w:jc w:val="center"/>
            </w:pPr>
          </w:p>
        </w:tc>
        <w:tc>
          <w:tcPr>
            <w:tcW w:w="152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09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09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t>0</w:t>
            </w:r>
          </w:p>
        </w:tc>
        <w:tc>
          <w:tcPr>
            <w:tcW w:w="1832"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r>
      <w:tr w:rsidR="000D4AC4" w:rsidRPr="005614F6" w:rsidTr="00B7142F">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0D4AC4" w:rsidRPr="005614F6" w:rsidRDefault="000D4AC4" w:rsidP="00B7142F">
            <w:r w:rsidRPr="005614F6">
              <w:t>5.2. speciālais budžets</w:t>
            </w:r>
          </w:p>
        </w:tc>
        <w:tc>
          <w:tcPr>
            <w:tcW w:w="1002" w:type="dxa"/>
            <w:vMerge/>
            <w:tcBorders>
              <w:top w:val="outset" w:sz="6" w:space="0" w:color="auto"/>
              <w:left w:val="outset" w:sz="6" w:space="0" w:color="auto"/>
              <w:bottom w:val="outset" w:sz="6" w:space="0" w:color="auto"/>
              <w:right w:val="outset" w:sz="6" w:space="0" w:color="auto"/>
            </w:tcBorders>
            <w:vAlign w:val="center"/>
          </w:tcPr>
          <w:p w:rsidR="000D4AC4" w:rsidRPr="005614F6" w:rsidRDefault="000D4AC4" w:rsidP="00B7142F">
            <w:pPr>
              <w:jc w:val="center"/>
            </w:pPr>
          </w:p>
        </w:tc>
        <w:tc>
          <w:tcPr>
            <w:tcW w:w="152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09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09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832"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r>
      <w:tr w:rsidR="000D4AC4" w:rsidRPr="005614F6" w:rsidTr="00B7142F">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0D4AC4" w:rsidRPr="005614F6" w:rsidRDefault="000D4AC4" w:rsidP="00B7142F">
            <w:r w:rsidRPr="005614F6">
              <w:t>5.3. pašvaldību budžets</w:t>
            </w:r>
          </w:p>
        </w:tc>
        <w:tc>
          <w:tcPr>
            <w:tcW w:w="1002" w:type="dxa"/>
            <w:vMerge/>
            <w:tcBorders>
              <w:top w:val="outset" w:sz="6" w:space="0" w:color="auto"/>
              <w:left w:val="outset" w:sz="6" w:space="0" w:color="auto"/>
              <w:bottom w:val="outset" w:sz="6" w:space="0" w:color="auto"/>
              <w:right w:val="outset" w:sz="6" w:space="0" w:color="auto"/>
            </w:tcBorders>
            <w:vAlign w:val="center"/>
          </w:tcPr>
          <w:p w:rsidR="000D4AC4" w:rsidRPr="005614F6" w:rsidRDefault="000D4AC4" w:rsidP="00B7142F">
            <w:pPr>
              <w:jc w:val="center"/>
            </w:pPr>
          </w:p>
        </w:tc>
        <w:tc>
          <w:tcPr>
            <w:tcW w:w="152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09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097"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c>
          <w:tcPr>
            <w:tcW w:w="1832" w:type="dxa"/>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center"/>
            </w:pPr>
            <w:r w:rsidRPr="005614F6">
              <w:t>0</w:t>
            </w:r>
          </w:p>
        </w:tc>
      </w:tr>
      <w:tr w:rsidR="000D4AC4" w:rsidRPr="005614F6" w:rsidTr="00B7142F">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0D4AC4" w:rsidRPr="005614F6" w:rsidRDefault="000D4AC4" w:rsidP="00B7142F">
            <w:r w:rsidRPr="005614F6">
              <w:t xml:space="preserve">6. Detalizēts ieņēmumu un izdevumu aprēķins (ja nepieciešams, detalizētu </w:t>
            </w:r>
            <w:r w:rsidRPr="005614F6">
              <w:lastRenderedPageBreak/>
              <w:t>ieņēmumu un izdevumu aprēķinu var pievienot anotācijas pielikumā):</w:t>
            </w:r>
          </w:p>
        </w:tc>
        <w:tc>
          <w:tcPr>
            <w:tcW w:w="6675" w:type="dxa"/>
            <w:gridSpan w:val="5"/>
            <w:vMerge w:val="restart"/>
            <w:tcBorders>
              <w:top w:val="outset" w:sz="6" w:space="0" w:color="auto"/>
              <w:left w:val="outset" w:sz="6" w:space="0" w:color="auto"/>
              <w:bottom w:val="outset" w:sz="6" w:space="0" w:color="auto"/>
              <w:right w:val="outset" w:sz="6" w:space="0" w:color="auto"/>
            </w:tcBorders>
          </w:tcPr>
          <w:p w:rsidR="000D4AC4" w:rsidRPr="00C914ED" w:rsidRDefault="000D4AC4" w:rsidP="00B7142F">
            <w:pPr>
              <w:jc w:val="both"/>
            </w:pPr>
            <w:r w:rsidRPr="00C914ED">
              <w:lastRenderedPageBreak/>
              <w:t>Oficiālās elektroniskās adreses likuma anotācijā iekļauts aprēķins par nepieciešamo finansējumu ziņu aktualizēšanai</w:t>
            </w:r>
            <w:r w:rsidR="00930B57">
              <w:t xml:space="preserve"> un iekļaušanai</w:t>
            </w:r>
            <w:r w:rsidRPr="00C914ED">
              <w:t xml:space="preserve"> Iedzīvotāju reģistrā par personas oficiālās elektroniskās adreses </w:t>
            </w:r>
            <w:r w:rsidRPr="00C914ED">
              <w:lastRenderedPageBreak/>
              <w:t>kontu.</w:t>
            </w:r>
          </w:p>
          <w:p w:rsidR="000D4AC4" w:rsidRPr="005614F6" w:rsidRDefault="000D4AC4" w:rsidP="00B7142F">
            <w:pPr>
              <w:jc w:val="both"/>
            </w:pPr>
            <w:r>
              <w:t xml:space="preserve"> </w:t>
            </w:r>
          </w:p>
        </w:tc>
      </w:tr>
      <w:tr w:rsidR="000D4AC4" w:rsidRPr="005614F6" w:rsidTr="00B7142F">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0D4AC4" w:rsidRPr="005614F6" w:rsidRDefault="000D4AC4" w:rsidP="00B7142F">
            <w:r w:rsidRPr="005614F6">
              <w:lastRenderedPageBreak/>
              <w:t>6.1. detalizēts ieņēmumu aprēķins</w:t>
            </w:r>
          </w:p>
        </w:tc>
        <w:tc>
          <w:tcPr>
            <w:tcW w:w="6675" w:type="dxa"/>
            <w:gridSpan w:val="5"/>
            <w:vMerge/>
            <w:tcBorders>
              <w:top w:val="outset" w:sz="6" w:space="0" w:color="auto"/>
              <w:left w:val="outset" w:sz="6" w:space="0" w:color="auto"/>
              <w:bottom w:val="outset" w:sz="6" w:space="0" w:color="auto"/>
              <w:right w:val="outset" w:sz="6" w:space="0" w:color="auto"/>
            </w:tcBorders>
            <w:vAlign w:val="center"/>
          </w:tcPr>
          <w:p w:rsidR="000D4AC4" w:rsidRPr="005614F6" w:rsidRDefault="000D4AC4" w:rsidP="00B7142F"/>
        </w:tc>
      </w:tr>
      <w:tr w:rsidR="000D4AC4" w:rsidRPr="005614F6" w:rsidTr="00B7142F">
        <w:trPr>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0D4AC4" w:rsidRPr="005614F6" w:rsidRDefault="000D4AC4" w:rsidP="00B7142F">
            <w:r w:rsidRPr="005614F6">
              <w:t>6.2. detalizēts izdevumu aprēķins</w:t>
            </w:r>
          </w:p>
        </w:tc>
        <w:tc>
          <w:tcPr>
            <w:tcW w:w="6675" w:type="dxa"/>
            <w:gridSpan w:val="5"/>
            <w:vMerge/>
            <w:tcBorders>
              <w:top w:val="outset" w:sz="6" w:space="0" w:color="auto"/>
              <w:left w:val="outset" w:sz="6" w:space="0" w:color="auto"/>
              <w:bottom w:val="outset" w:sz="6" w:space="0" w:color="auto"/>
              <w:right w:val="outset" w:sz="6" w:space="0" w:color="auto"/>
            </w:tcBorders>
            <w:vAlign w:val="center"/>
          </w:tcPr>
          <w:p w:rsidR="000D4AC4" w:rsidRPr="005614F6" w:rsidRDefault="000D4AC4" w:rsidP="00B7142F"/>
        </w:tc>
      </w:tr>
      <w:tr w:rsidR="000D4AC4" w:rsidRPr="005614F6" w:rsidTr="00B7142F">
        <w:trPr>
          <w:trHeight w:val="351"/>
          <w:tblCellSpacing w:w="15" w:type="dxa"/>
          <w:jc w:val="center"/>
        </w:trPr>
        <w:tc>
          <w:tcPr>
            <w:tcW w:w="2725" w:type="dxa"/>
            <w:tcBorders>
              <w:top w:val="outset" w:sz="6" w:space="0" w:color="auto"/>
              <w:left w:val="outset" w:sz="6" w:space="0" w:color="auto"/>
              <w:bottom w:val="outset" w:sz="6" w:space="0" w:color="auto"/>
              <w:right w:val="outset" w:sz="6" w:space="0" w:color="auto"/>
            </w:tcBorders>
          </w:tcPr>
          <w:p w:rsidR="000D4AC4" w:rsidRPr="005614F6" w:rsidRDefault="000D4AC4" w:rsidP="00B7142F">
            <w:r w:rsidRPr="005614F6">
              <w:t>7. Cita informācija</w:t>
            </w:r>
          </w:p>
        </w:tc>
        <w:tc>
          <w:tcPr>
            <w:tcW w:w="6675" w:type="dxa"/>
            <w:gridSpan w:val="5"/>
            <w:tcBorders>
              <w:top w:val="outset" w:sz="6" w:space="0" w:color="auto"/>
              <w:left w:val="outset" w:sz="6" w:space="0" w:color="auto"/>
              <w:bottom w:val="outset" w:sz="6" w:space="0" w:color="auto"/>
              <w:right w:val="outset" w:sz="6" w:space="0" w:color="auto"/>
            </w:tcBorders>
          </w:tcPr>
          <w:p w:rsidR="000D4AC4" w:rsidRPr="005614F6" w:rsidRDefault="000D4AC4" w:rsidP="00B7142F">
            <w:pPr>
              <w:jc w:val="both"/>
            </w:pPr>
            <w:r w:rsidRPr="005614F6">
              <w:t xml:space="preserve">   Nav</w:t>
            </w:r>
          </w:p>
        </w:tc>
      </w:tr>
    </w:tbl>
    <w:p w:rsidR="000D4AC4" w:rsidRDefault="000D4AC4" w:rsidP="003A286D"/>
    <w:tbl>
      <w:tblPr>
        <w:tblpPr w:leftFromText="180" w:rightFromText="180" w:vertAnchor="text" w:horzAnchor="margin" w:tblpXSpec="center" w:tblpY="564"/>
        <w:tblW w:w="9221"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500"/>
        <w:gridCol w:w="2669"/>
        <w:gridCol w:w="6052"/>
      </w:tblGrid>
      <w:tr w:rsidR="000D4AC4" w:rsidRPr="00034F24" w:rsidTr="000D4AC4">
        <w:trPr>
          <w:trHeight w:val="450"/>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tcPr>
          <w:p w:rsidR="000D4AC4" w:rsidRPr="00034F24" w:rsidRDefault="000D4AC4" w:rsidP="000D4AC4">
            <w:pPr>
              <w:spacing w:before="100" w:beforeAutospacing="1" w:after="100" w:afterAutospacing="1" w:line="360" w:lineRule="auto"/>
              <w:ind w:firstLine="300"/>
              <w:jc w:val="center"/>
              <w:rPr>
                <w:b/>
                <w:bCs/>
                <w:color w:val="414142"/>
              </w:rPr>
            </w:pPr>
            <w:r w:rsidRPr="00034F24">
              <w:rPr>
                <w:b/>
                <w:bCs/>
                <w:color w:val="414142"/>
              </w:rPr>
              <w:t>IV. Tiesību akta projekta ietekme uz spēkā esošo tiesību normu sistēmu</w:t>
            </w:r>
          </w:p>
        </w:tc>
      </w:tr>
      <w:tr w:rsidR="000D4AC4" w:rsidRPr="00034F24" w:rsidTr="000D4AC4">
        <w:trPr>
          <w:tblCellSpacing w:w="15" w:type="dxa"/>
        </w:trPr>
        <w:tc>
          <w:tcPr>
            <w:tcW w:w="455" w:type="dxa"/>
            <w:tcBorders>
              <w:top w:val="outset" w:sz="6" w:space="0" w:color="auto"/>
              <w:left w:val="outset" w:sz="6" w:space="0" w:color="auto"/>
              <w:bottom w:val="outset" w:sz="6" w:space="0" w:color="auto"/>
              <w:right w:val="outset" w:sz="6" w:space="0" w:color="auto"/>
            </w:tcBorders>
          </w:tcPr>
          <w:p w:rsidR="000D4AC4" w:rsidRPr="00034F24" w:rsidRDefault="000D4AC4" w:rsidP="000D4AC4">
            <w:pPr>
              <w:rPr>
                <w:color w:val="414142"/>
              </w:rPr>
            </w:pPr>
            <w:r w:rsidRPr="00034F24">
              <w:rPr>
                <w:color w:val="414142"/>
              </w:rPr>
              <w:t>1.</w:t>
            </w:r>
          </w:p>
        </w:tc>
        <w:tc>
          <w:tcPr>
            <w:tcW w:w="2639" w:type="dxa"/>
            <w:tcBorders>
              <w:top w:val="outset" w:sz="6" w:space="0" w:color="auto"/>
              <w:left w:val="outset" w:sz="6" w:space="0" w:color="auto"/>
              <w:bottom w:val="outset" w:sz="6" w:space="0" w:color="auto"/>
              <w:right w:val="outset" w:sz="6" w:space="0" w:color="auto"/>
            </w:tcBorders>
          </w:tcPr>
          <w:p w:rsidR="000D4AC4" w:rsidRPr="00034F24" w:rsidRDefault="000D4AC4" w:rsidP="000D4AC4">
            <w:pPr>
              <w:rPr>
                <w:color w:val="414142"/>
              </w:rPr>
            </w:pPr>
            <w:r w:rsidRPr="00034F24">
              <w:rPr>
                <w:color w:val="414142"/>
              </w:rPr>
              <w:t>Nepieciešamie saistītie tiesību aktu projekti</w:t>
            </w:r>
          </w:p>
        </w:tc>
        <w:tc>
          <w:tcPr>
            <w:tcW w:w="6007" w:type="dxa"/>
            <w:tcBorders>
              <w:top w:val="outset" w:sz="6" w:space="0" w:color="auto"/>
              <w:left w:val="outset" w:sz="6" w:space="0" w:color="auto"/>
              <w:bottom w:val="outset" w:sz="6" w:space="0" w:color="auto"/>
              <w:right w:val="outset" w:sz="6" w:space="0" w:color="auto"/>
            </w:tcBorders>
          </w:tcPr>
          <w:p w:rsidR="000D4AC4" w:rsidRPr="00034F24" w:rsidRDefault="000D4AC4" w:rsidP="000D4AC4">
            <w:pPr>
              <w:pStyle w:val="naispant"/>
              <w:spacing w:before="0" w:beforeAutospacing="0" w:after="0" w:afterAutospacing="0"/>
              <w:jc w:val="both"/>
            </w:pPr>
            <w:r w:rsidRPr="00034F24">
              <w:t>Projektā ietvertais regulējums attiecas arī uz likumprojektu “Fizisko personu reģistrs” (VSS-15).</w:t>
            </w:r>
          </w:p>
          <w:p w:rsidR="000D4AC4" w:rsidRPr="00034F24" w:rsidRDefault="000D4AC4" w:rsidP="000D4AC4">
            <w:pPr>
              <w:pStyle w:val="naispant"/>
              <w:spacing w:before="0" w:beforeAutospacing="0" w:after="0" w:afterAutospacing="0"/>
              <w:jc w:val="both"/>
            </w:pPr>
            <w:r w:rsidRPr="00034F24">
              <w:t>Pēc likumprojekta pieņemšanas Saeimā otrajā lasījumā Ministru kabinetā iesniedzami šādi projekti:</w:t>
            </w:r>
          </w:p>
          <w:p w:rsidR="000D4AC4" w:rsidRPr="00034F24" w:rsidRDefault="000D4AC4" w:rsidP="000D4AC4">
            <w:pPr>
              <w:pStyle w:val="naispant"/>
              <w:numPr>
                <w:ilvl w:val="0"/>
                <w:numId w:val="5"/>
              </w:numPr>
              <w:spacing w:before="0" w:beforeAutospacing="0" w:after="0" w:afterAutospacing="0"/>
              <w:jc w:val="both"/>
            </w:pPr>
            <w:r w:rsidRPr="00034F24">
              <w:t>Grozījumi Ministru kabineta 2013.gada 9.jūlija noteikumos Nr.378 “Noteikumi par Iedzīvotāju reģistrā iekļaujamo ziņu apjomu”;</w:t>
            </w:r>
          </w:p>
          <w:p w:rsidR="000D4AC4" w:rsidRPr="00034F24" w:rsidRDefault="000D4AC4" w:rsidP="000D4AC4">
            <w:pPr>
              <w:pStyle w:val="naispant"/>
              <w:numPr>
                <w:ilvl w:val="0"/>
                <w:numId w:val="5"/>
              </w:numPr>
              <w:spacing w:before="0" w:beforeAutospacing="0" w:after="0" w:afterAutospacing="0"/>
              <w:jc w:val="both"/>
            </w:pPr>
            <w:r w:rsidRPr="00034F24">
              <w:t>Grozījumi Ministru kabineta 2011.gada 15.februāra noteikumos Nr.131 “Iedzīvotāju reģistrā iekļauto ziņu aktualizēšanas kārtība”, tai skaitā paredzot kādā kārtībā tiek aktualizētas ziņas par personām, norādot statusu “pasīvs” , ja  persona ir sasniegusi 105 gadu vecumu un Iedzīvotāju reģistrā nav iekļautas ziņas par miršanu, izņemot, ja Pilsonības un migrācijas lietu pārvalde ieguvusi apstiprinājumu, ka persona dzīva un ja  Latvijas nepilsonim vairāk kā 5 gadus nav derīga personu apliecinoša dokumenta, izņemot, ja  Pilsonības un migrācijas lietu pārvalde  ieguvusi apstiprinājumu, ka persona uzturas Latvijā.</w:t>
            </w:r>
          </w:p>
          <w:p w:rsidR="000D4AC4" w:rsidRPr="00034F24" w:rsidRDefault="000D4AC4" w:rsidP="000D4AC4">
            <w:pPr>
              <w:pStyle w:val="naispant"/>
              <w:numPr>
                <w:ilvl w:val="0"/>
                <w:numId w:val="5"/>
              </w:numPr>
              <w:spacing w:before="0" w:beforeAutospacing="0" w:after="0" w:afterAutospacing="0"/>
              <w:jc w:val="both"/>
            </w:pPr>
            <w:r w:rsidRPr="00034F24">
              <w:t>Grozījumi Ministru kabineta 2009.gada 10.marta noteikumos Nr.225 “Noteikumi par Iedzīvotāju reģistra pirmuzskaites veidlapas paraugu un tās aizpildīšanas kārtību”.</w:t>
            </w:r>
          </w:p>
        </w:tc>
      </w:tr>
      <w:tr w:rsidR="000D4AC4" w:rsidRPr="00034F24" w:rsidTr="000D4AC4">
        <w:trPr>
          <w:tblCellSpacing w:w="15" w:type="dxa"/>
        </w:trPr>
        <w:tc>
          <w:tcPr>
            <w:tcW w:w="455" w:type="dxa"/>
            <w:tcBorders>
              <w:top w:val="outset" w:sz="6" w:space="0" w:color="auto"/>
              <w:left w:val="outset" w:sz="6" w:space="0" w:color="auto"/>
              <w:bottom w:val="outset" w:sz="6" w:space="0" w:color="auto"/>
              <w:right w:val="outset" w:sz="6" w:space="0" w:color="auto"/>
            </w:tcBorders>
          </w:tcPr>
          <w:p w:rsidR="000D4AC4" w:rsidRPr="00034F24" w:rsidRDefault="000D4AC4" w:rsidP="000D4AC4">
            <w:pPr>
              <w:rPr>
                <w:color w:val="414142"/>
              </w:rPr>
            </w:pPr>
            <w:r w:rsidRPr="00034F24">
              <w:rPr>
                <w:color w:val="414142"/>
              </w:rPr>
              <w:t>2.</w:t>
            </w:r>
          </w:p>
        </w:tc>
        <w:tc>
          <w:tcPr>
            <w:tcW w:w="2639" w:type="dxa"/>
            <w:tcBorders>
              <w:top w:val="outset" w:sz="6" w:space="0" w:color="auto"/>
              <w:left w:val="outset" w:sz="6" w:space="0" w:color="auto"/>
              <w:bottom w:val="outset" w:sz="6" w:space="0" w:color="auto"/>
              <w:right w:val="outset" w:sz="6" w:space="0" w:color="auto"/>
            </w:tcBorders>
          </w:tcPr>
          <w:p w:rsidR="000D4AC4" w:rsidRPr="00034F24" w:rsidRDefault="000D4AC4" w:rsidP="000D4AC4">
            <w:r w:rsidRPr="00034F24">
              <w:t>Atbildīgā institūcija</w:t>
            </w:r>
          </w:p>
        </w:tc>
        <w:tc>
          <w:tcPr>
            <w:tcW w:w="6007" w:type="dxa"/>
            <w:tcBorders>
              <w:top w:val="outset" w:sz="6" w:space="0" w:color="auto"/>
              <w:left w:val="outset" w:sz="6" w:space="0" w:color="auto"/>
              <w:bottom w:val="outset" w:sz="6" w:space="0" w:color="auto"/>
              <w:right w:val="outset" w:sz="6" w:space="0" w:color="auto"/>
            </w:tcBorders>
          </w:tcPr>
          <w:p w:rsidR="000D4AC4" w:rsidRPr="00034F24" w:rsidRDefault="000D4AC4" w:rsidP="000D4AC4">
            <w:r w:rsidRPr="00034F24">
              <w:t>Iekšlietu ministrija.</w:t>
            </w:r>
          </w:p>
        </w:tc>
      </w:tr>
      <w:tr w:rsidR="000D4AC4" w:rsidRPr="00034F24" w:rsidTr="000D4AC4">
        <w:trPr>
          <w:tblCellSpacing w:w="15" w:type="dxa"/>
        </w:trPr>
        <w:tc>
          <w:tcPr>
            <w:tcW w:w="455" w:type="dxa"/>
            <w:tcBorders>
              <w:top w:val="outset" w:sz="6" w:space="0" w:color="auto"/>
              <w:left w:val="outset" w:sz="6" w:space="0" w:color="auto"/>
              <w:bottom w:val="outset" w:sz="6" w:space="0" w:color="auto"/>
              <w:right w:val="outset" w:sz="6" w:space="0" w:color="auto"/>
            </w:tcBorders>
          </w:tcPr>
          <w:p w:rsidR="000D4AC4" w:rsidRPr="00034F24" w:rsidRDefault="000D4AC4" w:rsidP="000D4AC4">
            <w:pPr>
              <w:rPr>
                <w:color w:val="414142"/>
              </w:rPr>
            </w:pPr>
            <w:r w:rsidRPr="00034F24">
              <w:rPr>
                <w:color w:val="414142"/>
              </w:rPr>
              <w:t>3.</w:t>
            </w:r>
          </w:p>
        </w:tc>
        <w:tc>
          <w:tcPr>
            <w:tcW w:w="2639" w:type="dxa"/>
            <w:tcBorders>
              <w:top w:val="outset" w:sz="6" w:space="0" w:color="auto"/>
              <w:left w:val="outset" w:sz="6" w:space="0" w:color="auto"/>
              <w:bottom w:val="outset" w:sz="6" w:space="0" w:color="auto"/>
              <w:right w:val="outset" w:sz="6" w:space="0" w:color="auto"/>
            </w:tcBorders>
          </w:tcPr>
          <w:p w:rsidR="000D4AC4" w:rsidRPr="00034F24" w:rsidRDefault="000D4AC4" w:rsidP="000D4AC4">
            <w:pPr>
              <w:rPr>
                <w:color w:val="414142"/>
              </w:rPr>
            </w:pPr>
            <w:r w:rsidRPr="00034F24">
              <w:rPr>
                <w:color w:val="414142"/>
              </w:rPr>
              <w:t>Cita informācija</w:t>
            </w:r>
          </w:p>
        </w:tc>
        <w:tc>
          <w:tcPr>
            <w:tcW w:w="6007" w:type="dxa"/>
            <w:tcBorders>
              <w:top w:val="outset" w:sz="6" w:space="0" w:color="auto"/>
              <w:left w:val="outset" w:sz="6" w:space="0" w:color="auto"/>
              <w:bottom w:val="outset" w:sz="6" w:space="0" w:color="auto"/>
              <w:right w:val="outset" w:sz="6" w:space="0" w:color="auto"/>
            </w:tcBorders>
          </w:tcPr>
          <w:p w:rsidR="000D4AC4" w:rsidRPr="00034F24" w:rsidRDefault="000D4AC4" w:rsidP="000D4AC4">
            <w:pPr>
              <w:spacing w:before="100" w:beforeAutospacing="1" w:after="100" w:afterAutospacing="1"/>
              <w:jc w:val="both"/>
              <w:rPr>
                <w:color w:val="414142"/>
              </w:rPr>
            </w:pPr>
            <w:r w:rsidRPr="00034F24">
              <w:rPr>
                <w:color w:val="414142"/>
              </w:rPr>
              <w:t>Nav</w:t>
            </w:r>
          </w:p>
        </w:tc>
      </w:tr>
    </w:tbl>
    <w:p w:rsidR="000D4AC4" w:rsidRPr="00034F24" w:rsidRDefault="000D4AC4" w:rsidP="003A286D"/>
    <w:p w:rsidR="000D4AC4" w:rsidRPr="00034F24" w:rsidRDefault="000D4AC4" w:rsidP="003A286D">
      <w:pPr>
        <w:rPr>
          <w:vanish/>
        </w:rPr>
      </w:pPr>
    </w:p>
    <w:p w:rsidR="004A7CFE" w:rsidRPr="00034F24" w:rsidRDefault="004A7CFE"/>
    <w:p w:rsidR="004A7CFE" w:rsidRPr="00034F24" w:rsidRDefault="004A7CFE"/>
    <w:tbl>
      <w:tblPr>
        <w:tblW w:w="9191" w:type="dxa"/>
        <w:tblCellSpacing w:w="15" w:type="dxa"/>
        <w:tblInd w:w="501"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9191"/>
      </w:tblGrid>
      <w:tr w:rsidR="003A286D" w:rsidRPr="00034F24" w:rsidTr="000D4AC4">
        <w:trPr>
          <w:tblCellSpacing w:w="15" w:type="dxa"/>
        </w:trPr>
        <w:tc>
          <w:tcPr>
            <w:tcW w:w="9131" w:type="dxa"/>
            <w:tcBorders>
              <w:top w:val="outset" w:sz="6" w:space="0" w:color="auto"/>
              <w:left w:val="outset" w:sz="6" w:space="0" w:color="auto"/>
              <w:bottom w:val="outset" w:sz="6" w:space="0" w:color="auto"/>
              <w:right w:val="outset" w:sz="6" w:space="0" w:color="auto"/>
            </w:tcBorders>
            <w:vAlign w:val="center"/>
          </w:tcPr>
          <w:p w:rsidR="003A286D" w:rsidRPr="00034F24" w:rsidRDefault="003A286D" w:rsidP="004A7CFE">
            <w:pPr>
              <w:spacing w:before="100" w:beforeAutospacing="1" w:after="100" w:afterAutospacing="1" w:line="360" w:lineRule="auto"/>
              <w:ind w:firstLine="300"/>
              <w:jc w:val="center"/>
              <w:rPr>
                <w:b/>
                <w:bCs/>
                <w:color w:val="414142"/>
              </w:rPr>
            </w:pPr>
            <w:r w:rsidRPr="00034F24">
              <w:rPr>
                <w:b/>
                <w:bCs/>
                <w:color w:val="414142"/>
              </w:rPr>
              <w:t>V. Tiesību akta projekta atbilstība Latvijas Republikas starptautiskajām saistībām</w:t>
            </w:r>
          </w:p>
        </w:tc>
      </w:tr>
      <w:tr w:rsidR="003A286D" w:rsidRPr="00034F24" w:rsidTr="000D4AC4">
        <w:trPr>
          <w:trHeight w:val="219"/>
          <w:tblCellSpacing w:w="15" w:type="dxa"/>
        </w:trPr>
        <w:tc>
          <w:tcPr>
            <w:tcW w:w="9131" w:type="dxa"/>
            <w:tcBorders>
              <w:top w:val="outset" w:sz="6" w:space="0" w:color="auto"/>
              <w:left w:val="outset" w:sz="6" w:space="0" w:color="auto"/>
              <w:bottom w:val="outset" w:sz="6" w:space="0" w:color="auto"/>
              <w:right w:val="outset" w:sz="6" w:space="0" w:color="auto"/>
            </w:tcBorders>
          </w:tcPr>
          <w:p w:rsidR="003A286D" w:rsidRPr="00034F24" w:rsidRDefault="003A286D" w:rsidP="00446662">
            <w:pPr>
              <w:jc w:val="center"/>
              <w:rPr>
                <w:color w:val="414142"/>
              </w:rPr>
            </w:pPr>
            <w:r w:rsidRPr="00034F24">
              <w:rPr>
                <w:color w:val="414142"/>
              </w:rPr>
              <w:t>Projekts šo jomu neskar.</w:t>
            </w:r>
          </w:p>
        </w:tc>
      </w:tr>
    </w:tbl>
    <w:p w:rsidR="003A286D" w:rsidRPr="00034F24" w:rsidRDefault="003A286D" w:rsidP="003A286D">
      <w:pPr>
        <w:rPr>
          <w:rFonts w:ascii="Arial" w:hAnsi="Arial" w:cs="Arial"/>
          <w:color w:val="414142"/>
          <w:sz w:val="16"/>
          <w:szCs w:val="16"/>
        </w:rPr>
      </w:pPr>
    </w:p>
    <w:p w:rsidR="004A7CFE" w:rsidRPr="00034F24" w:rsidRDefault="004A7CFE" w:rsidP="003A286D">
      <w:pPr>
        <w:rPr>
          <w:rFonts w:ascii="Arial" w:hAnsi="Arial" w:cs="Arial"/>
          <w:color w:val="414142"/>
          <w:sz w:val="16"/>
          <w:szCs w:val="16"/>
        </w:rPr>
      </w:pPr>
    </w:p>
    <w:p w:rsidR="004A7CFE" w:rsidRPr="00034F24" w:rsidRDefault="004A7CFE" w:rsidP="003A286D">
      <w:pPr>
        <w:rPr>
          <w:rFonts w:ascii="Arial" w:hAnsi="Arial" w:cs="Arial"/>
          <w:color w:val="414142"/>
          <w:sz w:val="16"/>
          <w:szCs w:val="16"/>
        </w:rPr>
      </w:pPr>
    </w:p>
    <w:tbl>
      <w:tblPr>
        <w:tblW w:w="9221" w:type="dxa"/>
        <w:tblCellSpacing w:w="15" w:type="dxa"/>
        <w:tblInd w:w="501"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501"/>
        <w:gridCol w:w="2759"/>
        <w:gridCol w:w="5961"/>
      </w:tblGrid>
      <w:tr w:rsidR="003A286D" w:rsidRPr="00034F24" w:rsidTr="000D4AC4">
        <w:trPr>
          <w:trHeight w:val="420"/>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tcPr>
          <w:p w:rsidR="003A286D" w:rsidRPr="00034F24" w:rsidRDefault="003A286D" w:rsidP="00446662">
            <w:pPr>
              <w:spacing w:before="100" w:beforeAutospacing="1" w:after="100" w:afterAutospacing="1" w:line="360" w:lineRule="auto"/>
              <w:ind w:firstLine="300"/>
              <w:jc w:val="center"/>
              <w:rPr>
                <w:b/>
                <w:bCs/>
              </w:rPr>
            </w:pPr>
            <w:r w:rsidRPr="00034F24">
              <w:rPr>
                <w:b/>
                <w:bCs/>
              </w:rPr>
              <w:t>VI. Sabiedrības līdzdalība un komunikācijas aktivitātes</w:t>
            </w:r>
          </w:p>
        </w:tc>
      </w:tr>
      <w:tr w:rsidR="003A286D" w:rsidRPr="00034F24" w:rsidTr="000D4AC4">
        <w:trPr>
          <w:trHeight w:val="540"/>
          <w:tblCellSpacing w:w="15" w:type="dxa"/>
        </w:trPr>
        <w:tc>
          <w:tcPr>
            <w:tcW w:w="456" w:type="dxa"/>
            <w:tcBorders>
              <w:top w:val="outset" w:sz="6" w:space="0" w:color="auto"/>
              <w:left w:val="outset" w:sz="6" w:space="0" w:color="auto"/>
              <w:bottom w:val="outset" w:sz="6" w:space="0" w:color="auto"/>
              <w:right w:val="outset" w:sz="6" w:space="0" w:color="auto"/>
            </w:tcBorders>
          </w:tcPr>
          <w:p w:rsidR="003A286D" w:rsidRPr="00034F24" w:rsidRDefault="003A286D" w:rsidP="003A286D">
            <w:r w:rsidRPr="00034F24">
              <w:lastRenderedPageBreak/>
              <w:t>1.</w:t>
            </w:r>
          </w:p>
        </w:tc>
        <w:tc>
          <w:tcPr>
            <w:tcW w:w="2729" w:type="dxa"/>
            <w:tcBorders>
              <w:top w:val="outset" w:sz="6" w:space="0" w:color="auto"/>
              <w:left w:val="outset" w:sz="6" w:space="0" w:color="auto"/>
              <w:bottom w:val="outset" w:sz="6" w:space="0" w:color="auto"/>
              <w:right w:val="outset" w:sz="6" w:space="0" w:color="auto"/>
            </w:tcBorders>
          </w:tcPr>
          <w:p w:rsidR="003A286D" w:rsidRPr="00034F24" w:rsidRDefault="003A286D" w:rsidP="003A286D">
            <w:r w:rsidRPr="00034F24">
              <w:t>Plānotās sabiedrības līdzdalības un komunikācijas aktivitātes saistībā ar projektu</w:t>
            </w:r>
          </w:p>
        </w:tc>
        <w:tc>
          <w:tcPr>
            <w:tcW w:w="5916" w:type="dxa"/>
            <w:tcBorders>
              <w:top w:val="outset" w:sz="6" w:space="0" w:color="auto"/>
              <w:left w:val="outset" w:sz="6" w:space="0" w:color="auto"/>
              <w:bottom w:val="outset" w:sz="6" w:space="0" w:color="auto"/>
              <w:right w:val="outset" w:sz="6" w:space="0" w:color="auto"/>
            </w:tcBorders>
          </w:tcPr>
          <w:p w:rsidR="003A286D" w:rsidRPr="00034F24" w:rsidRDefault="003A286D" w:rsidP="003A286D">
            <w:pPr>
              <w:jc w:val="both"/>
            </w:pPr>
            <w:r w:rsidRPr="00034F24">
              <w:t>Par projektu informēta sabiedrība, informāciju publicējot Iekšlietu ministrijas, Pilsonības un migrācijas lietu pārvaldes mājaslapās.</w:t>
            </w:r>
          </w:p>
        </w:tc>
      </w:tr>
      <w:tr w:rsidR="003A286D" w:rsidRPr="00034F24" w:rsidTr="000D4AC4">
        <w:trPr>
          <w:trHeight w:val="330"/>
          <w:tblCellSpacing w:w="15" w:type="dxa"/>
        </w:trPr>
        <w:tc>
          <w:tcPr>
            <w:tcW w:w="456" w:type="dxa"/>
            <w:tcBorders>
              <w:top w:val="outset" w:sz="6" w:space="0" w:color="auto"/>
              <w:left w:val="outset" w:sz="6" w:space="0" w:color="auto"/>
              <w:bottom w:val="outset" w:sz="6" w:space="0" w:color="auto"/>
              <w:right w:val="outset" w:sz="6" w:space="0" w:color="auto"/>
            </w:tcBorders>
          </w:tcPr>
          <w:p w:rsidR="003A286D" w:rsidRPr="00034F24" w:rsidRDefault="003A286D" w:rsidP="003A286D">
            <w:r w:rsidRPr="00034F24">
              <w:t>2.</w:t>
            </w:r>
          </w:p>
        </w:tc>
        <w:tc>
          <w:tcPr>
            <w:tcW w:w="2729" w:type="dxa"/>
            <w:tcBorders>
              <w:top w:val="outset" w:sz="6" w:space="0" w:color="auto"/>
              <w:left w:val="outset" w:sz="6" w:space="0" w:color="auto"/>
              <w:bottom w:val="outset" w:sz="6" w:space="0" w:color="auto"/>
              <w:right w:val="outset" w:sz="6" w:space="0" w:color="auto"/>
            </w:tcBorders>
          </w:tcPr>
          <w:p w:rsidR="003A286D" w:rsidRPr="00034F24" w:rsidRDefault="003A286D" w:rsidP="003A286D">
            <w:r w:rsidRPr="00034F24">
              <w:t>Sabiedrības līdzdalība projekta izstrādē</w:t>
            </w:r>
          </w:p>
        </w:tc>
        <w:tc>
          <w:tcPr>
            <w:tcW w:w="5916" w:type="dxa"/>
            <w:tcBorders>
              <w:top w:val="outset" w:sz="6" w:space="0" w:color="auto"/>
              <w:left w:val="outset" w:sz="6" w:space="0" w:color="auto"/>
              <w:bottom w:val="outset" w:sz="6" w:space="0" w:color="auto"/>
              <w:right w:val="outset" w:sz="6" w:space="0" w:color="auto"/>
            </w:tcBorders>
          </w:tcPr>
          <w:p w:rsidR="003A286D" w:rsidRPr="00034F24" w:rsidRDefault="003A286D" w:rsidP="003A286D">
            <w:pPr>
              <w:jc w:val="both"/>
            </w:pPr>
            <w:r w:rsidRPr="00034F24">
              <w:rPr>
                <w:rFonts w:eastAsia="Calibri"/>
              </w:rPr>
              <w:t xml:space="preserve">Projekts 2016.gada novembrī ievietots Pilsonības un migrācijas lietu pārvaldes mājaslapā sadaļā “Tiesību aktu projekti” un Iekšlietu ministrijas mājaslapā sadaļā “Sabiedrības līdzdalība”, kā arī </w:t>
            </w:r>
            <w:r w:rsidRPr="00034F24">
              <w:t>Valsts kancelejas mājaslapā.</w:t>
            </w:r>
            <w:r w:rsidRPr="00034F24">
              <w:rPr>
                <w:rFonts w:eastAsia="Calibri"/>
              </w:rPr>
              <w:t xml:space="preserve"> Sabiedrības pārstāvjiem tika dota iespēja līdzdarboties projekta izstrādē, rakstveidā sniedzot viedokli par projektu</w:t>
            </w:r>
            <w:r w:rsidRPr="00034F24">
              <w:t>.</w:t>
            </w:r>
          </w:p>
        </w:tc>
      </w:tr>
      <w:tr w:rsidR="003A286D" w:rsidRPr="00034F24" w:rsidTr="000D4AC4">
        <w:trPr>
          <w:trHeight w:val="465"/>
          <w:tblCellSpacing w:w="15" w:type="dxa"/>
        </w:trPr>
        <w:tc>
          <w:tcPr>
            <w:tcW w:w="456" w:type="dxa"/>
            <w:tcBorders>
              <w:top w:val="outset" w:sz="6" w:space="0" w:color="auto"/>
              <w:left w:val="outset" w:sz="6" w:space="0" w:color="auto"/>
              <w:bottom w:val="outset" w:sz="6" w:space="0" w:color="auto"/>
              <w:right w:val="outset" w:sz="6" w:space="0" w:color="auto"/>
            </w:tcBorders>
          </w:tcPr>
          <w:p w:rsidR="003A286D" w:rsidRPr="00034F24" w:rsidRDefault="003A286D" w:rsidP="00446662">
            <w:r w:rsidRPr="00034F24">
              <w:t>3.</w:t>
            </w:r>
          </w:p>
        </w:tc>
        <w:tc>
          <w:tcPr>
            <w:tcW w:w="2729" w:type="dxa"/>
            <w:tcBorders>
              <w:top w:val="outset" w:sz="6" w:space="0" w:color="auto"/>
              <w:left w:val="outset" w:sz="6" w:space="0" w:color="auto"/>
              <w:bottom w:val="outset" w:sz="6" w:space="0" w:color="auto"/>
              <w:right w:val="outset" w:sz="6" w:space="0" w:color="auto"/>
            </w:tcBorders>
          </w:tcPr>
          <w:p w:rsidR="003A286D" w:rsidRPr="00034F24" w:rsidRDefault="003A286D" w:rsidP="00446662">
            <w:r w:rsidRPr="00034F24">
              <w:t>Sabiedrības līdzdalības rezultāti</w:t>
            </w:r>
          </w:p>
        </w:tc>
        <w:tc>
          <w:tcPr>
            <w:tcW w:w="5916" w:type="dxa"/>
            <w:tcBorders>
              <w:top w:val="outset" w:sz="6" w:space="0" w:color="auto"/>
              <w:left w:val="outset" w:sz="6" w:space="0" w:color="auto"/>
              <w:bottom w:val="outset" w:sz="6" w:space="0" w:color="auto"/>
              <w:right w:val="outset" w:sz="6" w:space="0" w:color="auto"/>
            </w:tcBorders>
          </w:tcPr>
          <w:p w:rsidR="003A286D" w:rsidRPr="00034F24" w:rsidRDefault="003A286D" w:rsidP="00446662">
            <w:pPr>
              <w:jc w:val="both"/>
            </w:pPr>
            <w:r w:rsidRPr="00034F24">
              <w:t>Komentāri par projektu nav saņemti</w:t>
            </w:r>
          </w:p>
        </w:tc>
      </w:tr>
      <w:tr w:rsidR="003A286D" w:rsidRPr="00034F24" w:rsidTr="000D4AC4">
        <w:trPr>
          <w:trHeight w:val="263"/>
          <w:tblCellSpacing w:w="15" w:type="dxa"/>
        </w:trPr>
        <w:tc>
          <w:tcPr>
            <w:tcW w:w="456" w:type="dxa"/>
            <w:tcBorders>
              <w:top w:val="outset" w:sz="6" w:space="0" w:color="auto"/>
              <w:left w:val="outset" w:sz="6" w:space="0" w:color="auto"/>
              <w:bottom w:val="outset" w:sz="6" w:space="0" w:color="auto"/>
              <w:right w:val="outset" w:sz="6" w:space="0" w:color="auto"/>
            </w:tcBorders>
          </w:tcPr>
          <w:p w:rsidR="003A286D" w:rsidRPr="00034F24" w:rsidRDefault="003A286D" w:rsidP="00446662">
            <w:r w:rsidRPr="00034F24">
              <w:t>4.</w:t>
            </w:r>
          </w:p>
        </w:tc>
        <w:tc>
          <w:tcPr>
            <w:tcW w:w="2729" w:type="dxa"/>
            <w:tcBorders>
              <w:top w:val="outset" w:sz="6" w:space="0" w:color="auto"/>
              <w:left w:val="outset" w:sz="6" w:space="0" w:color="auto"/>
              <w:bottom w:val="outset" w:sz="6" w:space="0" w:color="auto"/>
              <w:right w:val="outset" w:sz="6" w:space="0" w:color="auto"/>
            </w:tcBorders>
          </w:tcPr>
          <w:p w:rsidR="003A286D" w:rsidRPr="00034F24" w:rsidRDefault="003A286D" w:rsidP="00446662">
            <w:r w:rsidRPr="00034F24">
              <w:t>Cita informācija</w:t>
            </w:r>
          </w:p>
        </w:tc>
        <w:tc>
          <w:tcPr>
            <w:tcW w:w="5916" w:type="dxa"/>
            <w:tcBorders>
              <w:top w:val="outset" w:sz="6" w:space="0" w:color="auto"/>
              <w:left w:val="outset" w:sz="6" w:space="0" w:color="auto"/>
              <w:bottom w:val="outset" w:sz="6" w:space="0" w:color="auto"/>
              <w:right w:val="outset" w:sz="6" w:space="0" w:color="auto"/>
            </w:tcBorders>
          </w:tcPr>
          <w:p w:rsidR="003A286D" w:rsidRPr="00034F24" w:rsidRDefault="003A286D" w:rsidP="00446662">
            <w:pPr>
              <w:spacing w:before="100" w:beforeAutospacing="1" w:after="100" w:afterAutospacing="1" w:line="360" w:lineRule="auto"/>
              <w:ind w:firstLine="16"/>
            </w:pPr>
            <w:r w:rsidRPr="00034F24">
              <w:t>Nav.</w:t>
            </w:r>
          </w:p>
        </w:tc>
      </w:tr>
    </w:tbl>
    <w:p w:rsidR="003A286D" w:rsidRPr="00034F24" w:rsidRDefault="003A286D" w:rsidP="003A286D">
      <w:pPr>
        <w:rPr>
          <w:sz w:val="16"/>
          <w:szCs w:val="16"/>
        </w:rPr>
      </w:pPr>
    </w:p>
    <w:p w:rsidR="004A7CFE" w:rsidRPr="00034F24" w:rsidRDefault="004A7CFE" w:rsidP="003A286D">
      <w:pPr>
        <w:rPr>
          <w:sz w:val="16"/>
          <w:szCs w:val="16"/>
        </w:rPr>
      </w:pPr>
    </w:p>
    <w:p w:rsidR="004A7CFE" w:rsidRPr="00034F24" w:rsidRDefault="004A7CFE" w:rsidP="003A286D">
      <w:pPr>
        <w:rPr>
          <w:sz w:val="16"/>
          <w:szCs w:val="16"/>
        </w:rPr>
      </w:pPr>
    </w:p>
    <w:tbl>
      <w:tblPr>
        <w:tblW w:w="9221" w:type="dxa"/>
        <w:tblCellSpacing w:w="15" w:type="dxa"/>
        <w:tblInd w:w="501"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500"/>
        <w:gridCol w:w="3488"/>
        <w:gridCol w:w="5233"/>
      </w:tblGrid>
      <w:tr w:rsidR="003A286D" w:rsidRPr="00034F24" w:rsidTr="000D4AC4">
        <w:trPr>
          <w:trHeight w:val="375"/>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tcPr>
          <w:p w:rsidR="003A286D" w:rsidRPr="00034F24" w:rsidRDefault="003A286D" w:rsidP="00446662">
            <w:pPr>
              <w:spacing w:before="100" w:beforeAutospacing="1" w:after="100" w:afterAutospacing="1"/>
              <w:jc w:val="center"/>
              <w:rPr>
                <w:b/>
                <w:bCs/>
              </w:rPr>
            </w:pPr>
            <w:r w:rsidRPr="00034F24">
              <w:rPr>
                <w:b/>
                <w:bCs/>
              </w:rPr>
              <w:t>VII. Tiesību akta projekta izpildes nodrošināšana un tās ietekme uz institūcijām</w:t>
            </w:r>
          </w:p>
        </w:tc>
      </w:tr>
      <w:tr w:rsidR="000D4AC4" w:rsidRPr="00034F24" w:rsidTr="000D4AC4">
        <w:trPr>
          <w:trHeight w:val="375"/>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tcPr>
          <w:p w:rsidR="000D4AC4" w:rsidRPr="00034F24" w:rsidRDefault="000D4AC4" w:rsidP="00446662">
            <w:pPr>
              <w:spacing w:before="100" w:beforeAutospacing="1" w:after="100" w:afterAutospacing="1"/>
              <w:jc w:val="center"/>
              <w:rPr>
                <w:b/>
                <w:bCs/>
              </w:rPr>
            </w:pPr>
          </w:p>
        </w:tc>
      </w:tr>
      <w:tr w:rsidR="003A286D" w:rsidRPr="00034F24" w:rsidTr="000D4AC4">
        <w:trPr>
          <w:trHeight w:val="420"/>
          <w:tblCellSpacing w:w="15" w:type="dxa"/>
        </w:trPr>
        <w:tc>
          <w:tcPr>
            <w:tcW w:w="455" w:type="dxa"/>
            <w:tcBorders>
              <w:top w:val="outset" w:sz="6" w:space="0" w:color="auto"/>
              <w:left w:val="outset" w:sz="6" w:space="0" w:color="auto"/>
              <w:bottom w:val="outset" w:sz="6" w:space="0" w:color="auto"/>
              <w:right w:val="outset" w:sz="6" w:space="0" w:color="auto"/>
            </w:tcBorders>
          </w:tcPr>
          <w:p w:rsidR="003A286D" w:rsidRPr="00034F24" w:rsidRDefault="003A286D" w:rsidP="00446662">
            <w:r w:rsidRPr="00034F24">
              <w:t>1.</w:t>
            </w:r>
          </w:p>
        </w:tc>
        <w:tc>
          <w:tcPr>
            <w:tcW w:w="3458" w:type="dxa"/>
            <w:tcBorders>
              <w:top w:val="outset" w:sz="6" w:space="0" w:color="auto"/>
              <w:left w:val="outset" w:sz="6" w:space="0" w:color="auto"/>
              <w:bottom w:val="outset" w:sz="6" w:space="0" w:color="auto"/>
              <w:right w:val="outset" w:sz="6" w:space="0" w:color="auto"/>
            </w:tcBorders>
          </w:tcPr>
          <w:p w:rsidR="003A286D" w:rsidRPr="00034F24" w:rsidRDefault="003A286D" w:rsidP="00446662">
            <w:r w:rsidRPr="00034F24">
              <w:t>Projekta izpildē iesaistītās institūcijas</w:t>
            </w:r>
          </w:p>
        </w:tc>
        <w:tc>
          <w:tcPr>
            <w:tcW w:w="5188" w:type="dxa"/>
            <w:tcBorders>
              <w:top w:val="outset" w:sz="6" w:space="0" w:color="auto"/>
              <w:left w:val="outset" w:sz="6" w:space="0" w:color="auto"/>
              <w:bottom w:val="outset" w:sz="6" w:space="0" w:color="auto"/>
              <w:right w:val="outset" w:sz="6" w:space="0" w:color="auto"/>
            </w:tcBorders>
          </w:tcPr>
          <w:p w:rsidR="003A286D" w:rsidRPr="00034F24" w:rsidRDefault="003A286D" w:rsidP="009E1AE2">
            <w:pPr>
              <w:jc w:val="both"/>
            </w:pPr>
            <w:r w:rsidRPr="00034F24">
              <w:t>Pilsonības un migrācijas lietu pārvalde.</w:t>
            </w:r>
          </w:p>
        </w:tc>
      </w:tr>
      <w:tr w:rsidR="003A286D" w:rsidRPr="00034F24" w:rsidTr="000D4AC4">
        <w:trPr>
          <w:trHeight w:val="450"/>
          <w:tblCellSpacing w:w="15" w:type="dxa"/>
        </w:trPr>
        <w:tc>
          <w:tcPr>
            <w:tcW w:w="455" w:type="dxa"/>
            <w:tcBorders>
              <w:top w:val="outset" w:sz="6" w:space="0" w:color="auto"/>
              <w:left w:val="outset" w:sz="6" w:space="0" w:color="auto"/>
              <w:bottom w:val="outset" w:sz="6" w:space="0" w:color="auto"/>
              <w:right w:val="outset" w:sz="6" w:space="0" w:color="auto"/>
            </w:tcBorders>
          </w:tcPr>
          <w:p w:rsidR="003A286D" w:rsidRPr="00034F24" w:rsidRDefault="003A286D" w:rsidP="00446662">
            <w:r w:rsidRPr="00034F24">
              <w:t>2.</w:t>
            </w:r>
          </w:p>
        </w:tc>
        <w:tc>
          <w:tcPr>
            <w:tcW w:w="3458" w:type="dxa"/>
            <w:tcBorders>
              <w:top w:val="outset" w:sz="6" w:space="0" w:color="auto"/>
              <w:left w:val="outset" w:sz="6" w:space="0" w:color="auto"/>
              <w:bottom w:val="outset" w:sz="6" w:space="0" w:color="auto"/>
              <w:right w:val="outset" w:sz="6" w:space="0" w:color="auto"/>
            </w:tcBorders>
          </w:tcPr>
          <w:p w:rsidR="003A286D" w:rsidRPr="00034F24" w:rsidRDefault="003A286D" w:rsidP="00446662">
            <w:r w:rsidRPr="00034F24">
              <w:t xml:space="preserve">Projekta izpildes ietekme uz pārvaldes funkcijām un institucionālo struktūru. </w:t>
            </w:r>
          </w:p>
          <w:p w:rsidR="003A286D" w:rsidRPr="00034F24" w:rsidRDefault="003A286D" w:rsidP="00446662">
            <w:pPr>
              <w:spacing w:before="100" w:beforeAutospacing="1" w:after="100" w:afterAutospacing="1"/>
            </w:pPr>
            <w:r w:rsidRPr="00034F24">
              <w:t>Jaunu institūciju izveide, esošu institūciju likvidācija vai reorganizācija, to ietekme uz institūcijas cilvēkresursiem</w:t>
            </w:r>
          </w:p>
        </w:tc>
        <w:tc>
          <w:tcPr>
            <w:tcW w:w="5188" w:type="dxa"/>
            <w:tcBorders>
              <w:top w:val="outset" w:sz="6" w:space="0" w:color="auto"/>
              <w:left w:val="outset" w:sz="6" w:space="0" w:color="auto"/>
              <w:bottom w:val="outset" w:sz="6" w:space="0" w:color="auto"/>
              <w:right w:val="outset" w:sz="6" w:space="0" w:color="auto"/>
            </w:tcBorders>
          </w:tcPr>
          <w:p w:rsidR="003A286D" w:rsidRPr="00034F24" w:rsidRDefault="003A286D" w:rsidP="00446662">
            <w:pPr>
              <w:jc w:val="both"/>
            </w:pPr>
            <w:r w:rsidRPr="00034F24">
              <w:t>Projekta izpildes rezultātā nav paredzēta esošu institūciju likvidācija vai reorganizācija. Iestāžu institucionālā struktūra netiek ietekmēta, papildus cilvēkresursi nav nepieciešami.</w:t>
            </w:r>
          </w:p>
        </w:tc>
      </w:tr>
      <w:tr w:rsidR="003A286D" w:rsidRPr="00034F24" w:rsidTr="000D4AC4">
        <w:trPr>
          <w:trHeight w:val="216"/>
          <w:tblCellSpacing w:w="15" w:type="dxa"/>
        </w:trPr>
        <w:tc>
          <w:tcPr>
            <w:tcW w:w="455" w:type="dxa"/>
            <w:tcBorders>
              <w:top w:val="outset" w:sz="6" w:space="0" w:color="auto"/>
              <w:left w:val="outset" w:sz="6" w:space="0" w:color="auto"/>
              <w:bottom w:val="outset" w:sz="6" w:space="0" w:color="auto"/>
              <w:right w:val="outset" w:sz="6" w:space="0" w:color="auto"/>
            </w:tcBorders>
          </w:tcPr>
          <w:p w:rsidR="003A286D" w:rsidRPr="00034F24" w:rsidRDefault="003A286D" w:rsidP="00446662">
            <w:r w:rsidRPr="00034F24">
              <w:t>3.</w:t>
            </w:r>
          </w:p>
        </w:tc>
        <w:tc>
          <w:tcPr>
            <w:tcW w:w="3458" w:type="dxa"/>
            <w:tcBorders>
              <w:top w:val="outset" w:sz="6" w:space="0" w:color="auto"/>
              <w:left w:val="outset" w:sz="6" w:space="0" w:color="auto"/>
              <w:bottom w:val="outset" w:sz="6" w:space="0" w:color="auto"/>
              <w:right w:val="outset" w:sz="6" w:space="0" w:color="auto"/>
            </w:tcBorders>
          </w:tcPr>
          <w:p w:rsidR="003A286D" w:rsidRPr="00034F24" w:rsidRDefault="003A286D" w:rsidP="00446662">
            <w:r w:rsidRPr="00034F24">
              <w:t>Cita informācija</w:t>
            </w:r>
          </w:p>
        </w:tc>
        <w:tc>
          <w:tcPr>
            <w:tcW w:w="5188" w:type="dxa"/>
            <w:tcBorders>
              <w:top w:val="outset" w:sz="6" w:space="0" w:color="auto"/>
              <w:left w:val="outset" w:sz="6" w:space="0" w:color="auto"/>
              <w:bottom w:val="outset" w:sz="6" w:space="0" w:color="auto"/>
              <w:right w:val="outset" w:sz="6" w:space="0" w:color="auto"/>
            </w:tcBorders>
          </w:tcPr>
          <w:p w:rsidR="003A286D" w:rsidRPr="00034F24" w:rsidRDefault="003A286D" w:rsidP="00446662">
            <w:pPr>
              <w:spacing w:before="100" w:beforeAutospacing="1" w:after="100" w:afterAutospacing="1"/>
            </w:pPr>
            <w:r w:rsidRPr="00034F24">
              <w:t>Nav.</w:t>
            </w:r>
          </w:p>
        </w:tc>
      </w:tr>
    </w:tbl>
    <w:p w:rsidR="003A286D" w:rsidRDefault="003A286D" w:rsidP="003A286D"/>
    <w:p w:rsidR="000D4AC4" w:rsidRPr="00034F24" w:rsidRDefault="000D4AC4" w:rsidP="003A286D"/>
    <w:p w:rsidR="003A286D" w:rsidRPr="00034F24" w:rsidRDefault="003A286D" w:rsidP="003A286D"/>
    <w:p w:rsidR="003A286D" w:rsidRPr="00034F24" w:rsidRDefault="003A286D" w:rsidP="003A286D">
      <w:r w:rsidRPr="00034F24">
        <w:t xml:space="preserve">Iekšlietu ministrs </w:t>
      </w:r>
      <w:r w:rsidRPr="00034F24">
        <w:tab/>
      </w:r>
      <w:r w:rsidRPr="00034F24">
        <w:tab/>
      </w:r>
      <w:r w:rsidRPr="00034F24">
        <w:tab/>
      </w:r>
      <w:r w:rsidRPr="00034F24">
        <w:tab/>
      </w:r>
      <w:r w:rsidRPr="00034F24">
        <w:tab/>
      </w:r>
      <w:r w:rsidRPr="00034F24">
        <w:tab/>
      </w:r>
      <w:r w:rsidRPr="00034F24">
        <w:tab/>
        <w:t xml:space="preserve">                R.Kozlovskis</w:t>
      </w:r>
    </w:p>
    <w:p w:rsidR="003A286D" w:rsidRPr="00034F24" w:rsidRDefault="003A286D" w:rsidP="003A286D"/>
    <w:p w:rsidR="00DD162A" w:rsidRPr="00034F24" w:rsidRDefault="00DD162A" w:rsidP="003A286D"/>
    <w:p w:rsidR="00BB5847" w:rsidRPr="00034F24" w:rsidRDefault="00BB5847" w:rsidP="003A286D"/>
    <w:p w:rsidR="003A286D" w:rsidRPr="00034F24" w:rsidRDefault="003A286D" w:rsidP="003A286D">
      <w:r w:rsidRPr="00034F24">
        <w:t>Vīza:</w:t>
      </w:r>
    </w:p>
    <w:p w:rsidR="003A286D" w:rsidRPr="00034F24" w:rsidRDefault="003A286D" w:rsidP="003A286D">
      <w:pPr>
        <w:rPr>
          <w:sz w:val="20"/>
          <w:szCs w:val="20"/>
        </w:rPr>
      </w:pPr>
      <w:r w:rsidRPr="00034F24">
        <w:t xml:space="preserve"> Valsts sekretāre</w:t>
      </w:r>
      <w:r w:rsidRPr="00034F24">
        <w:tab/>
      </w:r>
      <w:r w:rsidRPr="00034F24">
        <w:tab/>
      </w:r>
      <w:r w:rsidRPr="00034F24">
        <w:tab/>
      </w:r>
      <w:r w:rsidRPr="00034F24">
        <w:tab/>
      </w:r>
      <w:r w:rsidRPr="00034F24">
        <w:tab/>
        <w:t xml:space="preserve">             </w:t>
      </w:r>
      <w:r w:rsidRPr="00034F24">
        <w:tab/>
        <w:t>I.Pētersone – Godmane</w:t>
      </w:r>
    </w:p>
    <w:p w:rsidR="001354DA" w:rsidRPr="00034F24" w:rsidRDefault="001354DA" w:rsidP="003A286D">
      <w:pPr>
        <w:rPr>
          <w:sz w:val="20"/>
          <w:szCs w:val="20"/>
        </w:rPr>
      </w:pPr>
    </w:p>
    <w:p w:rsidR="00DD162A" w:rsidRDefault="00DD162A" w:rsidP="003A286D">
      <w:pPr>
        <w:rPr>
          <w:sz w:val="20"/>
          <w:szCs w:val="20"/>
        </w:rPr>
      </w:pPr>
    </w:p>
    <w:p w:rsidR="000D4AC4" w:rsidRDefault="000D4AC4" w:rsidP="003A286D">
      <w:pPr>
        <w:rPr>
          <w:sz w:val="20"/>
          <w:szCs w:val="20"/>
        </w:rPr>
      </w:pPr>
    </w:p>
    <w:p w:rsidR="00046CC2" w:rsidRPr="00034F24" w:rsidRDefault="00046CC2" w:rsidP="003A286D">
      <w:pPr>
        <w:rPr>
          <w:sz w:val="20"/>
          <w:szCs w:val="20"/>
        </w:rPr>
      </w:pPr>
      <w:bookmarkStart w:id="0" w:name="_GoBack"/>
      <w:bookmarkEnd w:id="0"/>
    </w:p>
    <w:p w:rsidR="00DD162A" w:rsidRPr="00034F24" w:rsidRDefault="00DD162A" w:rsidP="003A286D">
      <w:pPr>
        <w:rPr>
          <w:sz w:val="20"/>
          <w:szCs w:val="20"/>
        </w:rPr>
      </w:pPr>
    </w:p>
    <w:p w:rsidR="003A286D" w:rsidRPr="00034F24" w:rsidRDefault="003A286D" w:rsidP="003A286D">
      <w:pPr>
        <w:rPr>
          <w:sz w:val="20"/>
          <w:szCs w:val="20"/>
        </w:rPr>
      </w:pPr>
      <w:r w:rsidRPr="00034F24">
        <w:rPr>
          <w:sz w:val="20"/>
          <w:szCs w:val="20"/>
        </w:rPr>
        <w:t>Stone, 67219425</w:t>
      </w:r>
    </w:p>
    <w:p w:rsidR="003F4D6B" w:rsidRPr="00034F24" w:rsidRDefault="00B607CE" w:rsidP="003A286D">
      <w:hyperlink r:id="rId21" w:history="1">
        <w:r w:rsidR="003A286D" w:rsidRPr="00034F24">
          <w:rPr>
            <w:rStyle w:val="Hyperlink"/>
            <w:sz w:val="20"/>
            <w:szCs w:val="20"/>
            <w:u w:val="none"/>
          </w:rPr>
          <w:t>kristine.stone@pmlp.gov.lv</w:t>
        </w:r>
      </w:hyperlink>
    </w:p>
    <w:sectPr w:rsidR="003F4D6B" w:rsidRPr="00034F24" w:rsidSect="005C709E">
      <w:headerReference w:type="default" r:id="rId22"/>
      <w:footerReference w:type="default" r:id="rId23"/>
      <w:footerReference w:type="first" r:id="rId24"/>
      <w:pgSz w:w="11906" w:h="16838"/>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C4F" w:rsidRDefault="00285C4F" w:rsidP="00AA747A">
      <w:r>
        <w:separator/>
      </w:r>
    </w:p>
  </w:endnote>
  <w:endnote w:type="continuationSeparator" w:id="0">
    <w:p w:rsidR="00285C4F" w:rsidRDefault="00285C4F" w:rsidP="00AA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C4F" w:rsidRPr="00F90F78" w:rsidRDefault="00034F24" w:rsidP="00563F22">
    <w:pPr>
      <w:pStyle w:val="Footer"/>
      <w:jc w:val="both"/>
      <w:rPr>
        <w:sz w:val="20"/>
        <w:szCs w:val="20"/>
      </w:rPr>
    </w:pPr>
    <w:r>
      <w:rPr>
        <w:sz w:val="20"/>
        <w:szCs w:val="20"/>
      </w:rPr>
      <w:t>IEMAnot_</w:t>
    </w:r>
    <w:r w:rsidR="00B607CE">
      <w:rPr>
        <w:sz w:val="20"/>
        <w:szCs w:val="20"/>
      </w:rPr>
      <w:t>0103</w:t>
    </w:r>
    <w:r w:rsidR="00285C4F">
      <w:rPr>
        <w:sz w:val="20"/>
        <w:szCs w:val="20"/>
      </w:rPr>
      <w:t xml:space="preserve">17_grozIeR; Likumprojekta </w:t>
    </w:r>
    <w:r w:rsidR="00285C4F" w:rsidRPr="00563F22">
      <w:t>“</w:t>
    </w:r>
    <w:r w:rsidR="00285C4F">
      <w:rPr>
        <w:sz w:val="20"/>
        <w:szCs w:val="20"/>
      </w:rPr>
      <w:t>Grozījumi Iedzīvotāju reģistra likumā” sākotnējās ietekmes novērtējuma ziņojums (</w:t>
    </w:r>
    <w:r w:rsidR="00285C4F">
      <w:rPr>
        <w:color w:val="000000"/>
        <w:sz w:val="20"/>
        <w:szCs w:val="20"/>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C4F" w:rsidRPr="00F90F78" w:rsidRDefault="00046CC2" w:rsidP="00563F22">
    <w:pPr>
      <w:pStyle w:val="Footer"/>
      <w:jc w:val="both"/>
      <w:rPr>
        <w:sz w:val="20"/>
        <w:szCs w:val="20"/>
      </w:rPr>
    </w:pPr>
    <w:r>
      <w:rPr>
        <w:sz w:val="20"/>
        <w:szCs w:val="20"/>
      </w:rPr>
      <w:t>IEMAnot_</w:t>
    </w:r>
    <w:r w:rsidR="00B607CE">
      <w:rPr>
        <w:sz w:val="20"/>
        <w:szCs w:val="20"/>
      </w:rPr>
      <w:t>0103</w:t>
    </w:r>
    <w:r w:rsidR="00285C4F">
      <w:rPr>
        <w:sz w:val="20"/>
        <w:szCs w:val="20"/>
      </w:rPr>
      <w:t xml:space="preserve">17_grozIeR; Likumprojekta </w:t>
    </w:r>
    <w:r w:rsidR="00285C4F" w:rsidRPr="00563F22">
      <w:t>“</w:t>
    </w:r>
    <w:r w:rsidR="00285C4F">
      <w:rPr>
        <w:sz w:val="20"/>
        <w:szCs w:val="20"/>
      </w:rPr>
      <w:t>Grozījumi Iedzīvotāju reģistra likumā” sākotnējās ietekmes novērtējuma ziņojums (</w:t>
    </w:r>
    <w:r w:rsidR="00285C4F">
      <w:rPr>
        <w:color w:val="000000"/>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C4F" w:rsidRDefault="00285C4F" w:rsidP="00AA747A">
      <w:r>
        <w:separator/>
      </w:r>
    </w:p>
  </w:footnote>
  <w:footnote w:type="continuationSeparator" w:id="0">
    <w:p w:rsidR="00285C4F" w:rsidRDefault="00285C4F" w:rsidP="00AA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C4F" w:rsidRDefault="00285C4F">
    <w:pPr>
      <w:pStyle w:val="Header"/>
      <w:jc w:val="center"/>
    </w:pPr>
    <w:r>
      <w:fldChar w:fldCharType="begin"/>
    </w:r>
    <w:r>
      <w:instrText xml:space="preserve"> PAGE   \* MERGEFORMAT </w:instrText>
    </w:r>
    <w:r>
      <w:fldChar w:fldCharType="separate"/>
    </w:r>
    <w:r w:rsidR="00B607CE">
      <w:rPr>
        <w:noProof/>
      </w:rPr>
      <w:t>15</w:t>
    </w:r>
    <w:r>
      <w:rPr>
        <w:noProof/>
      </w:rPr>
      <w:fldChar w:fldCharType="end"/>
    </w:r>
  </w:p>
  <w:p w:rsidR="00285C4F" w:rsidRDefault="00285C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5"/>
      <w:numFmt w:val="decimal"/>
      <w:suff w:val="nothing"/>
      <w:lvlText w:val="%1."/>
      <w:lvlJc w:val="left"/>
    </w:lvl>
  </w:abstractNum>
  <w:abstractNum w:abstractNumId="1" w15:restartNumberingAfterBreak="0">
    <w:nsid w:val="0CE144AD"/>
    <w:multiLevelType w:val="hybridMultilevel"/>
    <w:tmpl w:val="A8B25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C16AE6"/>
    <w:multiLevelType w:val="hybridMultilevel"/>
    <w:tmpl w:val="8A72E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9E7149E"/>
    <w:multiLevelType w:val="hybridMultilevel"/>
    <w:tmpl w:val="E250C54A"/>
    <w:lvl w:ilvl="0" w:tplc="04260001">
      <w:start w:val="1"/>
      <w:numFmt w:val="bullet"/>
      <w:lvlText w:val=""/>
      <w:lvlJc w:val="left"/>
      <w:pPr>
        <w:ind w:left="1236" w:hanging="360"/>
      </w:pPr>
      <w:rPr>
        <w:rFonts w:ascii="Symbol" w:hAnsi="Symbol" w:hint="default"/>
      </w:rPr>
    </w:lvl>
    <w:lvl w:ilvl="1" w:tplc="04260003" w:tentative="1">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abstractNum w:abstractNumId="4" w15:restartNumberingAfterBreak="0">
    <w:nsid w:val="661F031A"/>
    <w:multiLevelType w:val="hybridMultilevel"/>
    <w:tmpl w:val="655AB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8A25599"/>
    <w:multiLevelType w:val="hybridMultilevel"/>
    <w:tmpl w:val="4DC6166A"/>
    <w:lvl w:ilvl="0" w:tplc="CCC4F30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6B3A6DE8"/>
    <w:multiLevelType w:val="hybridMultilevel"/>
    <w:tmpl w:val="F7E22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94B0347"/>
    <w:multiLevelType w:val="hybridMultilevel"/>
    <w:tmpl w:val="CA0CE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D5C15A6"/>
    <w:multiLevelType w:val="hybridMultilevel"/>
    <w:tmpl w:val="79F67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8"/>
  </w:num>
  <w:num w:numId="5">
    <w:abstractNumId w:val="1"/>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286D"/>
    <w:rsid w:val="00001089"/>
    <w:rsid w:val="00034F24"/>
    <w:rsid w:val="00046CC2"/>
    <w:rsid w:val="00080634"/>
    <w:rsid w:val="000A427C"/>
    <w:rsid w:val="000D4AC4"/>
    <w:rsid w:val="000E3561"/>
    <w:rsid w:val="00120891"/>
    <w:rsid w:val="0012655D"/>
    <w:rsid w:val="001354DA"/>
    <w:rsid w:val="001B2A7B"/>
    <w:rsid w:val="001D2686"/>
    <w:rsid w:val="001D5593"/>
    <w:rsid w:val="001E5241"/>
    <w:rsid w:val="001F0746"/>
    <w:rsid w:val="00217625"/>
    <w:rsid w:val="00244635"/>
    <w:rsid w:val="00277A55"/>
    <w:rsid w:val="00285C4F"/>
    <w:rsid w:val="0028634C"/>
    <w:rsid w:val="002956E8"/>
    <w:rsid w:val="002C5E98"/>
    <w:rsid w:val="0030574D"/>
    <w:rsid w:val="00331199"/>
    <w:rsid w:val="00332051"/>
    <w:rsid w:val="0034483E"/>
    <w:rsid w:val="00353964"/>
    <w:rsid w:val="00364D7C"/>
    <w:rsid w:val="00385B03"/>
    <w:rsid w:val="00386A44"/>
    <w:rsid w:val="00390B1F"/>
    <w:rsid w:val="003A286D"/>
    <w:rsid w:val="003B41F4"/>
    <w:rsid w:val="003C2807"/>
    <w:rsid w:val="003D7E28"/>
    <w:rsid w:val="003F4D6B"/>
    <w:rsid w:val="00446662"/>
    <w:rsid w:val="0045027D"/>
    <w:rsid w:val="00454538"/>
    <w:rsid w:val="00474DEA"/>
    <w:rsid w:val="004A657E"/>
    <w:rsid w:val="004A7CFE"/>
    <w:rsid w:val="004D593D"/>
    <w:rsid w:val="004E464A"/>
    <w:rsid w:val="00563F22"/>
    <w:rsid w:val="00564642"/>
    <w:rsid w:val="005801BE"/>
    <w:rsid w:val="00586A4A"/>
    <w:rsid w:val="005C709E"/>
    <w:rsid w:val="005C75A1"/>
    <w:rsid w:val="00622FCF"/>
    <w:rsid w:val="0063202D"/>
    <w:rsid w:val="006337EF"/>
    <w:rsid w:val="006625A6"/>
    <w:rsid w:val="006724B2"/>
    <w:rsid w:val="00697B81"/>
    <w:rsid w:val="006E7B28"/>
    <w:rsid w:val="00741AE5"/>
    <w:rsid w:val="00770A29"/>
    <w:rsid w:val="007F5C8A"/>
    <w:rsid w:val="007F797A"/>
    <w:rsid w:val="008C0B47"/>
    <w:rsid w:val="008D39DB"/>
    <w:rsid w:val="008E1AC5"/>
    <w:rsid w:val="00930B57"/>
    <w:rsid w:val="009342A0"/>
    <w:rsid w:val="009442C9"/>
    <w:rsid w:val="0096609E"/>
    <w:rsid w:val="00982899"/>
    <w:rsid w:val="00990091"/>
    <w:rsid w:val="009A58B7"/>
    <w:rsid w:val="009E1AE2"/>
    <w:rsid w:val="00A170F5"/>
    <w:rsid w:val="00A6492E"/>
    <w:rsid w:val="00A75301"/>
    <w:rsid w:val="00A904D8"/>
    <w:rsid w:val="00A94B23"/>
    <w:rsid w:val="00AA747A"/>
    <w:rsid w:val="00AB2868"/>
    <w:rsid w:val="00B03E72"/>
    <w:rsid w:val="00B071A7"/>
    <w:rsid w:val="00B35D1A"/>
    <w:rsid w:val="00B5555F"/>
    <w:rsid w:val="00B607CE"/>
    <w:rsid w:val="00B61242"/>
    <w:rsid w:val="00BB5847"/>
    <w:rsid w:val="00BD1E6E"/>
    <w:rsid w:val="00BD27CB"/>
    <w:rsid w:val="00BE33E7"/>
    <w:rsid w:val="00BF7455"/>
    <w:rsid w:val="00C064D6"/>
    <w:rsid w:val="00C065FC"/>
    <w:rsid w:val="00C64BEF"/>
    <w:rsid w:val="00C83E0F"/>
    <w:rsid w:val="00C914ED"/>
    <w:rsid w:val="00CA1B22"/>
    <w:rsid w:val="00CB043D"/>
    <w:rsid w:val="00D15D8D"/>
    <w:rsid w:val="00D20F37"/>
    <w:rsid w:val="00D47344"/>
    <w:rsid w:val="00D8108D"/>
    <w:rsid w:val="00D845F1"/>
    <w:rsid w:val="00D917F2"/>
    <w:rsid w:val="00DA0F3C"/>
    <w:rsid w:val="00DC5227"/>
    <w:rsid w:val="00DC5861"/>
    <w:rsid w:val="00DD162A"/>
    <w:rsid w:val="00DE51BA"/>
    <w:rsid w:val="00E840BF"/>
    <w:rsid w:val="00EA479B"/>
    <w:rsid w:val="00EB3E58"/>
    <w:rsid w:val="00EE7C3D"/>
    <w:rsid w:val="00EF0B0B"/>
    <w:rsid w:val="00F44D44"/>
    <w:rsid w:val="00F50C3F"/>
    <w:rsid w:val="00F6155A"/>
    <w:rsid w:val="00F61EC2"/>
    <w:rsid w:val="00F834BD"/>
    <w:rsid w:val="00F92A54"/>
    <w:rsid w:val="00F968A0"/>
    <w:rsid w:val="00FE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B1FF0-E4CC-426B-A2B8-6E6394D6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86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2847">
      <w:bodyDiv w:val="1"/>
      <w:marLeft w:val="0"/>
      <w:marRight w:val="0"/>
      <w:marTop w:val="0"/>
      <w:marBottom w:val="0"/>
      <w:divBdr>
        <w:top w:val="none" w:sz="0" w:space="0" w:color="auto"/>
        <w:left w:val="none" w:sz="0" w:space="0" w:color="auto"/>
        <w:bottom w:val="none" w:sz="0" w:space="0" w:color="auto"/>
        <w:right w:val="none" w:sz="0" w:space="0" w:color="auto"/>
      </w:divBdr>
      <w:divsChild>
        <w:div w:id="1065760739">
          <w:marLeft w:val="0"/>
          <w:marRight w:val="0"/>
          <w:marTop w:val="0"/>
          <w:marBottom w:val="0"/>
          <w:divBdr>
            <w:top w:val="none" w:sz="0" w:space="0" w:color="auto"/>
            <w:left w:val="none" w:sz="0" w:space="0" w:color="auto"/>
            <w:bottom w:val="none" w:sz="0" w:space="0" w:color="auto"/>
            <w:right w:val="none" w:sz="0" w:space="0" w:color="auto"/>
          </w:divBdr>
          <w:divsChild>
            <w:div w:id="1928154426">
              <w:marLeft w:val="0"/>
              <w:marRight w:val="0"/>
              <w:marTop w:val="0"/>
              <w:marBottom w:val="0"/>
              <w:divBdr>
                <w:top w:val="none" w:sz="0" w:space="0" w:color="auto"/>
                <w:left w:val="none" w:sz="0" w:space="0" w:color="auto"/>
                <w:bottom w:val="none" w:sz="0" w:space="0" w:color="auto"/>
                <w:right w:val="none" w:sz="0" w:space="0" w:color="auto"/>
              </w:divBdr>
              <w:divsChild>
                <w:div w:id="1214073964">
                  <w:marLeft w:val="0"/>
                  <w:marRight w:val="0"/>
                  <w:marTop w:val="0"/>
                  <w:marBottom w:val="0"/>
                  <w:divBdr>
                    <w:top w:val="none" w:sz="0" w:space="0" w:color="auto"/>
                    <w:left w:val="none" w:sz="0" w:space="0" w:color="auto"/>
                    <w:bottom w:val="none" w:sz="0" w:space="0" w:color="auto"/>
                    <w:right w:val="none" w:sz="0" w:space="0" w:color="auto"/>
                  </w:divBdr>
                  <w:divsChild>
                    <w:div w:id="2002809686">
                      <w:marLeft w:val="0"/>
                      <w:marRight w:val="0"/>
                      <w:marTop w:val="0"/>
                      <w:marBottom w:val="0"/>
                      <w:divBdr>
                        <w:top w:val="none" w:sz="0" w:space="0" w:color="auto"/>
                        <w:left w:val="none" w:sz="0" w:space="0" w:color="auto"/>
                        <w:bottom w:val="none" w:sz="0" w:space="0" w:color="auto"/>
                        <w:right w:val="none" w:sz="0" w:space="0" w:color="auto"/>
                      </w:divBdr>
                      <w:divsChild>
                        <w:div w:id="1929652008">
                          <w:marLeft w:val="0"/>
                          <w:marRight w:val="0"/>
                          <w:marTop w:val="0"/>
                          <w:marBottom w:val="0"/>
                          <w:divBdr>
                            <w:top w:val="none" w:sz="0" w:space="0" w:color="auto"/>
                            <w:left w:val="none" w:sz="0" w:space="0" w:color="auto"/>
                            <w:bottom w:val="none" w:sz="0" w:space="0" w:color="auto"/>
                            <w:right w:val="none" w:sz="0" w:space="0" w:color="auto"/>
                          </w:divBdr>
                          <w:divsChild>
                            <w:div w:id="20953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127737">
      <w:bodyDiv w:val="1"/>
      <w:marLeft w:val="0"/>
      <w:marRight w:val="0"/>
      <w:marTop w:val="0"/>
      <w:marBottom w:val="0"/>
      <w:divBdr>
        <w:top w:val="none" w:sz="0" w:space="0" w:color="auto"/>
        <w:left w:val="none" w:sz="0" w:space="0" w:color="auto"/>
        <w:bottom w:val="none" w:sz="0" w:space="0" w:color="auto"/>
        <w:right w:val="none" w:sz="0" w:space="0" w:color="auto"/>
      </w:divBdr>
    </w:div>
    <w:div w:id="903368190">
      <w:bodyDiv w:val="1"/>
      <w:marLeft w:val="0"/>
      <w:marRight w:val="0"/>
      <w:marTop w:val="0"/>
      <w:marBottom w:val="0"/>
      <w:divBdr>
        <w:top w:val="none" w:sz="0" w:space="0" w:color="auto"/>
        <w:left w:val="none" w:sz="0" w:space="0" w:color="auto"/>
        <w:bottom w:val="none" w:sz="0" w:space="0" w:color="auto"/>
        <w:right w:val="none" w:sz="0" w:space="0" w:color="auto"/>
      </w:divBdr>
    </w:div>
    <w:div w:id="1381785657">
      <w:bodyDiv w:val="1"/>
      <w:marLeft w:val="0"/>
      <w:marRight w:val="0"/>
      <w:marTop w:val="0"/>
      <w:marBottom w:val="0"/>
      <w:divBdr>
        <w:top w:val="none" w:sz="0" w:space="0" w:color="auto"/>
        <w:left w:val="none" w:sz="0" w:space="0" w:color="auto"/>
        <w:bottom w:val="none" w:sz="0" w:space="0" w:color="auto"/>
        <w:right w:val="none" w:sz="0" w:space="0" w:color="auto"/>
      </w:divBdr>
      <w:divsChild>
        <w:div w:id="440497139">
          <w:marLeft w:val="0"/>
          <w:marRight w:val="0"/>
          <w:marTop w:val="0"/>
          <w:marBottom w:val="0"/>
          <w:divBdr>
            <w:top w:val="none" w:sz="0" w:space="0" w:color="auto"/>
            <w:left w:val="none" w:sz="0" w:space="0" w:color="auto"/>
            <w:bottom w:val="none" w:sz="0" w:space="0" w:color="auto"/>
            <w:right w:val="none" w:sz="0" w:space="0" w:color="auto"/>
          </w:divBdr>
          <w:divsChild>
            <w:div w:id="1333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2051">
      <w:bodyDiv w:val="1"/>
      <w:marLeft w:val="0"/>
      <w:marRight w:val="0"/>
      <w:marTop w:val="0"/>
      <w:marBottom w:val="0"/>
      <w:divBdr>
        <w:top w:val="none" w:sz="0" w:space="0" w:color="auto"/>
        <w:left w:val="none" w:sz="0" w:space="0" w:color="auto"/>
        <w:bottom w:val="none" w:sz="0" w:space="0" w:color="auto"/>
        <w:right w:val="none" w:sz="0" w:space="0" w:color="auto"/>
      </w:divBdr>
      <w:divsChild>
        <w:div w:id="350760809">
          <w:marLeft w:val="0"/>
          <w:marRight w:val="0"/>
          <w:marTop w:val="0"/>
          <w:marBottom w:val="0"/>
          <w:divBdr>
            <w:top w:val="none" w:sz="0" w:space="0" w:color="auto"/>
            <w:left w:val="none" w:sz="0" w:space="0" w:color="auto"/>
            <w:bottom w:val="none" w:sz="0" w:space="0" w:color="auto"/>
            <w:right w:val="none" w:sz="0" w:space="0" w:color="auto"/>
          </w:divBdr>
          <w:divsChild>
            <w:div w:id="842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3725">
      <w:bodyDiv w:val="1"/>
      <w:marLeft w:val="0"/>
      <w:marRight w:val="0"/>
      <w:marTop w:val="0"/>
      <w:marBottom w:val="0"/>
      <w:divBdr>
        <w:top w:val="none" w:sz="0" w:space="0" w:color="auto"/>
        <w:left w:val="none" w:sz="0" w:space="0" w:color="auto"/>
        <w:bottom w:val="none" w:sz="0" w:space="0" w:color="auto"/>
        <w:right w:val="none" w:sz="0" w:space="0" w:color="auto"/>
      </w:divBdr>
    </w:div>
    <w:div w:id="18727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77481-par-to-bijusas-psrs-pilsonu-statusu-kuriem-nav-latvijas-vai-citas-valsts-pilsonibas" TargetMode="External"/><Relationship Id="rId13" Type="http://schemas.openxmlformats.org/officeDocument/2006/relationships/hyperlink" Target="http://likumi.lv/ta/id/77481-par-to-bijusas-psrs-pilsonu-statusu-kuriem-nav-latvijas-vai-citas-valsts-pilsonibas" TargetMode="External"/><Relationship Id="rId18" Type="http://schemas.openxmlformats.org/officeDocument/2006/relationships/hyperlink" Target="http://likumi.lv/ta/id/77481-par-to-bijusas-psrs-pilsonu-statusu-kuriem-nav-latvijas-vai-citas-valsts-pilsonib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ristine.stone@pmlp.gov.lv" TargetMode="External"/><Relationship Id="rId7" Type="http://schemas.openxmlformats.org/officeDocument/2006/relationships/endnotes" Target="endnotes.xml"/><Relationship Id="rId12" Type="http://schemas.openxmlformats.org/officeDocument/2006/relationships/hyperlink" Target="http://likumi.lv/ta/id/77481-par-to-bijusas-psrs-pilsonu-statusu-kuriem-nav-latvijas-vai-citas-valsts-pilsonibas" TargetMode="External"/><Relationship Id="rId17" Type="http://schemas.openxmlformats.org/officeDocument/2006/relationships/hyperlink" Target="http://likumi.lv/ta/id/77481-par-to-bijusas-psrs-pilsonu-statusu-kuriem-nav-latvijas-vai-citas-valsts-pilsonib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kumi.lv/ta/id/77481-par-to-bijusas-psrs-pilsonu-statusu-kuriem-nav-latvijas-vai-citas-valsts-pilsonibas" TargetMode="External"/><Relationship Id="rId20" Type="http://schemas.openxmlformats.org/officeDocument/2006/relationships/hyperlink" Target="http://likumi.lv/doc.php?id=496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77481-par-to-bijusas-psrs-pilsonu-statusu-kuriem-nav-latvijas-vai-citas-valsts-pilsoniba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ikumi.lv/ta/id/77481-par-to-bijusas-psrs-pilsonu-statusu-kuriem-nav-latvijas-vai-citas-valsts-pilsonibas" TargetMode="External"/><Relationship Id="rId23" Type="http://schemas.openxmlformats.org/officeDocument/2006/relationships/footer" Target="footer1.xml"/><Relationship Id="rId10" Type="http://schemas.openxmlformats.org/officeDocument/2006/relationships/hyperlink" Target="http://likumi.lv/ta/id/77481-par-to-bijusas-psrs-pilsonu-statusu-kuriem-nav-latvijas-vai-citas-valsts-pilsonibas" TargetMode="External"/><Relationship Id="rId19" Type="http://schemas.openxmlformats.org/officeDocument/2006/relationships/hyperlink" Target="http://likumi.lv/doc.php?id=49641" TargetMode="External"/><Relationship Id="rId4" Type="http://schemas.openxmlformats.org/officeDocument/2006/relationships/settings" Target="settings.xml"/><Relationship Id="rId9" Type="http://schemas.openxmlformats.org/officeDocument/2006/relationships/hyperlink" Target="http://likumi.lv/ta/id/77481-par-to-bijusas-psrs-pilsonu-statusu-kuriem-nav-latvijas-vai-citas-valsts-pilsonibas" TargetMode="External"/><Relationship Id="rId14" Type="http://schemas.openxmlformats.org/officeDocument/2006/relationships/hyperlink" Target="http://likumi.lv/ta/id/77481-par-to-bijusas-psrs-pilsonu-statusu-kuriem-nav-latvijas-vai-citas-valsts-pilsoniba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F872C-70E0-4BA4-95FD-96160F77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15</Pages>
  <Words>24793</Words>
  <Characters>14133</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Likumprojekta "Grozījumi Iedzīvotāju reģistra likumā" sākotnējās ietekmes novērtējuma ziņojums (anotācija)</vt:lpstr>
    </vt:vector>
  </TitlesOfParts>
  <Manager>Iekšlietu ministrijas</Manager>
  <Company>Pilsonības un migrācijas lietu pārvalde</Company>
  <LinksUpToDate>false</LinksUpToDate>
  <CharactersWithSpaces>38849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Iedzīvotāju reģistra likumā" sākotnējās ietekmes novērtējuma ziņojums (anotācija)</dc:title>
  <dc:subject>Anotācija</dc:subject>
  <dc:creator>Kristine Stone</dc:creator>
  <cp:keywords/>
  <dc:description>Kristīne Stone_x000d_
Pilsonības un migrācijas lietu pārvaldes_x000d_
Juridiskās nodaļas vadošā juriste_x000d_
tālr.67219425, kristine.stone@pmlp.gov.lv </dc:description>
  <cp:lastModifiedBy>Kristine Stone</cp:lastModifiedBy>
  <cp:revision>82</cp:revision>
  <cp:lastPrinted>2017-02-14T09:24:00Z</cp:lastPrinted>
  <dcterms:created xsi:type="dcterms:W3CDTF">2016-10-31T07:57:00Z</dcterms:created>
  <dcterms:modified xsi:type="dcterms:W3CDTF">2017-03-01T14:37:00Z</dcterms:modified>
</cp:coreProperties>
</file>