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03" w:rsidRPr="00130B97" w:rsidRDefault="00446603" w:rsidP="00446603">
      <w:pPr>
        <w:jc w:val="center"/>
        <w:rPr>
          <w:b/>
          <w:sz w:val="28"/>
          <w:szCs w:val="28"/>
        </w:rPr>
      </w:pPr>
      <w:r w:rsidRPr="00130B97">
        <w:rPr>
          <w:b/>
          <w:sz w:val="28"/>
          <w:szCs w:val="28"/>
        </w:rPr>
        <w:t>Ministru kabineta noteikumu projekt</w:t>
      </w:r>
      <w:r w:rsidR="005255D6" w:rsidRPr="00130B97">
        <w:rPr>
          <w:b/>
          <w:sz w:val="28"/>
          <w:szCs w:val="28"/>
        </w:rPr>
        <w:t>a</w:t>
      </w:r>
      <w:r w:rsidRPr="00130B97">
        <w:rPr>
          <w:b/>
          <w:sz w:val="28"/>
          <w:szCs w:val="28"/>
        </w:rPr>
        <w:t xml:space="preserve"> „Grozījumi Ministru kabineta 2010.</w:t>
      </w:r>
      <w:r w:rsidR="00F65B2C">
        <w:rPr>
          <w:b/>
          <w:sz w:val="28"/>
          <w:szCs w:val="28"/>
        </w:rPr>
        <w:t xml:space="preserve"> </w:t>
      </w:r>
      <w:r w:rsidRPr="00130B97">
        <w:rPr>
          <w:b/>
          <w:sz w:val="28"/>
          <w:szCs w:val="28"/>
        </w:rPr>
        <w:t>gada 17.</w:t>
      </w:r>
      <w:r w:rsidR="00F65B2C">
        <w:rPr>
          <w:b/>
          <w:sz w:val="28"/>
          <w:szCs w:val="28"/>
        </w:rPr>
        <w:t xml:space="preserve"> </w:t>
      </w:r>
      <w:r w:rsidRPr="00130B97">
        <w:rPr>
          <w:b/>
          <w:sz w:val="28"/>
          <w:szCs w:val="28"/>
        </w:rPr>
        <w:t>augusta noteikumos Nr.</w:t>
      </w:r>
      <w:r w:rsidR="00F65B2C">
        <w:rPr>
          <w:b/>
          <w:sz w:val="28"/>
          <w:szCs w:val="28"/>
        </w:rPr>
        <w:t xml:space="preserve"> </w:t>
      </w:r>
      <w:r w:rsidRPr="00130B97">
        <w:rPr>
          <w:b/>
          <w:sz w:val="28"/>
          <w:szCs w:val="28"/>
        </w:rPr>
        <w:t>788 „Valsts izglītības informācijas sistēmas saturs, uzturēšanas un aktualizācijas kārtība””</w:t>
      </w:r>
    </w:p>
    <w:p w:rsidR="00446603" w:rsidRPr="00130B97" w:rsidRDefault="00446603" w:rsidP="00446603">
      <w:pPr>
        <w:jc w:val="center"/>
        <w:rPr>
          <w:b/>
          <w:sz w:val="28"/>
          <w:szCs w:val="28"/>
        </w:rPr>
      </w:pPr>
      <w:r w:rsidRPr="00130B97">
        <w:rPr>
          <w:b/>
          <w:sz w:val="28"/>
          <w:szCs w:val="28"/>
        </w:rPr>
        <w:t>sākotnējās ietekmes novērtējuma ziņojums (anotācija)</w:t>
      </w:r>
    </w:p>
    <w:p w:rsidR="00446603" w:rsidRPr="00130B97" w:rsidRDefault="00446603" w:rsidP="00446603">
      <w:pPr>
        <w:jc w:val="center"/>
        <w:rPr>
          <w:sz w:val="28"/>
          <w:szCs w:val="28"/>
        </w:rPr>
      </w:pPr>
    </w:p>
    <w:tbl>
      <w:tblPr>
        <w:tblpPr w:leftFromText="180" w:rightFromText="180" w:vertAnchor="text" w:tblpY="1"/>
        <w:tblOverlap w:val="neve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09"/>
        <w:gridCol w:w="6761"/>
      </w:tblGrid>
      <w:tr w:rsidR="00446603" w:rsidRPr="00130B97" w:rsidTr="00F677D7">
        <w:trPr>
          <w:tblCellSpacing w:w="15" w:type="dxa"/>
        </w:trPr>
        <w:tc>
          <w:tcPr>
            <w:tcW w:w="0" w:type="auto"/>
            <w:gridSpan w:val="3"/>
            <w:tcBorders>
              <w:top w:val="single" w:sz="6" w:space="0" w:color="auto"/>
              <w:left w:val="single" w:sz="6" w:space="0" w:color="auto"/>
              <w:bottom w:val="outset" w:sz="6" w:space="0" w:color="000000"/>
              <w:right w:val="single" w:sz="6" w:space="0" w:color="auto"/>
            </w:tcBorders>
            <w:vAlign w:val="center"/>
          </w:tcPr>
          <w:p w:rsidR="00446603" w:rsidRPr="00130B97" w:rsidRDefault="00446603" w:rsidP="00F677D7">
            <w:pPr>
              <w:spacing w:before="100" w:beforeAutospacing="1" w:after="100" w:afterAutospacing="1"/>
              <w:jc w:val="center"/>
              <w:rPr>
                <w:b/>
                <w:bCs/>
                <w:sz w:val="28"/>
                <w:szCs w:val="28"/>
              </w:rPr>
            </w:pPr>
            <w:r w:rsidRPr="00130B97">
              <w:rPr>
                <w:b/>
                <w:bCs/>
                <w:sz w:val="28"/>
                <w:szCs w:val="28"/>
              </w:rPr>
              <w:t>I. Tiesību akta projekta izstrādes nepieciešamība</w:t>
            </w:r>
          </w:p>
        </w:tc>
      </w:tr>
      <w:tr w:rsidR="00446603" w:rsidRPr="00130B9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446603" w:rsidRPr="00130B97" w:rsidRDefault="00446603" w:rsidP="00F677D7">
            <w:pPr>
              <w:spacing w:before="100" w:beforeAutospacing="1" w:after="100" w:afterAutospacing="1"/>
            </w:pPr>
            <w:r w:rsidRPr="00130B97">
              <w:t>1.</w:t>
            </w:r>
          </w:p>
        </w:tc>
        <w:tc>
          <w:tcPr>
            <w:tcW w:w="1001" w:type="pct"/>
            <w:tcBorders>
              <w:top w:val="outset" w:sz="6" w:space="0" w:color="000000"/>
              <w:left w:val="outset" w:sz="6" w:space="0" w:color="000000"/>
              <w:bottom w:val="outset" w:sz="6" w:space="0" w:color="000000"/>
              <w:right w:val="outset" w:sz="6" w:space="0" w:color="000000"/>
            </w:tcBorders>
          </w:tcPr>
          <w:p w:rsidR="00446603" w:rsidRPr="00130B97" w:rsidRDefault="00446603" w:rsidP="00F677D7">
            <w:pPr>
              <w:spacing w:before="100" w:beforeAutospacing="1" w:after="100" w:afterAutospacing="1"/>
              <w:rPr>
                <w:sz w:val="28"/>
                <w:szCs w:val="28"/>
              </w:rPr>
            </w:pPr>
            <w:r w:rsidRPr="00130B97">
              <w:rPr>
                <w:sz w:val="28"/>
                <w:szCs w:val="28"/>
              </w:rPr>
              <w:t>Pamatojums</w:t>
            </w:r>
          </w:p>
        </w:tc>
        <w:tc>
          <w:tcPr>
            <w:tcW w:w="3771" w:type="pct"/>
            <w:tcBorders>
              <w:top w:val="outset" w:sz="6" w:space="0" w:color="000000"/>
              <w:left w:val="outset" w:sz="6" w:space="0" w:color="000000"/>
              <w:bottom w:val="outset" w:sz="6" w:space="0" w:color="000000"/>
              <w:right w:val="outset" w:sz="6" w:space="0" w:color="000000"/>
            </w:tcBorders>
          </w:tcPr>
          <w:p w:rsidR="009D31D6" w:rsidRPr="00A16585" w:rsidRDefault="009D31D6" w:rsidP="00F677D7">
            <w:pPr>
              <w:pStyle w:val="tv20787921"/>
              <w:spacing w:after="0" w:line="240" w:lineRule="auto"/>
              <w:jc w:val="both"/>
              <w:rPr>
                <w:rFonts w:ascii="Times New Roman" w:hAnsi="Times New Roman"/>
                <w:b w:val="0"/>
              </w:rPr>
            </w:pPr>
            <w:r w:rsidRPr="00A16585">
              <w:rPr>
                <w:rFonts w:ascii="Times New Roman" w:hAnsi="Times New Roman"/>
                <w:b w:val="0"/>
              </w:rPr>
              <w:t>Izglītības un zinātnes ministrija (turpmāk – ministrija)</w:t>
            </w:r>
            <w:r w:rsidR="00B10606" w:rsidRPr="00A16585">
              <w:rPr>
                <w:rFonts w:ascii="Times New Roman" w:hAnsi="Times New Roman"/>
                <w:b w:val="0"/>
              </w:rPr>
              <w:t xml:space="preserve"> </w:t>
            </w:r>
            <w:r w:rsidRPr="00A16585">
              <w:rPr>
                <w:rFonts w:ascii="Times New Roman" w:hAnsi="Times New Roman"/>
                <w:b w:val="0"/>
              </w:rPr>
              <w:t xml:space="preserve">ir sagatavojusi Ministru kabineta noteikumu projektu </w:t>
            </w:r>
            <w:r w:rsidR="00277161" w:rsidRPr="00A16585">
              <w:rPr>
                <w:rFonts w:ascii="Times New Roman" w:hAnsi="Times New Roman"/>
                <w:b w:val="0"/>
              </w:rPr>
              <w:t>„</w:t>
            </w:r>
            <w:r w:rsidRPr="00A16585">
              <w:rPr>
                <w:rFonts w:ascii="Times New Roman" w:hAnsi="Times New Roman"/>
                <w:b w:val="0"/>
              </w:rPr>
              <w:t>Grozījumi</w:t>
            </w:r>
            <w:r w:rsidRPr="00A16585">
              <w:rPr>
                <w:rFonts w:ascii="Times New Roman" w:hAnsi="Times New Roman"/>
                <w:b w:val="0"/>
                <w:bCs w:val="0"/>
              </w:rPr>
              <w:t xml:space="preserve"> Ministru </w:t>
            </w:r>
            <w:r w:rsidRPr="00A16585">
              <w:rPr>
                <w:rFonts w:ascii="Times New Roman" w:hAnsi="Times New Roman"/>
                <w:b w:val="0"/>
              </w:rPr>
              <w:t>kabineta 2010.</w:t>
            </w:r>
            <w:r w:rsidR="001B0EDD">
              <w:rPr>
                <w:rFonts w:ascii="Times New Roman" w:hAnsi="Times New Roman"/>
                <w:b w:val="0"/>
              </w:rPr>
              <w:t xml:space="preserve"> </w:t>
            </w:r>
            <w:r w:rsidRPr="00A16585">
              <w:rPr>
                <w:rFonts w:ascii="Times New Roman" w:hAnsi="Times New Roman"/>
                <w:b w:val="0"/>
              </w:rPr>
              <w:t>gada 17.</w:t>
            </w:r>
            <w:r w:rsidR="001B0EDD">
              <w:rPr>
                <w:rFonts w:ascii="Times New Roman" w:hAnsi="Times New Roman"/>
                <w:b w:val="0"/>
              </w:rPr>
              <w:t xml:space="preserve"> </w:t>
            </w:r>
            <w:r w:rsidRPr="00A16585">
              <w:rPr>
                <w:rFonts w:ascii="Times New Roman" w:hAnsi="Times New Roman"/>
                <w:b w:val="0"/>
              </w:rPr>
              <w:t>augusta noteikumos Nr.</w:t>
            </w:r>
            <w:r w:rsidR="001B0EDD">
              <w:rPr>
                <w:rFonts w:ascii="Times New Roman" w:hAnsi="Times New Roman"/>
                <w:b w:val="0"/>
              </w:rPr>
              <w:t xml:space="preserve"> </w:t>
            </w:r>
            <w:r w:rsidRPr="00A16585">
              <w:rPr>
                <w:rFonts w:ascii="Times New Roman" w:hAnsi="Times New Roman"/>
                <w:b w:val="0"/>
              </w:rPr>
              <w:t xml:space="preserve">788 </w:t>
            </w:r>
            <w:r w:rsidR="00277161" w:rsidRPr="00A16585">
              <w:rPr>
                <w:rFonts w:ascii="Times New Roman" w:hAnsi="Times New Roman"/>
                <w:b w:val="0"/>
              </w:rPr>
              <w:t>„</w:t>
            </w:r>
            <w:r w:rsidRPr="00A16585">
              <w:rPr>
                <w:rFonts w:ascii="Times New Roman" w:hAnsi="Times New Roman"/>
                <w:b w:val="0"/>
              </w:rPr>
              <w:t>Valsts izglītības informācijas sistēmas saturs, uzturēšanas un aktualizācijas kārtība</w:t>
            </w:r>
            <w:r w:rsidRPr="00A16585">
              <w:rPr>
                <w:rFonts w:ascii="Times New Roman" w:hAnsi="Times New Roman"/>
                <w:b w:val="0"/>
                <w:bCs w:val="0"/>
              </w:rPr>
              <w:t xml:space="preserve">”” </w:t>
            </w:r>
            <w:r w:rsidRPr="00A16585">
              <w:rPr>
                <w:rFonts w:ascii="Times New Roman" w:hAnsi="Times New Roman"/>
                <w:b w:val="0"/>
              </w:rPr>
              <w:t>(turpmāk – noteikumu projekts):</w:t>
            </w:r>
          </w:p>
          <w:p w:rsidR="00236E2C" w:rsidRPr="005A6D7D" w:rsidRDefault="009D31D6" w:rsidP="00F677D7">
            <w:pPr>
              <w:pStyle w:val="tv20787921"/>
              <w:spacing w:after="0" w:line="240" w:lineRule="auto"/>
              <w:jc w:val="both"/>
              <w:rPr>
                <w:rFonts w:ascii="Times New Roman" w:hAnsi="Times New Roman"/>
                <w:b w:val="0"/>
              </w:rPr>
            </w:pPr>
            <w:r w:rsidRPr="005A6D7D">
              <w:rPr>
                <w:rFonts w:ascii="Times New Roman" w:hAnsi="Times New Roman"/>
                <w:b w:val="0"/>
              </w:rPr>
              <w:t xml:space="preserve">1) </w:t>
            </w:r>
            <w:r w:rsidR="00CB6A22" w:rsidRPr="005A6D7D">
              <w:rPr>
                <w:rFonts w:ascii="Times New Roman" w:hAnsi="Times New Roman"/>
                <w:b w:val="0"/>
              </w:rPr>
              <w:t>saskaņā ar Augstskolu likuma 4</w:t>
            </w:r>
            <w:r w:rsidR="000D611C" w:rsidRPr="005A6D7D">
              <w:rPr>
                <w:rFonts w:ascii="Times New Roman" w:hAnsi="Times New Roman"/>
                <w:b w:val="0"/>
              </w:rPr>
              <w:t>6</w:t>
            </w:r>
            <w:r w:rsidR="00CB6A22" w:rsidRPr="005A6D7D">
              <w:rPr>
                <w:rFonts w:ascii="Times New Roman" w:hAnsi="Times New Roman"/>
                <w:b w:val="0"/>
              </w:rPr>
              <w:t>.</w:t>
            </w:r>
            <w:r w:rsidR="00CB6A22" w:rsidRPr="005A6D7D">
              <w:rPr>
                <w:rFonts w:ascii="Times New Roman" w:hAnsi="Times New Roman"/>
                <w:b w:val="0"/>
                <w:vertAlign w:val="superscript"/>
              </w:rPr>
              <w:t>1</w:t>
            </w:r>
            <w:r w:rsidR="002A1046">
              <w:rPr>
                <w:rFonts w:ascii="Times New Roman" w:hAnsi="Times New Roman"/>
                <w:b w:val="0"/>
              </w:rPr>
              <w:t xml:space="preserve"> panta ceturtajā daļā</w:t>
            </w:r>
            <w:r w:rsidR="00CB6A22" w:rsidRPr="005A6D7D">
              <w:rPr>
                <w:rFonts w:ascii="Times New Roman" w:hAnsi="Times New Roman"/>
                <w:b w:val="0"/>
              </w:rPr>
              <w:t xml:space="preserve"> noteikto deleģējumu;</w:t>
            </w:r>
          </w:p>
          <w:p w:rsidR="00CB6A22" w:rsidRDefault="00CB6A22" w:rsidP="00F677D7">
            <w:pPr>
              <w:pStyle w:val="tv20787921"/>
              <w:spacing w:after="0" w:line="240" w:lineRule="auto"/>
              <w:jc w:val="both"/>
              <w:rPr>
                <w:rFonts w:ascii="Times New Roman" w:hAnsi="Times New Roman"/>
                <w:b w:val="0"/>
              </w:rPr>
            </w:pPr>
            <w:r>
              <w:rPr>
                <w:rFonts w:ascii="Times New Roman" w:hAnsi="Times New Roman"/>
                <w:b w:val="0"/>
              </w:rPr>
              <w:t>2)</w:t>
            </w:r>
            <w:r w:rsidRPr="001D6727">
              <w:rPr>
                <w:rFonts w:ascii="Times New Roman" w:eastAsiaTheme="minorHAnsi" w:hAnsi="Times New Roman"/>
                <w:b w:val="0"/>
                <w:bCs w:val="0"/>
              </w:rPr>
              <w:t xml:space="preserve"> </w:t>
            </w:r>
            <w:r>
              <w:rPr>
                <w:rFonts w:ascii="Times New Roman" w:eastAsiaTheme="minorHAnsi" w:hAnsi="Times New Roman"/>
                <w:b w:val="0"/>
                <w:bCs w:val="0"/>
              </w:rPr>
              <w:t xml:space="preserve">saskaņā ar </w:t>
            </w:r>
            <w:r>
              <w:rPr>
                <w:rFonts w:ascii="Times New Roman" w:hAnsi="Times New Roman"/>
                <w:b w:val="0"/>
              </w:rPr>
              <w:t>l</w:t>
            </w:r>
            <w:r w:rsidRPr="001D6727">
              <w:rPr>
                <w:rFonts w:ascii="Times New Roman" w:hAnsi="Times New Roman"/>
                <w:b w:val="0"/>
              </w:rPr>
              <w:t xml:space="preserve">ikuma “Par iedzīvotāju ienākuma nodokli” 19. </w:t>
            </w:r>
            <w:r w:rsidRPr="001D6727">
              <w:rPr>
                <w:rFonts w:ascii="Times New Roman" w:hAnsi="Times New Roman"/>
                <w:b w:val="0"/>
                <w:iCs/>
              </w:rPr>
              <w:t>panta</w:t>
            </w:r>
            <w:r w:rsidRPr="001D6727">
              <w:rPr>
                <w:rFonts w:ascii="Times New Roman" w:hAnsi="Times New Roman"/>
                <w:b w:val="0"/>
              </w:rPr>
              <w:t xml:space="preserve"> 10.</w:t>
            </w:r>
            <w:r w:rsidRPr="001D6727">
              <w:rPr>
                <w:rFonts w:ascii="Times New Roman" w:hAnsi="Times New Roman"/>
                <w:b w:val="0"/>
                <w:vertAlign w:val="superscript"/>
              </w:rPr>
              <w:t>1</w:t>
            </w:r>
            <w:r>
              <w:rPr>
                <w:rFonts w:ascii="Times New Roman" w:hAnsi="Times New Roman"/>
                <w:b w:val="0"/>
              </w:rPr>
              <w:t xml:space="preserve"> </w:t>
            </w:r>
            <w:r w:rsidRPr="005B0A04">
              <w:rPr>
                <w:rFonts w:ascii="Times New Roman" w:hAnsi="Times New Roman"/>
                <w:b w:val="0"/>
              </w:rPr>
              <w:t>daļu</w:t>
            </w:r>
            <w:r>
              <w:rPr>
                <w:rFonts w:ascii="Times New Roman" w:hAnsi="Times New Roman"/>
                <w:b w:val="0"/>
              </w:rPr>
              <w:t>;</w:t>
            </w:r>
          </w:p>
          <w:p w:rsidR="0014659D" w:rsidRPr="00CB6A22" w:rsidRDefault="0014659D" w:rsidP="00F677D7">
            <w:pPr>
              <w:pStyle w:val="tv20787921"/>
              <w:spacing w:after="0" w:line="240" w:lineRule="auto"/>
              <w:jc w:val="both"/>
              <w:rPr>
                <w:rFonts w:ascii="Times New Roman" w:hAnsi="Times New Roman"/>
                <w:b w:val="0"/>
              </w:rPr>
            </w:pPr>
            <w:r>
              <w:rPr>
                <w:rFonts w:ascii="Times New Roman" w:hAnsi="Times New Roman"/>
                <w:b w:val="0"/>
              </w:rPr>
              <w:t>3</w:t>
            </w:r>
            <w:r w:rsidRPr="0014659D">
              <w:rPr>
                <w:rFonts w:ascii="Times New Roman" w:hAnsi="Times New Roman"/>
                <w:b w:val="0"/>
              </w:rPr>
              <w:t>)  Ministru kabineta 2011. gada 27. decembra  noteikumiem Nr. 1036 “Kārtība, kādā valsts finansē profesionālās ievirze</w:t>
            </w:r>
            <w:r w:rsidR="004C0B3A">
              <w:rPr>
                <w:rFonts w:ascii="Times New Roman" w:hAnsi="Times New Roman"/>
                <w:b w:val="0"/>
              </w:rPr>
              <w:t>s sporta izglītības programmas”;</w:t>
            </w:r>
          </w:p>
          <w:p w:rsidR="00EE6785" w:rsidRDefault="0014659D" w:rsidP="00F677D7">
            <w:pPr>
              <w:jc w:val="both"/>
              <w:rPr>
                <w:bCs/>
                <w:sz w:val="28"/>
                <w:szCs w:val="28"/>
              </w:rPr>
            </w:pPr>
            <w:r>
              <w:rPr>
                <w:sz w:val="28"/>
                <w:szCs w:val="28"/>
              </w:rPr>
              <w:t>4</w:t>
            </w:r>
            <w:r w:rsidR="00901320" w:rsidRPr="00A16585">
              <w:rPr>
                <w:sz w:val="28"/>
                <w:szCs w:val="28"/>
              </w:rPr>
              <w:t>) saskaņā ar Ministru kabineta</w:t>
            </w:r>
            <w:r w:rsidR="00901320" w:rsidRPr="00A16585">
              <w:rPr>
                <w:b/>
                <w:sz w:val="28"/>
                <w:szCs w:val="28"/>
              </w:rPr>
              <w:t xml:space="preserve"> </w:t>
            </w:r>
            <w:r w:rsidR="00901320" w:rsidRPr="00A16585">
              <w:rPr>
                <w:sz w:val="28"/>
                <w:szCs w:val="28"/>
              </w:rPr>
              <w:t>2015. gada 29. jūnija</w:t>
            </w:r>
            <w:r w:rsidR="00901320" w:rsidRPr="00A16585">
              <w:rPr>
                <w:b/>
                <w:sz w:val="28"/>
                <w:szCs w:val="28"/>
              </w:rPr>
              <w:t xml:space="preserve"> </w:t>
            </w:r>
            <w:r w:rsidR="00901320" w:rsidRPr="00A16585">
              <w:rPr>
                <w:sz w:val="28"/>
                <w:szCs w:val="28"/>
              </w:rPr>
              <w:t>rīkojuma Nr. 331 apstiprinātā Izglītības attīstības pamatnostādņu 2014.-2020.</w:t>
            </w:r>
            <w:r w:rsidR="001B0EDD">
              <w:rPr>
                <w:sz w:val="28"/>
                <w:szCs w:val="28"/>
              </w:rPr>
              <w:t xml:space="preserve"> </w:t>
            </w:r>
            <w:r w:rsidR="00901320" w:rsidRPr="00A16585">
              <w:rPr>
                <w:sz w:val="28"/>
                <w:szCs w:val="28"/>
              </w:rPr>
              <w:t>gadam īstenošanas plān</w:t>
            </w:r>
            <w:r w:rsidR="00444E52">
              <w:rPr>
                <w:sz w:val="28"/>
                <w:szCs w:val="28"/>
              </w:rPr>
              <w:t>ā</w:t>
            </w:r>
            <w:r w:rsidR="00901320" w:rsidRPr="00A16585">
              <w:rPr>
                <w:sz w:val="28"/>
                <w:szCs w:val="28"/>
              </w:rPr>
              <w:t xml:space="preserve"> 2015. – 2017.gadam noteikt</w:t>
            </w:r>
            <w:r w:rsidR="00444E52">
              <w:rPr>
                <w:sz w:val="28"/>
                <w:szCs w:val="28"/>
              </w:rPr>
              <w:t>ā</w:t>
            </w:r>
            <w:r w:rsidR="00901320" w:rsidRPr="00A16585">
              <w:rPr>
                <w:sz w:val="28"/>
                <w:szCs w:val="28"/>
              </w:rPr>
              <w:t xml:space="preserve"> rīcības virzien</w:t>
            </w:r>
            <w:r w:rsidR="00444E52">
              <w:rPr>
                <w:sz w:val="28"/>
                <w:szCs w:val="28"/>
              </w:rPr>
              <w:t>a</w:t>
            </w:r>
            <w:r w:rsidR="00901320" w:rsidRPr="00A16585">
              <w:rPr>
                <w:sz w:val="28"/>
                <w:szCs w:val="28"/>
              </w:rPr>
              <w:t xml:space="preserve"> </w:t>
            </w:r>
            <w:r w:rsidR="00901320" w:rsidRPr="00A16585">
              <w:rPr>
                <w:bCs/>
                <w:iCs/>
                <w:sz w:val="28"/>
                <w:szCs w:val="28"/>
              </w:rPr>
              <w:t>3.1. „</w:t>
            </w:r>
            <w:r w:rsidR="00901320" w:rsidRPr="00A16585">
              <w:rPr>
                <w:sz w:val="28"/>
                <w:szCs w:val="28"/>
              </w:rPr>
              <w:t xml:space="preserve">Izglītības kvalitātes monitoringa sistēmas pilnveide” </w:t>
            </w:r>
            <w:r w:rsidR="00901320" w:rsidRPr="00A16585">
              <w:rPr>
                <w:bCs/>
                <w:sz w:val="28"/>
                <w:szCs w:val="28"/>
              </w:rPr>
              <w:t>3.1.5.</w:t>
            </w:r>
            <w:r w:rsidR="00901320" w:rsidRPr="00A16585">
              <w:rPr>
                <w:b/>
                <w:sz w:val="28"/>
                <w:szCs w:val="28"/>
              </w:rPr>
              <w:t xml:space="preserve"> </w:t>
            </w:r>
            <w:r w:rsidR="00901320" w:rsidRPr="00A16585">
              <w:rPr>
                <w:sz w:val="28"/>
                <w:szCs w:val="28"/>
              </w:rPr>
              <w:t xml:space="preserve">„Valsts izglītības informācijas sistēmas pilnveide” un </w:t>
            </w:r>
            <w:r w:rsidR="00901320" w:rsidRPr="00A16585">
              <w:rPr>
                <w:bCs/>
                <w:sz w:val="28"/>
                <w:szCs w:val="28"/>
              </w:rPr>
              <w:t>3.1.7. „Vienotas augstākās izglītības informatīv</w:t>
            </w:r>
            <w:r w:rsidR="00EE6785">
              <w:rPr>
                <w:bCs/>
                <w:sz w:val="28"/>
                <w:szCs w:val="28"/>
              </w:rPr>
              <w:t>ās sistēmas izveide” uzdevumiem</w:t>
            </w:r>
            <w:r w:rsidR="004A26A1">
              <w:rPr>
                <w:bCs/>
                <w:sz w:val="28"/>
                <w:szCs w:val="28"/>
              </w:rPr>
              <w:t>;</w:t>
            </w:r>
          </w:p>
          <w:p w:rsidR="00444E52" w:rsidRDefault="0014659D" w:rsidP="00F677D7">
            <w:pPr>
              <w:jc w:val="both"/>
              <w:rPr>
                <w:bCs/>
                <w:sz w:val="28"/>
                <w:szCs w:val="28"/>
              </w:rPr>
            </w:pPr>
            <w:r>
              <w:rPr>
                <w:bCs/>
                <w:sz w:val="28"/>
                <w:szCs w:val="28"/>
              </w:rPr>
              <w:t>5</w:t>
            </w:r>
            <w:r w:rsidR="00444E52">
              <w:rPr>
                <w:bCs/>
                <w:sz w:val="28"/>
                <w:szCs w:val="28"/>
              </w:rPr>
              <w:t xml:space="preserve">) </w:t>
            </w:r>
            <w:r w:rsidR="00444E52" w:rsidRPr="00444E52">
              <w:rPr>
                <w:bCs/>
                <w:sz w:val="28"/>
                <w:szCs w:val="28"/>
              </w:rPr>
              <w:t>saskaņā ar Ministru kabineta 2015. gada 29. jūnija rīkojuma Nr. 331 apstiprinātā Izglītības attīstības pamatnostādņu 20</w:t>
            </w:r>
            <w:r w:rsidR="00444E52">
              <w:rPr>
                <w:bCs/>
                <w:sz w:val="28"/>
                <w:szCs w:val="28"/>
              </w:rPr>
              <w:t>14.-2020.</w:t>
            </w:r>
            <w:r w:rsidR="001B0EDD">
              <w:rPr>
                <w:bCs/>
                <w:sz w:val="28"/>
                <w:szCs w:val="28"/>
              </w:rPr>
              <w:t xml:space="preserve"> </w:t>
            </w:r>
            <w:r w:rsidR="00444E52">
              <w:rPr>
                <w:bCs/>
                <w:sz w:val="28"/>
                <w:szCs w:val="28"/>
              </w:rPr>
              <w:t>gadam īstenošanas plānā 2015. – 2017.gadam noteiktā</w:t>
            </w:r>
            <w:r w:rsidR="00444E52" w:rsidRPr="00444E52">
              <w:rPr>
                <w:bCs/>
                <w:sz w:val="28"/>
                <w:szCs w:val="28"/>
              </w:rPr>
              <w:t xml:space="preserve"> rīcīb</w:t>
            </w:r>
            <w:r w:rsidR="00444E52">
              <w:rPr>
                <w:bCs/>
                <w:sz w:val="28"/>
                <w:szCs w:val="28"/>
              </w:rPr>
              <w:t xml:space="preserve">as virziena 3.4. “Izglītības starptautiskā konkurētspēja” </w:t>
            </w:r>
            <w:r w:rsidR="00444E52" w:rsidRPr="00444E52">
              <w:rPr>
                <w:bCs/>
                <w:sz w:val="28"/>
                <w:szCs w:val="28"/>
              </w:rPr>
              <w:t xml:space="preserve">3.4.8. </w:t>
            </w:r>
            <w:r w:rsidR="00444E52">
              <w:rPr>
                <w:bCs/>
                <w:sz w:val="28"/>
                <w:szCs w:val="28"/>
              </w:rPr>
              <w:t>“</w:t>
            </w:r>
            <w:r w:rsidR="00444E52" w:rsidRPr="00444E52">
              <w:rPr>
                <w:bCs/>
                <w:sz w:val="28"/>
                <w:szCs w:val="28"/>
              </w:rPr>
              <w:t>Mācību un studiju starptautiskās mobilitātes, mācību un studiju starptautiskās prakses nodrošināšana</w:t>
            </w:r>
            <w:r w:rsidR="00444E52">
              <w:rPr>
                <w:bCs/>
                <w:sz w:val="28"/>
                <w:szCs w:val="28"/>
              </w:rPr>
              <w:t xml:space="preserve">” un </w:t>
            </w:r>
            <w:r w:rsidR="00444E52" w:rsidRPr="00444E52">
              <w:rPr>
                <w:bCs/>
                <w:sz w:val="28"/>
                <w:szCs w:val="28"/>
              </w:rPr>
              <w:t xml:space="preserve">3.4.9. </w:t>
            </w:r>
            <w:r w:rsidR="00444E52">
              <w:rPr>
                <w:bCs/>
                <w:sz w:val="28"/>
                <w:szCs w:val="28"/>
              </w:rPr>
              <w:t>“</w:t>
            </w:r>
            <w:r w:rsidR="00444E52" w:rsidRPr="00444E52">
              <w:rPr>
                <w:bCs/>
                <w:sz w:val="28"/>
                <w:szCs w:val="28"/>
              </w:rPr>
              <w:t>Atbalsts ārvalstu studentiem augstākās izglītības iegūšanai Latvijā – stipendiju nodrošināšana ārvalstu studentiem</w:t>
            </w:r>
            <w:r w:rsidR="00444E52">
              <w:rPr>
                <w:bCs/>
                <w:sz w:val="28"/>
                <w:szCs w:val="28"/>
              </w:rPr>
              <w:t>” uzdevumiem;</w:t>
            </w:r>
          </w:p>
          <w:p w:rsidR="006C74B5" w:rsidRPr="004A26A1" w:rsidRDefault="0014659D" w:rsidP="004C0B3A">
            <w:pPr>
              <w:jc w:val="both"/>
              <w:rPr>
                <w:bCs/>
                <w:sz w:val="28"/>
                <w:szCs w:val="28"/>
              </w:rPr>
            </w:pPr>
            <w:r>
              <w:rPr>
                <w:bCs/>
                <w:sz w:val="28"/>
                <w:szCs w:val="28"/>
              </w:rPr>
              <w:t>6</w:t>
            </w:r>
            <w:r w:rsidR="00524ED1">
              <w:rPr>
                <w:bCs/>
                <w:sz w:val="28"/>
                <w:szCs w:val="28"/>
              </w:rPr>
              <w:t xml:space="preserve">) </w:t>
            </w:r>
            <w:r w:rsidR="00372275">
              <w:rPr>
                <w:bCs/>
                <w:sz w:val="28"/>
                <w:szCs w:val="28"/>
              </w:rPr>
              <w:t xml:space="preserve">saskaņā ar </w:t>
            </w:r>
            <w:r w:rsidR="00F5257C" w:rsidRPr="00F5257C">
              <w:rPr>
                <w:bCs/>
                <w:sz w:val="28"/>
                <w:szCs w:val="28"/>
              </w:rPr>
              <w:t xml:space="preserve">Eiropas Parlamenta un Padomes </w:t>
            </w:r>
            <w:r w:rsidR="004C0B3A" w:rsidRPr="004A26A1">
              <w:rPr>
                <w:bCs/>
                <w:sz w:val="28"/>
                <w:szCs w:val="28"/>
              </w:rPr>
              <w:t xml:space="preserve">2008. </w:t>
            </w:r>
            <w:r w:rsidR="004C0B3A" w:rsidRPr="00F5257C">
              <w:rPr>
                <w:bCs/>
                <w:sz w:val="28"/>
                <w:szCs w:val="28"/>
              </w:rPr>
              <w:t xml:space="preserve">gada </w:t>
            </w:r>
            <w:r w:rsidR="004C0B3A" w:rsidRPr="004A26A1">
              <w:rPr>
                <w:bCs/>
                <w:sz w:val="28"/>
                <w:szCs w:val="28"/>
              </w:rPr>
              <w:t>23.</w:t>
            </w:r>
            <w:r w:rsidR="004C0B3A">
              <w:rPr>
                <w:bCs/>
                <w:sz w:val="28"/>
                <w:szCs w:val="28"/>
              </w:rPr>
              <w:t xml:space="preserve"> </w:t>
            </w:r>
            <w:r w:rsidR="004C0B3A" w:rsidRPr="004A26A1">
              <w:rPr>
                <w:bCs/>
                <w:sz w:val="28"/>
                <w:szCs w:val="28"/>
              </w:rPr>
              <w:t xml:space="preserve">aprīļa </w:t>
            </w:r>
            <w:r w:rsidR="00F5257C" w:rsidRPr="00F5257C">
              <w:rPr>
                <w:bCs/>
                <w:sz w:val="28"/>
                <w:szCs w:val="28"/>
              </w:rPr>
              <w:t>Regul</w:t>
            </w:r>
            <w:r w:rsidR="00372275">
              <w:rPr>
                <w:bCs/>
                <w:sz w:val="28"/>
                <w:szCs w:val="28"/>
              </w:rPr>
              <w:t>u</w:t>
            </w:r>
            <w:r w:rsidR="00F5257C" w:rsidRPr="004A26A1">
              <w:rPr>
                <w:bCs/>
                <w:sz w:val="28"/>
                <w:szCs w:val="28"/>
              </w:rPr>
              <w:t xml:space="preserve"> (EK) Nr. 452/2008 “Par </w:t>
            </w:r>
            <w:r w:rsidR="00F5257C" w:rsidRPr="00F5257C">
              <w:rPr>
                <w:bCs/>
                <w:sz w:val="28"/>
                <w:szCs w:val="28"/>
              </w:rPr>
              <w:t>izglītības un mūžizglītības statistikas izveidi</w:t>
            </w:r>
            <w:r w:rsidR="00F5257C" w:rsidRPr="004A26A1">
              <w:rPr>
                <w:bCs/>
                <w:sz w:val="28"/>
                <w:szCs w:val="28"/>
              </w:rPr>
              <w:t xml:space="preserve"> un </w:t>
            </w:r>
            <w:r w:rsidR="00F5257C" w:rsidRPr="00F5257C">
              <w:rPr>
                <w:bCs/>
                <w:sz w:val="28"/>
                <w:szCs w:val="28"/>
              </w:rPr>
              <w:t>pilnveidi</w:t>
            </w:r>
            <w:r w:rsidR="00F5257C" w:rsidRPr="004A26A1">
              <w:rPr>
                <w:bCs/>
                <w:sz w:val="28"/>
                <w:szCs w:val="28"/>
              </w:rPr>
              <w:t xml:space="preserve">” un </w:t>
            </w:r>
            <w:r w:rsidR="00DA2044">
              <w:rPr>
                <w:bCs/>
                <w:sz w:val="28"/>
                <w:szCs w:val="28"/>
              </w:rPr>
              <w:t>2013. gada 23. septembra Eiropas Komisijas</w:t>
            </w:r>
            <w:r w:rsidR="00DF69A0">
              <w:rPr>
                <w:bCs/>
                <w:sz w:val="28"/>
                <w:szCs w:val="28"/>
              </w:rPr>
              <w:t xml:space="preserve"> R</w:t>
            </w:r>
            <w:r w:rsidR="00524ED1">
              <w:rPr>
                <w:bCs/>
                <w:sz w:val="28"/>
                <w:szCs w:val="28"/>
              </w:rPr>
              <w:t>egul</w:t>
            </w:r>
            <w:r w:rsidR="00372275">
              <w:rPr>
                <w:bCs/>
                <w:sz w:val="28"/>
                <w:szCs w:val="28"/>
              </w:rPr>
              <w:t>u</w:t>
            </w:r>
            <w:r w:rsidR="00524ED1" w:rsidRPr="00524ED1">
              <w:rPr>
                <w:bCs/>
                <w:sz w:val="28"/>
                <w:szCs w:val="28"/>
              </w:rPr>
              <w:t xml:space="preserve"> Nr. 912/2013</w:t>
            </w:r>
            <w:r w:rsidR="00DA2044">
              <w:rPr>
                <w:bCs/>
                <w:sz w:val="28"/>
                <w:szCs w:val="28"/>
              </w:rPr>
              <w:t xml:space="preserve">, </w:t>
            </w:r>
            <w:r w:rsidR="00DA2044" w:rsidRPr="00DA2044">
              <w:rPr>
                <w:bCs/>
                <w:sz w:val="28"/>
                <w:szCs w:val="28"/>
              </w:rPr>
              <w:t xml:space="preserve">ar ko attiecībā uz statistiku par izglītības un apmācības sistēmām īsteno Eiropas </w:t>
            </w:r>
            <w:r w:rsidR="00DA2044" w:rsidRPr="00DA2044">
              <w:rPr>
                <w:bCs/>
                <w:sz w:val="28"/>
                <w:szCs w:val="28"/>
              </w:rPr>
              <w:lastRenderedPageBreak/>
              <w:t>Parlamenta un Padomes Regulu (EK) Nr. 452/2008 par izglītības un mūžizglītības statistikas izveidi un pilnveidi</w:t>
            </w:r>
            <w:r w:rsidR="00DA2044">
              <w:rPr>
                <w:bCs/>
                <w:sz w:val="28"/>
                <w:szCs w:val="28"/>
              </w:rPr>
              <w:t>.</w:t>
            </w:r>
          </w:p>
        </w:tc>
      </w:tr>
      <w:tr w:rsidR="00446603" w:rsidRPr="00130B9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446603" w:rsidRPr="00130B97" w:rsidRDefault="00E4107C" w:rsidP="00F677D7">
            <w:pPr>
              <w:spacing w:before="100" w:beforeAutospacing="1" w:after="100" w:afterAutospacing="1"/>
            </w:pPr>
            <w:r w:rsidRPr="00130B97">
              <w:lastRenderedPageBreak/>
              <w:t>2.</w:t>
            </w:r>
          </w:p>
        </w:tc>
        <w:tc>
          <w:tcPr>
            <w:tcW w:w="1001" w:type="pct"/>
            <w:tcBorders>
              <w:top w:val="outset" w:sz="6" w:space="0" w:color="000000"/>
              <w:left w:val="outset" w:sz="6" w:space="0" w:color="000000"/>
              <w:bottom w:val="outset" w:sz="6" w:space="0" w:color="000000"/>
              <w:right w:val="outset" w:sz="6" w:space="0" w:color="000000"/>
            </w:tcBorders>
          </w:tcPr>
          <w:p w:rsidR="00446603" w:rsidRPr="00130B97" w:rsidRDefault="00446603" w:rsidP="00F677D7">
            <w:pPr>
              <w:spacing w:before="100" w:beforeAutospacing="1" w:after="100" w:afterAutospacing="1"/>
              <w:rPr>
                <w:sz w:val="28"/>
                <w:szCs w:val="28"/>
              </w:rPr>
            </w:pPr>
            <w:r w:rsidRPr="00130B97">
              <w:rPr>
                <w:sz w:val="28"/>
                <w:szCs w:val="28"/>
              </w:rPr>
              <w:t>Pašreizējā situācija un problēmas, kuru risināšanai tiesību akta projekts izstrādāts, tiesiskā regulējuma mērķis un būtība</w:t>
            </w:r>
          </w:p>
        </w:tc>
        <w:tc>
          <w:tcPr>
            <w:tcW w:w="3771" w:type="pct"/>
            <w:tcBorders>
              <w:top w:val="outset" w:sz="6" w:space="0" w:color="000000"/>
              <w:left w:val="outset" w:sz="6" w:space="0" w:color="000000"/>
              <w:bottom w:val="outset" w:sz="6" w:space="0" w:color="000000"/>
              <w:right w:val="outset" w:sz="6" w:space="0" w:color="000000"/>
            </w:tcBorders>
          </w:tcPr>
          <w:p w:rsidR="00DB00F4" w:rsidRPr="00C675B7" w:rsidRDefault="004C4108" w:rsidP="002E67FC">
            <w:pPr>
              <w:jc w:val="both"/>
              <w:rPr>
                <w:sz w:val="28"/>
                <w:szCs w:val="28"/>
              </w:rPr>
            </w:pPr>
            <w:r w:rsidRPr="006C20AA">
              <w:rPr>
                <w:sz w:val="28"/>
                <w:szCs w:val="28"/>
              </w:rPr>
              <w:t xml:space="preserve">1) </w:t>
            </w:r>
            <w:r w:rsidR="000D611C" w:rsidRPr="006C20AA">
              <w:rPr>
                <w:sz w:val="28"/>
                <w:szCs w:val="28"/>
              </w:rPr>
              <w:t>Augstskolu likuma 46.</w:t>
            </w:r>
            <w:r w:rsidR="000D611C" w:rsidRPr="006C20AA">
              <w:rPr>
                <w:sz w:val="28"/>
                <w:szCs w:val="28"/>
                <w:vertAlign w:val="superscript"/>
              </w:rPr>
              <w:t xml:space="preserve">1 </w:t>
            </w:r>
            <w:r w:rsidR="00843C9E" w:rsidRPr="006C20AA">
              <w:rPr>
                <w:sz w:val="28"/>
                <w:szCs w:val="28"/>
              </w:rPr>
              <w:t>pant</w:t>
            </w:r>
            <w:r w:rsidR="006860B1">
              <w:rPr>
                <w:sz w:val="28"/>
                <w:szCs w:val="28"/>
              </w:rPr>
              <w:t>a ceturtā daļa</w:t>
            </w:r>
            <w:r w:rsidR="00843C9E" w:rsidRPr="006C20AA">
              <w:rPr>
                <w:sz w:val="28"/>
                <w:szCs w:val="28"/>
              </w:rPr>
              <w:t xml:space="preserve"> </w:t>
            </w:r>
            <w:r w:rsidR="005C0989" w:rsidRPr="006C20AA">
              <w:rPr>
                <w:sz w:val="28"/>
                <w:szCs w:val="28"/>
              </w:rPr>
              <w:t>nosaka, ka</w:t>
            </w:r>
            <w:r w:rsidR="00BF734A" w:rsidRPr="006C20AA">
              <w:rPr>
                <w:sz w:val="28"/>
                <w:szCs w:val="28"/>
              </w:rPr>
              <w:t xml:space="preserve"> </w:t>
            </w:r>
            <w:r w:rsidR="00843C9E" w:rsidRPr="006C20AA">
              <w:rPr>
                <w:sz w:val="28"/>
                <w:szCs w:val="28"/>
              </w:rPr>
              <w:t>Studējošo</w:t>
            </w:r>
            <w:r w:rsidR="006C20AA">
              <w:rPr>
                <w:sz w:val="28"/>
                <w:szCs w:val="28"/>
              </w:rPr>
              <w:t xml:space="preserve"> un absolventu</w:t>
            </w:r>
            <w:r w:rsidR="00843C9E" w:rsidRPr="006C20AA">
              <w:rPr>
                <w:sz w:val="28"/>
                <w:szCs w:val="28"/>
              </w:rPr>
              <w:t xml:space="preserve"> reģistrā iekļaujamās informācijas apjomu un </w:t>
            </w:r>
            <w:r w:rsidR="006860B1">
              <w:rPr>
                <w:sz w:val="28"/>
                <w:szCs w:val="28"/>
              </w:rPr>
              <w:t xml:space="preserve">informācijas iesniegšanas </w:t>
            </w:r>
            <w:r w:rsidR="00843C9E" w:rsidRPr="006C20AA">
              <w:rPr>
                <w:sz w:val="28"/>
                <w:szCs w:val="28"/>
              </w:rPr>
              <w:t>kārtību</w:t>
            </w:r>
            <w:r w:rsidR="006860B1">
              <w:rPr>
                <w:sz w:val="28"/>
                <w:szCs w:val="28"/>
              </w:rPr>
              <w:t>, kā arī publiski pieejamās informācijas apjomu un publiskošanas kārtību</w:t>
            </w:r>
            <w:r w:rsidR="005C0989" w:rsidRPr="006C20AA">
              <w:rPr>
                <w:sz w:val="28"/>
                <w:szCs w:val="28"/>
              </w:rPr>
              <w:t xml:space="preserve"> nosaka Ministru kabinets. </w:t>
            </w:r>
            <w:r w:rsidR="00C675B7" w:rsidRPr="00277E8C">
              <w:rPr>
                <w:sz w:val="28"/>
                <w:szCs w:val="28"/>
              </w:rPr>
              <w:t>2015. gadā projekta „Valsts izglītības informācijas sistēmas (</w:t>
            </w:r>
            <w:r w:rsidR="00E91BD0">
              <w:rPr>
                <w:sz w:val="28"/>
                <w:szCs w:val="28"/>
              </w:rPr>
              <w:t xml:space="preserve">turpmāk - </w:t>
            </w:r>
            <w:r w:rsidR="00C675B7" w:rsidRPr="00277E8C">
              <w:rPr>
                <w:sz w:val="28"/>
                <w:szCs w:val="28"/>
              </w:rPr>
              <w:t xml:space="preserve">VIIS) attīstība” (Vienošanās Nr. 3DP/3.2.2.1.1/14/IPIA/CFLA/001/001) ietvaros tika paplašināta </w:t>
            </w:r>
            <w:r w:rsidR="006F78C6" w:rsidRPr="00277E8C">
              <w:rPr>
                <w:sz w:val="28"/>
                <w:szCs w:val="28"/>
              </w:rPr>
              <w:t xml:space="preserve"> Valsts izglītības informācijas sistēmas (</w:t>
            </w:r>
            <w:r w:rsidR="006F78C6">
              <w:rPr>
                <w:sz w:val="28"/>
                <w:szCs w:val="28"/>
              </w:rPr>
              <w:t xml:space="preserve">turpmāk - </w:t>
            </w:r>
            <w:r w:rsidR="006F78C6" w:rsidRPr="00277E8C">
              <w:rPr>
                <w:sz w:val="28"/>
                <w:szCs w:val="28"/>
              </w:rPr>
              <w:t xml:space="preserve">VIIS) </w:t>
            </w:r>
            <w:r w:rsidR="00C675B7" w:rsidRPr="00277E8C">
              <w:rPr>
                <w:sz w:val="28"/>
                <w:szCs w:val="28"/>
              </w:rPr>
              <w:t>augstākās</w:t>
            </w:r>
            <w:r w:rsidR="00F05CEC">
              <w:rPr>
                <w:sz w:val="28"/>
                <w:szCs w:val="28"/>
              </w:rPr>
              <w:t xml:space="preserve"> izglītības sadaļa, izveidojot S</w:t>
            </w:r>
            <w:r w:rsidR="00C675B7" w:rsidRPr="00277E8C">
              <w:rPr>
                <w:sz w:val="28"/>
                <w:szCs w:val="28"/>
              </w:rPr>
              <w:t xml:space="preserve">tudējošo </w:t>
            </w:r>
            <w:r w:rsidR="00F05CEC">
              <w:rPr>
                <w:sz w:val="28"/>
                <w:szCs w:val="28"/>
              </w:rPr>
              <w:t xml:space="preserve">un absolventu </w:t>
            </w:r>
            <w:r w:rsidR="00C675B7" w:rsidRPr="00277E8C">
              <w:rPr>
                <w:sz w:val="28"/>
                <w:szCs w:val="28"/>
              </w:rPr>
              <w:t>reģistru. Minētajā reģistrā ir paredzēts apkopot un centralizēti uzkrāt informāciju par augstākās izglītības iestādēs studējošajiem</w:t>
            </w:r>
            <w:r w:rsidR="00FB5BFB">
              <w:rPr>
                <w:sz w:val="28"/>
                <w:szCs w:val="28"/>
              </w:rPr>
              <w:t xml:space="preserve"> un personām, kas ieguvušas doktora zinātnisko grādu</w:t>
            </w:r>
            <w:r w:rsidR="00C675B7" w:rsidRPr="00277E8C">
              <w:rPr>
                <w:sz w:val="28"/>
                <w:szCs w:val="28"/>
              </w:rPr>
              <w:t xml:space="preserve">, t.sk. personu dati, dati par studiju uzsākšanu un pabeigšanu, dati par apmaiņas </w:t>
            </w:r>
            <w:r w:rsidR="007672A1">
              <w:rPr>
                <w:sz w:val="28"/>
                <w:szCs w:val="28"/>
              </w:rPr>
              <w:t xml:space="preserve">(mobilajiem) </w:t>
            </w:r>
            <w:r w:rsidR="00C675B7" w:rsidRPr="00277E8C">
              <w:rPr>
                <w:sz w:val="28"/>
                <w:szCs w:val="28"/>
              </w:rPr>
              <w:t xml:space="preserve">studentiem utt. </w:t>
            </w:r>
            <w:r w:rsidR="001E2452">
              <w:rPr>
                <w:sz w:val="28"/>
                <w:szCs w:val="28"/>
              </w:rPr>
              <w:t xml:space="preserve">Vides aizsardzības un reģionālās attīstības ministrija </w:t>
            </w:r>
            <w:r w:rsidR="00C675B7" w:rsidRPr="00277E8C">
              <w:rPr>
                <w:sz w:val="28"/>
                <w:szCs w:val="28"/>
              </w:rPr>
              <w:t xml:space="preserve">kā par projektu atbildīgā iestāde 2016. </w:t>
            </w:r>
            <w:r w:rsidR="001E2452">
              <w:rPr>
                <w:sz w:val="28"/>
                <w:szCs w:val="28"/>
              </w:rPr>
              <w:t xml:space="preserve">gada 10. martā </w:t>
            </w:r>
            <w:r w:rsidR="00C675B7" w:rsidRPr="00277E8C">
              <w:rPr>
                <w:sz w:val="28"/>
                <w:szCs w:val="28"/>
              </w:rPr>
              <w:t>veiktajā funkcionalitātes pārbaudē secināja, ka</w:t>
            </w:r>
            <w:r w:rsidR="006C20AA">
              <w:rPr>
                <w:sz w:val="28"/>
                <w:szCs w:val="28"/>
              </w:rPr>
              <w:t>:</w:t>
            </w:r>
            <w:r w:rsidR="00C675B7" w:rsidRPr="00277E8C">
              <w:rPr>
                <w:sz w:val="28"/>
                <w:szCs w:val="28"/>
              </w:rPr>
              <w:t xml:space="preserve"> </w:t>
            </w:r>
            <w:r w:rsidR="00C675B7" w:rsidRPr="006C20AA">
              <w:rPr>
                <w:sz w:val="28"/>
                <w:szCs w:val="28"/>
              </w:rPr>
              <w:t xml:space="preserve">„studējošo reģistrs un datu apmaiņas risinājumi (manuālā studentu reģistrēšana, datu imports, datu apmaiņa), lai nodrošinātu datu ievadīšanu un atjaunošanu studējošo reģistrā ir izstrādāti un darbojas produkcijas vidē. Pārbaudē secināts, ka šobrīd reģistrs netiek lietots, jo </w:t>
            </w:r>
            <w:r w:rsidR="007A30B7">
              <w:rPr>
                <w:sz w:val="28"/>
                <w:szCs w:val="28"/>
              </w:rPr>
              <w:t>ministrijai</w:t>
            </w:r>
            <w:r w:rsidR="00EA3A0C">
              <w:rPr>
                <w:sz w:val="28"/>
                <w:szCs w:val="28"/>
              </w:rPr>
              <w:t xml:space="preserve"> </w:t>
            </w:r>
            <w:r w:rsidR="00C675B7" w:rsidRPr="006C20AA">
              <w:rPr>
                <w:sz w:val="28"/>
                <w:szCs w:val="28"/>
              </w:rPr>
              <w:t>kā Finansējuma saņēmējam jāveic grozījumi Ministra kabineta 2010.</w:t>
            </w:r>
            <w:r w:rsidR="007A30B7">
              <w:rPr>
                <w:sz w:val="28"/>
                <w:szCs w:val="28"/>
              </w:rPr>
              <w:t xml:space="preserve"> </w:t>
            </w:r>
            <w:r w:rsidR="00C675B7" w:rsidRPr="006C20AA">
              <w:rPr>
                <w:sz w:val="28"/>
                <w:szCs w:val="28"/>
              </w:rPr>
              <w:t>gada 17.</w:t>
            </w:r>
            <w:r w:rsidR="007A30B7">
              <w:rPr>
                <w:sz w:val="28"/>
                <w:szCs w:val="28"/>
              </w:rPr>
              <w:t xml:space="preserve"> </w:t>
            </w:r>
            <w:r w:rsidR="00C675B7" w:rsidRPr="006C20AA">
              <w:rPr>
                <w:sz w:val="28"/>
                <w:szCs w:val="28"/>
              </w:rPr>
              <w:t>augusta  noteikumos Nr.</w:t>
            </w:r>
            <w:r w:rsidR="007A30B7">
              <w:rPr>
                <w:sz w:val="28"/>
                <w:szCs w:val="28"/>
              </w:rPr>
              <w:t xml:space="preserve"> </w:t>
            </w:r>
            <w:r w:rsidR="00C675B7" w:rsidRPr="006C20AA">
              <w:rPr>
                <w:sz w:val="28"/>
                <w:szCs w:val="28"/>
              </w:rPr>
              <w:t>788 "Valsts izglītības informācijas sistēmas saturs, uzturēšanas un aktualizācijas kārtība", kuros plānots noteikt, ka augstskolām datu ievade studējošo reģistrā  ir obligāta un jāuzsāk, sākot ar 2016.</w:t>
            </w:r>
            <w:r w:rsidR="007A30B7">
              <w:rPr>
                <w:sz w:val="28"/>
                <w:szCs w:val="28"/>
              </w:rPr>
              <w:t xml:space="preserve"> </w:t>
            </w:r>
            <w:r w:rsidR="00C675B7" w:rsidRPr="006C20AA">
              <w:rPr>
                <w:sz w:val="28"/>
                <w:szCs w:val="28"/>
              </w:rPr>
              <w:t>gada 1.</w:t>
            </w:r>
            <w:r w:rsidR="006C3D80">
              <w:rPr>
                <w:sz w:val="28"/>
                <w:szCs w:val="28"/>
              </w:rPr>
              <w:t xml:space="preserve"> </w:t>
            </w:r>
            <w:r w:rsidR="00C675B7" w:rsidRPr="006C20AA">
              <w:rPr>
                <w:sz w:val="28"/>
                <w:szCs w:val="28"/>
              </w:rPr>
              <w:t>septembri”.</w:t>
            </w:r>
          </w:p>
          <w:p w:rsidR="00CB5507" w:rsidRDefault="00130940" w:rsidP="00F677D7">
            <w:pPr>
              <w:jc w:val="both"/>
              <w:rPr>
                <w:sz w:val="28"/>
                <w:szCs w:val="28"/>
              </w:rPr>
            </w:pPr>
            <w:r>
              <w:rPr>
                <w:sz w:val="28"/>
                <w:szCs w:val="28"/>
              </w:rPr>
              <w:t>Sakarā ar to, ka p</w:t>
            </w:r>
            <w:r w:rsidR="00F54DEF" w:rsidRPr="007A30B7">
              <w:rPr>
                <w:sz w:val="28"/>
                <w:szCs w:val="28"/>
              </w:rPr>
              <w:t>ašlaik Ministru kabineta 2010.</w:t>
            </w:r>
            <w:r w:rsidR="00081BCC" w:rsidRPr="007A30B7">
              <w:rPr>
                <w:sz w:val="28"/>
                <w:szCs w:val="28"/>
              </w:rPr>
              <w:t> </w:t>
            </w:r>
            <w:r w:rsidR="00F54DEF" w:rsidRPr="007A30B7">
              <w:rPr>
                <w:sz w:val="28"/>
                <w:szCs w:val="28"/>
              </w:rPr>
              <w:t>gada 17.</w:t>
            </w:r>
            <w:r w:rsidR="00081BCC" w:rsidRPr="007A30B7">
              <w:rPr>
                <w:sz w:val="28"/>
                <w:szCs w:val="28"/>
              </w:rPr>
              <w:t> </w:t>
            </w:r>
            <w:r w:rsidR="00F54DEF" w:rsidRPr="007A30B7">
              <w:rPr>
                <w:sz w:val="28"/>
                <w:szCs w:val="28"/>
              </w:rPr>
              <w:t>augusta noteikumos Nr.</w:t>
            </w:r>
            <w:r w:rsidR="00EA3A0C">
              <w:rPr>
                <w:sz w:val="28"/>
                <w:szCs w:val="28"/>
              </w:rPr>
              <w:t xml:space="preserve"> </w:t>
            </w:r>
            <w:r w:rsidR="00F54DEF" w:rsidRPr="007A30B7">
              <w:rPr>
                <w:sz w:val="28"/>
                <w:szCs w:val="28"/>
              </w:rPr>
              <w:t xml:space="preserve">788 „Valsts izglītības informācijas sistēmas saturs, uzturēšanas un aktualizācijas kārtība” </w:t>
            </w:r>
            <w:r w:rsidR="00480E1E" w:rsidRPr="007A30B7">
              <w:rPr>
                <w:sz w:val="28"/>
                <w:szCs w:val="28"/>
              </w:rPr>
              <w:t>(turpmāk – Noteikumi Nr.</w:t>
            </w:r>
            <w:r w:rsidR="00EA3A0C">
              <w:rPr>
                <w:sz w:val="28"/>
                <w:szCs w:val="28"/>
              </w:rPr>
              <w:t xml:space="preserve"> </w:t>
            </w:r>
            <w:r w:rsidR="00480E1E" w:rsidRPr="007A30B7">
              <w:rPr>
                <w:sz w:val="28"/>
                <w:szCs w:val="28"/>
              </w:rPr>
              <w:t xml:space="preserve">788) </w:t>
            </w:r>
            <w:r w:rsidR="00E338B9" w:rsidRPr="007A30B7">
              <w:rPr>
                <w:sz w:val="28"/>
                <w:szCs w:val="28"/>
              </w:rPr>
              <w:t xml:space="preserve">nav iekļauta informācija par studējošiem </w:t>
            </w:r>
            <w:r>
              <w:rPr>
                <w:sz w:val="28"/>
                <w:szCs w:val="28"/>
              </w:rPr>
              <w:t>un absolventiem,</w:t>
            </w:r>
            <w:r w:rsidR="00E338B9" w:rsidRPr="007A30B7">
              <w:rPr>
                <w:sz w:val="28"/>
                <w:szCs w:val="28"/>
              </w:rPr>
              <w:t xml:space="preserve"> </w:t>
            </w:r>
            <w:r w:rsidR="001412B2">
              <w:rPr>
                <w:sz w:val="28"/>
                <w:szCs w:val="28"/>
              </w:rPr>
              <w:t xml:space="preserve"> VIIS</w:t>
            </w:r>
            <w:r w:rsidR="001412B2" w:rsidRPr="007A30B7">
              <w:rPr>
                <w:sz w:val="28"/>
                <w:szCs w:val="28"/>
              </w:rPr>
              <w:t xml:space="preserve"> </w:t>
            </w:r>
            <w:r w:rsidR="00E338B9" w:rsidRPr="007A30B7">
              <w:rPr>
                <w:sz w:val="28"/>
                <w:szCs w:val="28"/>
              </w:rPr>
              <w:t xml:space="preserve">nav iespējas </w:t>
            </w:r>
            <w:r>
              <w:rPr>
                <w:sz w:val="28"/>
                <w:szCs w:val="28"/>
              </w:rPr>
              <w:t xml:space="preserve">ievadīt informāciju par studējošajiem izsniegtajiem izglītības dokumentiem, atbilstoši Noteikumu Nr. 788 12. punktā noteiktajam </w:t>
            </w:r>
            <w:r w:rsidR="00FB5BFB">
              <w:rPr>
                <w:sz w:val="28"/>
                <w:szCs w:val="28"/>
              </w:rPr>
              <w:t>(</w:t>
            </w:r>
            <w:r w:rsidR="009F76AE" w:rsidRPr="00FC2211">
              <w:rPr>
                <w:sz w:val="28"/>
                <w:szCs w:val="28"/>
              </w:rPr>
              <w:t>n</w:t>
            </w:r>
            <w:r w:rsidR="00FB5BFB" w:rsidRPr="00FC2211">
              <w:rPr>
                <w:sz w:val="28"/>
                <w:szCs w:val="28"/>
              </w:rPr>
              <w:t>oteikumu projekta</w:t>
            </w:r>
            <w:r w:rsidR="00FC2211">
              <w:rPr>
                <w:sz w:val="28"/>
                <w:szCs w:val="28"/>
              </w:rPr>
              <w:t xml:space="preserve"> </w:t>
            </w:r>
            <w:r w:rsidR="00E2148E">
              <w:rPr>
                <w:sz w:val="28"/>
                <w:szCs w:val="28"/>
              </w:rPr>
              <w:t>2., 3., 4., 8., 10</w:t>
            </w:r>
            <w:r w:rsidR="00EE0DF9">
              <w:rPr>
                <w:sz w:val="28"/>
                <w:szCs w:val="28"/>
              </w:rPr>
              <w:t xml:space="preserve">., 13., 16. un 17. </w:t>
            </w:r>
            <w:r w:rsidR="00FC2211">
              <w:rPr>
                <w:sz w:val="28"/>
                <w:szCs w:val="28"/>
              </w:rPr>
              <w:t>punkts</w:t>
            </w:r>
            <w:r w:rsidR="00FB5BFB" w:rsidRPr="00FC2211">
              <w:rPr>
                <w:sz w:val="28"/>
                <w:szCs w:val="28"/>
              </w:rPr>
              <w:t>)</w:t>
            </w:r>
            <w:r w:rsidR="003A7A44" w:rsidRPr="00FC2211">
              <w:rPr>
                <w:sz w:val="28"/>
                <w:szCs w:val="28"/>
              </w:rPr>
              <w:t>.</w:t>
            </w:r>
          </w:p>
          <w:p w:rsidR="00575B97" w:rsidRDefault="00E338B9" w:rsidP="00F677D7">
            <w:pPr>
              <w:jc w:val="both"/>
              <w:rPr>
                <w:sz w:val="28"/>
                <w:szCs w:val="28"/>
              </w:rPr>
            </w:pPr>
            <w:r>
              <w:rPr>
                <w:sz w:val="28"/>
                <w:szCs w:val="28"/>
              </w:rPr>
              <w:t>2)</w:t>
            </w:r>
            <w:r>
              <w:t xml:space="preserve"> </w:t>
            </w:r>
            <w:r w:rsidRPr="00C4252B">
              <w:rPr>
                <w:sz w:val="28"/>
                <w:szCs w:val="28"/>
              </w:rPr>
              <w:t xml:space="preserve">Likuma “Par iedzīvotāju </w:t>
            </w:r>
            <w:r w:rsidR="00E30445">
              <w:rPr>
                <w:sz w:val="28"/>
                <w:szCs w:val="28"/>
              </w:rPr>
              <w:t>ienākuma nodokli” 19. panta 10.</w:t>
            </w:r>
            <w:r w:rsidR="00E30445">
              <w:rPr>
                <w:sz w:val="28"/>
                <w:szCs w:val="28"/>
                <w:vertAlign w:val="superscript"/>
              </w:rPr>
              <w:t>1</w:t>
            </w:r>
            <w:r w:rsidRPr="00C4252B">
              <w:rPr>
                <w:sz w:val="28"/>
                <w:szCs w:val="28"/>
              </w:rPr>
              <w:t xml:space="preserve"> daļā noteikts, ka: „Izglītības un zinātnes ministrija katra mēneša pirmajā datumā Valsts ieņēmumu dienestam</w:t>
            </w:r>
            <w:r w:rsidR="00C82C0F">
              <w:rPr>
                <w:sz w:val="28"/>
                <w:szCs w:val="28"/>
              </w:rPr>
              <w:t xml:space="preserve"> </w:t>
            </w:r>
            <w:r w:rsidR="00C82C0F">
              <w:rPr>
                <w:sz w:val="28"/>
                <w:szCs w:val="28"/>
              </w:rPr>
              <w:lastRenderedPageBreak/>
              <w:t>(turpmāk - VID)</w:t>
            </w:r>
            <w:r w:rsidRPr="00C4252B">
              <w:rPr>
                <w:sz w:val="28"/>
                <w:szCs w:val="28"/>
              </w:rPr>
              <w:t xml:space="preserve"> elektroniski </w:t>
            </w:r>
            <w:proofErr w:type="spellStart"/>
            <w:r w:rsidRPr="00C4252B">
              <w:rPr>
                <w:sz w:val="28"/>
                <w:szCs w:val="28"/>
              </w:rPr>
              <w:t>nosūta</w:t>
            </w:r>
            <w:proofErr w:type="spellEnd"/>
            <w:r w:rsidRPr="00C4252B">
              <w:rPr>
                <w:sz w:val="28"/>
                <w:szCs w:val="28"/>
              </w:rPr>
              <w:t xml:space="preserve"> informāciju par iepriekšējo mēnesi — par visām personām līdz 24 gadu vecumam, kuras iegūst vispārējo, profesionālo, augstāko vai speciā</w:t>
            </w:r>
            <w:r w:rsidR="00F52E3D">
              <w:rPr>
                <w:sz w:val="28"/>
                <w:szCs w:val="28"/>
              </w:rPr>
              <w:t>lo izglītību, norādot personas - izglītojamā -</w:t>
            </w:r>
            <w:r w:rsidRPr="00C4252B">
              <w:rPr>
                <w:sz w:val="28"/>
                <w:szCs w:val="28"/>
              </w:rPr>
              <w:t xml:space="preserve"> vārdu, uzvārdu, personas kodu un datumu, kad persona uzņemta vai atskaitīta no mācībām vispārējās izglītības iestādē vai studijām profesionālās, augstākās vai speciālās izglītības iestādē”. Likuma Pārejas noteikumu 121.</w:t>
            </w:r>
            <w:r w:rsidR="00373CBC">
              <w:rPr>
                <w:sz w:val="28"/>
                <w:szCs w:val="28"/>
              </w:rPr>
              <w:t xml:space="preserve"> </w:t>
            </w:r>
            <w:r w:rsidRPr="00C4252B">
              <w:rPr>
                <w:sz w:val="28"/>
                <w:szCs w:val="28"/>
              </w:rPr>
              <w:t>punkts nosaka, ka šā likuma 19.</w:t>
            </w:r>
            <w:r w:rsidR="00EA3A0C">
              <w:rPr>
                <w:sz w:val="28"/>
                <w:szCs w:val="28"/>
              </w:rPr>
              <w:t xml:space="preserve"> </w:t>
            </w:r>
            <w:r w:rsidR="00D77CF0">
              <w:rPr>
                <w:sz w:val="28"/>
                <w:szCs w:val="28"/>
              </w:rPr>
              <w:t>panta 10.</w:t>
            </w:r>
            <w:r w:rsidR="00D77CF0">
              <w:rPr>
                <w:sz w:val="28"/>
                <w:szCs w:val="28"/>
                <w:vertAlign w:val="superscript"/>
              </w:rPr>
              <w:t>1</w:t>
            </w:r>
            <w:r w:rsidRPr="00C4252B">
              <w:rPr>
                <w:sz w:val="28"/>
                <w:szCs w:val="28"/>
              </w:rPr>
              <w:t xml:space="preserve"> daļa tiks piemērota, sākot ar 2017.</w:t>
            </w:r>
            <w:r w:rsidR="00EA3A0C">
              <w:rPr>
                <w:sz w:val="28"/>
                <w:szCs w:val="28"/>
              </w:rPr>
              <w:t xml:space="preserve"> </w:t>
            </w:r>
            <w:r w:rsidRPr="00C4252B">
              <w:rPr>
                <w:sz w:val="28"/>
                <w:szCs w:val="28"/>
              </w:rPr>
              <w:t>gada 1.</w:t>
            </w:r>
            <w:r w:rsidR="00EA3A0C">
              <w:rPr>
                <w:sz w:val="28"/>
                <w:szCs w:val="28"/>
              </w:rPr>
              <w:t xml:space="preserve"> </w:t>
            </w:r>
            <w:r w:rsidRPr="00C4252B">
              <w:rPr>
                <w:sz w:val="28"/>
                <w:szCs w:val="28"/>
              </w:rPr>
              <w:t xml:space="preserve">janvāri. </w:t>
            </w:r>
            <w:r w:rsidR="00EA3A0C">
              <w:rPr>
                <w:sz w:val="28"/>
                <w:szCs w:val="28"/>
              </w:rPr>
              <w:t>M</w:t>
            </w:r>
            <w:r w:rsidRPr="00C4252B">
              <w:rPr>
                <w:sz w:val="28"/>
                <w:szCs w:val="28"/>
              </w:rPr>
              <w:t>inistrija šā likuma 19.</w:t>
            </w:r>
            <w:r w:rsidR="00EA3A0C">
              <w:rPr>
                <w:sz w:val="28"/>
                <w:szCs w:val="28"/>
              </w:rPr>
              <w:t xml:space="preserve"> </w:t>
            </w:r>
            <w:r w:rsidR="00E9388D">
              <w:rPr>
                <w:sz w:val="28"/>
                <w:szCs w:val="28"/>
              </w:rPr>
              <w:t>panta 10.</w:t>
            </w:r>
            <w:r w:rsidR="00E9388D">
              <w:rPr>
                <w:sz w:val="28"/>
                <w:szCs w:val="28"/>
                <w:vertAlign w:val="superscript"/>
              </w:rPr>
              <w:t>1</w:t>
            </w:r>
            <w:r w:rsidRPr="00C4252B">
              <w:rPr>
                <w:sz w:val="28"/>
                <w:szCs w:val="28"/>
              </w:rPr>
              <w:t xml:space="preserve"> daļā minēto informāciju par 2016. </w:t>
            </w:r>
            <w:r w:rsidR="00C82C0F">
              <w:rPr>
                <w:sz w:val="28"/>
                <w:szCs w:val="28"/>
              </w:rPr>
              <w:t xml:space="preserve">taksācijas gadu iesniedz VID </w:t>
            </w:r>
            <w:r w:rsidRPr="00C4252B">
              <w:rPr>
                <w:sz w:val="28"/>
                <w:szCs w:val="28"/>
              </w:rPr>
              <w:t>līdz 2017.</w:t>
            </w:r>
            <w:r w:rsidR="00EA3A0C">
              <w:rPr>
                <w:sz w:val="28"/>
                <w:szCs w:val="28"/>
              </w:rPr>
              <w:t xml:space="preserve"> </w:t>
            </w:r>
            <w:r w:rsidRPr="00C4252B">
              <w:rPr>
                <w:sz w:val="28"/>
                <w:szCs w:val="28"/>
              </w:rPr>
              <w:t>gada 1.</w:t>
            </w:r>
            <w:r w:rsidR="00EA3A0C">
              <w:rPr>
                <w:sz w:val="28"/>
                <w:szCs w:val="28"/>
              </w:rPr>
              <w:t xml:space="preserve"> </w:t>
            </w:r>
            <w:r w:rsidR="00AA6121">
              <w:rPr>
                <w:sz w:val="28"/>
                <w:szCs w:val="28"/>
              </w:rPr>
              <w:t>februārim (</w:t>
            </w:r>
            <w:r w:rsidR="009F76AE" w:rsidRPr="00762F5A">
              <w:rPr>
                <w:sz w:val="28"/>
                <w:szCs w:val="28"/>
              </w:rPr>
              <w:t>n</w:t>
            </w:r>
            <w:r w:rsidR="00AA6121" w:rsidRPr="00762F5A">
              <w:rPr>
                <w:sz w:val="28"/>
                <w:szCs w:val="28"/>
              </w:rPr>
              <w:t xml:space="preserve">oteikumu projekta </w:t>
            </w:r>
            <w:r w:rsidR="00762F5A">
              <w:rPr>
                <w:sz w:val="28"/>
                <w:szCs w:val="28"/>
              </w:rPr>
              <w:t xml:space="preserve">8. 14. </w:t>
            </w:r>
            <w:r w:rsidR="00A47853">
              <w:rPr>
                <w:sz w:val="28"/>
                <w:szCs w:val="28"/>
              </w:rPr>
              <w:t xml:space="preserve">un 17. </w:t>
            </w:r>
            <w:r w:rsidR="00AA6121" w:rsidRPr="00762F5A">
              <w:rPr>
                <w:sz w:val="28"/>
                <w:szCs w:val="28"/>
              </w:rPr>
              <w:t>punkts)</w:t>
            </w:r>
            <w:r w:rsidR="00794916" w:rsidRPr="00762F5A">
              <w:rPr>
                <w:sz w:val="28"/>
                <w:szCs w:val="28"/>
              </w:rPr>
              <w:t>.</w:t>
            </w:r>
          </w:p>
          <w:p w:rsidR="00B50E41" w:rsidRDefault="005C577D" w:rsidP="00F677D7">
            <w:pPr>
              <w:jc w:val="both"/>
              <w:rPr>
                <w:sz w:val="28"/>
                <w:szCs w:val="28"/>
              </w:rPr>
            </w:pPr>
            <w:r>
              <w:rPr>
                <w:sz w:val="28"/>
                <w:szCs w:val="28"/>
              </w:rPr>
              <w:t>3</w:t>
            </w:r>
            <w:r w:rsidR="00767B06">
              <w:rPr>
                <w:sz w:val="28"/>
                <w:szCs w:val="28"/>
              </w:rPr>
              <w:t xml:space="preserve">) </w:t>
            </w:r>
            <w:r w:rsidR="00B50E41">
              <w:rPr>
                <w:sz w:val="28"/>
                <w:szCs w:val="28"/>
              </w:rPr>
              <w:t xml:space="preserve">Realizējot </w:t>
            </w:r>
            <w:r w:rsidR="00853B2E" w:rsidRPr="007555FF">
              <w:rPr>
                <w:sz w:val="28"/>
                <w:szCs w:val="28"/>
              </w:rPr>
              <w:t>Izglītības attīstības pamatnostādņu 2014.-2020.</w:t>
            </w:r>
            <w:r w:rsidR="00EA3A0C">
              <w:rPr>
                <w:sz w:val="28"/>
                <w:szCs w:val="28"/>
              </w:rPr>
              <w:t xml:space="preserve"> </w:t>
            </w:r>
            <w:r w:rsidR="00853B2E" w:rsidRPr="007555FF">
              <w:rPr>
                <w:sz w:val="28"/>
                <w:szCs w:val="28"/>
              </w:rPr>
              <w:t>gadam īstenošanas plāna 2015. – 2017.</w:t>
            </w:r>
            <w:r w:rsidR="00EA3A0C">
              <w:rPr>
                <w:sz w:val="28"/>
                <w:szCs w:val="28"/>
              </w:rPr>
              <w:t xml:space="preserve"> </w:t>
            </w:r>
            <w:r w:rsidR="00853B2E" w:rsidRPr="007555FF">
              <w:rPr>
                <w:sz w:val="28"/>
                <w:szCs w:val="28"/>
              </w:rPr>
              <w:t xml:space="preserve">gadam noteikto rīcības virzienu </w:t>
            </w:r>
            <w:r w:rsidR="00853B2E" w:rsidRPr="007555FF">
              <w:rPr>
                <w:bCs/>
                <w:iCs/>
                <w:sz w:val="28"/>
                <w:szCs w:val="28"/>
              </w:rPr>
              <w:t>3.1. „</w:t>
            </w:r>
            <w:r w:rsidR="00853B2E" w:rsidRPr="007555FF">
              <w:rPr>
                <w:sz w:val="28"/>
                <w:szCs w:val="28"/>
              </w:rPr>
              <w:t xml:space="preserve">Izglītības kvalitātes monitoringa sistēmas pilnveide” </w:t>
            </w:r>
            <w:r w:rsidR="00853B2E" w:rsidRPr="007555FF">
              <w:rPr>
                <w:bCs/>
                <w:sz w:val="28"/>
                <w:szCs w:val="28"/>
              </w:rPr>
              <w:t>3.1.5.</w:t>
            </w:r>
            <w:r w:rsidR="00853B2E" w:rsidRPr="007555FF">
              <w:rPr>
                <w:b/>
                <w:sz w:val="28"/>
                <w:szCs w:val="28"/>
              </w:rPr>
              <w:t xml:space="preserve"> </w:t>
            </w:r>
            <w:r w:rsidR="00853B2E" w:rsidRPr="007555FF">
              <w:rPr>
                <w:sz w:val="28"/>
                <w:szCs w:val="28"/>
              </w:rPr>
              <w:t xml:space="preserve">„Valsts izglītības informācijas sistēmas pilnveide” </w:t>
            </w:r>
            <w:r w:rsidR="00615F35" w:rsidRPr="007555FF">
              <w:rPr>
                <w:sz w:val="28"/>
                <w:szCs w:val="28"/>
              </w:rPr>
              <w:t>3.1.5. (1) „VIIS 3.</w:t>
            </w:r>
            <w:r w:rsidR="00EA3A0C">
              <w:rPr>
                <w:sz w:val="28"/>
                <w:szCs w:val="28"/>
              </w:rPr>
              <w:t xml:space="preserve"> </w:t>
            </w:r>
            <w:r w:rsidR="00615F35" w:rsidRPr="007555FF">
              <w:rPr>
                <w:sz w:val="28"/>
                <w:szCs w:val="28"/>
              </w:rPr>
              <w:t>kārtas projekta īstenošana saskaņā ar ERAF 2007.-2013.</w:t>
            </w:r>
            <w:r w:rsidR="00EA3A0C">
              <w:rPr>
                <w:sz w:val="28"/>
                <w:szCs w:val="28"/>
              </w:rPr>
              <w:t xml:space="preserve"> </w:t>
            </w:r>
            <w:r w:rsidR="00615F35" w:rsidRPr="007555FF">
              <w:rPr>
                <w:sz w:val="28"/>
                <w:szCs w:val="28"/>
              </w:rPr>
              <w:t>gada plānošanas pe</w:t>
            </w:r>
            <w:r w:rsidR="00E70EB6">
              <w:rPr>
                <w:sz w:val="28"/>
                <w:szCs w:val="28"/>
              </w:rPr>
              <w:t>riodā paredzētajiem līdzekļiem”. Minētais tika realizēts</w:t>
            </w:r>
            <w:r w:rsidR="005F3B5B">
              <w:rPr>
                <w:sz w:val="28"/>
                <w:szCs w:val="28"/>
              </w:rPr>
              <w:t>,</w:t>
            </w:r>
            <w:r w:rsidR="00E70EB6">
              <w:rPr>
                <w:sz w:val="28"/>
                <w:szCs w:val="28"/>
              </w:rPr>
              <w:t xml:space="preserve"> 2015.</w:t>
            </w:r>
            <w:r w:rsidR="00EA3A0C">
              <w:rPr>
                <w:sz w:val="28"/>
                <w:szCs w:val="28"/>
              </w:rPr>
              <w:t xml:space="preserve"> </w:t>
            </w:r>
            <w:r w:rsidR="00E70EB6">
              <w:rPr>
                <w:sz w:val="28"/>
                <w:szCs w:val="28"/>
              </w:rPr>
              <w:t xml:space="preserve">gadā iesaistoties </w:t>
            </w:r>
            <w:r w:rsidR="00E70EB6" w:rsidRPr="00BC1CC3">
              <w:rPr>
                <w:sz w:val="28"/>
                <w:szCs w:val="28"/>
              </w:rPr>
              <w:t xml:space="preserve">Eiropas Reģionālās attīstības fonda darbības programmas "Infrastruktūra un pakalpojumi" papildinājuma 3.2.2.1.1. </w:t>
            </w:r>
            <w:proofErr w:type="spellStart"/>
            <w:r w:rsidR="00E70EB6" w:rsidRPr="00BC1CC3">
              <w:rPr>
                <w:sz w:val="28"/>
                <w:szCs w:val="28"/>
              </w:rPr>
              <w:t>apakšaktivitātes</w:t>
            </w:r>
            <w:proofErr w:type="spellEnd"/>
            <w:r w:rsidR="00E70EB6" w:rsidRPr="00BC1CC3">
              <w:rPr>
                <w:sz w:val="28"/>
                <w:szCs w:val="28"/>
              </w:rPr>
              <w:t xml:space="preserve"> "Informācijas sistēmu un elek</w:t>
            </w:r>
            <w:r w:rsidR="00E70EB6">
              <w:rPr>
                <w:sz w:val="28"/>
                <w:szCs w:val="28"/>
              </w:rPr>
              <w:t>tronisko pakalpojumu attīstība" projektā "</w:t>
            </w:r>
            <w:r w:rsidR="00E70EB6" w:rsidRPr="00BC1CC3">
              <w:rPr>
                <w:sz w:val="28"/>
                <w:szCs w:val="28"/>
              </w:rPr>
              <w:t>Valsts izglītības informācijas sis</w:t>
            </w:r>
            <w:r w:rsidR="00E70EB6">
              <w:rPr>
                <w:sz w:val="28"/>
                <w:szCs w:val="28"/>
              </w:rPr>
              <w:t xml:space="preserve">tēmas (VIIS) attīstība” </w:t>
            </w:r>
            <w:r w:rsidR="00E70EB6" w:rsidRPr="00BC1CC3">
              <w:rPr>
                <w:sz w:val="28"/>
                <w:szCs w:val="28"/>
              </w:rPr>
              <w:t>(Vienošanās Nr. 3DP/3.2.2.1.1.</w:t>
            </w:r>
            <w:r w:rsidR="00E70EB6">
              <w:rPr>
                <w:sz w:val="28"/>
                <w:szCs w:val="28"/>
              </w:rPr>
              <w:t xml:space="preserve">/14/IPIA/CFLA/001/001, kura sasniedzamais rezultāts </w:t>
            </w:r>
            <w:r w:rsidR="00E70EB6" w:rsidRPr="00BC1CC3">
              <w:rPr>
                <w:sz w:val="28"/>
                <w:szCs w:val="28"/>
              </w:rPr>
              <w:t>ir paplašināt VIIS kā centrālās izglīt</w:t>
            </w:r>
            <w:r w:rsidR="00C96113">
              <w:rPr>
                <w:sz w:val="28"/>
                <w:szCs w:val="28"/>
              </w:rPr>
              <w:t>ības resora i</w:t>
            </w:r>
            <w:r w:rsidR="00E70EB6">
              <w:rPr>
                <w:sz w:val="28"/>
                <w:szCs w:val="28"/>
              </w:rPr>
              <w:t>nformācijas sistēma</w:t>
            </w:r>
            <w:r w:rsidR="00C96113">
              <w:rPr>
                <w:sz w:val="28"/>
                <w:szCs w:val="28"/>
              </w:rPr>
              <w:t>s</w:t>
            </w:r>
            <w:r w:rsidR="00E70EB6">
              <w:rPr>
                <w:sz w:val="28"/>
                <w:szCs w:val="28"/>
              </w:rPr>
              <w:t xml:space="preserve"> </w:t>
            </w:r>
            <w:r w:rsidR="00E70EB6" w:rsidRPr="00BC1CC3">
              <w:rPr>
                <w:sz w:val="28"/>
                <w:szCs w:val="28"/>
              </w:rPr>
              <w:t>funkcionalitāti, nodrošināt informācijas uzkrāšanu par augstākās izglītības iestādēs studējošajiem, elektronizējot izglītības pakalpojumus, attīstot VIIS</w:t>
            </w:r>
            <w:r w:rsidR="00C96113">
              <w:rPr>
                <w:sz w:val="28"/>
                <w:szCs w:val="28"/>
              </w:rPr>
              <w:t xml:space="preserve"> datu apmaiņu ar citu iestāžu informācijas sistēmām</w:t>
            </w:r>
            <w:r w:rsidR="00E70EB6" w:rsidRPr="00BC1CC3">
              <w:rPr>
                <w:sz w:val="28"/>
                <w:szCs w:val="28"/>
              </w:rPr>
              <w:t xml:space="preserve">, kā arī uzlabojot VIIS uzkrāto datu </w:t>
            </w:r>
            <w:proofErr w:type="spellStart"/>
            <w:r w:rsidR="00E70EB6" w:rsidRPr="00BC1CC3">
              <w:rPr>
                <w:sz w:val="28"/>
                <w:szCs w:val="28"/>
              </w:rPr>
              <w:t>izguves</w:t>
            </w:r>
            <w:proofErr w:type="spellEnd"/>
            <w:r w:rsidR="00E70EB6" w:rsidRPr="00BC1CC3">
              <w:rPr>
                <w:sz w:val="28"/>
                <w:szCs w:val="28"/>
              </w:rPr>
              <w:t xml:space="preserve"> iespējas, tādējādi sekmējot normatīvajos aktos un politikas plānošanas dokumentos fiksēto rīcības virzienu un mērķu izpildi (Ministru kabineta 2010.</w:t>
            </w:r>
            <w:r w:rsidR="00EA3A0C">
              <w:rPr>
                <w:sz w:val="28"/>
                <w:szCs w:val="28"/>
              </w:rPr>
              <w:t xml:space="preserve"> </w:t>
            </w:r>
            <w:r w:rsidR="00E70EB6" w:rsidRPr="00BC1CC3">
              <w:rPr>
                <w:sz w:val="28"/>
                <w:szCs w:val="28"/>
              </w:rPr>
              <w:t>gada 10.</w:t>
            </w:r>
            <w:r w:rsidR="00EA3A0C">
              <w:rPr>
                <w:sz w:val="28"/>
                <w:szCs w:val="28"/>
              </w:rPr>
              <w:t xml:space="preserve"> </w:t>
            </w:r>
            <w:r w:rsidR="00E70EB6" w:rsidRPr="00BC1CC3">
              <w:rPr>
                <w:sz w:val="28"/>
                <w:szCs w:val="28"/>
              </w:rPr>
              <w:t>augusta noteikumi Nr.</w:t>
            </w:r>
            <w:r w:rsidR="003F263D">
              <w:rPr>
                <w:sz w:val="28"/>
                <w:szCs w:val="28"/>
              </w:rPr>
              <w:t xml:space="preserve"> </w:t>
            </w:r>
            <w:r w:rsidR="00E70EB6" w:rsidRPr="00BC1CC3">
              <w:rPr>
                <w:sz w:val="28"/>
                <w:szCs w:val="28"/>
              </w:rPr>
              <w:t>766 "Noteikumi par darbības programmas "Infrastruktūra un pakalpojumi" papildinājuma 3.2.2.1.1.apakšaktivitātes "Informācijas sistēmu un elektronisko pakalpojumu attīstība" projektu iesniegumu atlases otro, t</w:t>
            </w:r>
            <w:r w:rsidR="00C96113">
              <w:rPr>
                <w:sz w:val="28"/>
                <w:szCs w:val="28"/>
              </w:rPr>
              <w:t>rešo, ceturto un piekto kārtu") (</w:t>
            </w:r>
            <w:r w:rsidR="00C96113" w:rsidRPr="0010610B">
              <w:rPr>
                <w:sz w:val="28"/>
                <w:szCs w:val="28"/>
              </w:rPr>
              <w:t>n</w:t>
            </w:r>
            <w:r w:rsidR="0096263C" w:rsidRPr="0010610B">
              <w:rPr>
                <w:sz w:val="28"/>
                <w:szCs w:val="28"/>
              </w:rPr>
              <w:t>oteikumu p</w:t>
            </w:r>
            <w:r w:rsidR="00FB5BFB" w:rsidRPr="0010610B">
              <w:rPr>
                <w:sz w:val="28"/>
                <w:szCs w:val="28"/>
              </w:rPr>
              <w:t xml:space="preserve">rojekta </w:t>
            </w:r>
            <w:r w:rsidR="0010610B">
              <w:rPr>
                <w:sz w:val="28"/>
                <w:szCs w:val="28"/>
              </w:rPr>
              <w:t xml:space="preserve">2., 3., 4., </w:t>
            </w:r>
            <w:r w:rsidR="00C96113" w:rsidRPr="0010610B">
              <w:rPr>
                <w:sz w:val="28"/>
                <w:szCs w:val="28"/>
              </w:rPr>
              <w:t>punkts</w:t>
            </w:r>
            <w:r w:rsidR="00C96113">
              <w:rPr>
                <w:sz w:val="28"/>
                <w:szCs w:val="28"/>
              </w:rPr>
              <w:t>)</w:t>
            </w:r>
            <w:r w:rsidR="00225C06">
              <w:rPr>
                <w:sz w:val="28"/>
                <w:szCs w:val="28"/>
              </w:rPr>
              <w:t>.</w:t>
            </w:r>
          </w:p>
          <w:p w:rsidR="00DC0EF7" w:rsidRDefault="005C577D" w:rsidP="00F677D7">
            <w:pPr>
              <w:jc w:val="both"/>
              <w:rPr>
                <w:bCs/>
                <w:sz w:val="28"/>
                <w:szCs w:val="28"/>
              </w:rPr>
            </w:pPr>
            <w:r>
              <w:rPr>
                <w:sz w:val="28"/>
                <w:szCs w:val="28"/>
              </w:rPr>
              <w:lastRenderedPageBreak/>
              <w:t>4</w:t>
            </w:r>
            <w:r w:rsidR="00B50E41">
              <w:rPr>
                <w:sz w:val="28"/>
                <w:szCs w:val="28"/>
              </w:rPr>
              <w:t>)</w:t>
            </w:r>
            <w:r w:rsidR="00853B2E" w:rsidRPr="007555FF">
              <w:rPr>
                <w:sz w:val="28"/>
                <w:szCs w:val="28"/>
              </w:rPr>
              <w:t xml:space="preserve"> </w:t>
            </w:r>
            <w:r w:rsidR="00575B97">
              <w:rPr>
                <w:sz w:val="28"/>
                <w:szCs w:val="28"/>
              </w:rPr>
              <w:t>Pamatnostād</w:t>
            </w:r>
            <w:r w:rsidR="00E15027">
              <w:rPr>
                <w:sz w:val="28"/>
                <w:szCs w:val="28"/>
              </w:rPr>
              <w:t>ņu uzdevums</w:t>
            </w:r>
            <w:r w:rsidR="00575B97">
              <w:rPr>
                <w:sz w:val="28"/>
                <w:szCs w:val="28"/>
              </w:rPr>
              <w:t xml:space="preserve"> </w:t>
            </w:r>
            <w:r w:rsidR="00853B2E" w:rsidRPr="007555FF">
              <w:rPr>
                <w:bCs/>
                <w:sz w:val="28"/>
                <w:szCs w:val="28"/>
              </w:rPr>
              <w:t xml:space="preserve">3.1.7. „Vienotas augstākās izglītības informatīvās sistēmas izveide” </w:t>
            </w:r>
            <w:r w:rsidR="00615F35" w:rsidRPr="007555FF">
              <w:rPr>
                <w:bCs/>
                <w:sz w:val="28"/>
                <w:szCs w:val="28"/>
              </w:rPr>
              <w:t xml:space="preserve">3.1.7.(1) </w:t>
            </w:r>
            <w:proofErr w:type="spellStart"/>
            <w:r w:rsidR="00575B97">
              <w:rPr>
                <w:bCs/>
                <w:sz w:val="28"/>
                <w:szCs w:val="28"/>
              </w:rPr>
              <w:t>apak</w:t>
            </w:r>
            <w:r w:rsidR="00E15027">
              <w:rPr>
                <w:bCs/>
                <w:sz w:val="28"/>
                <w:szCs w:val="28"/>
              </w:rPr>
              <w:t>šuzdevums</w:t>
            </w:r>
            <w:proofErr w:type="spellEnd"/>
            <w:r w:rsidR="00575B97">
              <w:rPr>
                <w:bCs/>
                <w:sz w:val="28"/>
                <w:szCs w:val="28"/>
              </w:rPr>
              <w:t xml:space="preserve"> </w:t>
            </w:r>
            <w:r w:rsidR="00615F35" w:rsidRPr="007555FF">
              <w:rPr>
                <w:bCs/>
                <w:sz w:val="28"/>
                <w:szCs w:val="28"/>
              </w:rPr>
              <w:t xml:space="preserve">„Vienotas augstākās izglītības informatīvās sistēmas izveide, iekļaujot tajā akadēmiskā un zinātniskā personāla, studējošo, diplomu reģistru, kā arī akreditācijas vajadzībām nepieciešamo datubāzi” </w:t>
            </w:r>
            <w:r w:rsidR="0045591A">
              <w:rPr>
                <w:bCs/>
                <w:sz w:val="28"/>
                <w:szCs w:val="28"/>
              </w:rPr>
              <w:t>paredz, kā tiks v</w:t>
            </w:r>
            <w:r w:rsidR="0045591A" w:rsidRPr="0045591A">
              <w:rPr>
                <w:bCs/>
                <w:sz w:val="28"/>
                <w:szCs w:val="28"/>
              </w:rPr>
              <w:t>eikti grozījumi Augstskolu likumā par grādu un kvalifikāciju ieguvušo personu moni</w:t>
            </w:r>
            <w:r w:rsidR="0045591A">
              <w:rPr>
                <w:bCs/>
                <w:sz w:val="28"/>
                <w:szCs w:val="28"/>
              </w:rPr>
              <w:t xml:space="preserve">toringa sistēmas izveidi pēc augstākās izglītības iestādes absolvēšanas. Papildus </w:t>
            </w:r>
            <w:r w:rsidR="00B50E41">
              <w:rPr>
                <w:bCs/>
                <w:sz w:val="28"/>
                <w:szCs w:val="28"/>
              </w:rPr>
              <w:t>būs nepieciešams veikt</w:t>
            </w:r>
            <w:r w:rsidR="0045591A">
              <w:rPr>
                <w:bCs/>
                <w:sz w:val="28"/>
                <w:szCs w:val="28"/>
              </w:rPr>
              <w:t xml:space="preserve"> </w:t>
            </w:r>
            <w:r w:rsidR="00B50E41">
              <w:rPr>
                <w:bCs/>
                <w:sz w:val="28"/>
                <w:szCs w:val="28"/>
              </w:rPr>
              <w:t>grozījumus</w:t>
            </w:r>
            <w:r w:rsidR="00D27203">
              <w:rPr>
                <w:bCs/>
                <w:sz w:val="28"/>
                <w:szCs w:val="28"/>
              </w:rPr>
              <w:t xml:space="preserve"> Ministru kabineta</w:t>
            </w:r>
            <w:r w:rsidR="0045591A" w:rsidRPr="0045591A">
              <w:rPr>
                <w:bCs/>
                <w:sz w:val="28"/>
                <w:szCs w:val="28"/>
              </w:rPr>
              <w:t xml:space="preserve"> 2006.</w:t>
            </w:r>
            <w:r w:rsidR="009479B1">
              <w:rPr>
                <w:bCs/>
                <w:sz w:val="28"/>
                <w:szCs w:val="28"/>
              </w:rPr>
              <w:t xml:space="preserve"> </w:t>
            </w:r>
            <w:r w:rsidR="0045591A" w:rsidRPr="0045591A">
              <w:rPr>
                <w:bCs/>
                <w:sz w:val="28"/>
                <w:szCs w:val="28"/>
              </w:rPr>
              <w:t>gada 2.</w:t>
            </w:r>
            <w:r w:rsidR="0026573B">
              <w:rPr>
                <w:bCs/>
                <w:sz w:val="28"/>
                <w:szCs w:val="28"/>
              </w:rPr>
              <w:t xml:space="preserve"> </w:t>
            </w:r>
            <w:r w:rsidR="0045591A" w:rsidRPr="0045591A">
              <w:rPr>
                <w:bCs/>
                <w:sz w:val="28"/>
                <w:szCs w:val="28"/>
              </w:rPr>
              <w:t>maija noteikumos Nr.</w:t>
            </w:r>
            <w:r w:rsidR="009479B1">
              <w:rPr>
                <w:bCs/>
                <w:sz w:val="28"/>
                <w:szCs w:val="28"/>
              </w:rPr>
              <w:t xml:space="preserve"> </w:t>
            </w:r>
            <w:r w:rsidR="0045591A" w:rsidRPr="0045591A">
              <w:rPr>
                <w:bCs/>
                <w:sz w:val="28"/>
                <w:szCs w:val="28"/>
              </w:rPr>
              <w:t>348 “Kārtība, kādā augstskola un koledža iesniedz Izglītības un zinātnes ministrij</w:t>
            </w:r>
            <w:r w:rsidR="00B50E41">
              <w:rPr>
                <w:bCs/>
                <w:sz w:val="28"/>
                <w:szCs w:val="28"/>
              </w:rPr>
              <w:t>ā informāciju par savu darbību”, ar mērķi samazināt rakstiski nododamās informācijas apjomu un nodrošin</w:t>
            </w:r>
            <w:r w:rsidR="0096263C">
              <w:rPr>
                <w:bCs/>
                <w:sz w:val="28"/>
                <w:szCs w:val="28"/>
              </w:rPr>
              <w:t>āt to kvalitāti un savlaicīgumu (</w:t>
            </w:r>
            <w:r w:rsidR="009F76AE" w:rsidRPr="0010610B">
              <w:rPr>
                <w:bCs/>
                <w:sz w:val="28"/>
                <w:szCs w:val="28"/>
              </w:rPr>
              <w:t>n</w:t>
            </w:r>
            <w:r w:rsidR="0096263C" w:rsidRPr="0010610B">
              <w:rPr>
                <w:bCs/>
                <w:sz w:val="28"/>
                <w:szCs w:val="28"/>
              </w:rPr>
              <w:t>oteikumu projekta</w:t>
            </w:r>
            <w:r w:rsidR="0010610B">
              <w:rPr>
                <w:bCs/>
                <w:sz w:val="28"/>
                <w:szCs w:val="28"/>
              </w:rPr>
              <w:t xml:space="preserve"> </w:t>
            </w:r>
            <w:r w:rsidR="00E2148E">
              <w:rPr>
                <w:sz w:val="28"/>
                <w:szCs w:val="28"/>
              </w:rPr>
              <w:t>2., 3., 4., 8., 10.</w:t>
            </w:r>
            <w:r w:rsidR="0010610B">
              <w:rPr>
                <w:sz w:val="28"/>
                <w:szCs w:val="28"/>
              </w:rPr>
              <w:t>, 13., 16. un 17. punkts</w:t>
            </w:r>
            <w:r w:rsidR="0096263C">
              <w:rPr>
                <w:bCs/>
                <w:sz w:val="28"/>
                <w:szCs w:val="28"/>
              </w:rPr>
              <w:t>)</w:t>
            </w:r>
            <w:r w:rsidR="008950E7" w:rsidRPr="008950E7">
              <w:rPr>
                <w:bCs/>
                <w:sz w:val="28"/>
                <w:szCs w:val="28"/>
              </w:rPr>
              <w:t>.</w:t>
            </w:r>
          </w:p>
          <w:p w:rsidR="00DC0EF7" w:rsidRDefault="005C577D" w:rsidP="00F677D7">
            <w:pPr>
              <w:jc w:val="both"/>
              <w:rPr>
                <w:sz w:val="28"/>
                <w:szCs w:val="28"/>
              </w:rPr>
            </w:pPr>
            <w:r>
              <w:rPr>
                <w:bCs/>
                <w:sz w:val="28"/>
                <w:szCs w:val="28"/>
              </w:rPr>
              <w:t>5</w:t>
            </w:r>
            <w:r w:rsidR="00B50E41">
              <w:rPr>
                <w:bCs/>
                <w:sz w:val="28"/>
                <w:szCs w:val="28"/>
              </w:rPr>
              <w:t xml:space="preserve">) </w:t>
            </w:r>
            <w:r w:rsidR="00E15027">
              <w:rPr>
                <w:bCs/>
                <w:sz w:val="28"/>
                <w:szCs w:val="28"/>
              </w:rPr>
              <w:t xml:space="preserve">Pamatnostādņu </w:t>
            </w:r>
            <w:r w:rsidR="00615F35" w:rsidRPr="007555FF">
              <w:rPr>
                <w:bCs/>
                <w:sz w:val="28"/>
                <w:szCs w:val="28"/>
              </w:rPr>
              <w:t xml:space="preserve">3.1.7. (2) </w:t>
            </w:r>
            <w:proofErr w:type="spellStart"/>
            <w:r w:rsidR="00E15027">
              <w:rPr>
                <w:bCs/>
                <w:sz w:val="28"/>
                <w:szCs w:val="28"/>
              </w:rPr>
              <w:t>apakšuzdevuma</w:t>
            </w:r>
            <w:proofErr w:type="spellEnd"/>
            <w:r w:rsidR="00E15027">
              <w:rPr>
                <w:bCs/>
                <w:sz w:val="28"/>
                <w:szCs w:val="28"/>
              </w:rPr>
              <w:t xml:space="preserve"> </w:t>
            </w:r>
            <w:r w:rsidR="00615F35" w:rsidRPr="007555FF">
              <w:rPr>
                <w:bCs/>
                <w:sz w:val="28"/>
                <w:szCs w:val="28"/>
              </w:rPr>
              <w:t>„Valsts izglītības infor</w:t>
            </w:r>
            <w:r w:rsidR="00974521">
              <w:rPr>
                <w:bCs/>
                <w:sz w:val="28"/>
                <w:szCs w:val="28"/>
              </w:rPr>
              <w:t>mācijas sistēmas sasaiste ar Nodarbinātības  valsts aģentūra (turpmāk - NVA)</w:t>
            </w:r>
            <w:r w:rsidR="00615F35" w:rsidRPr="007555FF">
              <w:rPr>
                <w:bCs/>
                <w:sz w:val="28"/>
                <w:szCs w:val="28"/>
              </w:rPr>
              <w:t xml:space="preserve"> un VID datubāzēm, </w:t>
            </w:r>
            <w:r w:rsidR="006E4201">
              <w:rPr>
                <w:bCs/>
                <w:sz w:val="28"/>
                <w:szCs w:val="28"/>
              </w:rPr>
              <w:t xml:space="preserve">tai skaitā izmantojot Centrālās statistikas pārvaldes datu apstrādes risinājumus, </w:t>
            </w:r>
            <w:r w:rsidR="00615F35" w:rsidRPr="007555FF">
              <w:rPr>
                <w:bCs/>
                <w:sz w:val="28"/>
                <w:szCs w:val="28"/>
              </w:rPr>
              <w:t xml:space="preserve">lai iegūtu visaptverošo informāciju par </w:t>
            </w:r>
            <w:r w:rsidR="00D55328">
              <w:rPr>
                <w:bCs/>
                <w:sz w:val="28"/>
                <w:szCs w:val="28"/>
              </w:rPr>
              <w:t xml:space="preserve">absolventu </w:t>
            </w:r>
            <w:r w:rsidR="00615F35" w:rsidRPr="007555FF">
              <w:rPr>
                <w:bCs/>
                <w:sz w:val="28"/>
                <w:szCs w:val="28"/>
              </w:rPr>
              <w:t>nod</w:t>
            </w:r>
            <w:r w:rsidR="00B50E41">
              <w:rPr>
                <w:bCs/>
                <w:sz w:val="28"/>
                <w:szCs w:val="28"/>
              </w:rPr>
              <w:t>arbinātību pēc augstākās izglītības iestādes</w:t>
            </w:r>
            <w:r w:rsidR="005C33D4" w:rsidRPr="007555FF">
              <w:rPr>
                <w:bCs/>
                <w:sz w:val="28"/>
                <w:szCs w:val="28"/>
              </w:rPr>
              <w:t xml:space="preserve"> absolvēšanas</w:t>
            </w:r>
            <w:r w:rsidR="00615F35" w:rsidRPr="007555FF">
              <w:rPr>
                <w:bCs/>
                <w:sz w:val="28"/>
                <w:szCs w:val="28"/>
              </w:rPr>
              <w:t>”</w:t>
            </w:r>
            <w:r w:rsidR="003609BD">
              <w:rPr>
                <w:sz w:val="28"/>
                <w:szCs w:val="28"/>
              </w:rPr>
              <w:t xml:space="preserve"> </w:t>
            </w:r>
            <w:r w:rsidR="00E15027">
              <w:rPr>
                <w:sz w:val="28"/>
                <w:szCs w:val="28"/>
              </w:rPr>
              <w:t>paredzēts, ka</w:t>
            </w:r>
            <w:r w:rsidR="009356E9">
              <w:rPr>
                <w:sz w:val="28"/>
                <w:szCs w:val="28"/>
              </w:rPr>
              <w:t>,</w:t>
            </w:r>
            <w:r w:rsidR="00E15027">
              <w:rPr>
                <w:sz w:val="28"/>
                <w:szCs w:val="28"/>
              </w:rPr>
              <w:t xml:space="preserve"> sasaistot attiecīgo iestāžu </w:t>
            </w:r>
            <w:r w:rsidR="0096626C">
              <w:rPr>
                <w:sz w:val="28"/>
                <w:szCs w:val="28"/>
              </w:rPr>
              <w:t>informācijas sistēmas,</w:t>
            </w:r>
            <w:r w:rsidR="006E4201">
              <w:rPr>
                <w:sz w:val="28"/>
                <w:szCs w:val="28"/>
              </w:rPr>
              <w:t xml:space="preserve"> </w:t>
            </w:r>
            <w:r w:rsidR="00E15027">
              <w:rPr>
                <w:sz w:val="28"/>
                <w:szCs w:val="28"/>
              </w:rPr>
              <w:t>tiks veikta</w:t>
            </w:r>
            <w:r w:rsidR="006E4201">
              <w:rPr>
                <w:sz w:val="28"/>
                <w:szCs w:val="28"/>
              </w:rPr>
              <w:t xml:space="preserve"> </w:t>
            </w:r>
            <w:r w:rsidR="00FB3D71">
              <w:rPr>
                <w:sz w:val="28"/>
                <w:szCs w:val="28"/>
              </w:rPr>
              <w:t>ministrijas</w:t>
            </w:r>
            <w:r w:rsidR="00E15027">
              <w:rPr>
                <w:sz w:val="28"/>
                <w:szCs w:val="28"/>
              </w:rPr>
              <w:t>, NVA un VID sadarbība  informācijas apmaiņas jomā</w:t>
            </w:r>
            <w:r w:rsidR="00E15027" w:rsidRPr="00E15027">
              <w:rPr>
                <w:sz w:val="28"/>
                <w:szCs w:val="28"/>
              </w:rPr>
              <w:t xml:space="preserve"> par grādu un kvalifikāciju ieguvušo personu noda</w:t>
            </w:r>
            <w:r w:rsidR="00E15027">
              <w:rPr>
                <w:sz w:val="28"/>
                <w:szCs w:val="28"/>
              </w:rPr>
              <w:t xml:space="preserve">rbinātību </w:t>
            </w:r>
            <w:r w:rsidR="005B51C5">
              <w:rPr>
                <w:sz w:val="28"/>
                <w:szCs w:val="28"/>
              </w:rPr>
              <w:t>25</w:t>
            </w:r>
            <w:r w:rsidR="00870ED2">
              <w:rPr>
                <w:sz w:val="28"/>
                <w:szCs w:val="28"/>
              </w:rPr>
              <w:t xml:space="preserve"> </w:t>
            </w:r>
            <w:r w:rsidR="00E15027">
              <w:rPr>
                <w:sz w:val="28"/>
                <w:szCs w:val="28"/>
              </w:rPr>
              <w:t>gadus pēc augstākās izglītības iestādes</w:t>
            </w:r>
            <w:r w:rsidR="006D0B47">
              <w:rPr>
                <w:sz w:val="28"/>
                <w:szCs w:val="28"/>
              </w:rPr>
              <w:t xml:space="preserve"> </w:t>
            </w:r>
            <w:r w:rsidR="009F06A8">
              <w:rPr>
                <w:sz w:val="28"/>
                <w:szCs w:val="28"/>
              </w:rPr>
              <w:t xml:space="preserve"> absolvēšanas </w:t>
            </w:r>
            <w:r w:rsidR="009F06A8" w:rsidRPr="005B51C5">
              <w:rPr>
                <w:sz w:val="28"/>
                <w:szCs w:val="28"/>
              </w:rPr>
              <w:t>(n</w:t>
            </w:r>
            <w:r w:rsidR="009F7EC9" w:rsidRPr="005B51C5">
              <w:rPr>
                <w:sz w:val="28"/>
                <w:szCs w:val="28"/>
              </w:rPr>
              <w:t>oteikumu</w:t>
            </w:r>
            <w:r w:rsidR="00B85DA9" w:rsidRPr="005B51C5">
              <w:rPr>
                <w:sz w:val="28"/>
                <w:szCs w:val="28"/>
              </w:rPr>
              <w:t xml:space="preserve"> </w:t>
            </w:r>
            <w:r w:rsidR="009F06A8" w:rsidRPr="005B51C5">
              <w:rPr>
                <w:sz w:val="28"/>
                <w:szCs w:val="28"/>
              </w:rPr>
              <w:t>projekta</w:t>
            </w:r>
            <w:r w:rsidR="0078094D" w:rsidRPr="005B51C5">
              <w:rPr>
                <w:sz w:val="28"/>
                <w:szCs w:val="28"/>
              </w:rPr>
              <w:t xml:space="preserve"> </w:t>
            </w:r>
            <w:r w:rsidR="005B51C5">
              <w:rPr>
                <w:sz w:val="28"/>
                <w:szCs w:val="28"/>
              </w:rPr>
              <w:t xml:space="preserve">15. </w:t>
            </w:r>
            <w:r w:rsidR="009F06A8" w:rsidRPr="005B51C5">
              <w:rPr>
                <w:sz w:val="28"/>
                <w:szCs w:val="28"/>
              </w:rPr>
              <w:t>punkts</w:t>
            </w:r>
            <w:r w:rsidR="009F06A8">
              <w:rPr>
                <w:sz w:val="28"/>
                <w:szCs w:val="28"/>
              </w:rPr>
              <w:t>)</w:t>
            </w:r>
            <w:r w:rsidR="0078094D">
              <w:rPr>
                <w:sz w:val="28"/>
                <w:szCs w:val="28"/>
              </w:rPr>
              <w:t>.</w:t>
            </w:r>
          </w:p>
          <w:p w:rsidR="00245942" w:rsidRDefault="005C577D" w:rsidP="00F677D7">
            <w:pPr>
              <w:jc w:val="both"/>
              <w:rPr>
                <w:sz w:val="28"/>
                <w:szCs w:val="28"/>
              </w:rPr>
            </w:pPr>
            <w:r>
              <w:rPr>
                <w:sz w:val="28"/>
                <w:szCs w:val="28"/>
              </w:rPr>
              <w:t>6</w:t>
            </w:r>
            <w:r w:rsidR="00767B06">
              <w:rPr>
                <w:sz w:val="28"/>
                <w:szCs w:val="28"/>
              </w:rPr>
              <w:t xml:space="preserve">) </w:t>
            </w:r>
            <w:r w:rsidR="00566181">
              <w:rPr>
                <w:sz w:val="28"/>
                <w:szCs w:val="28"/>
              </w:rPr>
              <w:t>Augstskolu likuma 45. panta otrajā daļā un 83. pantā noteikts, ka t</w:t>
            </w:r>
            <w:r w:rsidR="00566181" w:rsidRPr="00566181">
              <w:rPr>
                <w:sz w:val="28"/>
                <w:szCs w:val="28"/>
              </w:rPr>
              <w:t xml:space="preserve">iesības studēt augstskolā vai koledžā ir katram Latvijas pilsonim un Latvijas </w:t>
            </w:r>
            <w:proofErr w:type="spellStart"/>
            <w:r w:rsidR="00566181" w:rsidRPr="00566181">
              <w:rPr>
                <w:sz w:val="28"/>
                <w:szCs w:val="28"/>
              </w:rPr>
              <w:t>nepilsonim</w:t>
            </w:r>
            <w:proofErr w:type="spellEnd"/>
            <w:r w:rsidR="00566181" w:rsidRPr="00566181">
              <w:rPr>
                <w:sz w:val="28"/>
                <w:szCs w:val="28"/>
              </w:rPr>
              <w:t>, kā arī ārzemniekam</w:t>
            </w:r>
            <w:r w:rsidR="00566181">
              <w:rPr>
                <w:sz w:val="28"/>
                <w:szCs w:val="28"/>
              </w:rPr>
              <w:t xml:space="preserve">. Izpildot arī </w:t>
            </w:r>
            <w:r w:rsidR="00566181" w:rsidRPr="00566181">
              <w:rPr>
                <w:sz w:val="28"/>
                <w:szCs w:val="28"/>
              </w:rPr>
              <w:t>Ministru kabineta 2015. gada 29. jūnija rīkojuma Nr. 331 apstiprinātā Izglītības attīstības pamatnostādņu 2014.-2020.</w:t>
            </w:r>
            <w:r w:rsidR="005C4030">
              <w:rPr>
                <w:sz w:val="28"/>
                <w:szCs w:val="28"/>
              </w:rPr>
              <w:t xml:space="preserve"> </w:t>
            </w:r>
            <w:r w:rsidR="00566181" w:rsidRPr="00566181">
              <w:rPr>
                <w:sz w:val="28"/>
                <w:szCs w:val="28"/>
              </w:rPr>
              <w:t>gadam īstenošanas plānā 2015. – 2017.</w:t>
            </w:r>
            <w:r w:rsidR="005C4030">
              <w:rPr>
                <w:sz w:val="28"/>
                <w:szCs w:val="28"/>
              </w:rPr>
              <w:t xml:space="preserve"> </w:t>
            </w:r>
            <w:r w:rsidR="00566181" w:rsidRPr="00566181">
              <w:rPr>
                <w:sz w:val="28"/>
                <w:szCs w:val="28"/>
              </w:rPr>
              <w:t>gadam noteiktā rīcības virziena 3.4. “Izglītības starptautiskā konkurētspēja” 3.4.8. “Mācību un studiju starptautiskās mobilitātes, mācību un studiju starptautiskās prakses nodrošināšana” un 3.4.9. “Atbalsts ārvalstu studentiem augstākās izglītības iegūšanai Latvijā – stipendiju nodrošināšana</w:t>
            </w:r>
            <w:r w:rsidR="00566181">
              <w:rPr>
                <w:sz w:val="28"/>
                <w:szCs w:val="28"/>
              </w:rPr>
              <w:t xml:space="preserve"> ārvalstu studentiem” uzdevumus, valsts statistikā par augstāko izglītību ir jābūt iekļautai informācijai</w:t>
            </w:r>
            <w:r w:rsidR="006E7157">
              <w:rPr>
                <w:sz w:val="28"/>
                <w:szCs w:val="28"/>
              </w:rPr>
              <w:t xml:space="preserve"> par studējošajiem no ārvalstīm </w:t>
            </w:r>
            <w:r w:rsidR="005B51C5">
              <w:rPr>
                <w:sz w:val="28"/>
                <w:szCs w:val="28"/>
              </w:rPr>
              <w:t xml:space="preserve">(mobiliem studentiem) </w:t>
            </w:r>
            <w:r w:rsidR="002306F8" w:rsidRPr="005B51C5">
              <w:rPr>
                <w:sz w:val="28"/>
                <w:szCs w:val="28"/>
              </w:rPr>
              <w:t>(</w:t>
            </w:r>
            <w:r w:rsidR="009F76AE" w:rsidRPr="005B51C5">
              <w:rPr>
                <w:sz w:val="28"/>
                <w:szCs w:val="28"/>
              </w:rPr>
              <w:t>n</w:t>
            </w:r>
            <w:r w:rsidR="00B85DA9" w:rsidRPr="005B51C5">
              <w:rPr>
                <w:sz w:val="28"/>
                <w:szCs w:val="28"/>
              </w:rPr>
              <w:t>oteik</w:t>
            </w:r>
            <w:r w:rsidR="00CC3772" w:rsidRPr="005B51C5">
              <w:rPr>
                <w:sz w:val="28"/>
                <w:szCs w:val="28"/>
              </w:rPr>
              <w:t>um</w:t>
            </w:r>
            <w:r w:rsidR="009F76AE" w:rsidRPr="005B51C5">
              <w:rPr>
                <w:sz w:val="28"/>
                <w:szCs w:val="28"/>
              </w:rPr>
              <w:t>u</w:t>
            </w:r>
            <w:r w:rsidR="002306F8" w:rsidRPr="005B51C5">
              <w:rPr>
                <w:sz w:val="28"/>
                <w:szCs w:val="28"/>
              </w:rPr>
              <w:t xml:space="preserve"> projekta </w:t>
            </w:r>
            <w:r w:rsidR="009F2B6F" w:rsidRPr="005B51C5">
              <w:rPr>
                <w:sz w:val="28"/>
                <w:szCs w:val="28"/>
              </w:rPr>
              <w:t xml:space="preserve">8. </w:t>
            </w:r>
            <w:r w:rsidR="002306F8" w:rsidRPr="005B51C5">
              <w:rPr>
                <w:sz w:val="28"/>
                <w:szCs w:val="28"/>
              </w:rPr>
              <w:t>punkts)</w:t>
            </w:r>
            <w:r w:rsidR="009F2B6F" w:rsidRPr="005B51C5">
              <w:rPr>
                <w:sz w:val="28"/>
                <w:szCs w:val="28"/>
              </w:rPr>
              <w:t>.</w:t>
            </w:r>
          </w:p>
          <w:p w:rsidR="003A0D94" w:rsidRPr="003A0D94" w:rsidRDefault="000E360D" w:rsidP="003A0D94">
            <w:pPr>
              <w:jc w:val="both"/>
              <w:rPr>
                <w:sz w:val="28"/>
                <w:szCs w:val="28"/>
              </w:rPr>
            </w:pPr>
            <w:r>
              <w:rPr>
                <w:sz w:val="28"/>
                <w:szCs w:val="28"/>
              </w:rPr>
              <w:lastRenderedPageBreak/>
              <w:t>7</w:t>
            </w:r>
            <w:r w:rsidR="003A0D94">
              <w:rPr>
                <w:sz w:val="28"/>
                <w:szCs w:val="28"/>
              </w:rPr>
              <w:t xml:space="preserve">) </w:t>
            </w:r>
            <w:r w:rsidR="003A0D94" w:rsidRPr="003A0D94">
              <w:rPr>
                <w:sz w:val="28"/>
                <w:szCs w:val="28"/>
                <w:lang w:val="en-US"/>
              </w:rPr>
              <w:t>2010.</w:t>
            </w:r>
            <w:r w:rsidR="003A0D94">
              <w:rPr>
                <w:sz w:val="28"/>
                <w:szCs w:val="28"/>
                <w:lang w:val="en-US"/>
              </w:rPr>
              <w:t xml:space="preserve"> </w:t>
            </w:r>
            <w:proofErr w:type="spellStart"/>
            <w:proofErr w:type="gramStart"/>
            <w:r w:rsidR="003A0D94" w:rsidRPr="003A0D94">
              <w:rPr>
                <w:sz w:val="28"/>
                <w:szCs w:val="28"/>
                <w:lang w:val="en-US"/>
              </w:rPr>
              <w:t>gada</w:t>
            </w:r>
            <w:proofErr w:type="spellEnd"/>
            <w:proofErr w:type="gramEnd"/>
            <w:r w:rsidR="003A0D94" w:rsidRPr="003A0D94">
              <w:rPr>
                <w:sz w:val="28"/>
                <w:szCs w:val="28"/>
                <w:lang w:val="en-US"/>
              </w:rPr>
              <w:t xml:space="preserve"> 31.</w:t>
            </w:r>
            <w:r w:rsidR="003A0D94">
              <w:rPr>
                <w:sz w:val="28"/>
                <w:szCs w:val="28"/>
                <w:lang w:val="en-US"/>
              </w:rPr>
              <w:t xml:space="preserve"> </w:t>
            </w:r>
            <w:proofErr w:type="spellStart"/>
            <w:proofErr w:type="gramStart"/>
            <w:r w:rsidR="003A0D94" w:rsidRPr="003A0D94">
              <w:rPr>
                <w:sz w:val="28"/>
                <w:szCs w:val="28"/>
                <w:lang w:val="en-US"/>
              </w:rPr>
              <w:t>martā</w:t>
            </w:r>
            <w:proofErr w:type="spellEnd"/>
            <w:proofErr w:type="gramEnd"/>
            <w:r w:rsidR="003A0D94" w:rsidRPr="003A0D94">
              <w:rPr>
                <w:sz w:val="28"/>
                <w:szCs w:val="28"/>
              </w:rPr>
              <w:t xml:space="preserve"> stājās spēkā Konvencija par personu ar invaliditāti tiesībām (turpmāk – Konvencija), kuras mērķis ir veicināt, aizsargāt un nodrošināt, lai personas ar invaliditāti varētu vienlīdzīgi ar citiem īstenot visas cilvēktiesības un pamatbrīvības. Konvencijas 31.</w:t>
            </w:r>
            <w:r w:rsidR="003A0D94">
              <w:rPr>
                <w:sz w:val="28"/>
                <w:szCs w:val="28"/>
              </w:rPr>
              <w:t xml:space="preserve"> </w:t>
            </w:r>
            <w:r w:rsidR="003A0D94" w:rsidRPr="003A0D94">
              <w:rPr>
                <w:sz w:val="28"/>
                <w:szCs w:val="28"/>
              </w:rPr>
              <w:t>pants nosaka, ka dalībvalstis apņemas vākt atbilstošu informāciju, tostarp statistikas un pētījumu datus, lai tās varētu izstrādāt un īstenot stratēģijas šīs Konvencijas īstenošanai. Tādējādi</w:t>
            </w:r>
            <w:r w:rsidR="00575F88">
              <w:rPr>
                <w:sz w:val="28"/>
                <w:szCs w:val="28"/>
              </w:rPr>
              <w:t>,</w:t>
            </w:r>
            <w:r w:rsidR="003A0D94" w:rsidRPr="003A0D94">
              <w:rPr>
                <w:sz w:val="28"/>
                <w:szCs w:val="28"/>
              </w:rPr>
              <w:t xml:space="preserve"> pamatojoties uz Konvenciju un Konvencijas īstenošanas pamatnostādnēm 2014. – 2020.</w:t>
            </w:r>
            <w:r w:rsidR="003A0D94">
              <w:rPr>
                <w:sz w:val="28"/>
                <w:szCs w:val="28"/>
              </w:rPr>
              <w:t xml:space="preserve"> </w:t>
            </w:r>
            <w:r w:rsidR="003A0D94" w:rsidRPr="003A0D94">
              <w:rPr>
                <w:sz w:val="28"/>
                <w:szCs w:val="28"/>
              </w:rPr>
              <w:t>gadam (Latvija ratificēja 2010.</w:t>
            </w:r>
            <w:r w:rsidR="003A0D94">
              <w:rPr>
                <w:sz w:val="28"/>
                <w:szCs w:val="28"/>
              </w:rPr>
              <w:t xml:space="preserve"> </w:t>
            </w:r>
            <w:r w:rsidR="003A0D94" w:rsidRPr="003A0D94">
              <w:rPr>
                <w:sz w:val="28"/>
                <w:szCs w:val="28"/>
              </w:rPr>
              <w:t>gada 1.</w:t>
            </w:r>
            <w:r w:rsidR="003A0D94">
              <w:rPr>
                <w:sz w:val="28"/>
                <w:szCs w:val="28"/>
              </w:rPr>
              <w:t xml:space="preserve"> </w:t>
            </w:r>
            <w:r w:rsidR="003A0D94" w:rsidRPr="003A0D94">
              <w:rPr>
                <w:sz w:val="28"/>
                <w:szCs w:val="28"/>
              </w:rPr>
              <w:t xml:space="preserve">martā), kur noteikts, ka dalībvalstis atzīst personu ar invaliditāti tiesības uz izglītību, un nodrošina, ka persona ar invaliditāti izglītības sistēmā var iekļauties visos līmeņos un visu mūžu iegūt izglītību, vēl jo vairāk, ka izglītības pieejamība un kvalitāte cieši saistīta ar nodarbinātību nākotnē, Studējošo un absolventu reģistrā jāiekļauj dati par studējošo invaliditāti. </w:t>
            </w:r>
          </w:p>
          <w:p w:rsidR="003A0D94" w:rsidRPr="003A0D94" w:rsidRDefault="003A0D94" w:rsidP="003A0D94">
            <w:pPr>
              <w:jc w:val="both"/>
              <w:rPr>
                <w:sz w:val="28"/>
                <w:szCs w:val="28"/>
              </w:rPr>
            </w:pPr>
            <w:r w:rsidRPr="003A0D94">
              <w:rPr>
                <w:sz w:val="28"/>
                <w:szCs w:val="28"/>
              </w:rPr>
              <w:t xml:space="preserve">Šāda informācija Studējošo un absolventu reģistrā nodrošinās to, ka studējošie </w:t>
            </w:r>
            <w:r w:rsidR="001C443C">
              <w:rPr>
                <w:sz w:val="28"/>
                <w:szCs w:val="28"/>
              </w:rPr>
              <w:t xml:space="preserve">ar invaliditāti varēs </w:t>
            </w:r>
            <w:r w:rsidRPr="003A0D94">
              <w:rPr>
                <w:sz w:val="28"/>
                <w:szCs w:val="28"/>
              </w:rPr>
              <w:t>saņem</w:t>
            </w:r>
            <w:r w:rsidR="001C443C">
              <w:rPr>
                <w:sz w:val="28"/>
                <w:szCs w:val="28"/>
              </w:rPr>
              <w:t>t</w:t>
            </w:r>
            <w:r w:rsidRPr="003A0D94">
              <w:rPr>
                <w:sz w:val="28"/>
                <w:szCs w:val="28"/>
              </w:rPr>
              <w:t xml:space="preserve"> viņiem paredzēto atbalstu</w:t>
            </w:r>
            <w:r w:rsidR="001C443C">
              <w:rPr>
                <w:sz w:val="28"/>
                <w:szCs w:val="28"/>
              </w:rPr>
              <w:t>, atbilstoši normatīvajos aktos noteiktajam:</w:t>
            </w:r>
            <w:r w:rsidR="00D80B70" w:rsidRPr="00D80B70">
              <w:rPr>
                <w:sz w:val="28"/>
                <w:szCs w:val="28"/>
              </w:rPr>
              <w:br/>
              <w:t>1. Ministru kabineta 2001.</w:t>
            </w:r>
            <w:r w:rsidR="00D80B70">
              <w:rPr>
                <w:sz w:val="28"/>
                <w:szCs w:val="28"/>
              </w:rPr>
              <w:t xml:space="preserve"> </w:t>
            </w:r>
            <w:r w:rsidR="00D80B70" w:rsidRPr="00D80B70">
              <w:rPr>
                <w:sz w:val="28"/>
                <w:szCs w:val="28"/>
              </w:rPr>
              <w:t>gada 23.</w:t>
            </w:r>
            <w:r w:rsidR="00D80B70">
              <w:rPr>
                <w:sz w:val="28"/>
                <w:szCs w:val="28"/>
              </w:rPr>
              <w:t xml:space="preserve"> </w:t>
            </w:r>
            <w:r w:rsidR="00D80B70" w:rsidRPr="00D80B70">
              <w:rPr>
                <w:sz w:val="28"/>
                <w:szCs w:val="28"/>
              </w:rPr>
              <w:t>oktobra noteikumi Nr.</w:t>
            </w:r>
            <w:r w:rsidR="00D80B70">
              <w:rPr>
                <w:sz w:val="28"/>
                <w:szCs w:val="28"/>
              </w:rPr>
              <w:t xml:space="preserve"> </w:t>
            </w:r>
            <w:r w:rsidR="00D80B70" w:rsidRPr="00D80B70">
              <w:rPr>
                <w:sz w:val="28"/>
                <w:szCs w:val="28"/>
              </w:rPr>
              <w:t xml:space="preserve">445 „Kārtība, kādā no valsts budžeta līdzekļiem tiek piešķirts un atmaksāts studējošo kredīts” - </w:t>
            </w:r>
            <w:r w:rsidR="00D80B70">
              <w:rPr>
                <w:sz w:val="28"/>
                <w:szCs w:val="28"/>
              </w:rPr>
              <w:t>j</w:t>
            </w:r>
            <w:r w:rsidR="00D80B70" w:rsidRPr="00D80B70">
              <w:rPr>
                <w:sz w:val="28"/>
                <w:szCs w:val="28"/>
              </w:rPr>
              <w:t>a studējošajiem, kuri vēlas saņemt kredītu, ir vienādi sekmības rādītāji, augstskolas komisija kredītus vispirms piešķir personām ar invaliditāti</w:t>
            </w:r>
            <w:r w:rsidR="004B0079">
              <w:rPr>
                <w:sz w:val="28"/>
                <w:szCs w:val="28"/>
              </w:rPr>
              <w:t xml:space="preserve">, </w:t>
            </w:r>
            <w:r w:rsidR="00D80B70" w:rsidRPr="00D80B70">
              <w:rPr>
                <w:sz w:val="28"/>
                <w:szCs w:val="28"/>
              </w:rPr>
              <w:t xml:space="preserve">bāreņiem un bez vecāku gādības palikušajiem, kā arī studējošajiem no trūcīgām un </w:t>
            </w:r>
            <w:proofErr w:type="spellStart"/>
            <w:r w:rsidR="00D80B70" w:rsidRPr="00D80B70">
              <w:rPr>
                <w:sz w:val="28"/>
                <w:szCs w:val="28"/>
              </w:rPr>
              <w:t>daudzbērnu</w:t>
            </w:r>
            <w:proofErr w:type="spellEnd"/>
            <w:r w:rsidR="00D80B70" w:rsidRPr="00D80B70">
              <w:rPr>
                <w:sz w:val="28"/>
                <w:szCs w:val="28"/>
              </w:rPr>
              <w:t xml:space="preserve"> ģimenēm. Ja kredīta ņēmējs miris vai kļuvis par personu ar I vai II invaliditātes grupu, kredīts un kredīta pr</w:t>
            </w:r>
            <w:r w:rsidR="003817FB">
              <w:rPr>
                <w:sz w:val="28"/>
                <w:szCs w:val="28"/>
              </w:rPr>
              <w:t>ocenti tiek dzēsti (norakstīti);</w:t>
            </w:r>
            <w:r w:rsidR="00D80B70" w:rsidRPr="00D80B70">
              <w:rPr>
                <w:sz w:val="28"/>
                <w:szCs w:val="28"/>
              </w:rPr>
              <w:t xml:space="preserve"> </w:t>
            </w:r>
            <w:r w:rsidR="00D80B70" w:rsidRPr="00D80B70">
              <w:rPr>
                <w:sz w:val="28"/>
                <w:szCs w:val="28"/>
              </w:rPr>
              <w:br/>
              <w:t>2. Ministru kabineta 2001.</w:t>
            </w:r>
            <w:r w:rsidR="003817FB">
              <w:rPr>
                <w:sz w:val="28"/>
                <w:szCs w:val="28"/>
              </w:rPr>
              <w:t xml:space="preserve"> </w:t>
            </w:r>
            <w:r w:rsidR="00D80B70" w:rsidRPr="00D80B70">
              <w:rPr>
                <w:sz w:val="28"/>
                <w:szCs w:val="28"/>
              </w:rPr>
              <w:t>gada 29.</w:t>
            </w:r>
            <w:r w:rsidR="003817FB">
              <w:rPr>
                <w:sz w:val="28"/>
                <w:szCs w:val="28"/>
              </w:rPr>
              <w:t xml:space="preserve"> </w:t>
            </w:r>
            <w:r w:rsidR="00D80B70" w:rsidRPr="00D80B70">
              <w:rPr>
                <w:sz w:val="28"/>
                <w:szCs w:val="28"/>
              </w:rPr>
              <w:t>maija noteikumi Nr.</w:t>
            </w:r>
            <w:r w:rsidR="003817FB">
              <w:rPr>
                <w:sz w:val="28"/>
                <w:szCs w:val="28"/>
              </w:rPr>
              <w:t xml:space="preserve"> </w:t>
            </w:r>
            <w:r w:rsidR="00D80B70" w:rsidRPr="00D80B70">
              <w:rPr>
                <w:sz w:val="28"/>
                <w:szCs w:val="28"/>
              </w:rPr>
              <w:t xml:space="preserve">219 „Kārtība, kādā tiek piešķirts, atmaksāts un dzēsts studiju kredīts no valsts budžeta līdzekļiem” - </w:t>
            </w:r>
            <w:r w:rsidR="003817FB">
              <w:rPr>
                <w:sz w:val="28"/>
                <w:szCs w:val="28"/>
              </w:rPr>
              <w:t>j</w:t>
            </w:r>
            <w:r w:rsidR="00D80B70" w:rsidRPr="00D80B70">
              <w:rPr>
                <w:sz w:val="28"/>
                <w:szCs w:val="28"/>
              </w:rPr>
              <w:t xml:space="preserve">a diviem vai vairākiem studējošajiem, kuri vēlas saņemt kredītu, ir vienādi sekmības rādītāji, augstskolas komisija kredītu vispirms piešķir personām ar invaliditāti, bāreņiem un bez vecāku gādības palikušajiem, kā arī studējošajiem no trūcīgām un </w:t>
            </w:r>
            <w:proofErr w:type="spellStart"/>
            <w:r w:rsidR="00D80B70" w:rsidRPr="00D80B70">
              <w:rPr>
                <w:sz w:val="28"/>
                <w:szCs w:val="28"/>
              </w:rPr>
              <w:t>daudzbērnu</w:t>
            </w:r>
            <w:proofErr w:type="spellEnd"/>
            <w:r w:rsidR="00D80B70" w:rsidRPr="00D80B70">
              <w:rPr>
                <w:sz w:val="28"/>
                <w:szCs w:val="28"/>
              </w:rPr>
              <w:t xml:space="preserve"> ģimenēm. Kredīts, kredīta procenti un līgumsods tiek dzēsts, ja kredīta ņēmējs ir miris vai kļuvis par personu </w:t>
            </w:r>
            <w:r w:rsidR="00652238">
              <w:rPr>
                <w:sz w:val="28"/>
                <w:szCs w:val="28"/>
              </w:rPr>
              <w:t>invaliditāti</w:t>
            </w:r>
            <w:r w:rsidR="00577100">
              <w:rPr>
                <w:sz w:val="28"/>
                <w:szCs w:val="28"/>
              </w:rPr>
              <w:t>;</w:t>
            </w:r>
            <w:r w:rsidR="00D80B70" w:rsidRPr="00D80B70">
              <w:rPr>
                <w:sz w:val="28"/>
                <w:szCs w:val="28"/>
              </w:rPr>
              <w:br/>
              <w:t>3.  Ministru kabineta 2001.</w:t>
            </w:r>
            <w:r w:rsidR="00577100">
              <w:rPr>
                <w:sz w:val="28"/>
                <w:szCs w:val="28"/>
              </w:rPr>
              <w:t xml:space="preserve"> </w:t>
            </w:r>
            <w:r w:rsidR="00D80B70" w:rsidRPr="00D80B70">
              <w:rPr>
                <w:sz w:val="28"/>
                <w:szCs w:val="28"/>
              </w:rPr>
              <w:t>gada 29.</w:t>
            </w:r>
            <w:r w:rsidR="00577100">
              <w:rPr>
                <w:sz w:val="28"/>
                <w:szCs w:val="28"/>
              </w:rPr>
              <w:t xml:space="preserve"> </w:t>
            </w:r>
            <w:r w:rsidR="00D80B70" w:rsidRPr="00D80B70">
              <w:rPr>
                <w:sz w:val="28"/>
                <w:szCs w:val="28"/>
              </w:rPr>
              <w:t>maija noteikumi Nr.</w:t>
            </w:r>
            <w:r w:rsidR="00577100">
              <w:rPr>
                <w:sz w:val="28"/>
                <w:szCs w:val="28"/>
              </w:rPr>
              <w:t xml:space="preserve"> </w:t>
            </w:r>
            <w:r w:rsidR="00D80B70" w:rsidRPr="00D80B70">
              <w:rPr>
                <w:sz w:val="28"/>
                <w:szCs w:val="28"/>
              </w:rPr>
              <w:t xml:space="preserve">220 „Kārtība, kādā tiek piešķirts, atmaksāts un dzēsts </w:t>
            </w:r>
            <w:r w:rsidR="00D80B70" w:rsidRPr="00D80B70">
              <w:rPr>
                <w:sz w:val="28"/>
                <w:szCs w:val="28"/>
              </w:rPr>
              <w:lastRenderedPageBreak/>
              <w:t xml:space="preserve">studiju kredīts un studējošā kredīts no kredītiestādes līdzekļiem ar valsts vārdā sniegtu galvojumu” - </w:t>
            </w:r>
            <w:r w:rsidR="00577100">
              <w:rPr>
                <w:sz w:val="28"/>
                <w:szCs w:val="28"/>
              </w:rPr>
              <w:t>k</w:t>
            </w:r>
            <w:r w:rsidR="00D80B70" w:rsidRPr="00D80B70">
              <w:rPr>
                <w:sz w:val="28"/>
                <w:szCs w:val="28"/>
              </w:rPr>
              <w:t xml:space="preserve">redīti, kredītu procenti un līgumsodi tiek dzēsti, ja kredīta ņēmējs ir miris vai kļuvis par personu ar I vai II invaliditātes grupu. </w:t>
            </w:r>
            <w:r w:rsidR="00D80B70" w:rsidRPr="00D80B70">
              <w:rPr>
                <w:sz w:val="28"/>
                <w:szCs w:val="28"/>
              </w:rPr>
              <w:br/>
            </w:r>
            <w:r w:rsidR="00577100">
              <w:rPr>
                <w:sz w:val="28"/>
                <w:szCs w:val="28"/>
              </w:rPr>
              <w:t xml:space="preserve">4. </w:t>
            </w:r>
            <w:r w:rsidR="00D80B70" w:rsidRPr="00D80B70">
              <w:rPr>
                <w:sz w:val="28"/>
                <w:szCs w:val="28"/>
              </w:rPr>
              <w:t>Ministru kabineta 20</w:t>
            </w:r>
            <w:r w:rsidR="00522AED">
              <w:rPr>
                <w:sz w:val="28"/>
                <w:szCs w:val="28"/>
              </w:rPr>
              <w:t>04. gada 24. augusta noteikumi N</w:t>
            </w:r>
            <w:r w:rsidR="00D80B70" w:rsidRPr="00D80B70">
              <w:rPr>
                <w:sz w:val="28"/>
                <w:szCs w:val="28"/>
              </w:rPr>
              <w:t>r. 740 “Noteikumi par stipendijām” – ja diviem vai vairākiem studējošiem ir līdzvērtīgi rādītāji, stipendiju piešķiršanas komisija stipendiju vispirms piešķir invalīdam</w:t>
            </w:r>
            <w:r w:rsidR="00971F62">
              <w:rPr>
                <w:sz w:val="28"/>
                <w:szCs w:val="28"/>
              </w:rPr>
              <w:t xml:space="preserve">. </w:t>
            </w:r>
          </w:p>
          <w:p w:rsidR="003A0D94" w:rsidRPr="003A0D94" w:rsidRDefault="002C5392" w:rsidP="003A0D94">
            <w:pPr>
              <w:jc w:val="both"/>
              <w:rPr>
                <w:sz w:val="28"/>
                <w:szCs w:val="28"/>
              </w:rPr>
            </w:pPr>
            <w:r>
              <w:rPr>
                <w:sz w:val="28"/>
                <w:szCs w:val="28"/>
              </w:rPr>
              <w:t xml:space="preserve">Datus par invaliditāti </w:t>
            </w:r>
            <w:r w:rsidR="003A0D94" w:rsidRPr="003A0D94">
              <w:rPr>
                <w:sz w:val="28"/>
                <w:szCs w:val="28"/>
              </w:rPr>
              <w:t xml:space="preserve">ir iespējams iegūt no </w:t>
            </w:r>
            <w:r>
              <w:t xml:space="preserve"> </w:t>
            </w:r>
            <w:r w:rsidRPr="002C5392">
              <w:rPr>
                <w:sz w:val="28"/>
                <w:szCs w:val="28"/>
              </w:rPr>
              <w:t>Veselības un darbspēju ekspertīzes ārstu valsts komisija</w:t>
            </w:r>
            <w:r>
              <w:rPr>
                <w:sz w:val="28"/>
                <w:szCs w:val="28"/>
              </w:rPr>
              <w:t>s (turpmāk –</w:t>
            </w:r>
            <w:r w:rsidR="003A0D94" w:rsidRPr="003A0D94">
              <w:rPr>
                <w:sz w:val="28"/>
                <w:szCs w:val="28"/>
              </w:rPr>
              <w:t>VDEĀVK</w:t>
            </w:r>
            <w:r>
              <w:rPr>
                <w:sz w:val="28"/>
                <w:szCs w:val="28"/>
              </w:rPr>
              <w:t>)</w:t>
            </w:r>
            <w:r w:rsidR="003A0D94" w:rsidRPr="003A0D94">
              <w:rPr>
                <w:sz w:val="28"/>
                <w:szCs w:val="28"/>
              </w:rPr>
              <w:t xml:space="preserve"> datu bāzes, par sadarbības un datu apmaiņas veidu savstarpēji vienojoties, pievēršot arī uzmanību personas datu aizsardzības aspektiem, tajā skaitā izvirzot nosacījumu, ka atzīme par studējošā invaliditāti nav redzama jebkuram, kurš atver studējošā karti, bet gan tikai autorizētam lietotājam konkrēta mērķa – studējošā interešu nodrošināšana un aizsardzība, nodrošināšanai. Jāatzī</w:t>
            </w:r>
            <w:r w:rsidR="004A6197">
              <w:rPr>
                <w:sz w:val="28"/>
                <w:szCs w:val="28"/>
              </w:rPr>
              <w:t>mē, ka</w:t>
            </w:r>
            <w:r w:rsidR="00575F88">
              <w:rPr>
                <w:sz w:val="28"/>
                <w:szCs w:val="28"/>
              </w:rPr>
              <w:t>,</w:t>
            </w:r>
            <w:r w:rsidR="004A6197">
              <w:rPr>
                <w:sz w:val="28"/>
                <w:szCs w:val="28"/>
              </w:rPr>
              <w:t xml:space="preserve"> izmantojot e-pakalpojumu</w:t>
            </w:r>
            <w:r w:rsidR="00575F88">
              <w:rPr>
                <w:sz w:val="28"/>
                <w:szCs w:val="28"/>
              </w:rPr>
              <w:t>,</w:t>
            </w:r>
            <w:r w:rsidR="003A0D94" w:rsidRPr="003A0D94">
              <w:rPr>
                <w:sz w:val="28"/>
                <w:szCs w:val="28"/>
              </w:rPr>
              <w:t xml:space="preserve"> jau tagad ir iespējams pieprasīt datus VDEĀVK, lai pārliecinātos, ka konkrētai personai ir invaliditātes statuss. </w:t>
            </w:r>
          </w:p>
          <w:p w:rsidR="003A0D94" w:rsidRPr="00AE6EB1" w:rsidRDefault="00FB5B84" w:rsidP="00BD1CDE">
            <w:pPr>
              <w:jc w:val="both"/>
              <w:rPr>
                <w:sz w:val="28"/>
                <w:szCs w:val="28"/>
              </w:rPr>
            </w:pPr>
            <w:r>
              <w:rPr>
                <w:sz w:val="28"/>
                <w:szCs w:val="28"/>
              </w:rPr>
              <w:t>S</w:t>
            </w:r>
            <w:r w:rsidR="003A0D94" w:rsidRPr="003A0D94">
              <w:rPr>
                <w:sz w:val="28"/>
                <w:szCs w:val="28"/>
              </w:rPr>
              <w:t xml:space="preserve">arunas par vienošanos attiecībā uz VIIS un VDEĀVK datu apmaiņu attiecībā uz personām ar invaliditāti līdz 18 gadu vecumam, ir procesā. </w:t>
            </w:r>
            <w:r w:rsidR="00974EC5">
              <w:rPr>
                <w:sz w:val="28"/>
                <w:szCs w:val="28"/>
              </w:rPr>
              <w:t>S</w:t>
            </w:r>
            <w:r w:rsidR="003A0D94" w:rsidRPr="003A0D94">
              <w:rPr>
                <w:sz w:val="28"/>
                <w:szCs w:val="28"/>
              </w:rPr>
              <w:t>tu</w:t>
            </w:r>
            <w:r w:rsidR="00EE2C28">
              <w:rPr>
                <w:sz w:val="28"/>
                <w:szCs w:val="28"/>
              </w:rPr>
              <w:t>dējošo ar invaliditāti uzskaite</w:t>
            </w:r>
            <w:r w:rsidR="003A0D94" w:rsidRPr="003A0D94">
              <w:rPr>
                <w:sz w:val="28"/>
                <w:szCs w:val="28"/>
              </w:rPr>
              <w:t xml:space="preserve"> paredzēta arī Izglītības attīstības pamatnostādnēs 2014.-2020.</w:t>
            </w:r>
            <w:r w:rsidR="00031F28">
              <w:rPr>
                <w:sz w:val="28"/>
                <w:szCs w:val="28"/>
              </w:rPr>
              <w:t xml:space="preserve"> </w:t>
            </w:r>
            <w:r w:rsidR="003A0D94" w:rsidRPr="003A0D94">
              <w:rPr>
                <w:sz w:val="28"/>
                <w:szCs w:val="28"/>
              </w:rPr>
              <w:t>gadam (turpmāk – pam</w:t>
            </w:r>
            <w:r w:rsidR="0056008B">
              <w:rPr>
                <w:sz w:val="28"/>
                <w:szCs w:val="28"/>
              </w:rPr>
              <w:t xml:space="preserve">atnostādnes). Pamatnostādņu 3. </w:t>
            </w:r>
            <w:proofErr w:type="spellStart"/>
            <w:r w:rsidR="0056008B">
              <w:rPr>
                <w:sz w:val="28"/>
                <w:szCs w:val="28"/>
              </w:rPr>
              <w:t>a</w:t>
            </w:r>
            <w:r w:rsidR="003A0D94" w:rsidRPr="003A0D94">
              <w:rPr>
                <w:sz w:val="28"/>
                <w:szCs w:val="28"/>
              </w:rPr>
              <w:t>pakšmērķa</w:t>
            </w:r>
            <w:proofErr w:type="spellEnd"/>
            <w:r w:rsidR="003A0D94" w:rsidRPr="003A0D94">
              <w:rPr>
                <w:sz w:val="28"/>
                <w:szCs w:val="28"/>
              </w:rPr>
              <w:t xml:space="preserve"> "Efektīva pārvaldība: uzlabot resursu pārvaldības efektivitāti, attīstot izglītības iestāžu institucionālo izcilību" 3.1. rīcības virziens “Izglītības kvalitātes monitoringa sistēmas pilnveide” paredz, ka tiks pilnveidota valsts izglītības informācijas sistēma (t.sk. sistēmas sasaisti ar augstāko izglītību, pieaugušo un interešu izglītību) un nodrošināta izglītojamo ar invaliditāti uzskaite vispārējās izglītības, profesionālās izglītības un augstākās izglītības iestādēs. Uz 2017.</w:t>
            </w:r>
            <w:r w:rsidR="0056008B">
              <w:rPr>
                <w:sz w:val="28"/>
                <w:szCs w:val="28"/>
              </w:rPr>
              <w:t xml:space="preserve"> </w:t>
            </w:r>
            <w:r w:rsidR="003A0D94" w:rsidRPr="003A0D94">
              <w:rPr>
                <w:sz w:val="28"/>
                <w:szCs w:val="28"/>
              </w:rPr>
              <w:t>gadu paredzēts rezultāts “Pilnveidotas valsts informācijas sistēmas”, nodrošinot izglītojamo ar invaliditāti uzskaiti vispārējās izglītības, profesionālās izglītības un augstākās izglītības iestā</w:t>
            </w:r>
            <w:r w:rsidR="00FB116C">
              <w:rPr>
                <w:sz w:val="28"/>
                <w:szCs w:val="28"/>
              </w:rPr>
              <w:t>dēs (</w:t>
            </w:r>
            <w:r w:rsidR="00FB116C" w:rsidRPr="00A15AA5">
              <w:rPr>
                <w:sz w:val="28"/>
                <w:szCs w:val="28"/>
              </w:rPr>
              <w:t>noteikumu projekta</w:t>
            </w:r>
            <w:r w:rsidR="00AE6EB1" w:rsidRPr="00A15AA5">
              <w:rPr>
                <w:sz w:val="28"/>
                <w:szCs w:val="28"/>
              </w:rPr>
              <w:t xml:space="preserve"> 8</w:t>
            </w:r>
            <w:r w:rsidR="00A15AA5">
              <w:rPr>
                <w:sz w:val="28"/>
                <w:szCs w:val="28"/>
              </w:rPr>
              <w:t xml:space="preserve">. un 12. </w:t>
            </w:r>
            <w:r w:rsidR="00FB116C" w:rsidRPr="00A15AA5">
              <w:rPr>
                <w:sz w:val="28"/>
                <w:szCs w:val="28"/>
              </w:rPr>
              <w:t>punkts)</w:t>
            </w:r>
            <w:r w:rsidR="00AE6EB1" w:rsidRPr="00A15AA5">
              <w:rPr>
                <w:sz w:val="28"/>
                <w:szCs w:val="28"/>
              </w:rPr>
              <w:t>.</w:t>
            </w:r>
          </w:p>
          <w:p w:rsidR="008E50E8" w:rsidRPr="008E50E8" w:rsidRDefault="000E360D" w:rsidP="008E50E8">
            <w:pPr>
              <w:jc w:val="both"/>
              <w:rPr>
                <w:rFonts w:eastAsiaTheme="minorHAnsi"/>
                <w:sz w:val="28"/>
                <w:szCs w:val="28"/>
                <w:lang w:eastAsia="en-US"/>
              </w:rPr>
            </w:pPr>
            <w:r>
              <w:rPr>
                <w:sz w:val="28"/>
                <w:szCs w:val="28"/>
              </w:rPr>
              <w:t>8</w:t>
            </w:r>
            <w:r w:rsidR="00BB4DBE" w:rsidRPr="008E50E8">
              <w:rPr>
                <w:sz w:val="28"/>
                <w:szCs w:val="28"/>
              </w:rPr>
              <w:t xml:space="preserve">) </w:t>
            </w:r>
            <w:r w:rsidR="00BB4DBE" w:rsidRPr="008E50E8">
              <w:rPr>
                <w:rFonts w:ascii="Calibri" w:eastAsiaTheme="minorHAnsi" w:hAnsi="Calibri"/>
                <w:color w:val="1F497D"/>
                <w:sz w:val="22"/>
                <w:szCs w:val="22"/>
                <w:lang w:eastAsia="en-US"/>
              </w:rPr>
              <w:t xml:space="preserve"> </w:t>
            </w:r>
            <w:r w:rsidR="008E50E8" w:rsidRPr="008E50E8">
              <w:rPr>
                <w:rFonts w:eastAsiaTheme="minorHAnsi"/>
                <w:sz w:val="28"/>
                <w:szCs w:val="28"/>
                <w:lang w:eastAsia="en-US"/>
              </w:rPr>
              <w:t xml:space="preserve">Saistībā ar to, ka ir augstākās izglītības iestādes, kuras bez augstākās izglītības programmām īsteno arī profesionālās vidējā līmeņa izglītības programmas, profesionālās izglītības programmas pēc vidējās izglītības ieguves, profesionālās tālākizglītības programmas un </w:t>
            </w:r>
            <w:r w:rsidR="008E50E8" w:rsidRPr="008E50E8">
              <w:rPr>
                <w:rFonts w:eastAsiaTheme="minorHAnsi"/>
                <w:sz w:val="28"/>
                <w:szCs w:val="28"/>
                <w:lang w:eastAsia="en-US"/>
              </w:rPr>
              <w:lastRenderedPageBreak/>
              <w:t>profesionālās pilnveides izglītības programmas, nepieciešams veikt grozījumus Noteikumos Nr. 788, lai iegūtu datus VIIS par šo izglītības programmu izglītojamajiem un pedagoģiskajiem darbiniekiem, kas piedalās izglītības programmu īstenošanas un mācību</w:t>
            </w:r>
            <w:r w:rsidR="008E50E8">
              <w:rPr>
                <w:rFonts w:eastAsiaTheme="minorHAnsi"/>
                <w:sz w:val="28"/>
                <w:szCs w:val="28"/>
                <w:lang w:eastAsia="en-US"/>
              </w:rPr>
              <w:t xml:space="preserve"> procesa nodrošināšanā</w:t>
            </w:r>
            <w:r w:rsidR="008E50E8" w:rsidRPr="008E50E8">
              <w:rPr>
                <w:rFonts w:eastAsiaTheme="minorHAnsi"/>
                <w:sz w:val="28"/>
                <w:szCs w:val="28"/>
                <w:lang w:eastAsia="en-US"/>
              </w:rPr>
              <w:t xml:space="preserve"> </w:t>
            </w:r>
            <w:r w:rsidR="00E94779">
              <w:rPr>
                <w:rFonts w:eastAsiaTheme="minorHAnsi"/>
                <w:sz w:val="28"/>
                <w:szCs w:val="28"/>
                <w:lang w:eastAsia="en-US"/>
              </w:rPr>
              <w:t>(noteikumu projekta 6</w:t>
            </w:r>
            <w:r w:rsidR="008E50E8" w:rsidRPr="00E94779">
              <w:rPr>
                <w:rFonts w:eastAsiaTheme="minorHAnsi"/>
                <w:sz w:val="28"/>
                <w:szCs w:val="28"/>
                <w:lang w:eastAsia="en-US"/>
              </w:rPr>
              <w:t>. punkts un 9. punkts).</w:t>
            </w:r>
          </w:p>
          <w:p w:rsidR="00756340" w:rsidRPr="00713D3A" w:rsidRDefault="000E360D" w:rsidP="00756340">
            <w:pPr>
              <w:jc w:val="both"/>
              <w:rPr>
                <w:sz w:val="28"/>
                <w:szCs w:val="28"/>
              </w:rPr>
            </w:pPr>
            <w:r>
              <w:rPr>
                <w:sz w:val="28"/>
                <w:szCs w:val="28"/>
              </w:rPr>
              <w:t>9</w:t>
            </w:r>
            <w:r w:rsidR="00497AFE" w:rsidRPr="00713D3A">
              <w:rPr>
                <w:sz w:val="28"/>
                <w:szCs w:val="28"/>
              </w:rPr>
              <w:t xml:space="preserve">) </w:t>
            </w:r>
            <w:r w:rsidR="00497AFE" w:rsidRPr="00713D3A">
              <w:rPr>
                <w:color w:val="FF0000"/>
                <w:sz w:val="28"/>
                <w:szCs w:val="28"/>
              </w:rPr>
              <w:t xml:space="preserve"> </w:t>
            </w:r>
            <w:r w:rsidR="00756340" w:rsidRPr="00713D3A">
              <w:rPr>
                <w:sz w:val="28"/>
                <w:szCs w:val="28"/>
              </w:rPr>
              <w:t xml:space="preserve"> Ministru kabineta 2011. gada 27. decembra  noteikumos Nr.1036 “Kārtība, kādā valsts finansē profesionālās ievirzes sporta izglītības programmas” (turpmāk – Noteikumi Nr. 1036) ir noteikts, - lai nākamajā budžeta gadā saņemtu dotāciju (valsts budžeta līdzekļi akreditētās profesionālās ievirzes sporta izglītības iestādēs (turpmāk – izglītības iestāde) īstenotajās programmās paredzētajās stundās (sporta treniņos un sporta sacensībās) nodarbināto pedagogu darba samaksai un valsts sociālās apdrošināšanas obligātajām iemaksām), izglītības iestāde līdz kārtējā gada 1. oktobrim iesniedz ministrijā iesniegumu un tam pievieno informāciju par kritēriju un nosacījumu izpildi iepriekšējā mācību gadā attiecīgajā grupā. Saskaņā ar Noteikumu Nr.1036 1. pielikuma 6. </w:t>
            </w:r>
            <w:r w:rsidR="002C11F2">
              <w:rPr>
                <w:sz w:val="28"/>
                <w:szCs w:val="28"/>
              </w:rPr>
              <w:t xml:space="preserve">piezīmi </w:t>
            </w:r>
            <w:r w:rsidR="00756340" w:rsidRPr="00713D3A">
              <w:rPr>
                <w:sz w:val="28"/>
                <w:szCs w:val="28"/>
              </w:rPr>
              <w:t>izglītojamo, kurš ir izpildījis augstākas mācību treniņu grupas rezultativitātes kritērijus, var pārcelt uz atbilstošu grupu ar izglītības iestādes vadītāja rīkojumu.</w:t>
            </w:r>
          </w:p>
          <w:p w:rsidR="00756340" w:rsidRPr="00713D3A" w:rsidRDefault="00756340" w:rsidP="00756340">
            <w:pPr>
              <w:jc w:val="both"/>
              <w:rPr>
                <w:sz w:val="28"/>
                <w:szCs w:val="28"/>
              </w:rPr>
            </w:pPr>
            <w:r w:rsidRPr="00713D3A">
              <w:rPr>
                <w:sz w:val="28"/>
                <w:szCs w:val="28"/>
              </w:rPr>
              <w:t xml:space="preserve">Noteikumi Nr. 788 šobrīd neparedz izglītības iestādēm </w:t>
            </w:r>
            <w:r w:rsidRPr="00441082">
              <w:rPr>
                <w:sz w:val="28"/>
                <w:szCs w:val="28"/>
              </w:rPr>
              <w:t xml:space="preserve">ievadīt </w:t>
            </w:r>
            <w:r w:rsidR="00441082" w:rsidRPr="00441082">
              <w:rPr>
                <w:sz w:val="28"/>
                <w:szCs w:val="28"/>
              </w:rPr>
              <w:t xml:space="preserve"> Noteikumos Nr.1036 1. pielikumā noteikto  </w:t>
            </w:r>
            <w:r w:rsidR="00441082" w:rsidRPr="00713D3A">
              <w:rPr>
                <w:sz w:val="28"/>
                <w:szCs w:val="28"/>
              </w:rPr>
              <w:t xml:space="preserve"> informāciju </w:t>
            </w:r>
            <w:r w:rsidRPr="00713D3A">
              <w:rPr>
                <w:sz w:val="28"/>
                <w:szCs w:val="28"/>
              </w:rPr>
              <w:t xml:space="preserve">par izglītojamā kritēriju un nosacījumu izpildi iepriekšējā mācību gadā attiecīgajā grupā un izglītības iestādes vadītāja rīkojumu (datums, numurs) par pārcelšanu (ja tiek izpildīti augstākas mācību treniņu grupas rezultativitātes kritēriji). </w:t>
            </w:r>
          </w:p>
          <w:p w:rsidR="00756340" w:rsidRDefault="00756340" w:rsidP="00756340">
            <w:pPr>
              <w:jc w:val="both"/>
              <w:rPr>
                <w:sz w:val="28"/>
                <w:szCs w:val="28"/>
              </w:rPr>
            </w:pPr>
            <w:r w:rsidRPr="00713D3A">
              <w:rPr>
                <w:sz w:val="28"/>
                <w:szCs w:val="28"/>
              </w:rPr>
              <w:t>Informācijas ievade VIIS atbilstoši Noteikumos Nr. 1036 noteiktajai kārtībai, nodrošinās operatīvu iesniegumam par dotācijas saņemšanu pievienojamās informācijas iesniegšanu, ļaujot paātrināt rīcību piešķiramās dotācijas apmēra aprēķināšanai, tādējādi mazinot administratīvo slogu (</w:t>
            </w:r>
            <w:r w:rsidRPr="006F0177">
              <w:rPr>
                <w:sz w:val="28"/>
                <w:szCs w:val="28"/>
              </w:rPr>
              <w:t xml:space="preserve">noteikumu projekta </w:t>
            </w:r>
            <w:r w:rsidR="006F0177" w:rsidRPr="006F0177">
              <w:rPr>
                <w:sz w:val="28"/>
                <w:szCs w:val="28"/>
              </w:rPr>
              <w:t>5., 7. un 11</w:t>
            </w:r>
            <w:r w:rsidR="00F36B17" w:rsidRPr="006F0177">
              <w:rPr>
                <w:sz w:val="28"/>
                <w:szCs w:val="28"/>
              </w:rPr>
              <w:t>.punkts</w:t>
            </w:r>
            <w:r w:rsidRPr="00713D3A">
              <w:rPr>
                <w:sz w:val="28"/>
                <w:szCs w:val="28"/>
              </w:rPr>
              <w:t>).</w:t>
            </w:r>
          </w:p>
          <w:p w:rsidR="00987037" w:rsidRDefault="000E360D" w:rsidP="00756340">
            <w:pPr>
              <w:jc w:val="both"/>
              <w:rPr>
                <w:sz w:val="28"/>
                <w:szCs w:val="28"/>
              </w:rPr>
            </w:pPr>
            <w:r>
              <w:rPr>
                <w:sz w:val="28"/>
                <w:szCs w:val="28"/>
              </w:rPr>
              <w:t>10</w:t>
            </w:r>
            <w:r w:rsidR="00987037" w:rsidRPr="00E57A90">
              <w:rPr>
                <w:sz w:val="28"/>
                <w:szCs w:val="28"/>
              </w:rPr>
              <w:t>)</w:t>
            </w:r>
            <w:r w:rsidR="00E57A90">
              <w:rPr>
                <w:color w:val="000000"/>
              </w:rPr>
              <w:t xml:space="preserve"> </w:t>
            </w:r>
            <w:r w:rsidR="00E57A90" w:rsidRPr="00E57A90">
              <w:rPr>
                <w:color w:val="000000"/>
                <w:sz w:val="28"/>
                <w:szCs w:val="28"/>
              </w:rPr>
              <w:t>Pamatojoties uz Augstskolu likuma</w:t>
            </w:r>
            <w:r w:rsidR="00E57A90">
              <w:rPr>
                <w:color w:val="000000"/>
                <w:lang w:val="en-US"/>
              </w:rPr>
              <w:t xml:space="preserve"> </w:t>
            </w:r>
            <w:r w:rsidR="00D75E20" w:rsidRPr="00D75E20">
              <w:rPr>
                <w:color w:val="000000"/>
                <w:sz w:val="28"/>
                <w:szCs w:val="28"/>
                <w:lang w:val="en-US"/>
              </w:rPr>
              <w:t>46.</w:t>
            </w:r>
            <w:r w:rsidR="00D75E20">
              <w:rPr>
                <w:sz w:val="28"/>
                <w:szCs w:val="28"/>
                <w:vertAlign w:val="superscript"/>
              </w:rPr>
              <w:t xml:space="preserve">1 </w:t>
            </w:r>
            <w:r w:rsidR="0000668C">
              <w:rPr>
                <w:sz w:val="28"/>
                <w:szCs w:val="28"/>
              </w:rPr>
              <w:t>pantā noteikto</w:t>
            </w:r>
            <w:r w:rsidR="00530858">
              <w:rPr>
                <w:sz w:val="28"/>
                <w:szCs w:val="28"/>
              </w:rPr>
              <w:t>,</w:t>
            </w:r>
            <w:r w:rsidR="00D75E20">
              <w:rPr>
                <w:sz w:val="28"/>
                <w:szCs w:val="28"/>
              </w:rPr>
              <w:t xml:space="preserve"> </w:t>
            </w:r>
            <w:r w:rsidR="008C6EAB">
              <w:rPr>
                <w:sz w:val="28"/>
                <w:szCs w:val="28"/>
              </w:rPr>
              <w:t>Studējošo u</w:t>
            </w:r>
            <w:r w:rsidR="0000668C">
              <w:rPr>
                <w:sz w:val="28"/>
                <w:szCs w:val="28"/>
              </w:rPr>
              <w:t>n absolventu reģistrā  iekļauj</w:t>
            </w:r>
            <w:r w:rsidR="008C6EAB">
              <w:rPr>
                <w:sz w:val="28"/>
                <w:szCs w:val="28"/>
              </w:rPr>
              <w:t xml:space="preserve"> arī nepersonificētus statistikas datus</w:t>
            </w:r>
            <w:r w:rsidR="00E24A64">
              <w:rPr>
                <w:sz w:val="28"/>
                <w:szCs w:val="28"/>
              </w:rPr>
              <w:t xml:space="preserve"> par absolventu nodarbinātību,</w:t>
            </w:r>
            <w:r w:rsidR="008C6EAB">
              <w:rPr>
                <w:sz w:val="28"/>
                <w:szCs w:val="28"/>
              </w:rPr>
              <w:t xml:space="preserve"> ienākumiem</w:t>
            </w:r>
            <w:r w:rsidR="00E24A64">
              <w:rPr>
                <w:sz w:val="28"/>
                <w:szCs w:val="28"/>
              </w:rPr>
              <w:t>, bezdarbnieka statusa piešķiršanu un daba meklētāja statusu</w:t>
            </w:r>
            <w:r w:rsidR="008C6EAB">
              <w:rPr>
                <w:sz w:val="28"/>
                <w:szCs w:val="28"/>
              </w:rPr>
              <w:t xml:space="preserve">. </w:t>
            </w:r>
            <w:r w:rsidR="004E2D07">
              <w:rPr>
                <w:sz w:val="28"/>
                <w:szCs w:val="28"/>
              </w:rPr>
              <w:t>Minētie d</w:t>
            </w:r>
            <w:r w:rsidR="00E57A90" w:rsidRPr="00E57A90">
              <w:rPr>
                <w:sz w:val="28"/>
                <w:szCs w:val="28"/>
              </w:rPr>
              <w:t>ati par a</w:t>
            </w:r>
            <w:r w:rsidR="008C6EAB">
              <w:rPr>
                <w:sz w:val="28"/>
                <w:szCs w:val="28"/>
              </w:rPr>
              <w:t>ugstākās izglītības iestāžu</w:t>
            </w:r>
            <w:r w:rsidR="00E57A90" w:rsidRPr="00E57A90">
              <w:rPr>
                <w:sz w:val="28"/>
                <w:szCs w:val="28"/>
              </w:rPr>
              <w:t xml:space="preserve"> absolventu ļaus ieviest reāli </w:t>
            </w:r>
            <w:r w:rsidR="00E57A90" w:rsidRPr="00E57A90">
              <w:rPr>
                <w:sz w:val="28"/>
                <w:szCs w:val="28"/>
              </w:rPr>
              <w:lastRenderedPageBreak/>
              <w:t xml:space="preserve">funkcionējošo studējošo un absolventu monitoringa sistēmu </w:t>
            </w:r>
            <w:r w:rsidR="00FC70C0">
              <w:rPr>
                <w:sz w:val="28"/>
                <w:szCs w:val="28"/>
              </w:rPr>
              <w:t xml:space="preserve">un </w:t>
            </w:r>
            <w:r w:rsidR="00E57A90" w:rsidRPr="00E57A90">
              <w:rPr>
                <w:sz w:val="28"/>
                <w:szCs w:val="28"/>
              </w:rPr>
              <w:t>tiks nodrošināta iespēja noteikt, vai ieguldījumi augstākajā izglītībā atbilst darba tirgus, sabiedrības un tautsaimniecības attīstības prasībām, uzlabojot izglītības politikas plānošanu.</w:t>
            </w:r>
            <w:r w:rsidR="00FC70C0">
              <w:rPr>
                <w:sz w:val="28"/>
                <w:szCs w:val="28"/>
              </w:rPr>
              <w:t xml:space="preserve">  Noteikumu projektā p</w:t>
            </w:r>
            <w:r w:rsidR="00FC70C0" w:rsidRPr="00E57A90">
              <w:rPr>
                <w:sz w:val="28"/>
                <w:szCs w:val="28"/>
              </w:rPr>
              <w:t>aredzēts</w:t>
            </w:r>
            <w:r w:rsidR="00FC70C0">
              <w:rPr>
                <w:sz w:val="28"/>
                <w:szCs w:val="28"/>
              </w:rPr>
              <w:t xml:space="preserve">, ka </w:t>
            </w:r>
            <w:r w:rsidR="00E03D81">
              <w:rPr>
                <w:sz w:val="28"/>
                <w:szCs w:val="28"/>
              </w:rPr>
              <w:t xml:space="preserve">nepersonificētus datus par </w:t>
            </w:r>
            <w:r w:rsidR="00530858">
              <w:rPr>
                <w:sz w:val="28"/>
                <w:szCs w:val="28"/>
              </w:rPr>
              <w:t xml:space="preserve"> absolventu nodarbinātību, </w:t>
            </w:r>
            <w:r w:rsidR="00160F4A">
              <w:rPr>
                <w:sz w:val="28"/>
                <w:szCs w:val="28"/>
              </w:rPr>
              <w:t xml:space="preserve"> ienākumiem</w:t>
            </w:r>
            <w:r w:rsidR="00530858">
              <w:rPr>
                <w:sz w:val="28"/>
                <w:szCs w:val="28"/>
              </w:rPr>
              <w:t xml:space="preserve"> un bezdarbnieka </w:t>
            </w:r>
            <w:r w:rsidR="004C6CBE">
              <w:rPr>
                <w:sz w:val="28"/>
                <w:szCs w:val="28"/>
              </w:rPr>
              <w:t xml:space="preserve">vai darba meklētāja </w:t>
            </w:r>
            <w:r w:rsidR="00530858">
              <w:rPr>
                <w:sz w:val="28"/>
                <w:szCs w:val="28"/>
              </w:rPr>
              <w:t>statusu</w:t>
            </w:r>
            <w:r w:rsidR="00160F4A">
              <w:rPr>
                <w:sz w:val="28"/>
                <w:szCs w:val="28"/>
              </w:rPr>
              <w:t xml:space="preserve"> VIIS sniegs VID, NVA, izmantojot, tai skaitā, Centrālās statistikas pārvaldes </w:t>
            </w:r>
            <w:r w:rsidR="0051295C">
              <w:rPr>
                <w:sz w:val="28"/>
                <w:szCs w:val="28"/>
              </w:rPr>
              <w:t>datu apstrādes risinājumus. Statistikas dati būs publiski pieejami</w:t>
            </w:r>
            <w:r w:rsidR="00621A75">
              <w:rPr>
                <w:sz w:val="28"/>
                <w:szCs w:val="28"/>
              </w:rPr>
              <w:t xml:space="preserve"> </w:t>
            </w:r>
            <w:r w:rsidR="00223A85">
              <w:rPr>
                <w:sz w:val="28"/>
                <w:szCs w:val="28"/>
              </w:rPr>
              <w:t xml:space="preserve">Izglītības un zinātnes ministrijas mājas lapā </w:t>
            </w:r>
            <w:r w:rsidR="00A12880">
              <w:rPr>
                <w:sz w:val="28"/>
                <w:szCs w:val="28"/>
              </w:rPr>
              <w:t>(</w:t>
            </w:r>
            <w:r w:rsidR="00A12880" w:rsidRPr="008F446C">
              <w:rPr>
                <w:sz w:val="28"/>
                <w:szCs w:val="28"/>
              </w:rPr>
              <w:t xml:space="preserve">noteikumu projekta </w:t>
            </w:r>
            <w:r w:rsidR="008F446C">
              <w:rPr>
                <w:sz w:val="28"/>
                <w:szCs w:val="28"/>
              </w:rPr>
              <w:t xml:space="preserve">15. </w:t>
            </w:r>
            <w:r w:rsidR="00A12880" w:rsidRPr="008F446C">
              <w:rPr>
                <w:sz w:val="28"/>
                <w:szCs w:val="28"/>
              </w:rPr>
              <w:t>punkts)</w:t>
            </w:r>
            <w:r w:rsidR="00621A75" w:rsidRPr="008F446C">
              <w:rPr>
                <w:sz w:val="28"/>
                <w:szCs w:val="28"/>
              </w:rPr>
              <w:t>.</w:t>
            </w:r>
            <w:r w:rsidR="0051295C">
              <w:rPr>
                <w:sz w:val="28"/>
                <w:szCs w:val="28"/>
              </w:rPr>
              <w:t xml:space="preserve"> </w:t>
            </w:r>
          </w:p>
          <w:p w:rsidR="00A72A53" w:rsidRPr="00830768" w:rsidRDefault="000E360D" w:rsidP="008F446C">
            <w:pPr>
              <w:jc w:val="both"/>
              <w:rPr>
                <w:b/>
                <w:bCs/>
                <w:color w:val="FF0000"/>
                <w:sz w:val="28"/>
                <w:szCs w:val="28"/>
              </w:rPr>
            </w:pPr>
            <w:r>
              <w:rPr>
                <w:sz w:val="28"/>
                <w:szCs w:val="28"/>
              </w:rPr>
              <w:t>11</w:t>
            </w:r>
            <w:r w:rsidR="00A72A53" w:rsidRPr="009F3BB0">
              <w:rPr>
                <w:sz w:val="28"/>
                <w:szCs w:val="28"/>
              </w:rPr>
              <w:t xml:space="preserve">) </w:t>
            </w:r>
            <w:r w:rsidR="00830768" w:rsidRPr="009F3BB0">
              <w:rPr>
                <w:sz w:val="28"/>
                <w:szCs w:val="28"/>
              </w:rPr>
              <w:t>L</w:t>
            </w:r>
            <w:r w:rsidR="009877EE" w:rsidRPr="009F3BB0">
              <w:rPr>
                <w:sz w:val="28"/>
                <w:szCs w:val="28"/>
              </w:rPr>
              <w:t xml:space="preserve">ai augstskolas varētu kvalitatīvi ievadīt </w:t>
            </w:r>
            <w:proofErr w:type="spellStart"/>
            <w:r w:rsidR="009877EE" w:rsidRPr="009F3BB0">
              <w:rPr>
                <w:sz w:val="28"/>
                <w:szCs w:val="28"/>
              </w:rPr>
              <w:t>jaunizveidotajā</w:t>
            </w:r>
            <w:proofErr w:type="spellEnd"/>
            <w:r w:rsidR="009877EE" w:rsidRPr="009F3BB0">
              <w:rPr>
                <w:sz w:val="28"/>
                <w:szCs w:val="28"/>
              </w:rPr>
              <w:t xml:space="preserve"> Studējošo un </w:t>
            </w:r>
            <w:r w:rsidR="0033442A">
              <w:rPr>
                <w:sz w:val="28"/>
                <w:szCs w:val="28"/>
              </w:rPr>
              <w:t xml:space="preserve">absolventu reģistrā visus datus, </w:t>
            </w:r>
            <w:r w:rsidR="009877EE" w:rsidRPr="009F3BB0">
              <w:rPr>
                <w:sz w:val="28"/>
                <w:szCs w:val="28"/>
              </w:rPr>
              <w:t>nepieciešams noteikt saprātīgu termiņu, jo, pirmkārt, visām augstskolām būs</w:t>
            </w:r>
            <w:r w:rsidR="00402C8F" w:rsidRPr="009F3BB0">
              <w:rPr>
                <w:sz w:val="28"/>
                <w:szCs w:val="28"/>
              </w:rPr>
              <w:t xml:space="preserve"> </w:t>
            </w:r>
            <w:r w:rsidR="009877EE" w:rsidRPr="009F3BB0">
              <w:rPr>
                <w:sz w:val="28"/>
                <w:szCs w:val="28"/>
              </w:rPr>
              <w:t>jā</w:t>
            </w:r>
            <w:r w:rsidR="00B60FDF" w:rsidRPr="009F3BB0">
              <w:rPr>
                <w:sz w:val="28"/>
                <w:szCs w:val="28"/>
              </w:rPr>
              <w:t>aktualizē visa informācija par studējošajiem</w:t>
            </w:r>
            <w:r w:rsidR="00830768" w:rsidRPr="009F3BB0">
              <w:rPr>
                <w:sz w:val="28"/>
                <w:szCs w:val="28"/>
              </w:rPr>
              <w:t xml:space="preserve">, kuru augstskola ievāc un kārto, atbilstoši Ministru kabineta </w:t>
            </w:r>
            <w:r w:rsidR="009877EE" w:rsidRPr="009F3BB0">
              <w:rPr>
                <w:sz w:val="28"/>
                <w:szCs w:val="28"/>
              </w:rPr>
              <w:t xml:space="preserve"> </w:t>
            </w:r>
            <w:r w:rsidR="00830768" w:rsidRPr="009F3BB0">
              <w:rPr>
                <w:sz w:val="28"/>
                <w:szCs w:val="28"/>
              </w:rPr>
              <w:t>2007.</w:t>
            </w:r>
            <w:r w:rsidR="00B60FDF" w:rsidRPr="009F3BB0">
              <w:rPr>
                <w:sz w:val="28"/>
                <w:szCs w:val="28"/>
              </w:rPr>
              <w:t xml:space="preserve"> </w:t>
            </w:r>
            <w:r w:rsidR="00830768" w:rsidRPr="009F3BB0">
              <w:rPr>
                <w:sz w:val="28"/>
                <w:szCs w:val="28"/>
              </w:rPr>
              <w:t>gada 27.</w:t>
            </w:r>
            <w:r w:rsidR="00B60FDF" w:rsidRPr="009F3BB0">
              <w:rPr>
                <w:sz w:val="28"/>
                <w:szCs w:val="28"/>
              </w:rPr>
              <w:t xml:space="preserve"> </w:t>
            </w:r>
            <w:r w:rsidR="00830768" w:rsidRPr="009F3BB0">
              <w:rPr>
                <w:sz w:val="28"/>
                <w:szCs w:val="28"/>
              </w:rPr>
              <w:t xml:space="preserve">marta noteikumiem Nr. 203 </w:t>
            </w:r>
            <w:r w:rsidR="009877EE" w:rsidRPr="009F3BB0">
              <w:rPr>
                <w:sz w:val="28"/>
                <w:szCs w:val="28"/>
              </w:rPr>
              <w:t xml:space="preserve"> </w:t>
            </w:r>
            <w:r w:rsidR="00830768" w:rsidRPr="009F3BB0">
              <w:rPr>
                <w:sz w:val="28"/>
                <w:szCs w:val="28"/>
              </w:rPr>
              <w:t>“</w:t>
            </w:r>
            <w:r w:rsidR="009877EE" w:rsidRPr="009F3BB0">
              <w:rPr>
                <w:sz w:val="28"/>
                <w:szCs w:val="28"/>
              </w:rPr>
              <w:t>Studējošā personas lietas noformēšanas un aktualizēšanas kārtība</w:t>
            </w:r>
            <w:r w:rsidR="00830768" w:rsidRPr="009F3BB0">
              <w:rPr>
                <w:sz w:val="28"/>
                <w:szCs w:val="28"/>
              </w:rPr>
              <w:t>”, ņemot vērā ministrijas izstrādāto projektu “Grozījumi Ministru kabineta 2007. gada 27. marta noteikumos Nr. 203 „Studējošā personas lietas noformēšanas un aktualizēšanas kārtība</w:t>
            </w:r>
            <w:r w:rsidR="00501875">
              <w:rPr>
                <w:sz w:val="28"/>
                <w:szCs w:val="28"/>
              </w:rPr>
              <w:t>.</w:t>
            </w:r>
            <w:r w:rsidR="00830768" w:rsidRPr="009F3BB0">
              <w:rPr>
                <w:sz w:val="28"/>
                <w:szCs w:val="28"/>
              </w:rPr>
              <w:t>”</w:t>
            </w:r>
            <w:r w:rsidR="00B60FDF" w:rsidRPr="009F3BB0">
              <w:rPr>
                <w:bCs/>
                <w:sz w:val="28"/>
                <w:szCs w:val="28"/>
              </w:rPr>
              <w:t xml:space="preserve"> O</w:t>
            </w:r>
            <w:r w:rsidR="00830768" w:rsidRPr="009F3BB0">
              <w:rPr>
                <w:bCs/>
                <w:sz w:val="28"/>
                <w:szCs w:val="28"/>
              </w:rPr>
              <w:t>trkārt, augstskolās, kurās nav savu iekšējo informācijas sistēmu</w:t>
            </w:r>
            <w:r w:rsidR="00501875">
              <w:rPr>
                <w:bCs/>
                <w:sz w:val="28"/>
                <w:szCs w:val="28"/>
              </w:rPr>
              <w:t>,</w:t>
            </w:r>
            <w:r w:rsidR="00830768" w:rsidRPr="009F3BB0">
              <w:rPr>
                <w:bCs/>
                <w:sz w:val="28"/>
                <w:szCs w:val="28"/>
              </w:rPr>
              <w:t xml:space="preserve"> </w:t>
            </w:r>
            <w:r w:rsidR="009877EE" w:rsidRPr="009F3BB0">
              <w:rPr>
                <w:sz w:val="28"/>
                <w:szCs w:val="28"/>
              </w:rPr>
              <w:t>vadīs datus manuāli</w:t>
            </w:r>
            <w:r w:rsidR="00830768" w:rsidRPr="009F3BB0">
              <w:rPr>
                <w:sz w:val="28"/>
                <w:szCs w:val="28"/>
              </w:rPr>
              <w:t xml:space="preserve">, bet </w:t>
            </w:r>
            <w:r w:rsidR="00B60FDF" w:rsidRPr="009F3BB0">
              <w:rPr>
                <w:sz w:val="28"/>
                <w:szCs w:val="28"/>
              </w:rPr>
              <w:t xml:space="preserve">ar </w:t>
            </w:r>
            <w:r w:rsidR="00830768" w:rsidRPr="009F3BB0">
              <w:rPr>
                <w:sz w:val="28"/>
                <w:szCs w:val="28"/>
              </w:rPr>
              <w:t xml:space="preserve">tām </w:t>
            </w:r>
            <w:r w:rsidR="00B60FDF" w:rsidRPr="009F3BB0">
              <w:rPr>
                <w:sz w:val="28"/>
                <w:szCs w:val="28"/>
              </w:rPr>
              <w:t xml:space="preserve">augstskolām un koledžām, </w:t>
            </w:r>
            <w:r w:rsidR="00830768" w:rsidRPr="009F3BB0">
              <w:rPr>
                <w:sz w:val="28"/>
                <w:szCs w:val="28"/>
              </w:rPr>
              <w:t>kurām</w:t>
            </w:r>
            <w:r w:rsidR="00B60FDF" w:rsidRPr="009F3BB0">
              <w:rPr>
                <w:sz w:val="28"/>
                <w:szCs w:val="28"/>
              </w:rPr>
              <w:t xml:space="preserve"> informācijas sistēmas</w:t>
            </w:r>
            <w:r w:rsidR="00830768" w:rsidRPr="009F3BB0">
              <w:rPr>
                <w:sz w:val="28"/>
                <w:szCs w:val="28"/>
              </w:rPr>
              <w:t xml:space="preserve"> ir –</w:t>
            </w:r>
            <w:r w:rsidR="00B60FDF" w:rsidRPr="009F3BB0">
              <w:rPr>
                <w:sz w:val="28"/>
                <w:szCs w:val="28"/>
              </w:rPr>
              <w:t xml:space="preserve"> no</w:t>
            </w:r>
            <w:r w:rsidR="00830768" w:rsidRPr="009F3BB0">
              <w:rPr>
                <w:sz w:val="28"/>
                <w:szCs w:val="28"/>
              </w:rPr>
              <w:t xml:space="preserve">tiks </w:t>
            </w:r>
            <w:r w:rsidR="00B60FDF" w:rsidRPr="009F3BB0">
              <w:rPr>
                <w:sz w:val="28"/>
                <w:szCs w:val="28"/>
              </w:rPr>
              <w:t>sistēmu savienota</w:t>
            </w:r>
            <w:r w:rsidR="00830768" w:rsidRPr="009F3BB0">
              <w:rPr>
                <w:sz w:val="28"/>
                <w:szCs w:val="28"/>
              </w:rPr>
              <w:t xml:space="preserve"> ar VIIS un datu no</w:t>
            </w:r>
            <w:r w:rsidR="006A2E9B" w:rsidRPr="009F3BB0">
              <w:rPr>
                <w:sz w:val="28"/>
                <w:szCs w:val="28"/>
              </w:rPr>
              <w:t>došana notiks tiešsai</w:t>
            </w:r>
            <w:r w:rsidR="00501875">
              <w:rPr>
                <w:sz w:val="28"/>
                <w:szCs w:val="28"/>
              </w:rPr>
              <w:t>s</w:t>
            </w:r>
            <w:r w:rsidR="006A2E9B" w:rsidRPr="009F3BB0">
              <w:rPr>
                <w:sz w:val="28"/>
                <w:szCs w:val="28"/>
              </w:rPr>
              <w:t>tes režīmā. T</w:t>
            </w:r>
            <w:r w:rsidR="00830768" w:rsidRPr="009F3BB0">
              <w:rPr>
                <w:sz w:val="28"/>
                <w:szCs w:val="28"/>
              </w:rPr>
              <w:t>ād</w:t>
            </w:r>
            <w:r w:rsidR="00DF7BDA" w:rsidRPr="009F3BB0">
              <w:rPr>
                <w:sz w:val="28"/>
                <w:szCs w:val="28"/>
              </w:rPr>
              <w:t>ēļ</w:t>
            </w:r>
            <w:r w:rsidR="00830768" w:rsidRPr="009F3BB0">
              <w:rPr>
                <w:sz w:val="28"/>
                <w:szCs w:val="28"/>
              </w:rPr>
              <w:t>, gan manuālas datu ievadīšanai, gan sistēmu savienošanai nepieciešams laiks. Informācijas, kas minēta noteikumu proj</w:t>
            </w:r>
            <w:r w:rsidR="00153B77" w:rsidRPr="009F3BB0">
              <w:rPr>
                <w:sz w:val="28"/>
                <w:szCs w:val="28"/>
              </w:rPr>
              <w:t>ek</w:t>
            </w:r>
            <w:r w:rsidR="00830768" w:rsidRPr="009F3BB0">
              <w:rPr>
                <w:sz w:val="28"/>
                <w:szCs w:val="28"/>
              </w:rPr>
              <w:t>ta 8.</w:t>
            </w:r>
            <w:r w:rsidR="00830768" w:rsidRPr="009F3BB0">
              <w:rPr>
                <w:sz w:val="28"/>
                <w:szCs w:val="28"/>
                <w:vertAlign w:val="superscript"/>
              </w:rPr>
              <w:t>1</w:t>
            </w:r>
            <w:r w:rsidR="00830768" w:rsidRPr="009F3BB0">
              <w:rPr>
                <w:sz w:val="28"/>
                <w:szCs w:val="28"/>
              </w:rPr>
              <w:t>1.10. punktā (datums, kad studējošais reģistrēts dienesta viesnīcā), VIIS sāks vadīt 2018. gada 1. janvārī, jo uz doto brīdi tāda datu lauka VIIS nav un plānots, ka to izstrādās VIIS attīstība</w:t>
            </w:r>
            <w:r w:rsidR="004C4F11" w:rsidRPr="009F3BB0">
              <w:rPr>
                <w:sz w:val="28"/>
                <w:szCs w:val="28"/>
              </w:rPr>
              <w:t>s</w:t>
            </w:r>
            <w:r w:rsidR="00830768" w:rsidRPr="009F3BB0">
              <w:rPr>
                <w:sz w:val="28"/>
                <w:szCs w:val="28"/>
              </w:rPr>
              <w:t xml:space="preserve"> 4. kārtā  </w:t>
            </w:r>
            <w:r w:rsidR="00830768" w:rsidRPr="008F446C">
              <w:rPr>
                <w:sz w:val="28"/>
                <w:szCs w:val="28"/>
              </w:rPr>
              <w:t>(noteikumu projekta</w:t>
            </w:r>
            <w:r w:rsidR="008F446C">
              <w:rPr>
                <w:sz w:val="28"/>
                <w:szCs w:val="28"/>
              </w:rPr>
              <w:t xml:space="preserve"> 17. </w:t>
            </w:r>
            <w:r w:rsidR="00830768" w:rsidRPr="008F446C">
              <w:rPr>
                <w:sz w:val="28"/>
                <w:szCs w:val="28"/>
              </w:rPr>
              <w:t>punkts).</w:t>
            </w:r>
          </w:p>
        </w:tc>
      </w:tr>
      <w:tr w:rsidR="00446603" w:rsidRPr="00130B9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446603" w:rsidRPr="00130B97" w:rsidRDefault="00446603" w:rsidP="00F677D7">
            <w:pPr>
              <w:spacing w:before="100" w:beforeAutospacing="1" w:after="100" w:afterAutospacing="1"/>
              <w:rPr>
                <w:sz w:val="28"/>
                <w:szCs w:val="28"/>
              </w:rPr>
            </w:pPr>
            <w:r w:rsidRPr="00130B97">
              <w:rPr>
                <w:sz w:val="28"/>
                <w:szCs w:val="28"/>
              </w:rPr>
              <w:lastRenderedPageBreak/>
              <w:t>3.</w:t>
            </w:r>
          </w:p>
        </w:tc>
        <w:tc>
          <w:tcPr>
            <w:tcW w:w="1001" w:type="pct"/>
            <w:tcBorders>
              <w:top w:val="outset" w:sz="6" w:space="0" w:color="000000"/>
              <w:left w:val="outset" w:sz="6" w:space="0" w:color="000000"/>
              <w:bottom w:val="outset" w:sz="6" w:space="0" w:color="000000"/>
              <w:right w:val="outset" w:sz="6" w:space="0" w:color="000000"/>
            </w:tcBorders>
          </w:tcPr>
          <w:p w:rsidR="00446603" w:rsidRPr="00130B97" w:rsidRDefault="00446603" w:rsidP="00F677D7">
            <w:pPr>
              <w:spacing w:before="100" w:beforeAutospacing="1" w:after="100" w:afterAutospacing="1"/>
              <w:rPr>
                <w:sz w:val="28"/>
                <w:szCs w:val="28"/>
              </w:rPr>
            </w:pPr>
            <w:r w:rsidRPr="00130B97">
              <w:rPr>
                <w:sz w:val="28"/>
                <w:szCs w:val="28"/>
              </w:rPr>
              <w:t>Projekta izstrādē iesaistītās institūcijas</w:t>
            </w:r>
          </w:p>
        </w:tc>
        <w:tc>
          <w:tcPr>
            <w:tcW w:w="3771" w:type="pct"/>
            <w:tcBorders>
              <w:top w:val="outset" w:sz="6" w:space="0" w:color="000000"/>
              <w:left w:val="outset" w:sz="6" w:space="0" w:color="000000"/>
              <w:bottom w:val="outset" w:sz="6" w:space="0" w:color="000000"/>
              <w:right w:val="outset" w:sz="6" w:space="0" w:color="000000"/>
            </w:tcBorders>
          </w:tcPr>
          <w:p w:rsidR="00446603" w:rsidRPr="00130B97" w:rsidRDefault="00CF0414" w:rsidP="002158B6">
            <w:pPr>
              <w:spacing w:before="100" w:beforeAutospacing="1" w:after="100" w:afterAutospacing="1"/>
              <w:jc w:val="both"/>
              <w:rPr>
                <w:sz w:val="28"/>
                <w:szCs w:val="28"/>
              </w:rPr>
            </w:pPr>
            <w:r>
              <w:rPr>
                <w:sz w:val="28"/>
                <w:szCs w:val="28"/>
              </w:rPr>
              <w:t xml:space="preserve">Centrālā statistikas pārvalde, </w:t>
            </w:r>
            <w:r w:rsidR="002158B6">
              <w:rPr>
                <w:sz w:val="28"/>
                <w:szCs w:val="28"/>
              </w:rPr>
              <w:t>Latvijas Universitāte, Rīgas Tehniskā universitāte.</w:t>
            </w:r>
          </w:p>
        </w:tc>
      </w:tr>
      <w:tr w:rsidR="00446603" w:rsidRPr="00130B97" w:rsidTr="00F677D7">
        <w:trPr>
          <w:tblCellSpacing w:w="15" w:type="dxa"/>
        </w:trPr>
        <w:tc>
          <w:tcPr>
            <w:tcW w:w="163" w:type="pct"/>
            <w:tcBorders>
              <w:top w:val="outset" w:sz="6" w:space="0" w:color="000000"/>
              <w:left w:val="outset" w:sz="6" w:space="0" w:color="000000"/>
              <w:bottom w:val="outset" w:sz="6" w:space="0" w:color="000000"/>
              <w:right w:val="outset" w:sz="6" w:space="0" w:color="000000"/>
            </w:tcBorders>
          </w:tcPr>
          <w:p w:rsidR="00446603" w:rsidRPr="00130B97" w:rsidRDefault="00446603" w:rsidP="00F677D7">
            <w:pPr>
              <w:spacing w:before="100" w:beforeAutospacing="1" w:after="100" w:afterAutospacing="1"/>
              <w:rPr>
                <w:sz w:val="28"/>
                <w:szCs w:val="28"/>
              </w:rPr>
            </w:pPr>
            <w:r w:rsidRPr="00130B97">
              <w:rPr>
                <w:sz w:val="28"/>
                <w:szCs w:val="28"/>
              </w:rPr>
              <w:t>4.</w:t>
            </w:r>
          </w:p>
        </w:tc>
        <w:tc>
          <w:tcPr>
            <w:tcW w:w="1001" w:type="pct"/>
            <w:tcBorders>
              <w:top w:val="outset" w:sz="6" w:space="0" w:color="000000"/>
              <w:left w:val="outset" w:sz="6" w:space="0" w:color="000000"/>
              <w:bottom w:val="outset" w:sz="6" w:space="0" w:color="000000"/>
              <w:right w:val="outset" w:sz="6" w:space="0" w:color="000000"/>
            </w:tcBorders>
          </w:tcPr>
          <w:p w:rsidR="00446603" w:rsidRPr="00130B97" w:rsidRDefault="00446603" w:rsidP="00F677D7">
            <w:pPr>
              <w:spacing w:before="100" w:beforeAutospacing="1" w:after="100" w:afterAutospacing="1"/>
              <w:rPr>
                <w:sz w:val="28"/>
                <w:szCs w:val="28"/>
              </w:rPr>
            </w:pPr>
            <w:r w:rsidRPr="00130B97">
              <w:rPr>
                <w:sz w:val="28"/>
                <w:szCs w:val="28"/>
              </w:rPr>
              <w:t>Cita informācija</w:t>
            </w:r>
          </w:p>
        </w:tc>
        <w:tc>
          <w:tcPr>
            <w:tcW w:w="3771" w:type="pct"/>
            <w:tcBorders>
              <w:top w:val="outset" w:sz="6" w:space="0" w:color="000000"/>
              <w:left w:val="outset" w:sz="6" w:space="0" w:color="000000"/>
              <w:bottom w:val="outset" w:sz="6" w:space="0" w:color="000000"/>
              <w:right w:val="outset" w:sz="6" w:space="0" w:color="000000"/>
            </w:tcBorders>
          </w:tcPr>
          <w:p w:rsidR="00446603" w:rsidRPr="00130B97" w:rsidRDefault="00446603" w:rsidP="00F677D7">
            <w:pPr>
              <w:jc w:val="both"/>
              <w:rPr>
                <w:sz w:val="28"/>
                <w:szCs w:val="28"/>
              </w:rPr>
            </w:pPr>
            <w:r w:rsidRPr="00130B97">
              <w:rPr>
                <w:sz w:val="28"/>
                <w:szCs w:val="28"/>
              </w:rPr>
              <w:t>Nav.</w:t>
            </w:r>
          </w:p>
        </w:tc>
      </w:tr>
    </w:tbl>
    <w:p w:rsidR="00446603" w:rsidRPr="00130B97" w:rsidRDefault="00F677D7" w:rsidP="00140C80">
      <w:pPr>
        <w:spacing w:before="100" w:beforeAutospacing="1" w:after="100" w:afterAutospacing="1"/>
        <w:jc w:val="both"/>
        <w:rPr>
          <w:sz w:val="20"/>
          <w:szCs w:val="20"/>
        </w:rPr>
      </w:pPr>
      <w:r>
        <w:rPr>
          <w:sz w:val="20"/>
          <w:szCs w:val="20"/>
        </w:rPr>
        <w:br w:type="textWrapping" w:clear="all"/>
      </w:r>
    </w:p>
    <w:tbl>
      <w:tblPr>
        <w:tblW w:w="5052" w:type="pct"/>
        <w:tblCellSpacing w:w="15" w:type="dxa"/>
        <w:tblInd w:w="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15"/>
        <w:gridCol w:w="1978"/>
        <w:gridCol w:w="5815"/>
      </w:tblGrid>
      <w:tr w:rsidR="00446603" w:rsidRPr="00130B97" w:rsidTr="00E830EF">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446603" w:rsidRPr="00130B97" w:rsidRDefault="00446603" w:rsidP="00A711FE">
            <w:pPr>
              <w:spacing w:before="100" w:beforeAutospacing="1" w:after="100" w:afterAutospacing="1"/>
              <w:jc w:val="center"/>
              <w:rPr>
                <w:b/>
                <w:bCs/>
                <w:sz w:val="28"/>
                <w:szCs w:val="28"/>
              </w:rPr>
            </w:pPr>
            <w:r w:rsidRPr="00130B97">
              <w:rPr>
                <w:b/>
                <w:bCs/>
                <w:sz w:val="28"/>
                <w:szCs w:val="28"/>
              </w:rPr>
              <w:lastRenderedPageBreak/>
              <w:t>II. Tiesību akta projekta ietekme uz sabiedrību, tautsaimniecības attīstību un administratīvo slogu</w:t>
            </w:r>
          </w:p>
        </w:tc>
      </w:tr>
      <w:tr w:rsidR="00446603" w:rsidRPr="00130B9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1"/>
                <w:szCs w:val="21"/>
              </w:rPr>
            </w:pPr>
            <w:r w:rsidRPr="00130B97">
              <w:rPr>
                <w:sz w:val="21"/>
                <w:szCs w:val="21"/>
              </w:rPr>
              <w:t>1.</w:t>
            </w:r>
          </w:p>
        </w:tc>
        <w:tc>
          <w:tcPr>
            <w:tcW w:w="1089" w:type="pct"/>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 xml:space="preserve">Sabiedrības </w:t>
            </w:r>
            <w:proofErr w:type="spellStart"/>
            <w:r w:rsidRPr="00130B97">
              <w:rPr>
                <w:sz w:val="28"/>
                <w:szCs w:val="28"/>
              </w:rPr>
              <w:t>mērķgrupas</w:t>
            </w:r>
            <w:proofErr w:type="spellEnd"/>
            <w:r w:rsidRPr="00130B97">
              <w:rPr>
                <w:sz w:val="28"/>
                <w:szCs w:val="28"/>
              </w:rPr>
              <w:t>, kuras tiesiskais regulējums ietekmē vai varētu ietekmēt</w:t>
            </w:r>
          </w:p>
        </w:tc>
        <w:tc>
          <w:tcPr>
            <w:tcW w:w="3193" w:type="pct"/>
            <w:tcBorders>
              <w:top w:val="outset" w:sz="6" w:space="0" w:color="000000"/>
              <w:left w:val="outset" w:sz="6" w:space="0" w:color="000000"/>
              <w:bottom w:val="outset" w:sz="6" w:space="0" w:color="000000"/>
              <w:right w:val="outset" w:sz="6" w:space="0" w:color="000000"/>
            </w:tcBorders>
          </w:tcPr>
          <w:p w:rsidR="00E76396" w:rsidRPr="00B07901" w:rsidRDefault="00B07901" w:rsidP="006D174E">
            <w:pPr>
              <w:jc w:val="both"/>
              <w:rPr>
                <w:sz w:val="28"/>
                <w:szCs w:val="28"/>
              </w:rPr>
            </w:pPr>
            <w:r w:rsidRPr="00B07901">
              <w:rPr>
                <w:sz w:val="28"/>
                <w:szCs w:val="28"/>
              </w:rPr>
              <w:t>N</w:t>
            </w:r>
            <w:r w:rsidR="00E76396" w:rsidRPr="00B07901">
              <w:rPr>
                <w:sz w:val="28"/>
                <w:szCs w:val="28"/>
              </w:rPr>
              <w:t>oteikumu projekts attiec</w:t>
            </w:r>
            <w:r w:rsidR="00A711FE" w:rsidRPr="00B07901">
              <w:rPr>
                <w:sz w:val="28"/>
                <w:szCs w:val="28"/>
              </w:rPr>
              <w:t>a</w:t>
            </w:r>
            <w:r w:rsidR="00E76396" w:rsidRPr="00B07901">
              <w:rPr>
                <w:sz w:val="28"/>
                <w:szCs w:val="28"/>
              </w:rPr>
              <w:t>s uz augstākās izglītības iestādēm</w:t>
            </w:r>
            <w:r w:rsidR="007E3DAB">
              <w:rPr>
                <w:sz w:val="28"/>
                <w:szCs w:val="28"/>
              </w:rPr>
              <w:t xml:space="preserve">, šo iestāžu absolventiem </w:t>
            </w:r>
            <w:r w:rsidR="00FF79EF" w:rsidRPr="00D078BF">
              <w:rPr>
                <w:sz w:val="28"/>
                <w:szCs w:val="28"/>
              </w:rPr>
              <w:t>un profesionālās ievirzes sporta izglītības iestādēm</w:t>
            </w:r>
            <w:r w:rsidR="00686FF9" w:rsidRPr="00D078BF">
              <w:rPr>
                <w:sz w:val="28"/>
                <w:szCs w:val="28"/>
              </w:rPr>
              <w:t>.</w:t>
            </w:r>
          </w:p>
        </w:tc>
      </w:tr>
      <w:tr w:rsidR="00446603" w:rsidRPr="00130B9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2.</w:t>
            </w:r>
          </w:p>
        </w:tc>
        <w:tc>
          <w:tcPr>
            <w:tcW w:w="1089" w:type="pct"/>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Tiesiskā regulējuma ietekme uz tautsaimniecību un administratīvo slogu</w:t>
            </w:r>
          </w:p>
        </w:tc>
        <w:tc>
          <w:tcPr>
            <w:tcW w:w="3193" w:type="pct"/>
            <w:tcBorders>
              <w:top w:val="outset" w:sz="6" w:space="0" w:color="000000"/>
              <w:left w:val="outset" w:sz="6" w:space="0" w:color="000000"/>
              <w:bottom w:val="outset" w:sz="6" w:space="0" w:color="000000"/>
              <w:right w:val="outset" w:sz="6" w:space="0" w:color="000000"/>
            </w:tcBorders>
          </w:tcPr>
          <w:p w:rsidR="00446603" w:rsidRPr="0046313C" w:rsidRDefault="00987242" w:rsidP="00355607">
            <w:pPr>
              <w:jc w:val="both"/>
              <w:rPr>
                <w:sz w:val="28"/>
                <w:szCs w:val="28"/>
              </w:rPr>
            </w:pPr>
            <w:r w:rsidRPr="0046313C">
              <w:rPr>
                <w:sz w:val="28"/>
                <w:szCs w:val="28"/>
              </w:rPr>
              <w:t xml:space="preserve">Noteikumu </w:t>
            </w:r>
            <w:r w:rsidR="00446603" w:rsidRPr="0046313C">
              <w:rPr>
                <w:sz w:val="28"/>
                <w:szCs w:val="28"/>
              </w:rPr>
              <w:t xml:space="preserve">projekta ietekme uz sabiedrību, tautsaimniecības attīstību un administratīvo slogu ir </w:t>
            </w:r>
            <w:r w:rsidR="00355607" w:rsidRPr="0046313C">
              <w:rPr>
                <w:sz w:val="28"/>
                <w:szCs w:val="28"/>
              </w:rPr>
              <w:t>saistāma ar</w:t>
            </w:r>
            <w:r w:rsidR="0046313C" w:rsidRPr="0046313C">
              <w:rPr>
                <w:sz w:val="28"/>
                <w:szCs w:val="28"/>
              </w:rPr>
              <w:t xml:space="preserve"> </w:t>
            </w:r>
            <w:r w:rsidR="00815202">
              <w:rPr>
                <w:sz w:val="28"/>
                <w:szCs w:val="28"/>
              </w:rPr>
              <w:t>S</w:t>
            </w:r>
            <w:r w:rsidR="00B07901" w:rsidRPr="0046313C">
              <w:rPr>
                <w:sz w:val="28"/>
                <w:szCs w:val="28"/>
              </w:rPr>
              <w:t>tudējošo</w:t>
            </w:r>
            <w:r w:rsidR="00B44EA3">
              <w:rPr>
                <w:sz w:val="28"/>
                <w:szCs w:val="28"/>
              </w:rPr>
              <w:t xml:space="preserve"> un </w:t>
            </w:r>
            <w:r w:rsidR="004D2B13">
              <w:rPr>
                <w:sz w:val="28"/>
                <w:szCs w:val="28"/>
              </w:rPr>
              <w:t xml:space="preserve">absolventu </w:t>
            </w:r>
            <w:r w:rsidR="00355607" w:rsidRPr="0046313C">
              <w:rPr>
                <w:sz w:val="28"/>
                <w:szCs w:val="28"/>
              </w:rPr>
              <w:t xml:space="preserve">reģistra izveidi un uzturēšanu, kas paredz </w:t>
            </w:r>
            <w:r w:rsidR="00815202">
              <w:rPr>
                <w:sz w:val="28"/>
                <w:szCs w:val="28"/>
              </w:rPr>
              <w:t>augstskolu un koledžu informācijas si</w:t>
            </w:r>
            <w:r w:rsidR="00A51A5C">
              <w:rPr>
                <w:sz w:val="28"/>
                <w:szCs w:val="28"/>
              </w:rPr>
              <w:t>s</w:t>
            </w:r>
            <w:r w:rsidR="00815202">
              <w:rPr>
                <w:sz w:val="28"/>
                <w:szCs w:val="28"/>
              </w:rPr>
              <w:t>tēmu</w:t>
            </w:r>
            <w:r w:rsidR="00B44EA3">
              <w:rPr>
                <w:sz w:val="28"/>
                <w:szCs w:val="28"/>
              </w:rPr>
              <w:t xml:space="preserve"> un </w:t>
            </w:r>
            <w:r w:rsidR="0051444D" w:rsidRPr="0046313C">
              <w:rPr>
                <w:sz w:val="28"/>
                <w:szCs w:val="28"/>
              </w:rPr>
              <w:t>VIIS</w:t>
            </w:r>
            <w:r w:rsidR="00B44EA3">
              <w:rPr>
                <w:sz w:val="28"/>
                <w:szCs w:val="28"/>
              </w:rPr>
              <w:t xml:space="preserve"> funkcionalitātes pilnveidošanu</w:t>
            </w:r>
            <w:r w:rsidR="00355607" w:rsidRPr="0046313C">
              <w:rPr>
                <w:sz w:val="28"/>
                <w:szCs w:val="28"/>
              </w:rPr>
              <w:t>.</w:t>
            </w:r>
            <w:r w:rsidR="00090702">
              <w:rPr>
                <w:sz w:val="28"/>
                <w:szCs w:val="28"/>
              </w:rPr>
              <w:t xml:space="preserve"> Vienlaikus norādām, ka administratīvais slogs ilgtermiņā</w:t>
            </w:r>
            <w:r w:rsidR="00090702" w:rsidRPr="00090702">
              <w:rPr>
                <w:sz w:val="28"/>
                <w:szCs w:val="28"/>
              </w:rPr>
              <w:t xml:space="preserve"> </w:t>
            </w:r>
            <w:r w:rsidR="00090702">
              <w:rPr>
                <w:sz w:val="28"/>
                <w:szCs w:val="28"/>
              </w:rPr>
              <w:t>samazināsies, jo</w:t>
            </w:r>
            <w:r w:rsidR="00090702" w:rsidRPr="00090702">
              <w:rPr>
                <w:sz w:val="28"/>
                <w:szCs w:val="28"/>
              </w:rPr>
              <w:t xml:space="preserve"> augstskolas </w:t>
            </w:r>
            <w:r w:rsidR="00815202">
              <w:rPr>
                <w:sz w:val="28"/>
                <w:szCs w:val="28"/>
              </w:rPr>
              <w:t xml:space="preserve">un koledžas </w:t>
            </w:r>
            <w:r w:rsidR="00090702" w:rsidRPr="00090702">
              <w:rPr>
                <w:sz w:val="28"/>
                <w:szCs w:val="28"/>
              </w:rPr>
              <w:t>tika</w:t>
            </w:r>
            <w:r w:rsidR="00090702">
              <w:rPr>
                <w:sz w:val="28"/>
                <w:szCs w:val="28"/>
              </w:rPr>
              <w:t xml:space="preserve">i vienu reizi ievadīs </w:t>
            </w:r>
            <w:r w:rsidR="00193B3E">
              <w:rPr>
                <w:sz w:val="28"/>
                <w:szCs w:val="28"/>
              </w:rPr>
              <w:t xml:space="preserve">un nodos </w:t>
            </w:r>
            <w:r w:rsidR="00090702">
              <w:rPr>
                <w:sz w:val="28"/>
                <w:szCs w:val="28"/>
              </w:rPr>
              <w:t>informāc</w:t>
            </w:r>
            <w:r w:rsidR="00090702" w:rsidRPr="00090702">
              <w:rPr>
                <w:sz w:val="28"/>
                <w:szCs w:val="28"/>
              </w:rPr>
              <w:t>i</w:t>
            </w:r>
            <w:r w:rsidR="00090702">
              <w:rPr>
                <w:sz w:val="28"/>
                <w:szCs w:val="28"/>
              </w:rPr>
              <w:t>ju</w:t>
            </w:r>
            <w:r w:rsidR="00193B3E">
              <w:rPr>
                <w:sz w:val="28"/>
                <w:szCs w:val="28"/>
              </w:rPr>
              <w:t xml:space="preserve"> VIIS</w:t>
            </w:r>
            <w:r w:rsidR="00090702">
              <w:rPr>
                <w:sz w:val="28"/>
                <w:szCs w:val="28"/>
              </w:rPr>
              <w:t xml:space="preserve"> un turpmāk tā būs aktualizējam</w:t>
            </w:r>
            <w:r w:rsidR="00193B3E">
              <w:rPr>
                <w:sz w:val="28"/>
                <w:szCs w:val="28"/>
              </w:rPr>
              <w:t>a</w:t>
            </w:r>
            <w:r w:rsidR="00090702">
              <w:rPr>
                <w:sz w:val="28"/>
                <w:szCs w:val="28"/>
              </w:rPr>
              <w:t xml:space="preserve"> jau esoša regulējuma ietvaros. </w:t>
            </w:r>
            <w:r w:rsidR="00065CDB">
              <w:rPr>
                <w:sz w:val="28"/>
                <w:szCs w:val="28"/>
              </w:rPr>
              <w:t xml:space="preserve">Tādējādi VIIS </w:t>
            </w:r>
            <w:r w:rsidR="00065CDB" w:rsidRPr="00065CDB">
              <w:rPr>
                <w:sz w:val="28"/>
                <w:szCs w:val="28"/>
              </w:rPr>
              <w:t xml:space="preserve">tiek apkopoti un ir oficiāli pieejami dati, kas dod iespēju </w:t>
            </w:r>
            <w:r w:rsidR="00065CDB">
              <w:rPr>
                <w:sz w:val="28"/>
                <w:szCs w:val="28"/>
              </w:rPr>
              <w:t xml:space="preserve">attiecīgām </w:t>
            </w:r>
            <w:r w:rsidR="00065CDB" w:rsidRPr="00065CDB">
              <w:rPr>
                <w:sz w:val="28"/>
                <w:szCs w:val="28"/>
              </w:rPr>
              <w:t>institūcijām tos izmantot un augstskolām tos gatavot tikai vienu reizi, nevis uz katru pieprasījumu</w:t>
            </w:r>
            <w:r w:rsidR="0061740C">
              <w:rPr>
                <w:sz w:val="28"/>
                <w:szCs w:val="28"/>
              </w:rPr>
              <w:t>.</w:t>
            </w:r>
          </w:p>
          <w:p w:rsidR="00BA1F31" w:rsidRDefault="00355607" w:rsidP="0051444D">
            <w:pPr>
              <w:jc w:val="both"/>
              <w:rPr>
                <w:sz w:val="28"/>
                <w:szCs w:val="28"/>
              </w:rPr>
            </w:pPr>
            <w:r w:rsidRPr="00B07901">
              <w:rPr>
                <w:sz w:val="28"/>
                <w:szCs w:val="28"/>
              </w:rPr>
              <w:t>Noteikumu projekts ir izstrā</w:t>
            </w:r>
            <w:r w:rsidR="00B07901" w:rsidRPr="00B07901">
              <w:rPr>
                <w:sz w:val="28"/>
                <w:szCs w:val="28"/>
              </w:rPr>
              <w:t>dāts, papildinot ar regulējumu p</w:t>
            </w:r>
            <w:r w:rsidRPr="00B07901">
              <w:rPr>
                <w:sz w:val="28"/>
                <w:szCs w:val="28"/>
              </w:rPr>
              <w:t xml:space="preserve">ar </w:t>
            </w:r>
            <w:r w:rsidR="00B07901" w:rsidRPr="00B07901">
              <w:rPr>
                <w:sz w:val="28"/>
                <w:szCs w:val="28"/>
              </w:rPr>
              <w:t>informāciju par studējošiem augstākās izglītības iestādēs</w:t>
            </w:r>
            <w:r w:rsidRPr="00B07901">
              <w:rPr>
                <w:sz w:val="28"/>
                <w:szCs w:val="28"/>
              </w:rPr>
              <w:t>.</w:t>
            </w:r>
          </w:p>
          <w:p w:rsidR="00CF11FB" w:rsidRPr="00B07901" w:rsidRDefault="00CF11FB" w:rsidP="0051444D">
            <w:pPr>
              <w:jc w:val="both"/>
              <w:rPr>
                <w:sz w:val="28"/>
                <w:szCs w:val="28"/>
              </w:rPr>
            </w:pPr>
            <w:r w:rsidRPr="0063193B">
              <w:rPr>
                <w:sz w:val="28"/>
                <w:szCs w:val="28"/>
              </w:rPr>
              <w:t>Profesionālās ievirzes sporta izglītības iestādes šobrīd iesniedz   iesniegumu dotācijas saņemšanai un pievieno informāciju par kritēriju un nosacījumu izpildi atbilstoši Noteikumos Nr. 1036 noteiktajai kārtībai (pielikumos noteiktajā formā). Noteikumu projektā minēto datu ievade VIIS nodrošinās dotācijas saņemšanai nepieciešamās informācijas (iesniegums, pielikumi) izveidi un dotācijas aprēķināšanu, atbilstoši Noteikumos Nr. 1036 noteiktajai kārtībai, vienlaikus nodrošinot administratīvā sloga samazināšanos.</w:t>
            </w:r>
          </w:p>
        </w:tc>
      </w:tr>
      <w:tr w:rsidR="00446603" w:rsidRPr="00130B9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3.</w:t>
            </w:r>
          </w:p>
        </w:tc>
        <w:tc>
          <w:tcPr>
            <w:tcW w:w="1089" w:type="pct"/>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Administratīvo izmaksu monetārs novērtējums</w:t>
            </w:r>
          </w:p>
        </w:tc>
        <w:tc>
          <w:tcPr>
            <w:tcW w:w="3193" w:type="pct"/>
            <w:tcBorders>
              <w:top w:val="outset" w:sz="6" w:space="0" w:color="000000"/>
              <w:left w:val="outset" w:sz="6" w:space="0" w:color="000000"/>
              <w:bottom w:val="outset" w:sz="6" w:space="0" w:color="000000"/>
              <w:right w:val="outset" w:sz="6" w:space="0" w:color="000000"/>
            </w:tcBorders>
          </w:tcPr>
          <w:p w:rsidR="00013D2A" w:rsidRPr="004C1758" w:rsidRDefault="00E936BB" w:rsidP="004C1758">
            <w:pPr>
              <w:spacing w:before="100" w:beforeAutospacing="1" w:after="100" w:afterAutospacing="1"/>
              <w:jc w:val="both"/>
              <w:rPr>
                <w:sz w:val="28"/>
                <w:szCs w:val="28"/>
              </w:rPr>
            </w:pPr>
            <w:r w:rsidRPr="009E5698">
              <w:rPr>
                <w:sz w:val="28"/>
                <w:szCs w:val="28"/>
              </w:rPr>
              <w:t>No projektā ietvertā regulējuma jaunas administratīvās izmaksas neveidosies.</w:t>
            </w:r>
          </w:p>
        </w:tc>
      </w:tr>
      <w:tr w:rsidR="00446603" w:rsidRPr="00130B97" w:rsidTr="00E830EF">
        <w:trPr>
          <w:trHeight w:val="788"/>
          <w:tblCellSpacing w:w="15" w:type="dxa"/>
        </w:trPr>
        <w:tc>
          <w:tcPr>
            <w:tcW w:w="654" w:type="pct"/>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lastRenderedPageBreak/>
              <w:t>4.</w:t>
            </w:r>
          </w:p>
        </w:tc>
        <w:tc>
          <w:tcPr>
            <w:tcW w:w="1089" w:type="pct"/>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193" w:type="pct"/>
            <w:tcBorders>
              <w:top w:val="outset" w:sz="6" w:space="0" w:color="000000"/>
              <w:left w:val="outset" w:sz="6" w:space="0" w:color="000000"/>
              <w:bottom w:val="outset" w:sz="6" w:space="0" w:color="000000"/>
              <w:right w:val="outset" w:sz="6" w:space="0" w:color="000000"/>
            </w:tcBorders>
          </w:tcPr>
          <w:p w:rsidR="00446603" w:rsidRPr="00130B97" w:rsidRDefault="00446603" w:rsidP="000E38F0">
            <w:pPr>
              <w:jc w:val="both"/>
              <w:rPr>
                <w:sz w:val="28"/>
                <w:szCs w:val="28"/>
              </w:rPr>
            </w:pPr>
            <w:r w:rsidRPr="00130B97">
              <w:rPr>
                <w:sz w:val="28"/>
                <w:szCs w:val="28"/>
              </w:rPr>
              <w:t xml:space="preserve"> </w:t>
            </w:r>
            <w:r w:rsidR="00C4424E" w:rsidRPr="00130B97">
              <w:rPr>
                <w:sz w:val="28"/>
                <w:szCs w:val="28"/>
              </w:rPr>
              <w:t>Nav.</w:t>
            </w:r>
          </w:p>
        </w:tc>
      </w:tr>
    </w:tbl>
    <w:p w:rsidR="00E001F9" w:rsidRPr="00130B97" w:rsidRDefault="00E001F9" w:rsidP="00355607">
      <w:pPr>
        <w:spacing w:before="100" w:beforeAutospacing="1" w:after="100" w:afterAutospacing="1"/>
        <w:rPr>
          <w:sz w:val="20"/>
          <w:szCs w:val="20"/>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26"/>
        <w:gridCol w:w="1865"/>
        <w:gridCol w:w="6524"/>
      </w:tblGrid>
      <w:tr w:rsidR="00446603" w:rsidRPr="00130B97" w:rsidTr="00A711FE">
        <w:tc>
          <w:tcPr>
            <w:tcW w:w="9287" w:type="dxa"/>
            <w:gridSpan w:val="3"/>
          </w:tcPr>
          <w:p w:rsidR="00446603" w:rsidRPr="00130B97" w:rsidRDefault="00446603" w:rsidP="00A711FE">
            <w:pPr>
              <w:jc w:val="center"/>
              <w:rPr>
                <w:b/>
                <w:bCs/>
                <w:sz w:val="28"/>
                <w:szCs w:val="28"/>
              </w:rPr>
            </w:pPr>
            <w:r w:rsidRPr="00130B97">
              <w:rPr>
                <w:b/>
                <w:bCs/>
                <w:sz w:val="28"/>
                <w:szCs w:val="28"/>
              </w:rPr>
              <w:t>IV. Tiesību akta projekta ietekme uz</w:t>
            </w:r>
          </w:p>
          <w:p w:rsidR="00446603" w:rsidRPr="00130B97" w:rsidRDefault="00446603" w:rsidP="00A711FE">
            <w:pPr>
              <w:jc w:val="center"/>
              <w:rPr>
                <w:bCs/>
                <w:sz w:val="28"/>
                <w:szCs w:val="28"/>
              </w:rPr>
            </w:pPr>
            <w:r w:rsidRPr="00130B97">
              <w:rPr>
                <w:b/>
                <w:bCs/>
                <w:sz w:val="28"/>
                <w:szCs w:val="28"/>
              </w:rPr>
              <w:t>spēkā esošo tiesību normu sistēmu</w:t>
            </w:r>
          </w:p>
        </w:tc>
      </w:tr>
      <w:tr w:rsidR="00446603" w:rsidRPr="00130B97" w:rsidTr="00A711FE">
        <w:tc>
          <w:tcPr>
            <w:tcW w:w="534" w:type="dxa"/>
          </w:tcPr>
          <w:p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1865" w:type="dxa"/>
          </w:tcPr>
          <w:p w:rsidR="00446603" w:rsidRPr="00130B97" w:rsidRDefault="00446603" w:rsidP="00A711FE">
            <w:pPr>
              <w:spacing w:before="100" w:beforeAutospacing="1" w:after="100" w:afterAutospacing="1"/>
              <w:rPr>
                <w:bCs/>
                <w:sz w:val="28"/>
                <w:szCs w:val="28"/>
              </w:rPr>
            </w:pPr>
            <w:r w:rsidRPr="00130B97">
              <w:rPr>
                <w:sz w:val="28"/>
                <w:szCs w:val="28"/>
              </w:rPr>
              <w:t>Nepieciešamie saistītie tiesību akta projekti</w:t>
            </w:r>
          </w:p>
        </w:tc>
        <w:tc>
          <w:tcPr>
            <w:tcW w:w="6888" w:type="dxa"/>
          </w:tcPr>
          <w:p w:rsidR="00446603" w:rsidRDefault="00C95AC2" w:rsidP="00A711FE">
            <w:pPr>
              <w:jc w:val="both"/>
              <w:rPr>
                <w:sz w:val="28"/>
                <w:szCs w:val="28"/>
              </w:rPr>
            </w:pPr>
            <w:r>
              <w:rPr>
                <w:sz w:val="28"/>
                <w:szCs w:val="28"/>
              </w:rPr>
              <w:t xml:space="preserve">1. </w:t>
            </w:r>
            <w:r w:rsidR="008C105C">
              <w:rPr>
                <w:sz w:val="28"/>
                <w:szCs w:val="28"/>
              </w:rPr>
              <w:t xml:space="preserve">Ministrija </w:t>
            </w:r>
            <w:r>
              <w:rPr>
                <w:sz w:val="28"/>
                <w:szCs w:val="28"/>
              </w:rPr>
              <w:t xml:space="preserve">izstrādāja </w:t>
            </w:r>
            <w:r w:rsidR="008C105C">
              <w:rPr>
                <w:sz w:val="28"/>
                <w:szCs w:val="28"/>
              </w:rPr>
              <w:t>noteikumu projektu</w:t>
            </w:r>
            <w:r w:rsidR="00232130">
              <w:rPr>
                <w:sz w:val="28"/>
                <w:szCs w:val="28"/>
              </w:rPr>
              <w:t xml:space="preserve"> “Grozījumi </w:t>
            </w:r>
            <w:r w:rsidR="00B07901">
              <w:rPr>
                <w:sz w:val="28"/>
                <w:szCs w:val="28"/>
              </w:rPr>
              <w:t>Ministru kabineta 2007.</w:t>
            </w:r>
            <w:r w:rsidR="00205E82">
              <w:rPr>
                <w:sz w:val="28"/>
                <w:szCs w:val="28"/>
              </w:rPr>
              <w:t xml:space="preserve"> </w:t>
            </w:r>
            <w:r w:rsidR="00B07901">
              <w:rPr>
                <w:sz w:val="28"/>
                <w:szCs w:val="28"/>
              </w:rPr>
              <w:t>gada 27.</w:t>
            </w:r>
            <w:r w:rsidR="00205E82">
              <w:rPr>
                <w:sz w:val="28"/>
                <w:szCs w:val="28"/>
              </w:rPr>
              <w:t xml:space="preserve"> </w:t>
            </w:r>
            <w:r w:rsidR="00232130">
              <w:rPr>
                <w:sz w:val="28"/>
                <w:szCs w:val="28"/>
              </w:rPr>
              <w:t>marta noteikumos</w:t>
            </w:r>
            <w:r w:rsidR="00B07901">
              <w:rPr>
                <w:sz w:val="28"/>
                <w:szCs w:val="28"/>
              </w:rPr>
              <w:t xml:space="preserve"> Nr. 203 „Studējošā personas lietas noformēšanas un aktualizēšanas kārtība”</w:t>
            </w:r>
            <w:r w:rsidR="00232130">
              <w:rPr>
                <w:sz w:val="28"/>
                <w:szCs w:val="28"/>
              </w:rPr>
              <w:t>”</w:t>
            </w:r>
            <w:r w:rsidR="008C105C">
              <w:rPr>
                <w:sz w:val="28"/>
                <w:szCs w:val="28"/>
              </w:rPr>
              <w:t xml:space="preserve">, lai </w:t>
            </w:r>
            <w:r w:rsidR="00700D76" w:rsidRPr="00130B97">
              <w:rPr>
                <w:sz w:val="28"/>
                <w:szCs w:val="28"/>
              </w:rPr>
              <w:t>p</w:t>
            </w:r>
            <w:r w:rsidR="00700D76">
              <w:rPr>
                <w:sz w:val="28"/>
                <w:szCs w:val="28"/>
              </w:rPr>
              <w:t>recizēt studējošo lietās iekļaujamo informāciju un tās aktualizācijas un nodošanas kārtību</w:t>
            </w:r>
            <w:r w:rsidR="00700D76">
              <w:rPr>
                <w:bCs/>
                <w:sz w:val="28"/>
                <w:szCs w:val="28"/>
              </w:rPr>
              <w:t xml:space="preserve"> Valsts izglītības informācijas sistēmā</w:t>
            </w:r>
            <w:r w:rsidR="00273CDD">
              <w:rPr>
                <w:sz w:val="28"/>
                <w:szCs w:val="28"/>
              </w:rPr>
              <w:t>;</w:t>
            </w:r>
          </w:p>
          <w:p w:rsidR="00B1074C" w:rsidRDefault="00C95AC2" w:rsidP="00A711FE">
            <w:pPr>
              <w:jc w:val="both"/>
              <w:rPr>
                <w:sz w:val="28"/>
                <w:szCs w:val="28"/>
              </w:rPr>
            </w:pPr>
            <w:r>
              <w:rPr>
                <w:sz w:val="28"/>
                <w:szCs w:val="28"/>
              </w:rPr>
              <w:t xml:space="preserve">2. Atbilstoši Augstskolu likuma Pārejas noteikumu 41. punktā noteiktajam, </w:t>
            </w:r>
            <w:r w:rsidR="00E66A38">
              <w:rPr>
                <w:sz w:val="28"/>
                <w:szCs w:val="28"/>
              </w:rPr>
              <w:t xml:space="preserve">ka </w:t>
            </w:r>
            <w:r>
              <w:rPr>
                <w:sz w:val="28"/>
                <w:szCs w:val="28"/>
              </w:rPr>
              <w:t>Ministru kabinets</w:t>
            </w:r>
            <w:r w:rsidR="00725E06">
              <w:rPr>
                <w:sz w:val="28"/>
                <w:szCs w:val="28"/>
              </w:rPr>
              <w:t xml:space="preserve"> </w:t>
            </w:r>
            <w:r>
              <w:rPr>
                <w:sz w:val="28"/>
                <w:szCs w:val="28"/>
              </w:rPr>
              <w:t xml:space="preserve">ne vēlāk kā līdz 2017. gada 1. janvārim izdara grozījumus Ministru kabineta </w:t>
            </w:r>
            <w:r w:rsidRPr="006929D3">
              <w:rPr>
                <w:sz w:val="28"/>
                <w:szCs w:val="28"/>
              </w:rPr>
              <w:t>2006.</w:t>
            </w:r>
            <w:r>
              <w:rPr>
                <w:sz w:val="28"/>
                <w:szCs w:val="28"/>
              </w:rPr>
              <w:t xml:space="preserve"> </w:t>
            </w:r>
            <w:r w:rsidRPr="006929D3">
              <w:rPr>
                <w:sz w:val="28"/>
                <w:szCs w:val="28"/>
              </w:rPr>
              <w:t>gada 12.</w:t>
            </w:r>
            <w:r>
              <w:rPr>
                <w:sz w:val="28"/>
                <w:szCs w:val="28"/>
              </w:rPr>
              <w:t xml:space="preserve"> decembra noteikumos Nr. 994 “</w:t>
            </w:r>
            <w:r w:rsidRPr="006929D3">
              <w:rPr>
                <w:sz w:val="28"/>
                <w:szCs w:val="28"/>
              </w:rPr>
              <w:t>Kārtība, kādā augstskolas un koledžas tiek finansētas no valsts budžeta līdzekļiem</w:t>
            </w:r>
            <w:r>
              <w:rPr>
                <w:sz w:val="28"/>
                <w:szCs w:val="28"/>
              </w:rPr>
              <w:t>”,</w:t>
            </w:r>
            <w:r w:rsidR="00E66A38">
              <w:rPr>
                <w:sz w:val="28"/>
                <w:szCs w:val="28"/>
              </w:rPr>
              <w:t xml:space="preserve"> nosakot kārtību, kādā tiek finansēta valsts dibināto augstskolu un koledžu datu sniegšana studējošo un absolventu reģistram,</w:t>
            </w:r>
            <w:r>
              <w:rPr>
                <w:sz w:val="28"/>
                <w:szCs w:val="28"/>
              </w:rPr>
              <w:t xml:space="preserve"> Ministrija izstrādāja</w:t>
            </w:r>
            <w:r w:rsidR="002917F4">
              <w:rPr>
                <w:sz w:val="28"/>
                <w:szCs w:val="28"/>
              </w:rPr>
              <w:t xml:space="preserve"> noteikumu projektu</w:t>
            </w:r>
            <w:r w:rsidR="00082A8D">
              <w:rPr>
                <w:sz w:val="28"/>
                <w:szCs w:val="28"/>
              </w:rPr>
              <w:t xml:space="preserve"> “Grozījumi </w:t>
            </w:r>
            <w:r w:rsidR="00B1074C">
              <w:rPr>
                <w:sz w:val="28"/>
                <w:szCs w:val="28"/>
              </w:rPr>
              <w:t xml:space="preserve">Ministru kabineta </w:t>
            </w:r>
            <w:r w:rsidR="006929D3" w:rsidRPr="006929D3">
              <w:rPr>
                <w:sz w:val="28"/>
                <w:szCs w:val="28"/>
              </w:rPr>
              <w:t>2006.</w:t>
            </w:r>
            <w:r w:rsidR="006929D3">
              <w:rPr>
                <w:sz w:val="28"/>
                <w:szCs w:val="28"/>
              </w:rPr>
              <w:t xml:space="preserve"> </w:t>
            </w:r>
            <w:r w:rsidR="006929D3" w:rsidRPr="006929D3">
              <w:rPr>
                <w:sz w:val="28"/>
                <w:szCs w:val="28"/>
              </w:rPr>
              <w:t>gada 12.</w:t>
            </w:r>
            <w:r w:rsidR="00082A8D">
              <w:rPr>
                <w:sz w:val="28"/>
                <w:szCs w:val="28"/>
              </w:rPr>
              <w:t xml:space="preserve"> decembra noteikumos</w:t>
            </w:r>
            <w:r w:rsidR="006929D3">
              <w:rPr>
                <w:sz w:val="28"/>
                <w:szCs w:val="28"/>
              </w:rPr>
              <w:t xml:space="preserve"> Nr. 994 “</w:t>
            </w:r>
            <w:r w:rsidR="006929D3" w:rsidRPr="006929D3">
              <w:rPr>
                <w:sz w:val="28"/>
                <w:szCs w:val="28"/>
              </w:rPr>
              <w:t>Kārtība, kādā augstskolas un koledžas tiek finansētas no valsts budžeta līdzekļiem</w:t>
            </w:r>
            <w:r w:rsidR="006929D3">
              <w:rPr>
                <w:sz w:val="28"/>
                <w:szCs w:val="28"/>
              </w:rPr>
              <w:t>”</w:t>
            </w:r>
            <w:r w:rsidR="00082A8D">
              <w:rPr>
                <w:sz w:val="28"/>
                <w:szCs w:val="28"/>
              </w:rPr>
              <w:t>”</w:t>
            </w:r>
            <w:r w:rsidR="006929D3">
              <w:rPr>
                <w:sz w:val="28"/>
                <w:szCs w:val="28"/>
              </w:rPr>
              <w:t>;</w:t>
            </w:r>
          </w:p>
          <w:p w:rsidR="00273CDD" w:rsidRPr="00F95550" w:rsidRDefault="00C95AC2" w:rsidP="00A711FE">
            <w:pPr>
              <w:jc w:val="both"/>
              <w:rPr>
                <w:b/>
                <w:sz w:val="28"/>
                <w:szCs w:val="28"/>
              </w:rPr>
            </w:pPr>
            <w:r>
              <w:rPr>
                <w:sz w:val="28"/>
                <w:szCs w:val="28"/>
              </w:rPr>
              <w:t xml:space="preserve">3. </w:t>
            </w:r>
            <w:r w:rsidR="00273CDD" w:rsidRPr="00E936BB">
              <w:rPr>
                <w:sz w:val="28"/>
                <w:szCs w:val="28"/>
              </w:rPr>
              <w:t>Ministru kabineta 2011.</w:t>
            </w:r>
            <w:r w:rsidR="003F2933">
              <w:rPr>
                <w:sz w:val="28"/>
                <w:szCs w:val="28"/>
              </w:rPr>
              <w:t xml:space="preserve"> </w:t>
            </w:r>
            <w:r w:rsidR="00273CDD" w:rsidRPr="00E936BB">
              <w:rPr>
                <w:sz w:val="28"/>
                <w:szCs w:val="28"/>
              </w:rPr>
              <w:t>gada 27.</w:t>
            </w:r>
            <w:r w:rsidR="003F2933">
              <w:rPr>
                <w:sz w:val="28"/>
                <w:szCs w:val="28"/>
              </w:rPr>
              <w:t xml:space="preserve"> </w:t>
            </w:r>
            <w:r w:rsidR="00273CDD" w:rsidRPr="00E936BB">
              <w:rPr>
                <w:sz w:val="28"/>
                <w:szCs w:val="28"/>
              </w:rPr>
              <w:t>decembra noteikumos Nr.1036 “Kārtība, kādā valsts finansē profesionālās ievirzes sporta izglītības programmas”</w:t>
            </w:r>
            <w:r w:rsidR="00B71031">
              <w:rPr>
                <w:sz w:val="28"/>
                <w:szCs w:val="28"/>
              </w:rPr>
              <w:t xml:space="preserve"> jāizdara grozījumi, lai nodrošinātu </w:t>
            </w:r>
            <w:r w:rsidR="00B71031" w:rsidRPr="00114A53">
              <w:rPr>
                <w:sz w:val="28"/>
                <w:szCs w:val="28"/>
              </w:rPr>
              <w:t>Noteikumos Nr. 1036 noteiktās iesniegumam par akreditētās profesionālās ievirzes sporta izglītības iestādēs īstenotajās programmās paredzētajās stundās (sporta treniņos un sporta sacensībās) nodarbināto pedagogu darba samaksai un valsts sociālās apdrošināšanas obligātajām iemaksām pievienojamās informācijas iekļaušanu VIIS;</w:t>
            </w:r>
          </w:p>
          <w:p w:rsidR="00E936BB" w:rsidRDefault="00C95AC2" w:rsidP="004810CC">
            <w:pPr>
              <w:jc w:val="both"/>
              <w:rPr>
                <w:sz w:val="28"/>
                <w:szCs w:val="28"/>
              </w:rPr>
            </w:pPr>
            <w:r>
              <w:rPr>
                <w:sz w:val="28"/>
                <w:szCs w:val="28"/>
              </w:rPr>
              <w:t xml:space="preserve">4. </w:t>
            </w:r>
            <w:r w:rsidR="004F7CB6">
              <w:rPr>
                <w:sz w:val="28"/>
                <w:szCs w:val="28"/>
              </w:rPr>
              <w:t>Ministru kabineta</w:t>
            </w:r>
            <w:r w:rsidR="00E936BB" w:rsidRPr="00E936BB">
              <w:rPr>
                <w:rFonts w:ascii="Arial" w:hAnsi="Arial" w:cs="Arial"/>
                <w:color w:val="414142"/>
                <w:sz w:val="20"/>
                <w:szCs w:val="20"/>
              </w:rPr>
              <w:t xml:space="preserve"> </w:t>
            </w:r>
            <w:r w:rsidR="00E936BB" w:rsidRPr="00E936BB">
              <w:rPr>
                <w:sz w:val="28"/>
                <w:szCs w:val="28"/>
              </w:rPr>
              <w:t>2006.</w:t>
            </w:r>
            <w:r w:rsidR="00E936BB">
              <w:rPr>
                <w:sz w:val="28"/>
                <w:szCs w:val="28"/>
              </w:rPr>
              <w:t xml:space="preserve"> </w:t>
            </w:r>
            <w:r w:rsidR="00E936BB" w:rsidRPr="00E936BB">
              <w:rPr>
                <w:sz w:val="28"/>
                <w:szCs w:val="28"/>
              </w:rPr>
              <w:t>gada 2.</w:t>
            </w:r>
            <w:r w:rsidR="00E936BB">
              <w:rPr>
                <w:sz w:val="28"/>
                <w:szCs w:val="28"/>
              </w:rPr>
              <w:t xml:space="preserve"> maija</w:t>
            </w:r>
            <w:r w:rsidR="00E936BB" w:rsidRPr="00E936BB">
              <w:rPr>
                <w:sz w:val="28"/>
                <w:szCs w:val="28"/>
              </w:rPr>
              <w:t xml:space="preserve"> </w:t>
            </w:r>
            <w:r w:rsidR="004F7CB6">
              <w:rPr>
                <w:sz w:val="28"/>
                <w:szCs w:val="28"/>
              </w:rPr>
              <w:t xml:space="preserve"> noteikumi</w:t>
            </w:r>
            <w:r w:rsidR="004F7CB6" w:rsidRPr="00B07901">
              <w:rPr>
                <w:sz w:val="28"/>
                <w:szCs w:val="28"/>
              </w:rPr>
              <w:t xml:space="preserve"> Nr. 348 “Kārtība, kādā augstskola un koledža iesniedz Izglītības un zinātnes ministrijā informāciju par savu darbību”</w:t>
            </w:r>
            <w:r w:rsidR="00F206D3">
              <w:rPr>
                <w:sz w:val="28"/>
                <w:szCs w:val="28"/>
              </w:rPr>
              <w:t xml:space="preserve"> jāveic grozījumi, lai samazināt augstskolām un koledžām iesniedzamo dokumentu apjomu un mainīt informācijas iesniegšanas veidu</w:t>
            </w:r>
            <w:r w:rsidR="00E936BB">
              <w:rPr>
                <w:sz w:val="28"/>
                <w:szCs w:val="28"/>
              </w:rPr>
              <w:t>;</w:t>
            </w:r>
          </w:p>
          <w:p w:rsidR="00B07901" w:rsidRPr="00B07901" w:rsidRDefault="00C95AC2" w:rsidP="0047252B">
            <w:pPr>
              <w:jc w:val="both"/>
              <w:rPr>
                <w:sz w:val="28"/>
                <w:szCs w:val="28"/>
              </w:rPr>
            </w:pPr>
            <w:r>
              <w:rPr>
                <w:sz w:val="28"/>
                <w:szCs w:val="28"/>
              </w:rPr>
              <w:t xml:space="preserve">5. </w:t>
            </w:r>
            <w:r w:rsidR="00E936BB">
              <w:rPr>
                <w:sz w:val="28"/>
                <w:szCs w:val="28"/>
              </w:rPr>
              <w:t xml:space="preserve">Ministru kabineta </w:t>
            </w:r>
            <w:r w:rsidR="00B1074C" w:rsidRPr="00B1074C">
              <w:rPr>
                <w:sz w:val="28"/>
                <w:szCs w:val="28"/>
              </w:rPr>
              <w:t>2006.</w:t>
            </w:r>
            <w:r w:rsidR="00B1074C">
              <w:rPr>
                <w:sz w:val="28"/>
                <w:szCs w:val="28"/>
              </w:rPr>
              <w:t xml:space="preserve"> gada 10.</w:t>
            </w:r>
            <w:r w:rsidR="00AF60DA">
              <w:rPr>
                <w:sz w:val="28"/>
                <w:szCs w:val="28"/>
              </w:rPr>
              <w:t xml:space="preserve"> </w:t>
            </w:r>
            <w:r w:rsidR="00B1074C">
              <w:rPr>
                <w:sz w:val="28"/>
                <w:szCs w:val="28"/>
              </w:rPr>
              <w:t xml:space="preserve">oktobra </w:t>
            </w:r>
            <w:r w:rsidR="0047252B">
              <w:rPr>
                <w:sz w:val="28"/>
                <w:szCs w:val="28"/>
              </w:rPr>
              <w:t xml:space="preserve">noteikumos </w:t>
            </w:r>
            <w:r w:rsidR="00B1074C">
              <w:rPr>
                <w:sz w:val="28"/>
                <w:szCs w:val="28"/>
              </w:rPr>
              <w:t xml:space="preserve">Nr. </w:t>
            </w:r>
            <w:r w:rsidR="00B1074C" w:rsidRPr="0047252B">
              <w:rPr>
                <w:sz w:val="28"/>
                <w:szCs w:val="28"/>
              </w:rPr>
              <w:t>846</w:t>
            </w:r>
            <w:r w:rsidR="00B1074C">
              <w:rPr>
                <w:sz w:val="28"/>
                <w:szCs w:val="28"/>
              </w:rPr>
              <w:t xml:space="preserve"> “</w:t>
            </w:r>
            <w:r w:rsidR="00B1074C" w:rsidRPr="00B1074C">
              <w:rPr>
                <w:sz w:val="28"/>
                <w:szCs w:val="28"/>
              </w:rPr>
              <w:t xml:space="preserve">Noteikumi par prasībām, kritērijiem un kārtību </w:t>
            </w:r>
            <w:r w:rsidR="00B1074C" w:rsidRPr="00B1074C">
              <w:rPr>
                <w:sz w:val="28"/>
                <w:szCs w:val="28"/>
              </w:rPr>
              <w:lastRenderedPageBreak/>
              <w:t>uzņemšanai studiju programmās</w:t>
            </w:r>
            <w:r w:rsidR="00B1074C">
              <w:rPr>
                <w:sz w:val="28"/>
                <w:szCs w:val="28"/>
              </w:rPr>
              <w:t>”</w:t>
            </w:r>
            <w:r w:rsidR="0047252B">
              <w:rPr>
                <w:sz w:val="28"/>
                <w:szCs w:val="28"/>
              </w:rPr>
              <w:t xml:space="preserve"> jāveic grozījums, nosakot uzņemšanas noteikumu iesniegšanu VIIS</w:t>
            </w:r>
            <w:r w:rsidR="00B1074C">
              <w:rPr>
                <w:sz w:val="28"/>
                <w:szCs w:val="28"/>
              </w:rPr>
              <w:t>.</w:t>
            </w:r>
          </w:p>
        </w:tc>
      </w:tr>
      <w:tr w:rsidR="00446603" w:rsidRPr="00130B97" w:rsidTr="00A711FE">
        <w:tc>
          <w:tcPr>
            <w:tcW w:w="534" w:type="dxa"/>
          </w:tcPr>
          <w:p w:rsidR="00446603" w:rsidRPr="00130B97" w:rsidRDefault="00446603" w:rsidP="00A711FE">
            <w:pPr>
              <w:spacing w:before="100" w:beforeAutospacing="1" w:after="100" w:afterAutospacing="1"/>
              <w:rPr>
                <w:bCs/>
                <w:sz w:val="28"/>
                <w:szCs w:val="28"/>
              </w:rPr>
            </w:pPr>
            <w:r w:rsidRPr="00130B97">
              <w:rPr>
                <w:bCs/>
                <w:sz w:val="28"/>
                <w:szCs w:val="28"/>
              </w:rPr>
              <w:lastRenderedPageBreak/>
              <w:t>2.</w:t>
            </w:r>
          </w:p>
        </w:tc>
        <w:tc>
          <w:tcPr>
            <w:tcW w:w="1865" w:type="dxa"/>
          </w:tcPr>
          <w:p w:rsidR="00446603" w:rsidRPr="00130B97" w:rsidRDefault="00446603" w:rsidP="00A711FE">
            <w:pPr>
              <w:spacing w:before="100" w:beforeAutospacing="1" w:after="100" w:afterAutospacing="1"/>
              <w:rPr>
                <w:bCs/>
                <w:sz w:val="28"/>
                <w:szCs w:val="28"/>
              </w:rPr>
            </w:pPr>
            <w:r w:rsidRPr="00130B97">
              <w:rPr>
                <w:sz w:val="28"/>
                <w:szCs w:val="28"/>
              </w:rPr>
              <w:t>Atbildīgā institūcija</w:t>
            </w:r>
          </w:p>
        </w:tc>
        <w:tc>
          <w:tcPr>
            <w:tcW w:w="6888" w:type="dxa"/>
          </w:tcPr>
          <w:p w:rsidR="00446603" w:rsidRPr="006A1B73" w:rsidRDefault="00877103" w:rsidP="00A711FE">
            <w:pPr>
              <w:spacing w:before="100" w:beforeAutospacing="1" w:after="100" w:afterAutospacing="1"/>
              <w:jc w:val="both"/>
              <w:rPr>
                <w:bCs/>
                <w:sz w:val="28"/>
                <w:szCs w:val="28"/>
              </w:rPr>
            </w:pPr>
            <w:r>
              <w:rPr>
                <w:sz w:val="28"/>
                <w:szCs w:val="28"/>
              </w:rPr>
              <w:t>Ministrija</w:t>
            </w:r>
          </w:p>
        </w:tc>
      </w:tr>
      <w:tr w:rsidR="00446603" w:rsidRPr="00130B97" w:rsidTr="00A711FE">
        <w:tc>
          <w:tcPr>
            <w:tcW w:w="534" w:type="dxa"/>
          </w:tcPr>
          <w:p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1865" w:type="dxa"/>
          </w:tcPr>
          <w:p w:rsidR="00446603" w:rsidRPr="00130B97" w:rsidRDefault="00446603" w:rsidP="00A711FE">
            <w:pPr>
              <w:spacing w:before="100" w:beforeAutospacing="1" w:after="100" w:afterAutospacing="1"/>
              <w:rPr>
                <w:bCs/>
                <w:sz w:val="28"/>
                <w:szCs w:val="28"/>
              </w:rPr>
            </w:pPr>
            <w:r w:rsidRPr="00130B97">
              <w:rPr>
                <w:sz w:val="28"/>
                <w:szCs w:val="28"/>
              </w:rPr>
              <w:t>Cita informācija</w:t>
            </w:r>
          </w:p>
        </w:tc>
        <w:tc>
          <w:tcPr>
            <w:tcW w:w="6888" w:type="dxa"/>
          </w:tcPr>
          <w:p w:rsidR="005E5AAF" w:rsidRPr="00130B97" w:rsidRDefault="004F7CB6" w:rsidP="00F50F17">
            <w:pPr>
              <w:jc w:val="both"/>
              <w:rPr>
                <w:sz w:val="28"/>
                <w:szCs w:val="28"/>
              </w:rPr>
            </w:pPr>
            <w:r>
              <w:rPr>
                <w:sz w:val="28"/>
                <w:szCs w:val="28"/>
              </w:rPr>
              <w:t>Nav.</w:t>
            </w:r>
          </w:p>
        </w:tc>
      </w:tr>
    </w:tbl>
    <w:p w:rsidR="009113A8" w:rsidRDefault="009113A8" w:rsidP="009113A8"/>
    <w:tbl>
      <w:tblPr>
        <w:tblStyle w:val="TableGrid"/>
        <w:tblW w:w="9322" w:type="dxa"/>
        <w:tblLayout w:type="fixed"/>
        <w:tblLook w:val="04A0" w:firstRow="1" w:lastRow="0" w:firstColumn="1" w:lastColumn="0" w:noHBand="0" w:noVBand="1"/>
      </w:tblPr>
      <w:tblGrid>
        <w:gridCol w:w="568"/>
        <w:gridCol w:w="1525"/>
        <w:gridCol w:w="409"/>
        <w:gridCol w:w="229"/>
        <w:gridCol w:w="1913"/>
        <w:gridCol w:w="2634"/>
        <w:gridCol w:w="2044"/>
      </w:tblGrid>
      <w:tr w:rsidR="00F204CA" w:rsidRPr="00014A36" w:rsidTr="000A7212">
        <w:trPr>
          <w:trHeight w:val="432"/>
        </w:trPr>
        <w:tc>
          <w:tcPr>
            <w:tcW w:w="9322" w:type="dxa"/>
            <w:gridSpan w:val="7"/>
            <w:tcBorders>
              <w:top w:val="double" w:sz="4" w:space="0" w:color="auto"/>
              <w:left w:val="double" w:sz="4" w:space="0" w:color="auto"/>
              <w:bottom w:val="double" w:sz="4" w:space="0" w:color="auto"/>
              <w:right w:val="double" w:sz="4" w:space="0" w:color="auto"/>
            </w:tcBorders>
            <w:hideMark/>
          </w:tcPr>
          <w:p w:rsidR="0052300B" w:rsidRPr="00BD3C3C" w:rsidRDefault="0052300B" w:rsidP="00ED0BAC">
            <w:pPr>
              <w:spacing w:before="100" w:beforeAutospacing="1"/>
              <w:jc w:val="center"/>
              <w:rPr>
                <w:b/>
                <w:bCs/>
                <w:color w:val="000000"/>
                <w:sz w:val="28"/>
                <w:szCs w:val="28"/>
              </w:rPr>
            </w:pPr>
            <w:r w:rsidRPr="00BD3C3C">
              <w:rPr>
                <w:b/>
                <w:bCs/>
                <w:color w:val="000000"/>
                <w:sz w:val="28"/>
                <w:szCs w:val="28"/>
              </w:rPr>
              <w:t>V. Tiesību akta projekta atbilstība Latvijas Republikas starptautiskajām saistībām</w:t>
            </w:r>
          </w:p>
        </w:tc>
      </w:tr>
      <w:tr w:rsidR="00F204CA" w:rsidRPr="00531884" w:rsidTr="000A7212">
        <w:tc>
          <w:tcPr>
            <w:tcW w:w="2502" w:type="dxa"/>
            <w:gridSpan w:val="3"/>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spacing w:before="100" w:beforeAutospacing="1"/>
              <w:jc w:val="both"/>
              <w:rPr>
                <w:color w:val="000000"/>
                <w:sz w:val="28"/>
                <w:szCs w:val="28"/>
              </w:rPr>
            </w:pPr>
            <w:r w:rsidRPr="00D32F16">
              <w:rPr>
                <w:color w:val="000000"/>
                <w:sz w:val="28"/>
                <w:szCs w:val="28"/>
              </w:rPr>
              <w:t>Saistības pret Eiropas Savienību</w:t>
            </w:r>
          </w:p>
        </w:tc>
        <w:tc>
          <w:tcPr>
            <w:tcW w:w="6820" w:type="dxa"/>
            <w:gridSpan w:val="4"/>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spacing w:before="100" w:beforeAutospacing="1"/>
              <w:jc w:val="both"/>
              <w:rPr>
                <w:color w:val="000000"/>
                <w:sz w:val="28"/>
                <w:szCs w:val="28"/>
              </w:rPr>
            </w:pPr>
            <w:r w:rsidRPr="00D32F16">
              <w:rPr>
                <w:color w:val="000000"/>
                <w:sz w:val="28"/>
                <w:szCs w:val="28"/>
              </w:rPr>
              <w:t>2013. gada 23. septembra Eiropas Komisijas Regula Nr. 912/2013, ar ko attiecībā uz statistiku par izglītības un apmācības sistēmām īsteno Eiropas Parlamenta un Padomes Regulu (EK) Nr. 452/2008 par izglītības un mūžizglītības statistikas izveidi un pilnveidi.</w:t>
            </w:r>
          </w:p>
        </w:tc>
      </w:tr>
      <w:tr w:rsidR="00F204CA" w:rsidRPr="00014A36" w:rsidTr="000A7212">
        <w:tc>
          <w:tcPr>
            <w:tcW w:w="2502" w:type="dxa"/>
            <w:gridSpan w:val="3"/>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spacing w:before="100" w:beforeAutospacing="1"/>
              <w:jc w:val="both"/>
              <w:rPr>
                <w:color w:val="000000"/>
                <w:sz w:val="28"/>
                <w:szCs w:val="28"/>
              </w:rPr>
            </w:pPr>
            <w:r w:rsidRPr="00D32F16">
              <w:rPr>
                <w:color w:val="000000"/>
                <w:sz w:val="28"/>
                <w:szCs w:val="28"/>
              </w:rPr>
              <w:t>Citas starptautiskās saistības</w:t>
            </w:r>
          </w:p>
        </w:tc>
        <w:tc>
          <w:tcPr>
            <w:tcW w:w="6820" w:type="dxa"/>
            <w:gridSpan w:val="4"/>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t>Nav.</w:t>
            </w:r>
          </w:p>
        </w:tc>
      </w:tr>
      <w:tr w:rsidR="00E2605D" w:rsidRPr="00014A36" w:rsidTr="000A7212">
        <w:tc>
          <w:tcPr>
            <w:tcW w:w="2502" w:type="dxa"/>
            <w:gridSpan w:val="3"/>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spacing w:before="100" w:beforeAutospacing="1"/>
              <w:jc w:val="both"/>
              <w:rPr>
                <w:color w:val="000000"/>
                <w:sz w:val="28"/>
                <w:szCs w:val="28"/>
              </w:rPr>
            </w:pPr>
            <w:r w:rsidRPr="00D32F16">
              <w:rPr>
                <w:color w:val="000000"/>
                <w:sz w:val="28"/>
                <w:szCs w:val="28"/>
              </w:rPr>
              <w:t>Cita informācija</w:t>
            </w:r>
          </w:p>
        </w:tc>
        <w:tc>
          <w:tcPr>
            <w:tcW w:w="6820" w:type="dxa"/>
            <w:gridSpan w:val="4"/>
            <w:tcBorders>
              <w:top w:val="double" w:sz="4" w:space="0" w:color="auto"/>
              <w:left w:val="double" w:sz="4" w:space="0" w:color="auto"/>
              <w:right w:val="double" w:sz="4" w:space="0" w:color="auto"/>
            </w:tcBorders>
            <w:hideMark/>
          </w:tcPr>
          <w:p w:rsidR="0052300B" w:rsidRPr="00D32F16" w:rsidRDefault="0052300B" w:rsidP="00ED0BAC">
            <w:pPr>
              <w:spacing w:before="100" w:beforeAutospacing="1"/>
              <w:ind w:firstLine="14"/>
              <w:jc w:val="both"/>
              <w:rPr>
                <w:color w:val="000000"/>
                <w:sz w:val="28"/>
                <w:szCs w:val="28"/>
              </w:rPr>
            </w:pPr>
            <w:r w:rsidRPr="00D32F16">
              <w:rPr>
                <w:color w:val="000000"/>
                <w:sz w:val="28"/>
                <w:szCs w:val="28"/>
              </w:rPr>
              <w:t>Nav.</w:t>
            </w:r>
          </w:p>
        </w:tc>
      </w:tr>
      <w:tr w:rsidR="00E2605D" w:rsidRPr="00014A36" w:rsidTr="000A7212">
        <w:trPr>
          <w:trHeight w:val="523"/>
        </w:trPr>
        <w:tc>
          <w:tcPr>
            <w:tcW w:w="9322" w:type="dxa"/>
            <w:gridSpan w:val="7"/>
            <w:tcBorders>
              <w:top w:val="double" w:sz="4" w:space="0" w:color="auto"/>
              <w:left w:val="double" w:sz="4" w:space="0" w:color="auto"/>
              <w:right w:val="double" w:sz="4" w:space="0" w:color="auto"/>
            </w:tcBorders>
            <w:hideMark/>
          </w:tcPr>
          <w:p w:rsidR="0052300B" w:rsidRPr="00AE3AFC" w:rsidRDefault="0052300B" w:rsidP="00ED0BAC">
            <w:pPr>
              <w:ind w:left="57"/>
              <w:jc w:val="center"/>
              <w:rPr>
                <w:b/>
                <w:color w:val="000000"/>
                <w:sz w:val="28"/>
                <w:szCs w:val="28"/>
              </w:rPr>
            </w:pPr>
            <w:r w:rsidRPr="00AE3AFC">
              <w:rPr>
                <w:b/>
                <w:color w:val="000000"/>
                <w:sz w:val="28"/>
                <w:szCs w:val="28"/>
              </w:rPr>
              <w:t>1.tabula</w:t>
            </w:r>
          </w:p>
          <w:p w:rsidR="0052300B" w:rsidRPr="00014A36" w:rsidRDefault="0052300B" w:rsidP="00ED0BAC">
            <w:pPr>
              <w:ind w:left="57"/>
              <w:jc w:val="center"/>
              <w:rPr>
                <w:b/>
                <w:color w:val="000000"/>
              </w:rPr>
            </w:pPr>
            <w:r w:rsidRPr="00AE3AFC">
              <w:rPr>
                <w:b/>
                <w:color w:val="000000"/>
                <w:sz w:val="28"/>
                <w:szCs w:val="28"/>
              </w:rPr>
              <w:t>Tiesību akta projekta atbilstība ES tiesību aktiem</w:t>
            </w:r>
          </w:p>
        </w:tc>
      </w:tr>
      <w:tr w:rsidR="00E2605D" w:rsidRPr="00014A36" w:rsidTr="000A7212">
        <w:tc>
          <w:tcPr>
            <w:tcW w:w="2093" w:type="dxa"/>
            <w:gridSpan w:val="2"/>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t>Attiecīgā ES tiesību akta datums, numurs un nosaukums</w:t>
            </w:r>
          </w:p>
        </w:tc>
        <w:tc>
          <w:tcPr>
            <w:tcW w:w="7229" w:type="dxa"/>
            <w:gridSpan w:val="5"/>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t>2013. gada 23. septembra Eiropas Komisijas Regula Nr. 912/2013, ar ko attiecībā uz statistiku par izglītības un apmācības sistēmām īsteno Eiropas Parlamenta un Padomes Regulu (EK) Nr. 452/2008 par izglītības un mūžizglītības statistikas izveidi un pilnveidi.</w:t>
            </w:r>
          </w:p>
        </w:tc>
      </w:tr>
      <w:tr w:rsidR="00E2605D" w:rsidRPr="00014A36" w:rsidTr="000A7212">
        <w:tc>
          <w:tcPr>
            <w:tcW w:w="2093" w:type="dxa"/>
            <w:gridSpan w:val="2"/>
            <w:tcBorders>
              <w:top w:val="double" w:sz="4" w:space="0" w:color="auto"/>
              <w:left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t>A</w:t>
            </w:r>
          </w:p>
        </w:tc>
        <w:tc>
          <w:tcPr>
            <w:tcW w:w="2551" w:type="dxa"/>
            <w:gridSpan w:val="3"/>
            <w:tcBorders>
              <w:top w:val="double" w:sz="4" w:space="0" w:color="auto"/>
              <w:left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t>B</w:t>
            </w:r>
          </w:p>
        </w:tc>
        <w:tc>
          <w:tcPr>
            <w:tcW w:w="2634" w:type="dxa"/>
            <w:tcBorders>
              <w:top w:val="double" w:sz="4" w:space="0" w:color="auto"/>
              <w:left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t>C</w:t>
            </w:r>
          </w:p>
        </w:tc>
        <w:tc>
          <w:tcPr>
            <w:tcW w:w="2044" w:type="dxa"/>
            <w:tcBorders>
              <w:top w:val="double" w:sz="4" w:space="0" w:color="auto"/>
              <w:left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t>D</w:t>
            </w:r>
          </w:p>
        </w:tc>
      </w:tr>
      <w:tr w:rsidR="00E2605D" w:rsidRPr="00014A36" w:rsidTr="000A7212">
        <w:trPr>
          <w:trHeight w:val="5196"/>
        </w:trPr>
        <w:tc>
          <w:tcPr>
            <w:tcW w:w="2093" w:type="dxa"/>
            <w:gridSpan w:val="2"/>
            <w:tcBorders>
              <w:top w:val="double" w:sz="4" w:space="0" w:color="auto"/>
              <w:left w:val="double" w:sz="4" w:space="0" w:color="auto"/>
              <w:bottom w:val="double" w:sz="4" w:space="0" w:color="auto"/>
              <w:right w:val="double" w:sz="4" w:space="0" w:color="auto"/>
            </w:tcBorders>
            <w:hideMark/>
          </w:tcPr>
          <w:p w:rsidR="0052300B" w:rsidRPr="00BD3C3C" w:rsidRDefault="0052300B" w:rsidP="00ED0BAC">
            <w:pPr>
              <w:ind w:left="57"/>
              <w:jc w:val="both"/>
              <w:rPr>
                <w:color w:val="000000"/>
                <w:spacing w:val="-3"/>
                <w:sz w:val="22"/>
                <w:szCs w:val="22"/>
              </w:rPr>
            </w:pPr>
            <w:r w:rsidRPr="00BD3C3C">
              <w:rPr>
                <w:color w:val="000000"/>
                <w:spacing w:val="-3"/>
                <w:sz w:val="22"/>
                <w:szCs w:val="22"/>
              </w:rPr>
              <w:t>Attiecīgā ES tiesību akta panta numurs (uzskaitot katru tiesību akta vienību – pantu, daļu, punktu, apakšpunktu)</w:t>
            </w:r>
          </w:p>
        </w:tc>
        <w:tc>
          <w:tcPr>
            <w:tcW w:w="2551" w:type="dxa"/>
            <w:gridSpan w:val="3"/>
            <w:tcBorders>
              <w:top w:val="double" w:sz="4" w:space="0" w:color="auto"/>
              <w:left w:val="double" w:sz="4" w:space="0" w:color="auto"/>
              <w:bottom w:val="double" w:sz="4" w:space="0" w:color="auto"/>
              <w:right w:val="double" w:sz="4" w:space="0" w:color="auto"/>
            </w:tcBorders>
            <w:hideMark/>
          </w:tcPr>
          <w:p w:rsidR="0052300B" w:rsidRPr="00BD3C3C" w:rsidRDefault="0052300B" w:rsidP="00ED0BAC">
            <w:pPr>
              <w:ind w:left="57"/>
              <w:jc w:val="both"/>
              <w:rPr>
                <w:color w:val="000000"/>
                <w:spacing w:val="-3"/>
                <w:sz w:val="22"/>
                <w:szCs w:val="22"/>
              </w:rPr>
            </w:pPr>
            <w:r w:rsidRPr="00BD3C3C">
              <w:rPr>
                <w:color w:val="000000"/>
                <w:spacing w:val="-3"/>
                <w:sz w:val="22"/>
                <w:szCs w:val="22"/>
              </w:rPr>
              <w:t>Projekta vienība, kas pārņem vai ievieš katru šīs tabulas A ailē minēto ES tiesību akta vienību, vai tiesību akts, kur attiecīgā ES tiesību akta vienība pārņemta vai ieviesta</w:t>
            </w:r>
          </w:p>
        </w:tc>
        <w:tc>
          <w:tcPr>
            <w:tcW w:w="2634" w:type="dxa"/>
            <w:tcBorders>
              <w:top w:val="double" w:sz="4" w:space="0" w:color="auto"/>
              <w:left w:val="double" w:sz="4" w:space="0" w:color="auto"/>
              <w:bottom w:val="double" w:sz="4" w:space="0" w:color="auto"/>
              <w:right w:val="double" w:sz="4" w:space="0" w:color="auto"/>
            </w:tcBorders>
            <w:hideMark/>
          </w:tcPr>
          <w:p w:rsidR="0052300B" w:rsidRPr="00BD3C3C" w:rsidRDefault="0052300B" w:rsidP="00ED0BAC">
            <w:pPr>
              <w:ind w:left="57"/>
              <w:jc w:val="both"/>
              <w:rPr>
                <w:color w:val="000000"/>
                <w:spacing w:val="-3"/>
                <w:sz w:val="22"/>
                <w:szCs w:val="22"/>
              </w:rPr>
            </w:pPr>
            <w:r w:rsidRPr="00BD3C3C">
              <w:rPr>
                <w:color w:val="000000"/>
                <w:spacing w:val="-3"/>
                <w:sz w:val="22"/>
                <w:szCs w:val="22"/>
              </w:rPr>
              <w:t>Informācija par to, vai šīs tabulas A ailē minētās ES tiesību akta vienības tiek pārņemtas vai ieviestas pilnībā vai daļēji.</w:t>
            </w:r>
          </w:p>
          <w:p w:rsidR="0052300B" w:rsidRPr="00BD3C3C" w:rsidRDefault="0052300B" w:rsidP="00ED0BAC">
            <w:pPr>
              <w:ind w:left="57"/>
              <w:jc w:val="both"/>
              <w:rPr>
                <w:color w:val="000000"/>
                <w:spacing w:val="-3"/>
                <w:sz w:val="22"/>
                <w:szCs w:val="22"/>
              </w:rPr>
            </w:pPr>
            <w:r w:rsidRPr="00BD3C3C">
              <w:rPr>
                <w:color w:val="000000"/>
                <w:spacing w:val="-3"/>
                <w:sz w:val="22"/>
                <w:szCs w:val="22"/>
              </w:rPr>
              <w:t>Ja attiecīgā ES tiesību akta vienība tiek pārņemta vai ieviesta daļēji, sniedz attiecīgu skaidrojumu, kā arī precīzi norāda, kad un kādā veidā ES tiesību akta vienība tiks pārņemta vai ieviesta pilnībā.</w:t>
            </w:r>
          </w:p>
          <w:p w:rsidR="0052300B" w:rsidRPr="00BD3C3C" w:rsidRDefault="0052300B" w:rsidP="00ED0BAC">
            <w:pPr>
              <w:ind w:left="57"/>
              <w:jc w:val="both"/>
              <w:rPr>
                <w:color w:val="000000"/>
                <w:spacing w:val="-3"/>
                <w:sz w:val="22"/>
                <w:szCs w:val="22"/>
              </w:rPr>
            </w:pPr>
            <w:r w:rsidRPr="00BD3C3C">
              <w:rPr>
                <w:color w:val="000000"/>
                <w:spacing w:val="-3"/>
                <w:sz w:val="22"/>
                <w:szCs w:val="22"/>
              </w:rPr>
              <w:t>Norāda institūciju, kas ir atbildīga par šo saistību izpildi pilnībā</w:t>
            </w:r>
          </w:p>
        </w:tc>
        <w:tc>
          <w:tcPr>
            <w:tcW w:w="2044" w:type="dxa"/>
            <w:tcBorders>
              <w:top w:val="double" w:sz="4" w:space="0" w:color="auto"/>
              <w:left w:val="double" w:sz="4" w:space="0" w:color="auto"/>
              <w:bottom w:val="double" w:sz="4" w:space="0" w:color="auto"/>
              <w:right w:val="double" w:sz="4" w:space="0" w:color="auto"/>
            </w:tcBorders>
            <w:hideMark/>
          </w:tcPr>
          <w:p w:rsidR="0052300B" w:rsidRPr="00BD3C3C" w:rsidRDefault="0052300B" w:rsidP="00ED0BAC">
            <w:pPr>
              <w:ind w:left="57"/>
              <w:jc w:val="both"/>
              <w:rPr>
                <w:color w:val="000000"/>
                <w:sz w:val="22"/>
                <w:szCs w:val="22"/>
              </w:rPr>
            </w:pPr>
            <w:r w:rsidRPr="00BD3C3C">
              <w:rPr>
                <w:color w:val="000000"/>
                <w:spacing w:val="-3"/>
                <w:sz w:val="22"/>
                <w:szCs w:val="22"/>
              </w:rPr>
              <w:t xml:space="preserve">Informācija par to, vai šīs </w:t>
            </w:r>
            <w:r w:rsidRPr="00BD3C3C">
              <w:rPr>
                <w:color w:val="000000"/>
                <w:sz w:val="22"/>
                <w:szCs w:val="22"/>
              </w:rPr>
              <w:t>tabulas B ailē minētās projekta vienības paredz stingrākas prasības nekā šīs tabulas A ailē minētās ES tiesību akta vienības.</w:t>
            </w:r>
          </w:p>
          <w:p w:rsidR="0052300B" w:rsidRPr="00BD3C3C" w:rsidRDefault="0052300B" w:rsidP="00ED0BAC">
            <w:pPr>
              <w:ind w:left="57"/>
              <w:jc w:val="both"/>
              <w:rPr>
                <w:color w:val="000000"/>
                <w:sz w:val="22"/>
                <w:szCs w:val="22"/>
              </w:rPr>
            </w:pPr>
            <w:r w:rsidRPr="00BD3C3C">
              <w:rPr>
                <w:color w:val="000000"/>
                <w:sz w:val="22"/>
                <w:szCs w:val="22"/>
              </w:rPr>
              <w:t>Ja projekts satur stingrākas prasības nekā attiecīgais ES tiesību akts, norāda pamatojumu un samērīgumu.</w:t>
            </w:r>
          </w:p>
          <w:p w:rsidR="0052300B" w:rsidRPr="00BD3C3C" w:rsidRDefault="0052300B" w:rsidP="00ED0BAC">
            <w:pPr>
              <w:ind w:left="57"/>
              <w:jc w:val="both"/>
              <w:rPr>
                <w:color w:val="000000"/>
                <w:spacing w:val="-3"/>
                <w:sz w:val="22"/>
                <w:szCs w:val="22"/>
              </w:rPr>
            </w:pPr>
            <w:r w:rsidRPr="00BD3C3C">
              <w:rPr>
                <w:color w:val="000000"/>
                <w:sz w:val="22"/>
                <w:szCs w:val="22"/>
              </w:rPr>
              <w:t xml:space="preserve">Norāda iespējamās alternatīvas (tajā skaitā alternatīvas, kas neparedz tiesiskā regulējuma izstrādi) – kādos gadījumos būtu iespējams </w:t>
            </w:r>
            <w:r w:rsidRPr="00BD3C3C">
              <w:rPr>
                <w:color w:val="000000"/>
                <w:sz w:val="22"/>
                <w:szCs w:val="22"/>
              </w:rPr>
              <w:lastRenderedPageBreak/>
              <w:t>izvairīties no stingrāku prasību</w:t>
            </w:r>
            <w:r w:rsidRPr="00BD3C3C">
              <w:rPr>
                <w:color w:val="000000"/>
                <w:spacing w:val="-3"/>
                <w:sz w:val="22"/>
                <w:szCs w:val="22"/>
              </w:rPr>
              <w:t xml:space="preserve"> noteikšanas, nekā paredzēts attiecīgajos ES tiesību aktos</w:t>
            </w:r>
          </w:p>
        </w:tc>
      </w:tr>
      <w:tr w:rsidR="00E2605D" w:rsidRPr="00014A36"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lastRenderedPageBreak/>
              <w:t>3.pants</w:t>
            </w:r>
          </w:p>
        </w:tc>
        <w:tc>
          <w:tcPr>
            <w:tcW w:w="2551" w:type="dxa"/>
            <w:gridSpan w:val="3"/>
            <w:tcBorders>
              <w:top w:val="double" w:sz="4" w:space="0" w:color="auto"/>
              <w:left w:val="double" w:sz="4" w:space="0" w:color="auto"/>
              <w:bottom w:val="double" w:sz="4" w:space="0" w:color="auto"/>
              <w:right w:val="double" w:sz="4" w:space="0" w:color="auto"/>
            </w:tcBorders>
          </w:tcPr>
          <w:p w:rsidR="0052300B" w:rsidRPr="00D32F16" w:rsidRDefault="0052300B" w:rsidP="00ED0BAC">
            <w:pPr>
              <w:ind w:left="57"/>
              <w:jc w:val="both"/>
              <w:rPr>
                <w:color w:val="000000"/>
                <w:sz w:val="28"/>
                <w:szCs w:val="28"/>
              </w:rPr>
            </w:pPr>
          </w:p>
        </w:tc>
        <w:tc>
          <w:tcPr>
            <w:tcW w:w="2634" w:type="dxa"/>
            <w:tcBorders>
              <w:top w:val="double" w:sz="4" w:space="0" w:color="auto"/>
              <w:left w:val="double" w:sz="4" w:space="0" w:color="auto"/>
              <w:bottom w:val="double" w:sz="4" w:space="0" w:color="auto"/>
              <w:right w:val="double" w:sz="4" w:space="0" w:color="auto"/>
            </w:tcBorders>
          </w:tcPr>
          <w:p w:rsidR="0052300B" w:rsidRPr="00D32F16" w:rsidRDefault="0052300B" w:rsidP="00ED0BAC">
            <w:pPr>
              <w:ind w:left="57"/>
              <w:jc w:val="both"/>
              <w:rPr>
                <w:color w:val="000000"/>
                <w:sz w:val="28"/>
                <w:szCs w:val="28"/>
              </w:rPr>
            </w:pPr>
          </w:p>
        </w:tc>
        <w:tc>
          <w:tcPr>
            <w:tcW w:w="2044" w:type="dxa"/>
            <w:tcBorders>
              <w:top w:val="double" w:sz="4" w:space="0" w:color="auto"/>
              <w:left w:val="double" w:sz="4" w:space="0" w:color="auto"/>
              <w:bottom w:val="double" w:sz="4" w:space="0" w:color="auto"/>
              <w:right w:val="double" w:sz="4" w:space="0" w:color="auto"/>
            </w:tcBorders>
          </w:tcPr>
          <w:p w:rsidR="0052300B" w:rsidRPr="00D32F16" w:rsidRDefault="0052300B" w:rsidP="00ED0BAC">
            <w:pPr>
              <w:ind w:left="57"/>
              <w:jc w:val="both"/>
              <w:rPr>
                <w:color w:val="000000"/>
                <w:sz w:val="28"/>
                <w:szCs w:val="28"/>
              </w:rPr>
            </w:pPr>
          </w:p>
        </w:tc>
      </w:tr>
      <w:tr w:rsidR="00E2605D" w:rsidRPr="001D1766"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tcPr>
          <w:p w:rsidR="0052300B" w:rsidRPr="00D32F16" w:rsidRDefault="0052300B" w:rsidP="002C7B18">
            <w:pPr>
              <w:ind w:left="57"/>
              <w:jc w:val="right"/>
              <w:rPr>
                <w:color w:val="000000"/>
                <w:sz w:val="28"/>
                <w:szCs w:val="28"/>
              </w:rPr>
            </w:pPr>
            <w:r w:rsidRPr="00D32F16">
              <w:rPr>
                <w:color w:val="000000"/>
                <w:sz w:val="28"/>
                <w:szCs w:val="28"/>
              </w:rPr>
              <w:t>4.punkts</w:t>
            </w:r>
          </w:p>
        </w:tc>
        <w:tc>
          <w:tcPr>
            <w:tcW w:w="2551" w:type="dxa"/>
            <w:gridSpan w:val="3"/>
            <w:tcBorders>
              <w:top w:val="double" w:sz="4" w:space="0" w:color="auto"/>
              <w:left w:val="double" w:sz="4" w:space="0" w:color="auto"/>
              <w:bottom w:val="double" w:sz="4" w:space="0" w:color="auto"/>
              <w:right w:val="double" w:sz="4" w:space="0" w:color="auto"/>
            </w:tcBorders>
          </w:tcPr>
          <w:p w:rsidR="0052300B" w:rsidRPr="00D32F16" w:rsidRDefault="0052300B" w:rsidP="004E55C2">
            <w:pPr>
              <w:ind w:left="57"/>
              <w:jc w:val="both"/>
              <w:rPr>
                <w:color w:val="000000"/>
                <w:sz w:val="28"/>
                <w:szCs w:val="28"/>
              </w:rPr>
            </w:pPr>
            <w:r w:rsidRPr="00D32F16">
              <w:rPr>
                <w:color w:val="000000"/>
                <w:sz w:val="28"/>
                <w:szCs w:val="28"/>
              </w:rPr>
              <w:t>Noteikumu</w:t>
            </w:r>
            <w:r w:rsidR="004E55C2" w:rsidRPr="00D32F16">
              <w:rPr>
                <w:sz w:val="28"/>
                <w:szCs w:val="28"/>
              </w:rPr>
              <w:t xml:space="preserve"> Nr. 788 </w:t>
            </w:r>
            <w:r w:rsidRPr="00D32F16">
              <w:rPr>
                <w:color w:val="000000"/>
                <w:sz w:val="28"/>
                <w:szCs w:val="28"/>
              </w:rPr>
              <w:t xml:space="preserve"> 8.</w:t>
            </w:r>
            <w:r w:rsidRPr="00D32F16">
              <w:rPr>
                <w:color w:val="000000"/>
                <w:sz w:val="28"/>
                <w:szCs w:val="28"/>
                <w:vertAlign w:val="superscript"/>
              </w:rPr>
              <w:t>1</w:t>
            </w:r>
            <w:r w:rsidR="004E55C2" w:rsidRPr="00D32F16">
              <w:rPr>
                <w:color w:val="000000"/>
                <w:sz w:val="28"/>
                <w:szCs w:val="28"/>
              </w:rPr>
              <w:t>.6. punkts;</w:t>
            </w:r>
          </w:p>
        </w:tc>
        <w:tc>
          <w:tcPr>
            <w:tcW w:w="2634" w:type="dxa"/>
            <w:tcBorders>
              <w:top w:val="double" w:sz="4" w:space="0" w:color="auto"/>
              <w:left w:val="double" w:sz="4" w:space="0" w:color="auto"/>
              <w:bottom w:val="double" w:sz="4" w:space="0" w:color="auto"/>
              <w:right w:val="double" w:sz="4" w:space="0" w:color="auto"/>
            </w:tcBorders>
          </w:tcPr>
          <w:p w:rsidR="0052300B" w:rsidRPr="00D32F16" w:rsidRDefault="0052300B" w:rsidP="00ED0BAC">
            <w:pPr>
              <w:rPr>
                <w:sz w:val="28"/>
                <w:szCs w:val="28"/>
              </w:rPr>
            </w:pPr>
            <w:r w:rsidRPr="00D32F16">
              <w:rPr>
                <w:sz w:val="28"/>
                <w:szCs w:val="28"/>
              </w:rPr>
              <w:t xml:space="preserve">Tiks pārņemts pilnībā.  </w:t>
            </w:r>
          </w:p>
        </w:tc>
        <w:tc>
          <w:tcPr>
            <w:tcW w:w="2044" w:type="dxa"/>
            <w:tcBorders>
              <w:top w:val="double" w:sz="4" w:space="0" w:color="auto"/>
              <w:left w:val="double" w:sz="4" w:space="0" w:color="auto"/>
              <w:bottom w:val="double" w:sz="4" w:space="0" w:color="auto"/>
              <w:right w:val="double" w:sz="4" w:space="0" w:color="auto"/>
            </w:tcBorders>
          </w:tcPr>
          <w:p w:rsidR="0052300B" w:rsidRPr="00D32F16" w:rsidRDefault="0052300B" w:rsidP="00ED0BAC">
            <w:pPr>
              <w:rPr>
                <w:sz w:val="28"/>
                <w:szCs w:val="28"/>
              </w:rPr>
            </w:pPr>
            <w:r w:rsidRPr="00D32F16">
              <w:rPr>
                <w:sz w:val="28"/>
                <w:szCs w:val="28"/>
              </w:rPr>
              <w:t>Neparedz stingrākas prasības.</w:t>
            </w:r>
          </w:p>
        </w:tc>
      </w:tr>
      <w:tr w:rsidR="00E2605D" w:rsidRPr="00014A36"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tcPr>
          <w:p w:rsidR="0052300B" w:rsidRPr="00D32F16" w:rsidRDefault="0052300B" w:rsidP="002C7B18">
            <w:pPr>
              <w:ind w:left="57"/>
              <w:jc w:val="right"/>
              <w:rPr>
                <w:color w:val="000000"/>
                <w:sz w:val="28"/>
                <w:szCs w:val="28"/>
              </w:rPr>
            </w:pPr>
            <w:r w:rsidRPr="00D32F16">
              <w:rPr>
                <w:color w:val="000000"/>
                <w:sz w:val="28"/>
                <w:szCs w:val="28"/>
              </w:rPr>
              <w:t>5.punkts</w:t>
            </w:r>
          </w:p>
        </w:tc>
        <w:tc>
          <w:tcPr>
            <w:tcW w:w="2551" w:type="dxa"/>
            <w:gridSpan w:val="3"/>
            <w:tcBorders>
              <w:top w:val="double" w:sz="4" w:space="0" w:color="auto"/>
              <w:left w:val="double" w:sz="4" w:space="0" w:color="auto"/>
              <w:bottom w:val="double" w:sz="4" w:space="0" w:color="auto"/>
              <w:right w:val="double" w:sz="4" w:space="0" w:color="auto"/>
            </w:tcBorders>
          </w:tcPr>
          <w:p w:rsidR="00557669" w:rsidRPr="00D32F16" w:rsidRDefault="00674E78" w:rsidP="004E55C2">
            <w:pPr>
              <w:spacing w:after="160" w:line="259" w:lineRule="auto"/>
              <w:rPr>
                <w:sz w:val="28"/>
                <w:szCs w:val="28"/>
              </w:rPr>
            </w:pPr>
            <w:r w:rsidRPr="00D32F16">
              <w:rPr>
                <w:color w:val="000000"/>
                <w:sz w:val="28"/>
                <w:szCs w:val="28"/>
              </w:rPr>
              <w:t xml:space="preserve">Noteikumu </w:t>
            </w:r>
            <w:r w:rsidR="004E55C2" w:rsidRPr="00D32F16">
              <w:rPr>
                <w:sz w:val="28"/>
                <w:szCs w:val="28"/>
              </w:rPr>
              <w:t xml:space="preserve">Nr. 788 </w:t>
            </w:r>
          </w:p>
          <w:p w:rsidR="0052300B" w:rsidRPr="00D32F16" w:rsidRDefault="004E55C2" w:rsidP="004E55C2">
            <w:pPr>
              <w:spacing w:after="160" w:line="259" w:lineRule="auto"/>
              <w:rPr>
                <w:color w:val="FF0000"/>
                <w:sz w:val="28"/>
                <w:szCs w:val="28"/>
              </w:rPr>
            </w:pPr>
            <w:r w:rsidRPr="00D32F16">
              <w:rPr>
                <w:sz w:val="28"/>
                <w:szCs w:val="28"/>
              </w:rPr>
              <w:t>8.</w:t>
            </w:r>
            <w:r w:rsidRPr="00D32F16">
              <w:rPr>
                <w:sz w:val="28"/>
                <w:szCs w:val="28"/>
                <w:vertAlign w:val="superscript"/>
              </w:rPr>
              <w:t xml:space="preserve">1 </w:t>
            </w:r>
            <w:r w:rsidRPr="00D32F16">
              <w:rPr>
                <w:sz w:val="28"/>
                <w:szCs w:val="28"/>
              </w:rPr>
              <w:t>1.7. apakšpunkts;</w:t>
            </w:r>
          </w:p>
        </w:tc>
        <w:tc>
          <w:tcPr>
            <w:tcW w:w="2634" w:type="dxa"/>
            <w:tcBorders>
              <w:top w:val="double" w:sz="4" w:space="0" w:color="auto"/>
              <w:left w:val="double" w:sz="4" w:space="0" w:color="auto"/>
              <w:bottom w:val="double" w:sz="4" w:space="0" w:color="auto"/>
              <w:right w:val="double" w:sz="4" w:space="0" w:color="auto"/>
            </w:tcBorders>
          </w:tcPr>
          <w:p w:rsidR="0052300B" w:rsidRPr="00D32F16" w:rsidRDefault="003E2A0C" w:rsidP="00ED0BAC">
            <w:pPr>
              <w:ind w:left="57"/>
              <w:jc w:val="both"/>
              <w:rPr>
                <w:color w:val="000000"/>
                <w:sz w:val="28"/>
                <w:szCs w:val="28"/>
              </w:rPr>
            </w:pPr>
            <w:r w:rsidRPr="00D32F16">
              <w:rPr>
                <w:sz w:val="28"/>
                <w:szCs w:val="28"/>
              </w:rPr>
              <w:t xml:space="preserve">Tiks pārņemts pilnībā.  </w:t>
            </w:r>
          </w:p>
        </w:tc>
        <w:tc>
          <w:tcPr>
            <w:tcW w:w="2044" w:type="dxa"/>
            <w:tcBorders>
              <w:top w:val="double" w:sz="4" w:space="0" w:color="auto"/>
              <w:left w:val="double" w:sz="4" w:space="0" w:color="auto"/>
              <w:bottom w:val="double" w:sz="4" w:space="0" w:color="auto"/>
              <w:right w:val="double" w:sz="4" w:space="0" w:color="auto"/>
            </w:tcBorders>
          </w:tcPr>
          <w:p w:rsidR="0052300B" w:rsidRPr="00D32F16" w:rsidRDefault="003E2A0C" w:rsidP="00ED0BAC">
            <w:pPr>
              <w:ind w:left="57"/>
              <w:jc w:val="both"/>
              <w:rPr>
                <w:color w:val="000000"/>
                <w:sz w:val="28"/>
                <w:szCs w:val="28"/>
              </w:rPr>
            </w:pPr>
            <w:r w:rsidRPr="00D32F16">
              <w:rPr>
                <w:sz w:val="28"/>
                <w:szCs w:val="28"/>
              </w:rPr>
              <w:t>Neparedz stingrākas prasības.</w:t>
            </w:r>
          </w:p>
        </w:tc>
      </w:tr>
      <w:tr w:rsidR="00E2605D" w:rsidRPr="00014A36" w:rsidTr="000A7212">
        <w:trPr>
          <w:trHeight w:val="178"/>
        </w:trPr>
        <w:tc>
          <w:tcPr>
            <w:tcW w:w="2093" w:type="dxa"/>
            <w:gridSpan w:val="2"/>
            <w:tcBorders>
              <w:top w:val="double" w:sz="4" w:space="0" w:color="auto"/>
              <w:left w:val="double" w:sz="4" w:space="0" w:color="auto"/>
              <w:right w:val="double" w:sz="4" w:space="0" w:color="auto"/>
            </w:tcBorders>
          </w:tcPr>
          <w:p w:rsidR="0052300B" w:rsidRPr="00D32F16" w:rsidRDefault="0052300B" w:rsidP="00ED0BAC">
            <w:pPr>
              <w:ind w:left="57"/>
              <w:jc w:val="both"/>
              <w:rPr>
                <w:color w:val="000000"/>
                <w:sz w:val="28"/>
                <w:szCs w:val="28"/>
              </w:rPr>
            </w:pPr>
            <w:r w:rsidRPr="00D32F16">
              <w:rPr>
                <w:color w:val="000000"/>
                <w:sz w:val="28"/>
                <w:szCs w:val="28"/>
              </w:rPr>
              <w:t>Kā ir izmantota ES tiesību aktā paredzētā rīcības brīvība dalībvalstij pārņemt vai ieviest noteiktas ES tiesību akta normas?</w:t>
            </w:r>
          </w:p>
          <w:p w:rsidR="0052300B" w:rsidRPr="00D32F16" w:rsidRDefault="0052300B" w:rsidP="00ED0BAC">
            <w:pPr>
              <w:ind w:left="57"/>
              <w:jc w:val="both"/>
              <w:rPr>
                <w:color w:val="000000"/>
                <w:sz w:val="28"/>
                <w:szCs w:val="28"/>
              </w:rPr>
            </w:pPr>
            <w:r w:rsidRPr="00D32F16">
              <w:rPr>
                <w:color w:val="000000"/>
                <w:sz w:val="28"/>
                <w:szCs w:val="28"/>
              </w:rPr>
              <w:t>Kādēļ?</w:t>
            </w:r>
          </w:p>
        </w:tc>
        <w:tc>
          <w:tcPr>
            <w:tcW w:w="2551" w:type="dxa"/>
            <w:gridSpan w:val="3"/>
            <w:tcBorders>
              <w:top w:val="double" w:sz="4" w:space="0" w:color="auto"/>
              <w:left w:val="double" w:sz="4" w:space="0" w:color="auto"/>
              <w:right w:val="double" w:sz="4" w:space="0" w:color="auto"/>
            </w:tcBorders>
          </w:tcPr>
          <w:p w:rsidR="0052300B" w:rsidRPr="00D32F16" w:rsidRDefault="0015366C" w:rsidP="00ED0BAC">
            <w:pPr>
              <w:ind w:left="57"/>
              <w:rPr>
                <w:color w:val="000000"/>
                <w:sz w:val="28"/>
                <w:szCs w:val="28"/>
              </w:rPr>
            </w:pPr>
            <w:r>
              <w:rPr>
                <w:color w:val="000000"/>
                <w:sz w:val="28"/>
                <w:szCs w:val="28"/>
              </w:rPr>
              <w:t>Noteikumu projekts šo jomu neskar.</w:t>
            </w:r>
          </w:p>
        </w:tc>
        <w:tc>
          <w:tcPr>
            <w:tcW w:w="2634" w:type="dxa"/>
            <w:tcBorders>
              <w:top w:val="double" w:sz="4" w:space="0" w:color="auto"/>
              <w:left w:val="double" w:sz="4" w:space="0" w:color="auto"/>
              <w:right w:val="double" w:sz="4" w:space="0" w:color="auto"/>
            </w:tcBorders>
          </w:tcPr>
          <w:p w:rsidR="0052300B" w:rsidRPr="00D32F16" w:rsidRDefault="0052300B" w:rsidP="00ED0BAC">
            <w:pPr>
              <w:ind w:left="57"/>
              <w:jc w:val="both"/>
              <w:rPr>
                <w:color w:val="000000"/>
                <w:sz w:val="28"/>
                <w:szCs w:val="28"/>
              </w:rPr>
            </w:pPr>
          </w:p>
        </w:tc>
        <w:tc>
          <w:tcPr>
            <w:tcW w:w="2044" w:type="dxa"/>
            <w:tcBorders>
              <w:top w:val="double" w:sz="4" w:space="0" w:color="auto"/>
              <w:left w:val="double" w:sz="4" w:space="0" w:color="auto"/>
              <w:right w:val="double" w:sz="4" w:space="0" w:color="auto"/>
            </w:tcBorders>
          </w:tcPr>
          <w:p w:rsidR="0052300B" w:rsidRPr="00D32F16" w:rsidRDefault="0052300B" w:rsidP="00ED0BAC">
            <w:pPr>
              <w:ind w:left="57"/>
              <w:jc w:val="both"/>
              <w:rPr>
                <w:color w:val="000000"/>
                <w:sz w:val="28"/>
                <w:szCs w:val="28"/>
              </w:rPr>
            </w:pPr>
          </w:p>
        </w:tc>
      </w:tr>
      <w:tr w:rsidR="00F204CA" w:rsidRPr="00014A36" w:rsidTr="000A7212">
        <w:trPr>
          <w:trHeight w:val="178"/>
        </w:trPr>
        <w:tc>
          <w:tcPr>
            <w:tcW w:w="2093" w:type="dxa"/>
            <w:gridSpan w:val="2"/>
            <w:tcBorders>
              <w:top w:val="double" w:sz="4" w:space="0" w:color="auto"/>
              <w:left w:val="double" w:sz="4" w:space="0" w:color="auto"/>
              <w:bottom w:val="double" w:sz="4" w:space="0" w:color="auto"/>
              <w:right w:val="double" w:sz="4" w:space="0" w:color="auto"/>
            </w:tcBorders>
          </w:tcPr>
          <w:p w:rsidR="0052300B" w:rsidRPr="00D32F16" w:rsidRDefault="0052300B" w:rsidP="00ED0BAC">
            <w:pPr>
              <w:ind w:left="57"/>
              <w:jc w:val="both"/>
              <w:rPr>
                <w:color w:val="000000"/>
                <w:sz w:val="28"/>
                <w:szCs w:val="28"/>
              </w:rPr>
            </w:pPr>
            <w:r w:rsidRPr="00D32F16">
              <w:rPr>
                <w:color w:val="000000"/>
                <w:sz w:val="28"/>
                <w:szCs w:val="28"/>
              </w:rPr>
              <w:t xml:space="preserve">Saistības sniegt paziņojumu ES institūcijām un ES dalībvalstīm atbilstoši normatīvajiem aktiem, kas regulē informācijas sniegšanu par </w:t>
            </w:r>
            <w:r w:rsidRPr="00D32F16">
              <w:rPr>
                <w:color w:val="000000"/>
                <w:sz w:val="28"/>
                <w:szCs w:val="28"/>
              </w:rPr>
              <w:lastRenderedPageBreak/>
              <w:t>tehnisko noteikumu, valsts atbalsta piešķiršanas un finanšu noteikumu (attiecībā uz monetāro politiku) projektiem</w:t>
            </w:r>
          </w:p>
        </w:tc>
        <w:tc>
          <w:tcPr>
            <w:tcW w:w="2551" w:type="dxa"/>
            <w:gridSpan w:val="3"/>
            <w:tcBorders>
              <w:top w:val="double" w:sz="4" w:space="0" w:color="auto"/>
              <w:left w:val="double" w:sz="4" w:space="0" w:color="auto"/>
              <w:bottom w:val="double" w:sz="4" w:space="0" w:color="auto"/>
              <w:right w:val="double" w:sz="4" w:space="0" w:color="auto"/>
            </w:tcBorders>
          </w:tcPr>
          <w:p w:rsidR="0052300B" w:rsidRPr="00D32F16" w:rsidRDefault="0015366C" w:rsidP="00ED0BAC">
            <w:pPr>
              <w:ind w:left="57"/>
              <w:rPr>
                <w:color w:val="000000"/>
                <w:sz w:val="28"/>
                <w:szCs w:val="28"/>
              </w:rPr>
            </w:pPr>
            <w:r>
              <w:rPr>
                <w:color w:val="000000"/>
                <w:sz w:val="28"/>
                <w:szCs w:val="28"/>
              </w:rPr>
              <w:lastRenderedPageBreak/>
              <w:t>Noteikumu projekts šo jomu neskar.</w:t>
            </w:r>
          </w:p>
        </w:tc>
        <w:tc>
          <w:tcPr>
            <w:tcW w:w="2634" w:type="dxa"/>
            <w:tcBorders>
              <w:top w:val="double" w:sz="4" w:space="0" w:color="auto"/>
              <w:left w:val="double" w:sz="4" w:space="0" w:color="auto"/>
              <w:bottom w:val="double" w:sz="4" w:space="0" w:color="auto"/>
              <w:right w:val="double" w:sz="4" w:space="0" w:color="auto"/>
            </w:tcBorders>
          </w:tcPr>
          <w:p w:rsidR="0052300B" w:rsidRPr="00D32F16" w:rsidRDefault="0052300B" w:rsidP="00ED0BAC">
            <w:pPr>
              <w:ind w:left="57"/>
              <w:jc w:val="both"/>
              <w:rPr>
                <w:color w:val="000000"/>
                <w:sz w:val="28"/>
                <w:szCs w:val="28"/>
              </w:rPr>
            </w:pPr>
          </w:p>
        </w:tc>
        <w:tc>
          <w:tcPr>
            <w:tcW w:w="2044" w:type="dxa"/>
            <w:tcBorders>
              <w:top w:val="double" w:sz="4" w:space="0" w:color="auto"/>
              <w:left w:val="double" w:sz="4" w:space="0" w:color="auto"/>
              <w:bottom w:val="double" w:sz="4" w:space="0" w:color="auto"/>
              <w:right w:val="double" w:sz="4" w:space="0" w:color="auto"/>
            </w:tcBorders>
          </w:tcPr>
          <w:p w:rsidR="0052300B" w:rsidRPr="00D32F16" w:rsidRDefault="0052300B" w:rsidP="00ED0BAC">
            <w:pPr>
              <w:ind w:left="57"/>
              <w:jc w:val="both"/>
              <w:rPr>
                <w:color w:val="000000"/>
                <w:sz w:val="28"/>
                <w:szCs w:val="28"/>
              </w:rPr>
            </w:pPr>
          </w:p>
        </w:tc>
      </w:tr>
      <w:tr w:rsidR="00E2605D" w:rsidRPr="00014A36" w:rsidTr="000A7212">
        <w:trPr>
          <w:trHeight w:val="168"/>
        </w:trPr>
        <w:tc>
          <w:tcPr>
            <w:tcW w:w="4644" w:type="dxa"/>
            <w:gridSpan w:val="5"/>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t>Cita informācija</w:t>
            </w:r>
          </w:p>
        </w:tc>
        <w:tc>
          <w:tcPr>
            <w:tcW w:w="4678" w:type="dxa"/>
            <w:gridSpan w:val="2"/>
            <w:tcBorders>
              <w:top w:val="double" w:sz="4" w:space="0" w:color="auto"/>
              <w:left w:val="double" w:sz="4" w:space="0" w:color="auto"/>
              <w:bottom w:val="double" w:sz="4" w:space="0" w:color="auto"/>
              <w:right w:val="double" w:sz="4" w:space="0" w:color="auto"/>
            </w:tcBorders>
            <w:hideMark/>
          </w:tcPr>
          <w:p w:rsidR="0052300B" w:rsidRPr="00D32F16" w:rsidRDefault="0052300B" w:rsidP="00ED0BAC">
            <w:pPr>
              <w:ind w:left="57"/>
              <w:jc w:val="both"/>
              <w:rPr>
                <w:color w:val="000000"/>
                <w:sz w:val="28"/>
                <w:szCs w:val="28"/>
              </w:rPr>
            </w:pPr>
            <w:r w:rsidRPr="00D32F16">
              <w:rPr>
                <w:color w:val="000000"/>
                <w:sz w:val="28"/>
                <w:szCs w:val="28"/>
              </w:rPr>
              <w:t>Nav.</w:t>
            </w:r>
          </w:p>
        </w:tc>
      </w:tr>
      <w:tr w:rsidR="00CD4454" w:rsidRPr="00014A36" w:rsidTr="003A58FB">
        <w:trPr>
          <w:trHeight w:val="168"/>
        </w:trPr>
        <w:tc>
          <w:tcPr>
            <w:tcW w:w="9322" w:type="dxa"/>
            <w:gridSpan w:val="7"/>
            <w:tcBorders>
              <w:top w:val="double" w:sz="4" w:space="0" w:color="auto"/>
              <w:left w:val="nil"/>
              <w:bottom w:val="double" w:sz="4" w:space="0" w:color="auto"/>
              <w:right w:val="nil"/>
            </w:tcBorders>
          </w:tcPr>
          <w:p w:rsidR="00CD4454" w:rsidRDefault="00CD4454" w:rsidP="00ED0BAC">
            <w:pPr>
              <w:ind w:left="57"/>
              <w:jc w:val="both"/>
              <w:rPr>
                <w:color w:val="000000"/>
              </w:rPr>
            </w:pPr>
          </w:p>
          <w:p w:rsidR="003A58FB" w:rsidRPr="00014A36" w:rsidRDefault="003A58FB" w:rsidP="00ED0BAC">
            <w:pPr>
              <w:ind w:left="57"/>
              <w:jc w:val="both"/>
              <w:rPr>
                <w:color w:val="000000"/>
              </w:rPr>
            </w:pPr>
          </w:p>
        </w:tc>
      </w:tr>
      <w:tr w:rsidR="00446603" w:rsidRPr="00130B97" w:rsidTr="003A58FB">
        <w:tc>
          <w:tcPr>
            <w:tcW w:w="9322" w:type="dxa"/>
            <w:gridSpan w:val="7"/>
            <w:tcBorders>
              <w:top w:val="double" w:sz="4" w:space="0" w:color="auto"/>
              <w:left w:val="double" w:sz="4" w:space="0" w:color="auto"/>
              <w:bottom w:val="double" w:sz="4" w:space="0" w:color="auto"/>
              <w:right w:val="double" w:sz="4" w:space="0" w:color="000000"/>
            </w:tcBorders>
          </w:tcPr>
          <w:p w:rsidR="00446603" w:rsidRPr="00130B97" w:rsidRDefault="00446603" w:rsidP="00A711FE">
            <w:pPr>
              <w:jc w:val="center"/>
              <w:rPr>
                <w:bCs/>
                <w:sz w:val="28"/>
                <w:szCs w:val="28"/>
              </w:rPr>
            </w:pPr>
            <w:r w:rsidRPr="00130B97">
              <w:rPr>
                <w:b/>
                <w:bCs/>
                <w:sz w:val="28"/>
                <w:szCs w:val="28"/>
              </w:rPr>
              <w:t>VI. Sabiedrības līdzdalība un komunikācijas aktivitātes</w:t>
            </w:r>
          </w:p>
        </w:tc>
      </w:tr>
      <w:tr w:rsidR="00446603" w:rsidRPr="00130B97" w:rsidTr="003A58FB">
        <w:tc>
          <w:tcPr>
            <w:tcW w:w="568" w:type="dxa"/>
            <w:tcBorders>
              <w:top w:val="double" w:sz="4" w:space="0" w:color="auto"/>
              <w:left w:val="double" w:sz="4" w:space="0" w:color="auto"/>
              <w:bottom w:val="double" w:sz="4" w:space="0" w:color="auto"/>
              <w:right w:val="double" w:sz="4" w:space="0" w:color="auto"/>
            </w:tcBorders>
          </w:tcPr>
          <w:p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2163" w:type="dxa"/>
            <w:gridSpan w:val="3"/>
            <w:tcBorders>
              <w:top w:val="double" w:sz="4" w:space="0" w:color="auto"/>
              <w:left w:val="double" w:sz="4" w:space="0" w:color="auto"/>
              <w:bottom w:val="double" w:sz="4" w:space="0" w:color="auto"/>
              <w:right w:val="double" w:sz="4" w:space="0" w:color="auto"/>
            </w:tcBorders>
          </w:tcPr>
          <w:p w:rsidR="00446603" w:rsidRPr="00130B97" w:rsidRDefault="00446603" w:rsidP="00A711FE">
            <w:pPr>
              <w:spacing w:before="100" w:beforeAutospacing="1" w:after="100" w:afterAutospacing="1"/>
              <w:rPr>
                <w:bCs/>
                <w:sz w:val="28"/>
                <w:szCs w:val="28"/>
              </w:rPr>
            </w:pPr>
            <w:r w:rsidRPr="00130B97">
              <w:rPr>
                <w:sz w:val="28"/>
                <w:szCs w:val="28"/>
              </w:rPr>
              <w:t>Plānotās sabiedrības līdzdalības un komunikācijas aktivitātes saistībā ar projektu</w:t>
            </w:r>
          </w:p>
        </w:tc>
        <w:tc>
          <w:tcPr>
            <w:tcW w:w="6591" w:type="dxa"/>
            <w:gridSpan w:val="3"/>
            <w:tcBorders>
              <w:top w:val="double" w:sz="4" w:space="0" w:color="auto"/>
              <w:left w:val="double" w:sz="4" w:space="0" w:color="auto"/>
              <w:bottom w:val="double" w:sz="4" w:space="0" w:color="auto"/>
              <w:right w:val="double" w:sz="4" w:space="0" w:color="000000"/>
            </w:tcBorders>
          </w:tcPr>
          <w:p w:rsidR="00446603" w:rsidRPr="00130B97" w:rsidRDefault="00E25975" w:rsidP="005268E7">
            <w:pPr>
              <w:jc w:val="both"/>
              <w:rPr>
                <w:sz w:val="28"/>
                <w:szCs w:val="28"/>
              </w:rPr>
            </w:pPr>
            <w:r w:rsidRPr="006A1B73">
              <w:rPr>
                <w:sz w:val="28"/>
                <w:szCs w:val="28"/>
              </w:rPr>
              <w:t xml:space="preserve">Informācija par noteikumu projektu </w:t>
            </w:r>
            <w:r w:rsidR="005268E7" w:rsidRPr="006A1B73">
              <w:rPr>
                <w:sz w:val="28"/>
                <w:szCs w:val="28"/>
              </w:rPr>
              <w:t>tiks</w:t>
            </w:r>
            <w:r w:rsidRPr="006A1B73">
              <w:rPr>
                <w:sz w:val="28"/>
                <w:szCs w:val="28"/>
              </w:rPr>
              <w:t xml:space="preserve"> </w:t>
            </w:r>
            <w:r w:rsidR="003952D8" w:rsidRPr="006A1B73">
              <w:rPr>
                <w:sz w:val="28"/>
                <w:szCs w:val="28"/>
              </w:rPr>
              <w:t>ievietot</w:t>
            </w:r>
            <w:r w:rsidRPr="006A1B73">
              <w:rPr>
                <w:sz w:val="28"/>
                <w:szCs w:val="28"/>
              </w:rPr>
              <w:t>a tīmekļa vietnē</w:t>
            </w:r>
            <w:r w:rsidR="005268E7" w:rsidRPr="006A1B73">
              <w:rPr>
                <w:sz w:val="28"/>
                <w:szCs w:val="28"/>
              </w:rPr>
              <w:t xml:space="preserve"> </w:t>
            </w:r>
            <w:hyperlink r:id="rId8" w:history="1">
              <w:r w:rsidR="005268E7" w:rsidRPr="006A1B73">
                <w:rPr>
                  <w:rStyle w:val="Hyperlink"/>
                  <w:sz w:val="28"/>
                  <w:szCs w:val="28"/>
                </w:rPr>
                <w:t>www.izm.gov.lv</w:t>
              </w:r>
            </w:hyperlink>
            <w:r w:rsidR="00CD395B" w:rsidRPr="002A55F0">
              <w:rPr>
                <w:rStyle w:val="Hyperlink"/>
                <w:color w:val="auto"/>
                <w:sz w:val="28"/>
                <w:szCs w:val="28"/>
                <w:u w:val="none"/>
              </w:rPr>
              <w:t xml:space="preserve"> pēc t</w:t>
            </w:r>
            <w:r w:rsidR="00CD395B">
              <w:rPr>
                <w:rStyle w:val="Hyperlink"/>
                <w:color w:val="auto"/>
                <w:sz w:val="28"/>
                <w:szCs w:val="28"/>
                <w:u w:val="none"/>
              </w:rPr>
              <w:t>ā izslu</w:t>
            </w:r>
            <w:r w:rsidR="00CD395B" w:rsidRPr="002A55F0">
              <w:rPr>
                <w:rStyle w:val="Hyperlink"/>
                <w:color w:val="auto"/>
                <w:sz w:val="28"/>
                <w:szCs w:val="28"/>
                <w:u w:val="none"/>
              </w:rPr>
              <w:t>dināš</w:t>
            </w:r>
            <w:r w:rsidR="00CD395B">
              <w:rPr>
                <w:rStyle w:val="Hyperlink"/>
                <w:color w:val="auto"/>
                <w:sz w:val="28"/>
                <w:szCs w:val="28"/>
                <w:u w:val="none"/>
              </w:rPr>
              <w:t>a</w:t>
            </w:r>
            <w:r w:rsidR="00CD395B" w:rsidRPr="002A55F0">
              <w:rPr>
                <w:rStyle w:val="Hyperlink"/>
                <w:color w:val="auto"/>
                <w:sz w:val="28"/>
                <w:szCs w:val="28"/>
                <w:u w:val="none"/>
              </w:rPr>
              <w:t>nas</w:t>
            </w:r>
            <w:r w:rsidR="00CD395B">
              <w:rPr>
                <w:rStyle w:val="Hyperlink"/>
                <w:color w:val="auto"/>
                <w:sz w:val="28"/>
                <w:szCs w:val="28"/>
                <w:u w:val="none"/>
              </w:rPr>
              <w:t xml:space="preserve"> Valsts sekretāru sanāksmē</w:t>
            </w:r>
            <w:r w:rsidR="00CD395B" w:rsidRPr="006A1B73">
              <w:rPr>
                <w:sz w:val="28"/>
                <w:szCs w:val="28"/>
              </w:rPr>
              <w:t>.</w:t>
            </w:r>
          </w:p>
        </w:tc>
      </w:tr>
      <w:tr w:rsidR="00446603" w:rsidRPr="00130B97" w:rsidTr="003A58FB">
        <w:tc>
          <w:tcPr>
            <w:tcW w:w="568" w:type="dxa"/>
            <w:tcBorders>
              <w:top w:val="double" w:sz="4" w:space="0" w:color="auto"/>
              <w:left w:val="double" w:sz="4" w:space="0" w:color="auto"/>
              <w:bottom w:val="double" w:sz="4" w:space="0" w:color="auto"/>
              <w:right w:val="double" w:sz="4" w:space="0" w:color="auto"/>
            </w:tcBorders>
          </w:tcPr>
          <w:p w:rsidR="00446603" w:rsidRPr="00130B97" w:rsidRDefault="00446603" w:rsidP="00A711FE">
            <w:pPr>
              <w:spacing w:before="100" w:beforeAutospacing="1" w:after="100" w:afterAutospacing="1"/>
              <w:rPr>
                <w:bCs/>
                <w:sz w:val="28"/>
                <w:szCs w:val="28"/>
              </w:rPr>
            </w:pPr>
            <w:r w:rsidRPr="00130B97">
              <w:rPr>
                <w:bCs/>
                <w:sz w:val="28"/>
                <w:szCs w:val="28"/>
              </w:rPr>
              <w:t>2.</w:t>
            </w:r>
          </w:p>
        </w:tc>
        <w:tc>
          <w:tcPr>
            <w:tcW w:w="2163" w:type="dxa"/>
            <w:gridSpan w:val="3"/>
            <w:tcBorders>
              <w:top w:val="double" w:sz="4" w:space="0" w:color="auto"/>
              <w:left w:val="double" w:sz="4" w:space="0" w:color="auto"/>
              <w:bottom w:val="double" w:sz="4" w:space="0" w:color="auto"/>
              <w:right w:val="double" w:sz="4" w:space="0" w:color="auto"/>
            </w:tcBorders>
          </w:tcPr>
          <w:p w:rsidR="00446603" w:rsidRPr="00130B97" w:rsidRDefault="00446603" w:rsidP="00A711FE">
            <w:pPr>
              <w:spacing w:before="100" w:beforeAutospacing="1" w:after="100" w:afterAutospacing="1"/>
              <w:rPr>
                <w:bCs/>
                <w:sz w:val="28"/>
                <w:szCs w:val="28"/>
              </w:rPr>
            </w:pPr>
            <w:r w:rsidRPr="00130B97">
              <w:rPr>
                <w:sz w:val="28"/>
                <w:szCs w:val="28"/>
              </w:rPr>
              <w:t>Sabiedrības līdzdalība projekta izstrādē</w:t>
            </w:r>
          </w:p>
        </w:tc>
        <w:tc>
          <w:tcPr>
            <w:tcW w:w="6591" w:type="dxa"/>
            <w:gridSpan w:val="3"/>
            <w:tcBorders>
              <w:top w:val="double" w:sz="4" w:space="0" w:color="auto"/>
              <w:left w:val="double" w:sz="4" w:space="0" w:color="auto"/>
              <w:bottom w:val="double" w:sz="4" w:space="0" w:color="000000"/>
              <w:right w:val="double" w:sz="4" w:space="0" w:color="000000"/>
            </w:tcBorders>
          </w:tcPr>
          <w:p w:rsidR="00E25975" w:rsidRPr="00BD48EA" w:rsidRDefault="00A3753D" w:rsidP="0051444D">
            <w:pPr>
              <w:jc w:val="both"/>
              <w:rPr>
                <w:bCs/>
                <w:sz w:val="28"/>
                <w:szCs w:val="28"/>
              </w:rPr>
            </w:pPr>
            <w:r>
              <w:rPr>
                <w:color w:val="000000"/>
                <w:sz w:val="28"/>
                <w:szCs w:val="28"/>
              </w:rPr>
              <w:t>Noteikumu projekts šo jomu neskar.</w:t>
            </w:r>
          </w:p>
        </w:tc>
      </w:tr>
      <w:tr w:rsidR="00446603" w:rsidRPr="00130B97" w:rsidTr="003A58FB">
        <w:tc>
          <w:tcPr>
            <w:tcW w:w="568" w:type="dxa"/>
            <w:tcBorders>
              <w:top w:val="double" w:sz="4" w:space="0" w:color="auto"/>
              <w:left w:val="double" w:sz="4" w:space="0" w:color="auto"/>
              <w:bottom w:val="double" w:sz="4" w:space="0" w:color="000000"/>
              <w:right w:val="double" w:sz="4" w:space="0" w:color="000000"/>
            </w:tcBorders>
          </w:tcPr>
          <w:p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2163" w:type="dxa"/>
            <w:gridSpan w:val="3"/>
            <w:tcBorders>
              <w:top w:val="double" w:sz="4" w:space="0" w:color="auto"/>
              <w:left w:val="double" w:sz="4" w:space="0" w:color="000000"/>
              <w:bottom w:val="double" w:sz="4" w:space="0" w:color="000000"/>
              <w:right w:val="double" w:sz="4" w:space="0" w:color="000000"/>
            </w:tcBorders>
          </w:tcPr>
          <w:p w:rsidR="00446603" w:rsidRPr="00130B97" w:rsidRDefault="00446603" w:rsidP="00A711FE">
            <w:pPr>
              <w:spacing w:before="100" w:beforeAutospacing="1" w:after="100" w:afterAutospacing="1"/>
              <w:rPr>
                <w:bCs/>
                <w:sz w:val="28"/>
                <w:szCs w:val="28"/>
              </w:rPr>
            </w:pPr>
            <w:r w:rsidRPr="00130B97">
              <w:rPr>
                <w:sz w:val="28"/>
                <w:szCs w:val="28"/>
              </w:rPr>
              <w:t>Sabiedrības līdzdalības rezultāti</w:t>
            </w:r>
          </w:p>
        </w:tc>
        <w:tc>
          <w:tcPr>
            <w:tcW w:w="6591" w:type="dxa"/>
            <w:gridSpan w:val="3"/>
            <w:tcBorders>
              <w:top w:val="double" w:sz="4" w:space="0" w:color="000000"/>
              <w:left w:val="double" w:sz="4" w:space="0" w:color="000000"/>
              <w:right w:val="double" w:sz="4" w:space="0" w:color="000000"/>
            </w:tcBorders>
          </w:tcPr>
          <w:p w:rsidR="0000524A" w:rsidRPr="00452B82" w:rsidRDefault="00A3753D" w:rsidP="003952D8">
            <w:pPr>
              <w:jc w:val="both"/>
              <w:rPr>
                <w:bCs/>
                <w:i/>
                <w:sz w:val="28"/>
                <w:szCs w:val="28"/>
              </w:rPr>
            </w:pPr>
            <w:r>
              <w:rPr>
                <w:color w:val="000000"/>
                <w:sz w:val="28"/>
                <w:szCs w:val="28"/>
              </w:rPr>
              <w:t>Noteikumu projekts šo jomu neskar.</w:t>
            </w:r>
          </w:p>
        </w:tc>
      </w:tr>
      <w:tr w:rsidR="00446603" w:rsidRPr="00130B97" w:rsidTr="003A58FB">
        <w:tc>
          <w:tcPr>
            <w:tcW w:w="568" w:type="dxa"/>
            <w:tcBorders>
              <w:top w:val="double" w:sz="4" w:space="0" w:color="000000"/>
              <w:left w:val="double" w:sz="4" w:space="0" w:color="000000"/>
              <w:bottom w:val="double" w:sz="4" w:space="0" w:color="000000"/>
            </w:tcBorders>
          </w:tcPr>
          <w:p w:rsidR="00446603" w:rsidRPr="00130B97" w:rsidRDefault="00446603" w:rsidP="00A711FE">
            <w:pPr>
              <w:spacing w:before="100" w:beforeAutospacing="1" w:after="100" w:afterAutospacing="1"/>
              <w:rPr>
                <w:bCs/>
                <w:sz w:val="28"/>
                <w:szCs w:val="28"/>
              </w:rPr>
            </w:pPr>
            <w:r w:rsidRPr="00130B97">
              <w:rPr>
                <w:bCs/>
                <w:sz w:val="28"/>
                <w:szCs w:val="28"/>
              </w:rPr>
              <w:t xml:space="preserve">4. </w:t>
            </w:r>
          </w:p>
        </w:tc>
        <w:tc>
          <w:tcPr>
            <w:tcW w:w="2163" w:type="dxa"/>
            <w:gridSpan w:val="3"/>
            <w:tcBorders>
              <w:top w:val="double" w:sz="4" w:space="0" w:color="000000"/>
              <w:bottom w:val="double" w:sz="4"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6591" w:type="dxa"/>
            <w:gridSpan w:val="3"/>
            <w:tcBorders>
              <w:top w:val="double" w:sz="4" w:space="0" w:color="000000"/>
              <w:bottom w:val="double" w:sz="4" w:space="0" w:color="000000"/>
              <w:right w:val="double" w:sz="4" w:space="0" w:color="000000"/>
            </w:tcBorders>
          </w:tcPr>
          <w:p w:rsidR="00446603" w:rsidRPr="006A1B73" w:rsidRDefault="00446603" w:rsidP="00A711FE">
            <w:pPr>
              <w:spacing w:before="100" w:beforeAutospacing="1" w:after="100" w:afterAutospacing="1"/>
              <w:jc w:val="both"/>
              <w:rPr>
                <w:sz w:val="28"/>
                <w:szCs w:val="28"/>
              </w:rPr>
            </w:pPr>
            <w:r w:rsidRPr="006A1B73">
              <w:rPr>
                <w:sz w:val="28"/>
                <w:szCs w:val="28"/>
              </w:rPr>
              <w:t>Nav.</w:t>
            </w:r>
          </w:p>
        </w:tc>
      </w:tr>
    </w:tbl>
    <w:p w:rsidR="00A06049" w:rsidRPr="00130B97" w:rsidRDefault="00A06049" w:rsidP="00446603">
      <w:pPr>
        <w:spacing w:before="100" w:beforeAutospacing="1" w:after="100" w:afterAutospacing="1"/>
        <w:rPr>
          <w:sz w:val="20"/>
          <w:szCs w:val="20"/>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4948"/>
        <w:gridCol w:w="3622"/>
      </w:tblGrid>
      <w:tr w:rsidR="00446603" w:rsidRPr="00130B97" w:rsidTr="00A711FE">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446603" w:rsidRPr="00130B97" w:rsidRDefault="00446603" w:rsidP="00FB5CBE">
            <w:pPr>
              <w:spacing w:before="100" w:beforeAutospacing="1" w:after="100" w:afterAutospacing="1"/>
              <w:jc w:val="center"/>
              <w:rPr>
                <w:b/>
                <w:bCs/>
                <w:sz w:val="28"/>
                <w:szCs w:val="28"/>
              </w:rPr>
            </w:pPr>
            <w:r w:rsidRPr="00130B97">
              <w:rPr>
                <w:b/>
                <w:bCs/>
                <w:sz w:val="28"/>
                <w:szCs w:val="28"/>
              </w:rPr>
              <w:t>VII. Tiesību akta projekta izpildes nodrošināšana un tās ietekme uz institūcijām</w:t>
            </w:r>
          </w:p>
        </w:tc>
      </w:tr>
      <w:tr w:rsidR="00446603" w:rsidRPr="00130B9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446603" w:rsidRPr="00130B97" w:rsidRDefault="00730A3D" w:rsidP="006D174E">
            <w:pPr>
              <w:spacing w:before="100" w:beforeAutospacing="1" w:after="100" w:afterAutospacing="1"/>
              <w:jc w:val="both"/>
              <w:rPr>
                <w:sz w:val="28"/>
                <w:szCs w:val="28"/>
              </w:rPr>
            </w:pPr>
            <w:r>
              <w:rPr>
                <w:sz w:val="28"/>
                <w:szCs w:val="28"/>
              </w:rPr>
              <w:t>A</w:t>
            </w:r>
            <w:r w:rsidR="00A74198" w:rsidRPr="00130B97">
              <w:rPr>
                <w:sz w:val="28"/>
                <w:szCs w:val="28"/>
              </w:rPr>
              <w:t>ugstākās izglītības iestādes</w:t>
            </w:r>
            <w:r w:rsidR="00C6627F">
              <w:rPr>
                <w:sz w:val="28"/>
                <w:szCs w:val="28"/>
              </w:rPr>
              <w:t xml:space="preserve">, </w:t>
            </w:r>
            <w:r w:rsidR="00C6627F" w:rsidRPr="00C6627F">
              <w:rPr>
                <w:sz w:val="28"/>
                <w:szCs w:val="28"/>
              </w:rPr>
              <w:t>p</w:t>
            </w:r>
            <w:r w:rsidR="008364B2" w:rsidRPr="00C6627F">
              <w:rPr>
                <w:sz w:val="28"/>
                <w:szCs w:val="28"/>
              </w:rPr>
              <w:t>rofesionālās ievirzes sporta izglītības iestādes</w:t>
            </w:r>
            <w:r w:rsidR="00446603" w:rsidRPr="00130B97">
              <w:rPr>
                <w:sz w:val="28"/>
                <w:szCs w:val="28"/>
              </w:rPr>
              <w:t>.</w:t>
            </w:r>
          </w:p>
        </w:tc>
      </w:tr>
      <w:tr w:rsidR="00446603" w:rsidRPr="00130B9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Projekta izpildes ietekme uz pārvaldes funkcijām un institucionālo struktūru.</w:t>
            </w:r>
          </w:p>
          <w:p w:rsidR="00446603" w:rsidRPr="00130B97" w:rsidRDefault="00446603" w:rsidP="00A711FE">
            <w:pPr>
              <w:spacing w:before="100" w:beforeAutospacing="1" w:after="100" w:afterAutospacing="1"/>
              <w:rPr>
                <w:sz w:val="28"/>
                <w:szCs w:val="28"/>
              </w:rPr>
            </w:pPr>
            <w:r w:rsidRPr="00130B97">
              <w:rPr>
                <w:sz w:val="28"/>
                <w:szCs w:val="28"/>
              </w:rPr>
              <w:t xml:space="preserve">Jaunu institūciju izveide, esošu institūciju likvidācija vai reorganizācija, to ietekme uz institūcijas cilvēkresursiem </w:t>
            </w:r>
          </w:p>
        </w:tc>
        <w:tc>
          <w:tcPr>
            <w:tcW w:w="0" w:type="auto"/>
            <w:tcBorders>
              <w:top w:val="outset" w:sz="6" w:space="0" w:color="000000"/>
              <w:left w:val="outset" w:sz="6" w:space="0" w:color="000000"/>
              <w:bottom w:val="outset" w:sz="6" w:space="0" w:color="000000"/>
              <w:right w:val="outset" w:sz="6" w:space="0" w:color="000000"/>
            </w:tcBorders>
          </w:tcPr>
          <w:p w:rsidR="005268E7" w:rsidRPr="00130B97" w:rsidRDefault="00832D80" w:rsidP="00A711FE">
            <w:pPr>
              <w:jc w:val="both"/>
              <w:rPr>
                <w:sz w:val="28"/>
                <w:szCs w:val="28"/>
              </w:rPr>
            </w:pPr>
            <w:r>
              <w:rPr>
                <w:sz w:val="28"/>
                <w:szCs w:val="28"/>
              </w:rPr>
              <w:t>Noteikumu projekts šo jomu neskar.</w:t>
            </w:r>
          </w:p>
        </w:tc>
      </w:tr>
      <w:tr w:rsidR="00446603" w:rsidRPr="00130B97" w:rsidTr="00A711FE">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446603" w:rsidRPr="00130B97" w:rsidRDefault="00446603" w:rsidP="00A711FE">
            <w:pPr>
              <w:spacing w:before="100" w:beforeAutospacing="1" w:after="100" w:afterAutospacing="1"/>
              <w:jc w:val="both"/>
              <w:rPr>
                <w:sz w:val="28"/>
                <w:szCs w:val="28"/>
              </w:rPr>
            </w:pPr>
            <w:r w:rsidRPr="00130B97">
              <w:rPr>
                <w:sz w:val="28"/>
                <w:szCs w:val="28"/>
              </w:rPr>
              <w:t>Nav.</w:t>
            </w:r>
          </w:p>
        </w:tc>
      </w:tr>
    </w:tbl>
    <w:p w:rsidR="0095254D" w:rsidRDefault="0095254D" w:rsidP="00446603">
      <w:pPr>
        <w:tabs>
          <w:tab w:val="left" w:pos="7230"/>
        </w:tabs>
        <w:jc w:val="both"/>
        <w:rPr>
          <w:sz w:val="28"/>
          <w:szCs w:val="28"/>
        </w:rPr>
      </w:pPr>
    </w:p>
    <w:p w:rsidR="00832D80" w:rsidRPr="00832D80" w:rsidRDefault="008364B2" w:rsidP="00832D80">
      <w:pPr>
        <w:tabs>
          <w:tab w:val="left" w:pos="7230"/>
        </w:tabs>
        <w:jc w:val="center"/>
        <w:rPr>
          <w:i/>
          <w:sz w:val="28"/>
          <w:szCs w:val="28"/>
        </w:rPr>
      </w:pPr>
      <w:r>
        <w:rPr>
          <w:i/>
          <w:sz w:val="28"/>
          <w:szCs w:val="28"/>
        </w:rPr>
        <w:t>Anotācijas III</w:t>
      </w:r>
      <w:r w:rsidR="00832D80" w:rsidRPr="00832D80">
        <w:rPr>
          <w:i/>
          <w:sz w:val="28"/>
          <w:szCs w:val="28"/>
        </w:rPr>
        <w:t xml:space="preserve"> </w:t>
      </w:r>
      <w:r w:rsidR="00832D80">
        <w:rPr>
          <w:i/>
          <w:sz w:val="28"/>
          <w:szCs w:val="28"/>
        </w:rPr>
        <w:t>s</w:t>
      </w:r>
      <w:r w:rsidR="00832D80" w:rsidRPr="00832D80">
        <w:rPr>
          <w:i/>
          <w:sz w:val="28"/>
          <w:szCs w:val="28"/>
        </w:rPr>
        <w:t>adaļa – noteikumu projekts šo jomu neskar.</w:t>
      </w:r>
    </w:p>
    <w:p w:rsidR="00663EA7" w:rsidRPr="00130B97" w:rsidRDefault="00663EA7" w:rsidP="00446603">
      <w:pPr>
        <w:tabs>
          <w:tab w:val="left" w:pos="7230"/>
        </w:tabs>
        <w:jc w:val="both"/>
        <w:rPr>
          <w:sz w:val="28"/>
          <w:szCs w:val="28"/>
        </w:rPr>
      </w:pPr>
    </w:p>
    <w:p w:rsidR="0095254D" w:rsidRPr="00832D80" w:rsidRDefault="00446603" w:rsidP="00832D80">
      <w:pPr>
        <w:tabs>
          <w:tab w:val="left" w:pos="7230"/>
        </w:tabs>
        <w:jc w:val="both"/>
        <w:rPr>
          <w:sz w:val="28"/>
          <w:szCs w:val="28"/>
        </w:rPr>
      </w:pPr>
      <w:r w:rsidRPr="00130B97">
        <w:rPr>
          <w:sz w:val="28"/>
          <w:szCs w:val="28"/>
        </w:rPr>
        <w:t>Izglītī</w:t>
      </w:r>
      <w:r w:rsidR="000517F5">
        <w:rPr>
          <w:sz w:val="28"/>
          <w:szCs w:val="28"/>
        </w:rPr>
        <w:t>bas un zinātnes ministr</w:t>
      </w:r>
      <w:r w:rsidR="00F50F17">
        <w:rPr>
          <w:sz w:val="28"/>
          <w:szCs w:val="28"/>
        </w:rPr>
        <w:t>s</w:t>
      </w:r>
      <w:r w:rsidR="000517F5">
        <w:rPr>
          <w:sz w:val="28"/>
          <w:szCs w:val="28"/>
        </w:rPr>
        <w:tab/>
        <w:t>K.</w:t>
      </w:r>
      <w:r w:rsidR="00766A5D">
        <w:rPr>
          <w:sz w:val="28"/>
          <w:szCs w:val="28"/>
        </w:rPr>
        <w:t xml:space="preserve"> </w:t>
      </w:r>
      <w:r w:rsidR="000517F5">
        <w:rPr>
          <w:sz w:val="28"/>
          <w:szCs w:val="28"/>
        </w:rPr>
        <w:t>Šadurskis</w:t>
      </w:r>
    </w:p>
    <w:p w:rsidR="007D40EC" w:rsidRPr="00130B97" w:rsidRDefault="007D40EC" w:rsidP="00446603">
      <w:pPr>
        <w:pStyle w:val="Title"/>
        <w:jc w:val="both"/>
        <w:rPr>
          <w:b w:val="0"/>
          <w:sz w:val="28"/>
          <w:szCs w:val="28"/>
          <w:lang w:val="lv-LV"/>
        </w:rPr>
      </w:pPr>
    </w:p>
    <w:p w:rsidR="00446603" w:rsidRPr="00130B97" w:rsidRDefault="00446603" w:rsidP="00446603">
      <w:pPr>
        <w:pStyle w:val="Title"/>
        <w:jc w:val="both"/>
        <w:rPr>
          <w:b w:val="0"/>
          <w:sz w:val="28"/>
          <w:szCs w:val="28"/>
          <w:lang w:val="lv-LV"/>
        </w:rPr>
      </w:pPr>
      <w:r w:rsidRPr="00130B97">
        <w:rPr>
          <w:b w:val="0"/>
          <w:sz w:val="28"/>
          <w:szCs w:val="28"/>
          <w:lang w:val="lv-LV"/>
        </w:rPr>
        <w:t>Vīza:</w:t>
      </w:r>
    </w:p>
    <w:p w:rsidR="00C4424E" w:rsidRPr="00130B97" w:rsidRDefault="00606CBF" w:rsidP="00606CBF">
      <w:pPr>
        <w:pStyle w:val="Title"/>
        <w:tabs>
          <w:tab w:val="left" w:pos="7230"/>
        </w:tabs>
        <w:jc w:val="both"/>
        <w:rPr>
          <w:b w:val="0"/>
          <w:sz w:val="28"/>
          <w:szCs w:val="28"/>
          <w:lang w:val="lv-LV"/>
        </w:rPr>
      </w:pPr>
      <w:r w:rsidRPr="00130B97">
        <w:rPr>
          <w:b w:val="0"/>
          <w:sz w:val="28"/>
          <w:szCs w:val="28"/>
          <w:lang w:val="lv-LV"/>
        </w:rPr>
        <w:t>Valsts sekretār</w:t>
      </w:r>
      <w:r w:rsidR="00277161" w:rsidRPr="00130B97">
        <w:rPr>
          <w:b w:val="0"/>
          <w:sz w:val="28"/>
          <w:szCs w:val="28"/>
          <w:lang w:val="lv-LV"/>
        </w:rPr>
        <w:t>e</w:t>
      </w:r>
      <w:r w:rsidR="00277161" w:rsidRPr="00130B97">
        <w:rPr>
          <w:b w:val="0"/>
          <w:sz w:val="28"/>
          <w:szCs w:val="28"/>
          <w:lang w:val="lv-LV"/>
        </w:rPr>
        <w:tab/>
        <w:t>L.</w:t>
      </w:r>
      <w:r w:rsidR="00766A5D">
        <w:rPr>
          <w:b w:val="0"/>
          <w:sz w:val="28"/>
          <w:szCs w:val="28"/>
          <w:lang w:val="lv-LV"/>
        </w:rPr>
        <w:t xml:space="preserve"> </w:t>
      </w:r>
      <w:r w:rsidR="00277161" w:rsidRPr="00130B97">
        <w:rPr>
          <w:b w:val="0"/>
          <w:sz w:val="28"/>
          <w:szCs w:val="28"/>
          <w:lang w:val="lv-LV"/>
        </w:rPr>
        <w:t>Lejiņa</w:t>
      </w:r>
    </w:p>
    <w:p w:rsidR="00976693" w:rsidRDefault="00976693" w:rsidP="00446603">
      <w:pPr>
        <w:jc w:val="both"/>
        <w:rPr>
          <w:color w:val="000000"/>
          <w:sz w:val="28"/>
          <w:szCs w:val="28"/>
        </w:rPr>
      </w:pPr>
    </w:p>
    <w:p w:rsidR="004D0CC9" w:rsidRDefault="00CB1DE2" w:rsidP="00446603">
      <w:pPr>
        <w:jc w:val="both"/>
        <w:rPr>
          <w:color w:val="000000"/>
          <w:sz w:val="22"/>
          <w:szCs w:val="22"/>
        </w:rPr>
      </w:pPr>
      <w:r>
        <w:rPr>
          <w:color w:val="000000"/>
          <w:sz w:val="22"/>
          <w:szCs w:val="22"/>
        </w:rPr>
        <w:t>29</w:t>
      </w:r>
      <w:bookmarkStart w:id="0" w:name="_GoBack"/>
      <w:bookmarkEnd w:id="0"/>
      <w:r w:rsidR="001F0E24">
        <w:rPr>
          <w:color w:val="000000"/>
          <w:sz w:val="22"/>
          <w:szCs w:val="22"/>
        </w:rPr>
        <w:t>.03</w:t>
      </w:r>
      <w:r w:rsidR="00832D80">
        <w:rPr>
          <w:color w:val="000000"/>
          <w:sz w:val="22"/>
          <w:szCs w:val="22"/>
        </w:rPr>
        <w:t>.2017</w:t>
      </w:r>
    </w:p>
    <w:p w:rsidR="00F27D4E" w:rsidRPr="00690452" w:rsidRDefault="00832D80" w:rsidP="00446603">
      <w:pPr>
        <w:jc w:val="both"/>
        <w:rPr>
          <w:color w:val="000000"/>
          <w:sz w:val="22"/>
          <w:szCs w:val="22"/>
        </w:rPr>
      </w:pPr>
      <w:r>
        <w:rPr>
          <w:color w:val="000000"/>
          <w:sz w:val="22"/>
          <w:szCs w:val="22"/>
        </w:rPr>
        <w:t>11</w:t>
      </w:r>
      <w:r w:rsidR="005C1419">
        <w:rPr>
          <w:color w:val="000000"/>
          <w:sz w:val="22"/>
          <w:szCs w:val="22"/>
        </w:rPr>
        <w:t>:13</w:t>
      </w:r>
    </w:p>
    <w:p w:rsidR="00F27D4E" w:rsidRDefault="00CB1DE2" w:rsidP="00E71E31">
      <w:pPr>
        <w:jc w:val="both"/>
        <w:rPr>
          <w:color w:val="000000"/>
          <w:sz w:val="22"/>
          <w:szCs w:val="22"/>
        </w:rPr>
      </w:pPr>
      <w:r>
        <w:rPr>
          <w:color w:val="000000"/>
          <w:sz w:val="22"/>
          <w:szCs w:val="22"/>
        </w:rPr>
        <w:t>3248</w:t>
      </w:r>
    </w:p>
    <w:p w:rsidR="00DF0D29" w:rsidRDefault="00E95781" w:rsidP="00E95781">
      <w:pPr>
        <w:spacing w:line="276" w:lineRule="auto"/>
        <w:ind w:right="-766"/>
        <w:jc w:val="both"/>
        <w:rPr>
          <w:sz w:val="20"/>
          <w:szCs w:val="20"/>
        </w:rPr>
      </w:pPr>
      <w:r>
        <w:rPr>
          <w:sz w:val="20"/>
          <w:szCs w:val="20"/>
        </w:rPr>
        <w:t>N.</w:t>
      </w:r>
      <w:r w:rsidR="00832D80">
        <w:rPr>
          <w:sz w:val="20"/>
          <w:szCs w:val="20"/>
        </w:rPr>
        <w:t xml:space="preserve"> </w:t>
      </w:r>
      <w:r w:rsidR="008835A5">
        <w:rPr>
          <w:sz w:val="20"/>
          <w:szCs w:val="20"/>
        </w:rPr>
        <w:t>Mazure</w:t>
      </w:r>
      <w:r w:rsidR="00DF0D29">
        <w:rPr>
          <w:sz w:val="20"/>
          <w:szCs w:val="20"/>
        </w:rPr>
        <w:t xml:space="preserve">, </w:t>
      </w:r>
      <w:r>
        <w:rPr>
          <w:sz w:val="20"/>
          <w:szCs w:val="20"/>
        </w:rPr>
        <w:t>67047740</w:t>
      </w:r>
      <w:r w:rsidR="00DF0D29">
        <w:rPr>
          <w:sz w:val="20"/>
          <w:szCs w:val="20"/>
        </w:rPr>
        <w:t>;</w:t>
      </w:r>
    </w:p>
    <w:p w:rsidR="00E95781" w:rsidRDefault="004B249E" w:rsidP="00E95781">
      <w:pPr>
        <w:spacing w:line="276" w:lineRule="auto"/>
        <w:ind w:right="-766"/>
        <w:jc w:val="both"/>
        <w:rPr>
          <w:sz w:val="20"/>
          <w:szCs w:val="20"/>
        </w:rPr>
      </w:pPr>
      <w:hyperlink r:id="rId9" w:history="1">
        <w:r w:rsidR="00E95781" w:rsidRPr="00BF1269">
          <w:rPr>
            <w:rStyle w:val="Hyperlink"/>
            <w:sz w:val="20"/>
            <w:szCs w:val="20"/>
          </w:rPr>
          <w:t>Nadezda.Mazure@izm.gov.lv</w:t>
        </w:r>
      </w:hyperlink>
      <w:r w:rsidR="00E95781">
        <w:rPr>
          <w:sz w:val="20"/>
          <w:szCs w:val="20"/>
        </w:rPr>
        <w:t xml:space="preserve"> </w:t>
      </w:r>
    </w:p>
    <w:p w:rsidR="00DF0D29" w:rsidRPr="00DF0D29" w:rsidRDefault="008835A5" w:rsidP="00DF0D29">
      <w:pPr>
        <w:spacing w:line="276" w:lineRule="auto"/>
        <w:ind w:right="-766"/>
        <w:jc w:val="both"/>
        <w:rPr>
          <w:sz w:val="20"/>
          <w:szCs w:val="20"/>
        </w:rPr>
      </w:pPr>
      <w:r>
        <w:rPr>
          <w:sz w:val="20"/>
          <w:szCs w:val="20"/>
        </w:rPr>
        <w:t>A. Mičule</w:t>
      </w:r>
      <w:r w:rsidR="00DF0D29">
        <w:rPr>
          <w:sz w:val="20"/>
          <w:szCs w:val="20"/>
        </w:rPr>
        <w:t xml:space="preserve">, </w:t>
      </w:r>
      <w:r w:rsidR="00DF0D29" w:rsidRPr="00DF0D29">
        <w:rPr>
          <w:sz w:val="20"/>
          <w:szCs w:val="20"/>
        </w:rPr>
        <w:t>67047928;</w:t>
      </w:r>
    </w:p>
    <w:p w:rsidR="00E95781" w:rsidRDefault="004B249E">
      <w:pPr>
        <w:spacing w:line="276" w:lineRule="auto"/>
        <w:ind w:right="-766"/>
        <w:jc w:val="both"/>
        <w:rPr>
          <w:rStyle w:val="Hyperlink"/>
          <w:sz w:val="20"/>
          <w:szCs w:val="20"/>
        </w:rPr>
      </w:pPr>
      <w:hyperlink r:id="rId10" w:history="1">
        <w:r w:rsidR="00DF0D29" w:rsidRPr="00DF0D29">
          <w:rPr>
            <w:rStyle w:val="Hyperlink"/>
            <w:sz w:val="20"/>
            <w:szCs w:val="20"/>
          </w:rPr>
          <w:t>Anda.Micule@izm.gov.lv</w:t>
        </w:r>
      </w:hyperlink>
    </w:p>
    <w:p w:rsidR="002C2C78" w:rsidRDefault="002C2C78">
      <w:pPr>
        <w:spacing w:line="276" w:lineRule="auto"/>
        <w:ind w:right="-766"/>
        <w:jc w:val="both"/>
        <w:rPr>
          <w:color w:val="000000"/>
          <w:sz w:val="20"/>
          <w:szCs w:val="20"/>
        </w:rPr>
      </w:pPr>
      <w:r w:rsidRPr="002C2C78">
        <w:rPr>
          <w:rStyle w:val="Hyperlink"/>
          <w:color w:val="auto"/>
          <w:sz w:val="20"/>
          <w:szCs w:val="20"/>
          <w:u w:val="none"/>
        </w:rPr>
        <w:t>I.</w:t>
      </w:r>
      <w:r>
        <w:rPr>
          <w:rStyle w:val="Hyperlink"/>
          <w:color w:val="auto"/>
          <w:sz w:val="20"/>
          <w:szCs w:val="20"/>
          <w:u w:val="none"/>
        </w:rPr>
        <w:t xml:space="preserve"> Grava, </w:t>
      </w:r>
      <w:r>
        <w:rPr>
          <w:sz w:val="20"/>
          <w:szCs w:val="20"/>
        </w:rPr>
        <w:t>67047</w:t>
      </w:r>
      <w:r w:rsidRPr="002C2C78">
        <w:rPr>
          <w:color w:val="000000"/>
          <w:sz w:val="20"/>
          <w:szCs w:val="20"/>
        </w:rPr>
        <w:t>7972</w:t>
      </w:r>
      <w:r>
        <w:rPr>
          <w:color w:val="000000"/>
          <w:sz w:val="20"/>
          <w:szCs w:val="20"/>
        </w:rPr>
        <w:t>;</w:t>
      </w:r>
    </w:p>
    <w:p w:rsidR="002C2C78" w:rsidRPr="002C2C78" w:rsidRDefault="004B249E">
      <w:pPr>
        <w:spacing w:line="276" w:lineRule="auto"/>
        <w:ind w:right="-766"/>
        <w:jc w:val="both"/>
        <w:rPr>
          <w:sz w:val="20"/>
          <w:szCs w:val="20"/>
        </w:rPr>
      </w:pPr>
      <w:hyperlink r:id="rId11" w:history="1">
        <w:r w:rsidR="002C2C78" w:rsidRPr="00765D3C">
          <w:rPr>
            <w:rStyle w:val="Hyperlink"/>
            <w:sz w:val="20"/>
            <w:szCs w:val="20"/>
          </w:rPr>
          <w:t>Ieva.grava@izm.gov.lv</w:t>
        </w:r>
      </w:hyperlink>
      <w:r w:rsidR="002C2C78">
        <w:rPr>
          <w:color w:val="000000"/>
          <w:sz w:val="20"/>
          <w:szCs w:val="20"/>
        </w:rPr>
        <w:t xml:space="preserve"> </w:t>
      </w:r>
    </w:p>
    <w:sectPr w:rsidR="002C2C78" w:rsidRPr="002C2C78" w:rsidSect="00D61C8F">
      <w:headerReference w:type="even" r:id="rId12"/>
      <w:headerReference w:type="default" r:id="rId13"/>
      <w:footerReference w:type="even" r:id="rId14"/>
      <w:footerReference w:type="default" r:id="rId15"/>
      <w:headerReference w:type="first" r:id="rId16"/>
      <w:footerReference w:type="first" r:id="rId17"/>
      <w:pgSz w:w="11906" w:h="16838" w:code="9"/>
      <w:pgMar w:top="1134" w:right="127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9E" w:rsidRDefault="004B249E" w:rsidP="009B36E3">
      <w:r>
        <w:separator/>
      </w:r>
    </w:p>
  </w:endnote>
  <w:endnote w:type="continuationSeparator" w:id="0">
    <w:p w:rsidR="004B249E" w:rsidRDefault="004B249E" w:rsidP="009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D7" w:rsidRDefault="00F67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E" w:rsidRPr="009B36E3" w:rsidRDefault="00A711FE" w:rsidP="009B36E3">
    <w:pPr>
      <w:pStyle w:val="Footer"/>
      <w:jc w:val="both"/>
      <w:rPr>
        <w:sz w:val="20"/>
        <w:szCs w:val="20"/>
      </w:rPr>
    </w:pPr>
    <w:r w:rsidRPr="00B14729">
      <w:rPr>
        <w:sz w:val="20"/>
        <w:szCs w:val="20"/>
      </w:rPr>
      <w:t>I</w:t>
    </w:r>
    <w:r>
      <w:rPr>
        <w:sz w:val="20"/>
        <w:szCs w:val="20"/>
      </w:rPr>
      <w:t>ZMAnot_</w:t>
    </w:r>
    <w:r w:rsidR="00CD6028">
      <w:rPr>
        <w:sz w:val="20"/>
        <w:szCs w:val="20"/>
      </w:rPr>
      <w:t>29</w:t>
    </w:r>
    <w:r w:rsidR="008E7C85">
      <w:rPr>
        <w:sz w:val="20"/>
        <w:szCs w:val="20"/>
      </w:rPr>
      <w:t>03</w:t>
    </w:r>
    <w:r w:rsidR="00C27A85">
      <w:rPr>
        <w:sz w:val="20"/>
        <w:szCs w:val="20"/>
      </w:rPr>
      <w:t>17</w:t>
    </w:r>
    <w:r>
      <w:rPr>
        <w:sz w:val="20"/>
        <w:szCs w:val="20"/>
      </w:rPr>
      <w:t>_Groz788</w:t>
    </w:r>
    <w:r w:rsidRPr="00B14729">
      <w:rPr>
        <w:sz w:val="20"/>
        <w:szCs w:val="20"/>
      </w:rPr>
      <w:t>;</w:t>
    </w:r>
    <w:r w:rsidRPr="00BD29EA">
      <w:rPr>
        <w:sz w:val="20"/>
        <w:szCs w:val="20"/>
      </w:rPr>
      <w:t xml:space="preserve"> </w:t>
    </w:r>
    <w:r w:rsidRPr="009B36E3">
      <w:rPr>
        <w:sz w:val="20"/>
        <w:szCs w:val="20"/>
      </w:rPr>
      <w:t>Ministru kabineta noteikumu projekt</w:t>
    </w:r>
    <w:r>
      <w:rPr>
        <w:sz w:val="20"/>
        <w:szCs w:val="20"/>
      </w:rPr>
      <w: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E" w:rsidRPr="009B36E3" w:rsidRDefault="00A711FE" w:rsidP="009B36E3">
    <w:pPr>
      <w:pStyle w:val="Footer"/>
      <w:jc w:val="both"/>
      <w:rPr>
        <w:sz w:val="20"/>
        <w:szCs w:val="20"/>
      </w:rPr>
    </w:pPr>
    <w:r w:rsidRPr="00B14729">
      <w:rPr>
        <w:sz w:val="20"/>
        <w:szCs w:val="20"/>
      </w:rPr>
      <w:t>I</w:t>
    </w:r>
    <w:r>
      <w:rPr>
        <w:sz w:val="20"/>
        <w:szCs w:val="20"/>
      </w:rPr>
      <w:t>ZMAnot_</w:t>
    </w:r>
    <w:r w:rsidR="00387A92">
      <w:rPr>
        <w:sz w:val="20"/>
        <w:szCs w:val="20"/>
      </w:rPr>
      <w:t>29</w:t>
    </w:r>
    <w:r w:rsidR="008E7C85">
      <w:rPr>
        <w:sz w:val="20"/>
        <w:szCs w:val="20"/>
      </w:rPr>
      <w:t>03</w:t>
    </w:r>
    <w:r w:rsidR="00C27A85">
      <w:rPr>
        <w:sz w:val="20"/>
        <w:szCs w:val="20"/>
      </w:rPr>
      <w:t>17</w:t>
    </w:r>
    <w:r>
      <w:rPr>
        <w:sz w:val="20"/>
        <w:szCs w:val="20"/>
      </w:rPr>
      <w:t>_Groz788</w:t>
    </w:r>
    <w:r w:rsidRPr="00B14729">
      <w:rPr>
        <w:sz w:val="20"/>
        <w:szCs w:val="20"/>
      </w:rPr>
      <w:t>;</w:t>
    </w:r>
    <w:r w:rsidRPr="00BD29EA">
      <w:rPr>
        <w:sz w:val="20"/>
        <w:szCs w:val="20"/>
      </w:rPr>
      <w:t xml:space="preserve"> </w:t>
    </w:r>
    <w:r w:rsidRPr="009B36E3">
      <w:rPr>
        <w:sz w:val="20"/>
        <w:szCs w:val="20"/>
      </w:rPr>
      <w:t>Mini</w:t>
    </w:r>
    <w:r>
      <w:rPr>
        <w:sz w:val="20"/>
        <w:szCs w:val="20"/>
      </w:rPr>
      <w:t>stru kabineta noteikumu projekta</w:t>
    </w:r>
    <w:r w:rsidRPr="009B36E3">
      <w:rPr>
        <w:sz w:val="20"/>
        <w:szCs w:val="20"/>
      </w:rPr>
      <w:t xml:space="preserve"> „Grozījumi Ministru kabineta 2010.gada 17.augusta noteikumos Nr.788 „Valsts izglītības informācijas sistēmas saturs, uzturēša</w:t>
    </w:r>
    <w:r>
      <w:rPr>
        <w:sz w:val="20"/>
        <w:szCs w:val="20"/>
      </w:rPr>
      <w:t xml:space="preserve">nas un aktualizācijas kārtība”” </w:t>
    </w:r>
    <w:r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9E" w:rsidRDefault="004B249E" w:rsidP="009B36E3">
      <w:r>
        <w:separator/>
      </w:r>
    </w:p>
  </w:footnote>
  <w:footnote w:type="continuationSeparator" w:id="0">
    <w:p w:rsidR="004B249E" w:rsidRDefault="004B249E" w:rsidP="009B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CC9">
      <w:rPr>
        <w:rStyle w:val="PageNumber"/>
        <w:noProof/>
      </w:rPr>
      <w:t>2</w:t>
    </w:r>
    <w:r>
      <w:rPr>
        <w:rStyle w:val="PageNumber"/>
      </w:rPr>
      <w:fldChar w:fldCharType="end"/>
    </w:r>
  </w:p>
  <w:p w:rsidR="00A711FE" w:rsidRDefault="00A711FE">
    <w:pPr>
      <w:pStyle w:val="Header"/>
    </w:pPr>
  </w:p>
  <w:p w:rsidR="00A711FE" w:rsidRDefault="00A711FE"/>
  <w:p w:rsidR="00A711FE" w:rsidRDefault="00A711FE"/>
  <w:p w:rsidR="00A711FE" w:rsidRDefault="00A711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DE2">
      <w:rPr>
        <w:rStyle w:val="PageNumber"/>
        <w:noProof/>
      </w:rPr>
      <w:t>13</w:t>
    </w:r>
    <w:r>
      <w:rPr>
        <w:rStyle w:val="PageNumber"/>
      </w:rPr>
      <w:fldChar w:fldCharType="end"/>
    </w:r>
  </w:p>
  <w:p w:rsidR="00A711FE" w:rsidRDefault="00A711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D7" w:rsidRDefault="00F67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264"/>
    <w:multiLevelType w:val="hybridMultilevel"/>
    <w:tmpl w:val="5E38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A7420D"/>
    <w:multiLevelType w:val="hybridMultilevel"/>
    <w:tmpl w:val="E458A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1D5EA8"/>
    <w:multiLevelType w:val="hybridMultilevel"/>
    <w:tmpl w:val="E2D6AFE8"/>
    <w:lvl w:ilvl="0" w:tplc="0DEC790C">
      <w:start w:val="1"/>
      <w:numFmt w:val="decimal"/>
      <w:lvlText w:val="%1)"/>
      <w:lvlJc w:val="left"/>
      <w:pPr>
        <w:ind w:left="735" w:hanging="375"/>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4" w15:restartNumberingAfterBreak="0">
    <w:nsid w:val="667F61AF"/>
    <w:multiLevelType w:val="hybridMultilevel"/>
    <w:tmpl w:val="85A6B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FA40C5"/>
    <w:multiLevelType w:val="hybridMultilevel"/>
    <w:tmpl w:val="D2EAD36A"/>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03"/>
    <w:rsid w:val="0000524A"/>
    <w:rsid w:val="0000668C"/>
    <w:rsid w:val="000079A6"/>
    <w:rsid w:val="00012257"/>
    <w:rsid w:val="000131DA"/>
    <w:rsid w:val="0001347E"/>
    <w:rsid w:val="00013D2A"/>
    <w:rsid w:val="00014AD7"/>
    <w:rsid w:val="00020155"/>
    <w:rsid w:val="00025E88"/>
    <w:rsid w:val="00031BF0"/>
    <w:rsid w:val="00031F28"/>
    <w:rsid w:val="000321A3"/>
    <w:rsid w:val="00037995"/>
    <w:rsid w:val="0004027F"/>
    <w:rsid w:val="00040941"/>
    <w:rsid w:val="0004100A"/>
    <w:rsid w:val="00042BF9"/>
    <w:rsid w:val="00043D63"/>
    <w:rsid w:val="00044036"/>
    <w:rsid w:val="00050306"/>
    <w:rsid w:val="000506F2"/>
    <w:rsid w:val="000517F5"/>
    <w:rsid w:val="00065CDB"/>
    <w:rsid w:val="000700B4"/>
    <w:rsid w:val="00071756"/>
    <w:rsid w:val="00081BCC"/>
    <w:rsid w:val="00082A8D"/>
    <w:rsid w:val="00090702"/>
    <w:rsid w:val="0009117E"/>
    <w:rsid w:val="00091AAE"/>
    <w:rsid w:val="0009262F"/>
    <w:rsid w:val="000A7212"/>
    <w:rsid w:val="000B2CC3"/>
    <w:rsid w:val="000C0678"/>
    <w:rsid w:val="000C179C"/>
    <w:rsid w:val="000C1BE5"/>
    <w:rsid w:val="000C22F9"/>
    <w:rsid w:val="000C4D93"/>
    <w:rsid w:val="000C5287"/>
    <w:rsid w:val="000C5BAE"/>
    <w:rsid w:val="000D3F70"/>
    <w:rsid w:val="000D611C"/>
    <w:rsid w:val="000D7ADC"/>
    <w:rsid w:val="000E304F"/>
    <w:rsid w:val="000E360D"/>
    <w:rsid w:val="000E38F0"/>
    <w:rsid w:val="000E5875"/>
    <w:rsid w:val="000F6060"/>
    <w:rsid w:val="00101232"/>
    <w:rsid w:val="00104ED8"/>
    <w:rsid w:val="0010610B"/>
    <w:rsid w:val="001070E8"/>
    <w:rsid w:val="0011377D"/>
    <w:rsid w:val="00114A53"/>
    <w:rsid w:val="001154B6"/>
    <w:rsid w:val="00120A9A"/>
    <w:rsid w:val="001278C7"/>
    <w:rsid w:val="00130940"/>
    <w:rsid w:val="00130B97"/>
    <w:rsid w:val="001355CB"/>
    <w:rsid w:val="0013691C"/>
    <w:rsid w:val="00137510"/>
    <w:rsid w:val="00137629"/>
    <w:rsid w:val="00137DE9"/>
    <w:rsid w:val="00140C80"/>
    <w:rsid w:val="001412B2"/>
    <w:rsid w:val="0014659D"/>
    <w:rsid w:val="0015366C"/>
    <w:rsid w:val="00153B77"/>
    <w:rsid w:val="0015437F"/>
    <w:rsid w:val="001571C2"/>
    <w:rsid w:val="00157FD5"/>
    <w:rsid w:val="00160F4A"/>
    <w:rsid w:val="00193B3E"/>
    <w:rsid w:val="0019566B"/>
    <w:rsid w:val="00196C04"/>
    <w:rsid w:val="00197316"/>
    <w:rsid w:val="001A05DD"/>
    <w:rsid w:val="001A2B4E"/>
    <w:rsid w:val="001A45C8"/>
    <w:rsid w:val="001A4E05"/>
    <w:rsid w:val="001B0EDD"/>
    <w:rsid w:val="001B290E"/>
    <w:rsid w:val="001B5995"/>
    <w:rsid w:val="001B7A54"/>
    <w:rsid w:val="001C443C"/>
    <w:rsid w:val="001D2937"/>
    <w:rsid w:val="001E193F"/>
    <w:rsid w:val="001E2452"/>
    <w:rsid w:val="001E3E7A"/>
    <w:rsid w:val="001F0E24"/>
    <w:rsid w:val="001F5460"/>
    <w:rsid w:val="00205775"/>
    <w:rsid w:val="00205E82"/>
    <w:rsid w:val="0020636C"/>
    <w:rsid w:val="00206E0B"/>
    <w:rsid w:val="0021113F"/>
    <w:rsid w:val="002158B6"/>
    <w:rsid w:val="00223A85"/>
    <w:rsid w:val="00225C06"/>
    <w:rsid w:val="002273DC"/>
    <w:rsid w:val="00227A25"/>
    <w:rsid w:val="002306F8"/>
    <w:rsid w:val="00232130"/>
    <w:rsid w:val="002328F7"/>
    <w:rsid w:val="00233916"/>
    <w:rsid w:val="002351D3"/>
    <w:rsid w:val="00236E2C"/>
    <w:rsid w:val="00241D0A"/>
    <w:rsid w:val="00242276"/>
    <w:rsid w:val="00245942"/>
    <w:rsid w:val="0024708B"/>
    <w:rsid w:val="002470D3"/>
    <w:rsid w:val="0025048A"/>
    <w:rsid w:val="00251B9F"/>
    <w:rsid w:val="0025670B"/>
    <w:rsid w:val="0026573B"/>
    <w:rsid w:val="0027144B"/>
    <w:rsid w:val="00272251"/>
    <w:rsid w:val="00273CDD"/>
    <w:rsid w:val="0027689A"/>
    <w:rsid w:val="00277161"/>
    <w:rsid w:val="00286CEB"/>
    <w:rsid w:val="002917F4"/>
    <w:rsid w:val="00295DA3"/>
    <w:rsid w:val="002A1046"/>
    <w:rsid w:val="002A5345"/>
    <w:rsid w:val="002A60E9"/>
    <w:rsid w:val="002C11F2"/>
    <w:rsid w:val="002C22F0"/>
    <w:rsid w:val="002C2C78"/>
    <w:rsid w:val="002C5392"/>
    <w:rsid w:val="002C6D2C"/>
    <w:rsid w:val="002C7B18"/>
    <w:rsid w:val="002C7CAC"/>
    <w:rsid w:val="002D2210"/>
    <w:rsid w:val="002E4B2C"/>
    <w:rsid w:val="002E67FC"/>
    <w:rsid w:val="002F56BF"/>
    <w:rsid w:val="002F7CDF"/>
    <w:rsid w:val="00313B34"/>
    <w:rsid w:val="00331FAE"/>
    <w:rsid w:val="003343D4"/>
    <w:rsid w:val="0033442A"/>
    <w:rsid w:val="00334765"/>
    <w:rsid w:val="00336369"/>
    <w:rsid w:val="00342A9D"/>
    <w:rsid w:val="00343A37"/>
    <w:rsid w:val="00345868"/>
    <w:rsid w:val="00355607"/>
    <w:rsid w:val="00356704"/>
    <w:rsid w:val="00356943"/>
    <w:rsid w:val="003609BD"/>
    <w:rsid w:val="00366469"/>
    <w:rsid w:val="00372275"/>
    <w:rsid w:val="00373CBC"/>
    <w:rsid w:val="00375B76"/>
    <w:rsid w:val="003803EF"/>
    <w:rsid w:val="003817FB"/>
    <w:rsid w:val="0038680E"/>
    <w:rsid w:val="00387A92"/>
    <w:rsid w:val="00390BBF"/>
    <w:rsid w:val="003936E9"/>
    <w:rsid w:val="003952D8"/>
    <w:rsid w:val="003A0D94"/>
    <w:rsid w:val="003A58FB"/>
    <w:rsid w:val="003A7A44"/>
    <w:rsid w:val="003B11BC"/>
    <w:rsid w:val="003B56A2"/>
    <w:rsid w:val="003C75F6"/>
    <w:rsid w:val="003D7BC4"/>
    <w:rsid w:val="003E2A0C"/>
    <w:rsid w:val="003E5905"/>
    <w:rsid w:val="003F263D"/>
    <w:rsid w:val="003F2933"/>
    <w:rsid w:val="003F2B07"/>
    <w:rsid w:val="003F3665"/>
    <w:rsid w:val="00402949"/>
    <w:rsid w:val="00402C8F"/>
    <w:rsid w:val="00406563"/>
    <w:rsid w:val="00421D97"/>
    <w:rsid w:val="00424830"/>
    <w:rsid w:val="00430522"/>
    <w:rsid w:val="00433E35"/>
    <w:rsid w:val="00441082"/>
    <w:rsid w:val="00442BEA"/>
    <w:rsid w:val="00444E52"/>
    <w:rsid w:val="00446603"/>
    <w:rsid w:val="00451C36"/>
    <w:rsid w:val="00452B82"/>
    <w:rsid w:val="0045591A"/>
    <w:rsid w:val="0046313C"/>
    <w:rsid w:val="00470854"/>
    <w:rsid w:val="0047252B"/>
    <w:rsid w:val="0047559E"/>
    <w:rsid w:val="00480E1E"/>
    <w:rsid w:val="004810CC"/>
    <w:rsid w:val="00481F40"/>
    <w:rsid w:val="00485F97"/>
    <w:rsid w:val="004926E8"/>
    <w:rsid w:val="00497AFE"/>
    <w:rsid w:val="004A26A1"/>
    <w:rsid w:val="004A6197"/>
    <w:rsid w:val="004A7191"/>
    <w:rsid w:val="004A7CB4"/>
    <w:rsid w:val="004B0079"/>
    <w:rsid w:val="004B120D"/>
    <w:rsid w:val="004B17DF"/>
    <w:rsid w:val="004B249E"/>
    <w:rsid w:val="004B2928"/>
    <w:rsid w:val="004B30DF"/>
    <w:rsid w:val="004B589F"/>
    <w:rsid w:val="004C0B3A"/>
    <w:rsid w:val="004C0C97"/>
    <w:rsid w:val="004C1758"/>
    <w:rsid w:val="004C4108"/>
    <w:rsid w:val="004C4F11"/>
    <w:rsid w:val="004C5488"/>
    <w:rsid w:val="004C5B5F"/>
    <w:rsid w:val="004C6CBE"/>
    <w:rsid w:val="004C6F86"/>
    <w:rsid w:val="004D0CC9"/>
    <w:rsid w:val="004D2B13"/>
    <w:rsid w:val="004D4D07"/>
    <w:rsid w:val="004D76C4"/>
    <w:rsid w:val="004E04CB"/>
    <w:rsid w:val="004E2D07"/>
    <w:rsid w:val="004E55C2"/>
    <w:rsid w:val="004F40F7"/>
    <w:rsid w:val="004F7CB6"/>
    <w:rsid w:val="00501875"/>
    <w:rsid w:val="005022EB"/>
    <w:rsid w:val="0051295C"/>
    <w:rsid w:val="00513F46"/>
    <w:rsid w:val="0051444D"/>
    <w:rsid w:val="0051672C"/>
    <w:rsid w:val="00522AED"/>
    <w:rsid w:val="0052300B"/>
    <w:rsid w:val="00524E2A"/>
    <w:rsid w:val="00524ED1"/>
    <w:rsid w:val="005255D6"/>
    <w:rsid w:val="005268E7"/>
    <w:rsid w:val="00530858"/>
    <w:rsid w:val="00533C36"/>
    <w:rsid w:val="00535FB5"/>
    <w:rsid w:val="0054386D"/>
    <w:rsid w:val="00544613"/>
    <w:rsid w:val="00544DF2"/>
    <w:rsid w:val="0054557F"/>
    <w:rsid w:val="00546EDB"/>
    <w:rsid w:val="0055614E"/>
    <w:rsid w:val="00557669"/>
    <w:rsid w:val="0056008B"/>
    <w:rsid w:val="00566181"/>
    <w:rsid w:val="00567302"/>
    <w:rsid w:val="00575B97"/>
    <w:rsid w:val="00575F88"/>
    <w:rsid w:val="005761F8"/>
    <w:rsid w:val="00577100"/>
    <w:rsid w:val="0057722A"/>
    <w:rsid w:val="005819E2"/>
    <w:rsid w:val="005875CB"/>
    <w:rsid w:val="00594782"/>
    <w:rsid w:val="005A06B3"/>
    <w:rsid w:val="005A1756"/>
    <w:rsid w:val="005A6D7D"/>
    <w:rsid w:val="005B180C"/>
    <w:rsid w:val="005B2378"/>
    <w:rsid w:val="005B51C5"/>
    <w:rsid w:val="005B7B0C"/>
    <w:rsid w:val="005C05E4"/>
    <w:rsid w:val="005C0989"/>
    <w:rsid w:val="005C1419"/>
    <w:rsid w:val="005C219A"/>
    <w:rsid w:val="005C33D4"/>
    <w:rsid w:val="005C4030"/>
    <w:rsid w:val="005C577D"/>
    <w:rsid w:val="005C6F8F"/>
    <w:rsid w:val="005D1805"/>
    <w:rsid w:val="005E5AAF"/>
    <w:rsid w:val="005E660C"/>
    <w:rsid w:val="005F3B5B"/>
    <w:rsid w:val="005F3E21"/>
    <w:rsid w:val="00605F0F"/>
    <w:rsid w:val="00606CBF"/>
    <w:rsid w:val="00610840"/>
    <w:rsid w:val="00615DED"/>
    <w:rsid w:val="00615F35"/>
    <w:rsid w:val="0061740C"/>
    <w:rsid w:val="00621A75"/>
    <w:rsid w:val="006236CB"/>
    <w:rsid w:val="00631401"/>
    <w:rsid w:val="0063193B"/>
    <w:rsid w:val="006359AE"/>
    <w:rsid w:val="00636823"/>
    <w:rsid w:val="00637960"/>
    <w:rsid w:val="00637C54"/>
    <w:rsid w:val="00640309"/>
    <w:rsid w:val="00652238"/>
    <w:rsid w:val="00652316"/>
    <w:rsid w:val="00652AF9"/>
    <w:rsid w:val="00652B5E"/>
    <w:rsid w:val="00656A36"/>
    <w:rsid w:val="00662301"/>
    <w:rsid w:val="00663EA7"/>
    <w:rsid w:val="006675BD"/>
    <w:rsid w:val="00670118"/>
    <w:rsid w:val="00674E78"/>
    <w:rsid w:val="00681784"/>
    <w:rsid w:val="00684A78"/>
    <w:rsid w:val="00684C8F"/>
    <w:rsid w:val="006860B1"/>
    <w:rsid w:val="00686FF9"/>
    <w:rsid w:val="00690452"/>
    <w:rsid w:val="006929D3"/>
    <w:rsid w:val="006A1B73"/>
    <w:rsid w:val="006A22C4"/>
    <w:rsid w:val="006A2E9B"/>
    <w:rsid w:val="006A5420"/>
    <w:rsid w:val="006B140D"/>
    <w:rsid w:val="006B2D53"/>
    <w:rsid w:val="006B5203"/>
    <w:rsid w:val="006B752C"/>
    <w:rsid w:val="006C20AA"/>
    <w:rsid w:val="006C360B"/>
    <w:rsid w:val="006C3D80"/>
    <w:rsid w:val="006C61E0"/>
    <w:rsid w:val="006C7392"/>
    <w:rsid w:val="006C74B5"/>
    <w:rsid w:val="006D0B47"/>
    <w:rsid w:val="006D174E"/>
    <w:rsid w:val="006D1F31"/>
    <w:rsid w:val="006D6B48"/>
    <w:rsid w:val="006E4201"/>
    <w:rsid w:val="006E7157"/>
    <w:rsid w:val="006F0177"/>
    <w:rsid w:val="006F25C8"/>
    <w:rsid w:val="006F338A"/>
    <w:rsid w:val="006F3884"/>
    <w:rsid w:val="006F598B"/>
    <w:rsid w:val="006F78C6"/>
    <w:rsid w:val="00700D76"/>
    <w:rsid w:val="00704CB2"/>
    <w:rsid w:val="00705EA2"/>
    <w:rsid w:val="00712333"/>
    <w:rsid w:val="007134AB"/>
    <w:rsid w:val="00713D3A"/>
    <w:rsid w:val="00716307"/>
    <w:rsid w:val="007227E7"/>
    <w:rsid w:val="00725E06"/>
    <w:rsid w:val="007277F9"/>
    <w:rsid w:val="00730A3D"/>
    <w:rsid w:val="00734143"/>
    <w:rsid w:val="00734F6C"/>
    <w:rsid w:val="00736521"/>
    <w:rsid w:val="00737DB0"/>
    <w:rsid w:val="00740CB1"/>
    <w:rsid w:val="007555FF"/>
    <w:rsid w:val="00756340"/>
    <w:rsid w:val="00760634"/>
    <w:rsid w:val="00760AD9"/>
    <w:rsid w:val="0076193C"/>
    <w:rsid w:val="00762F5A"/>
    <w:rsid w:val="0076325B"/>
    <w:rsid w:val="00766A5D"/>
    <w:rsid w:val="007672A1"/>
    <w:rsid w:val="00767420"/>
    <w:rsid w:val="00767B06"/>
    <w:rsid w:val="00774296"/>
    <w:rsid w:val="00776010"/>
    <w:rsid w:val="00776FF5"/>
    <w:rsid w:val="0078094D"/>
    <w:rsid w:val="00790389"/>
    <w:rsid w:val="007918A9"/>
    <w:rsid w:val="00794916"/>
    <w:rsid w:val="00797886"/>
    <w:rsid w:val="007A30B7"/>
    <w:rsid w:val="007A6B7C"/>
    <w:rsid w:val="007A6E11"/>
    <w:rsid w:val="007B4F67"/>
    <w:rsid w:val="007C2980"/>
    <w:rsid w:val="007C3B99"/>
    <w:rsid w:val="007C739D"/>
    <w:rsid w:val="007D0E81"/>
    <w:rsid w:val="007D40EC"/>
    <w:rsid w:val="007D4BC5"/>
    <w:rsid w:val="007D7D81"/>
    <w:rsid w:val="007E3DAB"/>
    <w:rsid w:val="007E7950"/>
    <w:rsid w:val="007E7A78"/>
    <w:rsid w:val="007F2075"/>
    <w:rsid w:val="007F4247"/>
    <w:rsid w:val="007F5362"/>
    <w:rsid w:val="007F598A"/>
    <w:rsid w:val="007F6FF1"/>
    <w:rsid w:val="00803961"/>
    <w:rsid w:val="0081307D"/>
    <w:rsid w:val="008139D8"/>
    <w:rsid w:val="00815202"/>
    <w:rsid w:val="00823A6E"/>
    <w:rsid w:val="00830768"/>
    <w:rsid w:val="00832D80"/>
    <w:rsid w:val="008364B2"/>
    <w:rsid w:val="00842B3B"/>
    <w:rsid w:val="00843C9E"/>
    <w:rsid w:val="00851889"/>
    <w:rsid w:val="00853B2E"/>
    <w:rsid w:val="0085465E"/>
    <w:rsid w:val="0086326A"/>
    <w:rsid w:val="00870ED2"/>
    <w:rsid w:val="00874E8F"/>
    <w:rsid w:val="00875291"/>
    <w:rsid w:val="008759E0"/>
    <w:rsid w:val="00877103"/>
    <w:rsid w:val="00881377"/>
    <w:rsid w:val="00883459"/>
    <w:rsid w:val="00883546"/>
    <w:rsid w:val="008835A5"/>
    <w:rsid w:val="00884B5B"/>
    <w:rsid w:val="008950E7"/>
    <w:rsid w:val="00896C02"/>
    <w:rsid w:val="008A01D0"/>
    <w:rsid w:val="008A262A"/>
    <w:rsid w:val="008A2945"/>
    <w:rsid w:val="008A2970"/>
    <w:rsid w:val="008A4193"/>
    <w:rsid w:val="008B0B42"/>
    <w:rsid w:val="008B1E98"/>
    <w:rsid w:val="008C105C"/>
    <w:rsid w:val="008C6EAB"/>
    <w:rsid w:val="008C7A13"/>
    <w:rsid w:val="008C7D44"/>
    <w:rsid w:val="008D0747"/>
    <w:rsid w:val="008E03E7"/>
    <w:rsid w:val="008E0AB2"/>
    <w:rsid w:val="008E153E"/>
    <w:rsid w:val="008E50E8"/>
    <w:rsid w:val="008E7C85"/>
    <w:rsid w:val="008F155D"/>
    <w:rsid w:val="008F2713"/>
    <w:rsid w:val="008F446C"/>
    <w:rsid w:val="00901320"/>
    <w:rsid w:val="00906B53"/>
    <w:rsid w:val="009113A8"/>
    <w:rsid w:val="009243B0"/>
    <w:rsid w:val="0092720B"/>
    <w:rsid w:val="00930F52"/>
    <w:rsid w:val="00934D64"/>
    <w:rsid w:val="009356E9"/>
    <w:rsid w:val="0094077E"/>
    <w:rsid w:val="009416A8"/>
    <w:rsid w:val="0094318E"/>
    <w:rsid w:val="00943285"/>
    <w:rsid w:val="0094411B"/>
    <w:rsid w:val="009479B1"/>
    <w:rsid w:val="00947FCE"/>
    <w:rsid w:val="0095254D"/>
    <w:rsid w:val="009608F9"/>
    <w:rsid w:val="00961AF1"/>
    <w:rsid w:val="0096263C"/>
    <w:rsid w:val="009650A7"/>
    <w:rsid w:val="0096626C"/>
    <w:rsid w:val="00971F62"/>
    <w:rsid w:val="00974521"/>
    <w:rsid w:val="00974EC5"/>
    <w:rsid w:val="00976693"/>
    <w:rsid w:val="00977F27"/>
    <w:rsid w:val="0098672E"/>
    <w:rsid w:val="00987037"/>
    <w:rsid w:val="00987242"/>
    <w:rsid w:val="009877EE"/>
    <w:rsid w:val="009A2082"/>
    <w:rsid w:val="009B0166"/>
    <w:rsid w:val="009B36E3"/>
    <w:rsid w:val="009B3FF2"/>
    <w:rsid w:val="009B78D3"/>
    <w:rsid w:val="009C0493"/>
    <w:rsid w:val="009C11F7"/>
    <w:rsid w:val="009C33DF"/>
    <w:rsid w:val="009C4466"/>
    <w:rsid w:val="009C4B8C"/>
    <w:rsid w:val="009D31D6"/>
    <w:rsid w:val="009E343B"/>
    <w:rsid w:val="009E4CB8"/>
    <w:rsid w:val="009F06A8"/>
    <w:rsid w:val="009F2B6F"/>
    <w:rsid w:val="009F3BB0"/>
    <w:rsid w:val="009F76AE"/>
    <w:rsid w:val="009F7EC9"/>
    <w:rsid w:val="00A04FB2"/>
    <w:rsid w:val="00A06049"/>
    <w:rsid w:val="00A12880"/>
    <w:rsid w:val="00A15AA5"/>
    <w:rsid w:val="00A16585"/>
    <w:rsid w:val="00A22727"/>
    <w:rsid w:val="00A36EB0"/>
    <w:rsid w:val="00A3753D"/>
    <w:rsid w:val="00A4084D"/>
    <w:rsid w:val="00A47853"/>
    <w:rsid w:val="00A50FA8"/>
    <w:rsid w:val="00A51A5C"/>
    <w:rsid w:val="00A51FFB"/>
    <w:rsid w:val="00A63A4A"/>
    <w:rsid w:val="00A65904"/>
    <w:rsid w:val="00A711FE"/>
    <w:rsid w:val="00A72A53"/>
    <w:rsid w:val="00A74198"/>
    <w:rsid w:val="00A8098B"/>
    <w:rsid w:val="00A93C3B"/>
    <w:rsid w:val="00A96CFB"/>
    <w:rsid w:val="00A9725A"/>
    <w:rsid w:val="00AA6121"/>
    <w:rsid w:val="00AC2DD7"/>
    <w:rsid w:val="00AC524A"/>
    <w:rsid w:val="00AD41D7"/>
    <w:rsid w:val="00AD4404"/>
    <w:rsid w:val="00AE3AFC"/>
    <w:rsid w:val="00AE6EB1"/>
    <w:rsid w:val="00AE6EE5"/>
    <w:rsid w:val="00AE7B8C"/>
    <w:rsid w:val="00AF60DA"/>
    <w:rsid w:val="00B00AF4"/>
    <w:rsid w:val="00B07901"/>
    <w:rsid w:val="00B10606"/>
    <w:rsid w:val="00B1074C"/>
    <w:rsid w:val="00B20D3B"/>
    <w:rsid w:val="00B41FE9"/>
    <w:rsid w:val="00B44EA3"/>
    <w:rsid w:val="00B4576A"/>
    <w:rsid w:val="00B50E41"/>
    <w:rsid w:val="00B60FDF"/>
    <w:rsid w:val="00B71031"/>
    <w:rsid w:val="00B85DA9"/>
    <w:rsid w:val="00B87A4D"/>
    <w:rsid w:val="00B91E8C"/>
    <w:rsid w:val="00BA1024"/>
    <w:rsid w:val="00BA18AC"/>
    <w:rsid w:val="00BA1F31"/>
    <w:rsid w:val="00BA2F94"/>
    <w:rsid w:val="00BB4DBE"/>
    <w:rsid w:val="00BB68F8"/>
    <w:rsid w:val="00BC0842"/>
    <w:rsid w:val="00BC1CC3"/>
    <w:rsid w:val="00BC5982"/>
    <w:rsid w:val="00BC5DCE"/>
    <w:rsid w:val="00BD1CDE"/>
    <w:rsid w:val="00BD3C3C"/>
    <w:rsid w:val="00BD48EA"/>
    <w:rsid w:val="00BE1DB1"/>
    <w:rsid w:val="00BE238E"/>
    <w:rsid w:val="00BE4D49"/>
    <w:rsid w:val="00BE6AD8"/>
    <w:rsid w:val="00BF1A1A"/>
    <w:rsid w:val="00BF5CD8"/>
    <w:rsid w:val="00BF734A"/>
    <w:rsid w:val="00C00FEA"/>
    <w:rsid w:val="00C0754C"/>
    <w:rsid w:val="00C11605"/>
    <w:rsid w:val="00C1541D"/>
    <w:rsid w:val="00C232AE"/>
    <w:rsid w:val="00C27A85"/>
    <w:rsid w:val="00C33213"/>
    <w:rsid w:val="00C363A5"/>
    <w:rsid w:val="00C42F1B"/>
    <w:rsid w:val="00C4338B"/>
    <w:rsid w:val="00C4403E"/>
    <w:rsid w:val="00C4424E"/>
    <w:rsid w:val="00C45256"/>
    <w:rsid w:val="00C45ED6"/>
    <w:rsid w:val="00C604DD"/>
    <w:rsid w:val="00C66068"/>
    <w:rsid w:val="00C6627F"/>
    <w:rsid w:val="00C675B7"/>
    <w:rsid w:val="00C70298"/>
    <w:rsid w:val="00C70A40"/>
    <w:rsid w:val="00C71AA4"/>
    <w:rsid w:val="00C82C0F"/>
    <w:rsid w:val="00C86B7B"/>
    <w:rsid w:val="00C87872"/>
    <w:rsid w:val="00C87CE7"/>
    <w:rsid w:val="00C95AC2"/>
    <w:rsid w:val="00C96113"/>
    <w:rsid w:val="00C97949"/>
    <w:rsid w:val="00CA6411"/>
    <w:rsid w:val="00CB0DA4"/>
    <w:rsid w:val="00CB1DE2"/>
    <w:rsid w:val="00CB3B08"/>
    <w:rsid w:val="00CB5507"/>
    <w:rsid w:val="00CB6A22"/>
    <w:rsid w:val="00CB6D75"/>
    <w:rsid w:val="00CB6F47"/>
    <w:rsid w:val="00CC3772"/>
    <w:rsid w:val="00CD04AC"/>
    <w:rsid w:val="00CD395B"/>
    <w:rsid w:val="00CD4454"/>
    <w:rsid w:val="00CD6028"/>
    <w:rsid w:val="00CF01B8"/>
    <w:rsid w:val="00CF0414"/>
    <w:rsid w:val="00CF11FB"/>
    <w:rsid w:val="00CF3D8D"/>
    <w:rsid w:val="00D035D7"/>
    <w:rsid w:val="00D03CE6"/>
    <w:rsid w:val="00D078BF"/>
    <w:rsid w:val="00D21159"/>
    <w:rsid w:val="00D2565A"/>
    <w:rsid w:val="00D27203"/>
    <w:rsid w:val="00D272BA"/>
    <w:rsid w:val="00D272D7"/>
    <w:rsid w:val="00D32F16"/>
    <w:rsid w:val="00D37054"/>
    <w:rsid w:val="00D41399"/>
    <w:rsid w:val="00D42C24"/>
    <w:rsid w:val="00D4626B"/>
    <w:rsid w:val="00D55328"/>
    <w:rsid w:val="00D60D40"/>
    <w:rsid w:val="00D61C8F"/>
    <w:rsid w:val="00D655ED"/>
    <w:rsid w:val="00D75E20"/>
    <w:rsid w:val="00D77CF0"/>
    <w:rsid w:val="00D80283"/>
    <w:rsid w:val="00D80B70"/>
    <w:rsid w:val="00D822B4"/>
    <w:rsid w:val="00D93A21"/>
    <w:rsid w:val="00D974E1"/>
    <w:rsid w:val="00DA1EA3"/>
    <w:rsid w:val="00DA2044"/>
    <w:rsid w:val="00DA2BCD"/>
    <w:rsid w:val="00DA4943"/>
    <w:rsid w:val="00DA6ADC"/>
    <w:rsid w:val="00DB00F4"/>
    <w:rsid w:val="00DB280B"/>
    <w:rsid w:val="00DC0EF7"/>
    <w:rsid w:val="00DE1C86"/>
    <w:rsid w:val="00DE2621"/>
    <w:rsid w:val="00DE3B83"/>
    <w:rsid w:val="00DF0D29"/>
    <w:rsid w:val="00DF69A0"/>
    <w:rsid w:val="00DF7BDA"/>
    <w:rsid w:val="00E0003D"/>
    <w:rsid w:val="00E001F9"/>
    <w:rsid w:val="00E00BAA"/>
    <w:rsid w:val="00E03D81"/>
    <w:rsid w:val="00E04A81"/>
    <w:rsid w:val="00E04E3C"/>
    <w:rsid w:val="00E0522F"/>
    <w:rsid w:val="00E06B4D"/>
    <w:rsid w:val="00E10B23"/>
    <w:rsid w:val="00E110C5"/>
    <w:rsid w:val="00E13786"/>
    <w:rsid w:val="00E15027"/>
    <w:rsid w:val="00E201FE"/>
    <w:rsid w:val="00E2148E"/>
    <w:rsid w:val="00E239C7"/>
    <w:rsid w:val="00E24A64"/>
    <w:rsid w:val="00E25975"/>
    <w:rsid w:val="00E2605D"/>
    <w:rsid w:val="00E30445"/>
    <w:rsid w:val="00E338B9"/>
    <w:rsid w:val="00E4107C"/>
    <w:rsid w:val="00E41E2D"/>
    <w:rsid w:val="00E43B3E"/>
    <w:rsid w:val="00E44CB1"/>
    <w:rsid w:val="00E5416C"/>
    <w:rsid w:val="00E57A90"/>
    <w:rsid w:val="00E64C04"/>
    <w:rsid w:val="00E66A38"/>
    <w:rsid w:val="00E70EB6"/>
    <w:rsid w:val="00E71E31"/>
    <w:rsid w:val="00E738E4"/>
    <w:rsid w:val="00E76396"/>
    <w:rsid w:val="00E825F4"/>
    <w:rsid w:val="00E830EF"/>
    <w:rsid w:val="00E835BB"/>
    <w:rsid w:val="00E91BD0"/>
    <w:rsid w:val="00E936BB"/>
    <w:rsid w:val="00E9388D"/>
    <w:rsid w:val="00E94779"/>
    <w:rsid w:val="00E95781"/>
    <w:rsid w:val="00EA164D"/>
    <w:rsid w:val="00EA3157"/>
    <w:rsid w:val="00EA3A0C"/>
    <w:rsid w:val="00EB08E4"/>
    <w:rsid w:val="00EB2FDA"/>
    <w:rsid w:val="00EB52BC"/>
    <w:rsid w:val="00EC48B9"/>
    <w:rsid w:val="00EC6548"/>
    <w:rsid w:val="00ED0AE6"/>
    <w:rsid w:val="00ED0C33"/>
    <w:rsid w:val="00ED5D76"/>
    <w:rsid w:val="00ED7FDB"/>
    <w:rsid w:val="00EE0DF9"/>
    <w:rsid w:val="00EE2C28"/>
    <w:rsid w:val="00EE31B8"/>
    <w:rsid w:val="00EE350A"/>
    <w:rsid w:val="00EE6785"/>
    <w:rsid w:val="00EF0412"/>
    <w:rsid w:val="00EF6D12"/>
    <w:rsid w:val="00F001DB"/>
    <w:rsid w:val="00F05CEC"/>
    <w:rsid w:val="00F05E15"/>
    <w:rsid w:val="00F12F3A"/>
    <w:rsid w:val="00F204CA"/>
    <w:rsid w:val="00F206D3"/>
    <w:rsid w:val="00F21123"/>
    <w:rsid w:val="00F21724"/>
    <w:rsid w:val="00F23855"/>
    <w:rsid w:val="00F25613"/>
    <w:rsid w:val="00F27D4E"/>
    <w:rsid w:val="00F36B17"/>
    <w:rsid w:val="00F43ACC"/>
    <w:rsid w:val="00F50F17"/>
    <w:rsid w:val="00F5257C"/>
    <w:rsid w:val="00F52E3D"/>
    <w:rsid w:val="00F532B6"/>
    <w:rsid w:val="00F54DEF"/>
    <w:rsid w:val="00F6486F"/>
    <w:rsid w:val="00F64DBC"/>
    <w:rsid w:val="00F65031"/>
    <w:rsid w:val="00F6508C"/>
    <w:rsid w:val="00F65B2C"/>
    <w:rsid w:val="00F677D7"/>
    <w:rsid w:val="00F71C45"/>
    <w:rsid w:val="00F72D76"/>
    <w:rsid w:val="00F93B01"/>
    <w:rsid w:val="00F94569"/>
    <w:rsid w:val="00F95550"/>
    <w:rsid w:val="00F96343"/>
    <w:rsid w:val="00FA262B"/>
    <w:rsid w:val="00FA6191"/>
    <w:rsid w:val="00FA7672"/>
    <w:rsid w:val="00FB116C"/>
    <w:rsid w:val="00FB2416"/>
    <w:rsid w:val="00FB3054"/>
    <w:rsid w:val="00FB3D71"/>
    <w:rsid w:val="00FB5B84"/>
    <w:rsid w:val="00FB5BFB"/>
    <w:rsid w:val="00FB5CBE"/>
    <w:rsid w:val="00FC0F74"/>
    <w:rsid w:val="00FC2211"/>
    <w:rsid w:val="00FC70C0"/>
    <w:rsid w:val="00FD4D41"/>
    <w:rsid w:val="00FE0A6B"/>
    <w:rsid w:val="00FE1C56"/>
    <w:rsid w:val="00FE342F"/>
    <w:rsid w:val="00FE4132"/>
    <w:rsid w:val="00FE5D9C"/>
    <w:rsid w:val="00FE7337"/>
    <w:rsid w:val="00FE7404"/>
    <w:rsid w:val="00FF0A08"/>
    <w:rsid w:val="00FF79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F67528-92BE-425A-9DDD-B21146A2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6603"/>
    <w:rPr>
      <w:color w:val="0000FF"/>
      <w:u w:val="single"/>
    </w:rPr>
  </w:style>
  <w:style w:type="paragraph" w:styleId="Header">
    <w:name w:val="header"/>
    <w:basedOn w:val="Normal"/>
    <w:link w:val="HeaderChar"/>
    <w:semiHidden/>
    <w:rsid w:val="00446603"/>
    <w:pPr>
      <w:tabs>
        <w:tab w:val="center" w:pos="4153"/>
        <w:tab w:val="right" w:pos="8306"/>
      </w:tabs>
    </w:pPr>
  </w:style>
  <w:style w:type="character" w:customStyle="1" w:styleId="HeaderChar">
    <w:name w:val="Header Char"/>
    <w:basedOn w:val="DefaultParagraphFont"/>
    <w:link w:val="Header"/>
    <w:semiHidden/>
    <w:rsid w:val="00446603"/>
    <w:rPr>
      <w:rFonts w:ascii="Times New Roman" w:eastAsia="Times New Roman" w:hAnsi="Times New Roman" w:cs="Times New Roman"/>
      <w:sz w:val="24"/>
      <w:szCs w:val="24"/>
      <w:lang w:eastAsia="lv-LV"/>
    </w:rPr>
  </w:style>
  <w:style w:type="paragraph" w:styleId="Footer">
    <w:name w:val="footer"/>
    <w:basedOn w:val="Normal"/>
    <w:link w:val="FooterChar"/>
    <w:rsid w:val="00446603"/>
    <w:pPr>
      <w:tabs>
        <w:tab w:val="center" w:pos="4153"/>
        <w:tab w:val="right" w:pos="8306"/>
      </w:tabs>
    </w:pPr>
  </w:style>
  <w:style w:type="character" w:customStyle="1" w:styleId="FooterChar">
    <w:name w:val="Footer Char"/>
    <w:basedOn w:val="DefaultParagraphFont"/>
    <w:link w:val="Footer"/>
    <w:rsid w:val="00446603"/>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46603"/>
  </w:style>
  <w:style w:type="paragraph" w:customStyle="1" w:styleId="Considrant">
    <w:name w:val="Considérant"/>
    <w:basedOn w:val="Normal"/>
    <w:rsid w:val="00446603"/>
    <w:pPr>
      <w:numPr>
        <w:numId w:val="1"/>
      </w:numPr>
      <w:spacing w:before="120" w:after="120"/>
      <w:jc w:val="both"/>
    </w:pPr>
    <w:rPr>
      <w:szCs w:val="20"/>
      <w:lang w:eastAsia="zh-CN"/>
    </w:rPr>
  </w:style>
  <w:style w:type="paragraph" w:styleId="Title">
    <w:name w:val="Title"/>
    <w:basedOn w:val="Normal"/>
    <w:link w:val="TitleChar"/>
    <w:uiPriority w:val="99"/>
    <w:qFormat/>
    <w:rsid w:val="00446603"/>
    <w:pPr>
      <w:jc w:val="center"/>
    </w:pPr>
    <w:rPr>
      <w:b/>
      <w:szCs w:val="20"/>
      <w:lang w:val="x-none" w:eastAsia="x-none"/>
    </w:rPr>
  </w:style>
  <w:style w:type="character" w:customStyle="1" w:styleId="TitleChar">
    <w:name w:val="Title Char"/>
    <w:basedOn w:val="DefaultParagraphFont"/>
    <w:link w:val="Title"/>
    <w:uiPriority w:val="99"/>
    <w:rsid w:val="00446603"/>
    <w:rPr>
      <w:rFonts w:ascii="Times New Roman" w:eastAsia="Times New Roman" w:hAnsi="Times New Roman" w:cs="Times New Roman"/>
      <w:b/>
      <w:sz w:val="24"/>
      <w:szCs w:val="20"/>
      <w:lang w:val="x-none" w:eastAsia="x-none"/>
    </w:rPr>
  </w:style>
  <w:style w:type="table" w:styleId="TableGrid">
    <w:name w:val="Table Grid"/>
    <w:basedOn w:val="TableNormal"/>
    <w:rsid w:val="004466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603"/>
    <w:rPr>
      <w:rFonts w:ascii="Tahoma" w:hAnsi="Tahoma" w:cs="Tahoma"/>
      <w:sz w:val="16"/>
      <w:szCs w:val="16"/>
    </w:rPr>
  </w:style>
  <w:style w:type="character" w:customStyle="1" w:styleId="BalloonTextChar">
    <w:name w:val="Balloon Text Char"/>
    <w:basedOn w:val="DefaultParagraphFont"/>
    <w:link w:val="BalloonText"/>
    <w:uiPriority w:val="99"/>
    <w:semiHidden/>
    <w:rsid w:val="00446603"/>
    <w:rPr>
      <w:rFonts w:ascii="Tahoma" w:eastAsia="Times New Roman" w:hAnsi="Tahoma" w:cs="Tahoma"/>
      <w:sz w:val="16"/>
      <w:szCs w:val="16"/>
      <w:lang w:eastAsia="lv-LV"/>
    </w:rPr>
  </w:style>
  <w:style w:type="paragraph" w:styleId="ListParagraph">
    <w:name w:val="List Paragraph"/>
    <w:basedOn w:val="Normal"/>
    <w:uiPriority w:val="34"/>
    <w:qFormat/>
    <w:rsid w:val="001B7A54"/>
    <w:pPr>
      <w:ind w:left="720"/>
      <w:contextualSpacing/>
    </w:pPr>
  </w:style>
  <w:style w:type="character" w:styleId="CommentReference">
    <w:name w:val="annotation reference"/>
    <w:basedOn w:val="DefaultParagraphFont"/>
    <w:uiPriority w:val="99"/>
    <w:semiHidden/>
    <w:unhideWhenUsed/>
    <w:rsid w:val="00E0522F"/>
    <w:rPr>
      <w:sz w:val="16"/>
      <w:szCs w:val="16"/>
    </w:rPr>
  </w:style>
  <w:style w:type="paragraph" w:styleId="CommentText">
    <w:name w:val="annotation text"/>
    <w:basedOn w:val="Normal"/>
    <w:link w:val="CommentTextChar"/>
    <w:uiPriority w:val="99"/>
    <w:semiHidden/>
    <w:unhideWhenUsed/>
    <w:rsid w:val="00E0522F"/>
    <w:rPr>
      <w:sz w:val="20"/>
      <w:szCs w:val="20"/>
    </w:rPr>
  </w:style>
  <w:style w:type="character" w:customStyle="1" w:styleId="CommentTextChar">
    <w:name w:val="Comment Text Char"/>
    <w:basedOn w:val="DefaultParagraphFont"/>
    <w:link w:val="CommentText"/>
    <w:uiPriority w:val="99"/>
    <w:semiHidden/>
    <w:rsid w:val="00E052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522F"/>
    <w:rPr>
      <w:b/>
      <w:bCs/>
    </w:rPr>
  </w:style>
  <w:style w:type="character" w:customStyle="1" w:styleId="CommentSubjectChar">
    <w:name w:val="Comment Subject Char"/>
    <w:basedOn w:val="CommentTextChar"/>
    <w:link w:val="CommentSubject"/>
    <w:uiPriority w:val="99"/>
    <w:semiHidden/>
    <w:rsid w:val="00E0522F"/>
    <w:rPr>
      <w:rFonts w:ascii="Times New Roman" w:eastAsia="Times New Roman" w:hAnsi="Times New Roman" w:cs="Times New Roman"/>
      <w:b/>
      <w:bCs/>
      <w:sz w:val="20"/>
      <w:szCs w:val="20"/>
      <w:lang w:eastAsia="lv-LV"/>
    </w:rPr>
  </w:style>
  <w:style w:type="paragraph" w:customStyle="1" w:styleId="naisf">
    <w:name w:val="naisf"/>
    <w:basedOn w:val="Normal"/>
    <w:link w:val="naisfChar"/>
    <w:uiPriority w:val="99"/>
    <w:rsid w:val="00A06049"/>
    <w:pPr>
      <w:spacing w:before="100" w:after="100"/>
      <w:jc w:val="both"/>
    </w:pPr>
    <w:rPr>
      <w:szCs w:val="20"/>
      <w:lang w:eastAsia="en-US"/>
    </w:rPr>
  </w:style>
  <w:style w:type="character" w:customStyle="1" w:styleId="naisfChar">
    <w:name w:val="naisf Char"/>
    <w:link w:val="naisf"/>
    <w:uiPriority w:val="99"/>
    <w:locked/>
    <w:rsid w:val="00A06049"/>
    <w:rPr>
      <w:rFonts w:ascii="Times New Roman" w:eastAsia="Times New Roman" w:hAnsi="Times New Roman" w:cs="Times New Roman"/>
      <w:sz w:val="24"/>
      <w:szCs w:val="20"/>
    </w:rPr>
  </w:style>
  <w:style w:type="paragraph" w:customStyle="1" w:styleId="naisnod">
    <w:name w:val="naisnod"/>
    <w:basedOn w:val="Normal"/>
    <w:uiPriority w:val="99"/>
    <w:rsid w:val="00A06049"/>
    <w:pPr>
      <w:spacing w:before="150" w:after="150"/>
      <w:jc w:val="center"/>
    </w:pPr>
    <w:rPr>
      <w:b/>
      <w:bCs/>
    </w:rPr>
  </w:style>
  <w:style w:type="paragraph" w:styleId="NormalWeb">
    <w:name w:val="Normal (Web)"/>
    <w:basedOn w:val="Normal"/>
    <w:uiPriority w:val="99"/>
    <w:unhideWhenUsed/>
    <w:rsid w:val="00A06049"/>
    <w:pPr>
      <w:spacing w:before="100" w:beforeAutospacing="1" w:after="100" w:afterAutospacing="1"/>
    </w:pPr>
  </w:style>
  <w:style w:type="paragraph" w:customStyle="1" w:styleId="tv20787921">
    <w:name w:val="tv207_87_921"/>
    <w:basedOn w:val="Normal"/>
    <w:rsid w:val="009D31D6"/>
    <w:pPr>
      <w:spacing w:after="567" w:line="360" w:lineRule="auto"/>
      <w:jc w:val="center"/>
    </w:pPr>
    <w:rPr>
      <w:rFonts w:ascii="Verdana" w:hAnsi="Verdana"/>
      <w:b/>
      <w:bCs/>
      <w:sz w:val="28"/>
      <w:szCs w:val="28"/>
    </w:rPr>
  </w:style>
  <w:style w:type="paragraph" w:customStyle="1" w:styleId="naiskr">
    <w:name w:val="naiskr"/>
    <w:basedOn w:val="Normal"/>
    <w:uiPriority w:val="99"/>
    <w:rsid w:val="0076325B"/>
    <w:pPr>
      <w:spacing w:before="75" w:after="75"/>
    </w:pPr>
  </w:style>
  <w:style w:type="paragraph" w:styleId="Revision">
    <w:name w:val="Revision"/>
    <w:hidden/>
    <w:uiPriority w:val="99"/>
    <w:semiHidden/>
    <w:rsid w:val="00A96CF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5801">
      <w:bodyDiv w:val="1"/>
      <w:marLeft w:val="0"/>
      <w:marRight w:val="0"/>
      <w:marTop w:val="0"/>
      <w:marBottom w:val="0"/>
      <w:divBdr>
        <w:top w:val="none" w:sz="0" w:space="0" w:color="auto"/>
        <w:left w:val="none" w:sz="0" w:space="0" w:color="auto"/>
        <w:bottom w:val="none" w:sz="0" w:space="0" w:color="auto"/>
        <w:right w:val="none" w:sz="0" w:space="0" w:color="auto"/>
      </w:divBdr>
    </w:div>
    <w:div w:id="1246449900">
      <w:bodyDiv w:val="1"/>
      <w:marLeft w:val="0"/>
      <w:marRight w:val="0"/>
      <w:marTop w:val="0"/>
      <w:marBottom w:val="0"/>
      <w:divBdr>
        <w:top w:val="none" w:sz="0" w:space="0" w:color="auto"/>
        <w:left w:val="none" w:sz="0" w:space="0" w:color="auto"/>
        <w:bottom w:val="none" w:sz="0" w:space="0" w:color="auto"/>
        <w:right w:val="none" w:sz="0" w:space="0" w:color="auto"/>
      </w:divBdr>
    </w:div>
    <w:div w:id="1281565995">
      <w:bodyDiv w:val="1"/>
      <w:marLeft w:val="0"/>
      <w:marRight w:val="0"/>
      <w:marTop w:val="0"/>
      <w:marBottom w:val="0"/>
      <w:divBdr>
        <w:top w:val="none" w:sz="0" w:space="0" w:color="auto"/>
        <w:left w:val="none" w:sz="0" w:space="0" w:color="auto"/>
        <w:bottom w:val="none" w:sz="0" w:space="0" w:color="auto"/>
        <w:right w:val="none" w:sz="0" w:space="0" w:color="auto"/>
      </w:divBdr>
    </w:div>
    <w:div w:id="1301304504">
      <w:bodyDiv w:val="1"/>
      <w:marLeft w:val="0"/>
      <w:marRight w:val="0"/>
      <w:marTop w:val="0"/>
      <w:marBottom w:val="0"/>
      <w:divBdr>
        <w:top w:val="none" w:sz="0" w:space="0" w:color="auto"/>
        <w:left w:val="none" w:sz="0" w:space="0" w:color="auto"/>
        <w:bottom w:val="none" w:sz="0" w:space="0" w:color="auto"/>
        <w:right w:val="none" w:sz="0" w:space="0" w:color="auto"/>
      </w:divBdr>
    </w:div>
    <w:div w:id="1534345876">
      <w:bodyDiv w:val="1"/>
      <w:marLeft w:val="0"/>
      <w:marRight w:val="0"/>
      <w:marTop w:val="0"/>
      <w:marBottom w:val="0"/>
      <w:divBdr>
        <w:top w:val="none" w:sz="0" w:space="0" w:color="auto"/>
        <w:left w:val="none" w:sz="0" w:space="0" w:color="auto"/>
        <w:bottom w:val="none" w:sz="0" w:space="0" w:color="auto"/>
        <w:right w:val="none" w:sz="0" w:space="0" w:color="auto"/>
      </w:divBdr>
      <w:divsChild>
        <w:div w:id="1035623136">
          <w:marLeft w:val="0"/>
          <w:marRight w:val="0"/>
          <w:marTop w:val="0"/>
          <w:marBottom w:val="0"/>
          <w:divBdr>
            <w:top w:val="none" w:sz="0" w:space="0" w:color="auto"/>
            <w:left w:val="none" w:sz="0" w:space="0" w:color="auto"/>
            <w:bottom w:val="none" w:sz="0" w:space="0" w:color="auto"/>
            <w:right w:val="none" w:sz="0" w:space="0" w:color="auto"/>
          </w:divBdr>
          <w:divsChild>
            <w:div w:id="583537140">
              <w:marLeft w:val="0"/>
              <w:marRight w:val="0"/>
              <w:marTop w:val="0"/>
              <w:marBottom w:val="0"/>
              <w:divBdr>
                <w:top w:val="none" w:sz="0" w:space="0" w:color="auto"/>
                <w:left w:val="none" w:sz="0" w:space="0" w:color="auto"/>
                <w:bottom w:val="none" w:sz="0" w:space="0" w:color="auto"/>
                <w:right w:val="none" w:sz="0" w:space="0" w:color="auto"/>
              </w:divBdr>
              <w:divsChild>
                <w:div w:id="1571113012">
                  <w:marLeft w:val="0"/>
                  <w:marRight w:val="0"/>
                  <w:marTop w:val="0"/>
                  <w:marBottom w:val="0"/>
                  <w:divBdr>
                    <w:top w:val="none" w:sz="0" w:space="0" w:color="auto"/>
                    <w:left w:val="none" w:sz="0" w:space="0" w:color="auto"/>
                    <w:bottom w:val="none" w:sz="0" w:space="0" w:color="auto"/>
                    <w:right w:val="none" w:sz="0" w:space="0" w:color="auto"/>
                  </w:divBdr>
                  <w:divsChild>
                    <w:div w:id="13807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grava@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da.Micule@iz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dezda.Mazure@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BC7F-F810-4ABB-8E6C-F4064CE8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Nadežda Mazure</cp:lastModifiedBy>
  <cp:revision>320</cp:revision>
  <cp:lastPrinted>2015-11-13T12:04:00Z</cp:lastPrinted>
  <dcterms:created xsi:type="dcterms:W3CDTF">2016-06-09T13:42:00Z</dcterms:created>
  <dcterms:modified xsi:type="dcterms:W3CDTF">2017-03-29T13:04:00Z</dcterms:modified>
</cp:coreProperties>
</file>