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88" w:rsidRPr="00F67714" w:rsidRDefault="005C0B07" w:rsidP="001D1388">
      <w:pPr>
        <w:spacing w:before="100" w:beforeAutospacing="1" w:after="100" w:afterAutospacing="1"/>
        <w:jc w:val="center"/>
        <w:outlineLvl w:val="2"/>
        <w:rPr>
          <w:rFonts w:ascii="Times New Roman" w:hAnsi="Times New Roman"/>
          <w:b/>
          <w:bCs/>
          <w:sz w:val="28"/>
          <w:szCs w:val="28"/>
          <w:lang w:eastAsia="lv-LV"/>
        </w:rPr>
      </w:pPr>
      <w:r w:rsidRPr="00F67714">
        <w:rPr>
          <w:rFonts w:ascii="Times New Roman" w:hAnsi="Times New Roman"/>
          <w:b/>
          <w:bCs/>
          <w:sz w:val="28"/>
          <w:szCs w:val="28"/>
          <w:lang w:eastAsia="lv-LV"/>
        </w:rPr>
        <w:t>Likumprojekta „</w:t>
      </w:r>
      <w:r w:rsidR="000B7D8E" w:rsidRPr="00F67714">
        <w:rPr>
          <w:rFonts w:ascii="Times New Roman" w:hAnsi="Times New Roman"/>
          <w:b/>
          <w:bCs/>
          <w:sz w:val="28"/>
          <w:szCs w:val="28"/>
          <w:lang w:eastAsia="lv-LV"/>
        </w:rPr>
        <w:t>Grozījums</w:t>
      </w:r>
      <w:r w:rsidRPr="00F67714">
        <w:rPr>
          <w:rFonts w:ascii="Times New Roman" w:hAnsi="Times New Roman"/>
          <w:b/>
          <w:bCs/>
          <w:sz w:val="28"/>
          <w:szCs w:val="28"/>
          <w:lang w:eastAsia="lv-LV"/>
        </w:rPr>
        <w:t xml:space="preserve"> </w:t>
      </w:r>
      <w:hyperlink r:id="rId8" w:tgtFrame="_blank" w:history="1">
        <w:r w:rsidRPr="00F67714">
          <w:rPr>
            <w:rFonts w:ascii="Times New Roman" w:hAnsi="Times New Roman"/>
            <w:b/>
            <w:bCs/>
            <w:sz w:val="28"/>
            <w:szCs w:val="28"/>
            <w:lang w:eastAsia="lv-LV"/>
          </w:rPr>
          <w:t>Ceļu satiksmes likumā</w:t>
        </w:r>
      </w:hyperlink>
      <w:r w:rsidRPr="00F67714">
        <w:rPr>
          <w:rFonts w:ascii="Times New Roman" w:hAnsi="Times New Roman"/>
          <w:b/>
          <w:bCs/>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F67714">
          <w:rPr>
            <w:rFonts w:ascii="Times New Roman" w:hAnsi="Times New Roman"/>
            <w:b/>
            <w:bCs/>
            <w:sz w:val="28"/>
            <w:szCs w:val="28"/>
            <w:lang w:eastAsia="lv-LV"/>
          </w:rPr>
          <w:t>ziņojums</w:t>
        </w:r>
      </w:smartTag>
      <w:r w:rsidRPr="00F67714">
        <w:rPr>
          <w:rFonts w:ascii="Times New Roman" w:hAnsi="Times New Roman"/>
          <w:b/>
          <w:bCs/>
          <w:sz w:val="28"/>
          <w:szCs w:val="28"/>
          <w:lang w:eastAsia="lv-LV"/>
        </w:rPr>
        <w:t xml:space="preserve"> (anotācija)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995"/>
        <w:gridCol w:w="7229"/>
        <w:gridCol w:w="26"/>
      </w:tblGrid>
      <w:tr w:rsidR="005C0B07" w:rsidRPr="001A01F9" w:rsidTr="001D1388">
        <w:trPr>
          <w:gridAfter w:val="1"/>
          <w:wAfter w:w="26" w:type="dxa"/>
          <w:trHeight w:val="151"/>
        </w:trPr>
        <w:tc>
          <w:tcPr>
            <w:tcW w:w="9721" w:type="dxa"/>
            <w:gridSpan w:val="3"/>
          </w:tcPr>
          <w:p w:rsidR="005C0B07" w:rsidRPr="005670AB" w:rsidRDefault="005C0B07" w:rsidP="0044309A">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b/>
                <w:bCs/>
                <w:color w:val="0D0D0D"/>
                <w:sz w:val="24"/>
                <w:szCs w:val="24"/>
                <w:lang w:eastAsia="zh-CN"/>
              </w:rPr>
              <w:t>I. Tiesību akta projekta izstrādes nepieciešamība</w:t>
            </w:r>
          </w:p>
        </w:tc>
      </w:tr>
      <w:tr w:rsidR="005C0B07" w:rsidRPr="001A01F9" w:rsidTr="001D1388">
        <w:trPr>
          <w:gridAfter w:val="1"/>
          <w:wAfter w:w="26" w:type="dxa"/>
          <w:trHeight w:val="405"/>
        </w:trPr>
        <w:tc>
          <w:tcPr>
            <w:tcW w:w="497" w:type="dxa"/>
          </w:tcPr>
          <w:p w:rsidR="005C0B07" w:rsidRPr="005670AB" w:rsidRDefault="005C0B07" w:rsidP="0044309A">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color w:val="0D0D0D"/>
                <w:sz w:val="24"/>
                <w:szCs w:val="24"/>
                <w:lang w:eastAsia="zh-CN"/>
              </w:rPr>
              <w:t>1.</w:t>
            </w:r>
          </w:p>
        </w:tc>
        <w:tc>
          <w:tcPr>
            <w:tcW w:w="1995" w:type="dxa"/>
          </w:tcPr>
          <w:p w:rsidR="005C0B07" w:rsidRPr="005670AB" w:rsidRDefault="005C0B07" w:rsidP="0044309A">
            <w:pPr>
              <w:suppressAutoHyphens/>
              <w:spacing w:after="0" w:line="240" w:lineRule="auto"/>
              <w:rPr>
                <w:rFonts w:ascii="Times New Roman" w:hAnsi="Times New Roman"/>
                <w:color w:val="0D0D0D"/>
                <w:sz w:val="24"/>
                <w:szCs w:val="24"/>
              </w:rPr>
            </w:pPr>
            <w:r w:rsidRPr="005670AB">
              <w:rPr>
                <w:rFonts w:ascii="Times New Roman" w:hAnsi="Times New Roman"/>
                <w:color w:val="0D0D0D"/>
                <w:sz w:val="24"/>
                <w:szCs w:val="24"/>
                <w:lang w:eastAsia="zh-CN"/>
              </w:rPr>
              <w:t xml:space="preserve">  Pamatojums</w:t>
            </w:r>
          </w:p>
        </w:tc>
        <w:tc>
          <w:tcPr>
            <w:tcW w:w="7229" w:type="dxa"/>
          </w:tcPr>
          <w:p w:rsidR="005C0B07" w:rsidRPr="005670AB" w:rsidRDefault="005C0B07" w:rsidP="0005351D">
            <w:pPr>
              <w:suppressAutoHyphens/>
              <w:spacing w:after="0" w:line="240" w:lineRule="auto"/>
              <w:jc w:val="both"/>
              <w:rPr>
                <w:rFonts w:ascii="Times New Roman" w:hAnsi="Times New Roman"/>
                <w:color w:val="0D0D0D"/>
                <w:sz w:val="24"/>
                <w:szCs w:val="24"/>
                <w:lang w:eastAsia="zh-CN"/>
              </w:rPr>
            </w:pPr>
            <w:r>
              <w:rPr>
                <w:rFonts w:ascii="Times New Roman" w:hAnsi="Times New Roman"/>
                <w:sz w:val="24"/>
                <w:szCs w:val="24"/>
                <w:lang w:eastAsia="lv-LV"/>
              </w:rPr>
              <w:t xml:space="preserve">Iekšlietu ministrijas iniciatīva, īstenojot Latvijas Republikas Valsts kontroles 2013.gada 25.novembra revīzijas ziņojumā Nr.5.1-2-9-1/2013 “Starptautisko autopārvadājumu nodrošināšanā iesaistīto institūciju darbības atbilstība normatīvo aktu prasībām, un Latvijas Republikas – Krievijas Federācijas valdību nolīguma par automobiļu starptautisko satiksmi izpildes izvērtējums” (turpmāk – revīzijas ziņojums) </w:t>
            </w:r>
            <w:r w:rsidR="0005351D">
              <w:rPr>
                <w:rFonts w:ascii="Times New Roman" w:hAnsi="Times New Roman"/>
                <w:sz w:val="24"/>
                <w:szCs w:val="24"/>
                <w:lang w:eastAsia="lv-LV"/>
              </w:rPr>
              <w:t>minēto</w:t>
            </w:r>
            <w:r>
              <w:rPr>
                <w:rFonts w:ascii="Times New Roman" w:hAnsi="Times New Roman"/>
                <w:sz w:val="24"/>
                <w:szCs w:val="24"/>
                <w:lang w:eastAsia="lv-LV"/>
              </w:rPr>
              <w:t xml:space="preserve"> ieteikumu ieviešanu.</w:t>
            </w:r>
          </w:p>
        </w:tc>
      </w:tr>
      <w:tr w:rsidR="005C0B07" w:rsidRPr="001A01F9" w:rsidTr="001D1388">
        <w:trPr>
          <w:gridAfter w:val="1"/>
          <w:wAfter w:w="26" w:type="dxa"/>
          <w:trHeight w:val="1548"/>
        </w:trPr>
        <w:tc>
          <w:tcPr>
            <w:tcW w:w="497" w:type="dxa"/>
          </w:tcPr>
          <w:p w:rsidR="005C0B07" w:rsidRPr="005670AB" w:rsidRDefault="005C0B07" w:rsidP="0044309A">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color w:val="0D0D0D"/>
                <w:sz w:val="24"/>
                <w:szCs w:val="24"/>
                <w:lang w:eastAsia="zh-CN"/>
              </w:rPr>
              <w:t>2.</w:t>
            </w:r>
          </w:p>
        </w:tc>
        <w:tc>
          <w:tcPr>
            <w:tcW w:w="1995" w:type="dxa"/>
          </w:tcPr>
          <w:p w:rsidR="005C0B07" w:rsidRPr="005670AB" w:rsidRDefault="005C0B07" w:rsidP="0044309A">
            <w:pPr>
              <w:suppressAutoHyphens/>
              <w:spacing w:after="0" w:line="240" w:lineRule="auto"/>
              <w:ind w:left="122" w:right="112"/>
              <w:rPr>
                <w:rFonts w:ascii="Times New Roman" w:hAnsi="Times New Roman"/>
                <w:bCs/>
                <w:color w:val="0D0D0D"/>
                <w:sz w:val="24"/>
                <w:szCs w:val="24"/>
                <w:lang w:eastAsia="zh-CN"/>
              </w:rPr>
            </w:pPr>
            <w:r w:rsidRPr="005670AB">
              <w:rPr>
                <w:rFonts w:ascii="Times New Roman" w:hAnsi="Times New Roman"/>
                <w:color w:val="0D0D0D"/>
                <w:sz w:val="24"/>
                <w:szCs w:val="24"/>
                <w:lang w:eastAsia="zh-CN"/>
              </w:rPr>
              <w:t>Pašreizējā situācija un problēmas, kuru risināšanai tiesību akta projekts izstrādāts, tiesiskā regulējuma mērķis un būtība</w:t>
            </w:r>
          </w:p>
        </w:tc>
        <w:tc>
          <w:tcPr>
            <w:tcW w:w="7229" w:type="dxa"/>
          </w:tcPr>
          <w:p w:rsidR="005C0B07" w:rsidRPr="006F697D" w:rsidRDefault="005C0B07" w:rsidP="006F697D">
            <w:pPr>
              <w:tabs>
                <w:tab w:val="left" w:pos="567"/>
                <w:tab w:val="left" w:pos="2520"/>
                <w:tab w:val="left" w:pos="6720"/>
              </w:tabs>
              <w:spacing w:after="0" w:line="200" w:lineRule="atLeast"/>
              <w:ind w:right="167" w:firstLine="224"/>
              <w:jc w:val="both"/>
              <w:rPr>
                <w:rFonts w:ascii="Times New Roman" w:hAnsi="Times New Roman"/>
                <w:sz w:val="24"/>
                <w:szCs w:val="24"/>
                <w:lang w:eastAsia="ar-SA"/>
              </w:rPr>
            </w:pPr>
            <w:r w:rsidRPr="006F697D">
              <w:rPr>
                <w:rFonts w:ascii="Times New Roman" w:hAnsi="Times New Roman"/>
                <w:sz w:val="24"/>
                <w:szCs w:val="24"/>
              </w:rPr>
              <w:t>Atbilstoši revīzijas ziņojumā sniegtajiem ieteikumiem, šī likumprojekta mērķis ir noteikt tādus administratīvās iedarbības līdzekļus,</w:t>
            </w:r>
            <w:r w:rsidRPr="006F697D">
              <w:rPr>
                <w:rFonts w:ascii="Times New Roman" w:hAnsi="Times New Roman"/>
                <w:sz w:val="24"/>
                <w:szCs w:val="24"/>
                <w:lang w:eastAsia="ar-SA"/>
              </w:rPr>
              <w:t xml:space="preserve"> lai autopārvadājumu jomā konstatētie pārkāpumi, kurus izdarījuši ārvalstu pārvadātāji, tiktu savlaicīgi novērsti un piemērotie naudas sodi</w:t>
            </w:r>
            <w:r w:rsidRPr="006F697D">
              <w:rPr>
                <w:rFonts w:ascii="Times New Roman" w:hAnsi="Times New Roman"/>
                <w:color w:val="C00000"/>
                <w:sz w:val="24"/>
                <w:szCs w:val="24"/>
              </w:rPr>
              <w:t xml:space="preserve"> </w:t>
            </w:r>
            <w:r w:rsidRPr="006F697D">
              <w:rPr>
                <w:rFonts w:ascii="Times New Roman" w:hAnsi="Times New Roman"/>
                <w:sz w:val="24"/>
                <w:szCs w:val="24"/>
              </w:rPr>
              <w:t>par administratīvajiem pārkāpumiem</w:t>
            </w:r>
            <w:r w:rsidRPr="006F697D">
              <w:rPr>
                <w:rFonts w:ascii="Times New Roman" w:hAnsi="Times New Roman"/>
                <w:sz w:val="24"/>
                <w:szCs w:val="24"/>
                <w:lang w:eastAsia="ar-SA"/>
              </w:rPr>
              <w:t xml:space="preserve"> valsts budžetā tiktu samaksāti savlaicīgi un pilnā apmērā.</w:t>
            </w:r>
          </w:p>
          <w:p w:rsidR="005C0B07" w:rsidRPr="006F697D" w:rsidRDefault="005C0B07" w:rsidP="006F697D">
            <w:pPr>
              <w:tabs>
                <w:tab w:val="left" w:pos="567"/>
                <w:tab w:val="left" w:pos="2520"/>
                <w:tab w:val="left" w:pos="6720"/>
              </w:tabs>
              <w:spacing w:after="0" w:line="200" w:lineRule="atLeast"/>
              <w:ind w:right="167" w:firstLine="224"/>
              <w:jc w:val="both"/>
              <w:rPr>
                <w:rFonts w:ascii="Times New Roman" w:hAnsi="Times New Roman"/>
                <w:sz w:val="24"/>
                <w:szCs w:val="24"/>
              </w:rPr>
            </w:pPr>
            <w:r w:rsidRPr="006F697D">
              <w:rPr>
                <w:rFonts w:ascii="Times New Roman" w:hAnsi="Times New Roman"/>
                <w:sz w:val="24"/>
                <w:szCs w:val="24"/>
              </w:rPr>
              <w:t xml:space="preserve">Tāpat, šī likumprojekta mērķis saglabāt vienlīdzīgus konkurences apstākļus starp ārvalstu un nacionālajiem pārvadātājiem, nodrošinot atbildības par administratīvo pārkāpumu - uzliktā pienākuma novērst pārkāpumu tā konstatēšanas vietā neizbēgamības principa īstenošanu neatkarīgi no pārkāpēja valstiskās piederības. </w:t>
            </w:r>
          </w:p>
          <w:p w:rsidR="005C0B07" w:rsidRPr="006F697D" w:rsidRDefault="005C0B07" w:rsidP="006F697D">
            <w:pPr>
              <w:tabs>
                <w:tab w:val="left" w:pos="567"/>
                <w:tab w:val="left" w:pos="2520"/>
                <w:tab w:val="left" w:pos="6720"/>
              </w:tabs>
              <w:spacing w:after="0" w:line="200" w:lineRule="atLeast"/>
              <w:ind w:right="167" w:firstLine="224"/>
              <w:jc w:val="both"/>
              <w:rPr>
                <w:rFonts w:ascii="Times New Roman" w:hAnsi="Times New Roman"/>
                <w:sz w:val="24"/>
                <w:szCs w:val="24"/>
                <w:lang w:eastAsia="ar-SA"/>
              </w:rPr>
            </w:pPr>
            <w:r w:rsidRPr="006F697D">
              <w:rPr>
                <w:rFonts w:ascii="Times New Roman" w:hAnsi="Times New Roman"/>
                <w:sz w:val="24"/>
                <w:szCs w:val="24"/>
                <w:lang w:eastAsia="ar-SA"/>
              </w:rPr>
              <w:t>Latvijai saistošās starptautiskās tiesību normas attiecībā uz kravu un pasažieru autopārvadājumiem ir ietvertas Eiropas Savienības tiesību aktos, Daudzpusējos starptautiskajos līgumos, Divpusējos starpvaldību līgumos un Latvijas Republikas tiesību aktos.</w:t>
            </w:r>
          </w:p>
          <w:p w:rsidR="005C0B07" w:rsidRPr="006F697D" w:rsidRDefault="005C0B07" w:rsidP="006F697D">
            <w:pPr>
              <w:tabs>
                <w:tab w:val="left" w:pos="507"/>
              </w:tabs>
              <w:autoSpaceDE w:val="0"/>
              <w:autoSpaceDN w:val="0"/>
              <w:adjustRightInd w:val="0"/>
              <w:spacing w:after="0" w:line="240" w:lineRule="auto"/>
              <w:ind w:firstLine="366"/>
              <w:jc w:val="both"/>
              <w:rPr>
                <w:rFonts w:ascii="Times New Roman" w:hAnsi="Times New Roman"/>
                <w:sz w:val="24"/>
                <w:szCs w:val="24"/>
              </w:rPr>
            </w:pPr>
            <w:r w:rsidRPr="006F697D">
              <w:rPr>
                <w:rFonts w:ascii="Times New Roman" w:hAnsi="Times New Roman"/>
                <w:sz w:val="24"/>
                <w:szCs w:val="24"/>
              </w:rPr>
              <w:t>Saskaņā ar Konvencijas par kravu starptautisko autopārvadājumu līgumu (CMR) 3.pantu, pārvadātājs ir atbildīgs par savu pārstāvju, darbinieku un citu personu, kuru pakalpojumus viņš izmanto, veicot pārvadājumu, darbību un kļūmēm viņu kompetences sfērā, it kā šī darbība vai kļūmes būtu viņa paša.</w:t>
            </w:r>
          </w:p>
          <w:p w:rsidR="005C0B07" w:rsidRPr="006F697D" w:rsidRDefault="005C0B07" w:rsidP="006F697D">
            <w:pPr>
              <w:tabs>
                <w:tab w:val="left" w:pos="507"/>
              </w:tabs>
              <w:autoSpaceDE w:val="0"/>
              <w:autoSpaceDN w:val="0"/>
              <w:adjustRightInd w:val="0"/>
              <w:spacing w:after="0" w:line="240" w:lineRule="auto"/>
              <w:ind w:firstLine="366"/>
              <w:jc w:val="both"/>
              <w:rPr>
                <w:rFonts w:ascii="Times New Roman" w:hAnsi="Times New Roman"/>
                <w:sz w:val="24"/>
                <w:szCs w:val="24"/>
              </w:rPr>
            </w:pPr>
            <w:r w:rsidRPr="006F697D">
              <w:rPr>
                <w:rFonts w:ascii="Times New Roman" w:hAnsi="Times New Roman"/>
                <w:sz w:val="24"/>
                <w:szCs w:val="24"/>
              </w:rPr>
              <w:t>Līdzīgs regulējums noteikts Konvencijas par pasažieru un bagāžas starptautisko autopārvadājumu līgumu (CVR), kur Konvencijas 4.pantā noteikts, ka pārvadātājs atbildīgs par savu pārstāvju, darbinieku un citu personu, kuru pakalpojumus viņš izmanto, izpildot viņam ar pārvadājuma līgumu uzliktās saistības, darbību un kļūmēm tā, it kā šī darbība un kļūmes būtu viņa paša, ja šie pārstāvji, darbinieki un personas darbojas savā kompetencē.</w:t>
            </w:r>
          </w:p>
          <w:p w:rsidR="005C0B07" w:rsidRPr="006F697D" w:rsidRDefault="005C0B07" w:rsidP="006F697D">
            <w:pPr>
              <w:tabs>
                <w:tab w:val="left" w:pos="507"/>
              </w:tabs>
              <w:autoSpaceDE w:val="0"/>
              <w:autoSpaceDN w:val="0"/>
              <w:adjustRightInd w:val="0"/>
              <w:spacing w:after="0" w:line="240" w:lineRule="auto"/>
              <w:ind w:firstLine="366"/>
              <w:jc w:val="both"/>
              <w:rPr>
                <w:rFonts w:ascii="Times New Roman" w:hAnsi="Times New Roman"/>
                <w:sz w:val="24"/>
                <w:szCs w:val="24"/>
              </w:rPr>
            </w:pPr>
            <w:r w:rsidRPr="006F697D">
              <w:rPr>
                <w:rFonts w:ascii="Times New Roman" w:hAnsi="Times New Roman"/>
                <w:sz w:val="24"/>
                <w:szCs w:val="24"/>
              </w:rPr>
              <w:t>Atbilstoši likuma “Par Latvijas Republikas valdības un Krievijas Federācijas valdības nolīgumu par automobiļu starptautisko satiksmi” 9.pantam, Līgumslēdzēju Pušu pārvadātājiem un autotransporta vadītājiem jāievēro tās valsts ceļu satiksmes noteikumi un tiesiskās normas, kuras teritorijā tiek veikti pārvadājumi. Šī nolīguma 14.pants nosaka, ka pārvadājumus var veikt tikai tie pārvadātāji, kuri ir tiesīgi veikt starptautiskos pārvadājumus saskaņā ar savas valsts likumdošanu.</w:t>
            </w:r>
          </w:p>
          <w:p w:rsidR="005C0B07" w:rsidRPr="006F697D" w:rsidRDefault="005C0B07" w:rsidP="006F697D">
            <w:pPr>
              <w:pStyle w:val="Bezatstarpm"/>
              <w:ind w:firstLine="366"/>
              <w:jc w:val="both"/>
              <w:rPr>
                <w:rFonts w:ascii="Times New Roman" w:hAnsi="Times New Roman"/>
                <w:sz w:val="24"/>
                <w:szCs w:val="24"/>
              </w:rPr>
            </w:pPr>
            <w:r w:rsidRPr="006F697D">
              <w:rPr>
                <w:rFonts w:ascii="Times New Roman" w:hAnsi="Times New Roman"/>
                <w:sz w:val="24"/>
                <w:szCs w:val="24"/>
              </w:rPr>
              <w:t xml:space="preserve">Eiropas Parlamenta un Padomes regulas (EK) Nr. 1071/2009 (2009. gada 21. oktobris), ar ko nosaka kopīgus noteikumus par autopārvadātāja profesionālās darbības veikšanas nosacījumiem un atceļ Padomes Direktīvu 96/26/EK (turpmāk – regula Nr. 1071/2009) 2.panta 4.apakšpunkts nosaka, ka “uzņēmums” ir pasažieru pārvadājumos iesaistīta jebkura fiziska persona, jebkura juridiska persona, kas gūst vai negūst peļņu, jebkura apvienība vai personu grupa, kam nav juridiskās </w:t>
            </w:r>
            <w:r w:rsidRPr="006F697D">
              <w:rPr>
                <w:rFonts w:ascii="Times New Roman" w:hAnsi="Times New Roman"/>
                <w:sz w:val="24"/>
                <w:szCs w:val="24"/>
              </w:rPr>
              <w:lastRenderedPageBreak/>
              <w:t xml:space="preserve">personas statusa un kas gūst vai negūst peļņu, vai jebkura publiska iestāde, kura pati ir juridiskā persona vai arī ir atkarīga no iestādes, kura ir juridiskā persona, vai arī ikviena fiziska vai juridiska persona, kas komerciālos nolūkos veic kravu pārvadājumus. Savukārt, regulas Nr. 1071/2009 5.panta b) apakšpunkts nosaka, ka uzņēmuma attiecīgajā dalībvalstī pēc atļaujas piešķiršanas jābūt vienam vai vairākiem transportlīdzekļiem, kas ir pilnīgā uzņēmuma īpašumā vai rīcībā, piemēram, izmantojot nomas-izpirkuma vai nomas vai līzinga līgumu, un kuri ir reģistrēti vai kā savādāk piedalās satiksmē saskaņā ar attiecīgās dalībvalsts tiesību aktiem. </w:t>
            </w:r>
          </w:p>
          <w:p w:rsidR="005C0B07" w:rsidRPr="006F697D" w:rsidRDefault="005C0B07" w:rsidP="006F697D">
            <w:pPr>
              <w:pStyle w:val="Bezatstarpm"/>
              <w:ind w:firstLine="366"/>
              <w:jc w:val="both"/>
              <w:rPr>
                <w:rFonts w:ascii="Times New Roman" w:hAnsi="Times New Roman"/>
                <w:sz w:val="24"/>
                <w:szCs w:val="24"/>
              </w:rPr>
            </w:pPr>
            <w:r w:rsidRPr="006F697D">
              <w:rPr>
                <w:rFonts w:ascii="Times New Roman" w:hAnsi="Times New Roman"/>
                <w:sz w:val="24"/>
                <w:szCs w:val="24"/>
              </w:rPr>
              <w:t>Pārvadātāju atbildība noteikta regulas Nr. 1071/2009 6.panta 1.punkta trešajā daļā, tajā skaitā atbildība par:</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rPr>
              <w:t>transportlīdzekļa</w:t>
            </w:r>
            <w:r w:rsidRPr="006F697D">
              <w:rPr>
                <w:rFonts w:ascii="Times New Roman" w:hAnsi="Times New Roman"/>
                <w:sz w:val="24"/>
                <w:szCs w:val="24"/>
                <w:lang w:eastAsia="lv-LV"/>
              </w:rPr>
              <w:t xml:space="preserve"> vadīšanas laika un transportlīdzekļa vadītāja atpūtas laika, darba laika un kontrolierīču uzstādīšanu un izmantošanu;</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starptautiskajā satiksmē izmantojamo komerciālo transportlīdzekļu maksimālajām masas un gabarītu normām;</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transportlīdzekļa vadītāju sākotnējo kvalifikāciju un turpmāko apmācību;</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komerciālo transportlīdzekļu tehnisko pārbaudi uz ceļiem, tostarp mehānisko transportlīdzekļu obligātajām tehniskajām pārbaudēm;</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piekļuvi starptautisko kravu autopārvadājumu tirgum vai arī atkarībā no gadījuma, piekļuvi pasažieru autopārvadājumu tirgum;</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bīstamu kravu autopārvadājumu drošību;</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ātruma ierobežošanas ierīču uzstādīšanu noteiktu kategoriju transportlīdzekļos;</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transportlīdzekļa vadītāja apliecību;</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profesionālās darbības atļaušanu;</w:t>
            </w:r>
          </w:p>
          <w:p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dzīvnieku pārvadāšanu.</w:t>
            </w:r>
          </w:p>
          <w:p w:rsidR="005C0B07" w:rsidRPr="006F697D" w:rsidRDefault="005C0B07" w:rsidP="006F697D">
            <w:pPr>
              <w:pStyle w:val="Bezatstarpm"/>
              <w:tabs>
                <w:tab w:val="left" w:pos="82"/>
              </w:tabs>
              <w:ind w:firstLine="366"/>
              <w:jc w:val="both"/>
              <w:rPr>
                <w:rFonts w:ascii="Times New Roman" w:hAnsi="Times New Roman"/>
                <w:sz w:val="24"/>
                <w:szCs w:val="24"/>
              </w:rPr>
            </w:pPr>
            <w:r w:rsidRPr="006F697D">
              <w:rPr>
                <w:rFonts w:ascii="Times New Roman" w:hAnsi="Times New Roman"/>
                <w:sz w:val="24"/>
                <w:szCs w:val="24"/>
              </w:rPr>
              <w:t>Ministru kabineta 2011.gada 24.maija noteikumos Nr.411 “Autopārvadājumu kontroles organizēšanas un īstenošanas kārtība” (turpmāk – Noteikumi Nr.411) noteiktas autopārvadājumu kontrolē iesaistītās institūcijas, tostarp, Valsts policija, kura veic:</w:t>
            </w:r>
          </w:p>
          <w:p w:rsidR="005C0B07" w:rsidRPr="006F697D"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6F697D">
              <w:rPr>
                <w:rFonts w:ascii="Times New Roman" w:hAnsi="Times New Roman"/>
                <w:sz w:val="24"/>
                <w:szCs w:val="24"/>
              </w:rPr>
              <w:t>transportlīdzekļu pārbaudi uz ceļiem;</w:t>
            </w:r>
          </w:p>
          <w:p w:rsidR="005C0B07" w:rsidRPr="006F697D"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6F697D">
              <w:rPr>
                <w:rFonts w:ascii="Times New Roman" w:hAnsi="Times New Roman"/>
                <w:sz w:val="24"/>
                <w:szCs w:val="24"/>
              </w:rPr>
              <w:t>bīstamo kravu pārbaudi;</w:t>
            </w:r>
          </w:p>
          <w:p w:rsidR="005C0B07" w:rsidRPr="006F697D"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6F697D">
              <w:rPr>
                <w:rFonts w:ascii="Times New Roman" w:hAnsi="Times New Roman"/>
                <w:sz w:val="24"/>
                <w:szCs w:val="24"/>
              </w:rPr>
              <w:t>faktiskās masas pārbaudi;</w:t>
            </w:r>
          </w:p>
          <w:p w:rsidR="005C0B07" w:rsidRPr="006F697D"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6F697D">
              <w:rPr>
                <w:rFonts w:ascii="Times New Roman" w:hAnsi="Times New Roman"/>
                <w:sz w:val="24"/>
                <w:szCs w:val="24"/>
              </w:rPr>
              <w:t>kravas nostiprināšanas pārbaudi;</w:t>
            </w:r>
          </w:p>
          <w:p w:rsidR="005C0B07" w:rsidRPr="006F697D"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6F697D">
              <w:rPr>
                <w:rFonts w:ascii="Times New Roman" w:hAnsi="Times New Roman"/>
                <w:sz w:val="24"/>
                <w:szCs w:val="24"/>
              </w:rPr>
              <w:t>kravas gabarītu pārbaudi;</w:t>
            </w:r>
          </w:p>
          <w:p w:rsidR="005C0B07" w:rsidRPr="006F697D"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proofErr w:type="spellStart"/>
            <w:r w:rsidRPr="006F697D">
              <w:rPr>
                <w:rFonts w:ascii="Times New Roman" w:hAnsi="Times New Roman"/>
                <w:sz w:val="24"/>
                <w:szCs w:val="24"/>
              </w:rPr>
              <w:t>tahogrammu</w:t>
            </w:r>
            <w:proofErr w:type="spellEnd"/>
            <w:r w:rsidRPr="006F697D">
              <w:rPr>
                <w:rFonts w:ascii="Times New Roman" w:hAnsi="Times New Roman"/>
                <w:sz w:val="24"/>
                <w:szCs w:val="24"/>
              </w:rPr>
              <w:t xml:space="preserve"> pārbaudi uz ceļiem un uzņēmumos;</w:t>
            </w:r>
          </w:p>
          <w:p w:rsidR="005C0B07" w:rsidRPr="006F697D"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6F697D">
              <w:rPr>
                <w:rFonts w:ascii="Times New Roman" w:hAnsi="Times New Roman"/>
                <w:sz w:val="24"/>
                <w:szCs w:val="24"/>
              </w:rPr>
              <w:t>autoceļu lietošanas nodevas samaksas pārbaudi;</w:t>
            </w:r>
          </w:p>
          <w:p w:rsidR="005C0B07" w:rsidRPr="006F697D"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6F697D">
              <w:rPr>
                <w:rFonts w:ascii="Times New Roman" w:hAnsi="Times New Roman"/>
                <w:sz w:val="24"/>
                <w:szCs w:val="24"/>
              </w:rPr>
              <w:t>uzņēmumu pārbaudi.</w:t>
            </w:r>
          </w:p>
          <w:p w:rsidR="005C0B07" w:rsidRPr="006F697D" w:rsidRDefault="005C0B07" w:rsidP="006F697D">
            <w:pPr>
              <w:pStyle w:val="Bezatstarpm"/>
              <w:ind w:firstLine="366"/>
              <w:jc w:val="both"/>
              <w:rPr>
                <w:rFonts w:ascii="Times New Roman" w:hAnsi="Times New Roman"/>
                <w:sz w:val="24"/>
                <w:szCs w:val="24"/>
              </w:rPr>
            </w:pPr>
            <w:r w:rsidRPr="006F697D">
              <w:rPr>
                <w:rFonts w:ascii="Times New Roman" w:hAnsi="Times New Roman"/>
                <w:sz w:val="24"/>
                <w:szCs w:val="24"/>
              </w:rPr>
              <w:t xml:space="preserve">Saskaņā ar likuma “Par policiju” </w:t>
            </w:r>
            <w:r w:rsidRPr="006F697D">
              <w:rPr>
                <w:rFonts w:ascii="Times New Roman" w:hAnsi="Times New Roman"/>
                <w:bCs/>
                <w:sz w:val="24"/>
                <w:szCs w:val="24"/>
              </w:rPr>
              <w:t>12. panta</w:t>
            </w:r>
            <w:r w:rsidRPr="006F697D">
              <w:rPr>
                <w:rFonts w:ascii="Times New Roman" w:hAnsi="Times New Roman"/>
                <w:sz w:val="24"/>
                <w:szCs w:val="24"/>
              </w:rPr>
              <w:t xml:space="preserve"> </w:t>
            </w:r>
            <w:r w:rsidR="0005351D">
              <w:rPr>
                <w:rFonts w:ascii="Times New Roman" w:hAnsi="Times New Roman"/>
                <w:sz w:val="24"/>
                <w:szCs w:val="24"/>
              </w:rPr>
              <w:t xml:space="preserve">pirmās daļas </w:t>
            </w:r>
            <w:r w:rsidRPr="006F697D">
              <w:rPr>
                <w:rFonts w:ascii="Times New Roman" w:hAnsi="Times New Roman"/>
                <w:sz w:val="24"/>
                <w:szCs w:val="24"/>
              </w:rPr>
              <w:t>20</w:t>
            </w:r>
            <w:r w:rsidR="00015451" w:rsidRPr="006F697D">
              <w:rPr>
                <w:rFonts w:ascii="Times New Roman" w:hAnsi="Times New Roman"/>
                <w:sz w:val="24"/>
                <w:szCs w:val="24"/>
              </w:rPr>
              <w:t>.</w:t>
            </w:r>
            <w:r w:rsidRPr="006F697D">
              <w:rPr>
                <w:rFonts w:ascii="Times New Roman" w:hAnsi="Times New Roman"/>
                <w:sz w:val="24"/>
                <w:szCs w:val="24"/>
                <w:vertAlign w:val="superscript"/>
              </w:rPr>
              <w:t>2</w:t>
            </w:r>
            <w:r w:rsidR="00015451" w:rsidRPr="006F697D">
              <w:rPr>
                <w:rFonts w:ascii="Times New Roman" w:hAnsi="Times New Roman"/>
                <w:sz w:val="24"/>
                <w:szCs w:val="24"/>
              </w:rPr>
              <w:t xml:space="preserve"> punktu</w:t>
            </w:r>
            <w:r w:rsidRPr="006F697D">
              <w:rPr>
                <w:rFonts w:ascii="Times New Roman" w:hAnsi="Times New Roman"/>
                <w:sz w:val="24"/>
                <w:szCs w:val="24"/>
              </w:rPr>
              <w:t>, policijas darbiniekam, pildot viņam uzliktos pienākumus atbilstoši dienesta kompetencei, ir tiesības veikt autopārvadājumu uzraudzību un kontroli.</w:t>
            </w:r>
          </w:p>
          <w:p w:rsidR="005C0B07" w:rsidRPr="006F697D" w:rsidRDefault="005C0B07" w:rsidP="006F697D">
            <w:pPr>
              <w:pStyle w:val="Bezatstarpm"/>
              <w:ind w:firstLine="224"/>
              <w:jc w:val="both"/>
              <w:rPr>
                <w:rFonts w:ascii="Times New Roman" w:hAnsi="Times New Roman"/>
                <w:sz w:val="24"/>
                <w:szCs w:val="24"/>
              </w:rPr>
            </w:pPr>
            <w:r w:rsidRPr="006F697D">
              <w:rPr>
                <w:rFonts w:ascii="Times New Roman" w:hAnsi="Times New Roman"/>
                <w:sz w:val="24"/>
                <w:szCs w:val="24"/>
              </w:rPr>
              <w:t xml:space="preserve">Pašreizējais tiesiskais regulējums, kāds tas noteikts Latvijas Administratīvo pārkāpumu kodeksā </w:t>
            </w:r>
            <w:r w:rsidRPr="006F697D">
              <w:rPr>
                <w:rFonts w:ascii="Times New Roman" w:hAnsi="Times New Roman"/>
                <w:sz w:val="24"/>
                <w:szCs w:val="24"/>
                <w:lang w:eastAsia="lv-LV"/>
              </w:rPr>
              <w:t>(turpmāk – LAPK)</w:t>
            </w:r>
            <w:r w:rsidRPr="006F697D">
              <w:rPr>
                <w:rFonts w:ascii="Times New Roman" w:hAnsi="Times New Roman"/>
                <w:sz w:val="24"/>
                <w:szCs w:val="24"/>
              </w:rPr>
              <w:t xml:space="preserve">, Autopārvadājumu likumā, Ceļu satiksmes likumā un uz šo likumu pamata izdotajos Ministru kabineta noteikumos, nespēj pilnvērtīgi sasniegt mērķi, jo uz šo tiesību aktu pamata piemērotie naudas sodi ārvalstu pārvadātājiem nav efektīvi iekasējami, kā arī iztrūkst iedarbīgi administratīvās ietekmēšanas līdzekļi ierobežot tādu autopārvadājumos iesaistītu transportlīdzekļu dalību ceļu satiksmē, kuriem nav novērsti konstatētie pārkāpumi. </w:t>
            </w:r>
          </w:p>
          <w:p w:rsidR="00A65AD7" w:rsidRPr="00F67714" w:rsidRDefault="005C0B07" w:rsidP="006F697D">
            <w:pPr>
              <w:pStyle w:val="Bezatstarpm"/>
              <w:ind w:firstLine="224"/>
              <w:jc w:val="both"/>
              <w:rPr>
                <w:rFonts w:ascii="Times New Roman" w:hAnsi="Times New Roman"/>
                <w:sz w:val="24"/>
                <w:szCs w:val="24"/>
              </w:rPr>
            </w:pPr>
            <w:proofErr w:type="gramStart"/>
            <w:r w:rsidRPr="00F67714">
              <w:rPr>
                <w:rFonts w:ascii="Times New Roman" w:hAnsi="Times New Roman"/>
                <w:sz w:val="24"/>
                <w:szCs w:val="24"/>
              </w:rPr>
              <w:lastRenderedPageBreak/>
              <w:t>Tā, piemēram,</w:t>
            </w:r>
            <w:proofErr w:type="gramEnd"/>
            <w:r w:rsidRPr="00F67714">
              <w:rPr>
                <w:rFonts w:ascii="Times New Roman" w:hAnsi="Times New Roman"/>
                <w:sz w:val="24"/>
                <w:szCs w:val="24"/>
              </w:rPr>
              <w:t xml:space="preserve"> ievērojamas grūtības rada LAPK </w:t>
            </w:r>
            <w:r w:rsidRPr="00F67714">
              <w:rPr>
                <w:rFonts w:ascii="Times New Roman" w:hAnsi="Times New Roman"/>
                <w:bCs/>
                <w:sz w:val="24"/>
                <w:szCs w:val="24"/>
              </w:rPr>
              <w:t>248.</w:t>
            </w:r>
            <w:r w:rsidRPr="00F67714">
              <w:rPr>
                <w:rFonts w:ascii="Times New Roman" w:hAnsi="Times New Roman"/>
                <w:bCs/>
                <w:sz w:val="24"/>
                <w:szCs w:val="24"/>
                <w:vertAlign w:val="superscript"/>
              </w:rPr>
              <w:t>1</w:t>
            </w:r>
            <w:r w:rsidRPr="00F67714">
              <w:rPr>
                <w:rFonts w:ascii="Times New Roman" w:hAnsi="Times New Roman"/>
                <w:bCs/>
                <w:sz w:val="24"/>
                <w:szCs w:val="24"/>
              </w:rPr>
              <w:t xml:space="preserve"> panta</w:t>
            </w:r>
            <w:r w:rsidR="00A65AD7" w:rsidRPr="00F67714">
              <w:rPr>
                <w:rFonts w:ascii="Times New Roman" w:hAnsi="Times New Roman"/>
                <w:bCs/>
                <w:sz w:val="24"/>
                <w:szCs w:val="24"/>
              </w:rPr>
              <w:t xml:space="preserve"> kontekstā ar LAPK 248.panta otrās daļas 1.un 2.punkta</w:t>
            </w:r>
            <w:r w:rsidRPr="00F67714">
              <w:rPr>
                <w:rFonts w:ascii="Times New Roman" w:hAnsi="Times New Roman"/>
                <w:bCs/>
                <w:sz w:val="24"/>
                <w:szCs w:val="24"/>
              </w:rPr>
              <w:t xml:space="preserve"> piemērošana</w:t>
            </w:r>
            <w:r w:rsidR="000B7D8E" w:rsidRPr="00F67714">
              <w:rPr>
                <w:rFonts w:ascii="Times New Roman" w:hAnsi="Times New Roman"/>
                <w:bCs/>
                <w:sz w:val="24"/>
                <w:szCs w:val="24"/>
              </w:rPr>
              <w:t xml:space="preserve"> attiecībā uz ārvalstu pārvadātājiem</w:t>
            </w:r>
            <w:r w:rsidRPr="00F67714">
              <w:rPr>
                <w:rFonts w:ascii="Times New Roman" w:hAnsi="Times New Roman"/>
                <w:bCs/>
                <w:sz w:val="24"/>
                <w:szCs w:val="24"/>
              </w:rPr>
              <w:t xml:space="preserve">, un proti, </w:t>
            </w:r>
            <w:r w:rsidRPr="00F67714">
              <w:rPr>
                <w:rFonts w:ascii="Times New Roman" w:hAnsi="Times New Roman"/>
                <w:sz w:val="24"/>
                <w:szCs w:val="24"/>
              </w:rPr>
              <w:t>ja objektīvu iemeslu dēļ administratīvā pārkāpuma protokolu nav iespējams sastādīt tās personas klātbūtnē, kuru sauc pie administratīvās atbildības, vai juridiskās personas pārstāvja klātbūtnē, to sastāda</w:t>
            </w:r>
            <w:r w:rsidR="003B7DC3" w:rsidRPr="00F67714">
              <w:rPr>
                <w:rFonts w:ascii="Times New Roman" w:hAnsi="Times New Roman"/>
                <w:sz w:val="24"/>
                <w:szCs w:val="24"/>
              </w:rPr>
              <w:t xml:space="preserve"> bez minēto personu klātbūtnes un protokola kopiju paziņo attiecīgajai personai</w:t>
            </w:r>
            <w:r w:rsidR="00A65AD7" w:rsidRPr="00F67714">
              <w:rPr>
                <w:rFonts w:ascii="Times New Roman" w:hAnsi="Times New Roman"/>
                <w:sz w:val="24"/>
                <w:szCs w:val="24"/>
              </w:rPr>
              <w:t xml:space="preserve"> (veidā, kādā persona vēlas, lai tai paziņo informāciju un dokumentus administratīvā pārkāpuma lietā). Respektīvi, ja administratīvā pārkāpuma protokols tiek sastādīts ārvalstu pārvadātājam bez tā klātbūtnes, nav iespēju noskaidrot t</w:t>
            </w:r>
            <w:r w:rsidR="00641565" w:rsidRPr="00F67714">
              <w:rPr>
                <w:rFonts w:ascii="Times New Roman" w:hAnsi="Times New Roman"/>
                <w:sz w:val="24"/>
                <w:szCs w:val="24"/>
              </w:rPr>
              <w:t>ā</w:t>
            </w:r>
            <w:r w:rsidR="00A65AD7" w:rsidRPr="00F67714">
              <w:rPr>
                <w:rFonts w:ascii="Times New Roman" w:hAnsi="Times New Roman"/>
                <w:sz w:val="24"/>
                <w:szCs w:val="24"/>
              </w:rPr>
              <w:t xml:space="preserve"> viedokli, kādā veidā ārvalstu pārvadātājs vēlas saņemt paziņojumu un dokumentus administratīvā pārkāpuma lietā.</w:t>
            </w:r>
            <w:r w:rsidR="006F697D" w:rsidRPr="00F67714">
              <w:rPr>
                <w:rFonts w:ascii="Times New Roman" w:hAnsi="Times New Roman"/>
                <w:sz w:val="24"/>
                <w:szCs w:val="24"/>
              </w:rPr>
              <w:t xml:space="preserve"> Šādos apstākļos, institūcijai, kuras amatpersona</w:t>
            </w:r>
            <w:r w:rsidR="00A65AD7" w:rsidRPr="00F67714">
              <w:rPr>
                <w:rFonts w:ascii="Times New Roman" w:hAnsi="Times New Roman"/>
                <w:sz w:val="24"/>
                <w:szCs w:val="24"/>
              </w:rPr>
              <w:t xml:space="preserve"> </w:t>
            </w:r>
            <w:r w:rsidR="006F697D" w:rsidRPr="00F67714">
              <w:rPr>
                <w:rFonts w:ascii="Times New Roman" w:hAnsi="Times New Roman"/>
                <w:sz w:val="24"/>
                <w:szCs w:val="24"/>
              </w:rPr>
              <w:t>sastādījusi administratīvā pārkāpuma protokolu, ir pienākums paziņot protokola kopiju Paziņošanas likumā noteiktajā kārtībā.</w:t>
            </w:r>
          </w:p>
          <w:p w:rsidR="005C0B07" w:rsidRPr="00F67714" w:rsidRDefault="005C0B07" w:rsidP="006F697D">
            <w:pPr>
              <w:pStyle w:val="Bezatstarpm"/>
              <w:ind w:firstLine="224"/>
              <w:jc w:val="both"/>
              <w:rPr>
                <w:rFonts w:ascii="Times New Roman" w:hAnsi="Times New Roman"/>
                <w:sz w:val="24"/>
                <w:szCs w:val="24"/>
              </w:rPr>
            </w:pPr>
            <w:r w:rsidRPr="00F67714">
              <w:rPr>
                <w:rFonts w:ascii="Times New Roman" w:hAnsi="Times New Roman"/>
                <w:sz w:val="24"/>
                <w:szCs w:val="24"/>
              </w:rPr>
              <w:t>Tā kā pārkāpumi, kas izdarīti ceļu satiksmē un autopārvadājumu jomā atzīstami par ceļu satiksmi, cilvēku veselību un dzīvību apdraudošiem,</w:t>
            </w:r>
            <w:proofErr w:type="gramStart"/>
            <w:r w:rsidR="00641565" w:rsidRPr="00F67714">
              <w:rPr>
                <w:rFonts w:ascii="Times New Roman" w:hAnsi="Times New Roman"/>
                <w:sz w:val="24"/>
                <w:szCs w:val="24"/>
              </w:rPr>
              <w:t xml:space="preserve"> </w:t>
            </w:r>
            <w:r w:rsidRPr="00F67714">
              <w:rPr>
                <w:rFonts w:ascii="Times New Roman" w:hAnsi="Times New Roman"/>
                <w:sz w:val="24"/>
                <w:szCs w:val="24"/>
              </w:rPr>
              <w:t xml:space="preserve"> </w:t>
            </w:r>
            <w:proofErr w:type="gramEnd"/>
            <w:r w:rsidRPr="00F67714">
              <w:rPr>
                <w:rFonts w:ascii="Times New Roman" w:hAnsi="Times New Roman"/>
                <w:sz w:val="24"/>
                <w:szCs w:val="24"/>
              </w:rPr>
              <w:t xml:space="preserve">nacionālajā likumdošanā noteiktie </w:t>
            </w:r>
            <w:r w:rsidR="00166D90" w:rsidRPr="00F67714">
              <w:rPr>
                <w:rFonts w:ascii="Times New Roman" w:hAnsi="Times New Roman"/>
                <w:sz w:val="24"/>
                <w:szCs w:val="24"/>
              </w:rPr>
              <w:t xml:space="preserve">paziņošanas </w:t>
            </w:r>
            <w:r w:rsidRPr="00F67714">
              <w:rPr>
                <w:rFonts w:ascii="Times New Roman" w:hAnsi="Times New Roman"/>
                <w:sz w:val="24"/>
                <w:szCs w:val="24"/>
              </w:rPr>
              <w:t xml:space="preserve">procesuālie termiņi un administratīvās procedūras attiecībā uz ārvalstu pārvadātājiem no tiesiskās iedarbības efektivitātes un administratīvo resursu patēriņa viedokļa ir </w:t>
            </w:r>
            <w:proofErr w:type="spellStart"/>
            <w:r w:rsidRPr="00F67714">
              <w:rPr>
                <w:rFonts w:ascii="Times New Roman" w:hAnsi="Times New Roman"/>
                <w:sz w:val="24"/>
                <w:szCs w:val="24"/>
              </w:rPr>
              <w:t>resursietilpīgi</w:t>
            </w:r>
            <w:proofErr w:type="spellEnd"/>
            <w:r w:rsidRPr="00F67714">
              <w:rPr>
                <w:rFonts w:ascii="Times New Roman" w:hAnsi="Times New Roman"/>
                <w:sz w:val="24"/>
                <w:szCs w:val="24"/>
              </w:rPr>
              <w:t xml:space="preserve"> procesi ar zemu lietderības koeficientu. </w:t>
            </w:r>
          </w:p>
          <w:p w:rsidR="005C0B07" w:rsidRPr="006F697D" w:rsidRDefault="005C0B07" w:rsidP="006F697D">
            <w:pPr>
              <w:pStyle w:val="Bezatstarpm"/>
              <w:ind w:firstLine="224"/>
              <w:jc w:val="both"/>
              <w:rPr>
                <w:rFonts w:ascii="Times New Roman" w:hAnsi="Times New Roman"/>
                <w:sz w:val="24"/>
                <w:szCs w:val="24"/>
              </w:rPr>
            </w:pPr>
            <w:r w:rsidRPr="006F697D">
              <w:rPr>
                <w:rFonts w:ascii="Times New Roman" w:hAnsi="Times New Roman"/>
                <w:sz w:val="24"/>
                <w:szCs w:val="24"/>
              </w:rPr>
              <w:t>Kā otrs būtiskākais aspekts šī projekta nepieciešamībai ir apstāklis, ka t</w:t>
            </w:r>
            <w:r w:rsidRPr="006F697D">
              <w:rPr>
                <w:rFonts w:ascii="Times New Roman" w:hAnsi="Times New Roman"/>
                <w:color w:val="000000"/>
                <w:sz w:val="24"/>
                <w:szCs w:val="24"/>
              </w:rPr>
              <w:t>iesiskā sadarbība administratīvo pārkāpumu lietās netiek tieši regulēta ar Eiropas Savienības tiesību aktiem un starptautiskiem līgumiem. Līdz ar to nav tiesiskā regulējuma, lai varētu nosūtīt Latvijā pieņemtu lēmumu izpildei ārvalstī, jo Latvijai nav noslēgtu līgumu par tiesisko sadarbību administratīvo pārkāpumu lietās ar Eiropas Savienības valstīm un valstīm, kuras nav Eiropas Savienības dalībvalstis</w:t>
            </w:r>
            <w:r w:rsidRPr="006F697D">
              <w:rPr>
                <w:rFonts w:ascii="Times New Roman" w:hAnsi="Times New Roman"/>
                <w:sz w:val="24"/>
                <w:szCs w:val="24"/>
              </w:rPr>
              <w:t xml:space="preserve">. </w:t>
            </w:r>
          </w:p>
          <w:p w:rsidR="005C0B07" w:rsidRPr="006F697D" w:rsidRDefault="005C0B07" w:rsidP="006F697D">
            <w:pPr>
              <w:pStyle w:val="Bezatstarpm"/>
              <w:ind w:firstLine="224"/>
              <w:jc w:val="both"/>
              <w:rPr>
                <w:rFonts w:ascii="Times New Roman" w:hAnsi="Times New Roman"/>
                <w:bCs/>
                <w:sz w:val="24"/>
                <w:szCs w:val="24"/>
              </w:rPr>
            </w:pPr>
            <w:r w:rsidRPr="006F697D">
              <w:rPr>
                <w:rFonts w:ascii="Times New Roman" w:hAnsi="Times New Roman"/>
                <w:sz w:val="24"/>
                <w:szCs w:val="24"/>
              </w:rPr>
              <w:t>Kā liecina statistikas dati, lēmumi, ar kuriem personai piemērots administratīvais sods, gan gadījumos, kad pārkāpējs ir no Eiropas Savienības dalībvalsts, gan gadījumos, kad pārkāpējs ir no valsts, kas nav Eiropas Savienības dalībvalsts tiek izpildīti tikai daļēji.</w:t>
            </w:r>
            <w:r w:rsidRPr="006F697D">
              <w:rPr>
                <w:rFonts w:ascii="Times New Roman" w:hAnsi="Times New Roman"/>
                <w:bCs/>
                <w:sz w:val="24"/>
                <w:szCs w:val="24"/>
              </w:rPr>
              <w:t xml:space="preserve"> </w:t>
            </w:r>
            <w:r w:rsidRPr="006F697D">
              <w:rPr>
                <w:rFonts w:ascii="Times New Roman" w:hAnsi="Times New Roman"/>
                <w:sz w:val="24"/>
                <w:szCs w:val="24"/>
              </w:rPr>
              <w:t>Tā, laika posmā no 2011.gada līdz 2013.gadam naudas sodi autopārvadājumu jomā uzlikti 1624 ārvalstu fiziskām un juridiskām personām, taču tikai 31 % apmērā iemaksāti valsts budžetā. Savukārt laika posmā no 2013.gada līdz 2015.gadam pie administratīvās atbildības autopārvadājumu jomā sauktas 1707 ārvalstu fiziskās un juridiskās personas, bet labprātīgi samaksātie naudas sodi sastāda vien 48% apmēru.</w:t>
            </w:r>
          </w:p>
          <w:p w:rsidR="005C0B07" w:rsidRPr="006F697D" w:rsidRDefault="005C0B07" w:rsidP="006F697D">
            <w:pPr>
              <w:pStyle w:val="Bezatstarpm"/>
              <w:ind w:firstLine="366"/>
              <w:jc w:val="both"/>
              <w:rPr>
                <w:rFonts w:ascii="Times New Roman" w:hAnsi="Times New Roman"/>
                <w:sz w:val="24"/>
                <w:szCs w:val="24"/>
                <w:lang w:eastAsia="lv-LV"/>
              </w:rPr>
            </w:pPr>
            <w:r w:rsidRPr="006F697D">
              <w:rPr>
                <w:rFonts w:ascii="Times New Roman" w:hAnsi="Times New Roman"/>
                <w:sz w:val="24"/>
                <w:szCs w:val="24"/>
              </w:rPr>
              <w:t xml:space="preserve">Ar </w:t>
            </w:r>
            <w:hyperlink r:id="rId9" w:tgtFrame="_blank" w:history="1">
              <w:r w:rsidRPr="006F697D">
                <w:rPr>
                  <w:rFonts w:ascii="Times New Roman" w:hAnsi="Times New Roman"/>
                  <w:sz w:val="24"/>
                  <w:szCs w:val="24"/>
                  <w:lang w:eastAsia="lv-LV"/>
                </w:rPr>
                <w:t>2010</w:t>
              </w:r>
            </w:hyperlink>
            <w:r w:rsidRPr="006F697D">
              <w:rPr>
                <w:rFonts w:ascii="Times New Roman" w:hAnsi="Times New Roman"/>
                <w:sz w:val="24"/>
                <w:szCs w:val="24"/>
                <w:lang w:eastAsia="lv-LV"/>
              </w:rPr>
              <w:t xml:space="preserve">.gada 28.oktobra likuma “Grozījumi Latvijas Administratīvo pārkāpumu kodeksā” redakciju, kas stājās spēkā </w:t>
            </w:r>
            <w:hyperlink r:id="rId10" w:tgtFrame="_blank" w:history="1">
              <w:r w:rsidRPr="006F697D">
                <w:rPr>
                  <w:rFonts w:ascii="Times New Roman" w:hAnsi="Times New Roman"/>
                  <w:sz w:val="24"/>
                  <w:szCs w:val="24"/>
                  <w:lang w:eastAsia="lv-LV"/>
                </w:rPr>
                <w:t>2011.</w:t>
              </w:r>
            </w:hyperlink>
            <w:r w:rsidRPr="006F697D">
              <w:rPr>
                <w:rFonts w:ascii="Times New Roman" w:hAnsi="Times New Roman"/>
                <w:sz w:val="24"/>
                <w:szCs w:val="24"/>
                <w:lang w:eastAsia="lv-LV"/>
              </w:rPr>
              <w:t xml:space="preserve">gada 1.janvārī, LAPK papildināts ar garantijas naudas institūtu. Savukārt 2011.gada 20.decembrī stājās spēkā Ministru kabineta noteikumi Nr.969 “Garantijas naudas iemaksas, atmaksas un dokumentu aizturēšanas kārtība”. Taču minētie normatīvie akti regulē lēmuma izpildes kārtību administratīvā pārkāpuma lietā par naudas soda uzlikšanu, ja pārkāpumu izdarījis ārvalstīs reģistrēta </w:t>
            </w:r>
            <w:r w:rsidRPr="006F697D">
              <w:rPr>
                <w:rFonts w:ascii="Times New Roman" w:hAnsi="Times New Roman"/>
                <w:i/>
                <w:sz w:val="24"/>
                <w:szCs w:val="24"/>
                <w:lang w:eastAsia="lv-LV"/>
              </w:rPr>
              <w:t xml:space="preserve">transportlīdzekļa vadītājs </w:t>
            </w:r>
            <w:r w:rsidRPr="006F697D">
              <w:rPr>
                <w:rFonts w:ascii="Times New Roman" w:hAnsi="Times New Roman"/>
                <w:sz w:val="24"/>
                <w:szCs w:val="24"/>
                <w:lang w:eastAsia="lv-LV"/>
              </w:rPr>
              <w:t>autopārvadājumu jomā</w:t>
            </w:r>
            <w:r w:rsidRPr="006F697D">
              <w:rPr>
                <w:rFonts w:ascii="Times New Roman" w:hAnsi="Times New Roman"/>
                <w:i/>
                <w:sz w:val="24"/>
                <w:szCs w:val="24"/>
                <w:lang w:eastAsia="lv-LV"/>
              </w:rPr>
              <w:t>.</w:t>
            </w:r>
          </w:p>
          <w:p w:rsidR="005C0B07" w:rsidRPr="006F697D" w:rsidRDefault="005C0B07" w:rsidP="006F697D">
            <w:pPr>
              <w:pStyle w:val="Bezatstarpm"/>
              <w:ind w:firstLine="366"/>
              <w:jc w:val="both"/>
              <w:rPr>
                <w:rFonts w:ascii="Times New Roman" w:hAnsi="Times New Roman"/>
                <w:sz w:val="24"/>
                <w:szCs w:val="24"/>
                <w:lang w:eastAsia="ar-SA"/>
              </w:rPr>
            </w:pPr>
            <w:r w:rsidRPr="006F697D">
              <w:rPr>
                <w:rFonts w:ascii="Times New Roman" w:hAnsi="Times New Roman"/>
                <w:sz w:val="24"/>
                <w:szCs w:val="24"/>
                <w:lang w:eastAsia="ar-SA"/>
              </w:rPr>
              <w:t xml:space="preserve">Vienlaikus, praksē vērojama tendence, ka, lai arī garantijas nauda no ārvalstīs reģistrētu </w:t>
            </w:r>
            <w:r w:rsidRPr="006F697D">
              <w:rPr>
                <w:rFonts w:ascii="Times New Roman" w:hAnsi="Times New Roman"/>
                <w:sz w:val="24"/>
                <w:szCs w:val="24"/>
                <w:lang w:eastAsia="lv-LV"/>
              </w:rPr>
              <w:t>transportlīdzekļu vadītājiem</w:t>
            </w:r>
            <w:r w:rsidRPr="006F697D">
              <w:rPr>
                <w:rFonts w:ascii="Times New Roman" w:hAnsi="Times New Roman"/>
                <w:sz w:val="24"/>
                <w:szCs w:val="24"/>
                <w:lang w:eastAsia="ar-SA"/>
              </w:rPr>
              <w:t xml:space="preserve"> tiek iekasēta, tomēr nereti konstatētais pārkāpums netiek novērsts un transportlīdzeklis turpina piedalīties ceļu satiksmē, faktiski turpinot izdarīt pārkāpumu. Piemēram, gadījumos, ja krava nav pienācīgi nostiprināta, transportlīdzekļa vadītājs to labprātīgi novērš pārbaudes vietā, bet gadījumos, kad tiek konstatēts faktiskās masas pārsvars, kurš būtu nekavējoties jānokrauj, nekas netiek darīts, jo patreizējais normatīvais regulējums neparedz piespiedu pasākumus pārkāpumu novēršanai. Tas pats attiecināms uz administratīvajiem pārkāpumiem, kas saistīti ar transportlīdzekļa vadīšanas laikposmu (ikdienas atpūtas, iknedēļas atpūtas un pārtraukumu) neievērošanu un pārkāpuma turpināšanu. </w:t>
            </w:r>
          </w:p>
          <w:p w:rsidR="005C0B07" w:rsidRPr="006F697D" w:rsidRDefault="005C0B07" w:rsidP="006F697D">
            <w:pPr>
              <w:pStyle w:val="Bezatstarpm"/>
              <w:ind w:firstLine="366"/>
              <w:jc w:val="both"/>
              <w:rPr>
                <w:rFonts w:ascii="Times New Roman" w:hAnsi="Times New Roman"/>
                <w:sz w:val="24"/>
                <w:szCs w:val="24"/>
                <w:lang w:eastAsia="ar-SA"/>
              </w:rPr>
            </w:pPr>
            <w:r w:rsidRPr="006F697D">
              <w:rPr>
                <w:rFonts w:ascii="Times New Roman" w:hAnsi="Times New Roman"/>
                <w:sz w:val="24"/>
                <w:szCs w:val="24"/>
                <w:lang w:eastAsia="ar-SA"/>
              </w:rPr>
              <w:t xml:space="preserve">Projekta mērķis ir papildus esošajiem tiesiskajiem mehānismiem </w:t>
            </w:r>
            <w:proofErr w:type="spellStart"/>
            <w:r w:rsidRPr="006F697D">
              <w:rPr>
                <w:rFonts w:ascii="Times New Roman" w:hAnsi="Times New Roman"/>
                <w:sz w:val="24"/>
                <w:szCs w:val="24"/>
                <w:lang w:eastAsia="ar-SA"/>
              </w:rPr>
              <w:t>efektivizēt</w:t>
            </w:r>
            <w:proofErr w:type="spellEnd"/>
            <w:r w:rsidRPr="006F697D">
              <w:rPr>
                <w:rFonts w:ascii="Times New Roman" w:hAnsi="Times New Roman"/>
                <w:sz w:val="24"/>
                <w:szCs w:val="24"/>
                <w:lang w:eastAsia="ar-SA"/>
              </w:rPr>
              <w:t xml:space="preserve"> pārkāpumu novēršanas pasākumu kopumu ceļu satiksmes un autopārvadājumu jomā, kā arī radīt vienkāršotus juridiskos un faktiskos apstākļus naudas soda izpildei pārkāpuma konstatēšanas vietā. </w:t>
            </w:r>
          </w:p>
          <w:p w:rsidR="005C0B07" w:rsidRPr="006F697D" w:rsidRDefault="005C0B07" w:rsidP="006F697D">
            <w:pPr>
              <w:spacing w:after="0" w:line="240" w:lineRule="auto"/>
              <w:ind w:firstLine="366"/>
              <w:jc w:val="both"/>
              <w:rPr>
                <w:rFonts w:ascii="Times New Roman" w:hAnsi="Times New Roman"/>
                <w:sz w:val="24"/>
                <w:szCs w:val="24"/>
              </w:rPr>
            </w:pPr>
            <w:r w:rsidRPr="006F697D">
              <w:rPr>
                <w:rFonts w:ascii="Times New Roman" w:hAnsi="Times New Roman"/>
                <w:sz w:val="24"/>
                <w:szCs w:val="24"/>
                <w:lang w:eastAsia="lv-LV"/>
              </w:rPr>
              <w:t xml:space="preserve">LAPK 9.panta trešā daļa nosaka, ka </w:t>
            </w:r>
            <w:r w:rsidRPr="006F697D">
              <w:rPr>
                <w:rFonts w:ascii="Times New Roman" w:hAnsi="Times New Roman"/>
                <w:sz w:val="24"/>
                <w:szCs w:val="24"/>
              </w:rPr>
              <w:t>paaugstinātas bīstamības avota īpašnieka (valdītāja) administratīvās atbildības īpatnības var noteikt citos likumos. Neapšaubāmi, ka transportlīdzeklis ir atzīstams par paaugstinātas bīstamības avotu.</w:t>
            </w:r>
          </w:p>
          <w:p w:rsidR="005C0B07" w:rsidRPr="006F697D" w:rsidRDefault="005C0B07" w:rsidP="006F697D">
            <w:pPr>
              <w:spacing w:after="0" w:line="240" w:lineRule="auto"/>
              <w:ind w:firstLine="366"/>
              <w:jc w:val="both"/>
              <w:rPr>
                <w:rFonts w:ascii="Times New Roman" w:hAnsi="Times New Roman"/>
                <w:sz w:val="24"/>
                <w:szCs w:val="24"/>
              </w:rPr>
            </w:pPr>
            <w:r w:rsidRPr="006F697D">
              <w:rPr>
                <w:rFonts w:ascii="Times New Roman" w:hAnsi="Times New Roman"/>
                <w:sz w:val="24"/>
                <w:szCs w:val="24"/>
              </w:rPr>
              <w:t>Minētais nostiprina atšķirīgu no LAPK administratīvi procesuālā regulējuma pieļaujamību speciālajās materiālo tiesību normās – Ceļu satiksmes likumā.</w:t>
            </w:r>
          </w:p>
          <w:p w:rsidR="005C0B07" w:rsidRPr="006F697D" w:rsidRDefault="005C0B07" w:rsidP="006F697D">
            <w:pPr>
              <w:pStyle w:val="Bezatstarpm"/>
              <w:ind w:firstLine="366"/>
              <w:jc w:val="both"/>
              <w:rPr>
                <w:rFonts w:ascii="Times New Roman" w:hAnsi="Times New Roman"/>
                <w:sz w:val="24"/>
                <w:szCs w:val="24"/>
              </w:rPr>
            </w:pPr>
            <w:r w:rsidRPr="006F697D">
              <w:rPr>
                <w:rFonts w:ascii="Times New Roman" w:hAnsi="Times New Roman"/>
                <w:bCs/>
                <w:sz w:val="24"/>
                <w:szCs w:val="24"/>
                <w:lang w:eastAsia="lv-LV"/>
              </w:rPr>
              <w:t xml:space="preserve">LAPK 16.pants nosaka, ka </w:t>
            </w:r>
            <w:r w:rsidRPr="006F697D">
              <w:rPr>
                <w:rFonts w:ascii="Times New Roman" w:hAnsi="Times New Roman"/>
                <w:sz w:val="24"/>
                <w:szCs w:val="24"/>
                <w:lang w:eastAsia="lv-LV"/>
              </w:rPr>
              <w:t xml:space="preserve">ārvalstu pilsoņi un bezvalstnieki Latvijas teritorijā saucami pie administratīvās atbildības uz tādu pašu noteikumu pamata kā Latvijas Republikas pilsoņi, ja šis kodekss neparedz citādi. </w:t>
            </w:r>
          </w:p>
          <w:p w:rsidR="005C0B07" w:rsidRPr="006F697D" w:rsidRDefault="005C0B07" w:rsidP="006F697D">
            <w:pPr>
              <w:pStyle w:val="Bezatstarpm"/>
              <w:ind w:left="82" w:firstLine="425"/>
              <w:jc w:val="both"/>
              <w:rPr>
                <w:rFonts w:ascii="Times New Roman" w:hAnsi="Times New Roman"/>
                <w:vanish/>
                <w:sz w:val="24"/>
                <w:szCs w:val="24"/>
                <w:lang w:eastAsia="lv-LV"/>
              </w:rPr>
            </w:pPr>
          </w:p>
          <w:p w:rsidR="005C0B07" w:rsidRPr="006F697D" w:rsidRDefault="005C0B07" w:rsidP="006F697D">
            <w:pPr>
              <w:pStyle w:val="Bezatstarpm"/>
              <w:ind w:firstLine="224"/>
              <w:jc w:val="both"/>
              <w:rPr>
                <w:rFonts w:ascii="Times New Roman" w:hAnsi="Times New Roman"/>
                <w:sz w:val="24"/>
                <w:szCs w:val="24"/>
              </w:rPr>
            </w:pPr>
            <w:r w:rsidRPr="006F697D">
              <w:rPr>
                <w:rFonts w:ascii="Times New Roman" w:hAnsi="Times New Roman"/>
                <w:sz w:val="24"/>
                <w:szCs w:val="24"/>
              </w:rPr>
              <w:t xml:space="preserve">Projekts nosaka autopārvadājumus </w:t>
            </w:r>
            <w:r w:rsidRPr="006F697D">
              <w:rPr>
                <w:rFonts w:ascii="Times New Roman" w:hAnsi="Times New Roman"/>
                <w:bCs/>
                <w:sz w:val="24"/>
                <w:szCs w:val="24"/>
              </w:rPr>
              <w:t xml:space="preserve">kontrolējošās institūcijas (amatpersonas) </w:t>
            </w:r>
            <w:r w:rsidRPr="006F697D">
              <w:rPr>
                <w:rFonts w:ascii="Times New Roman" w:hAnsi="Times New Roman"/>
                <w:sz w:val="24"/>
                <w:szCs w:val="24"/>
              </w:rPr>
              <w:t>tiesības sastādīt protokolu-lēmumu par ārvalstu pārvadātāja izdarītu pārkāpumu par naudas soda uzlikšanu bez tā klātbūtnes, vienlaicīgi nepieciešamības gadījumā piemērojot kādu no projekta 43.</w:t>
            </w:r>
            <w:r w:rsidRPr="006F697D">
              <w:rPr>
                <w:rFonts w:ascii="Times New Roman" w:hAnsi="Times New Roman"/>
                <w:sz w:val="24"/>
                <w:szCs w:val="24"/>
                <w:vertAlign w:val="superscript"/>
              </w:rPr>
              <w:t>9</w:t>
            </w:r>
            <w:r w:rsidRPr="006F697D">
              <w:rPr>
                <w:rFonts w:ascii="Times New Roman" w:hAnsi="Times New Roman"/>
                <w:sz w:val="24"/>
                <w:szCs w:val="24"/>
              </w:rPr>
              <w:t xml:space="preserve"> pantā paredzētajiem nodrošinājuma līdzekļiem.</w:t>
            </w:r>
          </w:p>
          <w:p w:rsidR="005C0B07" w:rsidRPr="006F697D" w:rsidRDefault="005C0B07" w:rsidP="006F697D">
            <w:pPr>
              <w:pStyle w:val="Bezatstarpm"/>
              <w:ind w:firstLine="224"/>
              <w:jc w:val="both"/>
              <w:rPr>
                <w:rFonts w:ascii="Times New Roman" w:hAnsi="Times New Roman"/>
                <w:sz w:val="24"/>
                <w:szCs w:val="24"/>
              </w:rPr>
            </w:pPr>
            <w:r w:rsidRPr="006F697D">
              <w:rPr>
                <w:rFonts w:ascii="Times New Roman" w:hAnsi="Times New Roman"/>
                <w:sz w:val="24"/>
                <w:szCs w:val="24"/>
              </w:rPr>
              <w:t>Par sastādīto protokolu-lēmumu un piemēroto nodrošinājuma līdzekli, ja tāds piemērots, autopārvadājumus</w:t>
            </w:r>
            <w:r w:rsidRPr="006F697D">
              <w:rPr>
                <w:rFonts w:ascii="Times New Roman" w:hAnsi="Times New Roman"/>
                <w:bCs/>
                <w:sz w:val="24"/>
                <w:szCs w:val="24"/>
              </w:rPr>
              <w:t xml:space="preserve"> kontrolējošā institūcija (amatpersona)</w:t>
            </w:r>
            <w:r w:rsidRPr="006F697D">
              <w:rPr>
                <w:rFonts w:ascii="Times New Roman" w:hAnsi="Times New Roman"/>
                <w:sz w:val="24"/>
                <w:szCs w:val="24"/>
              </w:rPr>
              <w:t xml:space="preserve"> informē ārvalstu pārvadātāju, izmantojot elektroniskās saziņas līdzekļus, kā arī transportlīdzekļa vadītāju. Ārvalstu autopārvadātāja kontaktinformācija kā obligāta sastāvdaļa norādīta Eiropas kopienas atļaujas kopijā (Regulas (EK) Nr.1072/2009 4.pants).</w:t>
            </w:r>
          </w:p>
          <w:p w:rsidR="005C0B07" w:rsidRPr="006F697D" w:rsidRDefault="005C0B07" w:rsidP="006F697D">
            <w:pPr>
              <w:pStyle w:val="Bezatstarpm"/>
              <w:ind w:firstLine="224"/>
              <w:jc w:val="both"/>
              <w:rPr>
                <w:rFonts w:ascii="Times New Roman" w:hAnsi="Times New Roman"/>
                <w:sz w:val="24"/>
                <w:szCs w:val="24"/>
              </w:rPr>
            </w:pPr>
            <w:r w:rsidRPr="006F697D">
              <w:rPr>
                <w:rFonts w:ascii="Times New Roman" w:hAnsi="Times New Roman"/>
                <w:sz w:val="24"/>
                <w:szCs w:val="24"/>
              </w:rPr>
              <w:t xml:space="preserve">Projekts nosaka, ka ārvalstu pārvadātājiem piemērotie naudas sodi samaksājami nekavējoties. Šādu maksājumu veikšanu var īstenot veicot bezskaidras naudas norēķinus, tostarp, izmantojot mobilos </w:t>
            </w:r>
            <w:proofErr w:type="spellStart"/>
            <w:r w:rsidRPr="006F697D">
              <w:rPr>
                <w:rFonts w:ascii="Times New Roman" w:hAnsi="Times New Roman"/>
                <w:i/>
                <w:sz w:val="24"/>
                <w:szCs w:val="24"/>
              </w:rPr>
              <w:t>point</w:t>
            </w:r>
            <w:proofErr w:type="spellEnd"/>
            <w:r w:rsidRPr="006F697D">
              <w:rPr>
                <w:rFonts w:ascii="Times New Roman" w:hAnsi="Times New Roman"/>
                <w:i/>
                <w:sz w:val="24"/>
                <w:szCs w:val="24"/>
              </w:rPr>
              <w:t xml:space="preserve"> </w:t>
            </w:r>
            <w:proofErr w:type="spellStart"/>
            <w:r w:rsidRPr="006F697D">
              <w:rPr>
                <w:rFonts w:ascii="Times New Roman" w:hAnsi="Times New Roman"/>
                <w:i/>
                <w:sz w:val="24"/>
                <w:szCs w:val="24"/>
              </w:rPr>
              <w:t>of</w:t>
            </w:r>
            <w:proofErr w:type="spellEnd"/>
            <w:r w:rsidRPr="006F697D">
              <w:rPr>
                <w:rFonts w:ascii="Times New Roman" w:hAnsi="Times New Roman"/>
                <w:i/>
                <w:sz w:val="24"/>
                <w:szCs w:val="24"/>
              </w:rPr>
              <w:t xml:space="preserve"> </w:t>
            </w:r>
            <w:proofErr w:type="spellStart"/>
            <w:r w:rsidRPr="006F697D">
              <w:rPr>
                <w:rFonts w:ascii="Times New Roman" w:hAnsi="Times New Roman"/>
                <w:i/>
                <w:sz w:val="24"/>
                <w:szCs w:val="24"/>
              </w:rPr>
              <w:t>sale</w:t>
            </w:r>
            <w:proofErr w:type="spellEnd"/>
            <w:r w:rsidRPr="006F697D">
              <w:rPr>
                <w:rFonts w:ascii="Times New Roman" w:hAnsi="Times New Roman"/>
                <w:sz w:val="24"/>
                <w:szCs w:val="24"/>
              </w:rPr>
              <w:t xml:space="preserve"> (POS) terminālus, ar kuriem aprīkoti Valsts policijas operatīvie transportlīdzekļi. </w:t>
            </w:r>
          </w:p>
          <w:p w:rsidR="005C0B07" w:rsidRPr="006F697D" w:rsidRDefault="005C0B07" w:rsidP="006F697D">
            <w:pPr>
              <w:pStyle w:val="Bezatstarpm"/>
              <w:ind w:firstLine="224"/>
              <w:jc w:val="both"/>
              <w:rPr>
                <w:rFonts w:ascii="Times New Roman" w:hAnsi="Times New Roman"/>
                <w:bCs/>
                <w:sz w:val="24"/>
                <w:szCs w:val="24"/>
              </w:rPr>
            </w:pPr>
            <w:r w:rsidRPr="006F697D">
              <w:rPr>
                <w:rFonts w:ascii="Times New Roman" w:hAnsi="Times New Roman"/>
                <w:bCs/>
                <w:sz w:val="24"/>
                <w:szCs w:val="24"/>
              </w:rPr>
              <w:t>Lai nodrošinātu ceļu satiksmes drošību, kā arī vienveidīgu praksi pārkāpumu novēršanas izpildei ceļu satiksmes un autopārvadājumu jomā, projekts nosaka vienlīdzīgus nosacījumus kā ārvalstu, tā nacionālajiem pārvadātājiem.</w:t>
            </w:r>
          </w:p>
          <w:p w:rsidR="005C0B07" w:rsidRPr="006F697D" w:rsidRDefault="005C0B07" w:rsidP="006F697D">
            <w:pPr>
              <w:pStyle w:val="Bezatstarpm"/>
              <w:ind w:firstLine="366"/>
              <w:jc w:val="both"/>
              <w:rPr>
                <w:rFonts w:ascii="Times New Roman" w:hAnsi="Times New Roman"/>
                <w:sz w:val="24"/>
                <w:szCs w:val="24"/>
                <w:lang w:eastAsia="ar-SA"/>
              </w:rPr>
            </w:pPr>
            <w:r w:rsidRPr="006F697D">
              <w:rPr>
                <w:rFonts w:ascii="Times New Roman" w:hAnsi="Times New Roman"/>
                <w:sz w:val="24"/>
                <w:szCs w:val="24"/>
                <w:lang w:eastAsia="lv-LV"/>
              </w:rPr>
              <w:t>LAPK 40.pants nosaka, ka administratīvā soda uzlikšana neatbrīvo personu, kura izdarījusi administratīvo pārkāpumu, no tā pienākuma izpildīšanas, par kura nepildīšanu uzlikts administratīvais sods, praksē vērojama tendence, ka pēc administratīvā soda uzlikšanas autopārvadājums tiek turpināts bez konstatētā pārkāpuma novēršanas,</w:t>
            </w:r>
            <w:r w:rsidRPr="006F697D">
              <w:rPr>
                <w:rFonts w:ascii="Times New Roman" w:hAnsi="Times New Roman"/>
                <w:sz w:val="24"/>
                <w:szCs w:val="24"/>
                <w:lang w:eastAsia="ar-SA"/>
              </w:rPr>
              <w:t xml:space="preserve"> jo patreizējais normatīvais regulējums neparedz piespiedu pasākumus pārkāpumu novēršanai. </w:t>
            </w:r>
          </w:p>
          <w:p w:rsidR="005C0B07" w:rsidRPr="006F697D" w:rsidRDefault="005C0B07" w:rsidP="006F697D">
            <w:pPr>
              <w:pStyle w:val="Bezatstarpm"/>
              <w:ind w:firstLine="224"/>
              <w:jc w:val="both"/>
              <w:rPr>
                <w:rFonts w:ascii="Times New Roman" w:hAnsi="Times New Roman"/>
                <w:sz w:val="24"/>
                <w:szCs w:val="24"/>
                <w:lang w:eastAsia="lv-LV"/>
              </w:rPr>
            </w:pPr>
            <w:r w:rsidRPr="006F697D">
              <w:rPr>
                <w:rFonts w:ascii="Times New Roman" w:hAnsi="Times New Roman"/>
                <w:sz w:val="24"/>
                <w:szCs w:val="24"/>
                <w:lang w:eastAsia="lv-LV"/>
              </w:rPr>
              <w:t xml:space="preserve">Ceļu satiksmes likuma </w:t>
            </w:r>
            <w:r w:rsidRPr="006F697D">
              <w:rPr>
                <w:rFonts w:ascii="Times New Roman" w:hAnsi="Times New Roman"/>
                <w:bCs/>
                <w:sz w:val="24"/>
                <w:szCs w:val="24"/>
                <w:lang w:eastAsia="lv-LV"/>
              </w:rPr>
              <w:t xml:space="preserve">19.panta pirmā daļa nosaka, ka </w:t>
            </w:r>
            <w:r w:rsidRPr="006F697D">
              <w:rPr>
                <w:rFonts w:ascii="Times New Roman" w:hAnsi="Times New Roman"/>
                <w:sz w:val="24"/>
                <w:szCs w:val="24"/>
                <w:lang w:eastAsia="lv-LV"/>
              </w:rPr>
              <w:t xml:space="preserve">ceļu satiksmes dalībniekiem ir jāizpilda šā likuma, </w:t>
            </w:r>
            <w:hyperlink r:id="rId11" w:tgtFrame="_blank" w:history="1">
              <w:r w:rsidRPr="006F697D">
                <w:rPr>
                  <w:rFonts w:ascii="Times New Roman" w:hAnsi="Times New Roman"/>
                  <w:sz w:val="24"/>
                  <w:szCs w:val="24"/>
                  <w:lang w:eastAsia="lv-LV"/>
                </w:rPr>
                <w:t>Ceļu satiksmes noteikumu</w:t>
              </w:r>
            </w:hyperlink>
            <w:r w:rsidRPr="006F697D">
              <w:rPr>
                <w:rFonts w:ascii="Times New Roman" w:hAnsi="Times New Roman"/>
                <w:sz w:val="24"/>
                <w:szCs w:val="24"/>
                <w:lang w:eastAsia="lv-LV"/>
              </w:rPr>
              <w:t xml:space="preserve"> un citu normatīvo aktu prasības, kas nosaka ceļu satiksmes dalībnieku pienākumus; jāizpilda policijas darbinieku un to personu norādījumi, kuras pilnvarotas regulēt satiksmi.</w:t>
            </w:r>
          </w:p>
          <w:p w:rsidR="005C0B07" w:rsidRPr="006F697D" w:rsidRDefault="005C0B07" w:rsidP="006F697D">
            <w:pPr>
              <w:pStyle w:val="Bezatstarpm"/>
              <w:ind w:firstLine="224"/>
              <w:jc w:val="both"/>
              <w:rPr>
                <w:rFonts w:ascii="Times New Roman" w:hAnsi="Times New Roman"/>
                <w:sz w:val="24"/>
                <w:szCs w:val="24"/>
              </w:rPr>
            </w:pPr>
            <w:r w:rsidRPr="006F697D">
              <w:rPr>
                <w:rFonts w:ascii="Times New Roman" w:hAnsi="Times New Roman"/>
                <w:sz w:val="24"/>
                <w:szCs w:val="24"/>
              </w:rPr>
              <w:t>Tiesības aizturēt attiecīgo transportlīdzekli uz laiku, kamēr pārkāpuma iemesls tiek novērsts, kā arī anulēt, apturēt vai ierobežot transportlīdzekļa vadītāja apliecību tajos gadījumos, ja dalībvalsts uzskata, ka pārkāpums var apdraudēt satiksmes drošību, paredzētas Regulas (EK) Nr.561/2006 21.pantā.</w:t>
            </w:r>
          </w:p>
          <w:p w:rsidR="005C0B07" w:rsidRPr="006F697D" w:rsidRDefault="005C0B07" w:rsidP="006F697D">
            <w:pPr>
              <w:pStyle w:val="Bezatstarpm"/>
              <w:ind w:firstLine="343"/>
              <w:jc w:val="both"/>
              <w:rPr>
                <w:rFonts w:ascii="Times New Roman" w:hAnsi="Times New Roman"/>
                <w:sz w:val="24"/>
                <w:szCs w:val="24"/>
              </w:rPr>
            </w:pPr>
            <w:r w:rsidRPr="006F697D">
              <w:rPr>
                <w:rFonts w:ascii="Times New Roman" w:hAnsi="Times New Roman"/>
                <w:sz w:val="24"/>
                <w:szCs w:val="24"/>
              </w:rPr>
              <w:t>Ceļu satiksmes likuma 18.pants paredz tiesības aizliegt piedalīties ceļu satiksmē un aizliegt iebraukt Latvijas Republikas teritorijā, ja:</w:t>
            </w:r>
          </w:p>
          <w:p w:rsidR="005C0B07" w:rsidRPr="006F697D" w:rsidRDefault="005C0B07" w:rsidP="006F697D">
            <w:pPr>
              <w:pStyle w:val="Bezatstarpm"/>
              <w:jc w:val="both"/>
              <w:rPr>
                <w:rFonts w:ascii="Times New Roman" w:hAnsi="Times New Roman"/>
                <w:sz w:val="24"/>
                <w:szCs w:val="24"/>
              </w:rPr>
            </w:pPr>
            <w:r w:rsidRPr="006F697D">
              <w:rPr>
                <w:rFonts w:ascii="Times New Roman" w:hAnsi="Times New Roman"/>
                <w:sz w:val="24"/>
                <w:szCs w:val="24"/>
              </w:rPr>
              <w:t>1) transportlīdzeklim ir normatīvajos aktos noteiktie bojājumi, kuru dēļ tas nedrīkst braukt;</w:t>
            </w:r>
          </w:p>
          <w:p w:rsidR="005C0B07" w:rsidRPr="006F697D" w:rsidRDefault="005C0B07" w:rsidP="006F697D">
            <w:pPr>
              <w:pStyle w:val="Bezatstarpm"/>
              <w:jc w:val="both"/>
              <w:rPr>
                <w:rFonts w:ascii="Times New Roman" w:hAnsi="Times New Roman"/>
                <w:sz w:val="24"/>
                <w:szCs w:val="24"/>
              </w:rPr>
            </w:pPr>
            <w:r w:rsidRPr="006F697D">
              <w:rPr>
                <w:rFonts w:ascii="Times New Roman" w:hAnsi="Times New Roman"/>
                <w:sz w:val="24"/>
                <w:szCs w:val="24"/>
              </w:rPr>
              <w:t>2) nav saņemta atļauja piedalīties ceļu satiksmē, arī ja nav veikta transportlīdzekļa īpašnieka civiltiesiskās atbildības obligātā apdrošināšana;</w:t>
            </w:r>
          </w:p>
          <w:p w:rsidR="005C0B07" w:rsidRPr="006F697D" w:rsidRDefault="005C0B07" w:rsidP="006F697D">
            <w:pPr>
              <w:pStyle w:val="Bezatstarpm"/>
              <w:jc w:val="both"/>
              <w:rPr>
                <w:rFonts w:ascii="Times New Roman" w:hAnsi="Times New Roman"/>
                <w:sz w:val="24"/>
                <w:szCs w:val="24"/>
              </w:rPr>
            </w:pPr>
            <w:r w:rsidRPr="006F697D">
              <w:rPr>
                <w:rFonts w:ascii="Times New Roman" w:hAnsi="Times New Roman"/>
                <w:sz w:val="24"/>
                <w:szCs w:val="24"/>
              </w:rPr>
              <w:t>3) tiek pārvadāta neatļauta bīstamā krava vai ir bīstamās kravas noplūde;</w:t>
            </w:r>
          </w:p>
          <w:p w:rsidR="005C0B07" w:rsidRPr="006F697D" w:rsidRDefault="005C0B07" w:rsidP="006F697D">
            <w:pPr>
              <w:pStyle w:val="Bezatstarpm"/>
              <w:jc w:val="both"/>
              <w:rPr>
                <w:rFonts w:ascii="Times New Roman" w:hAnsi="Times New Roman"/>
                <w:sz w:val="24"/>
                <w:szCs w:val="24"/>
              </w:rPr>
            </w:pPr>
            <w:r w:rsidRPr="006F697D">
              <w:rPr>
                <w:rFonts w:ascii="Times New Roman" w:hAnsi="Times New Roman"/>
                <w:sz w:val="24"/>
                <w:szCs w:val="24"/>
              </w:rPr>
              <w:t xml:space="preserve">4) transportlīdzekļa (transportlīdzekļu sastāva) gabarīti ar kravu vai bez tās, faktiskā masa vai ass slodze pārsniedz </w:t>
            </w:r>
            <w:hyperlink r:id="rId12" w:tgtFrame="_blank" w:history="1">
              <w:r w:rsidRPr="006F697D">
                <w:rPr>
                  <w:rFonts w:ascii="Times New Roman" w:hAnsi="Times New Roman"/>
                  <w:sz w:val="24"/>
                  <w:szCs w:val="24"/>
                </w:rPr>
                <w:t>Ceļu satiksmes noteikumos</w:t>
              </w:r>
            </w:hyperlink>
            <w:r w:rsidRPr="006F697D">
              <w:rPr>
                <w:rFonts w:ascii="Times New Roman" w:hAnsi="Times New Roman"/>
                <w:sz w:val="24"/>
                <w:szCs w:val="24"/>
              </w:rPr>
              <w:t xml:space="preserve"> paredzētos lielumus un nav attiecīgās atļaujas braukšanai pa ceļu;</w:t>
            </w:r>
          </w:p>
          <w:p w:rsidR="005C0B07" w:rsidRPr="006F697D" w:rsidRDefault="005C0B07" w:rsidP="006F697D">
            <w:pPr>
              <w:pStyle w:val="Bezatstarpm"/>
              <w:jc w:val="both"/>
              <w:rPr>
                <w:rFonts w:ascii="Times New Roman" w:hAnsi="Times New Roman"/>
                <w:sz w:val="24"/>
                <w:szCs w:val="24"/>
              </w:rPr>
            </w:pPr>
            <w:r w:rsidRPr="006F697D">
              <w:rPr>
                <w:rFonts w:ascii="Times New Roman" w:hAnsi="Times New Roman"/>
                <w:sz w:val="24"/>
                <w:szCs w:val="24"/>
              </w:rPr>
              <w:t xml:space="preserve">5) pārkāptas </w:t>
            </w:r>
            <w:hyperlink r:id="rId13" w:tgtFrame="_blank" w:history="1">
              <w:r w:rsidRPr="006F697D">
                <w:rPr>
                  <w:rFonts w:ascii="Times New Roman" w:hAnsi="Times New Roman"/>
                  <w:sz w:val="24"/>
                  <w:szCs w:val="24"/>
                </w:rPr>
                <w:t>Ceļu satiksmes noteikumos</w:t>
              </w:r>
            </w:hyperlink>
            <w:r w:rsidRPr="006F697D">
              <w:rPr>
                <w:rFonts w:ascii="Times New Roman" w:hAnsi="Times New Roman"/>
                <w:sz w:val="24"/>
                <w:szCs w:val="24"/>
              </w:rPr>
              <w:t xml:space="preserve"> reglamentētās kravas novietošanas un nostiprināšanas prasības.</w:t>
            </w:r>
          </w:p>
          <w:p w:rsidR="002C4388" w:rsidRPr="00F67714" w:rsidRDefault="005C0B07" w:rsidP="006F697D">
            <w:pPr>
              <w:pStyle w:val="Bezatstarpm"/>
              <w:ind w:firstLine="224"/>
              <w:jc w:val="both"/>
              <w:rPr>
                <w:rFonts w:ascii="Times New Roman" w:hAnsi="Times New Roman"/>
                <w:sz w:val="24"/>
                <w:szCs w:val="24"/>
              </w:rPr>
            </w:pPr>
            <w:r w:rsidRPr="006F697D">
              <w:rPr>
                <w:rFonts w:ascii="Times New Roman" w:hAnsi="Times New Roman"/>
                <w:bCs/>
                <w:sz w:val="24"/>
                <w:szCs w:val="24"/>
                <w:lang w:eastAsia="lv-LV"/>
              </w:rPr>
              <w:t xml:space="preserve">Saskaņā ar Noteikumu Nr.411 7.punktu, Valsts policija dod norādījumu apturēt transportlīdzekli kontrolējamā transportlīdzekļa vadītājam uz autoceļa vietās, kur netiek apdraudēta satiksmes drošība. Šo noteikumu 8.punkts nosaka, ka Valsts policija apturēto transportlīdzekli novirza uz autoceļa tuvumā esošām piemērotām vietām (piemēram, stāvlaukumiem, kravas iekraušanas un izkraušanas laukumiem). </w:t>
            </w:r>
            <w:r w:rsidRPr="00F67714">
              <w:rPr>
                <w:rFonts w:ascii="Times New Roman" w:hAnsi="Times New Roman"/>
                <w:bCs/>
                <w:sz w:val="24"/>
                <w:szCs w:val="24"/>
                <w:lang w:eastAsia="lv-LV"/>
              </w:rPr>
              <w:t>Atbilstoši Ministru kabineta</w:t>
            </w:r>
            <w:r w:rsidRPr="00F67714">
              <w:rPr>
                <w:rFonts w:ascii="Times New Roman" w:hAnsi="Times New Roman"/>
                <w:sz w:val="24"/>
                <w:szCs w:val="24"/>
              </w:rPr>
              <w:t xml:space="preserve"> </w:t>
            </w:r>
            <w:r w:rsidR="00C92671" w:rsidRPr="00F67714">
              <w:rPr>
                <w:rFonts w:ascii="Times New Roman" w:hAnsi="Times New Roman"/>
                <w:sz w:val="24"/>
                <w:szCs w:val="24"/>
              </w:rPr>
              <w:t xml:space="preserve">2015.gada 2.jūnija </w:t>
            </w:r>
            <w:r w:rsidR="00C92671" w:rsidRPr="00F67714">
              <w:rPr>
                <w:rFonts w:ascii="Times New Roman" w:hAnsi="Times New Roman"/>
                <w:bCs/>
                <w:sz w:val="24"/>
                <w:szCs w:val="24"/>
                <w:lang w:eastAsia="lv-LV"/>
              </w:rPr>
              <w:t>noteikumu Nr.279</w:t>
            </w:r>
            <w:r w:rsidRPr="00F67714">
              <w:rPr>
                <w:rFonts w:ascii="Times New Roman" w:hAnsi="Times New Roman"/>
                <w:sz w:val="24"/>
                <w:szCs w:val="24"/>
                <w:lang w:eastAsia="lv-LV"/>
              </w:rPr>
              <w:t xml:space="preserve"> “</w:t>
            </w:r>
            <w:r w:rsidRPr="00F67714">
              <w:rPr>
                <w:rFonts w:ascii="Times New Roman" w:hAnsi="Times New Roman"/>
                <w:bCs/>
                <w:sz w:val="24"/>
                <w:szCs w:val="24"/>
                <w:lang w:eastAsia="lv-LV"/>
              </w:rPr>
              <w:t xml:space="preserve">Ceļu satiksmes noteikumi” </w:t>
            </w:r>
            <w:r w:rsidR="002C4388" w:rsidRPr="00F67714">
              <w:rPr>
                <w:rFonts w:ascii="Times New Roman" w:hAnsi="Times New Roman"/>
                <w:sz w:val="24"/>
                <w:szCs w:val="24"/>
              </w:rPr>
              <w:t>25.9.</w:t>
            </w:r>
            <w:r w:rsidRPr="00F67714">
              <w:rPr>
                <w:rFonts w:ascii="Times New Roman" w:hAnsi="Times New Roman"/>
                <w:bCs/>
                <w:sz w:val="24"/>
                <w:szCs w:val="24"/>
                <w:lang w:eastAsia="lv-LV"/>
              </w:rPr>
              <w:t xml:space="preserve">apakšpunktam, </w:t>
            </w:r>
            <w:r w:rsidRPr="00F67714">
              <w:rPr>
                <w:rFonts w:ascii="Times New Roman" w:hAnsi="Times New Roman"/>
                <w:sz w:val="24"/>
                <w:szCs w:val="24"/>
              </w:rPr>
              <w:t xml:space="preserve">transportlīdzekļa vadītājam ir pienākums </w:t>
            </w:r>
            <w:r w:rsidR="002C4388" w:rsidRPr="00F67714">
              <w:rPr>
                <w:rFonts w:ascii="Times New Roman" w:hAnsi="Times New Roman"/>
                <w:sz w:val="24"/>
                <w:szCs w:val="24"/>
              </w:rPr>
              <w:t xml:space="preserve">pakļauties kompetentās iestādes amatpersonu veiktajām pārbaudēm, tām veicot normatīvajos aktos noteiktās uzraudzības un kontroles funkcijas, tai skaitā policijas vai muitas darbinieka prasībai nogādāt transportlīdzekli kontroles veikšanas vietā, kā arī nodot transportlīdzekli minēto kontroļu veikšanai, ļaut veikt šo noteikumu </w:t>
            </w:r>
            <w:hyperlink r:id="rId14" w:anchor="p218" w:tgtFrame="_blank" w:history="1">
              <w:r w:rsidR="002C4388" w:rsidRPr="00F67714">
                <w:rPr>
                  <w:rFonts w:ascii="Times New Roman" w:hAnsi="Times New Roman"/>
                  <w:sz w:val="24"/>
                  <w:szCs w:val="24"/>
                </w:rPr>
                <w:t>218.</w:t>
              </w:r>
            </w:hyperlink>
            <w:r w:rsidR="002C4388" w:rsidRPr="00F67714">
              <w:rPr>
                <w:rFonts w:ascii="Times New Roman" w:hAnsi="Times New Roman"/>
                <w:sz w:val="24"/>
                <w:szCs w:val="24"/>
              </w:rPr>
              <w:t xml:space="preserve">, </w:t>
            </w:r>
            <w:hyperlink r:id="rId15" w:anchor="p219" w:tgtFrame="_blank" w:history="1">
              <w:r w:rsidR="002C4388" w:rsidRPr="00F67714">
                <w:rPr>
                  <w:rFonts w:ascii="Times New Roman" w:hAnsi="Times New Roman"/>
                  <w:sz w:val="24"/>
                  <w:szCs w:val="24"/>
                </w:rPr>
                <w:t xml:space="preserve">219. </w:t>
              </w:r>
            </w:hyperlink>
            <w:r w:rsidR="002C4388" w:rsidRPr="00F67714">
              <w:rPr>
                <w:rFonts w:ascii="Times New Roman" w:hAnsi="Times New Roman"/>
                <w:sz w:val="24"/>
                <w:szCs w:val="24"/>
              </w:rPr>
              <w:t xml:space="preserve">un </w:t>
            </w:r>
            <w:hyperlink r:id="rId16" w:anchor="p220" w:tgtFrame="_blank" w:history="1">
              <w:r w:rsidR="002C4388" w:rsidRPr="00F67714">
                <w:rPr>
                  <w:rFonts w:ascii="Times New Roman" w:hAnsi="Times New Roman"/>
                  <w:sz w:val="24"/>
                  <w:szCs w:val="24"/>
                </w:rPr>
                <w:t>220. punktā</w:t>
              </w:r>
            </w:hyperlink>
            <w:r w:rsidR="002C4388" w:rsidRPr="00F67714">
              <w:rPr>
                <w:rFonts w:ascii="Times New Roman" w:hAnsi="Times New Roman"/>
                <w:sz w:val="24"/>
                <w:szCs w:val="24"/>
              </w:rPr>
              <w:t xml:space="preserve"> minētā aprīkojuma apskati.</w:t>
            </w:r>
          </w:p>
          <w:p w:rsidR="005C0B07" w:rsidRPr="006F697D" w:rsidRDefault="005C0B07" w:rsidP="006F697D">
            <w:pPr>
              <w:pStyle w:val="Bezatstarpm"/>
              <w:ind w:firstLine="224"/>
              <w:jc w:val="both"/>
              <w:rPr>
                <w:rFonts w:ascii="Times New Roman" w:hAnsi="Times New Roman"/>
                <w:sz w:val="24"/>
                <w:szCs w:val="24"/>
              </w:rPr>
            </w:pPr>
            <w:r w:rsidRPr="006F697D">
              <w:rPr>
                <w:rFonts w:ascii="Times New Roman" w:hAnsi="Times New Roman"/>
                <w:sz w:val="24"/>
                <w:szCs w:val="24"/>
              </w:rPr>
              <w:t xml:space="preserve">Minētais nozīmē, ka galējās nepieciešamības rezultātā piemērotais nodrošinājuma līdzeklis – </w:t>
            </w:r>
            <w:proofErr w:type="spellStart"/>
            <w:r w:rsidRPr="006F697D">
              <w:rPr>
                <w:rFonts w:ascii="Times New Roman" w:hAnsi="Times New Roman"/>
                <w:sz w:val="24"/>
                <w:szCs w:val="24"/>
              </w:rPr>
              <w:t>imobilizatora</w:t>
            </w:r>
            <w:proofErr w:type="spellEnd"/>
            <w:r w:rsidRPr="006F697D">
              <w:rPr>
                <w:rFonts w:ascii="Times New Roman" w:hAnsi="Times New Roman"/>
                <w:sz w:val="24"/>
                <w:szCs w:val="24"/>
              </w:rPr>
              <w:t>/riteņu bloķētāja uzlikšana autopārvadājumā iesaistītajam transportlīdzeklim netraucēs vispārējai ceļu satiksmei.</w:t>
            </w:r>
          </w:p>
          <w:p w:rsidR="005C0B07" w:rsidRPr="006F697D" w:rsidRDefault="005C0B07" w:rsidP="006F697D">
            <w:pPr>
              <w:pStyle w:val="Bezatstarpm"/>
              <w:ind w:firstLine="224"/>
              <w:jc w:val="both"/>
              <w:rPr>
                <w:rFonts w:ascii="Times New Roman" w:hAnsi="Times New Roman"/>
                <w:sz w:val="24"/>
                <w:szCs w:val="24"/>
              </w:rPr>
            </w:pPr>
            <w:r w:rsidRPr="006F697D">
              <w:rPr>
                <w:rFonts w:ascii="Times New Roman" w:hAnsi="Times New Roman"/>
                <w:sz w:val="24"/>
                <w:szCs w:val="24"/>
              </w:rPr>
              <w:t>Projekts paredz, ka piemērotie nodrošinājuma līdzekļi ir spēkā līdz naudas soda un/vai pārkāpuma novēršanai, bet ne ilgāk kā 30 dienas.</w:t>
            </w:r>
          </w:p>
          <w:p w:rsidR="005C0B07" w:rsidRPr="005631C6" w:rsidRDefault="005C0B07" w:rsidP="006F697D">
            <w:pPr>
              <w:suppressAutoHyphens/>
              <w:spacing w:after="0" w:line="240" w:lineRule="auto"/>
              <w:ind w:left="-82" w:firstLine="224"/>
              <w:jc w:val="both"/>
              <w:rPr>
                <w:rFonts w:ascii="Times New Roman" w:hAnsi="Times New Roman"/>
                <w:color w:val="000000"/>
                <w:sz w:val="24"/>
                <w:szCs w:val="24"/>
                <w:lang w:eastAsia="zh-CN"/>
              </w:rPr>
            </w:pPr>
            <w:r w:rsidRPr="006F697D">
              <w:rPr>
                <w:rFonts w:ascii="Times New Roman" w:hAnsi="Times New Roman"/>
                <w:bCs/>
                <w:sz w:val="24"/>
                <w:szCs w:val="24"/>
              </w:rPr>
              <w:t xml:space="preserve"> Šāds regulējums noteikts ņemot vērā, ka autopārvadājumos iesaistītās personas ir finansiāli motivētas savlaicīgi un noteiktos termiņos nodrošināt autopārvadājumu civiltiesisko saistību izpildi,</w:t>
            </w:r>
            <w:r w:rsidR="006F697D" w:rsidRPr="006F697D">
              <w:rPr>
                <w:rFonts w:ascii="Times New Roman" w:hAnsi="Times New Roman"/>
                <w:bCs/>
                <w:sz w:val="24"/>
                <w:szCs w:val="24"/>
              </w:rPr>
              <w:t xml:space="preserve"> jo katra transportlīdzekļa dīkstāves diena rada pārvadātājam ievērojamus zaudējumus,</w:t>
            </w:r>
            <w:r w:rsidRPr="006F697D">
              <w:rPr>
                <w:rFonts w:ascii="Times New Roman" w:hAnsi="Times New Roman"/>
                <w:bCs/>
                <w:sz w:val="24"/>
                <w:szCs w:val="24"/>
              </w:rPr>
              <w:t xml:space="preserve"> tādēļ piemērotie nodrošinājuma līdzekļi pēc 30 dienu termiņa kļūst juridiski neefektīvi, līdz ar ko atceļami.</w:t>
            </w:r>
            <w:r w:rsidRPr="001A01F9">
              <w:rPr>
                <w:rFonts w:ascii="Times New Roman" w:hAnsi="Times New Roman"/>
                <w:bCs/>
                <w:sz w:val="24"/>
                <w:szCs w:val="24"/>
              </w:rPr>
              <w:t xml:space="preserve"> </w:t>
            </w:r>
            <w:r w:rsidRPr="00426530">
              <w:rPr>
                <w:rFonts w:ascii="Times New Roman" w:hAnsi="Times New Roman"/>
                <w:sz w:val="24"/>
                <w:szCs w:val="24"/>
                <w:lang w:eastAsia="lv-LV"/>
              </w:rPr>
              <w:t xml:space="preserve"> </w:t>
            </w:r>
          </w:p>
        </w:tc>
      </w:tr>
      <w:tr w:rsidR="005C0B07" w:rsidRPr="001A01F9" w:rsidTr="001D1388">
        <w:trPr>
          <w:trHeight w:val="465"/>
        </w:trPr>
        <w:tc>
          <w:tcPr>
            <w:tcW w:w="497" w:type="dxa"/>
          </w:tcPr>
          <w:p w:rsidR="005C0B07" w:rsidRPr="005670AB" w:rsidRDefault="005C0B07" w:rsidP="0044309A">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color w:val="0D0D0D"/>
                <w:sz w:val="24"/>
                <w:szCs w:val="24"/>
                <w:lang w:eastAsia="zh-CN"/>
              </w:rPr>
              <w:lastRenderedPageBreak/>
              <w:t>3.</w:t>
            </w:r>
          </w:p>
        </w:tc>
        <w:tc>
          <w:tcPr>
            <w:tcW w:w="1995" w:type="dxa"/>
          </w:tcPr>
          <w:p w:rsidR="005C0B07" w:rsidRPr="005670AB" w:rsidRDefault="005C0B07" w:rsidP="0044309A">
            <w:pPr>
              <w:suppressAutoHyphens/>
              <w:spacing w:after="0" w:line="240" w:lineRule="auto"/>
              <w:ind w:left="122"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Projekta izstrādē iesaistītās institūcijas</w:t>
            </w:r>
          </w:p>
        </w:tc>
        <w:tc>
          <w:tcPr>
            <w:tcW w:w="7255" w:type="dxa"/>
            <w:gridSpan w:val="2"/>
          </w:tcPr>
          <w:p w:rsidR="005C0B07" w:rsidRPr="005670AB" w:rsidRDefault="005C0B07" w:rsidP="0044309A">
            <w:pPr>
              <w:suppressAutoHyphens/>
              <w:spacing w:after="0" w:line="240" w:lineRule="auto"/>
              <w:jc w:val="both"/>
              <w:rPr>
                <w:rFonts w:ascii="Times New Roman" w:hAnsi="Times New Roman"/>
                <w:color w:val="0D0D0D"/>
                <w:sz w:val="24"/>
                <w:szCs w:val="24"/>
                <w:lang w:eastAsia="zh-CN"/>
              </w:rPr>
            </w:pPr>
          </w:p>
          <w:p w:rsidR="005C0B07" w:rsidRPr="005670AB" w:rsidRDefault="005C0B07" w:rsidP="0044309A">
            <w:pPr>
              <w:suppressAutoHyphens/>
              <w:spacing w:after="0" w:line="240" w:lineRule="auto"/>
              <w:jc w:val="both"/>
              <w:rPr>
                <w:rFonts w:ascii="Times New Roman" w:hAnsi="Times New Roman"/>
                <w:color w:val="0D0D0D"/>
                <w:sz w:val="24"/>
                <w:szCs w:val="24"/>
                <w:lang w:eastAsia="zh-CN"/>
              </w:rPr>
            </w:pPr>
            <w:r>
              <w:rPr>
                <w:rFonts w:ascii="Times New Roman" w:hAnsi="Times New Roman"/>
                <w:sz w:val="24"/>
                <w:szCs w:val="24"/>
                <w:lang w:eastAsia="lv-LV"/>
              </w:rPr>
              <w:t>Iekšlietu ministrija un</w:t>
            </w:r>
            <w:r w:rsidRPr="001A6546">
              <w:rPr>
                <w:rFonts w:ascii="Times New Roman" w:hAnsi="Times New Roman"/>
                <w:sz w:val="24"/>
                <w:szCs w:val="24"/>
                <w:lang w:eastAsia="lv-LV"/>
              </w:rPr>
              <w:t xml:space="preserve"> Valsts policija.</w:t>
            </w:r>
          </w:p>
        </w:tc>
      </w:tr>
      <w:tr w:rsidR="005C0B07" w:rsidRPr="001A01F9" w:rsidTr="001D1388">
        <w:trPr>
          <w:gridAfter w:val="1"/>
          <w:wAfter w:w="26" w:type="dxa"/>
          <w:trHeight w:val="321"/>
        </w:trPr>
        <w:tc>
          <w:tcPr>
            <w:tcW w:w="497" w:type="dxa"/>
          </w:tcPr>
          <w:p w:rsidR="005C0B07" w:rsidRPr="005670AB" w:rsidRDefault="005C0B07" w:rsidP="0044309A">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color w:val="0D0D0D"/>
                <w:sz w:val="24"/>
                <w:szCs w:val="24"/>
                <w:lang w:eastAsia="zh-CN"/>
              </w:rPr>
              <w:t>4.</w:t>
            </w:r>
          </w:p>
        </w:tc>
        <w:tc>
          <w:tcPr>
            <w:tcW w:w="1995"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 Cita informācija</w:t>
            </w:r>
          </w:p>
        </w:tc>
        <w:tc>
          <w:tcPr>
            <w:tcW w:w="7229" w:type="dxa"/>
          </w:tcPr>
          <w:p w:rsidR="005C0B07" w:rsidRPr="005670AB" w:rsidRDefault="005C0B07" w:rsidP="0044309A">
            <w:pPr>
              <w:suppressAutoHyphens/>
              <w:spacing w:after="0" w:line="240" w:lineRule="auto"/>
              <w:jc w:val="both"/>
              <w:rPr>
                <w:rFonts w:ascii="Times New Roman" w:hAnsi="Times New Roman"/>
                <w:color w:val="0D0D0D"/>
                <w:sz w:val="24"/>
                <w:szCs w:val="24"/>
                <w:lang w:eastAsia="zh-CN"/>
              </w:rPr>
            </w:pPr>
            <w:r w:rsidRPr="005670AB">
              <w:rPr>
                <w:rFonts w:ascii="Times New Roman" w:hAnsi="Times New Roman"/>
                <w:color w:val="0D0D0D"/>
                <w:sz w:val="24"/>
                <w:szCs w:val="24"/>
                <w:lang w:eastAsia="zh-CN"/>
              </w:rPr>
              <w:t>Nav.</w:t>
            </w:r>
          </w:p>
        </w:tc>
      </w:tr>
    </w:tbl>
    <w:p w:rsidR="00F67714" w:rsidRPr="005670AB" w:rsidRDefault="00F67714" w:rsidP="005C0B07">
      <w:pPr>
        <w:suppressAutoHyphens/>
        <w:spacing w:after="0" w:line="240" w:lineRule="auto"/>
        <w:rPr>
          <w:rFonts w:ascii="Times New Roman" w:hAnsi="Times New Roman"/>
          <w:b/>
          <w:bCs/>
          <w:color w:val="0D0D0D"/>
          <w:sz w:val="24"/>
          <w:szCs w:val="24"/>
          <w:lang w:eastAsia="zh-CN"/>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869"/>
        <w:gridCol w:w="6352"/>
      </w:tblGrid>
      <w:tr w:rsidR="005C0B07" w:rsidRPr="001A01F9" w:rsidTr="0044309A">
        <w:trPr>
          <w:trHeight w:val="407"/>
        </w:trPr>
        <w:tc>
          <w:tcPr>
            <w:tcW w:w="9721" w:type="dxa"/>
            <w:gridSpan w:val="3"/>
          </w:tcPr>
          <w:p w:rsidR="005C0B07" w:rsidRPr="005670AB" w:rsidRDefault="005C0B07" w:rsidP="0044309A">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b/>
                <w:bCs/>
                <w:color w:val="0D0D0D"/>
                <w:sz w:val="24"/>
                <w:szCs w:val="24"/>
                <w:lang w:eastAsia="zh-CN"/>
              </w:rPr>
              <w:t>II. Tiesību akta projekta ietekme uz sabiedrību, tautsaimniecības attīstību un administratīvo slogu</w:t>
            </w:r>
          </w:p>
        </w:tc>
      </w:tr>
      <w:tr w:rsidR="005C0B07" w:rsidRPr="001A01F9" w:rsidTr="0044309A">
        <w:trPr>
          <w:trHeight w:val="1152"/>
        </w:trPr>
        <w:tc>
          <w:tcPr>
            <w:tcW w:w="500"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1.</w:t>
            </w:r>
          </w:p>
        </w:tc>
        <w:tc>
          <w:tcPr>
            <w:tcW w:w="2869" w:type="dxa"/>
          </w:tcPr>
          <w:p w:rsidR="005C0B07" w:rsidRPr="005670AB" w:rsidRDefault="005C0B07" w:rsidP="0044309A">
            <w:pPr>
              <w:suppressAutoHyphens/>
              <w:spacing w:after="0" w:line="240" w:lineRule="auto"/>
              <w:ind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Sabiedrības </w:t>
            </w:r>
            <w:proofErr w:type="spellStart"/>
            <w:r w:rsidRPr="005670AB">
              <w:rPr>
                <w:rFonts w:ascii="Times New Roman" w:hAnsi="Times New Roman"/>
                <w:color w:val="0D0D0D"/>
                <w:sz w:val="24"/>
                <w:szCs w:val="24"/>
                <w:lang w:eastAsia="zh-CN"/>
              </w:rPr>
              <w:t>mērķgrupas</w:t>
            </w:r>
            <w:proofErr w:type="spellEnd"/>
            <w:r w:rsidRPr="005670AB">
              <w:rPr>
                <w:rFonts w:ascii="Times New Roman" w:hAnsi="Times New Roman"/>
                <w:color w:val="0D0D0D"/>
                <w:sz w:val="24"/>
                <w:szCs w:val="24"/>
                <w:lang w:eastAsia="zh-CN"/>
              </w:rPr>
              <w:t>, kuras tiesiskais regulējums ietekmē vai varētu ietekmēt</w:t>
            </w:r>
          </w:p>
        </w:tc>
        <w:tc>
          <w:tcPr>
            <w:tcW w:w="6352" w:type="dxa"/>
          </w:tcPr>
          <w:p w:rsidR="005C0B07" w:rsidRPr="005670AB" w:rsidRDefault="005C0B07" w:rsidP="0044309A">
            <w:pPr>
              <w:suppressAutoHyphens/>
              <w:spacing w:after="0" w:line="240" w:lineRule="auto"/>
              <w:ind w:left="-108" w:right="111"/>
              <w:jc w:val="both"/>
              <w:rPr>
                <w:rFonts w:ascii="Times New Roman" w:hAnsi="Times New Roman"/>
                <w:color w:val="0D0D0D"/>
                <w:sz w:val="24"/>
                <w:szCs w:val="24"/>
                <w:lang w:eastAsia="zh-CN"/>
              </w:rPr>
            </w:pPr>
            <w:r>
              <w:rPr>
                <w:rFonts w:ascii="Times New Roman" w:hAnsi="Times New Roman"/>
                <w:sz w:val="24"/>
                <w:szCs w:val="24"/>
                <w:lang w:eastAsia="lv-LV"/>
              </w:rPr>
              <w:t>Pārvadātāji un autopārvadājumu transportlīdzekļu vadītāji.</w:t>
            </w:r>
          </w:p>
        </w:tc>
      </w:tr>
      <w:tr w:rsidR="005C0B07" w:rsidRPr="001A01F9" w:rsidTr="0044309A">
        <w:trPr>
          <w:trHeight w:val="510"/>
        </w:trPr>
        <w:tc>
          <w:tcPr>
            <w:tcW w:w="500"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2.</w:t>
            </w:r>
          </w:p>
        </w:tc>
        <w:tc>
          <w:tcPr>
            <w:tcW w:w="2869" w:type="dxa"/>
          </w:tcPr>
          <w:p w:rsidR="005C0B07" w:rsidRPr="005670AB" w:rsidRDefault="005C0B07" w:rsidP="0044309A">
            <w:pPr>
              <w:suppressAutoHyphens/>
              <w:spacing w:after="0" w:line="240" w:lineRule="auto"/>
              <w:ind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Tiesiskā regulējuma ietekme uz tautsaimniecību un administratīvo slogu</w:t>
            </w:r>
          </w:p>
        </w:tc>
        <w:tc>
          <w:tcPr>
            <w:tcW w:w="6352" w:type="dxa"/>
          </w:tcPr>
          <w:p w:rsidR="005C0B07" w:rsidRPr="005670AB" w:rsidRDefault="005C0B07" w:rsidP="0044309A">
            <w:pPr>
              <w:suppressAutoHyphens/>
              <w:spacing w:after="0" w:line="240" w:lineRule="auto"/>
              <w:ind w:left="-108" w:right="111"/>
              <w:jc w:val="both"/>
              <w:rPr>
                <w:rFonts w:ascii="Times New Roman" w:hAnsi="Times New Roman"/>
                <w:color w:val="000000"/>
                <w:sz w:val="24"/>
                <w:szCs w:val="24"/>
                <w:lang w:eastAsia="zh-CN"/>
              </w:rPr>
            </w:pPr>
            <w:r w:rsidRPr="001A01F9">
              <w:rPr>
                <w:rFonts w:ascii="Times New Roman" w:hAnsi="Times New Roman"/>
                <w:sz w:val="24"/>
                <w:szCs w:val="24"/>
              </w:rPr>
              <w:t xml:space="preserve">Tiks novērsta nevienlīdzīgā situācija starp ārvalstu un nacionālajiem pārvadātājiem, nodrošinot vienlīdzīgu personu atbildību par administratīvo pārkāpumu, piemērotā naudas soda neizbēgamības principu īstenošanu neatkarīgi no pārkāpēja valstiskās piederības, kā arī tiks uzlabota valsts budžeta ienākumu no uzliktajiem naudas sodiem nodrošināšana.  </w:t>
            </w:r>
          </w:p>
        </w:tc>
      </w:tr>
      <w:tr w:rsidR="005C0B07" w:rsidRPr="001A01F9" w:rsidTr="0044309A">
        <w:trPr>
          <w:trHeight w:val="307"/>
        </w:trPr>
        <w:tc>
          <w:tcPr>
            <w:tcW w:w="500"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3.</w:t>
            </w:r>
          </w:p>
        </w:tc>
        <w:tc>
          <w:tcPr>
            <w:tcW w:w="2869" w:type="dxa"/>
          </w:tcPr>
          <w:p w:rsidR="005C0B07" w:rsidRPr="005670AB" w:rsidRDefault="005C0B07" w:rsidP="0044309A">
            <w:pPr>
              <w:suppressAutoHyphens/>
              <w:spacing w:after="0" w:line="240" w:lineRule="auto"/>
              <w:ind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Administratīvo izmaksu monetārs novērtējums</w:t>
            </w:r>
          </w:p>
        </w:tc>
        <w:tc>
          <w:tcPr>
            <w:tcW w:w="6352" w:type="dxa"/>
          </w:tcPr>
          <w:p w:rsidR="005C0B07" w:rsidRPr="005670AB" w:rsidRDefault="005C0B07" w:rsidP="0044309A">
            <w:pPr>
              <w:suppressAutoHyphens/>
              <w:spacing w:after="0" w:line="240" w:lineRule="auto"/>
              <w:ind w:left="-108"/>
              <w:jc w:val="both"/>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 Projekts šo jomu neskar.</w:t>
            </w:r>
          </w:p>
        </w:tc>
      </w:tr>
      <w:tr w:rsidR="005C0B07" w:rsidRPr="001A01F9" w:rsidTr="0044309A">
        <w:trPr>
          <w:trHeight w:val="345"/>
        </w:trPr>
        <w:tc>
          <w:tcPr>
            <w:tcW w:w="500"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4.</w:t>
            </w:r>
          </w:p>
        </w:tc>
        <w:tc>
          <w:tcPr>
            <w:tcW w:w="2869" w:type="dxa"/>
          </w:tcPr>
          <w:p w:rsidR="005C0B07" w:rsidRPr="005670AB" w:rsidRDefault="005C0B07" w:rsidP="0044309A">
            <w:pPr>
              <w:suppressAutoHyphens/>
              <w:spacing w:after="0" w:line="240" w:lineRule="auto"/>
              <w:ind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Cita informācija</w:t>
            </w:r>
          </w:p>
        </w:tc>
        <w:tc>
          <w:tcPr>
            <w:tcW w:w="6352" w:type="dxa"/>
          </w:tcPr>
          <w:p w:rsidR="005C0B07" w:rsidRPr="005670AB" w:rsidRDefault="005C0B07" w:rsidP="0044309A">
            <w:pPr>
              <w:suppressAutoHyphens/>
              <w:spacing w:after="0" w:line="240" w:lineRule="auto"/>
              <w:ind w:left="-108"/>
              <w:jc w:val="both"/>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 Nav.</w:t>
            </w:r>
          </w:p>
        </w:tc>
      </w:tr>
    </w:tbl>
    <w:p w:rsidR="005C0B07" w:rsidRPr="00135E95" w:rsidRDefault="005C0B07" w:rsidP="005C0B07">
      <w:pPr>
        <w:suppressAutoHyphens/>
        <w:spacing w:after="0" w:line="240" w:lineRule="auto"/>
        <w:rPr>
          <w:rFonts w:ascii="Times New Roman" w:hAnsi="Times New Roman"/>
          <w:b/>
          <w:bCs/>
          <w:color w:val="0D0D0D"/>
          <w:sz w:val="24"/>
          <w:szCs w:val="24"/>
          <w:lang w:eastAsia="zh-CN"/>
        </w:rPr>
      </w:pPr>
    </w:p>
    <w:tbl>
      <w:tblPr>
        <w:tblW w:w="5446" w:type="pct"/>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0A0" w:firstRow="1" w:lastRow="0" w:firstColumn="1" w:lastColumn="0" w:noHBand="0" w:noVBand="0"/>
      </w:tblPr>
      <w:tblGrid>
        <w:gridCol w:w="1626"/>
        <w:gridCol w:w="1082"/>
        <w:gridCol w:w="1085"/>
        <w:gridCol w:w="1778"/>
        <w:gridCol w:w="1688"/>
        <w:gridCol w:w="2774"/>
      </w:tblGrid>
      <w:tr w:rsidR="005C0B07" w:rsidRPr="001A01F9" w:rsidTr="0044309A">
        <w:trPr>
          <w:trHeight w:val="360"/>
          <w:tblCellSpacing w:w="15" w:type="dxa"/>
          <w:jc w:val="center"/>
        </w:trPr>
        <w:tc>
          <w:tcPr>
            <w:tcW w:w="4970" w:type="pct"/>
            <w:gridSpan w:val="6"/>
            <w:tcBorders>
              <w:top w:val="single" w:sz="4" w:space="0" w:color="auto"/>
            </w:tcBorders>
            <w:vAlign w:val="center"/>
          </w:tcPr>
          <w:p w:rsidR="005C0B07" w:rsidRPr="001A01F9" w:rsidRDefault="005C0B07" w:rsidP="0044309A">
            <w:pPr>
              <w:pStyle w:val="Bezatstarpm"/>
              <w:jc w:val="center"/>
              <w:rPr>
                <w:rFonts w:ascii="Times New Roman" w:hAnsi="Times New Roman"/>
                <w:b/>
                <w:sz w:val="24"/>
                <w:szCs w:val="24"/>
                <w:lang w:eastAsia="lv-LV"/>
              </w:rPr>
            </w:pPr>
            <w:r w:rsidRPr="001A01F9">
              <w:rPr>
                <w:rFonts w:ascii="Times New Roman" w:hAnsi="Times New Roman"/>
                <w:b/>
                <w:sz w:val="24"/>
                <w:szCs w:val="24"/>
                <w:lang w:eastAsia="lv-LV"/>
              </w:rPr>
              <w:t>III. Tiesību akta projekta ietekme uz valsts budžetu un pašvaldību budžetiem</w:t>
            </w:r>
          </w:p>
        </w:tc>
      </w:tr>
      <w:tr w:rsidR="005C0B07" w:rsidRPr="001A01F9" w:rsidTr="0044309A">
        <w:trPr>
          <w:tblCellSpacing w:w="15" w:type="dxa"/>
          <w:jc w:val="center"/>
        </w:trPr>
        <w:tc>
          <w:tcPr>
            <w:tcW w:w="799" w:type="pct"/>
            <w:vMerge w:val="restart"/>
            <w:vAlign w:val="center"/>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Rādītāji</w:t>
            </w:r>
          </w:p>
        </w:tc>
        <w:tc>
          <w:tcPr>
            <w:tcW w:w="1066" w:type="pct"/>
            <w:gridSpan w:val="2"/>
            <w:vMerge w:val="restart"/>
            <w:vAlign w:val="center"/>
          </w:tcPr>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2017</w:t>
            </w:r>
            <w:r w:rsidRPr="001A01F9">
              <w:rPr>
                <w:rFonts w:ascii="Times New Roman" w:hAnsi="Times New Roman"/>
                <w:sz w:val="24"/>
                <w:szCs w:val="24"/>
                <w:lang w:eastAsia="lv-LV"/>
              </w:rPr>
              <w:t>. gads</w:t>
            </w:r>
          </w:p>
        </w:tc>
        <w:tc>
          <w:tcPr>
            <w:tcW w:w="3074" w:type="pct"/>
            <w:gridSpan w:val="3"/>
            <w:vAlign w:val="center"/>
          </w:tcPr>
          <w:p w:rsidR="005C0B07" w:rsidRPr="001A01F9"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Turpmākie trīs gadi (</w:t>
            </w:r>
            <w:proofErr w:type="spellStart"/>
            <w:r w:rsidRPr="001A01F9">
              <w:rPr>
                <w:rFonts w:ascii="Times New Roman" w:hAnsi="Times New Roman"/>
                <w:i/>
                <w:iCs/>
                <w:sz w:val="24"/>
                <w:szCs w:val="24"/>
                <w:lang w:eastAsia="lv-LV"/>
              </w:rPr>
              <w:t>euro</w:t>
            </w:r>
            <w:proofErr w:type="spellEnd"/>
            <w:r w:rsidRPr="001A01F9">
              <w:rPr>
                <w:rFonts w:ascii="Times New Roman" w:hAnsi="Times New Roman"/>
                <w:sz w:val="24"/>
                <w:szCs w:val="24"/>
                <w:lang w:eastAsia="lv-LV"/>
              </w:rPr>
              <w:t>)</w:t>
            </w:r>
          </w:p>
        </w:tc>
      </w:tr>
      <w:tr w:rsidR="005C0B07" w:rsidRPr="001A01F9" w:rsidTr="0044309A">
        <w:trPr>
          <w:tblCellSpacing w:w="15" w:type="dxa"/>
          <w:jc w:val="center"/>
        </w:trPr>
        <w:tc>
          <w:tcPr>
            <w:tcW w:w="799" w:type="pct"/>
            <w:vMerge/>
            <w:vAlign w:val="center"/>
          </w:tcPr>
          <w:p w:rsidR="005C0B07" w:rsidRPr="001A01F9" w:rsidRDefault="005C0B07" w:rsidP="0044309A">
            <w:pPr>
              <w:pStyle w:val="Bezatstarpm"/>
              <w:rPr>
                <w:rFonts w:ascii="Times New Roman" w:hAnsi="Times New Roman"/>
                <w:sz w:val="24"/>
                <w:szCs w:val="24"/>
                <w:lang w:eastAsia="lv-LV"/>
              </w:rPr>
            </w:pPr>
          </w:p>
        </w:tc>
        <w:tc>
          <w:tcPr>
            <w:tcW w:w="0" w:type="auto"/>
            <w:gridSpan w:val="2"/>
            <w:vMerge/>
            <w:vAlign w:val="center"/>
          </w:tcPr>
          <w:p w:rsidR="005C0B07" w:rsidRPr="001A01F9" w:rsidRDefault="005C0B07" w:rsidP="0044309A">
            <w:pPr>
              <w:pStyle w:val="Bezatstarpm"/>
              <w:rPr>
                <w:rFonts w:ascii="Times New Roman" w:hAnsi="Times New Roman"/>
                <w:sz w:val="24"/>
                <w:szCs w:val="24"/>
                <w:lang w:eastAsia="lv-LV"/>
              </w:rPr>
            </w:pPr>
          </w:p>
        </w:tc>
        <w:tc>
          <w:tcPr>
            <w:tcW w:w="885" w:type="pct"/>
            <w:vAlign w:val="center"/>
          </w:tcPr>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2018.gads</w:t>
            </w:r>
          </w:p>
        </w:tc>
        <w:tc>
          <w:tcPr>
            <w:tcW w:w="839" w:type="pct"/>
            <w:vAlign w:val="center"/>
          </w:tcPr>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2019.gads</w:t>
            </w:r>
          </w:p>
        </w:tc>
        <w:tc>
          <w:tcPr>
            <w:tcW w:w="1319" w:type="pct"/>
            <w:vAlign w:val="center"/>
          </w:tcPr>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2020.gads</w:t>
            </w:r>
          </w:p>
        </w:tc>
      </w:tr>
      <w:tr w:rsidR="005C0B07" w:rsidRPr="001A01F9" w:rsidTr="0044309A">
        <w:trPr>
          <w:tblCellSpacing w:w="15" w:type="dxa"/>
          <w:jc w:val="center"/>
        </w:trPr>
        <w:tc>
          <w:tcPr>
            <w:tcW w:w="799" w:type="pct"/>
            <w:vMerge/>
            <w:vAlign w:val="center"/>
          </w:tcPr>
          <w:p w:rsidR="005C0B07" w:rsidRPr="001A01F9" w:rsidRDefault="005C0B07" w:rsidP="0044309A">
            <w:pPr>
              <w:pStyle w:val="Bezatstarpm"/>
              <w:rPr>
                <w:rFonts w:ascii="Times New Roman" w:hAnsi="Times New Roman"/>
                <w:sz w:val="24"/>
                <w:szCs w:val="24"/>
                <w:lang w:eastAsia="lv-LV"/>
              </w:rPr>
            </w:pPr>
          </w:p>
        </w:tc>
        <w:tc>
          <w:tcPr>
            <w:tcW w:w="532" w:type="pct"/>
            <w:vAlign w:val="center"/>
          </w:tcPr>
          <w:p w:rsidR="005C0B07" w:rsidRPr="001A01F9"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saskaņā ar valsts budžetu kārtējam gadam</w:t>
            </w:r>
          </w:p>
        </w:tc>
        <w:tc>
          <w:tcPr>
            <w:tcW w:w="519" w:type="pct"/>
            <w:vAlign w:val="center"/>
          </w:tcPr>
          <w:p w:rsidR="005C0B07" w:rsidRPr="001A01F9"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izmaiņas kārtējā gadā, salīdzinot ar valsts budžetu kārtējam gadam</w:t>
            </w:r>
          </w:p>
        </w:tc>
        <w:tc>
          <w:tcPr>
            <w:tcW w:w="885" w:type="pct"/>
            <w:vAlign w:val="center"/>
          </w:tcPr>
          <w:p w:rsidR="005C0B07"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izmaiņas,</w:t>
            </w:r>
          </w:p>
          <w:p w:rsidR="005C0B07" w:rsidRPr="001A01F9"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 xml:space="preserve"> salīdzinot ar kārtējo</w:t>
            </w: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w:t>
            </w:r>
            <w:r w:rsidRPr="001A01F9">
              <w:rPr>
                <w:rFonts w:ascii="Times New Roman" w:hAnsi="Times New Roman"/>
                <w:sz w:val="24"/>
                <w:szCs w:val="24"/>
                <w:lang w:eastAsia="lv-LV"/>
              </w:rPr>
              <w:t>201</w:t>
            </w:r>
            <w:r>
              <w:rPr>
                <w:rFonts w:ascii="Times New Roman" w:hAnsi="Times New Roman"/>
                <w:sz w:val="24"/>
                <w:szCs w:val="24"/>
                <w:lang w:eastAsia="lv-LV"/>
              </w:rPr>
              <w:t>7</w:t>
            </w:r>
            <w:r w:rsidRPr="001A01F9">
              <w:rPr>
                <w:rFonts w:ascii="Times New Roman" w:hAnsi="Times New Roman"/>
                <w:sz w:val="24"/>
                <w:szCs w:val="24"/>
                <w:lang w:eastAsia="lv-LV"/>
              </w:rPr>
              <w:t>.</w:t>
            </w:r>
            <w:r>
              <w:rPr>
                <w:rFonts w:ascii="Times New Roman" w:hAnsi="Times New Roman"/>
                <w:sz w:val="24"/>
                <w:szCs w:val="24"/>
                <w:lang w:eastAsia="lv-LV"/>
              </w:rPr>
              <w:t>)</w:t>
            </w:r>
            <w:r w:rsidRPr="001A01F9">
              <w:rPr>
                <w:rFonts w:ascii="Times New Roman" w:hAnsi="Times New Roman"/>
                <w:sz w:val="24"/>
                <w:szCs w:val="24"/>
                <w:lang w:eastAsia="lv-LV"/>
              </w:rPr>
              <w:t>gadu</w:t>
            </w:r>
          </w:p>
        </w:tc>
        <w:tc>
          <w:tcPr>
            <w:tcW w:w="839" w:type="pct"/>
            <w:vAlign w:val="center"/>
          </w:tcPr>
          <w:p w:rsidR="005C0B07"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izmaiņas, salīdzinot ar kārtējo</w:t>
            </w:r>
            <w:r>
              <w:rPr>
                <w:rFonts w:ascii="Times New Roman" w:hAnsi="Times New Roman"/>
                <w:sz w:val="24"/>
                <w:szCs w:val="24"/>
                <w:lang w:eastAsia="lv-LV"/>
              </w:rPr>
              <w:t xml:space="preserve"> </w:t>
            </w:r>
          </w:p>
          <w:p w:rsidR="005C0B07" w:rsidRPr="001A01F9"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 xml:space="preserve"> </w:t>
            </w:r>
            <w:r>
              <w:rPr>
                <w:rFonts w:ascii="Times New Roman" w:hAnsi="Times New Roman"/>
                <w:sz w:val="24"/>
                <w:szCs w:val="24"/>
                <w:lang w:eastAsia="lv-LV"/>
              </w:rPr>
              <w:t>(</w:t>
            </w:r>
            <w:r w:rsidRPr="001A01F9">
              <w:rPr>
                <w:rFonts w:ascii="Times New Roman" w:hAnsi="Times New Roman"/>
                <w:sz w:val="24"/>
                <w:szCs w:val="24"/>
                <w:lang w:eastAsia="lv-LV"/>
              </w:rPr>
              <w:t>201</w:t>
            </w:r>
            <w:r>
              <w:rPr>
                <w:rFonts w:ascii="Times New Roman" w:hAnsi="Times New Roman"/>
                <w:sz w:val="24"/>
                <w:szCs w:val="24"/>
                <w:lang w:eastAsia="lv-LV"/>
              </w:rPr>
              <w:t>7</w:t>
            </w:r>
            <w:r w:rsidRPr="001A01F9">
              <w:rPr>
                <w:rFonts w:ascii="Times New Roman" w:hAnsi="Times New Roman"/>
                <w:sz w:val="24"/>
                <w:szCs w:val="24"/>
                <w:lang w:eastAsia="lv-LV"/>
              </w:rPr>
              <w:t>.</w:t>
            </w:r>
            <w:r>
              <w:rPr>
                <w:rFonts w:ascii="Times New Roman" w:hAnsi="Times New Roman"/>
                <w:sz w:val="24"/>
                <w:szCs w:val="24"/>
                <w:lang w:eastAsia="lv-LV"/>
              </w:rPr>
              <w:t>)</w:t>
            </w:r>
            <w:r w:rsidRPr="001A01F9">
              <w:rPr>
                <w:rFonts w:ascii="Times New Roman" w:hAnsi="Times New Roman"/>
                <w:sz w:val="24"/>
                <w:szCs w:val="24"/>
                <w:lang w:eastAsia="lv-LV"/>
              </w:rPr>
              <w:t>gadu</w:t>
            </w:r>
          </w:p>
        </w:tc>
        <w:tc>
          <w:tcPr>
            <w:tcW w:w="1319" w:type="pct"/>
            <w:vAlign w:val="center"/>
          </w:tcPr>
          <w:p w:rsidR="005C0B07"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izmaiņas,</w:t>
            </w:r>
          </w:p>
          <w:p w:rsidR="005C0B07"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 xml:space="preserve"> salīdzinot ar</w:t>
            </w:r>
          </w:p>
          <w:p w:rsidR="005C0B07"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 xml:space="preserve"> </w:t>
            </w:r>
            <w:r>
              <w:rPr>
                <w:rFonts w:ascii="Times New Roman" w:hAnsi="Times New Roman"/>
                <w:sz w:val="24"/>
                <w:szCs w:val="24"/>
                <w:lang w:eastAsia="lv-LV"/>
              </w:rPr>
              <w:t xml:space="preserve">kārtējo </w:t>
            </w: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 xml:space="preserve"> (</w:t>
            </w:r>
            <w:r w:rsidRPr="001A01F9">
              <w:rPr>
                <w:rFonts w:ascii="Times New Roman" w:hAnsi="Times New Roman"/>
                <w:sz w:val="24"/>
                <w:szCs w:val="24"/>
                <w:lang w:eastAsia="lv-LV"/>
              </w:rPr>
              <w:t>201</w:t>
            </w:r>
            <w:r>
              <w:rPr>
                <w:rFonts w:ascii="Times New Roman" w:hAnsi="Times New Roman"/>
                <w:sz w:val="24"/>
                <w:szCs w:val="24"/>
                <w:lang w:eastAsia="lv-LV"/>
              </w:rPr>
              <w:t>7</w:t>
            </w:r>
            <w:r w:rsidRPr="001A01F9">
              <w:rPr>
                <w:rFonts w:ascii="Times New Roman" w:hAnsi="Times New Roman"/>
                <w:sz w:val="24"/>
                <w:szCs w:val="24"/>
                <w:lang w:eastAsia="lv-LV"/>
              </w:rPr>
              <w:t>.</w:t>
            </w:r>
            <w:r>
              <w:rPr>
                <w:rFonts w:ascii="Times New Roman" w:hAnsi="Times New Roman"/>
                <w:sz w:val="24"/>
                <w:szCs w:val="24"/>
                <w:lang w:eastAsia="lv-LV"/>
              </w:rPr>
              <w:t>)</w:t>
            </w:r>
            <w:r w:rsidRPr="001A01F9">
              <w:rPr>
                <w:rFonts w:ascii="Times New Roman" w:hAnsi="Times New Roman"/>
                <w:sz w:val="24"/>
                <w:szCs w:val="24"/>
                <w:lang w:eastAsia="lv-LV"/>
              </w:rPr>
              <w:t>gadu</w:t>
            </w:r>
          </w:p>
        </w:tc>
      </w:tr>
      <w:tr w:rsidR="005C0B07" w:rsidRPr="001A01F9" w:rsidTr="0044309A">
        <w:trPr>
          <w:tblCellSpacing w:w="15" w:type="dxa"/>
          <w:jc w:val="center"/>
        </w:trPr>
        <w:tc>
          <w:tcPr>
            <w:tcW w:w="799" w:type="pct"/>
            <w:vAlign w:val="center"/>
          </w:tcPr>
          <w:p w:rsidR="005C0B07" w:rsidRPr="00CC590C" w:rsidRDefault="005C0B07" w:rsidP="0044309A">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1</w:t>
            </w:r>
          </w:p>
        </w:tc>
        <w:tc>
          <w:tcPr>
            <w:tcW w:w="532" w:type="pct"/>
            <w:vAlign w:val="center"/>
          </w:tcPr>
          <w:p w:rsidR="005C0B07" w:rsidRPr="00CC590C" w:rsidRDefault="005C0B07" w:rsidP="0044309A">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2</w:t>
            </w:r>
          </w:p>
        </w:tc>
        <w:tc>
          <w:tcPr>
            <w:tcW w:w="519" w:type="pct"/>
            <w:vAlign w:val="center"/>
          </w:tcPr>
          <w:p w:rsidR="005C0B07" w:rsidRPr="00CC590C" w:rsidRDefault="005C0B07" w:rsidP="0044309A">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3</w:t>
            </w:r>
          </w:p>
        </w:tc>
        <w:tc>
          <w:tcPr>
            <w:tcW w:w="885" w:type="pct"/>
            <w:vAlign w:val="center"/>
          </w:tcPr>
          <w:p w:rsidR="005C0B07" w:rsidRPr="00CC590C" w:rsidRDefault="005C0B07" w:rsidP="0044309A">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4</w:t>
            </w:r>
          </w:p>
        </w:tc>
        <w:tc>
          <w:tcPr>
            <w:tcW w:w="839" w:type="pct"/>
            <w:vAlign w:val="center"/>
          </w:tcPr>
          <w:p w:rsidR="005C0B07" w:rsidRPr="00CC590C" w:rsidRDefault="005C0B07" w:rsidP="0044309A">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5</w:t>
            </w:r>
          </w:p>
        </w:tc>
        <w:tc>
          <w:tcPr>
            <w:tcW w:w="1319" w:type="pct"/>
            <w:vAlign w:val="center"/>
          </w:tcPr>
          <w:p w:rsidR="005C0B07" w:rsidRPr="00CC590C" w:rsidRDefault="005C0B07" w:rsidP="0044309A">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6</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1. Budžeta ieņēmumi:</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8 096 796</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1.1. valsts pamatbudžets, tai skaitā ieņēmumi no maksas pakalpojumiem un citi pašu ieņēmumi</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8 096 796</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1.2. valsts speciālais budžets</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1.3. pašvaldību budžets</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p w:rsidR="005C0B07" w:rsidRPr="001A01F9" w:rsidRDefault="005C0B07" w:rsidP="0044309A">
            <w:pPr>
              <w:pStyle w:val="Bezatstarpm"/>
              <w:jc w:val="center"/>
              <w:rPr>
                <w:rFonts w:ascii="Times New Roman" w:hAnsi="Times New Roman"/>
                <w:sz w:val="24"/>
                <w:szCs w:val="24"/>
                <w:lang w:eastAsia="lv-LV"/>
              </w:rPr>
            </w:pP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2. Budžeta izdevumi:</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8A048F"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7 500</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2.1. valsts pamatbudžets</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8A048F"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7 500</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2.2. valsts speciālais budžets</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2.3. pašvaldību budžets</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3. Finansiālā ietekme:</w:t>
            </w:r>
          </w:p>
        </w:tc>
        <w:tc>
          <w:tcPr>
            <w:tcW w:w="532" w:type="pct"/>
            <w:vAlign w:val="center"/>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8 096 796</w:t>
            </w:r>
          </w:p>
        </w:tc>
        <w:tc>
          <w:tcPr>
            <w:tcW w:w="519" w:type="pct"/>
          </w:tcPr>
          <w:p w:rsidR="005C0B07" w:rsidRDefault="005C0B07" w:rsidP="0044309A">
            <w:pPr>
              <w:pStyle w:val="Bezatstarpm"/>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8A048F"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251 797</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3.1. valsts pamatbudžets</w:t>
            </w:r>
          </w:p>
        </w:tc>
        <w:tc>
          <w:tcPr>
            <w:tcW w:w="532" w:type="pct"/>
            <w:vAlign w:val="center"/>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8 096 796</w:t>
            </w:r>
          </w:p>
        </w:tc>
        <w:tc>
          <w:tcPr>
            <w:tcW w:w="519" w:type="pct"/>
          </w:tcPr>
          <w:p w:rsidR="005C0B07" w:rsidRDefault="005C0B07" w:rsidP="0044309A">
            <w:pPr>
              <w:pStyle w:val="Bezatstarpm"/>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8A048F"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251 797</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3.2. speciālais budžets</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3.3. pašvaldību budžets</w:t>
            </w:r>
          </w:p>
        </w:tc>
        <w:tc>
          <w:tcPr>
            <w:tcW w:w="532"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rsidTr="0044309A">
        <w:trPr>
          <w:tblCellSpacing w:w="15" w:type="dxa"/>
          <w:jc w:val="center"/>
        </w:trPr>
        <w:tc>
          <w:tcPr>
            <w:tcW w:w="799" w:type="pct"/>
            <w:vAlign w:val="center"/>
          </w:tcPr>
          <w:p w:rsidR="005C0B07" w:rsidRPr="000371A0" w:rsidRDefault="005C0B07" w:rsidP="0044309A">
            <w:pPr>
              <w:pStyle w:val="Bezatstarpm"/>
              <w:rPr>
                <w:rFonts w:ascii="Times New Roman" w:hAnsi="Times New Roman"/>
                <w:sz w:val="24"/>
                <w:szCs w:val="24"/>
                <w:lang w:eastAsia="lv-LV"/>
              </w:rPr>
            </w:pPr>
            <w:r w:rsidRPr="000371A0">
              <w:rPr>
                <w:rFonts w:ascii="Times New Roman" w:hAnsi="Times New Roman"/>
                <w:sz w:val="24"/>
                <w:szCs w:val="24"/>
              </w:rPr>
              <w:t>4. Finanšu līdzekļi papildu izdevumu finansēšanai (kompensējošu izdevumu samazinājumu norāda ar "+" zīmi)</w:t>
            </w:r>
          </w:p>
        </w:tc>
        <w:tc>
          <w:tcPr>
            <w:tcW w:w="0" w:type="auto"/>
            <w:vAlign w:val="center"/>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X</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Pr="001A01F9" w:rsidRDefault="005C0B07" w:rsidP="0044309A">
            <w:pPr>
              <w:pStyle w:val="Bezatstarpm"/>
              <w:jc w:val="center"/>
              <w:rPr>
                <w:rFonts w:ascii="Times New Roman" w:hAnsi="Times New Roman"/>
                <w:sz w:val="24"/>
                <w:szCs w:val="24"/>
                <w:lang w:eastAsia="lv-LV"/>
              </w:rPr>
            </w:pPr>
          </w:p>
        </w:tc>
        <w:tc>
          <w:tcPr>
            <w:tcW w:w="839" w:type="pct"/>
          </w:tcPr>
          <w:p w:rsidR="005C0B07" w:rsidRPr="001A01F9" w:rsidRDefault="005C0B07" w:rsidP="0044309A">
            <w:pPr>
              <w:pStyle w:val="Bezatstarpm"/>
              <w:jc w:val="center"/>
              <w:rPr>
                <w:rFonts w:ascii="Times New Roman" w:hAnsi="Times New Roman"/>
                <w:sz w:val="24"/>
                <w:szCs w:val="24"/>
                <w:lang w:eastAsia="lv-LV"/>
              </w:rPr>
            </w:pPr>
          </w:p>
        </w:tc>
        <w:tc>
          <w:tcPr>
            <w:tcW w:w="1319" w:type="pct"/>
          </w:tcPr>
          <w:p w:rsidR="005C0B07" w:rsidRPr="001A01F9" w:rsidRDefault="005C0B07" w:rsidP="0044309A">
            <w:pPr>
              <w:pStyle w:val="Bezatstarpm"/>
              <w:jc w:val="center"/>
              <w:rPr>
                <w:rFonts w:ascii="Times New Roman" w:hAnsi="Times New Roman"/>
                <w:sz w:val="24"/>
                <w:szCs w:val="24"/>
                <w:lang w:eastAsia="lv-LV"/>
              </w:rPr>
            </w:pP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5. Precizēta finansiālā ietekme:</w:t>
            </w:r>
          </w:p>
        </w:tc>
        <w:tc>
          <w:tcPr>
            <w:tcW w:w="532" w:type="pct"/>
            <w:vMerge w:val="restart"/>
          </w:tcPr>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X</w:t>
            </w: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8A048F"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251 797</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5.1. valsts pamatbudžets</w:t>
            </w:r>
          </w:p>
        </w:tc>
        <w:tc>
          <w:tcPr>
            <w:tcW w:w="0" w:type="auto"/>
            <w:vMerge/>
            <w:vAlign w:val="center"/>
          </w:tcPr>
          <w:p w:rsidR="005C0B07" w:rsidRPr="001A01F9" w:rsidRDefault="005C0B07" w:rsidP="0044309A">
            <w:pPr>
              <w:pStyle w:val="Bezatstarpm"/>
              <w:jc w:val="center"/>
              <w:rPr>
                <w:rFonts w:ascii="Times New Roman" w:hAnsi="Times New Roman"/>
                <w:sz w:val="24"/>
                <w:szCs w:val="24"/>
                <w:lang w:eastAsia="lv-LV"/>
              </w:rPr>
            </w:pP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Default="005C0B07" w:rsidP="0044309A">
            <w:pPr>
              <w:pStyle w:val="Bezatstarpm"/>
              <w:jc w:val="center"/>
              <w:rPr>
                <w:rFonts w:ascii="Times New Roman" w:hAnsi="Times New Roman"/>
                <w:sz w:val="24"/>
                <w:szCs w:val="24"/>
                <w:lang w:eastAsia="lv-LV"/>
              </w:rPr>
            </w:pPr>
          </w:p>
          <w:p w:rsidR="005C0B07" w:rsidRPr="001A01F9" w:rsidRDefault="008A048F"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251 797</w:t>
            </w:r>
          </w:p>
        </w:tc>
        <w:tc>
          <w:tcPr>
            <w:tcW w:w="83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c>
          <w:tcPr>
            <w:tcW w:w="13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259 297</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5.2. speciālais budžets</w:t>
            </w:r>
          </w:p>
        </w:tc>
        <w:tc>
          <w:tcPr>
            <w:tcW w:w="0" w:type="auto"/>
            <w:vMerge/>
            <w:vAlign w:val="center"/>
          </w:tcPr>
          <w:p w:rsidR="005C0B07" w:rsidRPr="001A01F9" w:rsidRDefault="005C0B07" w:rsidP="0044309A">
            <w:pPr>
              <w:pStyle w:val="Bezatstarpm"/>
              <w:jc w:val="center"/>
              <w:rPr>
                <w:rFonts w:ascii="Times New Roman" w:hAnsi="Times New Roman"/>
                <w:sz w:val="24"/>
                <w:szCs w:val="24"/>
                <w:lang w:eastAsia="lv-LV"/>
              </w:rPr>
            </w:pP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Pr="001A01F9" w:rsidRDefault="005C0B07" w:rsidP="0044309A">
            <w:pPr>
              <w:pStyle w:val="Bezatstarpm"/>
              <w:jc w:val="center"/>
              <w:rPr>
                <w:rFonts w:ascii="Times New Roman" w:hAnsi="Times New Roman"/>
                <w:sz w:val="24"/>
                <w:szCs w:val="24"/>
                <w:lang w:eastAsia="lv-LV"/>
              </w:rPr>
            </w:pPr>
          </w:p>
        </w:tc>
        <w:tc>
          <w:tcPr>
            <w:tcW w:w="839" w:type="pct"/>
          </w:tcPr>
          <w:p w:rsidR="005C0B07" w:rsidRPr="001A01F9" w:rsidRDefault="005C0B07" w:rsidP="0044309A">
            <w:pPr>
              <w:pStyle w:val="Bezatstarpm"/>
              <w:jc w:val="center"/>
              <w:rPr>
                <w:rFonts w:ascii="Times New Roman" w:hAnsi="Times New Roman"/>
                <w:sz w:val="24"/>
                <w:szCs w:val="24"/>
                <w:lang w:eastAsia="lv-LV"/>
              </w:rPr>
            </w:pPr>
          </w:p>
        </w:tc>
        <w:tc>
          <w:tcPr>
            <w:tcW w:w="1319" w:type="pct"/>
          </w:tcPr>
          <w:p w:rsidR="005C0B07" w:rsidRPr="001A01F9" w:rsidRDefault="005C0B07" w:rsidP="0044309A">
            <w:pPr>
              <w:pStyle w:val="Bezatstarpm"/>
              <w:jc w:val="center"/>
              <w:rPr>
                <w:rFonts w:ascii="Times New Roman" w:hAnsi="Times New Roman"/>
                <w:sz w:val="24"/>
                <w:szCs w:val="24"/>
                <w:lang w:eastAsia="lv-LV"/>
              </w:rPr>
            </w:pP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5.3. pašvaldību budžets</w:t>
            </w:r>
          </w:p>
        </w:tc>
        <w:tc>
          <w:tcPr>
            <w:tcW w:w="0" w:type="auto"/>
            <w:vMerge/>
            <w:vAlign w:val="center"/>
          </w:tcPr>
          <w:p w:rsidR="005C0B07" w:rsidRPr="001A01F9" w:rsidRDefault="005C0B07" w:rsidP="0044309A">
            <w:pPr>
              <w:pStyle w:val="Bezatstarpm"/>
              <w:jc w:val="center"/>
              <w:rPr>
                <w:rFonts w:ascii="Times New Roman" w:hAnsi="Times New Roman"/>
                <w:sz w:val="24"/>
                <w:szCs w:val="24"/>
                <w:lang w:eastAsia="lv-LV"/>
              </w:rPr>
            </w:pPr>
          </w:p>
        </w:tc>
        <w:tc>
          <w:tcPr>
            <w:tcW w:w="519" w:type="pct"/>
          </w:tcPr>
          <w:p w:rsidR="005C0B07" w:rsidRDefault="005C0B07" w:rsidP="0044309A">
            <w:pPr>
              <w:pStyle w:val="Bezatstarpm"/>
              <w:jc w:val="center"/>
              <w:rPr>
                <w:rFonts w:ascii="Times New Roman" w:hAnsi="Times New Roman"/>
                <w:sz w:val="24"/>
                <w:szCs w:val="24"/>
                <w:lang w:eastAsia="lv-LV"/>
              </w:rPr>
            </w:pPr>
          </w:p>
          <w:p w:rsidR="005C0B07" w:rsidRPr="001A01F9" w:rsidRDefault="005C0B07" w:rsidP="0044309A">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rsidR="005C0B07" w:rsidRPr="001A01F9" w:rsidRDefault="005C0B07" w:rsidP="0044309A">
            <w:pPr>
              <w:pStyle w:val="Bezatstarpm"/>
              <w:jc w:val="center"/>
              <w:rPr>
                <w:rFonts w:ascii="Times New Roman" w:hAnsi="Times New Roman"/>
                <w:sz w:val="24"/>
                <w:szCs w:val="24"/>
                <w:lang w:eastAsia="lv-LV"/>
              </w:rPr>
            </w:pPr>
          </w:p>
        </w:tc>
        <w:tc>
          <w:tcPr>
            <w:tcW w:w="839" w:type="pct"/>
          </w:tcPr>
          <w:p w:rsidR="005C0B07" w:rsidRPr="001A01F9" w:rsidRDefault="005C0B07" w:rsidP="0044309A">
            <w:pPr>
              <w:pStyle w:val="Bezatstarpm"/>
              <w:jc w:val="center"/>
              <w:rPr>
                <w:rFonts w:ascii="Times New Roman" w:hAnsi="Times New Roman"/>
                <w:sz w:val="24"/>
                <w:szCs w:val="24"/>
                <w:lang w:eastAsia="lv-LV"/>
              </w:rPr>
            </w:pPr>
          </w:p>
        </w:tc>
        <w:tc>
          <w:tcPr>
            <w:tcW w:w="1319" w:type="pct"/>
          </w:tcPr>
          <w:p w:rsidR="005C0B07" w:rsidRPr="001A01F9" w:rsidRDefault="005C0B07" w:rsidP="0044309A">
            <w:pPr>
              <w:pStyle w:val="Bezatstarpm"/>
              <w:jc w:val="center"/>
              <w:rPr>
                <w:rFonts w:ascii="Times New Roman" w:hAnsi="Times New Roman"/>
                <w:sz w:val="24"/>
                <w:szCs w:val="24"/>
                <w:lang w:eastAsia="lv-LV"/>
              </w:rPr>
            </w:pP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4155" w:type="pct"/>
            <w:gridSpan w:val="5"/>
            <w:vMerge w:val="restart"/>
            <w:vAlign w:val="center"/>
          </w:tcPr>
          <w:p w:rsidR="005C0B07" w:rsidRPr="000E2756" w:rsidRDefault="005C0B07" w:rsidP="0044309A">
            <w:pPr>
              <w:spacing w:after="0" w:line="240" w:lineRule="auto"/>
              <w:ind w:firstLine="720"/>
              <w:jc w:val="both"/>
              <w:rPr>
                <w:rFonts w:ascii="Times New Roman" w:hAnsi="Times New Roman"/>
                <w:sz w:val="24"/>
                <w:szCs w:val="24"/>
                <w:lang w:eastAsia="lv-LV"/>
              </w:rPr>
            </w:pPr>
            <w:r w:rsidRPr="000E2756">
              <w:rPr>
                <w:rFonts w:ascii="Times New Roman" w:hAnsi="Times New Roman"/>
                <w:sz w:val="24"/>
                <w:szCs w:val="24"/>
                <w:u w:val="single"/>
                <w:lang w:eastAsia="lv-LV"/>
              </w:rPr>
              <w:t>6.1. Prognozētie valsts pamatbudžeta papildu ieņēmumi:</w:t>
            </w:r>
          </w:p>
          <w:p w:rsidR="005C0B07" w:rsidRPr="000E2756" w:rsidRDefault="005C0B07" w:rsidP="0044309A">
            <w:pPr>
              <w:spacing w:after="0" w:line="240" w:lineRule="auto"/>
              <w:jc w:val="both"/>
              <w:rPr>
                <w:rFonts w:ascii="Times New Roman" w:hAnsi="Times New Roman"/>
                <w:sz w:val="24"/>
                <w:szCs w:val="24"/>
              </w:rPr>
            </w:pPr>
          </w:p>
          <w:p w:rsidR="005C0B07" w:rsidRPr="000E2756" w:rsidRDefault="005C0B07" w:rsidP="0044309A">
            <w:pPr>
              <w:spacing w:after="0" w:line="240" w:lineRule="auto"/>
              <w:jc w:val="both"/>
              <w:rPr>
                <w:rFonts w:ascii="Times New Roman" w:hAnsi="Times New Roman"/>
                <w:i/>
                <w:sz w:val="24"/>
                <w:szCs w:val="24"/>
                <w:lang w:eastAsia="lv-LV"/>
              </w:rPr>
            </w:pPr>
            <w:r w:rsidRPr="000E2756">
              <w:rPr>
                <w:rFonts w:ascii="Times New Roman" w:hAnsi="Times New Roman"/>
                <w:i/>
                <w:sz w:val="24"/>
                <w:szCs w:val="24"/>
                <w:lang w:eastAsia="lv-LV"/>
              </w:rPr>
              <w:t>Budžeta apakšprogrammā 06.01.00 „Valsts policija”.</w:t>
            </w:r>
          </w:p>
          <w:p w:rsidR="005C0B07" w:rsidRPr="000E2756" w:rsidRDefault="005C0B07" w:rsidP="0044309A">
            <w:pPr>
              <w:spacing w:after="0" w:line="240" w:lineRule="auto"/>
              <w:jc w:val="both"/>
              <w:rPr>
                <w:rFonts w:ascii="Times New Roman" w:hAnsi="Times New Roman"/>
                <w:i/>
                <w:sz w:val="24"/>
                <w:szCs w:val="24"/>
                <w:lang w:eastAsia="lv-LV"/>
              </w:rPr>
            </w:pPr>
            <w:r w:rsidRPr="000E2756">
              <w:rPr>
                <w:rFonts w:ascii="Times New Roman" w:hAnsi="Times New Roman"/>
                <w:sz w:val="24"/>
                <w:szCs w:val="24"/>
                <w:lang w:eastAsia="lv-LV"/>
              </w:rPr>
              <w:t xml:space="preserve">Papildu ieņēmumu no naudas sodiem par administratīvajiem pārkāpumiem autopārvadājumu jomā, ko izdarījuši ārvalstu pārvadātāji, aprēķins veikts, </w:t>
            </w:r>
            <w:proofErr w:type="gramStart"/>
            <w:r w:rsidRPr="000E2756">
              <w:rPr>
                <w:rFonts w:ascii="Times New Roman" w:hAnsi="Times New Roman"/>
                <w:sz w:val="24"/>
                <w:szCs w:val="24"/>
                <w:lang w:eastAsia="lv-LV"/>
              </w:rPr>
              <w:t>vadoties no</w:t>
            </w:r>
            <w:proofErr w:type="gramEnd"/>
            <w:r w:rsidRPr="000E2756">
              <w:rPr>
                <w:rFonts w:ascii="Times New Roman" w:hAnsi="Times New Roman"/>
                <w:sz w:val="24"/>
                <w:szCs w:val="24"/>
                <w:lang w:eastAsia="lv-LV"/>
              </w:rPr>
              <w:t xml:space="preserve"> 2016.gada statistikas datiem. Ārvalstu </w:t>
            </w:r>
            <w:r w:rsidR="00015451">
              <w:rPr>
                <w:rFonts w:ascii="Times New Roman" w:hAnsi="Times New Roman"/>
                <w:sz w:val="24"/>
                <w:szCs w:val="24"/>
                <w:lang w:eastAsia="lv-LV"/>
              </w:rPr>
              <w:t>pārvadātājiem</w:t>
            </w:r>
            <w:r w:rsidRPr="000E2756">
              <w:rPr>
                <w:rFonts w:ascii="Times New Roman" w:hAnsi="Times New Roman"/>
                <w:sz w:val="24"/>
                <w:szCs w:val="24"/>
                <w:lang w:eastAsia="lv-LV"/>
              </w:rPr>
              <w:t xml:space="preserve"> par pārkāpumiem autopārvadājumu jomā 2016.gadā piemēroti naudas sodi 381 770 </w:t>
            </w:r>
            <w:proofErr w:type="spellStart"/>
            <w:r w:rsidRPr="000E2756">
              <w:rPr>
                <w:rFonts w:ascii="Times New Roman" w:hAnsi="Times New Roman"/>
                <w:i/>
                <w:sz w:val="24"/>
                <w:szCs w:val="24"/>
                <w:lang w:eastAsia="lv-LV"/>
              </w:rPr>
              <w:t>euro</w:t>
            </w:r>
            <w:proofErr w:type="spellEnd"/>
            <w:r w:rsidRPr="000E2756">
              <w:rPr>
                <w:rFonts w:ascii="Times New Roman" w:hAnsi="Times New Roman"/>
                <w:sz w:val="24"/>
                <w:szCs w:val="24"/>
                <w:lang w:eastAsia="lv-LV"/>
              </w:rPr>
              <w:t xml:space="preserve"> apmērā, no tiem samaksāti – 103 385 </w:t>
            </w:r>
            <w:proofErr w:type="spellStart"/>
            <w:r w:rsidRPr="000E2756">
              <w:rPr>
                <w:rFonts w:ascii="Times New Roman" w:hAnsi="Times New Roman"/>
                <w:i/>
                <w:sz w:val="24"/>
                <w:szCs w:val="24"/>
                <w:lang w:eastAsia="lv-LV"/>
              </w:rPr>
              <w:t>euro</w:t>
            </w:r>
            <w:proofErr w:type="spellEnd"/>
            <w:r w:rsidRPr="000E2756">
              <w:rPr>
                <w:rFonts w:ascii="Times New Roman" w:hAnsi="Times New Roman"/>
                <w:sz w:val="24"/>
                <w:szCs w:val="24"/>
                <w:lang w:eastAsia="lv-LV"/>
              </w:rPr>
              <w:t xml:space="preserve">. </w:t>
            </w:r>
            <w:r w:rsidRPr="004429FD">
              <w:rPr>
                <w:rFonts w:ascii="Times New Roman" w:hAnsi="Times New Roman"/>
                <w:sz w:val="24"/>
                <w:szCs w:val="24"/>
                <w:lang w:eastAsia="lv-LV"/>
              </w:rPr>
              <w:t>Paredzams, ka, ieviešot grozījumus Ceļu satiksmes likumā, saņemto naudas sodu apjoms palielināsies līdz 95 % no piemērotajām</w:t>
            </w:r>
            <w:r w:rsidRPr="000E2756">
              <w:rPr>
                <w:rFonts w:ascii="Times New Roman" w:hAnsi="Times New Roman"/>
                <w:sz w:val="24"/>
                <w:szCs w:val="24"/>
                <w:lang w:eastAsia="lv-LV"/>
              </w:rPr>
              <w:t xml:space="preserve"> summām, t.i., 362 682 </w:t>
            </w:r>
            <w:proofErr w:type="spellStart"/>
            <w:r w:rsidRPr="000E2756">
              <w:rPr>
                <w:rFonts w:ascii="Times New Roman" w:hAnsi="Times New Roman"/>
                <w:i/>
                <w:sz w:val="24"/>
                <w:szCs w:val="24"/>
                <w:lang w:eastAsia="lv-LV"/>
              </w:rPr>
              <w:t>euro</w:t>
            </w:r>
            <w:proofErr w:type="spellEnd"/>
            <w:r w:rsidRPr="000E2756">
              <w:rPr>
                <w:rFonts w:ascii="Times New Roman" w:hAnsi="Times New Roman"/>
                <w:i/>
                <w:sz w:val="24"/>
                <w:szCs w:val="24"/>
                <w:lang w:eastAsia="lv-LV"/>
              </w:rPr>
              <w:t>.</w:t>
            </w:r>
          </w:p>
          <w:p w:rsidR="005C0B07" w:rsidRPr="000E2756" w:rsidRDefault="005C0B07" w:rsidP="0044309A">
            <w:pPr>
              <w:spacing w:after="0" w:line="240" w:lineRule="auto"/>
              <w:jc w:val="both"/>
              <w:rPr>
                <w:rFonts w:ascii="Times New Roman" w:hAnsi="Times New Roman"/>
                <w:sz w:val="24"/>
                <w:szCs w:val="24"/>
                <w:lang w:eastAsia="lv-LV"/>
              </w:rPr>
            </w:pPr>
            <w:r w:rsidRPr="000E2756">
              <w:rPr>
                <w:rFonts w:ascii="Times New Roman" w:hAnsi="Times New Roman"/>
                <w:sz w:val="24"/>
                <w:szCs w:val="24"/>
                <w:lang w:eastAsia="lv-LV"/>
              </w:rPr>
              <w:t>Prognozētie papildu ieņēmumi :</w:t>
            </w:r>
          </w:p>
          <w:p w:rsidR="005C0B07" w:rsidRPr="000E2756" w:rsidRDefault="005C0B07" w:rsidP="0044309A">
            <w:pPr>
              <w:spacing w:after="0" w:line="240" w:lineRule="auto"/>
              <w:jc w:val="both"/>
              <w:rPr>
                <w:rFonts w:ascii="Times New Roman" w:hAnsi="Times New Roman"/>
                <w:i/>
                <w:sz w:val="24"/>
                <w:szCs w:val="24"/>
                <w:lang w:eastAsia="lv-LV"/>
              </w:rPr>
            </w:pPr>
            <w:r w:rsidRPr="000E2756">
              <w:rPr>
                <w:rFonts w:ascii="Times New Roman" w:hAnsi="Times New Roman"/>
                <w:sz w:val="24"/>
                <w:szCs w:val="24"/>
                <w:lang w:eastAsia="lv-LV"/>
              </w:rPr>
              <w:t xml:space="preserve">362 682 </w:t>
            </w:r>
            <w:proofErr w:type="spellStart"/>
            <w:r w:rsidRPr="000E2756">
              <w:rPr>
                <w:rFonts w:ascii="Times New Roman" w:hAnsi="Times New Roman"/>
                <w:i/>
                <w:sz w:val="24"/>
                <w:szCs w:val="24"/>
                <w:lang w:eastAsia="lv-LV"/>
              </w:rPr>
              <w:t>euro</w:t>
            </w:r>
            <w:proofErr w:type="spellEnd"/>
            <w:r w:rsidRPr="000E2756">
              <w:rPr>
                <w:rFonts w:ascii="Times New Roman" w:hAnsi="Times New Roman"/>
                <w:sz w:val="24"/>
                <w:szCs w:val="24"/>
                <w:lang w:eastAsia="lv-LV"/>
              </w:rPr>
              <w:t xml:space="preserve"> – 103 385 </w:t>
            </w:r>
            <w:proofErr w:type="spellStart"/>
            <w:r w:rsidRPr="000E2756">
              <w:rPr>
                <w:rFonts w:ascii="Times New Roman" w:hAnsi="Times New Roman"/>
                <w:i/>
                <w:sz w:val="24"/>
                <w:szCs w:val="24"/>
                <w:lang w:eastAsia="lv-LV"/>
              </w:rPr>
              <w:t>euro</w:t>
            </w:r>
            <w:proofErr w:type="spellEnd"/>
            <w:r w:rsidRPr="000E2756">
              <w:rPr>
                <w:rFonts w:ascii="Times New Roman" w:hAnsi="Times New Roman"/>
                <w:sz w:val="24"/>
                <w:szCs w:val="24"/>
                <w:lang w:eastAsia="lv-LV"/>
              </w:rPr>
              <w:t xml:space="preserve"> = 259  297 </w:t>
            </w:r>
            <w:proofErr w:type="spellStart"/>
            <w:r w:rsidRPr="000E2756">
              <w:rPr>
                <w:rFonts w:ascii="Times New Roman" w:hAnsi="Times New Roman"/>
                <w:i/>
                <w:sz w:val="24"/>
                <w:szCs w:val="24"/>
                <w:lang w:eastAsia="lv-LV"/>
              </w:rPr>
              <w:t>euro</w:t>
            </w:r>
            <w:proofErr w:type="spellEnd"/>
          </w:p>
          <w:p w:rsidR="005C0B07" w:rsidRPr="00166D90" w:rsidRDefault="005C0B07" w:rsidP="00166D90">
            <w:pPr>
              <w:spacing w:after="0" w:line="240" w:lineRule="auto"/>
              <w:jc w:val="both"/>
              <w:rPr>
                <w:rFonts w:ascii="Times New Roman" w:hAnsi="Times New Roman"/>
                <w:sz w:val="24"/>
                <w:szCs w:val="24"/>
                <w:lang w:eastAsia="lv-LV"/>
              </w:rPr>
            </w:pPr>
            <w:r w:rsidRPr="000E2756">
              <w:rPr>
                <w:rFonts w:ascii="Times New Roman" w:hAnsi="Times New Roman"/>
                <w:sz w:val="24"/>
                <w:szCs w:val="24"/>
                <w:u w:val="single"/>
              </w:rPr>
              <w:t>2018.gadā un turpmāk ik gadu</w:t>
            </w:r>
            <w:r w:rsidRPr="000E2756">
              <w:rPr>
                <w:rFonts w:ascii="Times New Roman" w:hAnsi="Times New Roman"/>
                <w:sz w:val="24"/>
                <w:szCs w:val="24"/>
              </w:rPr>
              <w:t xml:space="preserve"> 259 297 </w:t>
            </w:r>
            <w:proofErr w:type="spellStart"/>
            <w:r w:rsidRPr="000E2756">
              <w:rPr>
                <w:rFonts w:ascii="Times New Roman" w:hAnsi="Times New Roman"/>
                <w:i/>
                <w:sz w:val="24"/>
                <w:szCs w:val="24"/>
              </w:rPr>
              <w:t>euro</w:t>
            </w:r>
            <w:proofErr w:type="spellEnd"/>
            <w:r w:rsidRPr="000E2756">
              <w:rPr>
                <w:rFonts w:ascii="Times New Roman" w:hAnsi="Times New Roman"/>
                <w:i/>
                <w:sz w:val="24"/>
                <w:szCs w:val="24"/>
              </w:rPr>
              <w:t xml:space="preserve"> </w:t>
            </w:r>
            <w:r w:rsidRPr="000E2756">
              <w:rPr>
                <w:rFonts w:ascii="Times New Roman" w:hAnsi="Times New Roman"/>
                <w:sz w:val="24"/>
                <w:szCs w:val="24"/>
              </w:rPr>
              <w:t>(EKK 10.1.5.3.”Pārējie naudas sodi, ko uzliek Valsts policija par pārkāpumiem ceļu satiksmē”)</w:t>
            </w:r>
          </w:p>
          <w:p w:rsidR="005C0B07" w:rsidRPr="00166D90" w:rsidRDefault="005C0B07" w:rsidP="00166D90">
            <w:pPr>
              <w:spacing w:after="0" w:line="240" w:lineRule="auto"/>
              <w:ind w:firstLine="720"/>
              <w:jc w:val="both"/>
              <w:rPr>
                <w:rFonts w:ascii="Times New Roman" w:hAnsi="Times New Roman"/>
                <w:sz w:val="24"/>
                <w:szCs w:val="24"/>
                <w:u w:val="single"/>
                <w:lang w:eastAsia="lv-LV"/>
              </w:rPr>
            </w:pPr>
            <w:r w:rsidRPr="000E2756">
              <w:rPr>
                <w:rFonts w:ascii="Times New Roman" w:hAnsi="Times New Roman"/>
                <w:sz w:val="24"/>
                <w:szCs w:val="24"/>
                <w:u w:val="single"/>
                <w:lang w:eastAsia="lv-LV"/>
              </w:rPr>
              <w:t>6.2. Prognozētie valsts pamatbudžeta papildu izdevumi:</w:t>
            </w:r>
          </w:p>
          <w:p w:rsidR="005C0B07" w:rsidRPr="000E2756" w:rsidRDefault="005C0B07" w:rsidP="0044309A">
            <w:pPr>
              <w:spacing w:after="0" w:line="240" w:lineRule="auto"/>
              <w:jc w:val="both"/>
              <w:rPr>
                <w:rFonts w:ascii="Times New Roman" w:hAnsi="Times New Roman"/>
                <w:i/>
                <w:sz w:val="24"/>
                <w:szCs w:val="24"/>
                <w:lang w:eastAsia="lv-LV"/>
              </w:rPr>
            </w:pPr>
            <w:r w:rsidRPr="000E2756">
              <w:rPr>
                <w:rFonts w:ascii="Times New Roman" w:hAnsi="Times New Roman"/>
                <w:i/>
                <w:sz w:val="24"/>
                <w:szCs w:val="24"/>
                <w:lang w:eastAsia="lv-LV"/>
              </w:rPr>
              <w:t xml:space="preserve">Budžeta apakšprogrammā 06.01.00 „Valsts policija”. </w:t>
            </w:r>
          </w:p>
          <w:p w:rsidR="005C0B07" w:rsidRPr="000E2756" w:rsidRDefault="005C0B07" w:rsidP="0044309A">
            <w:pPr>
              <w:spacing w:after="0" w:line="240" w:lineRule="auto"/>
              <w:jc w:val="both"/>
              <w:rPr>
                <w:rFonts w:ascii="Times New Roman" w:hAnsi="Times New Roman"/>
                <w:sz w:val="24"/>
                <w:szCs w:val="24"/>
                <w:lang w:eastAsia="ar-SA"/>
              </w:rPr>
            </w:pPr>
            <w:r w:rsidRPr="000E2756">
              <w:rPr>
                <w:rFonts w:ascii="Times New Roman" w:hAnsi="Times New Roman"/>
                <w:sz w:val="24"/>
                <w:szCs w:val="24"/>
                <w:lang w:eastAsia="ar-SA"/>
              </w:rPr>
              <w:t>Lai nodrošinātu projekta izpildi, Valsts policijai nepieciešams iegādāties 15 </w:t>
            </w:r>
            <w:proofErr w:type="spellStart"/>
            <w:r w:rsidRPr="000E2756">
              <w:rPr>
                <w:rFonts w:ascii="Times New Roman" w:hAnsi="Times New Roman"/>
                <w:sz w:val="24"/>
                <w:szCs w:val="24"/>
                <w:lang w:eastAsia="ar-SA"/>
              </w:rPr>
              <w:t>vieglkonstrukcijas</w:t>
            </w:r>
            <w:proofErr w:type="spellEnd"/>
            <w:r w:rsidRPr="000E2756">
              <w:rPr>
                <w:rFonts w:ascii="Times New Roman" w:hAnsi="Times New Roman"/>
                <w:sz w:val="24"/>
                <w:szCs w:val="24"/>
                <w:lang w:eastAsia="ar-SA"/>
              </w:rPr>
              <w:t xml:space="preserve"> </w:t>
            </w:r>
            <w:proofErr w:type="spellStart"/>
            <w:r w:rsidRPr="000E2756">
              <w:rPr>
                <w:rFonts w:ascii="Times New Roman" w:hAnsi="Times New Roman"/>
                <w:sz w:val="24"/>
                <w:szCs w:val="24"/>
                <w:lang w:eastAsia="ar-SA"/>
              </w:rPr>
              <w:t>imobilizatorus</w:t>
            </w:r>
            <w:proofErr w:type="spellEnd"/>
            <w:r w:rsidRPr="000E2756">
              <w:rPr>
                <w:rFonts w:ascii="Times New Roman" w:hAnsi="Times New Roman"/>
                <w:sz w:val="24"/>
                <w:szCs w:val="24"/>
                <w:lang w:eastAsia="ar-SA"/>
              </w:rPr>
              <w:t>/riteņu bloķētājus.</w:t>
            </w:r>
          </w:p>
          <w:p w:rsidR="005C0B07" w:rsidRPr="000E2756" w:rsidRDefault="005C0B07" w:rsidP="0044309A">
            <w:pPr>
              <w:spacing w:after="0" w:line="240" w:lineRule="auto"/>
              <w:jc w:val="both"/>
              <w:rPr>
                <w:rFonts w:ascii="Times New Roman" w:hAnsi="Times New Roman"/>
                <w:sz w:val="24"/>
                <w:szCs w:val="24"/>
                <w:lang w:eastAsia="ar-SA"/>
              </w:rPr>
            </w:pPr>
            <w:r w:rsidRPr="000E2756">
              <w:rPr>
                <w:rFonts w:ascii="Times New Roman" w:hAnsi="Times New Roman"/>
                <w:sz w:val="24"/>
                <w:szCs w:val="24"/>
                <w:lang w:eastAsia="ar-SA"/>
              </w:rPr>
              <w:t xml:space="preserve">Viena </w:t>
            </w:r>
            <w:proofErr w:type="spellStart"/>
            <w:r w:rsidRPr="000E2756">
              <w:rPr>
                <w:rFonts w:ascii="Times New Roman" w:hAnsi="Times New Roman"/>
                <w:sz w:val="24"/>
                <w:szCs w:val="24"/>
                <w:lang w:eastAsia="ar-SA"/>
              </w:rPr>
              <w:t>imobilizatora</w:t>
            </w:r>
            <w:proofErr w:type="spellEnd"/>
            <w:r w:rsidRPr="000E2756">
              <w:rPr>
                <w:rFonts w:ascii="Times New Roman" w:hAnsi="Times New Roman"/>
                <w:sz w:val="24"/>
                <w:szCs w:val="24"/>
                <w:lang w:eastAsia="ar-SA"/>
              </w:rPr>
              <w:t xml:space="preserve">/riteņu bloķētāja cena 500 </w:t>
            </w:r>
            <w:proofErr w:type="spellStart"/>
            <w:r w:rsidRPr="000E2756">
              <w:rPr>
                <w:rFonts w:ascii="Times New Roman" w:hAnsi="Times New Roman"/>
                <w:i/>
                <w:sz w:val="24"/>
                <w:szCs w:val="24"/>
                <w:lang w:eastAsia="ar-SA"/>
              </w:rPr>
              <w:t>euro</w:t>
            </w:r>
            <w:proofErr w:type="spellEnd"/>
            <w:r w:rsidRPr="000E2756">
              <w:rPr>
                <w:rFonts w:ascii="Times New Roman" w:hAnsi="Times New Roman"/>
                <w:i/>
                <w:sz w:val="24"/>
                <w:szCs w:val="24"/>
                <w:lang w:eastAsia="ar-SA"/>
              </w:rPr>
              <w:t xml:space="preserve"> </w:t>
            </w:r>
            <w:r w:rsidRPr="000E2756">
              <w:rPr>
                <w:rFonts w:ascii="Times New Roman" w:hAnsi="Times New Roman"/>
              </w:rPr>
              <w:t>(</w:t>
            </w:r>
            <w:r>
              <w:rPr>
                <w:rFonts w:ascii="Times New Roman" w:hAnsi="Times New Roman"/>
              </w:rPr>
              <w:t>t.sk. PVN 21%)</w:t>
            </w:r>
            <w:proofErr w:type="gramStart"/>
            <w:r w:rsidRPr="000E2756">
              <w:rPr>
                <w:rFonts w:ascii="Times New Roman" w:hAnsi="Times New Roman"/>
              </w:rPr>
              <w:t xml:space="preserve"> </w:t>
            </w:r>
            <w:r w:rsidRPr="000E2756">
              <w:rPr>
                <w:rFonts w:ascii="Times New Roman" w:hAnsi="Times New Roman"/>
                <w:sz w:val="24"/>
                <w:szCs w:val="24"/>
                <w:lang w:eastAsia="ar-SA"/>
              </w:rPr>
              <w:t>.</w:t>
            </w:r>
            <w:proofErr w:type="gramEnd"/>
          </w:p>
          <w:p w:rsidR="005C0B07" w:rsidRPr="000E2756" w:rsidRDefault="005C0B07" w:rsidP="0044309A">
            <w:pPr>
              <w:suppressAutoHyphens/>
              <w:snapToGrid w:val="0"/>
              <w:spacing w:after="0" w:line="240" w:lineRule="auto"/>
              <w:jc w:val="both"/>
              <w:rPr>
                <w:rFonts w:ascii="Times New Roman" w:hAnsi="Times New Roman"/>
                <w:sz w:val="24"/>
                <w:szCs w:val="24"/>
                <w:lang w:eastAsia="ar-SA"/>
              </w:rPr>
            </w:pPr>
            <w:r w:rsidRPr="000E2756">
              <w:rPr>
                <w:rFonts w:ascii="Times New Roman" w:hAnsi="Times New Roman"/>
                <w:sz w:val="24"/>
                <w:szCs w:val="24"/>
                <w:lang w:eastAsia="ar-SA"/>
              </w:rPr>
              <w:t>Prognozētie izdevumi:</w:t>
            </w:r>
          </w:p>
          <w:p w:rsidR="005C0B07" w:rsidRPr="000E2756" w:rsidRDefault="005C0B07" w:rsidP="0044309A">
            <w:pPr>
              <w:suppressAutoHyphens/>
              <w:snapToGrid w:val="0"/>
              <w:spacing w:after="0" w:line="240" w:lineRule="auto"/>
              <w:jc w:val="both"/>
              <w:rPr>
                <w:rFonts w:ascii="Times New Roman" w:hAnsi="Times New Roman"/>
                <w:sz w:val="24"/>
                <w:szCs w:val="24"/>
                <w:u w:val="single"/>
                <w:lang w:eastAsia="ar-SA"/>
              </w:rPr>
            </w:pPr>
            <w:r w:rsidRPr="000E2756">
              <w:rPr>
                <w:rFonts w:ascii="Times New Roman" w:hAnsi="Times New Roman"/>
                <w:sz w:val="24"/>
                <w:szCs w:val="24"/>
                <w:u w:val="single"/>
                <w:lang w:eastAsia="ar-SA"/>
              </w:rPr>
              <w:t>2018.gadā:</w:t>
            </w:r>
          </w:p>
          <w:p w:rsidR="005C0B07" w:rsidRDefault="005C0B07" w:rsidP="0044309A">
            <w:pPr>
              <w:suppressAutoHyphens/>
              <w:snapToGrid w:val="0"/>
              <w:spacing w:after="0" w:line="240" w:lineRule="auto"/>
              <w:jc w:val="both"/>
              <w:rPr>
                <w:rFonts w:ascii="Times New Roman" w:hAnsi="Times New Roman"/>
                <w:i/>
                <w:sz w:val="24"/>
                <w:szCs w:val="24"/>
                <w:lang w:eastAsia="ar-SA"/>
              </w:rPr>
            </w:pPr>
            <w:r w:rsidRPr="000E2756">
              <w:rPr>
                <w:rFonts w:ascii="Times New Roman" w:hAnsi="Times New Roman"/>
                <w:sz w:val="24"/>
                <w:szCs w:val="24"/>
                <w:lang w:eastAsia="ar-SA"/>
              </w:rPr>
              <w:t>15 gab.</w:t>
            </w:r>
            <w:r>
              <w:rPr>
                <w:rFonts w:ascii="Times New Roman" w:hAnsi="Times New Roman"/>
                <w:sz w:val="24"/>
                <w:szCs w:val="24"/>
                <w:lang w:eastAsia="ar-SA"/>
              </w:rPr>
              <w:t> </w:t>
            </w:r>
            <w:r w:rsidRPr="000E2756">
              <w:rPr>
                <w:rFonts w:ascii="Times New Roman" w:hAnsi="Times New Roman"/>
                <w:sz w:val="24"/>
                <w:szCs w:val="24"/>
                <w:lang w:eastAsia="ar-SA"/>
              </w:rPr>
              <w:t>x</w:t>
            </w:r>
            <w:r>
              <w:rPr>
                <w:rFonts w:ascii="Times New Roman" w:hAnsi="Times New Roman"/>
                <w:sz w:val="24"/>
                <w:szCs w:val="24"/>
                <w:lang w:eastAsia="ar-SA"/>
              </w:rPr>
              <w:t> </w:t>
            </w:r>
            <w:r w:rsidRPr="000E2756">
              <w:rPr>
                <w:rFonts w:ascii="Times New Roman" w:hAnsi="Times New Roman"/>
                <w:sz w:val="24"/>
                <w:szCs w:val="24"/>
                <w:lang w:eastAsia="ar-SA"/>
              </w:rPr>
              <w:t>500</w:t>
            </w:r>
            <w:r>
              <w:rPr>
                <w:rFonts w:ascii="Times New Roman" w:hAnsi="Times New Roman"/>
                <w:sz w:val="24"/>
                <w:szCs w:val="24"/>
                <w:lang w:eastAsia="ar-SA"/>
              </w:rPr>
              <w:t xml:space="preserve"> </w:t>
            </w:r>
            <w:proofErr w:type="spellStart"/>
            <w:r w:rsidRPr="000E2756">
              <w:rPr>
                <w:rFonts w:ascii="Times New Roman" w:hAnsi="Times New Roman"/>
                <w:i/>
                <w:sz w:val="24"/>
                <w:szCs w:val="24"/>
                <w:lang w:eastAsia="ar-SA"/>
              </w:rPr>
              <w:t>euro</w:t>
            </w:r>
            <w:proofErr w:type="spellEnd"/>
            <w:r>
              <w:rPr>
                <w:rFonts w:ascii="Times New Roman" w:hAnsi="Times New Roman"/>
                <w:sz w:val="24"/>
                <w:szCs w:val="24"/>
                <w:lang w:eastAsia="ar-SA"/>
              </w:rPr>
              <w:t xml:space="preserve"> </w:t>
            </w:r>
            <w:r w:rsidRPr="000E2756">
              <w:rPr>
                <w:rFonts w:ascii="Times New Roman" w:hAnsi="Times New Roman"/>
              </w:rPr>
              <w:t>(</w:t>
            </w:r>
            <w:r>
              <w:rPr>
                <w:rFonts w:ascii="Times New Roman" w:hAnsi="Times New Roman"/>
              </w:rPr>
              <w:t>t.sk. PVN 21%)</w:t>
            </w:r>
            <w:r>
              <w:rPr>
                <w:rFonts w:ascii="Times New Roman" w:hAnsi="Times New Roman"/>
                <w:i/>
                <w:sz w:val="24"/>
                <w:szCs w:val="24"/>
                <w:lang w:eastAsia="ar-SA"/>
              </w:rPr>
              <w:t> </w:t>
            </w:r>
            <w:r w:rsidRPr="000E2756">
              <w:rPr>
                <w:rFonts w:ascii="Times New Roman" w:hAnsi="Times New Roman"/>
                <w:sz w:val="24"/>
                <w:szCs w:val="24"/>
                <w:lang w:eastAsia="ar-SA"/>
              </w:rPr>
              <w:t>=</w:t>
            </w:r>
            <w:r>
              <w:rPr>
                <w:rFonts w:ascii="Times New Roman" w:hAnsi="Times New Roman"/>
                <w:sz w:val="24"/>
                <w:szCs w:val="24"/>
                <w:lang w:eastAsia="ar-SA"/>
              </w:rPr>
              <w:t> </w:t>
            </w:r>
            <w:r w:rsidRPr="000E2756">
              <w:rPr>
                <w:rFonts w:ascii="Times New Roman" w:hAnsi="Times New Roman"/>
                <w:sz w:val="24"/>
                <w:szCs w:val="24"/>
                <w:lang w:eastAsia="ar-SA"/>
              </w:rPr>
              <w:t>7</w:t>
            </w:r>
            <w:r>
              <w:rPr>
                <w:rFonts w:ascii="Times New Roman" w:hAnsi="Times New Roman"/>
                <w:sz w:val="24"/>
                <w:szCs w:val="24"/>
                <w:lang w:eastAsia="ar-SA"/>
              </w:rPr>
              <w:t> </w:t>
            </w:r>
            <w:r w:rsidRPr="000E2756">
              <w:rPr>
                <w:rFonts w:ascii="Times New Roman" w:hAnsi="Times New Roman"/>
                <w:sz w:val="24"/>
                <w:szCs w:val="24"/>
                <w:lang w:eastAsia="ar-SA"/>
              </w:rPr>
              <w:t>500</w:t>
            </w:r>
            <w:r>
              <w:rPr>
                <w:rFonts w:ascii="Times New Roman" w:hAnsi="Times New Roman"/>
                <w:sz w:val="24"/>
                <w:szCs w:val="24"/>
                <w:lang w:eastAsia="ar-SA"/>
              </w:rPr>
              <w:t xml:space="preserve"> </w:t>
            </w:r>
            <w:proofErr w:type="spellStart"/>
            <w:r w:rsidRPr="000E2756">
              <w:rPr>
                <w:rFonts w:ascii="Times New Roman" w:hAnsi="Times New Roman"/>
                <w:i/>
                <w:sz w:val="24"/>
                <w:szCs w:val="24"/>
                <w:lang w:eastAsia="ar-SA"/>
              </w:rPr>
              <w:t>euro</w:t>
            </w:r>
            <w:proofErr w:type="spellEnd"/>
            <w:r>
              <w:rPr>
                <w:rFonts w:ascii="Times New Roman" w:hAnsi="Times New Roman"/>
                <w:i/>
                <w:sz w:val="24"/>
                <w:szCs w:val="24"/>
                <w:lang w:eastAsia="ar-SA"/>
              </w:rPr>
              <w:t xml:space="preserve"> </w:t>
            </w:r>
            <w:r w:rsidRPr="000E2756">
              <w:rPr>
                <w:rFonts w:ascii="Times New Roman" w:hAnsi="Times New Roman"/>
              </w:rPr>
              <w:t>(</w:t>
            </w:r>
            <w:r>
              <w:rPr>
                <w:rFonts w:ascii="Times New Roman" w:hAnsi="Times New Roman"/>
              </w:rPr>
              <w:t>t.sk. PVN 21%)</w:t>
            </w:r>
          </w:p>
          <w:p w:rsidR="0005351D" w:rsidRPr="000E2756" w:rsidRDefault="005C0B07" w:rsidP="00166D90">
            <w:pPr>
              <w:suppressAutoHyphens/>
              <w:snapToGrid w:val="0"/>
              <w:spacing w:after="0" w:line="240" w:lineRule="auto"/>
              <w:jc w:val="both"/>
              <w:rPr>
                <w:rFonts w:ascii="Times New Roman" w:hAnsi="Times New Roman"/>
                <w:sz w:val="24"/>
                <w:szCs w:val="24"/>
                <w:lang w:eastAsia="ar-SA"/>
              </w:rPr>
            </w:pPr>
            <w:r w:rsidRPr="000E2756">
              <w:rPr>
                <w:rFonts w:ascii="Times New Roman" w:hAnsi="Times New Roman"/>
                <w:sz w:val="24"/>
                <w:szCs w:val="24"/>
                <w:lang w:eastAsia="ar-SA"/>
              </w:rPr>
              <w:t>(EKK 5200 “Pamatlīdzekļi”).</w:t>
            </w: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6.1. detalizēts ieņēmumu aprēķins</w:t>
            </w:r>
          </w:p>
        </w:tc>
        <w:tc>
          <w:tcPr>
            <w:tcW w:w="4155" w:type="pct"/>
            <w:gridSpan w:val="5"/>
            <w:vMerge/>
            <w:vAlign w:val="center"/>
          </w:tcPr>
          <w:p w:rsidR="005C0B07" w:rsidRPr="001A01F9" w:rsidRDefault="005C0B07" w:rsidP="0044309A">
            <w:pPr>
              <w:pStyle w:val="Bezatstarpm"/>
              <w:rPr>
                <w:rFonts w:ascii="Times New Roman" w:hAnsi="Times New Roman"/>
                <w:sz w:val="24"/>
                <w:szCs w:val="24"/>
                <w:lang w:eastAsia="lv-LV"/>
              </w:rPr>
            </w:pPr>
          </w:p>
        </w:tc>
      </w:tr>
      <w:tr w:rsidR="005C0B07" w:rsidRPr="001A01F9" w:rsidTr="0044309A">
        <w:trPr>
          <w:tblCellSpacing w:w="15" w:type="dxa"/>
          <w:jc w:val="center"/>
        </w:trPr>
        <w:tc>
          <w:tcPr>
            <w:tcW w:w="799" w:type="pct"/>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6.2. detalizēts izdevumu aprēķins</w:t>
            </w:r>
          </w:p>
        </w:tc>
        <w:tc>
          <w:tcPr>
            <w:tcW w:w="4155" w:type="pct"/>
            <w:gridSpan w:val="5"/>
            <w:vMerge/>
            <w:vAlign w:val="center"/>
          </w:tcPr>
          <w:p w:rsidR="005C0B07" w:rsidRPr="001A01F9" w:rsidRDefault="005C0B07" w:rsidP="0044309A">
            <w:pPr>
              <w:pStyle w:val="Bezatstarpm"/>
              <w:rPr>
                <w:rFonts w:ascii="Times New Roman" w:hAnsi="Times New Roman"/>
                <w:sz w:val="24"/>
                <w:szCs w:val="24"/>
                <w:lang w:eastAsia="lv-LV"/>
              </w:rPr>
            </w:pPr>
          </w:p>
        </w:tc>
      </w:tr>
      <w:tr w:rsidR="005C0B07" w:rsidRPr="001A01F9" w:rsidTr="0044309A">
        <w:trPr>
          <w:trHeight w:val="555"/>
          <w:tblCellSpacing w:w="15" w:type="dxa"/>
          <w:jc w:val="center"/>
        </w:trPr>
        <w:tc>
          <w:tcPr>
            <w:tcW w:w="799" w:type="pct"/>
            <w:tcBorders>
              <w:bottom w:val="single" w:sz="4" w:space="0" w:color="auto"/>
            </w:tcBorders>
          </w:tcPr>
          <w:p w:rsidR="005C0B07" w:rsidRPr="001A01F9" w:rsidRDefault="005C0B07" w:rsidP="0044309A">
            <w:pPr>
              <w:pStyle w:val="Bezatstarpm"/>
              <w:rPr>
                <w:rFonts w:ascii="Times New Roman" w:hAnsi="Times New Roman"/>
                <w:sz w:val="24"/>
                <w:szCs w:val="24"/>
                <w:lang w:eastAsia="lv-LV"/>
              </w:rPr>
            </w:pPr>
            <w:r w:rsidRPr="001A01F9">
              <w:rPr>
                <w:rFonts w:ascii="Times New Roman" w:hAnsi="Times New Roman"/>
                <w:sz w:val="24"/>
                <w:szCs w:val="24"/>
                <w:lang w:eastAsia="lv-LV"/>
              </w:rPr>
              <w:t>7. Cita informācija</w:t>
            </w:r>
          </w:p>
        </w:tc>
        <w:tc>
          <w:tcPr>
            <w:tcW w:w="4155" w:type="pct"/>
            <w:gridSpan w:val="5"/>
            <w:tcBorders>
              <w:bottom w:val="single" w:sz="4" w:space="0" w:color="auto"/>
            </w:tcBorders>
          </w:tcPr>
          <w:p w:rsidR="005C0B07" w:rsidRPr="001A01F9" w:rsidRDefault="005C0B07" w:rsidP="0044309A">
            <w:pPr>
              <w:pStyle w:val="Bezatstarpm"/>
              <w:rPr>
                <w:rFonts w:ascii="Times New Roman" w:hAnsi="Times New Roman"/>
                <w:sz w:val="24"/>
                <w:szCs w:val="24"/>
                <w:lang w:eastAsia="lv-LV"/>
              </w:rPr>
            </w:pPr>
            <w:r w:rsidRPr="000E2756">
              <w:rPr>
                <w:rFonts w:ascii="Times New Roman" w:hAnsi="Times New Roman"/>
                <w:sz w:val="24"/>
                <w:szCs w:val="24"/>
                <w:lang w:eastAsia="ar-SA"/>
              </w:rPr>
              <w:t>Aprēķinā norādītas provizoriskās cenas, faktiskie izdevumi var mainīties atkarībā no konkrētā brīža tirgus cenas un citiem ietekmējošiem faktoriem.</w:t>
            </w:r>
          </w:p>
        </w:tc>
      </w:tr>
    </w:tbl>
    <w:p w:rsidR="005C0B07" w:rsidRDefault="005C0B07" w:rsidP="005C0B07">
      <w:pPr>
        <w:suppressAutoHyphens/>
        <w:spacing w:after="0" w:line="240" w:lineRule="auto"/>
        <w:rPr>
          <w:rFonts w:ascii="Times New Roman" w:hAnsi="Times New Roman"/>
          <w:sz w:val="24"/>
          <w:szCs w:val="24"/>
          <w:lang w:eastAsia="zh-C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5C0B07" w:rsidRPr="001A01F9" w:rsidTr="001D1388">
        <w:trPr>
          <w:trHeight w:val="365"/>
        </w:trPr>
        <w:tc>
          <w:tcPr>
            <w:tcW w:w="9924" w:type="dxa"/>
          </w:tcPr>
          <w:p w:rsidR="005C0B07" w:rsidRPr="005670AB" w:rsidRDefault="005C0B07" w:rsidP="0044309A">
            <w:pPr>
              <w:suppressAutoHyphens/>
              <w:spacing w:before="280" w:after="0" w:line="240" w:lineRule="auto"/>
              <w:jc w:val="center"/>
              <w:rPr>
                <w:rFonts w:ascii="Times New Roman" w:hAnsi="Times New Roman"/>
                <w:sz w:val="24"/>
                <w:szCs w:val="24"/>
                <w:lang w:eastAsia="zh-CN"/>
              </w:rPr>
            </w:pPr>
            <w:r w:rsidRPr="005670AB">
              <w:rPr>
                <w:rFonts w:ascii="Times New Roman" w:hAnsi="Times New Roman"/>
                <w:b/>
                <w:bCs/>
                <w:sz w:val="24"/>
                <w:szCs w:val="24"/>
                <w:lang w:eastAsia="zh-CN"/>
              </w:rPr>
              <w:t>IV. Tiesību akta projekta ietekme uz spēkā esošo tiesību normu sistēmu</w:t>
            </w:r>
          </w:p>
        </w:tc>
      </w:tr>
      <w:tr w:rsidR="005C0B07" w:rsidRPr="001A01F9" w:rsidTr="001D1388">
        <w:trPr>
          <w:trHeight w:val="245"/>
        </w:trPr>
        <w:tc>
          <w:tcPr>
            <w:tcW w:w="9924" w:type="dxa"/>
          </w:tcPr>
          <w:p w:rsidR="005C0B07" w:rsidRPr="005670AB" w:rsidRDefault="005C0B07" w:rsidP="0044309A">
            <w:pPr>
              <w:suppressAutoHyphens/>
              <w:spacing w:before="280" w:after="0" w:line="240" w:lineRule="auto"/>
              <w:jc w:val="center"/>
              <w:rPr>
                <w:rFonts w:ascii="Times New Roman" w:hAnsi="Times New Roman"/>
                <w:sz w:val="24"/>
                <w:szCs w:val="24"/>
                <w:lang w:eastAsia="zh-CN"/>
              </w:rPr>
            </w:pPr>
            <w:r w:rsidRPr="005670AB">
              <w:rPr>
                <w:rFonts w:ascii="Times New Roman" w:hAnsi="Times New Roman"/>
                <w:bCs/>
                <w:sz w:val="24"/>
                <w:szCs w:val="24"/>
                <w:lang w:eastAsia="zh-CN"/>
              </w:rPr>
              <w:t>Likumprojekts šo jomu neskar.</w:t>
            </w:r>
          </w:p>
        </w:tc>
      </w:tr>
    </w:tbl>
    <w:p w:rsidR="005C0B07" w:rsidRDefault="005C0B07" w:rsidP="005C0B07">
      <w:pPr>
        <w:suppressAutoHyphens/>
        <w:spacing w:after="0" w:line="240" w:lineRule="auto"/>
        <w:rPr>
          <w:rFonts w:ascii="Times New Roman" w:hAnsi="Times New Roman"/>
          <w:sz w:val="24"/>
          <w:szCs w:val="24"/>
          <w:lang w:eastAsia="zh-CN"/>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5C0B07" w:rsidRPr="001A01F9" w:rsidTr="0044309A">
        <w:trPr>
          <w:trHeight w:val="293"/>
        </w:trPr>
        <w:tc>
          <w:tcPr>
            <w:tcW w:w="9952" w:type="dxa"/>
          </w:tcPr>
          <w:p w:rsidR="005C0B07" w:rsidRPr="005670AB" w:rsidRDefault="005C0B07" w:rsidP="0044309A">
            <w:pPr>
              <w:suppressAutoHyphens/>
              <w:spacing w:before="280" w:after="0" w:line="240" w:lineRule="auto"/>
              <w:jc w:val="center"/>
              <w:rPr>
                <w:rFonts w:ascii="Times New Roman" w:hAnsi="Times New Roman"/>
                <w:sz w:val="24"/>
                <w:szCs w:val="24"/>
                <w:lang w:eastAsia="zh-CN"/>
              </w:rPr>
            </w:pPr>
            <w:r w:rsidRPr="005670AB">
              <w:rPr>
                <w:rFonts w:ascii="Times New Roman" w:hAnsi="Times New Roman"/>
                <w:b/>
                <w:bCs/>
                <w:sz w:val="24"/>
                <w:szCs w:val="24"/>
                <w:lang w:eastAsia="zh-CN"/>
              </w:rPr>
              <w:t>V. Tiesību akta projekta atbilstība Latvijas Republikas starptautiskajām saistībām</w:t>
            </w:r>
          </w:p>
        </w:tc>
      </w:tr>
      <w:tr w:rsidR="005C0B07" w:rsidRPr="001A01F9" w:rsidTr="0044309A">
        <w:trPr>
          <w:trHeight w:val="372"/>
        </w:trPr>
        <w:tc>
          <w:tcPr>
            <w:tcW w:w="9952" w:type="dxa"/>
          </w:tcPr>
          <w:p w:rsidR="005C0B07" w:rsidRPr="005670AB" w:rsidRDefault="005C0B07" w:rsidP="0044309A">
            <w:pPr>
              <w:suppressAutoHyphens/>
              <w:spacing w:before="280" w:after="0" w:line="240" w:lineRule="auto"/>
              <w:jc w:val="center"/>
              <w:rPr>
                <w:rFonts w:ascii="Times New Roman" w:hAnsi="Times New Roman"/>
                <w:sz w:val="24"/>
                <w:szCs w:val="24"/>
                <w:lang w:eastAsia="zh-CN"/>
              </w:rPr>
            </w:pPr>
            <w:r w:rsidRPr="005670AB">
              <w:rPr>
                <w:rFonts w:ascii="Times New Roman" w:hAnsi="Times New Roman"/>
                <w:bCs/>
                <w:sz w:val="24"/>
                <w:szCs w:val="24"/>
                <w:lang w:eastAsia="zh-CN"/>
              </w:rPr>
              <w:t>Likumprojekts šo jomu neskar.</w:t>
            </w:r>
          </w:p>
        </w:tc>
      </w:tr>
    </w:tbl>
    <w:p w:rsidR="005C0B07" w:rsidRDefault="005C0B07" w:rsidP="005C0B07">
      <w:pPr>
        <w:suppressAutoHyphens/>
        <w:spacing w:after="0" w:line="240" w:lineRule="auto"/>
        <w:rPr>
          <w:rFonts w:ascii="Times New Roman" w:hAnsi="Times New Roman"/>
          <w:sz w:val="24"/>
          <w:szCs w:val="24"/>
          <w:lang w:eastAsia="zh-CN"/>
        </w:rPr>
      </w:pPr>
    </w:p>
    <w:tbl>
      <w:tblPr>
        <w:tblW w:w="99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685"/>
        <w:gridCol w:w="5454"/>
      </w:tblGrid>
      <w:tr w:rsidR="005C0B07" w:rsidRPr="001A01F9" w:rsidTr="0044309A">
        <w:trPr>
          <w:trHeight w:val="375"/>
        </w:trPr>
        <w:tc>
          <w:tcPr>
            <w:tcW w:w="9957" w:type="dxa"/>
            <w:gridSpan w:val="3"/>
          </w:tcPr>
          <w:p w:rsidR="005C0B07" w:rsidRPr="00843C98" w:rsidRDefault="005C0B07" w:rsidP="0044309A">
            <w:pPr>
              <w:pStyle w:val="tvhtml"/>
              <w:spacing w:before="0" w:after="0"/>
              <w:jc w:val="center"/>
            </w:pPr>
            <w:r w:rsidRPr="00843C98">
              <w:rPr>
                <w:b/>
                <w:bCs/>
              </w:rPr>
              <w:t>VI. Sabiedrības līdzdalība un komunikācijas aktivitātes</w:t>
            </w:r>
          </w:p>
        </w:tc>
      </w:tr>
      <w:tr w:rsidR="005C0B07" w:rsidRPr="001A01F9" w:rsidTr="0044309A">
        <w:trPr>
          <w:trHeight w:val="1588"/>
        </w:trPr>
        <w:tc>
          <w:tcPr>
            <w:tcW w:w="818" w:type="dxa"/>
          </w:tcPr>
          <w:p w:rsidR="005C0B07" w:rsidRPr="001A01F9" w:rsidRDefault="005C0B07" w:rsidP="0044309A">
            <w:pPr>
              <w:rPr>
                <w:rFonts w:ascii="Times New Roman" w:hAnsi="Times New Roman"/>
                <w:sz w:val="24"/>
                <w:szCs w:val="24"/>
              </w:rPr>
            </w:pPr>
            <w:r w:rsidRPr="001A01F9">
              <w:rPr>
                <w:rFonts w:ascii="Times New Roman" w:hAnsi="Times New Roman"/>
                <w:sz w:val="24"/>
                <w:szCs w:val="24"/>
              </w:rPr>
              <w:t>1.</w:t>
            </w:r>
          </w:p>
        </w:tc>
        <w:tc>
          <w:tcPr>
            <w:tcW w:w="3685" w:type="dxa"/>
          </w:tcPr>
          <w:p w:rsidR="005C0B07" w:rsidRPr="001A01F9" w:rsidRDefault="005C0B07" w:rsidP="0044309A">
            <w:pPr>
              <w:spacing w:line="240" w:lineRule="auto"/>
              <w:rPr>
                <w:rFonts w:ascii="Times New Roman" w:hAnsi="Times New Roman"/>
                <w:sz w:val="24"/>
                <w:szCs w:val="24"/>
              </w:rPr>
            </w:pPr>
            <w:r w:rsidRPr="001A01F9">
              <w:rPr>
                <w:rFonts w:ascii="Times New Roman" w:hAnsi="Times New Roman"/>
                <w:sz w:val="24"/>
                <w:szCs w:val="24"/>
              </w:rPr>
              <w:t>Plānotās sabiedrības līdzdalības un komunikācijas aktivitātes saistībā ar projektu</w:t>
            </w:r>
          </w:p>
        </w:tc>
        <w:tc>
          <w:tcPr>
            <w:tcW w:w="5454" w:type="dxa"/>
          </w:tcPr>
          <w:p w:rsidR="005C0B07" w:rsidRPr="001A01F9" w:rsidRDefault="005C0B07" w:rsidP="0044309A">
            <w:pPr>
              <w:spacing w:line="240" w:lineRule="auto"/>
              <w:ind w:left="-74"/>
              <w:jc w:val="both"/>
              <w:rPr>
                <w:rFonts w:ascii="Times New Roman" w:hAnsi="Times New Roman"/>
                <w:sz w:val="24"/>
                <w:szCs w:val="24"/>
              </w:rPr>
            </w:pPr>
            <w:r w:rsidRPr="001A01F9">
              <w:rPr>
                <w:rFonts w:ascii="Times New Roman" w:hAnsi="Times New Roman"/>
                <w:sz w:val="24"/>
                <w:szCs w:val="24"/>
              </w:rPr>
              <w:t>Sabiedrības līdzdalība nodrošināta saskaņā ar Ministru kabineta 2009.gada 25.augusta noteikumiem Nr.970 “Sabiedrības līdzdalības kārtība attīstības plānošanas procesā”, sagatavojot un publicējot paziņojumu par līdzdalības procesu.</w:t>
            </w:r>
          </w:p>
        </w:tc>
      </w:tr>
      <w:tr w:rsidR="005C0B07" w:rsidRPr="001A01F9" w:rsidTr="0044309A">
        <w:trPr>
          <w:trHeight w:val="450"/>
        </w:trPr>
        <w:tc>
          <w:tcPr>
            <w:tcW w:w="818" w:type="dxa"/>
          </w:tcPr>
          <w:p w:rsidR="005C0B07" w:rsidRPr="001A01F9" w:rsidRDefault="005C0B07" w:rsidP="0044309A">
            <w:pPr>
              <w:rPr>
                <w:rFonts w:ascii="Times New Roman" w:hAnsi="Times New Roman"/>
                <w:sz w:val="24"/>
                <w:szCs w:val="24"/>
              </w:rPr>
            </w:pPr>
            <w:r w:rsidRPr="001A01F9">
              <w:rPr>
                <w:rFonts w:ascii="Times New Roman" w:hAnsi="Times New Roman"/>
                <w:sz w:val="24"/>
                <w:szCs w:val="24"/>
              </w:rPr>
              <w:t>2.</w:t>
            </w:r>
          </w:p>
        </w:tc>
        <w:tc>
          <w:tcPr>
            <w:tcW w:w="3685" w:type="dxa"/>
          </w:tcPr>
          <w:p w:rsidR="005C0B07" w:rsidRPr="00EF7291" w:rsidRDefault="005C0B07" w:rsidP="0044309A">
            <w:pPr>
              <w:pStyle w:val="tvhtml"/>
              <w:spacing w:before="0" w:after="0"/>
            </w:pPr>
            <w:r w:rsidRPr="00EF7291">
              <w:t>Sabiedrības līdzdalība projekta izstrādē</w:t>
            </w:r>
          </w:p>
        </w:tc>
        <w:tc>
          <w:tcPr>
            <w:tcW w:w="5454" w:type="dxa"/>
          </w:tcPr>
          <w:p w:rsidR="005C0B07" w:rsidRPr="00EF7291" w:rsidRDefault="005C0B07" w:rsidP="00896C86">
            <w:pPr>
              <w:pStyle w:val="tv213"/>
              <w:spacing w:before="0" w:after="0"/>
              <w:ind w:left="-74"/>
              <w:jc w:val="both"/>
            </w:pPr>
            <w:r>
              <w:rPr>
                <w:lang w:eastAsia="lv-LV"/>
              </w:rPr>
              <w:t>Likump</w:t>
            </w:r>
            <w:r w:rsidRPr="00843C98">
              <w:rPr>
                <w:lang w:eastAsia="lv-LV"/>
              </w:rPr>
              <w:t>rojekts un tā sākotnējās ietekmes novērtējuma z</w:t>
            </w:r>
            <w:r>
              <w:rPr>
                <w:lang w:eastAsia="lv-LV"/>
              </w:rPr>
              <w:t>iņojums (anotācija</w:t>
            </w:r>
            <w:r w:rsidRPr="00896C86">
              <w:rPr>
                <w:lang w:eastAsia="lv-LV"/>
              </w:rPr>
              <w:t>)</w:t>
            </w:r>
            <w:r>
              <w:rPr>
                <w:color w:val="FF0000"/>
                <w:lang w:eastAsia="lv-LV"/>
              </w:rPr>
              <w:t xml:space="preserve"> </w:t>
            </w:r>
            <w:r w:rsidRPr="00843C98">
              <w:rPr>
                <w:lang w:eastAsia="lv-LV"/>
              </w:rPr>
              <w:t xml:space="preserve">ievietots Iekšlietu ministrijas tīmekļvietnē </w:t>
            </w:r>
            <w:hyperlink r:id="rId17" w:history="1">
              <w:r w:rsidRPr="00843C98">
                <w:rPr>
                  <w:u w:val="single"/>
                  <w:lang w:eastAsia="lv-LV"/>
                </w:rPr>
                <w:t>www.iem.gov.lv</w:t>
              </w:r>
            </w:hyperlink>
            <w:r w:rsidRPr="00843C98">
              <w:rPr>
                <w:lang w:eastAsia="lv-LV"/>
              </w:rPr>
              <w:t xml:space="preserve"> sadaļā “Sabiedrības līdzdalība”, aicinot sabiedrību rakstveidā izteikt savu viedok</w:t>
            </w:r>
            <w:r w:rsidR="00896C86">
              <w:rPr>
                <w:lang w:eastAsia="lv-LV"/>
              </w:rPr>
              <w:t>li par projektu.</w:t>
            </w:r>
          </w:p>
        </w:tc>
      </w:tr>
      <w:tr w:rsidR="005C0B07" w:rsidRPr="001A01F9" w:rsidTr="0044309A">
        <w:trPr>
          <w:trHeight w:val="303"/>
        </w:trPr>
        <w:tc>
          <w:tcPr>
            <w:tcW w:w="818" w:type="dxa"/>
          </w:tcPr>
          <w:p w:rsidR="005C0B07" w:rsidRPr="001A01F9" w:rsidRDefault="005C0B07" w:rsidP="0044309A">
            <w:pPr>
              <w:rPr>
                <w:rFonts w:ascii="Times New Roman" w:hAnsi="Times New Roman"/>
                <w:sz w:val="24"/>
                <w:szCs w:val="24"/>
              </w:rPr>
            </w:pPr>
            <w:r w:rsidRPr="001A01F9">
              <w:rPr>
                <w:rFonts w:ascii="Times New Roman" w:hAnsi="Times New Roman"/>
                <w:sz w:val="24"/>
                <w:szCs w:val="24"/>
              </w:rPr>
              <w:t>3.</w:t>
            </w:r>
          </w:p>
        </w:tc>
        <w:tc>
          <w:tcPr>
            <w:tcW w:w="3685" w:type="dxa"/>
          </w:tcPr>
          <w:p w:rsidR="005C0B07" w:rsidRPr="001A01F9" w:rsidRDefault="005C0B07" w:rsidP="0044309A">
            <w:pPr>
              <w:rPr>
                <w:rFonts w:ascii="Times New Roman" w:hAnsi="Times New Roman"/>
                <w:sz w:val="24"/>
                <w:szCs w:val="24"/>
              </w:rPr>
            </w:pPr>
            <w:r w:rsidRPr="001A01F9">
              <w:rPr>
                <w:rFonts w:ascii="Times New Roman" w:hAnsi="Times New Roman"/>
                <w:sz w:val="24"/>
                <w:szCs w:val="24"/>
              </w:rPr>
              <w:t>Sabiedrības līdzdalības rezultāti</w:t>
            </w:r>
          </w:p>
        </w:tc>
        <w:tc>
          <w:tcPr>
            <w:tcW w:w="5454" w:type="dxa"/>
          </w:tcPr>
          <w:p w:rsidR="005C0B07" w:rsidRPr="00EF7291" w:rsidRDefault="005C0B07" w:rsidP="0044309A">
            <w:pPr>
              <w:pStyle w:val="tvhtml"/>
              <w:spacing w:before="0" w:after="0"/>
              <w:ind w:left="-74"/>
            </w:pPr>
            <w:r w:rsidRPr="00EF7291">
              <w:t>Nav.</w:t>
            </w:r>
          </w:p>
        </w:tc>
      </w:tr>
      <w:tr w:rsidR="005C0B07" w:rsidRPr="001A01F9" w:rsidTr="001D1388">
        <w:trPr>
          <w:trHeight w:val="288"/>
        </w:trPr>
        <w:tc>
          <w:tcPr>
            <w:tcW w:w="818" w:type="dxa"/>
          </w:tcPr>
          <w:p w:rsidR="001D1388" w:rsidRPr="001A01F9" w:rsidRDefault="005C0B07" w:rsidP="0044309A">
            <w:pPr>
              <w:rPr>
                <w:rFonts w:ascii="Times New Roman" w:hAnsi="Times New Roman"/>
                <w:sz w:val="24"/>
                <w:szCs w:val="24"/>
              </w:rPr>
            </w:pPr>
            <w:r w:rsidRPr="001A01F9">
              <w:rPr>
                <w:rFonts w:ascii="Times New Roman" w:hAnsi="Times New Roman"/>
                <w:sz w:val="24"/>
                <w:szCs w:val="24"/>
              </w:rPr>
              <w:t>4.</w:t>
            </w:r>
          </w:p>
        </w:tc>
        <w:tc>
          <w:tcPr>
            <w:tcW w:w="3685" w:type="dxa"/>
          </w:tcPr>
          <w:p w:rsidR="005C0B07" w:rsidRPr="001A01F9" w:rsidRDefault="005C0B07" w:rsidP="0044309A">
            <w:pPr>
              <w:rPr>
                <w:rFonts w:ascii="Times New Roman" w:hAnsi="Times New Roman"/>
                <w:sz w:val="24"/>
                <w:szCs w:val="24"/>
              </w:rPr>
            </w:pPr>
            <w:r w:rsidRPr="001A01F9">
              <w:rPr>
                <w:rFonts w:ascii="Times New Roman" w:hAnsi="Times New Roman"/>
                <w:sz w:val="24"/>
                <w:szCs w:val="24"/>
              </w:rPr>
              <w:t>Cita informācija</w:t>
            </w:r>
          </w:p>
        </w:tc>
        <w:tc>
          <w:tcPr>
            <w:tcW w:w="5454" w:type="dxa"/>
          </w:tcPr>
          <w:p w:rsidR="005C0B07" w:rsidRPr="00EF7291" w:rsidRDefault="005C0B07" w:rsidP="0044309A">
            <w:pPr>
              <w:pStyle w:val="tvhtml"/>
              <w:spacing w:before="0" w:after="0"/>
              <w:ind w:left="-74"/>
            </w:pPr>
            <w:r w:rsidRPr="00EF7291">
              <w:t>Nav.</w:t>
            </w:r>
          </w:p>
        </w:tc>
      </w:tr>
    </w:tbl>
    <w:p w:rsidR="005C0B07" w:rsidRPr="005670AB" w:rsidRDefault="005C0B07" w:rsidP="005C0B07">
      <w:pPr>
        <w:suppressAutoHyphens/>
        <w:spacing w:after="0" w:line="240" w:lineRule="auto"/>
        <w:rPr>
          <w:rFonts w:ascii="Times New Roman" w:hAnsi="Times New Roman"/>
          <w:sz w:val="24"/>
          <w:szCs w:val="24"/>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685"/>
        <w:gridCol w:w="5454"/>
        <w:gridCol w:w="108"/>
      </w:tblGrid>
      <w:tr w:rsidR="005C0B07" w:rsidRPr="001A01F9" w:rsidTr="001D1388">
        <w:trPr>
          <w:gridAfter w:val="1"/>
          <w:wAfter w:w="108" w:type="dxa"/>
          <w:trHeight w:val="375"/>
        </w:trPr>
        <w:tc>
          <w:tcPr>
            <w:tcW w:w="9957" w:type="dxa"/>
            <w:gridSpan w:val="3"/>
          </w:tcPr>
          <w:p w:rsidR="005C0B07" w:rsidRPr="005670AB" w:rsidRDefault="005C0B07" w:rsidP="0044309A">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b/>
                <w:bCs/>
                <w:color w:val="0D0D0D"/>
                <w:sz w:val="24"/>
                <w:szCs w:val="24"/>
                <w:lang w:eastAsia="zh-CN"/>
              </w:rPr>
              <w:t>VII. Tiesību akta projekta izpildes nodrošināšana un tās ietekme uz institūcijām</w:t>
            </w:r>
          </w:p>
        </w:tc>
      </w:tr>
      <w:tr w:rsidR="005C0B07" w:rsidRPr="001A01F9" w:rsidTr="001D1388">
        <w:trPr>
          <w:gridAfter w:val="1"/>
          <w:wAfter w:w="108" w:type="dxa"/>
          <w:trHeight w:val="20"/>
        </w:trPr>
        <w:tc>
          <w:tcPr>
            <w:tcW w:w="818"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1.</w:t>
            </w:r>
          </w:p>
        </w:tc>
        <w:tc>
          <w:tcPr>
            <w:tcW w:w="3685"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Projekta izpildē iesaistītās institūcijas</w:t>
            </w:r>
          </w:p>
        </w:tc>
        <w:tc>
          <w:tcPr>
            <w:tcW w:w="5454" w:type="dxa"/>
          </w:tcPr>
          <w:p w:rsidR="005C0B07" w:rsidRPr="005670AB" w:rsidRDefault="005C0B07" w:rsidP="0044309A">
            <w:pPr>
              <w:suppressAutoHyphens/>
              <w:spacing w:after="0" w:line="240" w:lineRule="auto"/>
              <w:ind w:left="-74"/>
              <w:jc w:val="both"/>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 </w:t>
            </w:r>
            <w:r>
              <w:rPr>
                <w:rFonts w:ascii="Times New Roman" w:hAnsi="Times New Roman"/>
                <w:sz w:val="24"/>
                <w:szCs w:val="24"/>
                <w:lang w:eastAsia="lv-LV"/>
              </w:rPr>
              <w:t>Ceļu satiksmi un autopārvadājumus kontrolējošās institūcijas.</w:t>
            </w:r>
          </w:p>
        </w:tc>
      </w:tr>
      <w:tr w:rsidR="005C0B07" w:rsidRPr="001A01F9" w:rsidTr="001D1388">
        <w:trPr>
          <w:trHeight w:val="450"/>
        </w:trPr>
        <w:tc>
          <w:tcPr>
            <w:tcW w:w="818"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2.</w:t>
            </w:r>
          </w:p>
        </w:tc>
        <w:tc>
          <w:tcPr>
            <w:tcW w:w="3685"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Projekta izpildes ietekme uz pārvaldes funkcijām un institucionālo struktūru. </w:t>
            </w:r>
          </w:p>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Jaunu institūciju izveide, esošu institūciju likvidācija vai reorganizācija, to ietekme uz institūcijas cilvēkresursiem</w:t>
            </w:r>
          </w:p>
        </w:tc>
        <w:tc>
          <w:tcPr>
            <w:tcW w:w="5562" w:type="dxa"/>
            <w:gridSpan w:val="2"/>
          </w:tcPr>
          <w:p w:rsidR="005C0B07" w:rsidRPr="005670AB" w:rsidRDefault="005C0B07" w:rsidP="0044309A">
            <w:pPr>
              <w:suppressAutoHyphens/>
              <w:spacing w:after="0" w:line="240" w:lineRule="auto"/>
              <w:ind w:left="-74" w:right="140"/>
              <w:rPr>
                <w:rFonts w:ascii="Times New Roman" w:hAnsi="Times New Roman"/>
                <w:bCs/>
                <w:color w:val="000000"/>
                <w:sz w:val="24"/>
                <w:szCs w:val="24"/>
                <w:lang w:eastAsia="zh-CN"/>
              </w:rPr>
            </w:pPr>
            <w:r w:rsidRPr="005670AB">
              <w:rPr>
                <w:rFonts w:ascii="Times New Roman" w:hAnsi="Times New Roman"/>
                <w:bCs/>
                <w:color w:val="000000"/>
                <w:sz w:val="24"/>
                <w:szCs w:val="24"/>
                <w:lang w:eastAsia="zh-CN"/>
              </w:rPr>
              <w:t xml:space="preserve">Jaunas funkcijas un uzdevumi netiek radīti. </w:t>
            </w:r>
          </w:p>
          <w:p w:rsidR="005C0B07" w:rsidRPr="005670AB" w:rsidRDefault="005C0B07" w:rsidP="0044309A">
            <w:pPr>
              <w:suppressAutoHyphens/>
              <w:spacing w:after="0" w:line="240" w:lineRule="auto"/>
              <w:ind w:left="-74" w:right="140"/>
              <w:rPr>
                <w:rFonts w:ascii="Times New Roman" w:hAnsi="Times New Roman"/>
                <w:bCs/>
                <w:color w:val="000000"/>
                <w:sz w:val="24"/>
                <w:szCs w:val="24"/>
                <w:lang w:eastAsia="zh-CN"/>
              </w:rPr>
            </w:pPr>
            <w:r w:rsidRPr="005670AB">
              <w:rPr>
                <w:rFonts w:ascii="Times New Roman" w:hAnsi="Times New Roman"/>
                <w:bCs/>
                <w:color w:val="000000"/>
                <w:sz w:val="24"/>
                <w:szCs w:val="24"/>
                <w:lang w:eastAsia="zh-CN"/>
              </w:rPr>
              <w:t>Institūcijai pieejamos cilvēkresursus neietekmē.</w:t>
            </w:r>
          </w:p>
          <w:p w:rsidR="005C0B07" w:rsidRPr="005670AB" w:rsidRDefault="005C0B07" w:rsidP="0044309A">
            <w:pPr>
              <w:suppressAutoHyphens/>
              <w:spacing w:after="0" w:line="240" w:lineRule="auto"/>
              <w:ind w:left="-74" w:right="140"/>
              <w:rPr>
                <w:rFonts w:ascii="Times New Roman" w:hAnsi="Times New Roman"/>
                <w:b/>
                <w:bCs/>
                <w:color w:val="000000"/>
                <w:sz w:val="24"/>
                <w:szCs w:val="24"/>
                <w:lang w:eastAsia="zh-CN"/>
              </w:rPr>
            </w:pPr>
            <w:r w:rsidRPr="005670AB">
              <w:rPr>
                <w:rFonts w:ascii="Times New Roman" w:hAnsi="Times New Roman"/>
                <w:bCs/>
                <w:color w:val="000000"/>
                <w:sz w:val="24"/>
                <w:szCs w:val="24"/>
                <w:lang w:eastAsia="zh-CN"/>
              </w:rPr>
              <w:t xml:space="preserve">Jaunas institūcijas netiks veidotas. </w:t>
            </w:r>
          </w:p>
          <w:p w:rsidR="005C0B07" w:rsidRPr="005670AB" w:rsidRDefault="005C0B07" w:rsidP="0044309A">
            <w:pPr>
              <w:suppressAutoHyphens/>
              <w:spacing w:after="0" w:line="240" w:lineRule="auto"/>
              <w:ind w:left="-74"/>
              <w:rPr>
                <w:rFonts w:ascii="Times New Roman" w:hAnsi="Times New Roman"/>
                <w:color w:val="000000"/>
                <w:sz w:val="24"/>
                <w:szCs w:val="24"/>
                <w:lang w:eastAsia="zh-CN"/>
              </w:rPr>
            </w:pPr>
            <w:r w:rsidRPr="005670AB">
              <w:rPr>
                <w:rFonts w:ascii="Times New Roman" w:hAnsi="Times New Roman"/>
                <w:color w:val="000000"/>
                <w:sz w:val="24"/>
                <w:szCs w:val="24"/>
                <w:lang w:eastAsia="zh-CN"/>
              </w:rPr>
              <w:t>Esošo institūciju likvidācija vai reorganizācija</w:t>
            </w:r>
          </w:p>
          <w:p w:rsidR="005C0B07" w:rsidRPr="005670AB" w:rsidRDefault="005C0B07" w:rsidP="0044309A">
            <w:pPr>
              <w:suppressAutoHyphens/>
              <w:spacing w:after="0" w:line="240" w:lineRule="auto"/>
              <w:ind w:left="-74"/>
              <w:rPr>
                <w:rFonts w:ascii="Times New Roman" w:hAnsi="Times New Roman"/>
                <w:color w:val="0D0D0D"/>
                <w:sz w:val="24"/>
                <w:szCs w:val="24"/>
                <w:lang w:eastAsia="zh-CN"/>
              </w:rPr>
            </w:pPr>
            <w:r w:rsidRPr="005670AB">
              <w:rPr>
                <w:rFonts w:ascii="Times New Roman" w:hAnsi="Times New Roman"/>
                <w:color w:val="000000"/>
                <w:sz w:val="24"/>
                <w:szCs w:val="24"/>
                <w:lang w:eastAsia="zh-CN"/>
              </w:rPr>
              <w:t>nav plānota</w:t>
            </w:r>
            <w:r w:rsidRPr="005670AB">
              <w:rPr>
                <w:rFonts w:ascii="Times New Roman" w:hAnsi="Times New Roman"/>
                <w:color w:val="0000FF"/>
                <w:sz w:val="24"/>
                <w:szCs w:val="24"/>
                <w:lang w:eastAsia="zh-CN"/>
              </w:rPr>
              <w:t>.</w:t>
            </w:r>
          </w:p>
        </w:tc>
      </w:tr>
      <w:tr w:rsidR="005C0B07" w:rsidRPr="001A01F9" w:rsidTr="001D1388">
        <w:trPr>
          <w:gridAfter w:val="1"/>
          <w:wAfter w:w="108" w:type="dxa"/>
          <w:trHeight w:val="314"/>
        </w:trPr>
        <w:tc>
          <w:tcPr>
            <w:tcW w:w="818"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3.</w:t>
            </w:r>
          </w:p>
        </w:tc>
        <w:tc>
          <w:tcPr>
            <w:tcW w:w="3685"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Cita informācija</w:t>
            </w:r>
          </w:p>
        </w:tc>
        <w:tc>
          <w:tcPr>
            <w:tcW w:w="5454" w:type="dxa"/>
          </w:tcPr>
          <w:p w:rsidR="005C0B07" w:rsidRPr="005670AB" w:rsidRDefault="005C0B07" w:rsidP="0044309A">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Nav.</w:t>
            </w:r>
          </w:p>
        </w:tc>
      </w:tr>
    </w:tbl>
    <w:p w:rsidR="008A048F" w:rsidRDefault="008A048F" w:rsidP="005C0B07">
      <w:pPr>
        <w:suppressAutoHyphens/>
        <w:spacing w:after="0" w:line="240" w:lineRule="auto"/>
        <w:jc w:val="both"/>
        <w:rPr>
          <w:rFonts w:ascii="Times New Roman" w:hAnsi="Times New Roman"/>
          <w:color w:val="0D0D0D"/>
          <w:sz w:val="28"/>
          <w:szCs w:val="28"/>
        </w:rPr>
      </w:pPr>
    </w:p>
    <w:p w:rsidR="008A048F" w:rsidRDefault="008A048F" w:rsidP="005C0B07">
      <w:pPr>
        <w:suppressAutoHyphens/>
        <w:spacing w:after="0" w:line="240" w:lineRule="auto"/>
        <w:jc w:val="both"/>
        <w:rPr>
          <w:rFonts w:ascii="Times New Roman" w:hAnsi="Times New Roman"/>
          <w:color w:val="0D0D0D"/>
          <w:sz w:val="28"/>
          <w:szCs w:val="28"/>
        </w:rPr>
      </w:pPr>
    </w:p>
    <w:p w:rsidR="005C0B07" w:rsidRPr="005670AB" w:rsidRDefault="005C0B07" w:rsidP="005C0B07">
      <w:pPr>
        <w:suppressAutoHyphens/>
        <w:spacing w:after="0" w:line="240" w:lineRule="auto"/>
        <w:jc w:val="both"/>
        <w:rPr>
          <w:rFonts w:ascii="Times New Roman" w:hAnsi="Times New Roman"/>
          <w:color w:val="0D0D0D"/>
          <w:sz w:val="28"/>
          <w:szCs w:val="28"/>
        </w:rPr>
      </w:pPr>
      <w:r w:rsidRPr="005670AB">
        <w:rPr>
          <w:rFonts w:ascii="Times New Roman" w:hAnsi="Times New Roman"/>
          <w:color w:val="0D0D0D"/>
          <w:sz w:val="28"/>
          <w:szCs w:val="28"/>
        </w:rPr>
        <w:t>Iekšlietu ministrs</w:t>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proofErr w:type="spellStart"/>
      <w:r w:rsidRPr="005670AB">
        <w:rPr>
          <w:rFonts w:ascii="Times New Roman" w:hAnsi="Times New Roman"/>
          <w:color w:val="0D0D0D"/>
          <w:sz w:val="28"/>
          <w:szCs w:val="28"/>
        </w:rPr>
        <w:t>R.Kozlovskis</w:t>
      </w:r>
      <w:proofErr w:type="spellEnd"/>
    </w:p>
    <w:p w:rsidR="005C0B07" w:rsidRDefault="005C0B07" w:rsidP="005C0B07">
      <w:pPr>
        <w:suppressAutoHyphens/>
        <w:spacing w:after="0" w:line="240" w:lineRule="auto"/>
        <w:jc w:val="both"/>
        <w:rPr>
          <w:rFonts w:ascii="Times New Roman" w:hAnsi="Times New Roman"/>
          <w:color w:val="0D0D0D"/>
          <w:sz w:val="28"/>
          <w:szCs w:val="28"/>
        </w:rPr>
      </w:pPr>
    </w:p>
    <w:p w:rsidR="008A048F" w:rsidRDefault="008A048F" w:rsidP="005C0B07">
      <w:pPr>
        <w:suppressAutoHyphens/>
        <w:spacing w:after="0" w:line="240" w:lineRule="auto"/>
        <w:jc w:val="both"/>
        <w:rPr>
          <w:rFonts w:ascii="Times New Roman" w:hAnsi="Times New Roman"/>
          <w:color w:val="0D0D0D"/>
          <w:sz w:val="28"/>
          <w:szCs w:val="28"/>
        </w:rPr>
      </w:pPr>
    </w:p>
    <w:p w:rsidR="005C0B07" w:rsidRPr="005670AB" w:rsidRDefault="005C0B07" w:rsidP="005C0B07">
      <w:pPr>
        <w:suppressAutoHyphens/>
        <w:spacing w:after="0" w:line="240" w:lineRule="auto"/>
        <w:jc w:val="both"/>
        <w:rPr>
          <w:rFonts w:ascii="Times New Roman" w:hAnsi="Times New Roman"/>
          <w:color w:val="0D0D0D"/>
          <w:sz w:val="28"/>
          <w:szCs w:val="28"/>
        </w:rPr>
      </w:pPr>
      <w:r w:rsidRPr="005670AB">
        <w:rPr>
          <w:rFonts w:ascii="Times New Roman" w:hAnsi="Times New Roman"/>
          <w:color w:val="0D0D0D"/>
          <w:sz w:val="28"/>
          <w:szCs w:val="28"/>
        </w:rPr>
        <w:t>Vīza: valsts sekretāre</w:t>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t>I.Pētersone–</w:t>
      </w:r>
      <w:proofErr w:type="spellStart"/>
      <w:r w:rsidRPr="005670AB">
        <w:rPr>
          <w:rFonts w:ascii="Times New Roman" w:hAnsi="Times New Roman"/>
          <w:color w:val="0D0D0D"/>
          <w:sz w:val="28"/>
          <w:szCs w:val="28"/>
        </w:rPr>
        <w:t>Godmane</w:t>
      </w:r>
      <w:proofErr w:type="spellEnd"/>
    </w:p>
    <w:p w:rsidR="005C0B07" w:rsidRPr="005670AB" w:rsidRDefault="005C0B07" w:rsidP="005C0B07">
      <w:pPr>
        <w:suppressAutoHyphens/>
        <w:spacing w:after="0" w:line="240" w:lineRule="auto"/>
        <w:rPr>
          <w:rFonts w:ascii="Times New Roman" w:hAnsi="Times New Roman"/>
          <w:color w:val="0D0D0D"/>
          <w:sz w:val="20"/>
          <w:szCs w:val="20"/>
          <w:lang w:eastAsia="zh-CN"/>
        </w:rPr>
      </w:pPr>
    </w:p>
    <w:p w:rsidR="0005351D" w:rsidRDefault="0005351D" w:rsidP="005C0B07">
      <w:pPr>
        <w:spacing w:after="0" w:line="240" w:lineRule="auto"/>
        <w:rPr>
          <w:rStyle w:val="Hipersaite"/>
          <w:rFonts w:ascii="Times New Roman" w:hAnsi="Times New Roman"/>
          <w:sz w:val="20"/>
          <w:szCs w:val="20"/>
          <w:lang w:eastAsia="lv-LV"/>
        </w:rPr>
      </w:pPr>
      <w:bookmarkStart w:id="0" w:name="_GoBack"/>
      <w:bookmarkEnd w:id="0"/>
    </w:p>
    <w:p w:rsidR="005C0B07" w:rsidRPr="00A86429" w:rsidRDefault="005C0B07" w:rsidP="005C0B07">
      <w:pPr>
        <w:spacing w:after="0" w:line="240" w:lineRule="auto"/>
        <w:rPr>
          <w:rStyle w:val="Hipersaite"/>
          <w:rFonts w:ascii="Times New Roman" w:hAnsi="Times New Roman"/>
          <w:sz w:val="20"/>
          <w:szCs w:val="20"/>
          <w:lang w:eastAsia="lv-LV"/>
        </w:rPr>
      </w:pPr>
      <w:proofErr w:type="spellStart"/>
      <w:r>
        <w:rPr>
          <w:rStyle w:val="Hipersaite"/>
          <w:rFonts w:ascii="Times New Roman" w:hAnsi="Times New Roman"/>
          <w:sz w:val="20"/>
          <w:szCs w:val="20"/>
          <w:lang w:eastAsia="lv-LV"/>
        </w:rPr>
        <w:t>Tupiņa</w:t>
      </w:r>
      <w:proofErr w:type="spellEnd"/>
      <w:r>
        <w:rPr>
          <w:rStyle w:val="Hipersaite"/>
          <w:rFonts w:ascii="Times New Roman" w:hAnsi="Times New Roman"/>
          <w:sz w:val="20"/>
          <w:szCs w:val="20"/>
          <w:lang w:eastAsia="lv-LV"/>
        </w:rPr>
        <w:t>, 67075354</w:t>
      </w:r>
    </w:p>
    <w:p w:rsidR="005C0B07" w:rsidRDefault="006667F6" w:rsidP="005C0B07">
      <w:pPr>
        <w:spacing w:after="0" w:line="240" w:lineRule="auto"/>
        <w:rPr>
          <w:rStyle w:val="Hipersaite"/>
          <w:rFonts w:ascii="Times New Roman" w:hAnsi="Times New Roman"/>
          <w:sz w:val="20"/>
          <w:szCs w:val="20"/>
          <w:lang w:eastAsia="lv-LV"/>
        </w:rPr>
      </w:pPr>
      <w:hyperlink r:id="rId18" w:history="1">
        <w:r w:rsidR="005C0B07" w:rsidRPr="00430F24">
          <w:rPr>
            <w:rStyle w:val="Hipersaite"/>
            <w:rFonts w:ascii="Times New Roman" w:hAnsi="Times New Roman"/>
            <w:sz w:val="20"/>
            <w:szCs w:val="20"/>
            <w:lang w:eastAsia="lv-LV"/>
          </w:rPr>
          <w:t>arta.tupina@vp.gov.lv</w:t>
        </w:r>
      </w:hyperlink>
    </w:p>
    <w:p w:rsidR="005C0B07" w:rsidRDefault="005C0B07" w:rsidP="005C0B07">
      <w:pPr>
        <w:spacing w:after="0" w:line="240" w:lineRule="auto"/>
        <w:rPr>
          <w:rStyle w:val="Hipersaite"/>
          <w:rFonts w:ascii="Times New Roman" w:hAnsi="Times New Roman"/>
          <w:sz w:val="20"/>
          <w:szCs w:val="20"/>
          <w:lang w:eastAsia="lv-LV"/>
        </w:rPr>
      </w:pPr>
    </w:p>
    <w:p w:rsidR="005C0B07" w:rsidRDefault="005C0B07" w:rsidP="005C0B07">
      <w:pPr>
        <w:spacing w:after="0" w:line="240" w:lineRule="auto"/>
        <w:rPr>
          <w:rStyle w:val="Hipersaite"/>
          <w:rFonts w:ascii="Times New Roman" w:hAnsi="Times New Roman"/>
          <w:sz w:val="20"/>
          <w:szCs w:val="20"/>
          <w:lang w:eastAsia="lv-LV"/>
        </w:rPr>
      </w:pPr>
      <w:r>
        <w:rPr>
          <w:rStyle w:val="Hipersaite"/>
          <w:rFonts w:ascii="Times New Roman" w:hAnsi="Times New Roman"/>
          <w:sz w:val="20"/>
          <w:szCs w:val="20"/>
          <w:lang w:eastAsia="lv-LV"/>
        </w:rPr>
        <w:t>Meistere, 67075077</w:t>
      </w:r>
    </w:p>
    <w:p w:rsidR="005C0B07" w:rsidRDefault="005C0B07" w:rsidP="005C0B07">
      <w:pPr>
        <w:spacing w:after="0" w:line="240" w:lineRule="auto"/>
      </w:pPr>
      <w:r>
        <w:rPr>
          <w:rStyle w:val="Hipersaite"/>
          <w:rFonts w:ascii="Times New Roman" w:hAnsi="Times New Roman"/>
          <w:sz w:val="20"/>
          <w:szCs w:val="20"/>
          <w:lang w:eastAsia="lv-LV"/>
        </w:rPr>
        <w:t>agita.meistere@vp.gov.lv</w:t>
      </w:r>
    </w:p>
    <w:p w:rsidR="005C0B07" w:rsidRDefault="005C0B07" w:rsidP="005C0B07"/>
    <w:sectPr w:rsidR="005C0B07" w:rsidSect="001D1388">
      <w:headerReference w:type="default" r:id="rId19"/>
      <w:footerReference w:type="default" r:id="rId20"/>
      <w:footerReference w:type="first" r:id="rId21"/>
      <w:pgSz w:w="11906" w:h="16838"/>
      <w:pgMar w:top="993" w:right="1134" w:bottom="85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11" w:rsidRDefault="00B24E11">
      <w:pPr>
        <w:spacing w:after="0" w:line="240" w:lineRule="auto"/>
      </w:pPr>
      <w:r>
        <w:separator/>
      </w:r>
    </w:p>
  </w:endnote>
  <w:endnote w:type="continuationSeparator" w:id="0">
    <w:p w:rsidR="00B24E11" w:rsidRDefault="00B2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08" w:rsidRPr="002943BA" w:rsidRDefault="0005351D" w:rsidP="002943BA">
    <w:pPr>
      <w:pStyle w:val="Kjene"/>
    </w:pPr>
    <w:r>
      <w:rPr>
        <w:rFonts w:ascii="Times New Roman" w:hAnsi="Times New Roman"/>
        <w:noProof/>
        <w:sz w:val="20"/>
        <w:szCs w:val="20"/>
      </w:rPr>
      <w:t>Ie</w:t>
    </w:r>
    <w:r w:rsidR="00F67714">
      <w:rPr>
        <w:rFonts w:ascii="Times New Roman" w:hAnsi="Times New Roman"/>
        <w:noProof/>
        <w:sz w:val="20"/>
        <w:szCs w:val="20"/>
      </w:rPr>
      <w:t>MAnot_18</w:t>
    </w:r>
    <w:r>
      <w:rPr>
        <w:rFonts w:ascii="Times New Roman" w:hAnsi="Times New Roman"/>
        <w:noProof/>
        <w:sz w:val="20"/>
        <w:szCs w:val="20"/>
      </w:rPr>
      <w:t>0417_CSL_bloketaji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08" w:rsidRPr="00880541" w:rsidRDefault="0005351D" w:rsidP="00493335">
    <w:pPr>
      <w:pStyle w:val="Kjene"/>
      <w:jc w:val="both"/>
      <w:rPr>
        <w:rFonts w:ascii="Times New Roman" w:hAnsi="Times New Roman"/>
      </w:rPr>
    </w:pPr>
    <w:r>
      <w:rPr>
        <w:rFonts w:ascii="Times New Roman" w:hAnsi="Times New Roman"/>
        <w:noProof/>
        <w:sz w:val="20"/>
        <w:szCs w:val="20"/>
      </w:rPr>
      <w:t>Ie</w:t>
    </w:r>
    <w:r w:rsidR="00F67714">
      <w:rPr>
        <w:rFonts w:ascii="Times New Roman" w:hAnsi="Times New Roman"/>
        <w:noProof/>
        <w:sz w:val="20"/>
        <w:szCs w:val="20"/>
      </w:rPr>
      <w:t>MAnot_18</w:t>
    </w:r>
    <w:r>
      <w:rPr>
        <w:rFonts w:ascii="Times New Roman" w:hAnsi="Times New Roman"/>
        <w:noProof/>
        <w:sz w:val="20"/>
        <w:szCs w:val="20"/>
      </w:rPr>
      <w:t>0417_CSL_bloketaji</w:t>
    </w:r>
  </w:p>
  <w:p w:rsidR="00E92908" w:rsidRPr="00A66ED9" w:rsidRDefault="00E92908" w:rsidP="00A66ED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11" w:rsidRDefault="00B24E11">
      <w:pPr>
        <w:spacing w:after="0" w:line="240" w:lineRule="auto"/>
      </w:pPr>
      <w:r>
        <w:separator/>
      </w:r>
    </w:p>
  </w:footnote>
  <w:footnote w:type="continuationSeparator" w:id="0">
    <w:p w:rsidR="00B24E11" w:rsidRDefault="00B24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08" w:rsidRDefault="00841EA9">
    <w:pPr>
      <w:pStyle w:val="Galvene"/>
    </w:pPr>
    <w:r>
      <w:rPr>
        <w:noProof/>
        <w:lang w:eastAsia="lv-LV"/>
      </w:rPr>
      <mc:AlternateContent>
        <mc:Choice Requires="wps">
          <w:drawing>
            <wp:anchor distT="0" distB="0" distL="0" distR="0" simplePos="0" relativeHeight="251660288" behindDoc="0" locked="0" layoutInCell="1" allowOverlap="1" wp14:anchorId="56A94597" wp14:editId="36DF9B5B">
              <wp:simplePos x="0" y="0"/>
              <wp:positionH relativeFrom="margin">
                <wp:align>center</wp:align>
              </wp:positionH>
              <wp:positionV relativeFrom="paragraph">
                <wp:posOffset>635</wp:posOffset>
              </wp:positionV>
              <wp:extent cx="76200" cy="174625"/>
              <wp:effectExtent l="0" t="0" r="0"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908" w:rsidRDefault="00E92908">
                          <w:pPr>
                            <w:pStyle w:val="Galvene"/>
                          </w:pPr>
                          <w:r>
                            <w:rPr>
                              <w:rStyle w:val="Lappusesnumurs"/>
                            </w:rPr>
                            <w:fldChar w:fldCharType="begin"/>
                          </w:r>
                          <w:r>
                            <w:rPr>
                              <w:rStyle w:val="Lappusesnumurs"/>
                            </w:rPr>
                            <w:instrText xml:space="preserve"> PAGE </w:instrText>
                          </w:r>
                          <w:r>
                            <w:rPr>
                              <w:rStyle w:val="Lappusesnumurs"/>
                            </w:rPr>
                            <w:fldChar w:fldCharType="separate"/>
                          </w:r>
                          <w:r w:rsidR="006667F6">
                            <w:rPr>
                              <w:rStyle w:val="Lappusesnumurs"/>
                              <w:noProof/>
                            </w:rPr>
                            <w:t>9</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 o:spid="_x0000_s1026" type="#_x0000_t202" style="position:absolute;margin-left:0;margin-top:.05pt;width:6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" stroked="f">
              <v:fill opacity="0"/>
              <v:textbox inset="0,0,0,0">
                <w:txbxContent>
                  <w:p w:rsidR="00E92908" w:rsidRDefault="00E92908">
                    <w:pPr>
                      <w:pStyle w:val="Galvene"/>
                    </w:pPr>
                    <w:r>
                      <w:rPr>
                        <w:rStyle w:val="Lappusesnumurs"/>
                      </w:rPr>
                      <w:fldChar w:fldCharType="begin"/>
                    </w:r>
                    <w:r>
                      <w:rPr>
                        <w:rStyle w:val="Lappusesnumurs"/>
                      </w:rPr>
                      <w:instrText xml:space="preserve"> PAGE </w:instrText>
                    </w:r>
                    <w:r>
                      <w:rPr>
                        <w:rStyle w:val="Lappusesnumurs"/>
                      </w:rPr>
                      <w:fldChar w:fldCharType="separate"/>
                    </w:r>
                    <w:r w:rsidR="006667F6">
                      <w:rPr>
                        <w:rStyle w:val="Lappusesnumurs"/>
                        <w:noProof/>
                      </w:rPr>
                      <w:t>9</w:t>
                    </w:r>
                    <w:r>
                      <w:rPr>
                        <w:rStyle w:val="Lappusesnumur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03D10"/>
    <w:multiLevelType w:val="hybridMultilevel"/>
    <w:tmpl w:val="FCCCE9C2"/>
    <w:lvl w:ilvl="0" w:tplc="BF12C60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A6E1A86"/>
    <w:multiLevelType w:val="hybridMultilevel"/>
    <w:tmpl w:val="38D46C8A"/>
    <w:lvl w:ilvl="0" w:tplc="4CD28DD8">
      <w:start w:val="8"/>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4DE91635"/>
    <w:multiLevelType w:val="hybridMultilevel"/>
    <w:tmpl w:val="D65C308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C9"/>
    <w:rsid w:val="00013F50"/>
    <w:rsid w:val="00015451"/>
    <w:rsid w:val="00020B76"/>
    <w:rsid w:val="00024BCC"/>
    <w:rsid w:val="000371A0"/>
    <w:rsid w:val="00046748"/>
    <w:rsid w:val="00051E3C"/>
    <w:rsid w:val="0005351D"/>
    <w:rsid w:val="000A5B9C"/>
    <w:rsid w:val="000A5D98"/>
    <w:rsid w:val="000B7D8E"/>
    <w:rsid w:val="000C0BDE"/>
    <w:rsid w:val="00113323"/>
    <w:rsid w:val="00135E95"/>
    <w:rsid w:val="0016561C"/>
    <w:rsid w:val="00166D90"/>
    <w:rsid w:val="00181BC9"/>
    <w:rsid w:val="001A01F9"/>
    <w:rsid w:val="001A6546"/>
    <w:rsid w:val="001A6B81"/>
    <w:rsid w:val="001D1388"/>
    <w:rsid w:val="001D73DE"/>
    <w:rsid w:val="001D7A2C"/>
    <w:rsid w:val="001F016D"/>
    <w:rsid w:val="001F67FD"/>
    <w:rsid w:val="002067B0"/>
    <w:rsid w:val="00220D58"/>
    <w:rsid w:val="00254B21"/>
    <w:rsid w:val="0028024C"/>
    <w:rsid w:val="002943BA"/>
    <w:rsid w:val="002C4388"/>
    <w:rsid w:val="002E0359"/>
    <w:rsid w:val="002E4E2D"/>
    <w:rsid w:val="002F0A4B"/>
    <w:rsid w:val="00312E65"/>
    <w:rsid w:val="003340BE"/>
    <w:rsid w:val="00353071"/>
    <w:rsid w:val="003B7DC3"/>
    <w:rsid w:val="003E3F95"/>
    <w:rsid w:val="00417D97"/>
    <w:rsid w:val="00425CF3"/>
    <w:rsid w:val="00426530"/>
    <w:rsid w:val="00443461"/>
    <w:rsid w:val="00493335"/>
    <w:rsid w:val="004949B2"/>
    <w:rsid w:val="004A2661"/>
    <w:rsid w:val="0051742D"/>
    <w:rsid w:val="00541AE6"/>
    <w:rsid w:val="005631C6"/>
    <w:rsid w:val="005670AB"/>
    <w:rsid w:val="00585AE3"/>
    <w:rsid w:val="005A4986"/>
    <w:rsid w:val="005C0B07"/>
    <w:rsid w:val="005C258E"/>
    <w:rsid w:val="005D4D0A"/>
    <w:rsid w:val="005E4894"/>
    <w:rsid w:val="006227ED"/>
    <w:rsid w:val="00641565"/>
    <w:rsid w:val="006667F6"/>
    <w:rsid w:val="006A3F78"/>
    <w:rsid w:val="006A53B7"/>
    <w:rsid w:val="006C110B"/>
    <w:rsid w:val="006D2105"/>
    <w:rsid w:val="006D5116"/>
    <w:rsid w:val="006F697D"/>
    <w:rsid w:val="00750353"/>
    <w:rsid w:val="007A485D"/>
    <w:rsid w:val="007E2530"/>
    <w:rsid w:val="00810E24"/>
    <w:rsid w:val="008236D0"/>
    <w:rsid w:val="00841EA9"/>
    <w:rsid w:val="00843C98"/>
    <w:rsid w:val="00880541"/>
    <w:rsid w:val="00896C86"/>
    <w:rsid w:val="008A048F"/>
    <w:rsid w:val="008C026F"/>
    <w:rsid w:val="008C0835"/>
    <w:rsid w:val="008C5BD3"/>
    <w:rsid w:val="008C7A41"/>
    <w:rsid w:val="008F643A"/>
    <w:rsid w:val="00925FC9"/>
    <w:rsid w:val="00947888"/>
    <w:rsid w:val="00971A9C"/>
    <w:rsid w:val="00973351"/>
    <w:rsid w:val="00983F2E"/>
    <w:rsid w:val="00994098"/>
    <w:rsid w:val="00A520DE"/>
    <w:rsid w:val="00A65AD7"/>
    <w:rsid w:val="00A65D28"/>
    <w:rsid w:val="00A66ED9"/>
    <w:rsid w:val="00A86429"/>
    <w:rsid w:val="00AA33D5"/>
    <w:rsid w:val="00AA5453"/>
    <w:rsid w:val="00AC55BD"/>
    <w:rsid w:val="00B2016B"/>
    <w:rsid w:val="00B24E11"/>
    <w:rsid w:val="00B33CD4"/>
    <w:rsid w:val="00B8615B"/>
    <w:rsid w:val="00BF0402"/>
    <w:rsid w:val="00BF7A5F"/>
    <w:rsid w:val="00C03FF9"/>
    <w:rsid w:val="00C17BD8"/>
    <w:rsid w:val="00C37AAC"/>
    <w:rsid w:val="00C65765"/>
    <w:rsid w:val="00C72A44"/>
    <w:rsid w:val="00C77998"/>
    <w:rsid w:val="00C91185"/>
    <w:rsid w:val="00C92671"/>
    <w:rsid w:val="00CA4A68"/>
    <w:rsid w:val="00CC590C"/>
    <w:rsid w:val="00CC5D70"/>
    <w:rsid w:val="00CE5383"/>
    <w:rsid w:val="00CF2F14"/>
    <w:rsid w:val="00D06C19"/>
    <w:rsid w:val="00D10477"/>
    <w:rsid w:val="00D24A73"/>
    <w:rsid w:val="00D26352"/>
    <w:rsid w:val="00D32F6A"/>
    <w:rsid w:val="00D42C6E"/>
    <w:rsid w:val="00D92FE4"/>
    <w:rsid w:val="00DB7E9A"/>
    <w:rsid w:val="00E22135"/>
    <w:rsid w:val="00E92908"/>
    <w:rsid w:val="00E9797E"/>
    <w:rsid w:val="00EF7291"/>
    <w:rsid w:val="00F13AA5"/>
    <w:rsid w:val="00F67714"/>
    <w:rsid w:val="00F70B31"/>
    <w:rsid w:val="00F831CB"/>
    <w:rsid w:val="00F90F44"/>
    <w:rsid w:val="00FB7EB3"/>
    <w:rsid w:val="00FE1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1BC9"/>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181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81BC9"/>
    <w:rPr>
      <w:rFonts w:cs="Times New Roman"/>
    </w:rPr>
  </w:style>
  <w:style w:type="paragraph" w:styleId="Kjene">
    <w:name w:val="footer"/>
    <w:basedOn w:val="Parasts"/>
    <w:link w:val="KjeneRakstz"/>
    <w:uiPriority w:val="99"/>
    <w:rsid w:val="00181BC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181BC9"/>
    <w:rPr>
      <w:rFonts w:cs="Times New Roman"/>
    </w:rPr>
  </w:style>
  <w:style w:type="character" w:styleId="Lappusesnumurs">
    <w:name w:val="page number"/>
    <w:basedOn w:val="Noklusjumarindkopasfonts"/>
    <w:uiPriority w:val="99"/>
    <w:rsid w:val="00181BC9"/>
    <w:rPr>
      <w:rFonts w:cs="Times New Roman"/>
    </w:rPr>
  </w:style>
  <w:style w:type="paragraph" w:styleId="Bezatstarpm">
    <w:name w:val="No Spacing"/>
    <w:uiPriority w:val="99"/>
    <w:qFormat/>
    <w:rsid w:val="00181BC9"/>
    <w:rPr>
      <w:lang w:eastAsia="en-US"/>
    </w:rPr>
  </w:style>
  <w:style w:type="character" w:styleId="Hipersaite">
    <w:name w:val="Hyperlink"/>
    <w:basedOn w:val="Noklusjumarindkopasfonts"/>
    <w:uiPriority w:val="99"/>
    <w:rsid w:val="00181BC9"/>
    <w:rPr>
      <w:rFonts w:cs="Times New Roman"/>
      <w:color w:val="0000FF"/>
      <w:u w:val="single"/>
    </w:rPr>
  </w:style>
  <w:style w:type="paragraph" w:customStyle="1" w:styleId="tvhtml">
    <w:name w:val="tv_html"/>
    <w:basedOn w:val="Parasts"/>
    <w:uiPriority w:val="99"/>
    <w:rsid w:val="00EF7291"/>
    <w:pPr>
      <w:suppressAutoHyphens/>
      <w:spacing w:before="280" w:after="280" w:line="240" w:lineRule="auto"/>
    </w:pPr>
    <w:rPr>
      <w:rFonts w:ascii="Times New Roman" w:eastAsia="Times New Roman" w:hAnsi="Times New Roman"/>
      <w:sz w:val="24"/>
      <w:szCs w:val="24"/>
      <w:lang w:eastAsia="zh-CN"/>
    </w:rPr>
  </w:style>
  <w:style w:type="paragraph" w:customStyle="1" w:styleId="tv213">
    <w:name w:val="tv213"/>
    <w:basedOn w:val="Parasts"/>
    <w:uiPriority w:val="99"/>
    <w:rsid w:val="00EF7291"/>
    <w:pPr>
      <w:suppressAutoHyphens/>
      <w:spacing w:before="280" w:after="280" w:line="240" w:lineRule="auto"/>
    </w:pPr>
    <w:rPr>
      <w:rFonts w:ascii="Times New Roman" w:eastAsia="Times New Roman" w:hAnsi="Times New Roman"/>
      <w:sz w:val="24"/>
      <w:szCs w:val="24"/>
      <w:lang w:eastAsia="zh-CN"/>
    </w:rPr>
  </w:style>
  <w:style w:type="paragraph" w:styleId="Balonteksts">
    <w:name w:val="Balloon Text"/>
    <w:basedOn w:val="Parasts"/>
    <w:link w:val="BalontekstsRakstz"/>
    <w:uiPriority w:val="99"/>
    <w:semiHidden/>
    <w:rsid w:val="005174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1742D"/>
    <w:rPr>
      <w:rFonts w:ascii="Tahoma" w:hAnsi="Tahoma" w:cs="Tahoma"/>
      <w:sz w:val="16"/>
      <w:szCs w:val="16"/>
    </w:rPr>
  </w:style>
  <w:style w:type="paragraph" w:customStyle="1" w:styleId="tv2132">
    <w:name w:val="tv2132"/>
    <w:basedOn w:val="Parasts"/>
    <w:uiPriority w:val="99"/>
    <w:rsid w:val="00254B21"/>
    <w:pPr>
      <w:spacing w:after="0" w:line="360" w:lineRule="auto"/>
      <w:ind w:firstLine="300"/>
    </w:pPr>
    <w:rPr>
      <w:rFonts w:ascii="Times New Roman" w:eastAsia="Times New Roman" w:hAnsi="Times New Roman"/>
      <w:color w:val="414142"/>
      <w:sz w:val="20"/>
      <w:szCs w:val="20"/>
      <w:lang w:eastAsia="lv-LV"/>
    </w:rPr>
  </w:style>
  <w:style w:type="paragraph" w:styleId="HTMLiepriekformattais">
    <w:name w:val="HTML Preformatted"/>
    <w:basedOn w:val="Parasts"/>
    <w:link w:val="HTMLiepriekformattaisRakstz"/>
    <w:uiPriority w:val="99"/>
    <w:unhideWhenUsed/>
    <w:rsid w:val="008C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8C026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1BC9"/>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181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81BC9"/>
    <w:rPr>
      <w:rFonts w:cs="Times New Roman"/>
    </w:rPr>
  </w:style>
  <w:style w:type="paragraph" w:styleId="Kjene">
    <w:name w:val="footer"/>
    <w:basedOn w:val="Parasts"/>
    <w:link w:val="KjeneRakstz"/>
    <w:uiPriority w:val="99"/>
    <w:rsid w:val="00181BC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181BC9"/>
    <w:rPr>
      <w:rFonts w:cs="Times New Roman"/>
    </w:rPr>
  </w:style>
  <w:style w:type="character" w:styleId="Lappusesnumurs">
    <w:name w:val="page number"/>
    <w:basedOn w:val="Noklusjumarindkopasfonts"/>
    <w:uiPriority w:val="99"/>
    <w:rsid w:val="00181BC9"/>
    <w:rPr>
      <w:rFonts w:cs="Times New Roman"/>
    </w:rPr>
  </w:style>
  <w:style w:type="paragraph" w:styleId="Bezatstarpm">
    <w:name w:val="No Spacing"/>
    <w:uiPriority w:val="99"/>
    <w:qFormat/>
    <w:rsid w:val="00181BC9"/>
    <w:rPr>
      <w:lang w:eastAsia="en-US"/>
    </w:rPr>
  </w:style>
  <w:style w:type="character" w:styleId="Hipersaite">
    <w:name w:val="Hyperlink"/>
    <w:basedOn w:val="Noklusjumarindkopasfonts"/>
    <w:uiPriority w:val="99"/>
    <w:rsid w:val="00181BC9"/>
    <w:rPr>
      <w:rFonts w:cs="Times New Roman"/>
      <w:color w:val="0000FF"/>
      <w:u w:val="single"/>
    </w:rPr>
  </w:style>
  <w:style w:type="paragraph" w:customStyle="1" w:styleId="tvhtml">
    <w:name w:val="tv_html"/>
    <w:basedOn w:val="Parasts"/>
    <w:uiPriority w:val="99"/>
    <w:rsid w:val="00EF7291"/>
    <w:pPr>
      <w:suppressAutoHyphens/>
      <w:spacing w:before="280" w:after="280" w:line="240" w:lineRule="auto"/>
    </w:pPr>
    <w:rPr>
      <w:rFonts w:ascii="Times New Roman" w:eastAsia="Times New Roman" w:hAnsi="Times New Roman"/>
      <w:sz w:val="24"/>
      <w:szCs w:val="24"/>
      <w:lang w:eastAsia="zh-CN"/>
    </w:rPr>
  </w:style>
  <w:style w:type="paragraph" w:customStyle="1" w:styleId="tv213">
    <w:name w:val="tv213"/>
    <w:basedOn w:val="Parasts"/>
    <w:uiPriority w:val="99"/>
    <w:rsid w:val="00EF7291"/>
    <w:pPr>
      <w:suppressAutoHyphens/>
      <w:spacing w:before="280" w:after="280" w:line="240" w:lineRule="auto"/>
    </w:pPr>
    <w:rPr>
      <w:rFonts w:ascii="Times New Roman" w:eastAsia="Times New Roman" w:hAnsi="Times New Roman"/>
      <w:sz w:val="24"/>
      <w:szCs w:val="24"/>
      <w:lang w:eastAsia="zh-CN"/>
    </w:rPr>
  </w:style>
  <w:style w:type="paragraph" w:styleId="Balonteksts">
    <w:name w:val="Balloon Text"/>
    <w:basedOn w:val="Parasts"/>
    <w:link w:val="BalontekstsRakstz"/>
    <w:uiPriority w:val="99"/>
    <w:semiHidden/>
    <w:rsid w:val="005174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1742D"/>
    <w:rPr>
      <w:rFonts w:ascii="Tahoma" w:hAnsi="Tahoma" w:cs="Tahoma"/>
      <w:sz w:val="16"/>
      <w:szCs w:val="16"/>
    </w:rPr>
  </w:style>
  <w:style w:type="paragraph" w:customStyle="1" w:styleId="tv2132">
    <w:name w:val="tv2132"/>
    <w:basedOn w:val="Parasts"/>
    <w:uiPriority w:val="99"/>
    <w:rsid w:val="00254B21"/>
    <w:pPr>
      <w:spacing w:after="0" w:line="360" w:lineRule="auto"/>
      <w:ind w:firstLine="300"/>
    </w:pPr>
    <w:rPr>
      <w:rFonts w:ascii="Times New Roman" w:eastAsia="Times New Roman" w:hAnsi="Times New Roman"/>
      <w:color w:val="414142"/>
      <w:sz w:val="20"/>
      <w:szCs w:val="20"/>
      <w:lang w:eastAsia="lv-LV"/>
    </w:rPr>
  </w:style>
  <w:style w:type="paragraph" w:styleId="HTMLiepriekformattais">
    <w:name w:val="HTML Preformatted"/>
    <w:basedOn w:val="Parasts"/>
    <w:link w:val="HTMLiepriekformattaisRakstz"/>
    <w:uiPriority w:val="99"/>
    <w:unhideWhenUsed/>
    <w:rsid w:val="008C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8C02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8004">
      <w:marLeft w:val="0"/>
      <w:marRight w:val="0"/>
      <w:marTop w:val="0"/>
      <w:marBottom w:val="0"/>
      <w:divBdr>
        <w:top w:val="none" w:sz="0" w:space="0" w:color="auto"/>
        <w:left w:val="none" w:sz="0" w:space="0" w:color="auto"/>
        <w:bottom w:val="none" w:sz="0" w:space="0" w:color="auto"/>
        <w:right w:val="none" w:sz="0" w:space="0" w:color="auto"/>
      </w:divBdr>
      <w:divsChild>
        <w:div w:id="1628318005">
          <w:marLeft w:val="0"/>
          <w:marRight w:val="0"/>
          <w:marTop w:val="0"/>
          <w:marBottom w:val="0"/>
          <w:divBdr>
            <w:top w:val="none" w:sz="0" w:space="0" w:color="auto"/>
            <w:left w:val="none" w:sz="0" w:space="0" w:color="auto"/>
            <w:bottom w:val="none" w:sz="0" w:space="0" w:color="auto"/>
            <w:right w:val="none" w:sz="0" w:space="0" w:color="auto"/>
          </w:divBdr>
          <w:divsChild>
            <w:div w:id="1628318010">
              <w:marLeft w:val="0"/>
              <w:marRight w:val="0"/>
              <w:marTop w:val="0"/>
              <w:marBottom w:val="0"/>
              <w:divBdr>
                <w:top w:val="none" w:sz="0" w:space="0" w:color="auto"/>
                <w:left w:val="none" w:sz="0" w:space="0" w:color="auto"/>
                <w:bottom w:val="none" w:sz="0" w:space="0" w:color="auto"/>
                <w:right w:val="none" w:sz="0" w:space="0" w:color="auto"/>
              </w:divBdr>
              <w:divsChild>
                <w:div w:id="1628318014">
                  <w:marLeft w:val="0"/>
                  <w:marRight w:val="0"/>
                  <w:marTop w:val="0"/>
                  <w:marBottom w:val="0"/>
                  <w:divBdr>
                    <w:top w:val="none" w:sz="0" w:space="0" w:color="auto"/>
                    <w:left w:val="none" w:sz="0" w:space="0" w:color="auto"/>
                    <w:bottom w:val="none" w:sz="0" w:space="0" w:color="auto"/>
                    <w:right w:val="none" w:sz="0" w:space="0" w:color="auto"/>
                  </w:divBdr>
                  <w:divsChild>
                    <w:div w:id="1628318003">
                      <w:marLeft w:val="0"/>
                      <w:marRight w:val="0"/>
                      <w:marTop w:val="0"/>
                      <w:marBottom w:val="0"/>
                      <w:divBdr>
                        <w:top w:val="none" w:sz="0" w:space="0" w:color="auto"/>
                        <w:left w:val="none" w:sz="0" w:space="0" w:color="auto"/>
                        <w:bottom w:val="none" w:sz="0" w:space="0" w:color="auto"/>
                        <w:right w:val="none" w:sz="0" w:space="0" w:color="auto"/>
                      </w:divBdr>
                      <w:divsChild>
                        <w:div w:id="1628318016">
                          <w:marLeft w:val="0"/>
                          <w:marRight w:val="0"/>
                          <w:marTop w:val="0"/>
                          <w:marBottom w:val="0"/>
                          <w:divBdr>
                            <w:top w:val="none" w:sz="0" w:space="0" w:color="auto"/>
                            <w:left w:val="none" w:sz="0" w:space="0" w:color="auto"/>
                            <w:bottom w:val="none" w:sz="0" w:space="0" w:color="auto"/>
                            <w:right w:val="none" w:sz="0" w:space="0" w:color="auto"/>
                          </w:divBdr>
                          <w:divsChild>
                            <w:div w:id="1628318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8013">
      <w:marLeft w:val="0"/>
      <w:marRight w:val="0"/>
      <w:marTop w:val="0"/>
      <w:marBottom w:val="0"/>
      <w:divBdr>
        <w:top w:val="none" w:sz="0" w:space="0" w:color="auto"/>
        <w:left w:val="none" w:sz="0" w:space="0" w:color="auto"/>
        <w:bottom w:val="none" w:sz="0" w:space="0" w:color="auto"/>
        <w:right w:val="none" w:sz="0" w:space="0" w:color="auto"/>
      </w:divBdr>
      <w:divsChild>
        <w:div w:id="1628318009">
          <w:marLeft w:val="0"/>
          <w:marRight w:val="0"/>
          <w:marTop w:val="0"/>
          <w:marBottom w:val="0"/>
          <w:divBdr>
            <w:top w:val="none" w:sz="0" w:space="0" w:color="auto"/>
            <w:left w:val="none" w:sz="0" w:space="0" w:color="auto"/>
            <w:bottom w:val="none" w:sz="0" w:space="0" w:color="auto"/>
            <w:right w:val="none" w:sz="0" w:space="0" w:color="auto"/>
          </w:divBdr>
          <w:divsChild>
            <w:div w:id="1628318012">
              <w:marLeft w:val="0"/>
              <w:marRight w:val="0"/>
              <w:marTop w:val="0"/>
              <w:marBottom w:val="0"/>
              <w:divBdr>
                <w:top w:val="none" w:sz="0" w:space="0" w:color="auto"/>
                <w:left w:val="none" w:sz="0" w:space="0" w:color="auto"/>
                <w:bottom w:val="none" w:sz="0" w:space="0" w:color="auto"/>
                <w:right w:val="none" w:sz="0" w:space="0" w:color="auto"/>
              </w:divBdr>
              <w:divsChild>
                <w:div w:id="1628318015">
                  <w:marLeft w:val="0"/>
                  <w:marRight w:val="0"/>
                  <w:marTop w:val="0"/>
                  <w:marBottom w:val="0"/>
                  <w:divBdr>
                    <w:top w:val="none" w:sz="0" w:space="0" w:color="auto"/>
                    <w:left w:val="none" w:sz="0" w:space="0" w:color="auto"/>
                    <w:bottom w:val="none" w:sz="0" w:space="0" w:color="auto"/>
                    <w:right w:val="none" w:sz="0" w:space="0" w:color="auto"/>
                  </w:divBdr>
                  <w:divsChild>
                    <w:div w:id="1628318008">
                      <w:marLeft w:val="0"/>
                      <w:marRight w:val="0"/>
                      <w:marTop w:val="0"/>
                      <w:marBottom w:val="0"/>
                      <w:divBdr>
                        <w:top w:val="none" w:sz="0" w:space="0" w:color="auto"/>
                        <w:left w:val="none" w:sz="0" w:space="0" w:color="auto"/>
                        <w:bottom w:val="none" w:sz="0" w:space="0" w:color="auto"/>
                        <w:right w:val="none" w:sz="0" w:space="0" w:color="auto"/>
                      </w:divBdr>
                      <w:divsChild>
                        <w:div w:id="1628318006">
                          <w:marLeft w:val="0"/>
                          <w:marRight w:val="0"/>
                          <w:marTop w:val="0"/>
                          <w:marBottom w:val="0"/>
                          <w:divBdr>
                            <w:top w:val="none" w:sz="0" w:space="0" w:color="auto"/>
                            <w:left w:val="none" w:sz="0" w:space="0" w:color="auto"/>
                            <w:bottom w:val="none" w:sz="0" w:space="0" w:color="auto"/>
                            <w:right w:val="none" w:sz="0" w:space="0" w:color="auto"/>
                          </w:divBdr>
                          <w:divsChild>
                            <w:div w:id="16283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5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6720-autoparvadajumu-likums" TargetMode="External"/><Relationship Id="rId13" Type="http://schemas.openxmlformats.org/officeDocument/2006/relationships/hyperlink" Target="http://likumi.lv/ta/id/274865-celu-satiksmes-noteikumi" TargetMode="External"/><Relationship Id="rId18" Type="http://schemas.openxmlformats.org/officeDocument/2006/relationships/hyperlink" Target="mailto:arta.tupina@vp.gov.lv"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kumi.lv/ta/id/274865-celu-satiksmes-noteikumi" TargetMode="External"/><Relationship Id="rId17" Type="http://schemas.openxmlformats.org/officeDocument/2006/relationships/hyperlink" Target="http://www.iem.gov.lv" TargetMode="External"/><Relationship Id="rId2" Type="http://schemas.openxmlformats.org/officeDocument/2006/relationships/styles" Target="styles.xml"/><Relationship Id="rId16" Type="http://schemas.openxmlformats.org/officeDocument/2006/relationships/hyperlink" Target="https://likumi.lv/ta/id/274865-celu-satiksmes-noteikum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ta/id/274865-celu-satiksmes-noteikumi" TargetMode="External"/><Relationship Id="rId5" Type="http://schemas.openxmlformats.org/officeDocument/2006/relationships/webSettings" Target="webSettings.xml"/><Relationship Id="rId15" Type="http://schemas.openxmlformats.org/officeDocument/2006/relationships/hyperlink" Target="https://likumi.lv/ta/id/274865-celu-satiksmes-noteikumi" TargetMode="External"/><Relationship Id="rId23" Type="http://schemas.openxmlformats.org/officeDocument/2006/relationships/theme" Target="theme/theme1.xml"/><Relationship Id="rId10" Type="http://schemas.openxmlformats.org/officeDocument/2006/relationships/hyperlink" Target="http://likumi.lv/ta/id/89648-latvijas-administrativo-parkapumu-kodekss/redakcijas-datums/2011/01/0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21370-grozijumi-latvijas-administrativo-parkapumu-kodeksa" TargetMode="External"/><Relationship Id="rId14" Type="http://schemas.openxmlformats.org/officeDocument/2006/relationships/hyperlink" Target="https://likumi.lv/ta/id/274865-celu-satiksmes-noteikum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2589</Words>
  <Characters>19627</Characters>
  <Application>Microsoft Office Word</Application>
  <DocSecurity>0</DocSecurity>
  <Lines>163</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 Grozījumi Ceļu satiksmes likumā” sākotnējās ietekmes novērtējuma ziņojums (anotācija)</vt:lpstr>
      <vt:lpstr>Likumprojekta „ Grozījumi Ceļu satiksmes likumā” sākotnējās ietekmes novērtējuma ziņojums (anotācija)</vt:lpstr>
    </vt:vector>
  </TitlesOfParts>
  <Company>Valsts policija</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Grozījumi Ceļu satiksmes likumā” sākotnējās ietekmes novērtējuma ziņojums (anotācija)</dc:title>
  <dc:creator>Arta Tupiņa</dc:creator>
  <cp:lastModifiedBy>Arta Tupiņa</cp:lastModifiedBy>
  <cp:revision>14</cp:revision>
  <cp:lastPrinted>2017-04-03T08:07:00Z</cp:lastPrinted>
  <dcterms:created xsi:type="dcterms:W3CDTF">2017-02-13T08:57:00Z</dcterms:created>
  <dcterms:modified xsi:type="dcterms:W3CDTF">2017-04-20T06:14:00Z</dcterms:modified>
</cp:coreProperties>
</file>