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F6" w:rsidRPr="00DE0915" w:rsidRDefault="00A7073B" w:rsidP="00DE0915">
      <w:pPr>
        <w:jc w:val="center"/>
        <w:rPr>
          <w:b/>
          <w:bCs/>
          <w:color w:val="000000"/>
          <w:szCs w:val="28"/>
          <w:lang w:eastAsia="lv-LV"/>
        </w:rPr>
      </w:pPr>
      <w:r>
        <w:rPr>
          <w:b/>
          <w:bCs/>
          <w:color w:val="000000"/>
          <w:szCs w:val="28"/>
          <w:lang w:eastAsia="lv-LV"/>
        </w:rPr>
        <w:t>Ministru kabineta noteikumu projekta</w:t>
      </w:r>
      <w:r w:rsidR="009A22F6" w:rsidRPr="00DE0915">
        <w:rPr>
          <w:b/>
          <w:bCs/>
          <w:color w:val="000000"/>
          <w:szCs w:val="28"/>
          <w:lang w:eastAsia="lv-LV"/>
        </w:rPr>
        <w:t xml:space="preserve"> „</w:t>
      </w:r>
      <w:r w:rsidRPr="00A7073B">
        <w:rPr>
          <w:b/>
          <w:bCs/>
          <w:color w:val="000000"/>
          <w:szCs w:val="28"/>
          <w:lang w:eastAsia="lv-LV"/>
        </w:rPr>
        <w:t>Gr</w:t>
      </w:r>
      <w:r>
        <w:rPr>
          <w:b/>
          <w:bCs/>
          <w:color w:val="000000"/>
          <w:szCs w:val="28"/>
          <w:lang w:eastAsia="lv-LV"/>
        </w:rPr>
        <w:t>ozījum</w:t>
      </w:r>
      <w:r w:rsidR="00701820">
        <w:rPr>
          <w:b/>
          <w:bCs/>
          <w:color w:val="000000"/>
          <w:szCs w:val="28"/>
          <w:lang w:eastAsia="lv-LV"/>
        </w:rPr>
        <w:t>s</w:t>
      </w:r>
      <w:r>
        <w:rPr>
          <w:b/>
          <w:bCs/>
          <w:color w:val="000000"/>
          <w:szCs w:val="28"/>
          <w:lang w:eastAsia="lv-LV"/>
        </w:rPr>
        <w:t xml:space="preserve"> Ministru kabineta 2010. </w:t>
      </w:r>
      <w:r w:rsidRPr="00A7073B">
        <w:rPr>
          <w:b/>
          <w:bCs/>
          <w:color w:val="000000"/>
          <w:szCs w:val="28"/>
          <w:lang w:eastAsia="lv-LV"/>
        </w:rPr>
        <w:t>gada 6.</w:t>
      </w:r>
      <w:r>
        <w:rPr>
          <w:b/>
          <w:bCs/>
          <w:color w:val="000000"/>
          <w:szCs w:val="28"/>
          <w:lang w:eastAsia="lv-LV"/>
        </w:rPr>
        <w:t> aprīļa noteikumos Nr. </w:t>
      </w:r>
      <w:r w:rsidRPr="00A7073B">
        <w:rPr>
          <w:b/>
          <w:bCs/>
          <w:color w:val="000000"/>
          <w:szCs w:val="28"/>
          <w:lang w:eastAsia="lv-LV"/>
        </w:rPr>
        <w:t>343 „Noteikumi par lielgabarīta un smagsvara pārvadājumiem”</w:t>
      </w:r>
      <w:r w:rsidR="009A22F6" w:rsidRPr="00DE0915">
        <w:rPr>
          <w:b/>
          <w:bCs/>
          <w:color w:val="000000"/>
          <w:szCs w:val="28"/>
          <w:lang w:eastAsia="lv-LV"/>
        </w:rPr>
        <w:t>” sākotnējās ietekmes novērtējuma ziņojums (anotācija)</w:t>
      </w:r>
    </w:p>
    <w:p w:rsidR="009A22F6" w:rsidRPr="00DE0915" w:rsidRDefault="009A22F6" w:rsidP="00DE0915">
      <w:pPr>
        <w:shd w:val="clear" w:color="auto" w:fill="FFFFFF"/>
        <w:spacing w:before="45" w:line="248" w:lineRule="atLeast"/>
        <w:ind w:firstLine="300"/>
        <w:jc w:val="center"/>
        <w:rPr>
          <w:iCs/>
          <w:color w:val="000000"/>
          <w:sz w:val="24"/>
          <w:szCs w:val="24"/>
          <w:lang w:eastAsia="lv-LV"/>
        </w:rPr>
      </w:pPr>
    </w:p>
    <w:p w:rsidR="009A22F6" w:rsidRPr="00DE0915" w:rsidRDefault="009A22F6" w:rsidP="00DE0915">
      <w:pPr>
        <w:shd w:val="clear" w:color="auto" w:fill="FFFFFF"/>
        <w:spacing w:before="45" w:line="248" w:lineRule="atLeast"/>
        <w:ind w:firstLine="300"/>
        <w:jc w:val="center"/>
        <w:rPr>
          <w:iCs/>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0"/>
        <w:gridCol w:w="2253"/>
        <w:gridCol w:w="6955"/>
      </w:tblGrid>
      <w:tr w:rsidR="009A22F6" w:rsidRPr="00B2758C" w:rsidTr="007D7602">
        <w:trPr>
          <w:trHeight w:val="405"/>
        </w:trPr>
        <w:tc>
          <w:tcPr>
            <w:tcW w:w="5000" w:type="pct"/>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t>I</w:t>
            </w:r>
            <w:r w:rsidR="009F7AA2">
              <w:rPr>
                <w:b/>
                <w:bCs/>
                <w:color w:val="000000"/>
                <w:szCs w:val="28"/>
                <w:lang w:eastAsia="lv-LV"/>
              </w:rPr>
              <w:t>.</w:t>
            </w:r>
            <w:r w:rsidR="009A22F6" w:rsidRPr="008B42C6">
              <w:rPr>
                <w:b/>
                <w:bCs/>
                <w:color w:val="000000"/>
                <w:szCs w:val="28"/>
                <w:lang w:eastAsia="lv-LV"/>
              </w:rPr>
              <w:t xml:space="preserve"> Tiesību akta projekta izstrādes nepieciešamība</w:t>
            </w:r>
          </w:p>
        </w:tc>
      </w:tr>
      <w:tr w:rsidR="009A22F6" w:rsidRPr="00B2758C" w:rsidTr="00F30BAF">
        <w:trPr>
          <w:trHeight w:val="405"/>
        </w:trPr>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1.</w:t>
            </w:r>
          </w:p>
        </w:tc>
        <w:tc>
          <w:tcPr>
            <w:tcW w:w="1164"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Pamatojums</w:t>
            </w:r>
          </w:p>
        </w:tc>
        <w:tc>
          <w:tcPr>
            <w:tcW w:w="3593" w:type="pct"/>
            <w:tcBorders>
              <w:top w:val="outset" w:sz="6" w:space="0" w:color="414142"/>
              <w:left w:val="outset" w:sz="6" w:space="0" w:color="414142"/>
              <w:bottom w:val="outset" w:sz="6" w:space="0" w:color="414142"/>
            </w:tcBorders>
          </w:tcPr>
          <w:p w:rsidR="00DE1F89" w:rsidRPr="008B42C6" w:rsidRDefault="00A7073B" w:rsidP="00D77D46">
            <w:pPr>
              <w:ind w:firstLine="682"/>
              <w:jc w:val="both"/>
              <w:rPr>
                <w:color w:val="000000"/>
                <w:szCs w:val="28"/>
                <w:lang w:eastAsia="lv-LV"/>
              </w:rPr>
            </w:pPr>
            <w:r w:rsidRPr="00A7073B">
              <w:rPr>
                <w:color w:val="000000"/>
                <w:szCs w:val="28"/>
                <w:lang w:eastAsia="lv-LV"/>
              </w:rPr>
              <w:t>Ministru kabineta noteikumu projekt</w:t>
            </w:r>
            <w:r>
              <w:rPr>
                <w:color w:val="000000"/>
                <w:szCs w:val="28"/>
                <w:lang w:eastAsia="lv-LV"/>
              </w:rPr>
              <w:t>s</w:t>
            </w:r>
            <w:r w:rsidRPr="00A7073B">
              <w:rPr>
                <w:color w:val="000000"/>
                <w:szCs w:val="28"/>
                <w:lang w:eastAsia="lv-LV"/>
              </w:rPr>
              <w:t xml:space="preserve"> „Grozījums Ministru kabineta 2010.</w:t>
            </w:r>
            <w:r>
              <w:rPr>
                <w:color w:val="000000"/>
                <w:szCs w:val="28"/>
                <w:lang w:eastAsia="lv-LV"/>
              </w:rPr>
              <w:t> gada 6. </w:t>
            </w:r>
            <w:r w:rsidRPr="00A7073B">
              <w:rPr>
                <w:color w:val="000000"/>
                <w:szCs w:val="28"/>
                <w:lang w:eastAsia="lv-LV"/>
              </w:rPr>
              <w:t>aprīļa noteikumos Nr.</w:t>
            </w:r>
            <w:r>
              <w:rPr>
                <w:color w:val="000000"/>
                <w:szCs w:val="28"/>
                <w:lang w:eastAsia="lv-LV"/>
              </w:rPr>
              <w:t> </w:t>
            </w:r>
            <w:r w:rsidRPr="00A7073B">
              <w:rPr>
                <w:color w:val="000000"/>
                <w:szCs w:val="28"/>
                <w:lang w:eastAsia="lv-LV"/>
              </w:rPr>
              <w:t xml:space="preserve">343 „Noteikumi par lielgabarīta un smagsvara pārvadājumiem”” </w:t>
            </w:r>
            <w:r w:rsidR="00843472">
              <w:rPr>
                <w:color w:val="000000"/>
                <w:szCs w:val="28"/>
                <w:lang w:eastAsia="lv-LV"/>
              </w:rPr>
              <w:t xml:space="preserve">(turpmāk – projekts) </w:t>
            </w:r>
            <w:r w:rsidR="009E5FCB">
              <w:rPr>
                <w:color w:val="000000"/>
                <w:szCs w:val="28"/>
                <w:lang w:eastAsia="lv-LV"/>
              </w:rPr>
              <w:t xml:space="preserve">izstrādāts </w:t>
            </w:r>
            <w:r>
              <w:rPr>
                <w:color w:val="000000"/>
                <w:szCs w:val="28"/>
                <w:lang w:eastAsia="lv-LV"/>
              </w:rPr>
              <w:t>atbilstoši Ministru kabineta 2016. gada 9</w:t>
            </w:r>
            <w:r w:rsidRPr="009E5FCB">
              <w:rPr>
                <w:color w:val="000000"/>
                <w:szCs w:val="28"/>
                <w:lang w:eastAsia="lv-LV"/>
              </w:rPr>
              <w:t>.</w:t>
            </w:r>
            <w:r>
              <w:rPr>
                <w:color w:val="000000"/>
                <w:szCs w:val="28"/>
                <w:lang w:eastAsia="lv-LV"/>
              </w:rPr>
              <w:t> augusta</w:t>
            </w:r>
            <w:r w:rsidRPr="009E5FCB">
              <w:rPr>
                <w:color w:val="000000"/>
                <w:szCs w:val="28"/>
                <w:lang w:eastAsia="lv-LV"/>
              </w:rPr>
              <w:t xml:space="preserve"> sēdes protoko</w:t>
            </w:r>
            <w:r>
              <w:rPr>
                <w:color w:val="000000"/>
                <w:szCs w:val="28"/>
                <w:lang w:eastAsia="lv-LV"/>
              </w:rPr>
              <w:t>l</w:t>
            </w:r>
            <w:r w:rsidR="00D77D46">
              <w:rPr>
                <w:color w:val="000000"/>
                <w:szCs w:val="28"/>
                <w:lang w:eastAsia="lv-LV"/>
              </w:rPr>
              <w:t>lēmuma</w:t>
            </w:r>
            <w:bookmarkStart w:id="0" w:name="_GoBack"/>
            <w:bookmarkEnd w:id="0"/>
            <w:r>
              <w:rPr>
                <w:color w:val="000000"/>
                <w:szCs w:val="28"/>
                <w:lang w:eastAsia="lv-LV"/>
              </w:rPr>
              <w:t xml:space="preserve"> (prot. Nr. 39 47.§) 3.3. apakšpunktam, saskaņā ar kuru</w:t>
            </w:r>
            <w:r w:rsidRPr="009E5FCB">
              <w:rPr>
                <w:color w:val="000000"/>
                <w:szCs w:val="28"/>
                <w:lang w:eastAsia="lv-LV"/>
              </w:rPr>
              <w:t xml:space="preserve"> Satiksmes ministrijai </w:t>
            </w:r>
            <w:r w:rsidR="006D5CE3">
              <w:rPr>
                <w:color w:val="000000"/>
                <w:szCs w:val="28"/>
                <w:lang w:eastAsia="lv-LV"/>
              </w:rPr>
              <w:t xml:space="preserve">sadarbībā ar Finanšu ministriju </w:t>
            </w:r>
            <w:r w:rsidRPr="009E5FCB">
              <w:rPr>
                <w:color w:val="000000"/>
                <w:szCs w:val="28"/>
                <w:lang w:eastAsia="lv-LV"/>
              </w:rPr>
              <w:t>uzdots</w:t>
            </w:r>
            <w:r>
              <w:rPr>
                <w:color w:val="000000"/>
                <w:szCs w:val="28"/>
                <w:lang w:eastAsia="lv-LV"/>
              </w:rPr>
              <w:t xml:space="preserve"> izstrādāt </w:t>
            </w:r>
            <w:r w:rsidRPr="00DE1F89">
              <w:rPr>
                <w:color w:val="000000"/>
                <w:szCs w:val="28"/>
                <w:lang w:eastAsia="lv-LV"/>
              </w:rPr>
              <w:t>grozījumus</w:t>
            </w:r>
            <w:r>
              <w:rPr>
                <w:color w:val="000000"/>
                <w:szCs w:val="28"/>
                <w:lang w:eastAsia="lv-LV"/>
              </w:rPr>
              <w:t xml:space="preserve"> </w:t>
            </w:r>
            <w:r w:rsidRPr="00A7073B">
              <w:rPr>
                <w:color w:val="000000"/>
                <w:szCs w:val="28"/>
                <w:lang w:eastAsia="lv-LV"/>
              </w:rPr>
              <w:t>Ministru kabineta 2010.</w:t>
            </w:r>
            <w:r>
              <w:rPr>
                <w:color w:val="000000"/>
                <w:szCs w:val="28"/>
                <w:lang w:eastAsia="lv-LV"/>
              </w:rPr>
              <w:t> </w:t>
            </w:r>
            <w:r w:rsidRPr="00A7073B">
              <w:rPr>
                <w:color w:val="000000"/>
                <w:szCs w:val="28"/>
                <w:lang w:eastAsia="lv-LV"/>
              </w:rPr>
              <w:t>gada 6.</w:t>
            </w:r>
            <w:r>
              <w:rPr>
                <w:color w:val="000000"/>
                <w:szCs w:val="28"/>
                <w:lang w:eastAsia="lv-LV"/>
              </w:rPr>
              <w:t> </w:t>
            </w:r>
            <w:r w:rsidRPr="00A7073B">
              <w:rPr>
                <w:color w:val="000000"/>
                <w:szCs w:val="28"/>
                <w:lang w:eastAsia="lv-LV"/>
              </w:rPr>
              <w:t>aprīļa noteikumos Nr.</w:t>
            </w:r>
            <w:r>
              <w:rPr>
                <w:color w:val="000000"/>
                <w:szCs w:val="28"/>
                <w:lang w:eastAsia="lv-LV"/>
              </w:rPr>
              <w:t> 343 “</w:t>
            </w:r>
            <w:r w:rsidRPr="00A7073B">
              <w:rPr>
                <w:color w:val="000000"/>
                <w:szCs w:val="28"/>
                <w:lang w:eastAsia="lv-LV"/>
              </w:rPr>
              <w:t>Noteikumi par lielgaba</w:t>
            </w:r>
            <w:r>
              <w:rPr>
                <w:color w:val="000000"/>
                <w:szCs w:val="28"/>
                <w:lang w:eastAsia="lv-LV"/>
              </w:rPr>
              <w:t>rīta un smagsvara pārvadājumiem”</w:t>
            </w:r>
            <w:r w:rsidR="009B40CD">
              <w:rPr>
                <w:color w:val="000000"/>
                <w:szCs w:val="28"/>
                <w:lang w:eastAsia="lv-LV"/>
              </w:rPr>
              <w:t xml:space="preserve"> (</w:t>
            </w:r>
            <w:r w:rsidR="009B40CD" w:rsidRPr="00A7073B">
              <w:rPr>
                <w:szCs w:val="28"/>
                <w:lang w:eastAsia="lv-LV"/>
              </w:rPr>
              <w:t>turpmāk – Noteikumi Nr. 343)</w:t>
            </w:r>
            <w:r w:rsidRPr="00A7073B">
              <w:rPr>
                <w:color w:val="000000"/>
                <w:szCs w:val="28"/>
                <w:lang w:eastAsia="lv-LV"/>
              </w:rPr>
              <w:t>, nosakot, ka atļaujas dalāmu kokmateriālu un lauksaimniecības produkcijas lielgabarīta un smagsvara kravu pārvadāšanai ar specializētiem lielgabarīta un smagsvara transportlīdzekļiem tiek izsniegtas uz noteiktu laiku.</w:t>
            </w:r>
          </w:p>
        </w:tc>
      </w:tr>
      <w:tr w:rsidR="009A22F6" w:rsidRPr="00B2758C" w:rsidTr="00F30BAF">
        <w:trPr>
          <w:trHeight w:val="465"/>
        </w:trPr>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2.</w:t>
            </w:r>
          </w:p>
        </w:tc>
        <w:tc>
          <w:tcPr>
            <w:tcW w:w="1164"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Pašreizējā situācija un problēmas, kuru risināšanai tiesību akta projekts izstrādāts, tiesiskā regulējuma mērķis un būtība</w:t>
            </w:r>
          </w:p>
        </w:tc>
        <w:tc>
          <w:tcPr>
            <w:tcW w:w="3593" w:type="pct"/>
            <w:tcBorders>
              <w:top w:val="outset" w:sz="6" w:space="0" w:color="414142"/>
              <w:left w:val="outset" w:sz="6" w:space="0" w:color="414142"/>
              <w:bottom w:val="outset" w:sz="6" w:space="0" w:color="414142"/>
            </w:tcBorders>
          </w:tcPr>
          <w:p w:rsidR="00A7073B" w:rsidRPr="00A7073B" w:rsidRDefault="00A7073B" w:rsidP="00A7073B">
            <w:pPr>
              <w:ind w:firstLine="709"/>
              <w:jc w:val="both"/>
              <w:rPr>
                <w:szCs w:val="28"/>
                <w:lang w:eastAsia="lv-LV"/>
              </w:rPr>
            </w:pPr>
            <w:r w:rsidRPr="00A7073B">
              <w:rPr>
                <w:szCs w:val="28"/>
                <w:lang w:eastAsia="lv-LV"/>
              </w:rPr>
              <w:t xml:space="preserve">Saskaņā ar </w:t>
            </w:r>
            <w:r w:rsidR="009B40CD">
              <w:rPr>
                <w:szCs w:val="28"/>
                <w:lang w:eastAsia="lv-LV"/>
              </w:rPr>
              <w:t>N</w:t>
            </w:r>
            <w:r w:rsidRPr="00A7073B">
              <w:rPr>
                <w:szCs w:val="28"/>
                <w:lang w:eastAsia="lv-LV"/>
              </w:rPr>
              <w:t xml:space="preserve">oteikumu Nr. 343 36. punktu </w:t>
            </w:r>
            <w:r>
              <w:rPr>
                <w:szCs w:val="28"/>
                <w:lang w:eastAsia="lv-LV"/>
              </w:rPr>
              <w:t>a</w:t>
            </w:r>
            <w:r w:rsidRPr="00A7073B">
              <w:rPr>
                <w:szCs w:val="28"/>
                <w:lang w:eastAsia="lv-LV"/>
              </w:rPr>
              <w:t>tļaujas dalāmu kokmateriālu un lauksaimniecības produkcijas lielgabarīta un smagsvara kravu pārvadāšanai ar specializētajiem lielgabarīta un smagsvara transportlīdzekļiem uz noteiktu laiku (līdz 12 mēnešiem) izsniedz, pamatojoties uz sertifikātu, ja mehāniskais transportlīdzeklis vai tā sastāvs kopā ar kravu atbilst šādiem nosacījumiem:</w:t>
            </w:r>
          </w:p>
          <w:p w:rsidR="00A7073B" w:rsidRPr="00A7073B" w:rsidRDefault="00A7073B" w:rsidP="00A7073B">
            <w:pPr>
              <w:ind w:firstLine="709"/>
              <w:jc w:val="both"/>
              <w:rPr>
                <w:szCs w:val="28"/>
                <w:lang w:eastAsia="lv-LV"/>
              </w:rPr>
            </w:pPr>
            <w:r w:rsidRPr="00A7073B">
              <w:rPr>
                <w:szCs w:val="28"/>
                <w:lang w:eastAsia="lv-LV"/>
              </w:rPr>
              <w:t>1) faktiskā masa nepārsniedz 52 t;</w:t>
            </w:r>
          </w:p>
          <w:p w:rsidR="00A7073B" w:rsidRPr="00A7073B" w:rsidRDefault="00A7073B" w:rsidP="00A7073B">
            <w:pPr>
              <w:ind w:firstLine="709"/>
              <w:jc w:val="both"/>
              <w:rPr>
                <w:szCs w:val="28"/>
                <w:lang w:eastAsia="lv-LV"/>
              </w:rPr>
            </w:pPr>
            <w:r w:rsidRPr="00A7073B">
              <w:rPr>
                <w:szCs w:val="28"/>
                <w:lang w:eastAsia="lv-LV"/>
              </w:rPr>
              <w:t>2) faktiskā maksimālā ass slodze atbi</w:t>
            </w:r>
            <w:r>
              <w:rPr>
                <w:szCs w:val="28"/>
                <w:lang w:eastAsia="lv-LV"/>
              </w:rPr>
              <w:t>lst Ceļu satiksmes noteikumu 2. </w:t>
            </w:r>
            <w:r w:rsidRPr="00A7073B">
              <w:rPr>
                <w:szCs w:val="28"/>
                <w:lang w:eastAsia="lv-LV"/>
              </w:rPr>
              <w:t>pielikumā minētajiem lielumiem;</w:t>
            </w:r>
          </w:p>
          <w:p w:rsidR="00A7073B" w:rsidRPr="00A7073B" w:rsidRDefault="00A7073B" w:rsidP="00A7073B">
            <w:pPr>
              <w:ind w:firstLine="709"/>
              <w:jc w:val="both"/>
              <w:rPr>
                <w:szCs w:val="28"/>
                <w:lang w:eastAsia="lv-LV"/>
              </w:rPr>
            </w:pPr>
            <w:r w:rsidRPr="00A7073B">
              <w:rPr>
                <w:szCs w:val="28"/>
                <w:lang w:eastAsia="lv-LV"/>
              </w:rPr>
              <w:t xml:space="preserve">3) kopējais garums atbilst </w:t>
            </w:r>
            <w:r>
              <w:rPr>
                <w:szCs w:val="28"/>
                <w:lang w:eastAsia="lv-LV"/>
              </w:rPr>
              <w:t>Ceļu satiksmes noteikumu 2. </w:t>
            </w:r>
            <w:r w:rsidRPr="00A7073B">
              <w:rPr>
                <w:szCs w:val="28"/>
                <w:lang w:eastAsia="lv-LV"/>
              </w:rPr>
              <w:t>pielikumā minētajiem lielumiem, izņemot gadījumus, ja transportlīdzeklis veic nedalāmu (garumā nesadalītu) kokmateriālu pārvadājumu, – tad pieļaujamais transportlīdzekļa garums nedrīkst pārsniegt 22 m;</w:t>
            </w:r>
          </w:p>
          <w:p w:rsidR="00A7073B" w:rsidRPr="00A7073B" w:rsidRDefault="00A7073B" w:rsidP="00A7073B">
            <w:pPr>
              <w:ind w:firstLine="709"/>
              <w:jc w:val="both"/>
              <w:rPr>
                <w:szCs w:val="28"/>
                <w:lang w:eastAsia="lv-LV"/>
              </w:rPr>
            </w:pPr>
            <w:r w:rsidRPr="00A7073B">
              <w:rPr>
                <w:szCs w:val="28"/>
                <w:lang w:eastAsia="lv-LV"/>
              </w:rPr>
              <w:t>4) platums atbilst Ceļu satiksmes noteikumu 2.</w:t>
            </w:r>
            <w:r w:rsidR="005A0B95">
              <w:rPr>
                <w:szCs w:val="28"/>
                <w:lang w:eastAsia="lv-LV"/>
              </w:rPr>
              <w:t> </w:t>
            </w:r>
            <w:r w:rsidRPr="00A7073B">
              <w:rPr>
                <w:szCs w:val="28"/>
                <w:lang w:eastAsia="lv-LV"/>
              </w:rPr>
              <w:t>pielikumā minētajiem lielumiem;</w:t>
            </w:r>
          </w:p>
          <w:p w:rsidR="00A7073B" w:rsidRDefault="00A7073B" w:rsidP="00A7073B">
            <w:pPr>
              <w:ind w:firstLine="709"/>
              <w:jc w:val="both"/>
              <w:rPr>
                <w:szCs w:val="28"/>
                <w:lang w:eastAsia="lv-LV"/>
              </w:rPr>
            </w:pPr>
            <w:r w:rsidRPr="00A7073B">
              <w:rPr>
                <w:szCs w:val="28"/>
                <w:lang w:eastAsia="lv-LV"/>
              </w:rPr>
              <w:t>5) augstums no brauktuves virsmas nepārsniedz 4,20</w:t>
            </w:r>
            <w:r w:rsidR="005A0B95">
              <w:rPr>
                <w:szCs w:val="28"/>
                <w:lang w:eastAsia="lv-LV"/>
              </w:rPr>
              <w:t> </w:t>
            </w:r>
            <w:r w:rsidRPr="00A7073B">
              <w:rPr>
                <w:szCs w:val="28"/>
                <w:lang w:eastAsia="lv-LV"/>
              </w:rPr>
              <w:t>m</w:t>
            </w:r>
            <w:r w:rsidR="00F4556C">
              <w:rPr>
                <w:szCs w:val="28"/>
                <w:lang w:eastAsia="lv-LV"/>
              </w:rPr>
              <w:t>.</w:t>
            </w:r>
          </w:p>
          <w:p w:rsidR="00042814" w:rsidRDefault="0078679D" w:rsidP="00A7073B">
            <w:pPr>
              <w:ind w:firstLine="709"/>
              <w:jc w:val="both"/>
              <w:rPr>
                <w:szCs w:val="28"/>
                <w:lang w:eastAsia="lv-LV"/>
              </w:rPr>
            </w:pPr>
            <w:r>
              <w:rPr>
                <w:rFonts w:eastAsia="Times New Roman"/>
                <w:szCs w:val="28"/>
                <w:lang w:eastAsia="lv-LV"/>
              </w:rPr>
              <w:t xml:space="preserve">Iespēja izsniegt atļauju </w:t>
            </w:r>
            <w:r w:rsidRPr="00A7073B">
              <w:rPr>
                <w:szCs w:val="28"/>
                <w:lang w:eastAsia="lv-LV"/>
              </w:rPr>
              <w:t xml:space="preserve">lielgabarīta un smagsvara </w:t>
            </w:r>
            <w:r w:rsidRPr="00A7073B">
              <w:rPr>
                <w:szCs w:val="28"/>
                <w:lang w:eastAsia="lv-LV"/>
              </w:rPr>
              <w:lastRenderedPageBreak/>
              <w:t>kravu pārvadāšanai</w:t>
            </w:r>
            <w:r>
              <w:rPr>
                <w:szCs w:val="28"/>
                <w:lang w:eastAsia="lv-LV"/>
              </w:rPr>
              <w:t xml:space="preserve"> </w:t>
            </w:r>
            <w:r w:rsidRPr="00A7073B">
              <w:rPr>
                <w:szCs w:val="28"/>
                <w:lang w:eastAsia="lv-LV"/>
              </w:rPr>
              <w:t>uz noteiktu laiku (līdz 12 mēnešiem)</w:t>
            </w:r>
            <w:r>
              <w:rPr>
                <w:szCs w:val="28"/>
                <w:lang w:eastAsia="lv-LV"/>
              </w:rPr>
              <w:t xml:space="preserve"> paredzēta arī Noteikumu Nr. 343 9.punktā (j</w:t>
            </w:r>
            <w:r w:rsidRPr="0078679D">
              <w:rPr>
                <w:szCs w:val="28"/>
                <w:lang w:eastAsia="lv-LV"/>
              </w:rPr>
              <w:t>a transportlīdzeklim saskaņā ar veicamo darbu specifiku nepieciešams pārvadājumu veikt bieži un atkārtoti</w:t>
            </w:r>
            <w:r>
              <w:rPr>
                <w:szCs w:val="28"/>
                <w:lang w:eastAsia="lv-LV"/>
              </w:rPr>
              <w:t>) un 40</w:t>
            </w:r>
            <w:r w:rsidR="00551133">
              <w:rPr>
                <w:szCs w:val="28"/>
                <w:lang w:eastAsia="lv-LV"/>
              </w:rPr>
              <w:t>.</w:t>
            </w:r>
            <w:r w:rsidR="004D4890">
              <w:rPr>
                <w:szCs w:val="28"/>
                <w:lang w:eastAsia="lv-LV"/>
              </w:rPr>
              <w:t> </w:t>
            </w:r>
            <w:r>
              <w:rPr>
                <w:szCs w:val="28"/>
                <w:lang w:eastAsia="lv-LV"/>
              </w:rPr>
              <w:t>punktā (</w:t>
            </w:r>
            <w:r w:rsidRPr="0078679D">
              <w:rPr>
                <w:szCs w:val="28"/>
                <w:lang w:eastAsia="lv-LV"/>
              </w:rPr>
              <w:t>dolomīta akmens un cementa lielgabarīta un smagsvara kravu pārvadāšanai ar lielgabarīta un smagsvara transportlīdzekļiem</w:t>
            </w:r>
            <w:r>
              <w:rPr>
                <w:szCs w:val="28"/>
                <w:lang w:eastAsia="lv-LV"/>
              </w:rPr>
              <w:t xml:space="preserve">). </w:t>
            </w:r>
          </w:p>
          <w:p w:rsidR="00D44D84" w:rsidRDefault="009B40CD" w:rsidP="009B40CD">
            <w:pPr>
              <w:ind w:firstLine="720"/>
              <w:jc w:val="both"/>
              <w:rPr>
                <w:szCs w:val="28"/>
              </w:rPr>
            </w:pPr>
            <w:r w:rsidRPr="009E5FCB">
              <w:rPr>
                <w:szCs w:val="28"/>
              </w:rPr>
              <w:t xml:space="preserve">Valsts policija, veicot kontroles, ir konstatējusi, ka aptuveni </w:t>
            </w:r>
            <w:r w:rsidRPr="009B40CD">
              <w:rPr>
                <w:bCs/>
                <w:szCs w:val="28"/>
              </w:rPr>
              <w:t>16%</w:t>
            </w:r>
            <w:r w:rsidRPr="009E5FCB">
              <w:rPr>
                <w:szCs w:val="28"/>
              </w:rPr>
              <w:t xml:space="preserve"> gadījumu autoceļu lietošanas nodeva nav samaksāta normatīvajos aktos noteiktajā kārtībā, kas ir būtisks pārkāpumu skaits. Turklāt ir konstatējams recidīvs un daļa autovadītāju ir sodīti pat 3 un 4 reizes. Kontroļu rezultāti parāda, ka nodevas apmaksu pārsvarā neveic vietējie pārvadātāji (aptuveni 4 reizes biežāk nekā ārvalstu pārvadātāji). Satiksmes ministrijas eksperti, veicot valsts autoceļu ikdienas uzturēšanas darbu pārbaudes visā Latvijas teritorijā, ir pārbaudījuši autoceļu lietošanas nodevas nomaksu uz valsts galvenajiem autoceļiem un konstatējuši, ka liela daļa autovadītāju, it sevišķi attālāk no Rīgas, nav </w:t>
            </w:r>
            <w:r>
              <w:rPr>
                <w:szCs w:val="28"/>
              </w:rPr>
              <w:t>samaksājuši</w:t>
            </w:r>
            <w:r w:rsidRPr="009E5FCB">
              <w:rPr>
                <w:szCs w:val="28"/>
              </w:rPr>
              <w:t xml:space="preserve"> autoceļu lietošanas nodevu. Ņemot vērā, ka sods</w:t>
            </w:r>
            <w:r w:rsidR="004D4890">
              <w:rPr>
                <w:szCs w:val="28"/>
              </w:rPr>
              <w:t xml:space="preserve"> līdz 2016.gada 31.decembrim</w:t>
            </w:r>
            <w:r w:rsidRPr="009E5FCB">
              <w:rPr>
                <w:szCs w:val="28"/>
              </w:rPr>
              <w:t xml:space="preserve"> </w:t>
            </w:r>
            <w:r w:rsidR="004D4890">
              <w:rPr>
                <w:szCs w:val="28"/>
              </w:rPr>
              <w:t>bija</w:t>
            </w:r>
            <w:r w:rsidRPr="009E5FCB">
              <w:rPr>
                <w:szCs w:val="28"/>
              </w:rPr>
              <w:t xml:space="preserve"> nesamērīgi zems, ievērojama daļa autopārvadātāju </w:t>
            </w:r>
            <w:r w:rsidRPr="00865AC3">
              <w:rPr>
                <w:szCs w:val="28"/>
              </w:rPr>
              <w:t>nemaksā</w:t>
            </w:r>
            <w:r w:rsidR="001C4665">
              <w:rPr>
                <w:szCs w:val="28"/>
              </w:rPr>
              <w:t>ja</w:t>
            </w:r>
            <w:r w:rsidRPr="00865AC3">
              <w:rPr>
                <w:szCs w:val="28"/>
              </w:rPr>
              <w:t xml:space="preserve"> autoceļu lietošanas nodevu, jo </w:t>
            </w:r>
            <w:r w:rsidR="001C4665">
              <w:rPr>
                <w:szCs w:val="28"/>
              </w:rPr>
              <w:t>viņiem</w:t>
            </w:r>
            <w:r w:rsidRPr="009E5FCB">
              <w:rPr>
                <w:szCs w:val="28"/>
              </w:rPr>
              <w:t xml:space="preserve"> izdevīgāk samaksāt sodu, nekā samaksāt autoceļu lietošanas nodevu visam gadam. To pierāda</w:t>
            </w:r>
            <w:r>
              <w:rPr>
                <w:szCs w:val="28"/>
              </w:rPr>
              <w:t xml:space="preserve"> arī</w:t>
            </w:r>
            <w:r w:rsidRPr="009E5FCB">
              <w:rPr>
                <w:szCs w:val="28"/>
              </w:rPr>
              <w:t xml:space="preserve"> tas, ka 2015.</w:t>
            </w:r>
            <w:r>
              <w:rPr>
                <w:szCs w:val="28"/>
              </w:rPr>
              <w:t> </w:t>
            </w:r>
            <w:r w:rsidRPr="009E5FCB">
              <w:rPr>
                <w:szCs w:val="28"/>
              </w:rPr>
              <w:t xml:space="preserve">gadā ieņēmumi no autoceļu lietošanas nodevas bija tikai 70% no prognozētajiem, </w:t>
            </w:r>
            <w:r w:rsidR="001C4665">
              <w:rPr>
                <w:szCs w:val="28"/>
              </w:rPr>
              <w:t>2016.gadā</w:t>
            </w:r>
            <w:r w:rsidRPr="009E5FCB">
              <w:rPr>
                <w:szCs w:val="28"/>
              </w:rPr>
              <w:t xml:space="preserve"> situācijas uzlabojums </w:t>
            </w:r>
            <w:r w:rsidR="001C4665">
              <w:rPr>
                <w:szCs w:val="28"/>
              </w:rPr>
              <w:t>bija</w:t>
            </w:r>
            <w:r w:rsidRPr="009E5FCB">
              <w:rPr>
                <w:szCs w:val="28"/>
              </w:rPr>
              <w:t xml:space="preserve"> </w:t>
            </w:r>
            <w:r>
              <w:rPr>
                <w:szCs w:val="28"/>
              </w:rPr>
              <w:t>neliels</w:t>
            </w:r>
            <w:r w:rsidRPr="009E5FCB">
              <w:rPr>
                <w:szCs w:val="28"/>
              </w:rPr>
              <w:t>.</w:t>
            </w:r>
          </w:p>
          <w:p w:rsidR="0078679D" w:rsidRPr="00A7073B" w:rsidRDefault="0078679D" w:rsidP="0078679D">
            <w:pPr>
              <w:ind w:firstLine="709"/>
              <w:jc w:val="both"/>
              <w:rPr>
                <w:rFonts w:eastAsia="Times New Roman"/>
                <w:szCs w:val="28"/>
                <w:lang w:eastAsia="lv-LV"/>
              </w:rPr>
            </w:pPr>
            <w:r w:rsidRPr="00A7073B">
              <w:rPr>
                <w:rFonts w:eastAsia="Times New Roman"/>
                <w:szCs w:val="28"/>
                <w:lang w:eastAsia="lv-LV"/>
              </w:rPr>
              <w:t xml:space="preserve">Parasti </w:t>
            </w:r>
            <w:r>
              <w:rPr>
                <w:rFonts w:eastAsia="Times New Roman"/>
                <w:szCs w:val="28"/>
                <w:lang w:eastAsia="lv-LV"/>
              </w:rPr>
              <w:t xml:space="preserve">Noteikumu Nr. 343 9., 36. un 40.punktā minēto </w:t>
            </w:r>
            <w:r w:rsidRPr="00A7073B">
              <w:rPr>
                <w:rFonts w:eastAsia="Times New Roman"/>
                <w:szCs w:val="28"/>
                <w:lang w:eastAsia="lv-LV"/>
              </w:rPr>
              <w:t>lielgabarīta un smagsvara pārva</w:t>
            </w:r>
            <w:r>
              <w:rPr>
                <w:rFonts w:eastAsia="Times New Roman"/>
                <w:szCs w:val="28"/>
                <w:lang w:eastAsia="lv-LV"/>
              </w:rPr>
              <w:t>dājumu atļauju izsniedz uz gadu, tostarp</w:t>
            </w:r>
            <w:r w:rsidR="004D4890">
              <w:rPr>
                <w:rFonts w:eastAsia="Times New Roman"/>
                <w:szCs w:val="28"/>
                <w:lang w:eastAsia="lv-LV"/>
              </w:rPr>
              <w:t>, lai pārvietotos</w:t>
            </w:r>
            <w:r>
              <w:rPr>
                <w:rFonts w:eastAsia="Times New Roman"/>
                <w:szCs w:val="28"/>
                <w:lang w:eastAsia="lv-LV"/>
              </w:rPr>
              <w:t xml:space="preserve"> </w:t>
            </w:r>
            <w:r w:rsidRPr="00A7073B">
              <w:rPr>
                <w:rFonts w:eastAsia="Times New Roman"/>
                <w:szCs w:val="28"/>
                <w:lang w:eastAsia="lv-LV"/>
              </w:rPr>
              <w:t xml:space="preserve">arī pa tiem </w:t>
            </w:r>
            <w:r>
              <w:rPr>
                <w:rFonts w:eastAsia="Times New Roman"/>
                <w:szCs w:val="28"/>
                <w:lang w:eastAsia="lv-LV"/>
              </w:rPr>
              <w:t xml:space="preserve">valsts autoceļu </w:t>
            </w:r>
            <w:r w:rsidRPr="00A7073B">
              <w:rPr>
                <w:rFonts w:eastAsia="Times New Roman"/>
                <w:szCs w:val="28"/>
                <w:lang w:eastAsia="lv-LV"/>
              </w:rPr>
              <w:t>posmiem, par kuriem maksā</w:t>
            </w:r>
            <w:r>
              <w:rPr>
                <w:rFonts w:eastAsia="Times New Roman"/>
                <w:szCs w:val="28"/>
                <w:lang w:eastAsia="lv-LV"/>
              </w:rPr>
              <w:t>jama autoceļu lietošanas nodeva, un šo pārvadājumu specifika ir, ka tie tiek veikti regulāri.</w:t>
            </w:r>
            <w:r w:rsidR="00792493">
              <w:rPr>
                <w:rFonts w:eastAsia="Times New Roman"/>
                <w:szCs w:val="28"/>
                <w:lang w:eastAsia="lv-LV"/>
              </w:rPr>
              <w:t xml:space="preserve"> Līdz ar to, ņemot vērā minēto pārvadājumu specifiku, lielgabarīta un smagsvara atļaujas izsniegšana būtu sasaistāma ar autoceļu lietošanas nodevas samaksu ne tikai dalāmu</w:t>
            </w:r>
            <w:r w:rsidR="00792493" w:rsidRPr="00792493">
              <w:rPr>
                <w:rFonts w:eastAsia="Times New Roman"/>
                <w:szCs w:val="28"/>
                <w:lang w:eastAsia="lv-LV"/>
              </w:rPr>
              <w:t xml:space="preserve"> kokmateriālu un lauksaimniecības produkcijas lielgabarīta </w:t>
            </w:r>
            <w:r w:rsidR="00792493">
              <w:rPr>
                <w:rFonts w:eastAsia="Times New Roman"/>
                <w:szCs w:val="28"/>
                <w:lang w:eastAsia="lv-LV"/>
              </w:rPr>
              <w:t xml:space="preserve">un smagsvara kravu pārvadāšanā, bet arī </w:t>
            </w:r>
            <w:r w:rsidR="00792493">
              <w:rPr>
                <w:szCs w:val="28"/>
                <w:lang w:eastAsia="lv-LV"/>
              </w:rPr>
              <w:t xml:space="preserve">Noteikumu Nr. 343 9. </w:t>
            </w:r>
            <w:r w:rsidR="00CB397E">
              <w:rPr>
                <w:szCs w:val="28"/>
                <w:lang w:eastAsia="lv-LV"/>
              </w:rPr>
              <w:t>u</w:t>
            </w:r>
            <w:r w:rsidR="00792493">
              <w:rPr>
                <w:szCs w:val="28"/>
                <w:lang w:eastAsia="lv-LV"/>
              </w:rPr>
              <w:t>n 40.punktā minēto pārvadājumu veikšanā.</w:t>
            </w:r>
            <w:r w:rsidR="00CB397E">
              <w:rPr>
                <w:szCs w:val="28"/>
                <w:lang w:eastAsia="lv-LV"/>
              </w:rPr>
              <w:t xml:space="preserve"> </w:t>
            </w:r>
          </w:p>
          <w:p w:rsidR="004D4890" w:rsidRDefault="005A0B95" w:rsidP="005A0B95">
            <w:pPr>
              <w:ind w:firstLine="709"/>
              <w:jc w:val="both"/>
              <w:rPr>
                <w:rFonts w:eastAsia="Times New Roman"/>
                <w:szCs w:val="28"/>
                <w:lang w:eastAsia="lv-LV"/>
              </w:rPr>
            </w:pPr>
            <w:r w:rsidRPr="00A7073B">
              <w:rPr>
                <w:rFonts w:eastAsia="Times New Roman"/>
                <w:szCs w:val="28"/>
                <w:lang w:eastAsia="lv-LV"/>
              </w:rPr>
              <w:t xml:space="preserve">Līdz ar to Satiksmes ministrija </w:t>
            </w:r>
            <w:r w:rsidR="009E2387">
              <w:rPr>
                <w:rFonts w:eastAsia="Times New Roman"/>
                <w:szCs w:val="28"/>
                <w:lang w:eastAsia="lv-LV"/>
              </w:rPr>
              <w:t>ir izstrādājusi</w:t>
            </w:r>
            <w:r w:rsidRPr="00A7073B">
              <w:rPr>
                <w:rFonts w:eastAsia="Times New Roman"/>
                <w:szCs w:val="28"/>
                <w:lang w:eastAsia="lv-LV"/>
              </w:rPr>
              <w:t xml:space="preserve"> grozījumus Noteikumos Nr. 343, nosakot, ka</w:t>
            </w:r>
            <w:r w:rsidR="00792493">
              <w:rPr>
                <w:rFonts w:eastAsia="Times New Roman"/>
                <w:szCs w:val="28"/>
                <w:lang w:eastAsia="lv-LV"/>
              </w:rPr>
              <w:t xml:space="preserve"> </w:t>
            </w:r>
            <w:r w:rsidRPr="00A7073B">
              <w:rPr>
                <w:rFonts w:eastAsia="Times New Roman"/>
                <w:szCs w:val="28"/>
                <w:lang w:eastAsia="lv-LV"/>
              </w:rPr>
              <w:t xml:space="preserve">atļaujas </w:t>
            </w:r>
            <w:r w:rsidR="00792493">
              <w:rPr>
                <w:rFonts w:eastAsia="Times New Roman"/>
                <w:szCs w:val="28"/>
                <w:lang w:eastAsia="lv-LV"/>
              </w:rPr>
              <w:t xml:space="preserve">tādu </w:t>
            </w:r>
            <w:r w:rsidRPr="00A7073B">
              <w:rPr>
                <w:rFonts w:eastAsia="Times New Roman"/>
                <w:szCs w:val="28"/>
                <w:lang w:eastAsia="lv-LV"/>
              </w:rPr>
              <w:t>lielgabarīta un smagsvara kravu pārvadāšanai</w:t>
            </w:r>
            <w:r w:rsidR="00792493">
              <w:rPr>
                <w:rFonts w:eastAsia="Times New Roman"/>
                <w:szCs w:val="28"/>
                <w:lang w:eastAsia="lv-LV"/>
              </w:rPr>
              <w:t xml:space="preserve">, kurus nepieciešams veikt regulāri, </w:t>
            </w:r>
            <w:r w:rsidRPr="00A7073B">
              <w:rPr>
                <w:rFonts w:eastAsia="Times New Roman"/>
                <w:szCs w:val="28"/>
                <w:lang w:eastAsia="lv-LV"/>
              </w:rPr>
              <w:t xml:space="preserve">izsniedz uz noteiktu laiku (līdz </w:t>
            </w:r>
            <w:r w:rsidRPr="00A7073B">
              <w:rPr>
                <w:rFonts w:eastAsia="Times New Roman"/>
                <w:szCs w:val="28"/>
                <w:lang w:eastAsia="lv-LV"/>
              </w:rPr>
              <w:lastRenderedPageBreak/>
              <w:t>12 mēnešiem, bet ne ilgāk par termiņu, līdz kuram par konkrēto transportlīdzekli ir apmaksāta autoceļu lietošanas nodeva</w:t>
            </w:r>
            <w:r>
              <w:rPr>
                <w:rFonts w:eastAsia="Times New Roman"/>
                <w:szCs w:val="28"/>
                <w:lang w:eastAsia="lv-LV"/>
              </w:rPr>
              <w:t xml:space="preserve">, </w:t>
            </w:r>
            <w:r>
              <w:rPr>
                <w:szCs w:val="28"/>
              </w:rPr>
              <w:t>ja atļaujā norādītais maršruts ietver autoceļu posmus, par kuru lietošanu maksājama autoceļu lietošanas nodeva</w:t>
            </w:r>
            <w:r w:rsidRPr="00A7073B">
              <w:rPr>
                <w:rFonts w:eastAsia="Times New Roman"/>
                <w:szCs w:val="28"/>
                <w:lang w:eastAsia="lv-LV"/>
              </w:rPr>
              <w:t>). Gadījumos, ja pārvadātājam nav nepieciešams pārvietoties pa valsts autoceļu posmiem, par kuriem maksājama autoceļu lietošanas nodeva, lielgabarīta v</w:t>
            </w:r>
            <w:r w:rsidR="00470FBE">
              <w:rPr>
                <w:rFonts w:eastAsia="Times New Roman"/>
                <w:szCs w:val="28"/>
                <w:lang w:eastAsia="lv-LV"/>
              </w:rPr>
              <w:t>ai smagsvara pārvadājumu atļaujas sadaļā “</w:t>
            </w:r>
            <w:r w:rsidR="00470FBE" w:rsidRPr="00470FBE">
              <w:rPr>
                <w:rFonts w:eastAsia="Times New Roman"/>
                <w:szCs w:val="28"/>
                <w:lang w:eastAsia="lv-LV"/>
              </w:rPr>
              <w:t>Maršruts (autoceļu (ielu) nosaukumi, autoc</w:t>
            </w:r>
            <w:r w:rsidR="00470FBE">
              <w:rPr>
                <w:rFonts w:eastAsia="Times New Roman"/>
                <w:szCs w:val="28"/>
                <w:lang w:eastAsia="lv-LV"/>
              </w:rPr>
              <w:t>eļu numuri vai vietu nosaukumi)”</w:t>
            </w:r>
            <w:r w:rsidRPr="00A7073B">
              <w:rPr>
                <w:rFonts w:eastAsia="Times New Roman"/>
                <w:szCs w:val="28"/>
                <w:lang w:eastAsia="lv-LV"/>
              </w:rPr>
              <w:t xml:space="preserve"> </w:t>
            </w:r>
            <w:r w:rsidR="00470FBE">
              <w:rPr>
                <w:rFonts w:eastAsia="Times New Roman"/>
                <w:szCs w:val="28"/>
                <w:lang w:eastAsia="lv-LV"/>
              </w:rPr>
              <w:t xml:space="preserve">tiks norādīts, </w:t>
            </w:r>
            <w:r w:rsidRPr="00A7073B">
              <w:rPr>
                <w:rFonts w:eastAsia="Times New Roman"/>
                <w:szCs w:val="28"/>
                <w:lang w:eastAsia="lv-LV"/>
              </w:rPr>
              <w:t>ka nav atļauta pārvietošanās pa šiem posmiem.</w:t>
            </w:r>
          </w:p>
          <w:p w:rsidR="005A0B95" w:rsidRDefault="004D4890" w:rsidP="005A0B95">
            <w:pPr>
              <w:ind w:firstLine="709"/>
              <w:jc w:val="both"/>
              <w:rPr>
                <w:rFonts w:eastAsia="Times New Roman"/>
                <w:szCs w:val="28"/>
                <w:lang w:eastAsia="lv-LV"/>
              </w:rPr>
            </w:pPr>
            <w:r>
              <w:rPr>
                <w:rFonts w:eastAsia="Times New Roman"/>
                <w:szCs w:val="28"/>
                <w:lang w:eastAsia="lv-LV"/>
              </w:rPr>
              <w:t>Lielgabarīta un smagsvara atļaujas</w:t>
            </w:r>
            <w:r w:rsidR="00EC7979">
              <w:rPr>
                <w:rFonts w:eastAsia="Times New Roman"/>
                <w:szCs w:val="28"/>
                <w:lang w:eastAsia="lv-LV"/>
              </w:rPr>
              <w:t xml:space="preserve"> izdošanu</w:t>
            </w:r>
            <w:r>
              <w:rPr>
                <w:rFonts w:eastAsia="Times New Roman"/>
                <w:szCs w:val="28"/>
                <w:lang w:eastAsia="lv-LV"/>
              </w:rPr>
              <w:t xml:space="preserve"> </w:t>
            </w:r>
            <w:r w:rsidR="00EC7979">
              <w:rPr>
                <w:rFonts w:eastAsia="Times New Roman"/>
                <w:szCs w:val="28"/>
                <w:lang w:eastAsia="lv-LV"/>
              </w:rPr>
              <w:t xml:space="preserve">vienreizēja pārvadājuma veikšanai </w:t>
            </w:r>
            <w:r>
              <w:rPr>
                <w:rFonts w:eastAsia="Times New Roman"/>
                <w:szCs w:val="28"/>
                <w:lang w:eastAsia="lv-LV"/>
              </w:rPr>
              <w:t xml:space="preserve">nav </w:t>
            </w:r>
            <w:r w:rsidR="00EC7979">
              <w:rPr>
                <w:rFonts w:eastAsia="Times New Roman"/>
                <w:szCs w:val="28"/>
                <w:lang w:eastAsia="lv-LV"/>
              </w:rPr>
              <w:t>samērīgi</w:t>
            </w:r>
            <w:r>
              <w:rPr>
                <w:rFonts w:eastAsia="Times New Roman"/>
                <w:szCs w:val="28"/>
                <w:lang w:eastAsia="lv-LV"/>
              </w:rPr>
              <w:t xml:space="preserve"> </w:t>
            </w:r>
            <w:r w:rsidR="00EC7979">
              <w:rPr>
                <w:rFonts w:eastAsia="Times New Roman"/>
                <w:szCs w:val="28"/>
                <w:lang w:eastAsia="lv-LV"/>
              </w:rPr>
              <w:t>sasaistīt ar autoceļu lietošanas nodevas samaksu, ņemot vērā, ka pārvadātājs, pieprasot atļauju var nezināt precīzu diennakts stundu, kad šis pārvadājums tiks veikts. Savukārt attiecībā uz transportlīdzekļiem, kuriem tiek izsniegta beztermiņa lielgabarīta un smagsvara pārvadājumu atļauja atbilstoši Noteikumu Nr. 343 10.punktam, nav iespējama prasība par autoceļu lietošanas nodevas samaksu</w:t>
            </w:r>
            <w:r w:rsidR="001C4665">
              <w:rPr>
                <w:rFonts w:eastAsia="Times New Roman"/>
                <w:szCs w:val="28"/>
                <w:lang w:eastAsia="lv-LV"/>
              </w:rPr>
              <w:t>, saņemot lielgabarīta un smagsvara pārvadājumu atļauju</w:t>
            </w:r>
            <w:r w:rsidR="00EC7979">
              <w:rPr>
                <w:rFonts w:eastAsia="Times New Roman"/>
                <w:szCs w:val="28"/>
                <w:lang w:eastAsia="lv-LV"/>
              </w:rPr>
              <w:t xml:space="preserve">, jo </w:t>
            </w:r>
            <w:r w:rsidR="001C4665">
              <w:rPr>
                <w:rFonts w:eastAsia="Times New Roman"/>
                <w:szCs w:val="28"/>
                <w:lang w:eastAsia="lv-LV"/>
              </w:rPr>
              <w:t>autoceļu lietošanas nodevu</w:t>
            </w:r>
            <w:r w:rsidR="00EC7979">
              <w:rPr>
                <w:rFonts w:eastAsia="Times New Roman"/>
                <w:szCs w:val="28"/>
                <w:lang w:eastAsia="lv-LV"/>
              </w:rPr>
              <w:t xml:space="preserve"> saskaņā ar </w:t>
            </w:r>
            <w:r w:rsidR="00EC7979">
              <w:rPr>
                <w:color w:val="000000"/>
                <w:szCs w:val="28"/>
                <w:lang w:eastAsia="lv-LV"/>
              </w:rPr>
              <w:t>Ministru kabineta 2014.gada 26. maija noteikumu Nr. 272 “</w:t>
            </w:r>
            <w:r w:rsidR="00EC7979" w:rsidRPr="005A0B95">
              <w:rPr>
                <w:color w:val="000000"/>
                <w:szCs w:val="28"/>
                <w:lang w:eastAsia="lv-LV"/>
              </w:rPr>
              <w:t>Autoceļu lietošanas nodevas maksāšanas, iekasēšanas un administrēšanas kārtība</w:t>
            </w:r>
            <w:r w:rsidR="00EC7979">
              <w:rPr>
                <w:color w:val="000000"/>
                <w:szCs w:val="28"/>
                <w:lang w:eastAsia="lv-LV"/>
              </w:rPr>
              <w:t>” 4. punktu var samaksāt ne vairāk kā divus gadus uz priekšu.</w:t>
            </w:r>
          </w:p>
          <w:p w:rsidR="005A0B95" w:rsidRPr="00A7073B" w:rsidRDefault="009E2387" w:rsidP="005A0B95">
            <w:pPr>
              <w:ind w:firstLine="709"/>
              <w:jc w:val="both"/>
              <w:rPr>
                <w:rFonts w:eastAsia="Times New Roman"/>
                <w:szCs w:val="28"/>
                <w:lang w:eastAsia="lv-LV"/>
              </w:rPr>
            </w:pPr>
            <w:r>
              <w:rPr>
                <w:szCs w:val="28"/>
              </w:rPr>
              <w:t xml:space="preserve">Izsniedzot smagsvara un lielgabarīta pārvadājumu atļaujas, </w:t>
            </w:r>
            <w:r w:rsidR="005A0B95">
              <w:rPr>
                <w:szCs w:val="28"/>
              </w:rPr>
              <w:t>VAS “Latvijas Valsts ceļi”, ievadot transportlīdzekļa r</w:t>
            </w:r>
            <w:r w:rsidR="005A0B95" w:rsidRPr="001054F6">
              <w:rPr>
                <w:szCs w:val="28"/>
              </w:rPr>
              <w:t>eģ</w:t>
            </w:r>
            <w:r w:rsidR="005A0B95">
              <w:rPr>
                <w:szCs w:val="28"/>
              </w:rPr>
              <w:t xml:space="preserve">istrācijas numuru </w:t>
            </w:r>
            <w:r>
              <w:rPr>
                <w:szCs w:val="28"/>
              </w:rPr>
              <w:t>tīmekļa</w:t>
            </w:r>
            <w:r w:rsidR="005A0B95">
              <w:rPr>
                <w:szCs w:val="28"/>
              </w:rPr>
              <w:t xml:space="preserve"> vietnē </w:t>
            </w:r>
            <w:hyperlink r:id="rId9" w:anchor="middle:cmd=validating" w:history="1">
              <w:r w:rsidR="005A0B95" w:rsidRPr="007535E1">
                <w:rPr>
                  <w:rStyle w:val="Hyperlink"/>
                  <w:szCs w:val="28"/>
                </w:rPr>
                <w:t>https://www.lvvignette.eu/#middle:cmd=validating</w:t>
              </w:r>
            </w:hyperlink>
            <w:r w:rsidR="005A0B95">
              <w:rPr>
                <w:szCs w:val="28"/>
              </w:rPr>
              <w:t>, varēs pārliecināties, vai par konkrēto transportlīdzekli ir samaksāta autoceļu lietošanas nodeva.</w:t>
            </w:r>
          </w:p>
          <w:p w:rsidR="005A0B95" w:rsidRPr="005A0B95" w:rsidRDefault="005A0B95" w:rsidP="00792493">
            <w:pPr>
              <w:ind w:firstLine="709"/>
              <w:jc w:val="both"/>
              <w:rPr>
                <w:bCs/>
                <w:szCs w:val="28"/>
                <w:lang w:eastAsia="lv-LV"/>
              </w:rPr>
            </w:pPr>
            <w:r w:rsidRPr="00A7073B">
              <w:rPr>
                <w:rFonts w:eastAsia="Times New Roman"/>
                <w:szCs w:val="28"/>
                <w:lang w:eastAsia="lv-LV"/>
              </w:rPr>
              <w:t>Prasība, ka lielgabarīta un smagsvara pārvadājumu atļaujas</w:t>
            </w:r>
            <w:r w:rsidR="00792493">
              <w:rPr>
                <w:rFonts w:eastAsia="Times New Roman"/>
                <w:szCs w:val="28"/>
                <w:lang w:eastAsia="lv-LV"/>
              </w:rPr>
              <w:t xml:space="preserve"> lielgabarīta un smagsvara kravu pārvadājumiem, kurus nepieciešams veikt regulāri,</w:t>
            </w:r>
            <w:r w:rsidRPr="00A7073B">
              <w:rPr>
                <w:rFonts w:eastAsia="Times New Roman"/>
                <w:szCs w:val="28"/>
                <w:lang w:eastAsia="lv-LV"/>
              </w:rPr>
              <w:t xml:space="preserve"> izsniedz uz periodu, </w:t>
            </w:r>
            <w:r w:rsidR="009E2387">
              <w:rPr>
                <w:rFonts w:eastAsia="Times New Roman"/>
                <w:szCs w:val="28"/>
                <w:lang w:eastAsia="lv-LV"/>
              </w:rPr>
              <w:t>par kuru</w:t>
            </w:r>
            <w:r w:rsidRPr="00A7073B">
              <w:rPr>
                <w:rFonts w:eastAsia="Times New Roman"/>
                <w:szCs w:val="28"/>
                <w:lang w:eastAsia="lv-LV"/>
              </w:rPr>
              <w:t xml:space="preserve"> ir samaksāta autoceļu lietošanas nodeva, veicinās to, ka retāk tiks veikti </w:t>
            </w:r>
            <w:r>
              <w:rPr>
                <w:rFonts w:eastAsia="Times New Roman"/>
                <w:szCs w:val="28"/>
                <w:lang w:eastAsia="lv-LV"/>
              </w:rPr>
              <w:t>Latvijas Administratīvo pārkāpumu kodeksa</w:t>
            </w:r>
            <w:r w:rsidRPr="00A7073B">
              <w:rPr>
                <w:rFonts w:eastAsia="Times New Roman"/>
                <w:szCs w:val="28"/>
                <w:lang w:eastAsia="lv-LV"/>
              </w:rPr>
              <w:t xml:space="preserve"> </w:t>
            </w:r>
            <w:r w:rsidRPr="00A7073B">
              <w:rPr>
                <w:bCs/>
                <w:szCs w:val="28"/>
                <w:lang w:eastAsia="lv-LV"/>
              </w:rPr>
              <w:t>149.</w:t>
            </w:r>
            <w:r w:rsidRPr="00A7073B">
              <w:rPr>
                <w:bCs/>
                <w:szCs w:val="28"/>
                <w:vertAlign w:val="superscript"/>
                <w:lang w:eastAsia="lv-LV"/>
              </w:rPr>
              <w:t>40</w:t>
            </w:r>
            <w:r>
              <w:rPr>
                <w:bCs/>
                <w:szCs w:val="28"/>
                <w:lang w:eastAsia="lv-LV"/>
              </w:rPr>
              <w:t> </w:t>
            </w:r>
            <w:r w:rsidRPr="00A7073B">
              <w:rPr>
                <w:bCs/>
                <w:szCs w:val="28"/>
                <w:lang w:eastAsia="lv-LV"/>
              </w:rPr>
              <w:t>panta pār</w:t>
            </w:r>
            <w:r>
              <w:rPr>
                <w:bCs/>
                <w:szCs w:val="28"/>
                <w:lang w:eastAsia="lv-LV"/>
              </w:rPr>
              <w:t>kāpumi, neveicot autoceļu lietošanas nodevas samaksu.</w:t>
            </w:r>
          </w:p>
        </w:tc>
      </w:tr>
      <w:tr w:rsidR="009A22F6" w:rsidRPr="00B2758C" w:rsidTr="00F30BAF">
        <w:trPr>
          <w:trHeight w:val="465"/>
        </w:trPr>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izstrādē iesaistītās institūcijas</w:t>
            </w:r>
          </w:p>
        </w:tc>
        <w:tc>
          <w:tcPr>
            <w:tcW w:w="3593" w:type="pct"/>
            <w:tcBorders>
              <w:top w:val="outset" w:sz="6" w:space="0" w:color="414142"/>
              <w:left w:val="outset" w:sz="6" w:space="0" w:color="414142"/>
              <w:bottom w:val="outset" w:sz="6" w:space="0" w:color="414142"/>
            </w:tcBorders>
          </w:tcPr>
          <w:p w:rsidR="009A22F6" w:rsidRPr="008B42C6" w:rsidRDefault="009A22F6" w:rsidP="001E0AFD">
            <w:pPr>
              <w:jc w:val="both"/>
              <w:rPr>
                <w:color w:val="000000"/>
                <w:szCs w:val="28"/>
                <w:lang w:eastAsia="lv-LV"/>
              </w:rPr>
            </w:pPr>
            <w:r w:rsidRPr="008B42C6">
              <w:rPr>
                <w:color w:val="000000"/>
                <w:szCs w:val="28"/>
                <w:lang w:eastAsia="lv-LV"/>
              </w:rPr>
              <w:t>Satiksmes ministrija, valsts akciju sabiedrība „Latvijas Valsts ceļi”</w:t>
            </w:r>
            <w:r w:rsidR="001E0AFD">
              <w:rPr>
                <w:color w:val="000000"/>
                <w:szCs w:val="28"/>
                <w:lang w:eastAsia="lv-LV"/>
              </w:rPr>
              <w:t>.</w:t>
            </w:r>
          </w:p>
        </w:tc>
      </w:tr>
      <w:tr w:rsidR="009A22F6" w:rsidRPr="00B2758C" w:rsidTr="00F30BAF">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4.</w:t>
            </w:r>
          </w:p>
        </w:tc>
        <w:tc>
          <w:tcPr>
            <w:tcW w:w="1164"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3593" w:type="pct"/>
            <w:tcBorders>
              <w:top w:val="outset" w:sz="6" w:space="0" w:color="414142"/>
              <w:left w:val="outset" w:sz="6" w:space="0" w:color="414142"/>
              <w:bottom w:val="outset" w:sz="6" w:space="0" w:color="414142"/>
            </w:tcBorders>
          </w:tcPr>
          <w:p w:rsidR="009A22F6" w:rsidRPr="008B42C6" w:rsidRDefault="009A22F6" w:rsidP="001E0AFD">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Pr="00B2758C" w:rsidRDefault="009A22F6" w:rsidP="002F0047">
      <w:pPr>
        <w:shd w:val="clear" w:color="auto" w:fill="FFFFFF"/>
        <w:ind w:firstLine="301"/>
        <w:rPr>
          <w:color w:val="000000"/>
          <w:sz w:val="24"/>
          <w:szCs w:val="24"/>
          <w:lang w:eastAsia="lv-LV"/>
        </w:rPr>
      </w:pPr>
    </w:p>
    <w:p w:rsidR="009A22F6" w:rsidRPr="00A02AC1" w:rsidRDefault="009A22F6" w:rsidP="002F0047">
      <w:pPr>
        <w:shd w:val="clear" w:color="auto" w:fill="FFFFFF"/>
        <w:ind w:firstLine="301"/>
        <w:rPr>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0"/>
        <w:gridCol w:w="2919"/>
        <w:gridCol w:w="6289"/>
      </w:tblGrid>
      <w:tr w:rsidR="009A22F6" w:rsidRPr="00B2758C" w:rsidTr="007D7602">
        <w:trPr>
          <w:trHeight w:val="555"/>
        </w:trPr>
        <w:tc>
          <w:tcPr>
            <w:tcW w:w="5000" w:type="pct"/>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lastRenderedPageBreak/>
              <w:t>II</w:t>
            </w:r>
            <w:r w:rsidR="009F7AA2">
              <w:rPr>
                <w:b/>
                <w:bCs/>
                <w:color w:val="000000"/>
                <w:szCs w:val="28"/>
                <w:lang w:eastAsia="lv-LV"/>
              </w:rPr>
              <w:t>.</w:t>
            </w:r>
            <w:r w:rsidR="009A22F6" w:rsidRPr="008B42C6">
              <w:rPr>
                <w:b/>
                <w:bCs/>
                <w:color w:val="000000"/>
                <w:szCs w:val="28"/>
                <w:lang w:eastAsia="lv-LV"/>
              </w:rPr>
              <w:t xml:space="preserve"> Tiesību akta projekta ietekme uz sabiedrību, tautsaimniecības attīstību un administratīvo slogu</w:t>
            </w:r>
          </w:p>
        </w:tc>
      </w:tr>
      <w:tr w:rsidR="009A22F6" w:rsidRPr="00B2758C" w:rsidTr="007D7602">
        <w:trPr>
          <w:trHeight w:val="465"/>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1.</w:t>
            </w:r>
          </w:p>
        </w:tc>
        <w:tc>
          <w:tcPr>
            <w:tcW w:w="1508"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 xml:space="preserve">Sabiedrības </w:t>
            </w:r>
            <w:proofErr w:type="spellStart"/>
            <w:r w:rsidRPr="008B42C6">
              <w:rPr>
                <w:color w:val="000000"/>
                <w:szCs w:val="28"/>
                <w:lang w:eastAsia="lv-LV"/>
              </w:rPr>
              <w:t>mērķgrupas</w:t>
            </w:r>
            <w:proofErr w:type="spellEnd"/>
            <w:r w:rsidRPr="008B42C6">
              <w:rPr>
                <w:color w:val="000000"/>
                <w:szCs w:val="28"/>
                <w:lang w:eastAsia="lv-LV"/>
              </w:rPr>
              <w:t>, kuras tiesiskais regulējums ietekmē vai varētu ietekmēt</w:t>
            </w:r>
          </w:p>
        </w:tc>
        <w:tc>
          <w:tcPr>
            <w:tcW w:w="3249" w:type="pct"/>
            <w:tcBorders>
              <w:top w:val="outset" w:sz="6" w:space="0" w:color="414142"/>
              <w:left w:val="outset" w:sz="6" w:space="0" w:color="414142"/>
              <w:bottom w:val="outset" w:sz="6" w:space="0" w:color="414142"/>
            </w:tcBorders>
          </w:tcPr>
          <w:p w:rsidR="00792493" w:rsidRDefault="00792493" w:rsidP="009B40CD">
            <w:pPr>
              <w:ind w:firstLine="722"/>
              <w:jc w:val="both"/>
              <w:rPr>
                <w:color w:val="000000"/>
                <w:szCs w:val="28"/>
                <w:lang w:eastAsia="lv-LV"/>
              </w:rPr>
            </w:pPr>
            <w:r>
              <w:rPr>
                <w:color w:val="000000"/>
                <w:szCs w:val="28"/>
                <w:lang w:eastAsia="lv-LV"/>
              </w:rPr>
              <w:t>1. Lielgabarīta un smagsvara kravu p</w:t>
            </w:r>
            <w:r w:rsidR="004D4890">
              <w:rPr>
                <w:color w:val="000000"/>
                <w:szCs w:val="28"/>
                <w:lang w:eastAsia="lv-LV"/>
              </w:rPr>
              <w:t>ārvadā</w:t>
            </w:r>
            <w:r>
              <w:rPr>
                <w:color w:val="000000"/>
                <w:szCs w:val="28"/>
                <w:lang w:eastAsia="lv-LV"/>
              </w:rPr>
              <w:t xml:space="preserve">tāji, kuriem </w:t>
            </w:r>
            <w:r w:rsidRPr="00792493">
              <w:rPr>
                <w:color w:val="000000"/>
                <w:szCs w:val="28"/>
                <w:lang w:eastAsia="lv-LV"/>
              </w:rPr>
              <w:t>saskaņā ar veicamo darbu specifiku nepieciešams pārvadājumu veikt bieži un atkārtoti</w:t>
            </w:r>
            <w:r>
              <w:rPr>
                <w:color w:val="000000"/>
                <w:szCs w:val="28"/>
                <w:lang w:eastAsia="lv-LV"/>
              </w:rPr>
              <w:t>.</w:t>
            </w:r>
          </w:p>
          <w:p w:rsidR="009A22F6" w:rsidRDefault="00792493" w:rsidP="009B40CD">
            <w:pPr>
              <w:ind w:firstLine="722"/>
              <w:jc w:val="both"/>
              <w:rPr>
                <w:color w:val="000000"/>
                <w:szCs w:val="28"/>
                <w:lang w:eastAsia="lv-LV"/>
              </w:rPr>
            </w:pPr>
            <w:r>
              <w:rPr>
                <w:color w:val="000000"/>
                <w:szCs w:val="28"/>
                <w:lang w:eastAsia="lv-LV"/>
              </w:rPr>
              <w:t>2</w:t>
            </w:r>
            <w:r w:rsidR="00843472">
              <w:rPr>
                <w:color w:val="000000"/>
                <w:szCs w:val="28"/>
                <w:lang w:eastAsia="lv-LV"/>
              </w:rPr>
              <w:t xml:space="preserve">. </w:t>
            </w:r>
            <w:r w:rsidR="009B40CD">
              <w:rPr>
                <w:color w:val="000000"/>
                <w:szCs w:val="28"/>
                <w:lang w:eastAsia="lv-LV"/>
              </w:rPr>
              <w:t>Dalāmu</w:t>
            </w:r>
            <w:r w:rsidR="009B40CD" w:rsidRPr="009B40CD">
              <w:rPr>
                <w:color w:val="000000"/>
                <w:szCs w:val="28"/>
                <w:lang w:eastAsia="lv-LV"/>
              </w:rPr>
              <w:t xml:space="preserve"> kokmateriālu </w:t>
            </w:r>
            <w:r w:rsidR="009B40CD">
              <w:rPr>
                <w:color w:val="000000"/>
                <w:szCs w:val="28"/>
                <w:lang w:eastAsia="lv-LV"/>
              </w:rPr>
              <w:t>(</w:t>
            </w:r>
            <w:r w:rsidR="009B40CD" w:rsidRPr="009B40CD">
              <w:rPr>
                <w:color w:val="000000"/>
                <w:szCs w:val="28"/>
                <w:lang w:eastAsia="lv-LV"/>
              </w:rPr>
              <w:t>apaļkok</w:t>
            </w:r>
            <w:r w:rsidR="009B40CD">
              <w:rPr>
                <w:color w:val="000000"/>
                <w:szCs w:val="28"/>
                <w:lang w:eastAsia="lv-LV"/>
              </w:rPr>
              <w:t>u</w:t>
            </w:r>
            <w:r w:rsidR="009B40CD" w:rsidRPr="009B40CD">
              <w:rPr>
                <w:color w:val="000000"/>
                <w:szCs w:val="28"/>
                <w:lang w:eastAsia="lv-LV"/>
              </w:rPr>
              <w:t>, šķelda</w:t>
            </w:r>
            <w:r w:rsidR="009B40CD">
              <w:rPr>
                <w:color w:val="000000"/>
                <w:szCs w:val="28"/>
                <w:lang w:eastAsia="lv-LV"/>
              </w:rPr>
              <w:t xml:space="preserve">s, koksnes </w:t>
            </w:r>
            <w:proofErr w:type="spellStart"/>
            <w:r w:rsidR="009B40CD">
              <w:rPr>
                <w:color w:val="000000"/>
                <w:szCs w:val="28"/>
                <w:lang w:eastAsia="lv-LV"/>
              </w:rPr>
              <w:t>gabalatlieku</w:t>
            </w:r>
            <w:proofErr w:type="spellEnd"/>
            <w:r w:rsidR="009B40CD">
              <w:rPr>
                <w:color w:val="000000"/>
                <w:szCs w:val="28"/>
                <w:lang w:eastAsia="lv-LV"/>
              </w:rPr>
              <w:t xml:space="preserve">, mizu un skaidu) </w:t>
            </w:r>
            <w:r w:rsidR="001A1F82">
              <w:rPr>
                <w:color w:val="000000"/>
                <w:szCs w:val="28"/>
                <w:lang w:eastAsia="lv-LV"/>
              </w:rPr>
              <w:t>l</w:t>
            </w:r>
            <w:r w:rsidR="009B40CD" w:rsidRPr="009B40CD">
              <w:rPr>
                <w:color w:val="000000"/>
                <w:szCs w:val="28"/>
                <w:lang w:eastAsia="lv-LV"/>
              </w:rPr>
              <w:t>ielgabarīta un smagsvara</w:t>
            </w:r>
            <w:r w:rsidR="009B40CD">
              <w:rPr>
                <w:color w:val="000000"/>
                <w:szCs w:val="28"/>
                <w:lang w:eastAsia="lv-LV"/>
              </w:rPr>
              <w:t xml:space="preserve"> kravu pārvadātāji.</w:t>
            </w:r>
          </w:p>
          <w:p w:rsidR="00843472" w:rsidRDefault="00792493" w:rsidP="009B40CD">
            <w:pPr>
              <w:ind w:firstLine="722"/>
              <w:jc w:val="both"/>
              <w:rPr>
                <w:color w:val="000000"/>
                <w:szCs w:val="28"/>
                <w:lang w:eastAsia="lv-LV"/>
              </w:rPr>
            </w:pPr>
            <w:r>
              <w:rPr>
                <w:color w:val="000000"/>
                <w:szCs w:val="28"/>
                <w:lang w:eastAsia="lv-LV"/>
              </w:rPr>
              <w:t>3</w:t>
            </w:r>
            <w:r w:rsidR="00843472">
              <w:rPr>
                <w:color w:val="000000"/>
                <w:szCs w:val="28"/>
                <w:lang w:eastAsia="lv-LV"/>
              </w:rPr>
              <w:t xml:space="preserve">. </w:t>
            </w:r>
            <w:r w:rsidR="009B40CD">
              <w:rPr>
                <w:color w:val="000000"/>
                <w:szCs w:val="28"/>
                <w:lang w:eastAsia="lv-LV"/>
              </w:rPr>
              <w:t>Dalāmu</w:t>
            </w:r>
            <w:r w:rsidR="009B40CD" w:rsidRPr="009B40CD">
              <w:rPr>
                <w:color w:val="000000"/>
                <w:szCs w:val="28"/>
                <w:lang w:eastAsia="lv-LV"/>
              </w:rPr>
              <w:t xml:space="preserve"> lauksaimniecības produkcijas</w:t>
            </w:r>
            <w:r w:rsidR="009B40CD">
              <w:rPr>
                <w:color w:val="000000"/>
                <w:szCs w:val="28"/>
                <w:lang w:eastAsia="lv-LV"/>
              </w:rPr>
              <w:t xml:space="preserve"> (graudu, rapša, kartupeļu un </w:t>
            </w:r>
            <w:proofErr w:type="spellStart"/>
            <w:r w:rsidR="009B40CD">
              <w:rPr>
                <w:color w:val="000000"/>
                <w:szCs w:val="28"/>
                <w:lang w:eastAsia="lv-LV"/>
              </w:rPr>
              <w:t>svaigpiena</w:t>
            </w:r>
            <w:proofErr w:type="spellEnd"/>
            <w:r w:rsidR="009B40CD">
              <w:rPr>
                <w:color w:val="000000"/>
                <w:szCs w:val="28"/>
                <w:lang w:eastAsia="lv-LV"/>
              </w:rPr>
              <w:t>)</w:t>
            </w:r>
            <w:r w:rsidR="009B40CD" w:rsidRPr="009B40CD">
              <w:rPr>
                <w:color w:val="000000"/>
                <w:szCs w:val="28"/>
                <w:lang w:eastAsia="lv-LV"/>
              </w:rPr>
              <w:t xml:space="preserve"> </w:t>
            </w:r>
            <w:r w:rsidR="009B40CD">
              <w:rPr>
                <w:color w:val="000000"/>
                <w:szCs w:val="28"/>
                <w:lang w:eastAsia="lv-LV"/>
              </w:rPr>
              <w:t>lielgabarīta un smagsvara kravu pārvadātāji.</w:t>
            </w:r>
          </w:p>
          <w:p w:rsidR="00792493" w:rsidRDefault="00792493" w:rsidP="009B40CD">
            <w:pPr>
              <w:ind w:firstLine="722"/>
              <w:jc w:val="both"/>
              <w:rPr>
                <w:color w:val="000000"/>
                <w:szCs w:val="28"/>
                <w:lang w:eastAsia="lv-LV"/>
              </w:rPr>
            </w:pPr>
            <w:r>
              <w:rPr>
                <w:color w:val="000000"/>
                <w:szCs w:val="28"/>
                <w:lang w:eastAsia="lv-LV"/>
              </w:rPr>
              <w:t>4. Dalāmu</w:t>
            </w:r>
            <w:r w:rsidRPr="00792493">
              <w:rPr>
                <w:color w:val="000000"/>
                <w:szCs w:val="28"/>
                <w:lang w:eastAsia="lv-LV"/>
              </w:rPr>
              <w:t xml:space="preserve"> dolomīta akmens un cementa </w:t>
            </w:r>
            <w:r>
              <w:rPr>
                <w:color w:val="000000"/>
                <w:szCs w:val="28"/>
                <w:lang w:eastAsia="lv-LV"/>
              </w:rPr>
              <w:t>lielgabarīta un smagsvara kravu pārvadātāji.</w:t>
            </w:r>
          </w:p>
          <w:p w:rsidR="009B40CD" w:rsidRPr="008B42C6" w:rsidRDefault="00792493" w:rsidP="009B40CD">
            <w:pPr>
              <w:ind w:firstLine="722"/>
              <w:jc w:val="both"/>
              <w:rPr>
                <w:color w:val="000000"/>
                <w:szCs w:val="28"/>
                <w:lang w:eastAsia="lv-LV"/>
              </w:rPr>
            </w:pPr>
            <w:r>
              <w:rPr>
                <w:color w:val="000000"/>
                <w:szCs w:val="28"/>
                <w:lang w:eastAsia="lv-LV"/>
              </w:rPr>
              <w:t>5</w:t>
            </w:r>
            <w:r w:rsidR="009B40CD">
              <w:rPr>
                <w:color w:val="000000"/>
                <w:szCs w:val="28"/>
                <w:lang w:eastAsia="lv-LV"/>
              </w:rPr>
              <w:t>. VAS “Latvijas Valsts ceļi”.</w:t>
            </w:r>
          </w:p>
        </w:tc>
      </w:tr>
      <w:tr w:rsidR="009A22F6" w:rsidRPr="00B2758C" w:rsidTr="007D7602">
        <w:trPr>
          <w:trHeight w:val="510"/>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2.</w:t>
            </w:r>
          </w:p>
        </w:tc>
        <w:tc>
          <w:tcPr>
            <w:tcW w:w="1508"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Tiesiskā regulējuma ietekme uz tautsaimniecību un administratīvo slogu</w:t>
            </w:r>
          </w:p>
        </w:tc>
        <w:tc>
          <w:tcPr>
            <w:tcW w:w="3249" w:type="pct"/>
            <w:tcBorders>
              <w:top w:val="outset" w:sz="6" w:space="0" w:color="414142"/>
              <w:left w:val="outset" w:sz="6" w:space="0" w:color="414142"/>
              <w:bottom w:val="outset" w:sz="6" w:space="0" w:color="414142"/>
            </w:tcBorders>
          </w:tcPr>
          <w:p w:rsidR="001A1F82" w:rsidRDefault="009B40CD" w:rsidP="005A0B95">
            <w:pPr>
              <w:ind w:firstLine="722"/>
              <w:jc w:val="both"/>
              <w:rPr>
                <w:color w:val="000000"/>
                <w:szCs w:val="28"/>
                <w:lang w:eastAsia="lv-LV"/>
              </w:rPr>
            </w:pPr>
            <w:r>
              <w:rPr>
                <w:color w:val="000000"/>
                <w:szCs w:val="28"/>
                <w:lang w:eastAsia="lv-LV"/>
              </w:rPr>
              <w:t xml:space="preserve">Nosakot prasību, ka atļauju </w:t>
            </w:r>
            <w:r w:rsidRPr="009B40CD">
              <w:rPr>
                <w:color w:val="000000"/>
                <w:szCs w:val="28"/>
                <w:lang w:eastAsia="lv-LV"/>
              </w:rPr>
              <w:t>lielgabarīta un smagsvara kravu pārvadāšana</w:t>
            </w:r>
            <w:r>
              <w:rPr>
                <w:color w:val="000000"/>
                <w:szCs w:val="28"/>
                <w:lang w:eastAsia="lv-LV"/>
              </w:rPr>
              <w:t>i pa ceļu posmiem, par kuru lietošanu maksājama autoceļu lietošanas nodeva</w:t>
            </w:r>
            <w:r w:rsidR="001A1F82">
              <w:rPr>
                <w:color w:val="000000"/>
                <w:szCs w:val="28"/>
                <w:lang w:eastAsia="lv-LV"/>
              </w:rPr>
              <w:t xml:space="preserve">, izsniegs uz laiku, kas nav ilgāks par </w:t>
            </w:r>
            <w:r w:rsidR="001A1F82" w:rsidRPr="001A1F82">
              <w:rPr>
                <w:color w:val="000000"/>
                <w:szCs w:val="28"/>
                <w:lang w:eastAsia="lv-LV"/>
              </w:rPr>
              <w:t>termiņu, līdz kuram par konkrēto transportlīdzekli ir samaksāta autoceļu lietošanas nodeva</w:t>
            </w:r>
            <w:r w:rsidR="001A1F82">
              <w:rPr>
                <w:color w:val="000000"/>
                <w:szCs w:val="28"/>
                <w:lang w:eastAsia="lv-LV"/>
              </w:rPr>
              <w:t>,</w:t>
            </w:r>
            <w:r w:rsidR="00843472">
              <w:rPr>
                <w:color w:val="000000"/>
                <w:szCs w:val="28"/>
                <w:lang w:eastAsia="lv-LV"/>
              </w:rPr>
              <w:t xml:space="preserve"> pārvadātāji būs motivētāki samaksāt autoceļu lietošanas nodevu, kas pozitīvi ietekmēs tautsaimniecību, jo palielināties autoceļu lietošanas nodevas ieņēmumi.</w:t>
            </w:r>
          </w:p>
          <w:p w:rsidR="00CB397E" w:rsidRPr="008B42C6" w:rsidRDefault="005A0B95" w:rsidP="006D5CE3">
            <w:pPr>
              <w:ind w:firstLine="722"/>
              <w:jc w:val="both"/>
              <w:rPr>
                <w:color w:val="000000"/>
                <w:szCs w:val="28"/>
                <w:lang w:eastAsia="lv-LV"/>
              </w:rPr>
            </w:pPr>
            <w:r>
              <w:rPr>
                <w:color w:val="000000"/>
                <w:szCs w:val="28"/>
                <w:lang w:eastAsia="lv-LV"/>
              </w:rPr>
              <w:t>Ņemot vērā Ministru kabineta 201</w:t>
            </w:r>
            <w:r w:rsidR="006D5CE3">
              <w:rPr>
                <w:color w:val="000000"/>
                <w:szCs w:val="28"/>
                <w:lang w:eastAsia="lv-LV"/>
              </w:rPr>
              <w:t>4</w:t>
            </w:r>
            <w:r>
              <w:rPr>
                <w:color w:val="000000"/>
                <w:szCs w:val="28"/>
                <w:lang w:eastAsia="lv-LV"/>
              </w:rPr>
              <w:t>.gada 26.</w:t>
            </w:r>
            <w:r w:rsidR="005C2C9A">
              <w:rPr>
                <w:color w:val="000000"/>
                <w:szCs w:val="28"/>
                <w:lang w:eastAsia="lv-LV"/>
              </w:rPr>
              <w:t> maija</w:t>
            </w:r>
            <w:r>
              <w:rPr>
                <w:color w:val="000000"/>
                <w:szCs w:val="28"/>
                <w:lang w:eastAsia="lv-LV"/>
              </w:rPr>
              <w:t xml:space="preserve"> not</w:t>
            </w:r>
            <w:r w:rsidR="005C2C9A">
              <w:rPr>
                <w:color w:val="000000"/>
                <w:szCs w:val="28"/>
                <w:lang w:eastAsia="lv-LV"/>
              </w:rPr>
              <w:t>eikumu Nr. </w:t>
            </w:r>
            <w:r>
              <w:rPr>
                <w:color w:val="000000"/>
                <w:szCs w:val="28"/>
                <w:lang w:eastAsia="lv-LV"/>
              </w:rPr>
              <w:t>272 “</w:t>
            </w:r>
            <w:r w:rsidRPr="005A0B95">
              <w:rPr>
                <w:color w:val="000000"/>
                <w:szCs w:val="28"/>
                <w:lang w:eastAsia="lv-LV"/>
              </w:rPr>
              <w:t>Autoceļu lietošanas nodevas maksāšanas, iekasēšanas un administrēšanas kārtība</w:t>
            </w:r>
            <w:r>
              <w:rPr>
                <w:color w:val="000000"/>
                <w:szCs w:val="28"/>
                <w:lang w:eastAsia="lv-LV"/>
              </w:rPr>
              <w:t>”</w:t>
            </w:r>
            <w:r w:rsidR="005C2C9A">
              <w:rPr>
                <w:color w:val="000000"/>
                <w:szCs w:val="28"/>
                <w:lang w:eastAsia="lv-LV"/>
              </w:rPr>
              <w:t xml:space="preserve"> 4. punktu, saskaņā ar kuru a</w:t>
            </w:r>
            <w:r w:rsidR="005C2C9A" w:rsidRPr="005C2C9A">
              <w:rPr>
                <w:color w:val="000000"/>
                <w:szCs w:val="28"/>
                <w:lang w:eastAsia="lv-LV"/>
              </w:rPr>
              <w:t xml:space="preserve">utoceļa lietošanas </w:t>
            </w:r>
            <w:r w:rsidR="002465F5">
              <w:rPr>
                <w:color w:val="000000"/>
                <w:szCs w:val="28"/>
                <w:lang w:eastAsia="lv-LV"/>
              </w:rPr>
              <w:t xml:space="preserve">nodevas spēkā stāšanās </w:t>
            </w:r>
            <w:r w:rsidR="005C2C9A" w:rsidRPr="005C2C9A">
              <w:rPr>
                <w:color w:val="000000"/>
                <w:szCs w:val="28"/>
                <w:lang w:eastAsia="lv-LV"/>
              </w:rPr>
              <w:t>sākuma datums nedrīkst būt tālāks par vienu gadu, skaitot no maksājuma veikšanas dienas</w:t>
            </w:r>
            <w:r w:rsidR="005C2C9A">
              <w:rPr>
                <w:color w:val="000000"/>
                <w:szCs w:val="28"/>
                <w:lang w:eastAsia="lv-LV"/>
              </w:rPr>
              <w:t>, personām, kas vēlēsies saņemt atļauju</w:t>
            </w:r>
            <w:r w:rsidR="005C2C9A" w:rsidRPr="005C2C9A">
              <w:rPr>
                <w:color w:val="000000"/>
                <w:szCs w:val="28"/>
                <w:lang w:eastAsia="lv-LV"/>
              </w:rPr>
              <w:t xml:space="preserve"> lielgabarīta un smagsvara kravu pārvadāšanai</w:t>
            </w:r>
            <w:r w:rsidR="005C2C9A">
              <w:rPr>
                <w:color w:val="000000"/>
                <w:szCs w:val="28"/>
                <w:lang w:eastAsia="lv-LV"/>
              </w:rPr>
              <w:t xml:space="preserve"> uz maksim</w:t>
            </w:r>
            <w:r w:rsidR="002465F5">
              <w:rPr>
                <w:color w:val="000000"/>
                <w:szCs w:val="28"/>
                <w:lang w:eastAsia="lv-LV"/>
              </w:rPr>
              <w:t>ālo termiņu (</w:t>
            </w:r>
            <w:r w:rsidR="005C2C9A">
              <w:rPr>
                <w:color w:val="000000"/>
                <w:szCs w:val="28"/>
                <w:lang w:eastAsia="lv-LV"/>
              </w:rPr>
              <w:t>gadu</w:t>
            </w:r>
            <w:r w:rsidR="002465F5">
              <w:rPr>
                <w:color w:val="000000"/>
                <w:szCs w:val="28"/>
                <w:lang w:eastAsia="lv-LV"/>
              </w:rPr>
              <w:t>)</w:t>
            </w:r>
            <w:r w:rsidR="005C2C9A">
              <w:rPr>
                <w:color w:val="000000"/>
                <w:szCs w:val="28"/>
                <w:lang w:eastAsia="lv-LV"/>
              </w:rPr>
              <w:t>, būs iespēja samaksāt autoceļu lietošanas nodevu</w:t>
            </w:r>
            <w:r w:rsidR="002465F5">
              <w:rPr>
                <w:color w:val="000000"/>
                <w:szCs w:val="28"/>
                <w:lang w:eastAsia="lv-LV"/>
              </w:rPr>
              <w:t xml:space="preserve"> arī</w:t>
            </w:r>
            <w:r w:rsidR="005C2C9A">
              <w:rPr>
                <w:color w:val="000000"/>
                <w:szCs w:val="28"/>
                <w:lang w:eastAsia="lv-LV"/>
              </w:rPr>
              <w:t xml:space="preserve"> </w:t>
            </w:r>
            <w:r w:rsidR="009E2387">
              <w:rPr>
                <w:color w:val="000000"/>
                <w:szCs w:val="28"/>
                <w:lang w:eastAsia="lv-LV"/>
              </w:rPr>
              <w:t>par nākamo periodu</w:t>
            </w:r>
            <w:r w:rsidR="005C2C9A">
              <w:rPr>
                <w:color w:val="000000"/>
                <w:szCs w:val="28"/>
                <w:lang w:eastAsia="lv-LV"/>
              </w:rPr>
              <w:t>.</w:t>
            </w:r>
            <w:r w:rsidR="00CB397E">
              <w:rPr>
                <w:color w:val="000000"/>
                <w:szCs w:val="28"/>
                <w:lang w:eastAsia="lv-LV"/>
              </w:rPr>
              <w:t xml:space="preserve"> </w:t>
            </w:r>
          </w:p>
        </w:tc>
      </w:tr>
      <w:tr w:rsidR="009A22F6" w:rsidRPr="00B2758C" w:rsidTr="007D7602">
        <w:trPr>
          <w:trHeight w:val="510"/>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3.</w:t>
            </w:r>
          </w:p>
        </w:tc>
        <w:tc>
          <w:tcPr>
            <w:tcW w:w="1508"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Administratīvo izmaksu monetārs novērtējums</w:t>
            </w:r>
          </w:p>
        </w:tc>
        <w:tc>
          <w:tcPr>
            <w:tcW w:w="3249" w:type="pct"/>
            <w:tcBorders>
              <w:top w:val="outset" w:sz="6" w:space="0" w:color="414142"/>
              <w:left w:val="outset" w:sz="6" w:space="0" w:color="414142"/>
              <w:bottom w:val="outset" w:sz="6" w:space="0" w:color="414142"/>
            </w:tcBorders>
          </w:tcPr>
          <w:p w:rsidR="004805E3" w:rsidRPr="008B42C6" w:rsidRDefault="00843472" w:rsidP="00865AC3">
            <w:pPr>
              <w:contextualSpacing/>
              <w:jc w:val="both"/>
              <w:rPr>
                <w:color w:val="000000"/>
                <w:szCs w:val="28"/>
                <w:lang w:eastAsia="lv-LV"/>
              </w:rPr>
            </w:pPr>
            <w:r>
              <w:rPr>
                <w:szCs w:val="28"/>
              </w:rPr>
              <w:t>Projekts šo jomu neskar.</w:t>
            </w:r>
          </w:p>
        </w:tc>
      </w:tr>
      <w:tr w:rsidR="009A22F6" w:rsidRPr="00B2758C" w:rsidTr="007D7602">
        <w:trPr>
          <w:trHeight w:val="345"/>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4.</w:t>
            </w:r>
          </w:p>
        </w:tc>
        <w:tc>
          <w:tcPr>
            <w:tcW w:w="1508"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3249"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Default="009A22F6" w:rsidP="002F0047">
      <w:pPr>
        <w:shd w:val="clear" w:color="auto" w:fill="FFFFFF"/>
        <w:ind w:firstLine="301"/>
        <w:rPr>
          <w:color w:val="000000"/>
          <w:sz w:val="24"/>
          <w:szCs w:val="24"/>
          <w:lang w:eastAsia="lv-LV"/>
        </w:rPr>
      </w:pPr>
    </w:p>
    <w:tbl>
      <w:tblPr>
        <w:tblW w:w="938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157"/>
        <w:gridCol w:w="992"/>
        <w:gridCol w:w="1180"/>
        <w:gridCol w:w="1623"/>
        <w:gridCol w:w="1700"/>
        <w:gridCol w:w="1734"/>
      </w:tblGrid>
      <w:tr w:rsidR="007D7602" w:rsidRPr="004D2D0B" w:rsidTr="00531E22">
        <w:tc>
          <w:tcPr>
            <w:tcW w:w="9386" w:type="dxa"/>
            <w:gridSpan w:val="6"/>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jc w:val="center"/>
              <w:rPr>
                <w:b/>
                <w:bCs/>
                <w:color w:val="000000"/>
              </w:rPr>
            </w:pPr>
            <w:r w:rsidRPr="004D2D0B">
              <w:rPr>
                <w:b/>
                <w:bCs/>
                <w:color w:val="000000"/>
              </w:rPr>
              <w:t>III. Tiesību akta projekta ietekme uz valsts budžetu un pašvaldību budžetiem</w:t>
            </w:r>
          </w:p>
        </w:tc>
      </w:tr>
      <w:tr w:rsidR="007D7602" w:rsidRPr="004D2D0B" w:rsidTr="00F30BAF">
        <w:tc>
          <w:tcPr>
            <w:tcW w:w="2157" w:type="dxa"/>
            <w:vMerge w:val="restart"/>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r w:rsidRPr="004D2D0B">
              <w:rPr>
                <w:b/>
                <w:bCs/>
                <w:color w:val="000000"/>
              </w:rPr>
              <w:t>Rādītāji</w:t>
            </w:r>
          </w:p>
        </w:tc>
        <w:tc>
          <w:tcPr>
            <w:tcW w:w="2172"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4A2F69">
            <w:pPr>
              <w:rPr>
                <w:b/>
                <w:bCs/>
                <w:color w:val="000000"/>
              </w:rPr>
            </w:pPr>
            <w:r w:rsidRPr="004D2D0B">
              <w:rPr>
                <w:b/>
                <w:bCs/>
                <w:color w:val="000000"/>
              </w:rPr>
              <w:t>201</w:t>
            </w:r>
            <w:r w:rsidR="004A2F69">
              <w:rPr>
                <w:b/>
                <w:bCs/>
                <w:color w:val="000000"/>
              </w:rPr>
              <w:t>7</w:t>
            </w:r>
            <w:r w:rsidRPr="004D2D0B">
              <w:rPr>
                <w:b/>
                <w:bCs/>
                <w:color w:val="000000"/>
              </w:rPr>
              <w:t>. gads</w:t>
            </w:r>
          </w:p>
        </w:tc>
        <w:tc>
          <w:tcPr>
            <w:tcW w:w="5057" w:type="dxa"/>
            <w:gridSpan w:val="3"/>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Turpmākie trīs gadi (</w:t>
            </w:r>
            <w:proofErr w:type="spellStart"/>
            <w:r w:rsidRPr="005A0B95">
              <w:rPr>
                <w:i/>
                <w:color w:val="000000"/>
              </w:rPr>
              <w:t>euro</w:t>
            </w:r>
            <w:proofErr w:type="spellEnd"/>
            <w:r w:rsidRPr="004D2D0B">
              <w:rPr>
                <w:color w:val="000000"/>
              </w:rPr>
              <w:t>)</w:t>
            </w:r>
          </w:p>
        </w:tc>
      </w:tr>
      <w:tr w:rsidR="007D7602" w:rsidRPr="004D2D0B" w:rsidTr="00F30BAF">
        <w:tc>
          <w:tcPr>
            <w:tcW w:w="2157" w:type="dxa"/>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p>
        </w:tc>
        <w:tc>
          <w:tcPr>
            <w:tcW w:w="2172" w:type="dxa"/>
            <w:gridSpan w:val="2"/>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4A2F69">
            <w:pPr>
              <w:rPr>
                <w:b/>
                <w:bCs/>
                <w:color w:val="000000"/>
              </w:rPr>
            </w:pPr>
            <w:r w:rsidRPr="004D2D0B">
              <w:rPr>
                <w:b/>
                <w:bCs/>
                <w:color w:val="000000"/>
              </w:rPr>
              <w:t>201</w:t>
            </w:r>
            <w:r w:rsidR="004A2F69">
              <w:rPr>
                <w:b/>
                <w:bCs/>
                <w:color w:val="000000"/>
              </w:rPr>
              <w:t>8</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4A2F69">
            <w:pPr>
              <w:rPr>
                <w:b/>
                <w:bCs/>
                <w:color w:val="000000"/>
              </w:rPr>
            </w:pPr>
            <w:r>
              <w:rPr>
                <w:b/>
                <w:bCs/>
                <w:color w:val="000000"/>
              </w:rPr>
              <w:t>201</w:t>
            </w:r>
            <w:r w:rsidR="004A2F69">
              <w:rPr>
                <w:b/>
                <w:bCs/>
                <w:color w:val="000000"/>
              </w:rPr>
              <w:t>9</w:t>
            </w:r>
          </w:p>
        </w:tc>
        <w:tc>
          <w:tcPr>
            <w:tcW w:w="1734"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4A2F69">
            <w:pPr>
              <w:rPr>
                <w:b/>
                <w:bCs/>
                <w:color w:val="000000"/>
              </w:rPr>
            </w:pPr>
            <w:r w:rsidRPr="004D2D0B">
              <w:rPr>
                <w:b/>
                <w:bCs/>
                <w:color w:val="000000"/>
              </w:rPr>
              <w:t>20</w:t>
            </w:r>
            <w:r w:rsidR="004A2F69">
              <w:rPr>
                <w:b/>
                <w:bCs/>
                <w:color w:val="000000"/>
              </w:rPr>
              <w:t>20</w:t>
            </w:r>
          </w:p>
        </w:tc>
      </w:tr>
      <w:tr w:rsidR="007D7602" w:rsidRPr="004D2D0B" w:rsidTr="00AE01B2">
        <w:tc>
          <w:tcPr>
            <w:tcW w:w="2157" w:type="dxa"/>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 xml:space="preserve">Saskaņā </w:t>
            </w:r>
            <w:r w:rsidRPr="004D2D0B">
              <w:rPr>
                <w:color w:val="000000"/>
              </w:rPr>
              <w:lastRenderedPageBreak/>
              <w:t>ar valsts budžetu kārtējam gadam</w:t>
            </w:r>
          </w:p>
        </w:tc>
        <w:tc>
          <w:tcPr>
            <w:tcW w:w="118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lastRenderedPageBreak/>
              <w:t xml:space="preserve">Izmaiņas </w:t>
            </w:r>
            <w:r w:rsidRPr="004D2D0B">
              <w:rPr>
                <w:color w:val="000000"/>
              </w:rPr>
              <w:lastRenderedPageBreak/>
              <w:t>kārtējā gadā, salīdzinot ar budžetu kārtējam gadam</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4A2F69">
            <w:pPr>
              <w:rPr>
                <w:color w:val="000000"/>
              </w:rPr>
            </w:pPr>
            <w:r w:rsidRPr="004D2D0B">
              <w:rPr>
                <w:color w:val="000000"/>
              </w:rPr>
              <w:lastRenderedPageBreak/>
              <w:t xml:space="preserve">Izmaiņas, </w:t>
            </w:r>
            <w:r w:rsidRPr="004D2D0B">
              <w:rPr>
                <w:color w:val="000000"/>
              </w:rPr>
              <w:lastRenderedPageBreak/>
              <w:t>salīdzinot ar 201</w:t>
            </w:r>
            <w:r w:rsidR="004A2F69">
              <w:rPr>
                <w:color w:val="000000"/>
              </w:rPr>
              <w:t>7</w:t>
            </w:r>
            <w:r w:rsidRPr="004D2D0B">
              <w:rPr>
                <w:color w:val="000000"/>
              </w:rPr>
              <w:t xml:space="preserve"> gadu</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lastRenderedPageBreak/>
              <w:t xml:space="preserve">Izmaiņas, </w:t>
            </w:r>
            <w:r w:rsidRPr="004D2D0B">
              <w:rPr>
                <w:color w:val="000000"/>
              </w:rPr>
              <w:lastRenderedPageBreak/>
              <w:t>salīdzinot ar 201</w:t>
            </w:r>
            <w:r w:rsidR="004A2F69">
              <w:rPr>
                <w:color w:val="000000"/>
              </w:rPr>
              <w:t>7</w:t>
            </w:r>
            <w:r w:rsidRPr="004D2D0B">
              <w:rPr>
                <w:color w:val="000000"/>
              </w:rPr>
              <w:t xml:space="preserve"> gadu</w:t>
            </w:r>
          </w:p>
        </w:tc>
        <w:tc>
          <w:tcPr>
            <w:tcW w:w="1734"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lastRenderedPageBreak/>
              <w:t xml:space="preserve">Izmaiņas, </w:t>
            </w:r>
            <w:r w:rsidRPr="004D2D0B">
              <w:rPr>
                <w:color w:val="000000"/>
              </w:rPr>
              <w:lastRenderedPageBreak/>
              <w:t>salīdzinot ar 201</w:t>
            </w:r>
            <w:r w:rsidR="004A2F69">
              <w:rPr>
                <w:color w:val="000000"/>
              </w:rPr>
              <w:t>7</w:t>
            </w:r>
            <w:r w:rsidRPr="004D2D0B">
              <w:rPr>
                <w:color w:val="000000"/>
              </w:rPr>
              <w:t xml:space="preserve"> gadu</w:t>
            </w:r>
          </w:p>
        </w:tc>
      </w:tr>
      <w:tr w:rsidR="007D7602" w:rsidRPr="004D2D0B" w:rsidTr="00AE01B2">
        <w:tc>
          <w:tcPr>
            <w:tcW w:w="2157"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lastRenderedPageBreak/>
              <w:t>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2</w:t>
            </w:r>
          </w:p>
        </w:tc>
        <w:tc>
          <w:tcPr>
            <w:tcW w:w="118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3</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4</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5</w:t>
            </w:r>
          </w:p>
        </w:tc>
        <w:tc>
          <w:tcPr>
            <w:tcW w:w="1734"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6</w:t>
            </w: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1. Budžeta ieņēmumi:</w:t>
            </w:r>
          </w:p>
        </w:tc>
        <w:tc>
          <w:tcPr>
            <w:tcW w:w="7229" w:type="dxa"/>
            <w:gridSpan w:val="5"/>
            <w:vMerge w:val="restart"/>
            <w:tcBorders>
              <w:top w:val="outset" w:sz="6" w:space="0" w:color="000000"/>
              <w:left w:val="outset" w:sz="6" w:space="0" w:color="000000"/>
              <w:right w:val="outset" w:sz="6" w:space="0" w:color="000000"/>
            </w:tcBorders>
          </w:tcPr>
          <w:p w:rsidR="001A1F82" w:rsidRDefault="001A1F82" w:rsidP="00531E22">
            <w:r>
              <w:t>Projekts šo jomu neskar.</w:t>
            </w:r>
          </w:p>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1.1. valsts pamatbudžets, tai sk</w:t>
            </w:r>
            <w:r>
              <w:rPr>
                <w:color w:val="000000"/>
              </w:rPr>
              <w:t>aitā ieņēmumi no maksas pakalpo</w:t>
            </w:r>
            <w:r w:rsidRPr="004D2D0B">
              <w:rPr>
                <w:color w:val="000000"/>
              </w:rPr>
              <w:t>jumiem un citi pašu ieņēmumi</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1.2. valsts speciālais 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1.3. pašvaldību 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2. Budžeta izdevumi:</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2.1. valsts pamatbudžets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2.2. valsts speciālais 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2.3. pašvaldību 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3. Finansiālā ietekme:</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3.1. valsts pamatbudžets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3.2. speciālais 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3.3. pašvaldību budžets</w:t>
            </w:r>
          </w:p>
        </w:tc>
        <w:tc>
          <w:tcPr>
            <w:tcW w:w="7229" w:type="dxa"/>
            <w:gridSpan w:val="5"/>
            <w:vMerge/>
            <w:tcBorders>
              <w:left w:val="outset" w:sz="6" w:space="0" w:color="000000"/>
              <w:right w:val="outset" w:sz="6" w:space="0" w:color="000000"/>
            </w:tcBorders>
          </w:tcPr>
          <w:p w:rsidR="001A1F82" w:rsidRDefault="001A1F82" w:rsidP="00531E22">
            <w:pPr>
              <w:jc w:val="both"/>
            </w:pPr>
          </w:p>
        </w:tc>
      </w:tr>
      <w:tr w:rsidR="001A1F82" w:rsidRPr="004D2D0B" w:rsidTr="00F30BAF">
        <w:trPr>
          <w:trHeight w:val="739"/>
        </w:trPr>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4</w:t>
            </w:r>
            <w:r>
              <w:rPr>
                <w:color w:val="000000"/>
              </w:rPr>
              <w:t>. Finanšu līdzekļi papildu izde</w:t>
            </w:r>
            <w:r w:rsidRPr="004D2D0B">
              <w:rPr>
                <w:color w:val="000000"/>
              </w:rPr>
              <w:t xml:space="preserve">vumu finansēšanai </w:t>
            </w:r>
            <w:r w:rsidRPr="004D2D0B">
              <w:rPr>
                <w:color w:val="000000"/>
              </w:rPr>
              <w:lastRenderedPageBreak/>
              <w:t>(kompensējošu izdevumu samazinājumu norāda ar "+" zīmi)</w:t>
            </w:r>
          </w:p>
        </w:tc>
        <w:tc>
          <w:tcPr>
            <w:tcW w:w="7229" w:type="dxa"/>
            <w:gridSpan w:val="5"/>
            <w:vMerge/>
            <w:tcBorders>
              <w:left w:val="outset" w:sz="6" w:space="0" w:color="000000"/>
              <w:right w:val="outset" w:sz="6" w:space="0" w:color="000000"/>
            </w:tcBorders>
            <w:hideMark/>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lastRenderedPageBreak/>
              <w:t>5. Precizēta finansiālā ietekme:</w:t>
            </w:r>
          </w:p>
        </w:tc>
        <w:tc>
          <w:tcPr>
            <w:tcW w:w="7229" w:type="dxa"/>
            <w:gridSpan w:val="5"/>
            <w:vMerge/>
            <w:tcBorders>
              <w:left w:val="outset" w:sz="6" w:space="0" w:color="000000"/>
              <w:right w:val="outset" w:sz="6" w:space="0" w:color="000000"/>
            </w:tcBorders>
            <w:hideMark/>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5.1. valsts pamatbudžets</w:t>
            </w:r>
          </w:p>
        </w:tc>
        <w:tc>
          <w:tcPr>
            <w:tcW w:w="7229" w:type="dxa"/>
            <w:gridSpan w:val="5"/>
            <w:vMerge/>
            <w:tcBorders>
              <w:left w:val="outset" w:sz="6" w:space="0" w:color="000000"/>
              <w:right w:val="outset" w:sz="6" w:space="0" w:color="000000"/>
            </w:tcBorders>
            <w:vAlign w:val="center"/>
            <w:hideMark/>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5.2. speciālais budžets</w:t>
            </w:r>
          </w:p>
        </w:tc>
        <w:tc>
          <w:tcPr>
            <w:tcW w:w="7229" w:type="dxa"/>
            <w:gridSpan w:val="5"/>
            <w:vMerge/>
            <w:tcBorders>
              <w:left w:val="outset" w:sz="6" w:space="0" w:color="000000"/>
              <w:right w:val="outset" w:sz="6" w:space="0" w:color="000000"/>
            </w:tcBorders>
            <w:vAlign w:val="center"/>
            <w:hideMark/>
          </w:tcPr>
          <w:p w:rsidR="001A1F82" w:rsidRDefault="001A1F82" w:rsidP="00531E22">
            <w:pPr>
              <w:jc w:val="both"/>
            </w:pPr>
          </w:p>
        </w:tc>
      </w:tr>
      <w:tr w:rsidR="001A1F8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5.3. pašvaldību budžets</w:t>
            </w:r>
          </w:p>
        </w:tc>
        <w:tc>
          <w:tcPr>
            <w:tcW w:w="7229" w:type="dxa"/>
            <w:gridSpan w:val="5"/>
            <w:vMerge/>
            <w:tcBorders>
              <w:left w:val="outset" w:sz="6" w:space="0" w:color="000000"/>
              <w:right w:val="outset" w:sz="6" w:space="0" w:color="000000"/>
            </w:tcBorders>
            <w:vAlign w:val="center"/>
            <w:hideMark/>
          </w:tcPr>
          <w:p w:rsidR="001A1F82" w:rsidRDefault="001A1F82" w:rsidP="00531E22">
            <w:pPr>
              <w:jc w:val="both"/>
            </w:pPr>
          </w:p>
        </w:tc>
      </w:tr>
      <w:tr w:rsidR="001A1F82" w:rsidRPr="004D2D0B" w:rsidTr="00F30BAF">
        <w:trPr>
          <w:trHeight w:val="2231"/>
        </w:trPr>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6</w:t>
            </w:r>
            <w:r>
              <w:rPr>
                <w:color w:val="000000"/>
              </w:rPr>
              <w:t>. Detalizēts ieņēmumu un izdevu</w:t>
            </w:r>
            <w:r w:rsidRPr="004D2D0B">
              <w:rPr>
                <w:color w:val="000000"/>
              </w:rPr>
              <w:t>mu aprēķins (ja nepieciešams, detalizētu ieņēmumu un izdevumu aprēķinu var pievienot anotācijas pielikumā):</w:t>
            </w:r>
          </w:p>
        </w:tc>
        <w:tc>
          <w:tcPr>
            <w:tcW w:w="7229" w:type="dxa"/>
            <w:gridSpan w:val="5"/>
            <w:vMerge/>
            <w:tcBorders>
              <w:left w:val="outset" w:sz="6" w:space="0" w:color="000000"/>
              <w:right w:val="outset" w:sz="6" w:space="0" w:color="000000"/>
            </w:tcBorders>
            <w:vAlign w:val="center"/>
          </w:tcPr>
          <w:p w:rsidR="001A1F82" w:rsidRPr="004D2D0B" w:rsidRDefault="001A1F82" w:rsidP="00531E22">
            <w:pPr>
              <w:jc w:val="both"/>
              <w:rPr>
                <w:color w:val="000000"/>
              </w:rPr>
            </w:pPr>
          </w:p>
        </w:tc>
      </w:tr>
      <w:tr w:rsidR="001A1F82" w:rsidRPr="004D2D0B" w:rsidTr="00F30BAF">
        <w:trPr>
          <w:trHeight w:val="169"/>
        </w:trPr>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6.1. detalizēts ieņēmumu aprēķins</w:t>
            </w:r>
          </w:p>
        </w:tc>
        <w:tc>
          <w:tcPr>
            <w:tcW w:w="7229" w:type="dxa"/>
            <w:gridSpan w:val="5"/>
            <w:vMerge/>
            <w:tcBorders>
              <w:left w:val="outset" w:sz="6" w:space="0" w:color="000000"/>
              <w:right w:val="outset" w:sz="6" w:space="0" w:color="000000"/>
            </w:tcBorders>
            <w:vAlign w:val="center"/>
            <w:hideMark/>
          </w:tcPr>
          <w:p w:rsidR="001A1F82" w:rsidRPr="004D2D0B" w:rsidRDefault="001A1F82" w:rsidP="00531E22">
            <w:pPr>
              <w:jc w:val="both"/>
              <w:rPr>
                <w:color w:val="000000"/>
              </w:rPr>
            </w:pPr>
          </w:p>
        </w:tc>
      </w:tr>
      <w:tr w:rsidR="001A1F82" w:rsidRPr="004D2D0B" w:rsidTr="00F30BAF">
        <w:trPr>
          <w:trHeight w:val="25"/>
        </w:trPr>
        <w:tc>
          <w:tcPr>
            <w:tcW w:w="2157" w:type="dxa"/>
            <w:tcBorders>
              <w:top w:val="outset" w:sz="6" w:space="0" w:color="000000"/>
              <w:left w:val="outset" w:sz="6" w:space="0" w:color="000000"/>
              <w:bottom w:val="outset" w:sz="6" w:space="0" w:color="000000"/>
              <w:right w:val="outset" w:sz="6" w:space="0" w:color="000000"/>
            </w:tcBorders>
            <w:hideMark/>
          </w:tcPr>
          <w:p w:rsidR="001A1F82" w:rsidRPr="004D2D0B" w:rsidRDefault="001A1F82" w:rsidP="00531E22">
            <w:pPr>
              <w:rPr>
                <w:color w:val="000000"/>
              </w:rPr>
            </w:pPr>
            <w:r w:rsidRPr="004D2D0B">
              <w:rPr>
                <w:color w:val="000000"/>
              </w:rPr>
              <w:t>6.2. detalizēts izdevumu aprēķins</w:t>
            </w:r>
          </w:p>
        </w:tc>
        <w:tc>
          <w:tcPr>
            <w:tcW w:w="7229" w:type="dxa"/>
            <w:gridSpan w:val="5"/>
            <w:vMerge/>
            <w:tcBorders>
              <w:left w:val="outset" w:sz="6" w:space="0" w:color="000000"/>
              <w:bottom w:val="outset" w:sz="6" w:space="0" w:color="000000"/>
              <w:right w:val="outset" w:sz="6" w:space="0" w:color="000000"/>
            </w:tcBorders>
            <w:vAlign w:val="center"/>
          </w:tcPr>
          <w:p w:rsidR="001A1F82" w:rsidRPr="004D2D0B" w:rsidRDefault="001A1F82" w:rsidP="00531E22">
            <w:pPr>
              <w:jc w:val="both"/>
              <w:rPr>
                <w:color w:val="000000"/>
              </w:rPr>
            </w:pPr>
          </w:p>
        </w:tc>
      </w:tr>
      <w:tr w:rsidR="007D7602" w:rsidRPr="004D2D0B" w:rsidTr="00F30BAF">
        <w:tc>
          <w:tcPr>
            <w:tcW w:w="2157"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7. Cita informācija</w:t>
            </w:r>
          </w:p>
        </w:tc>
        <w:tc>
          <w:tcPr>
            <w:tcW w:w="7229" w:type="dxa"/>
            <w:gridSpan w:val="5"/>
            <w:tcBorders>
              <w:top w:val="outset" w:sz="6" w:space="0" w:color="000000"/>
              <w:left w:val="outset" w:sz="6" w:space="0" w:color="000000"/>
              <w:bottom w:val="outset" w:sz="6" w:space="0" w:color="000000"/>
              <w:right w:val="outset" w:sz="6" w:space="0" w:color="000000"/>
            </w:tcBorders>
          </w:tcPr>
          <w:p w:rsidR="001A1F82" w:rsidRDefault="001A1F82" w:rsidP="005E7CE1">
            <w:pPr>
              <w:ind w:firstLine="680"/>
              <w:jc w:val="both"/>
              <w:rPr>
                <w:color w:val="000000"/>
              </w:rPr>
            </w:pPr>
            <w:r>
              <w:rPr>
                <w:color w:val="000000"/>
              </w:rPr>
              <w:t>Projektam ir netieša finansiāla ietekme.</w:t>
            </w:r>
          </w:p>
          <w:p w:rsidR="00571517" w:rsidRDefault="007D7602" w:rsidP="005E7CE1">
            <w:pPr>
              <w:ind w:firstLine="680"/>
              <w:jc w:val="both"/>
              <w:rPr>
                <w:color w:val="000000"/>
              </w:rPr>
            </w:pPr>
            <w:r>
              <w:rPr>
                <w:color w:val="000000"/>
              </w:rPr>
              <w:t>Atbilstoši Valsts policijas sniegtajiem datiem par veiktajām pārbaudēm no 2014.</w:t>
            </w:r>
            <w:r w:rsidR="00571517">
              <w:rPr>
                <w:color w:val="000000"/>
              </w:rPr>
              <w:t> </w:t>
            </w:r>
            <w:r>
              <w:rPr>
                <w:color w:val="000000"/>
              </w:rPr>
              <w:t>gada 1.</w:t>
            </w:r>
            <w:r w:rsidR="00571517">
              <w:rPr>
                <w:color w:val="000000"/>
              </w:rPr>
              <w:t> </w:t>
            </w:r>
            <w:r>
              <w:rPr>
                <w:color w:val="000000"/>
              </w:rPr>
              <w:t>jūlija līdz 2016.</w:t>
            </w:r>
            <w:r w:rsidR="00571517">
              <w:rPr>
                <w:color w:val="000000"/>
              </w:rPr>
              <w:t> </w:t>
            </w:r>
            <w:r>
              <w:rPr>
                <w:color w:val="000000"/>
              </w:rPr>
              <w:t>gada maijam vidēji 16 % gadījumu autoceļu lietošanas nodeva n</w:t>
            </w:r>
            <w:r w:rsidR="00571517">
              <w:rPr>
                <w:color w:val="000000"/>
              </w:rPr>
              <w:t xml:space="preserve">av samaksāta. </w:t>
            </w:r>
            <w:r w:rsidR="009E2387">
              <w:rPr>
                <w:color w:val="000000"/>
              </w:rPr>
              <w:t xml:space="preserve">Ieviešot Projektā noteikto prasību lielgabarīta un smagsvara pārvadājumu atļaujas sasaistei ar autoceļu lietošanas nodevas samaksu, </w:t>
            </w:r>
            <w:r w:rsidR="009E2387" w:rsidRPr="00D37AFB">
              <w:rPr>
                <w:szCs w:val="28"/>
              </w:rPr>
              <w:t xml:space="preserve">lielgabarīta un smagsvara kravu </w:t>
            </w:r>
            <w:r w:rsidR="00571517">
              <w:rPr>
                <w:color w:val="000000"/>
              </w:rPr>
              <w:t>pārvadātājiem</w:t>
            </w:r>
            <w:r>
              <w:rPr>
                <w:color w:val="000000"/>
              </w:rPr>
              <w:t xml:space="preserve"> </w:t>
            </w:r>
            <w:r w:rsidR="00571517">
              <w:rPr>
                <w:color w:val="000000"/>
              </w:rPr>
              <w:t>būs jāsam</w:t>
            </w:r>
            <w:r w:rsidR="009E2387">
              <w:rPr>
                <w:color w:val="000000"/>
              </w:rPr>
              <w:t>aksā autoceļu lietošanas nodeva</w:t>
            </w:r>
            <w:r w:rsidR="00571517">
              <w:rPr>
                <w:color w:val="000000"/>
              </w:rPr>
              <w:t>.</w:t>
            </w:r>
          </w:p>
          <w:p w:rsidR="00571517" w:rsidRDefault="001C4665" w:rsidP="005E7CE1">
            <w:pPr>
              <w:ind w:firstLine="680"/>
              <w:jc w:val="both"/>
              <w:rPr>
                <w:color w:val="000000"/>
              </w:rPr>
            </w:pPr>
            <w:r>
              <w:rPr>
                <w:color w:val="000000"/>
              </w:rPr>
              <w:t>2017.gada 1.janvārī stājā</w:t>
            </w:r>
            <w:r w:rsidR="00CB397E">
              <w:rPr>
                <w:color w:val="000000"/>
              </w:rPr>
              <w:t xml:space="preserve">s spēkā </w:t>
            </w:r>
            <w:r w:rsidR="002465F5">
              <w:rPr>
                <w:color w:val="000000"/>
              </w:rPr>
              <w:t>Grozījumi</w:t>
            </w:r>
            <w:r w:rsidR="00571517">
              <w:rPr>
                <w:color w:val="000000"/>
              </w:rPr>
              <w:t xml:space="preserve"> </w:t>
            </w:r>
            <w:r w:rsidR="00F4556C">
              <w:rPr>
                <w:color w:val="000000"/>
              </w:rPr>
              <w:t xml:space="preserve">Latvijas </w:t>
            </w:r>
            <w:r w:rsidR="00571517">
              <w:rPr>
                <w:color w:val="000000"/>
              </w:rPr>
              <w:lastRenderedPageBreak/>
              <w:t>Administratīvo pārkāpumu kodeksā,</w:t>
            </w:r>
            <w:r w:rsidR="00CB397E">
              <w:rPr>
                <w:color w:val="000000"/>
              </w:rPr>
              <w:t xml:space="preserve"> saskaņā ar ko</w:t>
            </w:r>
            <w:r w:rsidR="009E2387">
              <w:rPr>
                <w:color w:val="000000"/>
              </w:rPr>
              <w:t xml:space="preserve"> </w:t>
            </w:r>
            <w:r>
              <w:rPr>
                <w:color w:val="000000"/>
              </w:rPr>
              <w:t>tiek palielināts</w:t>
            </w:r>
            <w:r w:rsidR="00CB397E">
              <w:rPr>
                <w:color w:val="000000"/>
              </w:rPr>
              <w:t xml:space="preserve"> sod</w:t>
            </w:r>
            <w:r>
              <w:rPr>
                <w:color w:val="000000"/>
              </w:rPr>
              <w:t>s</w:t>
            </w:r>
            <w:r w:rsidR="00571517">
              <w:rPr>
                <w:color w:val="000000"/>
              </w:rPr>
              <w:t xml:space="preserve"> par autoceļu lietošanas nodevas maksāšanas pārkāpumiem un </w:t>
            </w:r>
            <w:r>
              <w:rPr>
                <w:color w:val="000000"/>
              </w:rPr>
              <w:t>noteikts</w:t>
            </w:r>
            <w:r w:rsidR="00571517">
              <w:rPr>
                <w:color w:val="000000"/>
              </w:rPr>
              <w:t xml:space="preserve"> sod</w:t>
            </w:r>
            <w:r>
              <w:rPr>
                <w:color w:val="000000"/>
              </w:rPr>
              <w:t>s</w:t>
            </w:r>
            <w:r w:rsidR="00571517">
              <w:rPr>
                <w:color w:val="000000"/>
              </w:rPr>
              <w:t xml:space="preserve"> arī pārvadātājam.</w:t>
            </w:r>
            <w:r w:rsidR="002465F5">
              <w:rPr>
                <w:color w:val="000000"/>
              </w:rPr>
              <w:t xml:space="preserve"> </w:t>
            </w:r>
          </w:p>
          <w:p w:rsidR="005E7CE1" w:rsidRPr="00CB62F3" w:rsidRDefault="00571517" w:rsidP="002465F5">
            <w:pPr>
              <w:ind w:firstLine="680"/>
              <w:jc w:val="both"/>
              <w:rPr>
                <w:color w:val="000000"/>
              </w:rPr>
            </w:pPr>
            <w:r>
              <w:rPr>
                <w:color w:val="000000"/>
              </w:rPr>
              <w:t xml:space="preserve">Plānots, ka </w:t>
            </w:r>
            <w:r w:rsidR="00CB62F3">
              <w:rPr>
                <w:color w:val="000000"/>
              </w:rPr>
              <w:t xml:space="preserve">abu </w:t>
            </w:r>
            <w:r>
              <w:rPr>
                <w:color w:val="000000"/>
              </w:rPr>
              <w:t xml:space="preserve">iepriekšminēto pasākumu īstenošanas rezultātā ieņēmumi valsts budžetā no autoceļu lietošanas nodevas varētu palielināties par aptuveni </w:t>
            </w:r>
            <w:r w:rsidRPr="002465F5">
              <w:rPr>
                <w:color w:val="000000"/>
              </w:rPr>
              <w:t xml:space="preserve">3 miljoniem </w:t>
            </w:r>
            <w:proofErr w:type="spellStart"/>
            <w:r w:rsidRPr="002465F5">
              <w:rPr>
                <w:i/>
                <w:color w:val="000000"/>
              </w:rPr>
              <w:t>euro</w:t>
            </w:r>
            <w:proofErr w:type="spellEnd"/>
            <w:r w:rsidRPr="002465F5">
              <w:rPr>
                <w:i/>
                <w:color w:val="000000"/>
              </w:rPr>
              <w:t xml:space="preserve"> </w:t>
            </w:r>
            <w:r w:rsidRPr="002465F5">
              <w:rPr>
                <w:color w:val="000000"/>
              </w:rPr>
              <w:t>gadā.</w:t>
            </w:r>
          </w:p>
        </w:tc>
      </w:tr>
    </w:tbl>
    <w:p w:rsidR="00843472" w:rsidRDefault="00843472" w:rsidP="002F0047">
      <w:pPr>
        <w:shd w:val="clear" w:color="auto" w:fill="FFFFFF"/>
        <w:ind w:firstLine="301"/>
        <w:rPr>
          <w:color w:val="000000"/>
          <w:sz w:val="24"/>
          <w:szCs w:val="24"/>
          <w:lang w:eastAsia="lv-LV"/>
        </w:rPr>
      </w:pPr>
    </w:p>
    <w:p w:rsidR="005E7CE1" w:rsidRDefault="005E7CE1" w:rsidP="002F0047">
      <w:pPr>
        <w:shd w:val="clear" w:color="auto" w:fill="FFFFFF"/>
        <w:ind w:firstLine="301"/>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1"/>
        <w:gridCol w:w="2824"/>
        <w:gridCol w:w="6119"/>
      </w:tblGrid>
      <w:tr w:rsidR="005E7CE1" w:rsidRPr="00B2758C" w:rsidTr="00406E92">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7CE1" w:rsidRPr="008B42C6" w:rsidRDefault="005E7CE1" w:rsidP="00406E92">
            <w:pPr>
              <w:spacing w:before="100" w:beforeAutospacing="1" w:after="100" w:afterAutospacing="1" w:line="285" w:lineRule="atLeast"/>
              <w:jc w:val="center"/>
              <w:rPr>
                <w:rFonts w:eastAsia="Times New Roman"/>
                <w:b/>
                <w:bCs/>
                <w:color w:val="000000" w:themeColor="text1"/>
                <w:szCs w:val="28"/>
                <w:lang w:eastAsia="lv-LV"/>
              </w:rPr>
            </w:pPr>
            <w:r w:rsidRPr="0023329A">
              <w:rPr>
                <w:rFonts w:eastAsia="Times New Roman"/>
                <w:b/>
                <w:bCs/>
                <w:color w:val="000000" w:themeColor="text1"/>
                <w:szCs w:val="28"/>
                <w:lang w:eastAsia="lv-LV"/>
              </w:rPr>
              <w:t>IV. Tiesību akta projekta ietekme uz spēkā esošo tiesību normu sistēmu</w:t>
            </w:r>
          </w:p>
        </w:tc>
      </w:tr>
      <w:tr w:rsidR="005E7CE1" w:rsidRPr="00B2758C" w:rsidTr="00406E92">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sidRPr="0023329A">
              <w:rPr>
                <w:szCs w:val="28"/>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sidRPr="0023329A">
              <w:rPr>
                <w:szCs w:val="28"/>
              </w:rPr>
              <w:t>Nepieciešamie saistītie tiesību aktu projekti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A05462" w:rsidP="001E0AFD">
            <w:pPr>
              <w:ind w:hanging="34"/>
              <w:jc w:val="both"/>
              <w:rPr>
                <w:szCs w:val="28"/>
              </w:rPr>
            </w:pPr>
            <w:r>
              <w:rPr>
                <w:szCs w:val="28"/>
              </w:rPr>
              <w:t xml:space="preserve">Ir izstrādāts Ministru kabineta noteikumu projekts “Grozījums </w:t>
            </w:r>
            <w:r w:rsidRPr="00A05462">
              <w:rPr>
                <w:szCs w:val="28"/>
              </w:rPr>
              <w:t>Ministru kabineta 2010. gada 28.</w:t>
            </w:r>
            <w:r w:rsidR="004D4890">
              <w:rPr>
                <w:szCs w:val="28"/>
              </w:rPr>
              <w:t> </w:t>
            </w:r>
            <w:r w:rsidRPr="00A05462">
              <w:rPr>
                <w:szCs w:val="28"/>
              </w:rPr>
              <w:t>decembra noteikumos Nr.</w:t>
            </w:r>
            <w:r>
              <w:rPr>
                <w:szCs w:val="28"/>
              </w:rPr>
              <w:t> </w:t>
            </w:r>
            <w:r w:rsidRPr="00A05462">
              <w:rPr>
                <w:szCs w:val="28"/>
              </w:rPr>
              <w:t>1228 „Noteikumi par lielgabarīta un smagsvara pārvadājumu atļaujas izsniegšanas valsts nodevas apmēru, samaksas kārtību un atbrīvojumiem”</w:t>
            </w:r>
            <w:r>
              <w:rPr>
                <w:szCs w:val="28"/>
              </w:rPr>
              <w:t>”</w:t>
            </w:r>
            <w:r w:rsidR="001E0AFD">
              <w:rPr>
                <w:szCs w:val="28"/>
              </w:rPr>
              <w:t xml:space="preserve"> (turpmāk – Grozījums Noteikumos Nr. 1228)</w:t>
            </w:r>
            <w:r>
              <w:rPr>
                <w:szCs w:val="28"/>
              </w:rPr>
              <w:t>, saskaņā ar kuru paredzēts valsts nodevu diferencēt atkarībā no termiņa, uz kuru izdota lielgabarīta un smagsvara pārvadājumu atļauja, tādējādi neparedzot papildu finansiālu slogu pārvadātājiem, kas vēlēsies samaksāt autoceļu lietošanas nodevu uz īsāku termiņu nek</w:t>
            </w:r>
            <w:r w:rsidR="004D4890">
              <w:rPr>
                <w:szCs w:val="28"/>
              </w:rPr>
              <w:t>ā viens gads, līdz ar to lielgabarīta un smagsvara atļauju saņemot biežāk.</w:t>
            </w:r>
            <w:r w:rsidR="001C4665">
              <w:rPr>
                <w:szCs w:val="28"/>
              </w:rPr>
              <w:t xml:space="preserve"> Minētais noteikumu projekts nosūtīts saskaņošanai vienlaikus ar šī projekta nosūtīšanu atkārtotai elektroniskai saskaņošanai. </w:t>
            </w:r>
          </w:p>
        </w:tc>
      </w:tr>
      <w:tr w:rsidR="005E7CE1" w:rsidRPr="00B2758C" w:rsidTr="00406E92">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sidRPr="0023329A">
              <w:rPr>
                <w:szCs w:val="28"/>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sidRPr="0023329A">
              <w:rPr>
                <w:szCs w:val="28"/>
              </w:rPr>
              <w:t>Atbildīgā institūcija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Pr>
                <w:szCs w:val="28"/>
              </w:rPr>
              <w:t>Satiksmes ministrija</w:t>
            </w:r>
          </w:p>
        </w:tc>
      </w:tr>
      <w:tr w:rsidR="005E7CE1" w:rsidRPr="00B2758C" w:rsidTr="00406E9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sidRPr="0023329A">
              <w:rPr>
                <w:szCs w:val="28"/>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406E92">
            <w:pPr>
              <w:rPr>
                <w:szCs w:val="28"/>
              </w:rPr>
            </w:pPr>
            <w:r w:rsidRPr="0023329A">
              <w:rPr>
                <w:szCs w:val="28"/>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5E7CE1" w:rsidRPr="0023329A" w:rsidRDefault="005E7CE1" w:rsidP="001E0AFD">
            <w:pPr>
              <w:spacing w:before="100" w:beforeAutospacing="1" w:after="100" w:afterAutospacing="1" w:line="360" w:lineRule="auto"/>
              <w:rPr>
                <w:szCs w:val="28"/>
              </w:rPr>
            </w:pPr>
            <w:r>
              <w:rPr>
                <w:szCs w:val="28"/>
              </w:rPr>
              <w:t>Nav.</w:t>
            </w:r>
          </w:p>
        </w:tc>
      </w:tr>
    </w:tbl>
    <w:p w:rsidR="00D44D84" w:rsidRDefault="00D44D84" w:rsidP="002F0047">
      <w:pPr>
        <w:shd w:val="clear" w:color="auto" w:fill="FFFFFF"/>
        <w:ind w:firstLine="301"/>
        <w:rPr>
          <w:color w:val="000000"/>
          <w:sz w:val="24"/>
          <w:szCs w:val="24"/>
          <w:lang w:eastAsia="lv-LV"/>
        </w:rPr>
      </w:pPr>
    </w:p>
    <w:p w:rsidR="00843472" w:rsidRPr="00B2758C" w:rsidRDefault="00843472" w:rsidP="002F0047">
      <w:pPr>
        <w:shd w:val="clear" w:color="auto" w:fill="FFFFFF"/>
        <w:ind w:firstLine="301"/>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1"/>
        <w:gridCol w:w="2824"/>
        <w:gridCol w:w="6119"/>
      </w:tblGrid>
      <w:tr w:rsidR="00F80C03" w:rsidRPr="00B2758C" w:rsidTr="00630602">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0C03" w:rsidRPr="008B42C6" w:rsidRDefault="00F80C03" w:rsidP="00630602">
            <w:pPr>
              <w:spacing w:before="100" w:beforeAutospacing="1" w:after="100" w:afterAutospacing="1" w:line="285" w:lineRule="atLeast"/>
              <w:jc w:val="center"/>
              <w:rPr>
                <w:rFonts w:eastAsia="Times New Roman"/>
                <w:b/>
                <w:bCs/>
                <w:color w:val="000000" w:themeColor="text1"/>
                <w:szCs w:val="28"/>
                <w:lang w:eastAsia="lv-LV"/>
              </w:rPr>
            </w:pPr>
            <w:r w:rsidRPr="008B42C6">
              <w:rPr>
                <w:rFonts w:eastAsia="Times New Roman"/>
                <w:b/>
                <w:bCs/>
                <w:color w:val="000000" w:themeColor="text1"/>
                <w:szCs w:val="28"/>
                <w:lang w:eastAsia="lv-LV"/>
              </w:rPr>
              <w:t>VI</w:t>
            </w:r>
            <w:r w:rsidR="009F7AA2">
              <w:rPr>
                <w:rFonts w:eastAsia="Times New Roman"/>
                <w:b/>
                <w:bCs/>
                <w:color w:val="000000" w:themeColor="text1"/>
                <w:szCs w:val="28"/>
                <w:lang w:eastAsia="lv-LV"/>
              </w:rPr>
              <w:t>.</w:t>
            </w:r>
            <w:r w:rsidRPr="008B42C6">
              <w:rPr>
                <w:rFonts w:eastAsia="Times New Roman"/>
                <w:b/>
                <w:bCs/>
                <w:color w:val="000000" w:themeColor="text1"/>
                <w:szCs w:val="28"/>
                <w:lang w:eastAsia="lv-LV"/>
              </w:rPr>
              <w:t xml:space="preserve"> Sabiedrības līdzdalība un komunikācijas aktivitātes</w:t>
            </w:r>
          </w:p>
        </w:tc>
      </w:tr>
      <w:tr w:rsidR="00F80C03" w:rsidRPr="00B2758C" w:rsidTr="00630602">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Default="009F7AA2" w:rsidP="00280298">
            <w:pPr>
              <w:ind w:firstLine="674"/>
              <w:jc w:val="both"/>
              <w:rPr>
                <w:szCs w:val="28"/>
              </w:rPr>
            </w:pPr>
            <w:r w:rsidRPr="005E7CE1">
              <w:rPr>
                <w:szCs w:val="28"/>
              </w:rPr>
              <w:t>Paziņojums par līdzdalības iespējām tiesību akta izstrādes procesā ievietots Satiksmes ministrijas tīmekļa vietnē</w:t>
            </w:r>
            <w:r w:rsidR="005E7CE1" w:rsidRPr="005E7CE1">
              <w:rPr>
                <w:szCs w:val="28"/>
              </w:rPr>
              <w:t>, sadaļā “Izstrādē esošie attīstības plānoš</w:t>
            </w:r>
            <w:r w:rsidR="002465F5">
              <w:rPr>
                <w:szCs w:val="28"/>
              </w:rPr>
              <w:t>anas dokumenti un tiesību akti” 2016.gada 15.novembrī.</w:t>
            </w:r>
          </w:p>
          <w:p w:rsidR="00280298" w:rsidRPr="00D44D84" w:rsidRDefault="00280298" w:rsidP="001E0AFD">
            <w:pPr>
              <w:ind w:firstLine="674"/>
              <w:jc w:val="both"/>
              <w:rPr>
                <w:rFonts w:eastAsia="Times New Roman"/>
                <w:color w:val="000000" w:themeColor="text1"/>
                <w:szCs w:val="28"/>
                <w:highlight w:val="yellow"/>
                <w:lang w:eastAsia="lv-LV"/>
              </w:rPr>
            </w:pPr>
            <w:r>
              <w:rPr>
                <w:szCs w:val="28"/>
              </w:rPr>
              <w:t xml:space="preserve">Projekts nosūtīts </w:t>
            </w:r>
            <w:r w:rsidRPr="008A5008">
              <w:rPr>
                <w:szCs w:val="28"/>
              </w:rPr>
              <w:t>Autopārvadātāju asociācijai “Latvijas auto”</w:t>
            </w:r>
            <w:r>
              <w:rPr>
                <w:szCs w:val="28"/>
              </w:rPr>
              <w:t>, b</w:t>
            </w:r>
            <w:r w:rsidRPr="008A5008">
              <w:rPr>
                <w:szCs w:val="28"/>
              </w:rPr>
              <w:t>iedrībai “Zemnieku saeima”</w:t>
            </w:r>
            <w:r>
              <w:rPr>
                <w:szCs w:val="28"/>
              </w:rPr>
              <w:t xml:space="preserve">, </w:t>
            </w:r>
            <w:r w:rsidRPr="008A5008">
              <w:rPr>
                <w:szCs w:val="28"/>
              </w:rPr>
              <w:t>Latvijas Kokrūpniecības federācijai</w:t>
            </w:r>
            <w:r>
              <w:rPr>
                <w:szCs w:val="28"/>
              </w:rPr>
              <w:t xml:space="preserve">, </w:t>
            </w:r>
            <w:r w:rsidRPr="008A5008">
              <w:rPr>
                <w:szCs w:val="28"/>
              </w:rPr>
              <w:t>Latvijas Darba devēju konfederācijai</w:t>
            </w:r>
            <w:r>
              <w:rPr>
                <w:szCs w:val="28"/>
              </w:rPr>
              <w:t xml:space="preserve">, </w:t>
            </w:r>
            <w:r w:rsidRPr="008A5008">
              <w:rPr>
                <w:szCs w:val="28"/>
              </w:rPr>
              <w:t>Latvijas Tirdzniecības un rūpniecības kamerai</w:t>
            </w:r>
            <w:r>
              <w:rPr>
                <w:szCs w:val="28"/>
              </w:rPr>
              <w:t xml:space="preserve">, </w:t>
            </w:r>
            <w:r w:rsidRPr="008A5008">
              <w:rPr>
                <w:szCs w:val="28"/>
              </w:rPr>
              <w:t>SIA “</w:t>
            </w:r>
            <w:proofErr w:type="spellStart"/>
            <w:r w:rsidRPr="008A5008">
              <w:rPr>
                <w:szCs w:val="28"/>
              </w:rPr>
              <w:t>Cemex</w:t>
            </w:r>
            <w:proofErr w:type="spellEnd"/>
            <w:r w:rsidRPr="008A5008">
              <w:rPr>
                <w:szCs w:val="28"/>
              </w:rPr>
              <w:t>”</w:t>
            </w:r>
            <w:r>
              <w:rPr>
                <w:szCs w:val="28"/>
              </w:rPr>
              <w:t>,</w:t>
            </w:r>
            <w:r>
              <w:t xml:space="preserve"> </w:t>
            </w:r>
            <w:r w:rsidRPr="008A5008">
              <w:rPr>
                <w:szCs w:val="28"/>
              </w:rPr>
              <w:t xml:space="preserve">SIA “Pļaviņu </w:t>
            </w:r>
            <w:r w:rsidRPr="008A5008">
              <w:rPr>
                <w:szCs w:val="28"/>
              </w:rPr>
              <w:lastRenderedPageBreak/>
              <w:t>DM”</w:t>
            </w:r>
            <w:r>
              <w:rPr>
                <w:szCs w:val="28"/>
              </w:rPr>
              <w:t>.</w:t>
            </w:r>
          </w:p>
        </w:tc>
      </w:tr>
      <w:tr w:rsidR="00F80C03" w:rsidRPr="00B2758C" w:rsidTr="00630602">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E0AFD" w:rsidRPr="00016366" w:rsidRDefault="001E0AFD" w:rsidP="001E0AFD">
            <w:pPr>
              <w:jc w:val="both"/>
              <w:rPr>
                <w:rFonts w:eastAsia="Times New Roman"/>
                <w:color w:val="000000" w:themeColor="text1"/>
                <w:szCs w:val="28"/>
                <w:lang w:eastAsia="lv-LV"/>
              </w:rPr>
            </w:pPr>
            <w:r w:rsidRPr="00AD2A39">
              <w:rPr>
                <w:szCs w:val="28"/>
              </w:rPr>
              <w:t>Atbilstoši Ministru kabineta 2009.gada 25.augusta noteikumiem Nr.970 „Sabiedrības līdzdalības kārtība attīstīb</w:t>
            </w:r>
            <w:r>
              <w:rPr>
                <w:szCs w:val="28"/>
              </w:rPr>
              <w:t xml:space="preserve">as plānošanas procesā” par </w:t>
            </w:r>
            <w:r w:rsidRPr="00AD2A39">
              <w:rPr>
                <w:szCs w:val="28"/>
              </w:rPr>
              <w:t xml:space="preserve">projekta izstrādi tika informēti sabiedrības pārstāvji, ievietojot Paziņojumu par līdzdalības iespējām tiesību akta izstrādes procesā Satiksmes ministrijas </w:t>
            </w:r>
            <w:r>
              <w:rPr>
                <w:szCs w:val="28"/>
              </w:rPr>
              <w:t>tīmekļa vietnē</w:t>
            </w:r>
            <w:r w:rsidRPr="00AD2A39">
              <w:rPr>
                <w:szCs w:val="28"/>
              </w:rPr>
              <w:t>.</w:t>
            </w:r>
          </w:p>
        </w:tc>
      </w:tr>
      <w:tr w:rsidR="00F80C03" w:rsidRPr="00B2758C" w:rsidTr="0063060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1E0AFD" w:rsidRDefault="001E0AFD" w:rsidP="001E0AFD">
            <w:pPr>
              <w:ind w:firstLine="674"/>
              <w:jc w:val="both"/>
              <w:rPr>
                <w:szCs w:val="28"/>
              </w:rPr>
            </w:pPr>
            <w:r>
              <w:rPr>
                <w:szCs w:val="28"/>
              </w:rPr>
              <w:t xml:space="preserve">1. </w:t>
            </w:r>
            <w:r w:rsidRPr="005E7CE1">
              <w:rPr>
                <w:szCs w:val="28"/>
              </w:rPr>
              <w:t xml:space="preserve">Saņemta </w:t>
            </w:r>
            <w:r>
              <w:rPr>
                <w:szCs w:val="28"/>
              </w:rPr>
              <w:t>Latvijas Kokrūpniecības federācijas un biedrības “Zemnieku saeima”</w:t>
            </w:r>
            <w:r w:rsidRPr="005E7CE1">
              <w:rPr>
                <w:szCs w:val="28"/>
              </w:rPr>
              <w:t xml:space="preserve"> </w:t>
            </w:r>
            <w:r>
              <w:rPr>
                <w:szCs w:val="28"/>
              </w:rPr>
              <w:t>2016. gada 2. jūnija</w:t>
            </w:r>
            <w:r w:rsidRPr="005E7CE1">
              <w:rPr>
                <w:szCs w:val="28"/>
              </w:rPr>
              <w:t xml:space="preserve"> vēstule Nr. </w:t>
            </w:r>
            <w:r>
              <w:rPr>
                <w:szCs w:val="28"/>
              </w:rPr>
              <w:t>05/06-2016, kurā izteikts priekšlikums a</w:t>
            </w:r>
            <w:r w:rsidRPr="00E77331">
              <w:rPr>
                <w:szCs w:val="28"/>
              </w:rPr>
              <w:t xml:space="preserve">tļaujas dalāmu kokmateriālu un lauksaimniecības produkcijas lielgabarīta un smagsvara kravu pārvadāšanai ar specializētajiem lielgabarīta un smagsvara transportlīdzekļiem </w:t>
            </w:r>
            <w:r>
              <w:rPr>
                <w:szCs w:val="28"/>
              </w:rPr>
              <w:t>izsniegt uz termiņu, kas nepārsniedz</w:t>
            </w:r>
            <w:r w:rsidRPr="00E77331">
              <w:rPr>
                <w:szCs w:val="28"/>
              </w:rPr>
              <w:t xml:space="preserve"> termiņu, līdz kuram par transportlīdzekli ir samaksāta autoceļu lietošanas nodeva</w:t>
            </w:r>
            <w:r w:rsidRPr="005E7CE1">
              <w:rPr>
                <w:szCs w:val="28"/>
              </w:rPr>
              <w:t>.</w:t>
            </w:r>
            <w:r>
              <w:rPr>
                <w:szCs w:val="28"/>
              </w:rPr>
              <w:t xml:space="preserve"> Latvijas Kokrūpniecības federācijas un biedrības “Zemnieku saeima”</w:t>
            </w:r>
            <w:r w:rsidRPr="005E7CE1">
              <w:rPr>
                <w:szCs w:val="28"/>
              </w:rPr>
              <w:t xml:space="preserve"> </w:t>
            </w:r>
            <w:r>
              <w:rPr>
                <w:szCs w:val="28"/>
              </w:rPr>
              <w:t>priekšlikums ir ņemts vērā.</w:t>
            </w:r>
          </w:p>
          <w:p w:rsidR="001E0AFD" w:rsidRPr="00E65C8B" w:rsidRDefault="001E0AFD" w:rsidP="001E0AFD">
            <w:pPr>
              <w:ind w:firstLine="674"/>
              <w:jc w:val="both"/>
              <w:rPr>
                <w:szCs w:val="28"/>
              </w:rPr>
            </w:pPr>
            <w:r>
              <w:rPr>
                <w:rFonts w:eastAsia="Times New Roman"/>
                <w:color w:val="000000" w:themeColor="text1"/>
                <w:szCs w:val="28"/>
                <w:lang w:eastAsia="lv-LV"/>
              </w:rPr>
              <w:t xml:space="preserve">2. </w:t>
            </w:r>
            <w:r w:rsidRPr="00E65C8B">
              <w:rPr>
                <w:szCs w:val="28"/>
              </w:rPr>
              <w:t>Saņemta SIA “</w:t>
            </w:r>
            <w:proofErr w:type="spellStart"/>
            <w:r w:rsidRPr="00E65C8B">
              <w:rPr>
                <w:szCs w:val="28"/>
              </w:rPr>
              <w:t>Cemex</w:t>
            </w:r>
            <w:proofErr w:type="spellEnd"/>
            <w:r w:rsidRPr="00E65C8B">
              <w:rPr>
                <w:szCs w:val="28"/>
              </w:rPr>
              <w:t>” 2017. gada 16. janvāra vēstule Nr. 07/01/2017, kurā informēts, ka daļa no SIA “</w:t>
            </w:r>
            <w:proofErr w:type="spellStart"/>
            <w:r w:rsidRPr="00E65C8B">
              <w:rPr>
                <w:szCs w:val="28"/>
              </w:rPr>
              <w:t>Cemex</w:t>
            </w:r>
            <w:proofErr w:type="spellEnd"/>
            <w:r w:rsidRPr="00E65C8B">
              <w:rPr>
                <w:szCs w:val="28"/>
              </w:rPr>
              <w:t>” un citu pārvadātāju autoparka netiek izmantota visu gadu, līdz ar to grozījumi Noteikumos Nr.343 uzliks pienākumu maksāt autoceļu lietošanas nodevu par lielāku periodu, nekā tiks veikts pārvadājums.</w:t>
            </w:r>
          </w:p>
          <w:p w:rsidR="001E0AFD" w:rsidRPr="000461D9" w:rsidRDefault="00DE010A" w:rsidP="001E0AFD">
            <w:pPr>
              <w:ind w:firstLine="674"/>
              <w:jc w:val="both"/>
              <w:rPr>
                <w:szCs w:val="28"/>
              </w:rPr>
            </w:pPr>
            <w:r>
              <w:rPr>
                <w:szCs w:val="28"/>
              </w:rPr>
              <w:t>Pamatojoties uz iepriekš minēto,</w:t>
            </w:r>
            <w:r w:rsidR="001E0AFD" w:rsidRPr="00E65C8B">
              <w:rPr>
                <w:szCs w:val="28"/>
              </w:rPr>
              <w:t xml:space="preserve"> </w:t>
            </w:r>
            <w:r w:rsidR="001E0AFD">
              <w:rPr>
                <w:szCs w:val="28"/>
              </w:rPr>
              <w:t xml:space="preserve">Grozījumā Noteikumos Nr. 1228 </w:t>
            </w:r>
            <w:r w:rsidR="001E0AFD" w:rsidRPr="00E65C8B">
              <w:rPr>
                <w:szCs w:val="28"/>
              </w:rPr>
              <w:t>ir paredzēts valsts nodevas apmērs par lielgabarīta un smagsvara pārvadājumu atļaujas izsniegšanu uz termiņu līdz vienam mēnesim. Tādējādi pārvadātājiem, kuri pārvadājumus veic sezonāli vai kuri izvēlas maksāt autoceļu lietošanas nodevu reizi mēnesī, būs iespēja lielgabarīta un smagsvara pārvadājumu atļauju iegūt uz termiņu līdz vienam mēnesim, vienlaikus maksājot valsts nodevu, kas ir proporcionāli samazināta atkarībā no atļaujas derīguma termiņa.</w:t>
            </w:r>
          </w:p>
        </w:tc>
      </w:tr>
      <w:tr w:rsidR="00F80C03" w:rsidRPr="00B2758C" w:rsidTr="0063060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spacing w:before="100" w:beforeAutospacing="1" w:after="100" w:afterAutospacing="1" w:line="285" w:lineRule="atLeast"/>
              <w:rPr>
                <w:rFonts w:eastAsia="Times New Roman"/>
                <w:color w:val="000000" w:themeColor="text1"/>
                <w:szCs w:val="28"/>
                <w:lang w:eastAsia="lv-LV"/>
              </w:rPr>
            </w:pPr>
            <w:r w:rsidRPr="008B42C6">
              <w:rPr>
                <w:rFonts w:eastAsia="Times New Roman"/>
                <w:color w:val="000000" w:themeColor="text1"/>
                <w:szCs w:val="28"/>
                <w:lang w:eastAsia="lv-LV"/>
              </w:rPr>
              <w:t>Nav.</w:t>
            </w:r>
          </w:p>
        </w:tc>
      </w:tr>
    </w:tbl>
    <w:p w:rsidR="009A22F6" w:rsidRPr="00B2758C" w:rsidRDefault="009A22F6" w:rsidP="002F0047">
      <w:pPr>
        <w:shd w:val="clear" w:color="auto" w:fill="FFFFFF"/>
        <w:ind w:firstLine="301"/>
        <w:rPr>
          <w:color w:val="000000"/>
          <w:sz w:val="24"/>
          <w:szCs w:val="24"/>
          <w:lang w:eastAsia="lv-LV"/>
        </w:rPr>
      </w:pPr>
    </w:p>
    <w:p w:rsidR="00F80C03" w:rsidRPr="00A02AC1" w:rsidRDefault="00F80C03" w:rsidP="002F0047">
      <w:pPr>
        <w:shd w:val="clear" w:color="auto" w:fill="FFFFFF"/>
        <w:ind w:firstLine="301"/>
        <w:rPr>
          <w:color w:val="000000"/>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1"/>
        <w:gridCol w:w="3577"/>
        <w:gridCol w:w="5366"/>
      </w:tblGrid>
      <w:tr w:rsidR="009A22F6" w:rsidRPr="00B2758C" w:rsidTr="00DE0915">
        <w:trPr>
          <w:trHeight w:val="375"/>
          <w:jc w:val="center"/>
        </w:trPr>
        <w:tc>
          <w:tcPr>
            <w:tcW w:w="0" w:type="auto"/>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lastRenderedPageBreak/>
              <w:t>VII</w:t>
            </w:r>
            <w:r w:rsidR="009F7AA2">
              <w:rPr>
                <w:b/>
                <w:bCs/>
                <w:color w:val="000000"/>
                <w:szCs w:val="28"/>
                <w:lang w:eastAsia="lv-LV"/>
              </w:rPr>
              <w:t>.</w:t>
            </w:r>
            <w:r w:rsidR="009A22F6" w:rsidRPr="008B42C6">
              <w:rPr>
                <w:b/>
                <w:bCs/>
                <w:color w:val="000000"/>
                <w:szCs w:val="28"/>
                <w:lang w:eastAsia="lv-LV"/>
              </w:rPr>
              <w:t xml:space="preserve"> Tiesību akta projekta izpildes nodrošināšana un tās ietekme uz institūcijām</w:t>
            </w:r>
          </w:p>
        </w:tc>
      </w:tr>
      <w:tr w:rsidR="009A22F6" w:rsidRPr="00B2758C" w:rsidTr="00DE0915">
        <w:trPr>
          <w:trHeight w:val="42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izpildē iesaistītās institūcijas</w:t>
            </w:r>
          </w:p>
        </w:tc>
        <w:tc>
          <w:tcPr>
            <w:tcW w:w="2850" w:type="pct"/>
            <w:tcBorders>
              <w:top w:val="outset" w:sz="6" w:space="0" w:color="414142"/>
              <w:left w:val="outset" w:sz="6" w:space="0" w:color="414142"/>
              <w:bottom w:val="outset" w:sz="6" w:space="0" w:color="414142"/>
            </w:tcBorders>
          </w:tcPr>
          <w:p w:rsidR="009A22F6" w:rsidRPr="008B42C6" w:rsidRDefault="001A1F82" w:rsidP="00433EB1">
            <w:pPr>
              <w:jc w:val="both"/>
              <w:rPr>
                <w:color w:val="000000"/>
                <w:szCs w:val="28"/>
                <w:lang w:eastAsia="lv-LV"/>
              </w:rPr>
            </w:pPr>
            <w:r>
              <w:rPr>
                <w:color w:val="000000"/>
                <w:szCs w:val="28"/>
                <w:lang w:eastAsia="lv-LV"/>
              </w:rPr>
              <w:t>VAS “Latvijas Valsts ceļi”.</w:t>
            </w:r>
          </w:p>
        </w:tc>
      </w:tr>
      <w:tr w:rsidR="009A22F6" w:rsidRPr="00B2758C" w:rsidTr="00DE0915">
        <w:trPr>
          <w:trHeight w:val="45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izpildes ietekme uz pārvaldes funkcijām un institucionālo struktūru.</w:t>
            </w:r>
          </w:p>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rsidR="009A22F6" w:rsidRPr="008B42C6" w:rsidRDefault="005C6031" w:rsidP="00865AC3">
            <w:pPr>
              <w:jc w:val="both"/>
              <w:rPr>
                <w:color w:val="000000"/>
                <w:szCs w:val="28"/>
                <w:lang w:eastAsia="lv-LV"/>
              </w:rPr>
            </w:pPr>
            <w:r w:rsidRPr="005C6031">
              <w:rPr>
                <w:color w:val="000000"/>
                <w:szCs w:val="28"/>
                <w:lang w:eastAsia="lv-LV"/>
              </w:rPr>
              <w:t>Projekta īstenošana tiks veikta esošo cilvēkresursu ietvaros. Saistībā ar projekta izpildi nebūs nepieciešams veidot jaunas institūcijas vai likvidēt vai reorganizēt esošās.</w:t>
            </w:r>
          </w:p>
        </w:tc>
      </w:tr>
      <w:tr w:rsidR="009A22F6" w:rsidRPr="00B2758C" w:rsidTr="00DE0915">
        <w:trPr>
          <w:trHeight w:val="39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2850"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Pr="006D5CE3" w:rsidRDefault="009A22F6">
      <w:pPr>
        <w:rPr>
          <w:color w:val="000000"/>
          <w:szCs w:val="28"/>
        </w:rPr>
      </w:pPr>
    </w:p>
    <w:p w:rsidR="006D5CE3" w:rsidRPr="006D5CE3" w:rsidRDefault="006D5CE3">
      <w:pPr>
        <w:rPr>
          <w:color w:val="000000"/>
          <w:szCs w:val="28"/>
        </w:rPr>
      </w:pPr>
      <w:r w:rsidRPr="006D5CE3">
        <w:rPr>
          <w:color w:val="000000"/>
          <w:szCs w:val="28"/>
        </w:rPr>
        <w:t xml:space="preserve">Anotācijas </w:t>
      </w:r>
      <w:r>
        <w:rPr>
          <w:color w:val="000000"/>
          <w:szCs w:val="28"/>
        </w:rPr>
        <w:t>V sadaļa – projekts šo jomu</w:t>
      </w:r>
      <w:r w:rsidRPr="006D5CE3">
        <w:rPr>
          <w:color w:val="000000"/>
          <w:szCs w:val="28"/>
        </w:rPr>
        <w:t xml:space="preserve"> neskar.</w:t>
      </w:r>
    </w:p>
    <w:p w:rsidR="009A22F6" w:rsidRDefault="009A22F6" w:rsidP="005D0E57">
      <w:pPr>
        <w:rPr>
          <w:color w:val="000000"/>
          <w:szCs w:val="28"/>
        </w:rPr>
      </w:pPr>
    </w:p>
    <w:p w:rsidR="007921FB" w:rsidRPr="006D5CE3" w:rsidRDefault="007921FB" w:rsidP="005D0E57">
      <w:pPr>
        <w:rPr>
          <w:color w:val="000000"/>
          <w:szCs w:val="28"/>
        </w:rPr>
      </w:pPr>
    </w:p>
    <w:p w:rsidR="00865AC3" w:rsidRPr="00865AC3" w:rsidRDefault="00865AC3" w:rsidP="00865AC3">
      <w:pPr>
        <w:rPr>
          <w:rFonts w:eastAsia="Times New Roman"/>
          <w:szCs w:val="28"/>
          <w:lang w:eastAsia="lv-LV"/>
        </w:rPr>
      </w:pPr>
      <w:r w:rsidRPr="00865AC3">
        <w:rPr>
          <w:rFonts w:eastAsia="Times New Roman"/>
          <w:szCs w:val="28"/>
          <w:lang w:eastAsia="lv-LV"/>
        </w:rPr>
        <w:t>Satiksmes ministrs</w:t>
      </w:r>
      <w:r w:rsidRPr="00865AC3">
        <w:rPr>
          <w:rFonts w:eastAsia="Times New Roman"/>
          <w:szCs w:val="28"/>
          <w:lang w:eastAsia="lv-LV"/>
        </w:rPr>
        <w:tab/>
      </w:r>
      <w:r w:rsidRPr="00865AC3">
        <w:rPr>
          <w:rFonts w:eastAsia="Times New Roman"/>
          <w:szCs w:val="28"/>
          <w:lang w:eastAsia="lv-LV"/>
        </w:rPr>
        <w:tab/>
      </w:r>
      <w:r w:rsidRPr="00865AC3">
        <w:rPr>
          <w:rFonts w:eastAsia="Times New Roman"/>
          <w:szCs w:val="28"/>
          <w:lang w:eastAsia="lv-LV"/>
        </w:rPr>
        <w:tab/>
      </w:r>
      <w:r w:rsidRPr="00865AC3">
        <w:rPr>
          <w:rFonts w:eastAsia="Times New Roman"/>
          <w:szCs w:val="28"/>
          <w:lang w:eastAsia="lv-LV"/>
        </w:rPr>
        <w:tab/>
      </w:r>
      <w:r w:rsidRPr="00865AC3">
        <w:rPr>
          <w:rFonts w:eastAsia="Times New Roman"/>
          <w:szCs w:val="28"/>
          <w:lang w:eastAsia="lv-LV"/>
        </w:rPr>
        <w:tab/>
      </w:r>
      <w:r w:rsidR="003672CA">
        <w:rPr>
          <w:rFonts w:eastAsia="Times New Roman"/>
          <w:szCs w:val="28"/>
          <w:lang w:eastAsia="lv-LV"/>
        </w:rPr>
        <w:tab/>
      </w:r>
      <w:r w:rsidR="003672CA">
        <w:rPr>
          <w:rFonts w:eastAsia="Times New Roman"/>
          <w:szCs w:val="28"/>
          <w:lang w:eastAsia="lv-LV"/>
        </w:rPr>
        <w:tab/>
      </w:r>
      <w:r w:rsidRPr="00865AC3">
        <w:rPr>
          <w:rFonts w:eastAsia="Times New Roman"/>
          <w:szCs w:val="28"/>
          <w:lang w:eastAsia="lv-LV"/>
        </w:rPr>
        <w:tab/>
        <w:t xml:space="preserve">   </w:t>
      </w:r>
      <w:r w:rsidR="00F57796">
        <w:rPr>
          <w:rFonts w:eastAsia="Times New Roman"/>
          <w:szCs w:val="28"/>
          <w:lang w:eastAsia="lv-LV"/>
        </w:rPr>
        <w:t xml:space="preserve">    </w:t>
      </w:r>
      <w:r w:rsidRPr="00865AC3">
        <w:rPr>
          <w:rFonts w:eastAsia="Times New Roman"/>
          <w:szCs w:val="28"/>
          <w:lang w:eastAsia="lv-LV"/>
        </w:rPr>
        <w:t xml:space="preserve">   </w:t>
      </w:r>
      <w:r w:rsidR="003672CA">
        <w:rPr>
          <w:rFonts w:eastAsia="Times New Roman"/>
          <w:szCs w:val="28"/>
          <w:lang w:eastAsia="lv-LV"/>
        </w:rPr>
        <w:t xml:space="preserve">  </w:t>
      </w:r>
      <w:r w:rsidRPr="00865AC3">
        <w:rPr>
          <w:rFonts w:eastAsia="Times New Roman"/>
          <w:szCs w:val="28"/>
          <w:lang w:eastAsia="lv-LV"/>
        </w:rPr>
        <w:t xml:space="preserve"> </w:t>
      </w:r>
      <w:r w:rsidR="003672CA">
        <w:rPr>
          <w:rFonts w:eastAsia="Times New Roman"/>
          <w:szCs w:val="28"/>
          <w:lang w:eastAsia="lv-LV"/>
        </w:rPr>
        <w:t>U. Augulis</w:t>
      </w:r>
    </w:p>
    <w:p w:rsidR="009A22F6" w:rsidRDefault="009A22F6" w:rsidP="005D0E57">
      <w:pPr>
        <w:jc w:val="both"/>
        <w:rPr>
          <w:szCs w:val="28"/>
          <w:lang w:eastAsia="lv-LV"/>
        </w:rPr>
      </w:pPr>
    </w:p>
    <w:p w:rsidR="009A22F6" w:rsidRDefault="009A22F6" w:rsidP="005D0E57">
      <w:pPr>
        <w:jc w:val="both"/>
        <w:rPr>
          <w:szCs w:val="28"/>
          <w:lang w:eastAsia="lv-LV"/>
        </w:rPr>
      </w:pPr>
    </w:p>
    <w:p w:rsidR="00596364" w:rsidRPr="00596364" w:rsidRDefault="005A0B95" w:rsidP="00596364">
      <w:pPr>
        <w:jc w:val="both"/>
        <w:rPr>
          <w:rFonts w:eastAsia="Times New Roman"/>
          <w:szCs w:val="28"/>
          <w:lang w:eastAsia="lv-LV"/>
        </w:rPr>
      </w:pPr>
      <w:r>
        <w:rPr>
          <w:rFonts w:eastAsia="Times New Roman"/>
          <w:szCs w:val="28"/>
          <w:lang w:eastAsia="lv-LV"/>
        </w:rPr>
        <w:t>Vīza: valsts sekretārs</w:t>
      </w:r>
      <w:r w:rsidR="00596364" w:rsidRPr="00596364">
        <w:rPr>
          <w:rFonts w:eastAsia="Times New Roman"/>
          <w:szCs w:val="28"/>
          <w:lang w:eastAsia="lv-LV"/>
        </w:rPr>
        <w:tab/>
      </w:r>
      <w:r w:rsidR="00596364" w:rsidRPr="00596364">
        <w:rPr>
          <w:rFonts w:eastAsia="Times New Roman"/>
          <w:szCs w:val="28"/>
          <w:lang w:eastAsia="lv-LV"/>
        </w:rPr>
        <w:tab/>
      </w:r>
      <w:r w:rsidR="00596364" w:rsidRPr="00596364">
        <w:rPr>
          <w:rFonts w:eastAsia="Times New Roman"/>
          <w:szCs w:val="28"/>
          <w:lang w:eastAsia="lv-LV"/>
        </w:rPr>
        <w:tab/>
      </w:r>
      <w:r w:rsidR="00596364" w:rsidRPr="00596364">
        <w:rPr>
          <w:rFonts w:eastAsia="Times New Roman"/>
          <w:szCs w:val="28"/>
          <w:lang w:eastAsia="lv-LV"/>
        </w:rPr>
        <w:tab/>
      </w:r>
      <w:r w:rsidR="00596364" w:rsidRPr="00596364">
        <w:rPr>
          <w:rFonts w:eastAsia="Times New Roman"/>
          <w:szCs w:val="28"/>
          <w:lang w:eastAsia="lv-LV"/>
        </w:rPr>
        <w:tab/>
      </w:r>
      <w:r w:rsidR="00F57796">
        <w:rPr>
          <w:rFonts w:eastAsia="Times New Roman"/>
          <w:szCs w:val="28"/>
          <w:lang w:eastAsia="lv-LV"/>
        </w:rPr>
        <w:t xml:space="preserve">      </w:t>
      </w:r>
      <w:r w:rsidR="00596364" w:rsidRPr="00596364">
        <w:rPr>
          <w:rFonts w:eastAsia="Times New Roman"/>
          <w:szCs w:val="28"/>
          <w:lang w:eastAsia="lv-LV"/>
        </w:rPr>
        <w:t xml:space="preserve">            </w:t>
      </w:r>
      <w:r>
        <w:rPr>
          <w:rFonts w:eastAsia="Times New Roman"/>
          <w:szCs w:val="28"/>
          <w:lang w:eastAsia="lv-LV"/>
        </w:rPr>
        <w:t xml:space="preserve">         </w:t>
      </w:r>
      <w:r w:rsidR="00596364" w:rsidRPr="00596364">
        <w:rPr>
          <w:rFonts w:eastAsia="Times New Roman"/>
          <w:szCs w:val="28"/>
          <w:lang w:eastAsia="lv-LV"/>
        </w:rPr>
        <w:t xml:space="preserve">     </w:t>
      </w:r>
      <w:r>
        <w:rPr>
          <w:rFonts w:eastAsia="Times New Roman"/>
          <w:szCs w:val="28"/>
          <w:lang w:eastAsia="lv-LV"/>
        </w:rPr>
        <w:t>K. Ozoliņš</w:t>
      </w:r>
    </w:p>
    <w:p w:rsidR="003B3316" w:rsidRDefault="003B3316" w:rsidP="005D0E57">
      <w:pPr>
        <w:jc w:val="both"/>
        <w:rPr>
          <w:szCs w:val="28"/>
          <w:lang w:eastAsia="lv-LV"/>
        </w:rPr>
      </w:pPr>
    </w:p>
    <w:p w:rsidR="009A22F6" w:rsidRDefault="001E0AFD" w:rsidP="005D0E57">
      <w:pPr>
        <w:jc w:val="both"/>
        <w:rPr>
          <w:sz w:val="20"/>
          <w:szCs w:val="20"/>
          <w:lang w:eastAsia="lv-LV"/>
        </w:rPr>
      </w:pPr>
      <w:r>
        <w:rPr>
          <w:sz w:val="20"/>
          <w:szCs w:val="20"/>
          <w:lang w:eastAsia="lv-LV"/>
        </w:rPr>
        <w:t>27</w:t>
      </w:r>
      <w:r w:rsidR="00280298">
        <w:rPr>
          <w:sz w:val="20"/>
          <w:szCs w:val="20"/>
          <w:lang w:eastAsia="lv-LV"/>
        </w:rPr>
        <w:t>.01</w:t>
      </w:r>
      <w:r w:rsidR="008D6B97">
        <w:rPr>
          <w:sz w:val="20"/>
          <w:szCs w:val="20"/>
          <w:lang w:eastAsia="lv-LV"/>
        </w:rPr>
        <w:t>.201</w:t>
      </w:r>
      <w:r w:rsidR="00280298">
        <w:rPr>
          <w:sz w:val="20"/>
          <w:szCs w:val="20"/>
          <w:lang w:eastAsia="lv-LV"/>
        </w:rPr>
        <w:t>7</w:t>
      </w:r>
      <w:r w:rsidR="00131DEA">
        <w:rPr>
          <w:sz w:val="20"/>
          <w:szCs w:val="20"/>
          <w:lang w:eastAsia="lv-LV"/>
        </w:rPr>
        <w:t xml:space="preserve">. </w:t>
      </w:r>
      <w:r w:rsidR="00596364">
        <w:rPr>
          <w:sz w:val="20"/>
          <w:szCs w:val="20"/>
          <w:lang w:eastAsia="lv-LV"/>
        </w:rPr>
        <w:t>1</w:t>
      </w:r>
      <w:r w:rsidR="00DE010A">
        <w:rPr>
          <w:sz w:val="20"/>
          <w:szCs w:val="20"/>
          <w:lang w:eastAsia="lv-LV"/>
        </w:rPr>
        <w:t>6</w:t>
      </w:r>
      <w:r w:rsidR="00C37861">
        <w:rPr>
          <w:sz w:val="20"/>
          <w:szCs w:val="20"/>
          <w:lang w:eastAsia="lv-LV"/>
        </w:rPr>
        <w:t>:</w:t>
      </w:r>
      <w:r w:rsidR="00DE010A">
        <w:rPr>
          <w:sz w:val="20"/>
          <w:szCs w:val="20"/>
          <w:lang w:eastAsia="lv-LV"/>
        </w:rPr>
        <w:t>49</w:t>
      </w:r>
    </w:p>
    <w:p w:rsidR="009A22F6" w:rsidRPr="008B42C6" w:rsidRDefault="00DE010A" w:rsidP="005D0E57">
      <w:pPr>
        <w:jc w:val="both"/>
        <w:rPr>
          <w:sz w:val="20"/>
          <w:szCs w:val="20"/>
        </w:rPr>
      </w:pPr>
      <w:r>
        <w:rPr>
          <w:sz w:val="20"/>
          <w:szCs w:val="20"/>
        </w:rPr>
        <w:t>1808</w:t>
      </w:r>
    </w:p>
    <w:p w:rsidR="00CB1428" w:rsidRPr="00C154DE" w:rsidRDefault="00CB1428" w:rsidP="00CB1428">
      <w:pPr>
        <w:rPr>
          <w:rFonts w:eastAsia="Times New Roman"/>
          <w:sz w:val="20"/>
          <w:szCs w:val="20"/>
          <w:lang w:eastAsia="lv-LV"/>
        </w:rPr>
      </w:pPr>
      <w:r w:rsidRPr="00C154DE">
        <w:rPr>
          <w:rFonts w:eastAsia="Times New Roman"/>
          <w:sz w:val="20"/>
          <w:szCs w:val="20"/>
          <w:lang w:eastAsia="lv-LV"/>
        </w:rPr>
        <w:t>D.</w:t>
      </w:r>
      <w:r w:rsidR="00481D38">
        <w:rPr>
          <w:rFonts w:eastAsia="Times New Roman"/>
          <w:sz w:val="20"/>
          <w:szCs w:val="20"/>
          <w:lang w:eastAsia="lv-LV"/>
        </w:rPr>
        <w:t> </w:t>
      </w:r>
      <w:r w:rsidRPr="00C154DE">
        <w:rPr>
          <w:rFonts w:eastAsia="Times New Roman"/>
          <w:sz w:val="20"/>
          <w:szCs w:val="20"/>
          <w:lang w:eastAsia="lv-LV"/>
        </w:rPr>
        <w:t>Su</w:t>
      </w:r>
      <w:r w:rsidR="00071C92">
        <w:rPr>
          <w:rFonts w:eastAsia="Times New Roman"/>
          <w:sz w:val="20"/>
          <w:szCs w:val="20"/>
          <w:lang w:eastAsia="lv-LV"/>
        </w:rPr>
        <w:t>pe</w:t>
      </w:r>
      <w:r w:rsidRPr="00C154DE">
        <w:rPr>
          <w:rFonts w:eastAsia="Times New Roman"/>
          <w:sz w:val="20"/>
          <w:szCs w:val="20"/>
          <w:lang w:eastAsia="lv-LV"/>
        </w:rPr>
        <w:t>, 67028253</w:t>
      </w:r>
    </w:p>
    <w:p w:rsidR="00CB1428" w:rsidRDefault="00D77D46" w:rsidP="0042367F">
      <w:pPr>
        <w:rPr>
          <w:rFonts w:ascii="Arial" w:hAnsi="Arial" w:cs="Arial"/>
          <w:b/>
          <w:bCs/>
          <w:color w:val="414142"/>
          <w:sz w:val="20"/>
          <w:szCs w:val="20"/>
          <w:lang w:eastAsia="lv-LV"/>
        </w:rPr>
      </w:pPr>
      <w:hyperlink r:id="rId10" w:history="1">
        <w:r w:rsidR="00071C92" w:rsidRPr="00C22268">
          <w:rPr>
            <w:rStyle w:val="Hyperlink"/>
            <w:rFonts w:eastAsia="Times New Roman"/>
            <w:sz w:val="20"/>
            <w:szCs w:val="20"/>
            <w:lang w:eastAsia="lv-LV"/>
          </w:rPr>
          <w:t>dace.supe@sam.gov.lv</w:t>
        </w:r>
      </w:hyperlink>
    </w:p>
    <w:sectPr w:rsidR="00CB1428" w:rsidSect="000461D9">
      <w:headerReference w:type="default" r:id="rId11"/>
      <w:footerReference w:type="default" r:id="rId12"/>
      <w:footerReference w:type="first" r:id="rId13"/>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26" w:rsidRDefault="00EA6226" w:rsidP="001D3D27">
      <w:r>
        <w:separator/>
      </w:r>
    </w:p>
  </w:endnote>
  <w:endnote w:type="continuationSeparator" w:id="0">
    <w:p w:rsidR="00EA6226" w:rsidRDefault="00EA6226" w:rsidP="001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3B" w:rsidRPr="00DE0915" w:rsidRDefault="00A7073B" w:rsidP="00A7073B">
    <w:pPr>
      <w:jc w:val="both"/>
      <w:rPr>
        <w:bCs/>
        <w:color w:val="000000"/>
        <w:sz w:val="20"/>
        <w:szCs w:val="20"/>
        <w:lang w:eastAsia="lv-LV"/>
      </w:rPr>
    </w:pPr>
    <w:r>
      <w:rPr>
        <w:bCs/>
        <w:color w:val="000000"/>
        <w:sz w:val="20"/>
        <w:szCs w:val="20"/>
        <w:lang w:eastAsia="lv-LV"/>
      </w:rPr>
      <w:t>SAMAnot_</w:t>
    </w:r>
    <w:r w:rsidR="001E0AFD">
      <w:rPr>
        <w:bCs/>
        <w:color w:val="000000"/>
        <w:sz w:val="20"/>
        <w:szCs w:val="20"/>
        <w:lang w:eastAsia="lv-LV"/>
      </w:rPr>
      <w:t>27</w:t>
    </w:r>
    <w:r w:rsidR="00280298">
      <w:rPr>
        <w:bCs/>
        <w:color w:val="000000"/>
        <w:sz w:val="20"/>
        <w:szCs w:val="20"/>
        <w:lang w:eastAsia="lv-LV"/>
      </w:rPr>
      <w:t>0117</w:t>
    </w:r>
    <w:r>
      <w:rPr>
        <w:bCs/>
        <w:color w:val="000000"/>
        <w:sz w:val="20"/>
        <w:szCs w:val="20"/>
        <w:lang w:eastAsia="lv-LV"/>
      </w:rPr>
      <w:t xml:space="preserve">_groz_lielgab; </w:t>
    </w:r>
    <w:r w:rsidRPr="00A7073B">
      <w:rPr>
        <w:bCs/>
        <w:color w:val="000000"/>
        <w:sz w:val="20"/>
        <w:szCs w:val="20"/>
        <w:lang w:eastAsia="lv-LV"/>
      </w:rPr>
      <w:t>Ministru kabine</w:t>
    </w:r>
    <w:r w:rsidR="00B326FB">
      <w:rPr>
        <w:bCs/>
        <w:color w:val="000000"/>
        <w:sz w:val="20"/>
        <w:szCs w:val="20"/>
        <w:lang w:eastAsia="lv-LV"/>
      </w:rPr>
      <w:t>ta noteikumu projekta „Grozījum</w:t>
    </w:r>
    <w:r w:rsidR="00701820">
      <w:rPr>
        <w:bCs/>
        <w:color w:val="000000"/>
        <w:sz w:val="20"/>
        <w:szCs w:val="20"/>
        <w:lang w:eastAsia="lv-LV"/>
      </w:rPr>
      <w:t>s</w:t>
    </w:r>
    <w:r w:rsidRPr="00A7073B">
      <w:rPr>
        <w:bCs/>
        <w:color w:val="000000"/>
        <w:sz w:val="20"/>
        <w:szCs w:val="20"/>
        <w:lang w:eastAsia="lv-LV"/>
      </w:rPr>
      <w:t xml:space="preserve"> Ministru kabineta</w:t>
    </w:r>
    <w:r w:rsidR="00B326FB">
      <w:rPr>
        <w:bCs/>
        <w:color w:val="000000"/>
        <w:sz w:val="20"/>
        <w:szCs w:val="20"/>
        <w:lang w:eastAsia="lv-LV"/>
      </w:rPr>
      <w:t xml:space="preserve"> 2010. gada 6. </w:t>
    </w:r>
    <w:r w:rsidRPr="00A7073B">
      <w:rPr>
        <w:bCs/>
        <w:color w:val="000000"/>
        <w:sz w:val="20"/>
        <w:szCs w:val="20"/>
        <w:lang w:eastAsia="lv-LV"/>
      </w:rPr>
      <w:t>aprīļa noteikumos Nr. 343 „Noteikumi par lielgabarīta un smagsvara pārvadājumiem””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6" w:rsidRPr="00DE0915" w:rsidRDefault="009A22F6" w:rsidP="00864B46">
    <w:pPr>
      <w:jc w:val="both"/>
      <w:rPr>
        <w:bCs/>
        <w:color w:val="000000"/>
        <w:sz w:val="20"/>
        <w:szCs w:val="20"/>
        <w:lang w:eastAsia="lv-LV"/>
      </w:rPr>
    </w:pPr>
    <w:r>
      <w:rPr>
        <w:bCs/>
        <w:color w:val="000000"/>
        <w:sz w:val="20"/>
        <w:szCs w:val="20"/>
        <w:lang w:eastAsia="lv-LV"/>
      </w:rPr>
      <w:t>SAMAnot_</w:t>
    </w:r>
    <w:r w:rsidR="001E0AFD">
      <w:rPr>
        <w:bCs/>
        <w:color w:val="000000"/>
        <w:sz w:val="20"/>
        <w:szCs w:val="20"/>
        <w:lang w:eastAsia="lv-LV"/>
      </w:rPr>
      <w:t>27</w:t>
    </w:r>
    <w:r w:rsidR="00280298">
      <w:rPr>
        <w:bCs/>
        <w:color w:val="000000"/>
        <w:sz w:val="20"/>
        <w:szCs w:val="20"/>
        <w:lang w:eastAsia="lv-LV"/>
      </w:rPr>
      <w:t>0117</w:t>
    </w:r>
    <w:r>
      <w:rPr>
        <w:bCs/>
        <w:color w:val="000000"/>
        <w:sz w:val="20"/>
        <w:szCs w:val="20"/>
        <w:lang w:eastAsia="lv-LV"/>
      </w:rPr>
      <w:t>_</w:t>
    </w:r>
    <w:r w:rsidR="00A7073B">
      <w:rPr>
        <w:bCs/>
        <w:color w:val="000000"/>
        <w:sz w:val="20"/>
        <w:szCs w:val="20"/>
        <w:lang w:eastAsia="lv-LV"/>
      </w:rPr>
      <w:t>groz_lielgab</w:t>
    </w:r>
    <w:r>
      <w:rPr>
        <w:bCs/>
        <w:color w:val="000000"/>
        <w:sz w:val="20"/>
        <w:szCs w:val="20"/>
        <w:lang w:eastAsia="lv-LV"/>
      </w:rPr>
      <w:t xml:space="preserve">; </w:t>
    </w:r>
    <w:r w:rsidR="00A7073B" w:rsidRPr="00A7073B">
      <w:rPr>
        <w:bCs/>
        <w:color w:val="000000"/>
        <w:sz w:val="20"/>
        <w:szCs w:val="20"/>
        <w:lang w:eastAsia="lv-LV"/>
      </w:rPr>
      <w:t>Ministru kabineta noteikumu projekta „Grozījum</w:t>
    </w:r>
    <w:r w:rsidR="00701820">
      <w:rPr>
        <w:bCs/>
        <w:color w:val="000000"/>
        <w:sz w:val="20"/>
        <w:szCs w:val="20"/>
        <w:lang w:eastAsia="lv-LV"/>
      </w:rPr>
      <w:t>s</w:t>
    </w:r>
    <w:r w:rsidR="00A7073B" w:rsidRPr="00A7073B">
      <w:rPr>
        <w:bCs/>
        <w:color w:val="000000"/>
        <w:sz w:val="20"/>
        <w:szCs w:val="20"/>
        <w:lang w:eastAsia="lv-LV"/>
      </w:rPr>
      <w:t xml:space="preserve"> Ministru kabineta 2010. gada</w:t>
    </w:r>
    <w:r w:rsidR="00B326FB">
      <w:rPr>
        <w:bCs/>
        <w:color w:val="000000"/>
        <w:sz w:val="20"/>
        <w:szCs w:val="20"/>
        <w:lang w:eastAsia="lv-LV"/>
      </w:rPr>
      <w:t xml:space="preserve"> 6. </w:t>
    </w:r>
    <w:r w:rsidR="00A7073B" w:rsidRPr="00A7073B">
      <w:rPr>
        <w:bCs/>
        <w:color w:val="000000"/>
        <w:sz w:val="20"/>
        <w:szCs w:val="20"/>
        <w:lang w:eastAsia="lv-LV"/>
      </w:rPr>
      <w:t>aprīļa noteikumos Nr. 343 „Noteikumi par lielgabarīta un smagsvara pārvadājumiem””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26" w:rsidRDefault="00EA6226" w:rsidP="001D3D27">
      <w:r>
        <w:separator/>
      </w:r>
    </w:p>
  </w:footnote>
  <w:footnote w:type="continuationSeparator" w:id="0">
    <w:p w:rsidR="00EA6226" w:rsidRDefault="00EA6226" w:rsidP="001D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6" w:rsidRPr="00EF4070" w:rsidRDefault="009A22F6">
    <w:pPr>
      <w:pStyle w:val="Header"/>
      <w:jc w:val="center"/>
      <w:rPr>
        <w:szCs w:val="28"/>
      </w:rPr>
    </w:pPr>
    <w:r w:rsidRPr="00EF4070">
      <w:rPr>
        <w:szCs w:val="28"/>
      </w:rPr>
      <w:fldChar w:fldCharType="begin"/>
    </w:r>
    <w:r w:rsidRPr="00EF4070">
      <w:rPr>
        <w:szCs w:val="28"/>
      </w:rPr>
      <w:instrText xml:space="preserve"> PAGE   \* MERGEFORMAT </w:instrText>
    </w:r>
    <w:r w:rsidRPr="00EF4070">
      <w:rPr>
        <w:szCs w:val="28"/>
      </w:rPr>
      <w:fldChar w:fldCharType="separate"/>
    </w:r>
    <w:r w:rsidR="00D77D46">
      <w:rPr>
        <w:noProof/>
        <w:szCs w:val="28"/>
      </w:rPr>
      <w:t>9</w:t>
    </w:r>
    <w:r w:rsidRPr="00EF4070">
      <w:rPr>
        <w:szCs w:val="28"/>
      </w:rPr>
      <w:fldChar w:fldCharType="end"/>
    </w:r>
  </w:p>
  <w:p w:rsidR="009A22F6" w:rsidRDefault="009A2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1178"/>
    <w:multiLevelType w:val="hybridMultilevel"/>
    <w:tmpl w:val="3C469EE6"/>
    <w:lvl w:ilvl="0" w:tplc="7506FEEC">
      <w:start w:val="2010"/>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70164DA7"/>
    <w:multiLevelType w:val="hybridMultilevel"/>
    <w:tmpl w:val="E7E6F1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723709B6"/>
    <w:multiLevelType w:val="hybridMultilevel"/>
    <w:tmpl w:val="779E77B4"/>
    <w:lvl w:ilvl="0" w:tplc="F2AA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15"/>
    <w:rsid w:val="000048CD"/>
    <w:rsid w:val="00016366"/>
    <w:rsid w:val="00042814"/>
    <w:rsid w:val="000461D9"/>
    <w:rsid w:val="00071C92"/>
    <w:rsid w:val="000D5D90"/>
    <w:rsid w:val="000D66F9"/>
    <w:rsid w:val="000E400D"/>
    <w:rsid w:val="00100FFE"/>
    <w:rsid w:val="00102E7F"/>
    <w:rsid w:val="00131DEA"/>
    <w:rsid w:val="00142568"/>
    <w:rsid w:val="0014481A"/>
    <w:rsid w:val="00150CB2"/>
    <w:rsid w:val="00155F97"/>
    <w:rsid w:val="001828D8"/>
    <w:rsid w:val="001A1F82"/>
    <w:rsid w:val="001C4665"/>
    <w:rsid w:val="001D39CC"/>
    <w:rsid w:val="001D3D27"/>
    <w:rsid w:val="001E0AFD"/>
    <w:rsid w:val="0020290E"/>
    <w:rsid w:val="00222671"/>
    <w:rsid w:val="002465F5"/>
    <w:rsid w:val="00280298"/>
    <w:rsid w:val="0028728B"/>
    <w:rsid w:val="00297869"/>
    <w:rsid w:val="002E3B59"/>
    <w:rsid w:val="002F0047"/>
    <w:rsid w:val="002F5AD1"/>
    <w:rsid w:val="00300F55"/>
    <w:rsid w:val="00313A44"/>
    <w:rsid w:val="00334ED2"/>
    <w:rsid w:val="003575EA"/>
    <w:rsid w:val="00365382"/>
    <w:rsid w:val="003672CA"/>
    <w:rsid w:val="003765B3"/>
    <w:rsid w:val="00394104"/>
    <w:rsid w:val="003A3293"/>
    <w:rsid w:val="003B1E79"/>
    <w:rsid w:val="003B3316"/>
    <w:rsid w:val="00410CEB"/>
    <w:rsid w:val="0042116E"/>
    <w:rsid w:val="0042367F"/>
    <w:rsid w:val="0043050F"/>
    <w:rsid w:val="00430951"/>
    <w:rsid w:val="004314EA"/>
    <w:rsid w:val="00433EB1"/>
    <w:rsid w:val="00470FBE"/>
    <w:rsid w:val="00473E17"/>
    <w:rsid w:val="004805E3"/>
    <w:rsid w:val="00481D38"/>
    <w:rsid w:val="004825A4"/>
    <w:rsid w:val="004A2F69"/>
    <w:rsid w:val="004B3F43"/>
    <w:rsid w:val="004B6EB5"/>
    <w:rsid w:val="004C1EFA"/>
    <w:rsid w:val="004C45D6"/>
    <w:rsid w:val="004D4890"/>
    <w:rsid w:val="004E5D68"/>
    <w:rsid w:val="004F0B81"/>
    <w:rsid w:val="004F5F50"/>
    <w:rsid w:val="00501BC3"/>
    <w:rsid w:val="00505DFA"/>
    <w:rsid w:val="005066FD"/>
    <w:rsid w:val="00506FB8"/>
    <w:rsid w:val="0051192F"/>
    <w:rsid w:val="00523878"/>
    <w:rsid w:val="005268F5"/>
    <w:rsid w:val="00531160"/>
    <w:rsid w:val="0053566A"/>
    <w:rsid w:val="00551133"/>
    <w:rsid w:val="00555183"/>
    <w:rsid w:val="005709B4"/>
    <w:rsid w:val="00571517"/>
    <w:rsid w:val="00580136"/>
    <w:rsid w:val="00590918"/>
    <w:rsid w:val="00591647"/>
    <w:rsid w:val="00596364"/>
    <w:rsid w:val="00596DAA"/>
    <w:rsid w:val="005A0B95"/>
    <w:rsid w:val="005C2C9A"/>
    <w:rsid w:val="005C6031"/>
    <w:rsid w:val="005D098E"/>
    <w:rsid w:val="005D0E57"/>
    <w:rsid w:val="005E6B12"/>
    <w:rsid w:val="005E7CE1"/>
    <w:rsid w:val="005F04CE"/>
    <w:rsid w:val="006134A0"/>
    <w:rsid w:val="00651C37"/>
    <w:rsid w:val="00653160"/>
    <w:rsid w:val="00665C9F"/>
    <w:rsid w:val="00666170"/>
    <w:rsid w:val="00693E35"/>
    <w:rsid w:val="006A73DE"/>
    <w:rsid w:val="006D0E4F"/>
    <w:rsid w:val="006D5CE3"/>
    <w:rsid w:val="006D783E"/>
    <w:rsid w:val="00701820"/>
    <w:rsid w:val="00703B94"/>
    <w:rsid w:val="00715510"/>
    <w:rsid w:val="0071685A"/>
    <w:rsid w:val="00723BA5"/>
    <w:rsid w:val="0075212F"/>
    <w:rsid w:val="007653E2"/>
    <w:rsid w:val="00781925"/>
    <w:rsid w:val="0078679D"/>
    <w:rsid w:val="007921FB"/>
    <w:rsid w:val="00792493"/>
    <w:rsid w:val="007B7359"/>
    <w:rsid w:val="007D1291"/>
    <w:rsid w:val="007D7602"/>
    <w:rsid w:val="008052A7"/>
    <w:rsid w:val="00806E6B"/>
    <w:rsid w:val="00806FA2"/>
    <w:rsid w:val="0081787B"/>
    <w:rsid w:val="00832F6A"/>
    <w:rsid w:val="00840154"/>
    <w:rsid w:val="00843472"/>
    <w:rsid w:val="008556E5"/>
    <w:rsid w:val="00861D6F"/>
    <w:rsid w:val="00862315"/>
    <w:rsid w:val="00864B46"/>
    <w:rsid w:val="00865AC3"/>
    <w:rsid w:val="00884C71"/>
    <w:rsid w:val="0088592A"/>
    <w:rsid w:val="0089513C"/>
    <w:rsid w:val="008B42C6"/>
    <w:rsid w:val="008C2078"/>
    <w:rsid w:val="008D245E"/>
    <w:rsid w:val="008D6B97"/>
    <w:rsid w:val="008E30A3"/>
    <w:rsid w:val="009202AB"/>
    <w:rsid w:val="009253FF"/>
    <w:rsid w:val="00930554"/>
    <w:rsid w:val="00932321"/>
    <w:rsid w:val="00932D40"/>
    <w:rsid w:val="00941FC9"/>
    <w:rsid w:val="0096178D"/>
    <w:rsid w:val="00975194"/>
    <w:rsid w:val="009944EB"/>
    <w:rsid w:val="009A22F6"/>
    <w:rsid w:val="009A3795"/>
    <w:rsid w:val="009B40CD"/>
    <w:rsid w:val="009E2387"/>
    <w:rsid w:val="009E29B9"/>
    <w:rsid w:val="009E5FCB"/>
    <w:rsid w:val="009F7AA2"/>
    <w:rsid w:val="00A02AC1"/>
    <w:rsid w:val="00A02E3E"/>
    <w:rsid w:val="00A05462"/>
    <w:rsid w:val="00A33ED8"/>
    <w:rsid w:val="00A50B39"/>
    <w:rsid w:val="00A7073B"/>
    <w:rsid w:val="00AE01B2"/>
    <w:rsid w:val="00AE6171"/>
    <w:rsid w:val="00AF400C"/>
    <w:rsid w:val="00AF4D19"/>
    <w:rsid w:val="00B0512D"/>
    <w:rsid w:val="00B12AC9"/>
    <w:rsid w:val="00B16644"/>
    <w:rsid w:val="00B2758C"/>
    <w:rsid w:val="00B326FB"/>
    <w:rsid w:val="00B36977"/>
    <w:rsid w:val="00B422FF"/>
    <w:rsid w:val="00B55DED"/>
    <w:rsid w:val="00B617DF"/>
    <w:rsid w:val="00B66E42"/>
    <w:rsid w:val="00B87C25"/>
    <w:rsid w:val="00B96F3F"/>
    <w:rsid w:val="00BA1968"/>
    <w:rsid w:val="00BD36B3"/>
    <w:rsid w:val="00BD5A81"/>
    <w:rsid w:val="00C135FC"/>
    <w:rsid w:val="00C24D0D"/>
    <w:rsid w:val="00C3621D"/>
    <w:rsid w:val="00C37861"/>
    <w:rsid w:val="00C42D0A"/>
    <w:rsid w:val="00C60BCD"/>
    <w:rsid w:val="00C63EB8"/>
    <w:rsid w:val="00C820B0"/>
    <w:rsid w:val="00C8670F"/>
    <w:rsid w:val="00CB1428"/>
    <w:rsid w:val="00CB397E"/>
    <w:rsid w:val="00CB62F3"/>
    <w:rsid w:val="00CC0417"/>
    <w:rsid w:val="00CD3E55"/>
    <w:rsid w:val="00CE22A7"/>
    <w:rsid w:val="00D01D3C"/>
    <w:rsid w:val="00D10AFF"/>
    <w:rsid w:val="00D17EE4"/>
    <w:rsid w:val="00D44D84"/>
    <w:rsid w:val="00D6111F"/>
    <w:rsid w:val="00D62F5F"/>
    <w:rsid w:val="00D76E6F"/>
    <w:rsid w:val="00D77D46"/>
    <w:rsid w:val="00D80E46"/>
    <w:rsid w:val="00DA76F6"/>
    <w:rsid w:val="00DC10C0"/>
    <w:rsid w:val="00DC76D2"/>
    <w:rsid w:val="00DD3E70"/>
    <w:rsid w:val="00DE010A"/>
    <w:rsid w:val="00DE0571"/>
    <w:rsid w:val="00DE0915"/>
    <w:rsid w:val="00DE186B"/>
    <w:rsid w:val="00DE1F89"/>
    <w:rsid w:val="00E07C15"/>
    <w:rsid w:val="00E26F8F"/>
    <w:rsid w:val="00E43E19"/>
    <w:rsid w:val="00E50217"/>
    <w:rsid w:val="00E51EA8"/>
    <w:rsid w:val="00E53951"/>
    <w:rsid w:val="00E61C6E"/>
    <w:rsid w:val="00E632DC"/>
    <w:rsid w:val="00E71DF6"/>
    <w:rsid w:val="00E77331"/>
    <w:rsid w:val="00E832C1"/>
    <w:rsid w:val="00E87CB8"/>
    <w:rsid w:val="00E91F17"/>
    <w:rsid w:val="00EA6226"/>
    <w:rsid w:val="00EC677A"/>
    <w:rsid w:val="00EC7979"/>
    <w:rsid w:val="00ED52B8"/>
    <w:rsid w:val="00EF0B38"/>
    <w:rsid w:val="00EF4070"/>
    <w:rsid w:val="00F00BD3"/>
    <w:rsid w:val="00F13B03"/>
    <w:rsid w:val="00F2475F"/>
    <w:rsid w:val="00F30BAF"/>
    <w:rsid w:val="00F37597"/>
    <w:rsid w:val="00F4556C"/>
    <w:rsid w:val="00F52710"/>
    <w:rsid w:val="00F54F4F"/>
    <w:rsid w:val="00F57796"/>
    <w:rsid w:val="00F80B2D"/>
    <w:rsid w:val="00F80C03"/>
    <w:rsid w:val="00F91126"/>
    <w:rsid w:val="00FB0813"/>
    <w:rsid w:val="00FB5AB5"/>
    <w:rsid w:val="00FC47C0"/>
    <w:rsid w:val="00FF0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 w:type="paragraph" w:customStyle="1" w:styleId="tvhtmlmktable">
    <w:name w:val="tv_html mk_table"/>
    <w:basedOn w:val="Normal"/>
    <w:rsid w:val="00D44D84"/>
    <w:pPr>
      <w:spacing w:before="100" w:beforeAutospacing="1" w:after="100" w:afterAutospacing="1"/>
    </w:pPr>
    <w:rPr>
      <w:rFonts w:ascii="Verdana" w:eastAsia="Times New Roman" w:hAnsi="Verdana"/>
      <w:sz w:val="18"/>
      <w:szCs w:val="18"/>
      <w:lang w:eastAsia="lv-LV"/>
    </w:rPr>
  </w:style>
  <w:style w:type="character" w:styleId="FollowedHyperlink">
    <w:name w:val="FollowedHyperlink"/>
    <w:basedOn w:val="DefaultParagraphFont"/>
    <w:uiPriority w:val="99"/>
    <w:semiHidden/>
    <w:unhideWhenUsed/>
    <w:rsid w:val="005A0B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 w:type="paragraph" w:customStyle="1" w:styleId="tvhtmlmktable">
    <w:name w:val="tv_html mk_table"/>
    <w:basedOn w:val="Normal"/>
    <w:rsid w:val="00D44D84"/>
    <w:pPr>
      <w:spacing w:before="100" w:beforeAutospacing="1" w:after="100" w:afterAutospacing="1"/>
    </w:pPr>
    <w:rPr>
      <w:rFonts w:ascii="Verdana" w:eastAsia="Times New Roman" w:hAnsi="Verdana"/>
      <w:sz w:val="18"/>
      <w:szCs w:val="18"/>
      <w:lang w:eastAsia="lv-LV"/>
    </w:rPr>
  </w:style>
  <w:style w:type="character" w:styleId="FollowedHyperlink">
    <w:name w:val="FollowedHyperlink"/>
    <w:basedOn w:val="DefaultParagraphFont"/>
    <w:uiPriority w:val="99"/>
    <w:semiHidden/>
    <w:unhideWhenUsed/>
    <w:rsid w:val="005A0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5510">
      <w:marLeft w:val="0"/>
      <w:marRight w:val="0"/>
      <w:marTop w:val="0"/>
      <w:marBottom w:val="0"/>
      <w:divBdr>
        <w:top w:val="none" w:sz="0" w:space="0" w:color="auto"/>
        <w:left w:val="none" w:sz="0" w:space="0" w:color="auto"/>
        <w:bottom w:val="none" w:sz="0" w:space="0" w:color="auto"/>
        <w:right w:val="none" w:sz="0" w:space="0" w:color="auto"/>
      </w:divBdr>
    </w:div>
    <w:div w:id="946355511">
      <w:marLeft w:val="0"/>
      <w:marRight w:val="0"/>
      <w:marTop w:val="0"/>
      <w:marBottom w:val="0"/>
      <w:divBdr>
        <w:top w:val="none" w:sz="0" w:space="0" w:color="auto"/>
        <w:left w:val="none" w:sz="0" w:space="0" w:color="auto"/>
        <w:bottom w:val="none" w:sz="0" w:space="0" w:color="auto"/>
        <w:right w:val="none" w:sz="0" w:space="0" w:color="auto"/>
      </w:divBdr>
    </w:div>
    <w:div w:id="946355513">
      <w:marLeft w:val="0"/>
      <w:marRight w:val="0"/>
      <w:marTop w:val="0"/>
      <w:marBottom w:val="0"/>
      <w:divBdr>
        <w:top w:val="none" w:sz="0" w:space="0" w:color="auto"/>
        <w:left w:val="none" w:sz="0" w:space="0" w:color="auto"/>
        <w:bottom w:val="none" w:sz="0" w:space="0" w:color="auto"/>
        <w:right w:val="none" w:sz="0" w:space="0" w:color="auto"/>
      </w:divBdr>
      <w:divsChild>
        <w:div w:id="946355509">
          <w:marLeft w:val="0"/>
          <w:marRight w:val="0"/>
          <w:marTop w:val="240"/>
          <w:marBottom w:val="0"/>
          <w:divBdr>
            <w:top w:val="none" w:sz="0" w:space="0" w:color="auto"/>
            <w:left w:val="none" w:sz="0" w:space="0" w:color="auto"/>
            <w:bottom w:val="none" w:sz="0" w:space="0" w:color="auto"/>
            <w:right w:val="none" w:sz="0" w:space="0" w:color="auto"/>
          </w:divBdr>
        </w:div>
        <w:div w:id="946355512">
          <w:marLeft w:val="0"/>
          <w:marRight w:val="0"/>
          <w:marTop w:val="400"/>
          <w:marBottom w:val="0"/>
          <w:divBdr>
            <w:top w:val="none" w:sz="0" w:space="0" w:color="auto"/>
            <w:left w:val="none" w:sz="0" w:space="0" w:color="auto"/>
            <w:bottom w:val="none" w:sz="0" w:space="0" w:color="auto"/>
            <w:right w:val="none" w:sz="0" w:space="0" w:color="auto"/>
          </w:divBdr>
        </w:div>
      </w:divsChild>
    </w:div>
    <w:div w:id="946355514">
      <w:marLeft w:val="0"/>
      <w:marRight w:val="0"/>
      <w:marTop w:val="0"/>
      <w:marBottom w:val="0"/>
      <w:divBdr>
        <w:top w:val="none" w:sz="0" w:space="0" w:color="auto"/>
        <w:left w:val="none" w:sz="0" w:space="0" w:color="auto"/>
        <w:bottom w:val="none" w:sz="0" w:space="0" w:color="auto"/>
        <w:right w:val="none" w:sz="0" w:space="0" w:color="auto"/>
      </w:divBdr>
    </w:div>
    <w:div w:id="946355515">
      <w:marLeft w:val="0"/>
      <w:marRight w:val="0"/>
      <w:marTop w:val="0"/>
      <w:marBottom w:val="0"/>
      <w:divBdr>
        <w:top w:val="none" w:sz="0" w:space="0" w:color="auto"/>
        <w:left w:val="none" w:sz="0" w:space="0" w:color="auto"/>
        <w:bottom w:val="none" w:sz="0" w:space="0" w:color="auto"/>
        <w:right w:val="none" w:sz="0" w:space="0" w:color="auto"/>
      </w:divBdr>
    </w:div>
    <w:div w:id="946355516">
      <w:marLeft w:val="0"/>
      <w:marRight w:val="0"/>
      <w:marTop w:val="0"/>
      <w:marBottom w:val="0"/>
      <w:divBdr>
        <w:top w:val="none" w:sz="0" w:space="0" w:color="auto"/>
        <w:left w:val="none" w:sz="0" w:space="0" w:color="auto"/>
        <w:bottom w:val="none" w:sz="0" w:space="0" w:color="auto"/>
        <w:right w:val="none" w:sz="0" w:space="0" w:color="auto"/>
      </w:divBdr>
    </w:div>
    <w:div w:id="1161120095">
      <w:bodyDiv w:val="1"/>
      <w:marLeft w:val="0"/>
      <w:marRight w:val="0"/>
      <w:marTop w:val="0"/>
      <w:marBottom w:val="0"/>
      <w:divBdr>
        <w:top w:val="none" w:sz="0" w:space="0" w:color="auto"/>
        <w:left w:val="none" w:sz="0" w:space="0" w:color="auto"/>
        <w:bottom w:val="none" w:sz="0" w:space="0" w:color="auto"/>
        <w:right w:val="none" w:sz="0" w:space="0" w:color="auto"/>
      </w:divBdr>
    </w:div>
    <w:div w:id="1250310642">
      <w:bodyDiv w:val="1"/>
      <w:marLeft w:val="0"/>
      <w:marRight w:val="0"/>
      <w:marTop w:val="0"/>
      <w:marBottom w:val="0"/>
      <w:divBdr>
        <w:top w:val="none" w:sz="0" w:space="0" w:color="auto"/>
        <w:left w:val="none" w:sz="0" w:space="0" w:color="auto"/>
        <w:bottom w:val="none" w:sz="0" w:space="0" w:color="auto"/>
        <w:right w:val="none" w:sz="0" w:space="0" w:color="auto"/>
      </w:divBdr>
    </w:div>
    <w:div w:id="1507476539">
      <w:bodyDiv w:val="1"/>
      <w:marLeft w:val="0"/>
      <w:marRight w:val="0"/>
      <w:marTop w:val="0"/>
      <w:marBottom w:val="0"/>
      <w:divBdr>
        <w:top w:val="none" w:sz="0" w:space="0" w:color="auto"/>
        <w:left w:val="none" w:sz="0" w:space="0" w:color="auto"/>
        <w:bottom w:val="none" w:sz="0" w:space="0" w:color="auto"/>
        <w:right w:val="none" w:sz="0" w:space="0" w:color="auto"/>
      </w:divBdr>
    </w:div>
    <w:div w:id="1529100407">
      <w:bodyDiv w:val="1"/>
      <w:marLeft w:val="0"/>
      <w:marRight w:val="0"/>
      <w:marTop w:val="0"/>
      <w:marBottom w:val="0"/>
      <w:divBdr>
        <w:top w:val="none" w:sz="0" w:space="0" w:color="auto"/>
        <w:left w:val="none" w:sz="0" w:space="0" w:color="auto"/>
        <w:bottom w:val="none" w:sz="0" w:space="0" w:color="auto"/>
        <w:right w:val="none" w:sz="0" w:space="0" w:color="auto"/>
      </w:divBdr>
      <w:divsChild>
        <w:div w:id="1228344567">
          <w:marLeft w:val="0"/>
          <w:marRight w:val="0"/>
          <w:marTop w:val="0"/>
          <w:marBottom w:val="0"/>
          <w:divBdr>
            <w:top w:val="none" w:sz="0" w:space="0" w:color="auto"/>
            <w:left w:val="none" w:sz="0" w:space="0" w:color="auto"/>
            <w:bottom w:val="none" w:sz="0" w:space="0" w:color="auto"/>
            <w:right w:val="none" w:sz="0" w:space="0" w:color="auto"/>
          </w:divBdr>
          <w:divsChild>
            <w:div w:id="2087654053">
              <w:marLeft w:val="0"/>
              <w:marRight w:val="0"/>
              <w:marTop w:val="0"/>
              <w:marBottom w:val="0"/>
              <w:divBdr>
                <w:top w:val="none" w:sz="0" w:space="0" w:color="auto"/>
                <w:left w:val="none" w:sz="0" w:space="0" w:color="auto"/>
                <w:bottom w:val="none" w:sz="0" w:space="0" w:color="auto"/>
                <w:right w:val="none" w:sz="0" w:space="0" w:color="auto"/>
              </w:divBdr>
              <w:divsChild>
                <w:div w:id="1723938619">
                  <w:marLeft w:val="0"/>
                  <w:marRight w:val="0"/>
                  <w:marTop w:val="0"/>
                  <w:marBottom w:val="0"/>
                  <w:divBdr>
                    <w:top w:val="none" w:sz="0" w:space="0" w:color="auto"/>
                    <w:left w:val="none" w:sz="0" w:space="0" w:color="auto"/>
                    <w:bottom w:val="none" w:sz="0" w:space="0" w:color="auto"/>
                    <w:right w:val="none" w:sz="0" w:space="0" w:color="auto"/>
                  </w:divBdr>
                  <w:divsChild>
                    <w:div w:id="1104886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ce.supe@sam.gov.lv" TargetMode="External"/><Relationship Id="rId4" Type="http://schemas.microsoft.com/office/2007/relationships/stylesWithEffects" Target="stylesWithEffects.xml"/><Relationship Id="rId9" Type="http://schemas.openxmlformats.org/officeDocument/2006/relationships/hyperlink" Target="https://www.lvvignette.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DD96-E144-4A32-9EBF-4A1BA01B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1808</Words>
  <Characters>12873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2010. gada 6. aprīļa noteikumos Nr. 343 „Noteikumi par lielgabarīta un smagsvara pārvadājumiem”” sākotnējās ietekmes novērtējuma ziņojums (anotācija)</vt:lpstr>
    </vt:vector>
  </TitlesOfParts>
  <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2010. gada 6. aprīļa noteikumos Nr. 343 „Noteikumi par lielgabarīta un smagsvara pārvadājumiem”” sākotnējās ietekmes novērtējuma ziņojums (anotācija)</dc:title>
  <dc:creator>Dace.Suveizda@sam.gov.lv</dc:creator>
  <dc:description>Dace.Supe@sam.gov.lv, 67028253</dc:description>
  <cp:lastModifiedBy>Dace Supe</cp:lastModifiedBy>
  <cp:revision>30</cp:revision>
  <cp:lastPrinted>2017-01-04T12:47:00Z</cp:lastPrinted>
  <dcterms:created xsi:type="dcterms:W3CDTF">2016-08-26T12:42:00Z</dcterms:created>
  <dcterms:modified xsi:type="dcterms:W3CDTF">2017-02-01T08:53:00Z</dcterms:modified>
</cp:coreProperties>
</file>