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77" w:rsidRPr="002355D6" w:rsidRDefault="00B259B5" w:rsidP="00A70D56">
      <w:pPr>
        <w:ind w:firstLine="426"/>
        <w:rPr>
          <w:rFonts w:cs="Times New Roman"/>
        </w:rPr>
      </w:pPr>
      <w:r>
        <w:rPr>
          <w:rFonts w:cs="Times New Roman"/>
        </w:rPr>
        <w:t xml:space="preserve">  </w:t>
      </w:r>
    </w:p>
    <w:p w:rsidR="00EB4337" w:rsidRDefault="00EB4337" w:rsidP="00EB4337">
      <w:pPr>
        <w:pStyle w:val="ListParagraph"/>
        <w:ind w:left="502"/>
        <w:jc w:val="right"/>
        <w:rPr>
          <w:rFonts w:asciiTheme="minorHAnsi" w:hAnsiTheme="minorHAnsi"/>
        </w:rPr>
      </w:pPr>
    </w:p>
    <w:p w:rsidR="00EB4337" w:rsidRPr="007A5553" w:rsidRDefault="00EB4337" w:rsidP="00EB4337">
      <w:pPr>
        <w:pStyle w:val="ListParagraph"/>
        <w:ind w:left="502"/>
        <w:jc w:val="right"/>
        <w:rPr>
          <w:color w:val="000000"/>
          <w:sz w:val="28"/>
          <w:szCs w:val="28"/>
          <w:lang w:val="pt-BR"/>
        </w:rPr>
      </w:pPr>
      <w:r w:rsidRPr="007A5553">
        <w:rPr>
          <w:color w:val="000000"/>
          <w:sz w:val="28"/>
          <w:szCs w:val="28"/>
          <w:lang w:val="pt-BR"/>
        </w:rPr>
        <w:t xml:space="preserve">(Ministru kabineta </w:t>
      </w:r>
    </w:p>
    <w:p w:rsidR="00EB4337" w:rsidRPr="007A5553" w:rsidRDefault="00EB4337" w:rsidP="00EB4337">
      <w:pPr>
        <w:pStyle w:val="ListParagraph"/>
        <w:ind w:left="502"/>
        <w:jc w:val="right"/>
        <w:rPr>
          <w:color w:val="000000"/>
          <w:sz w:val="28"/>
          <w:szCs w:val="28"/>
          <w:lang w:val="pt-BR"/>
        </w:rPr>
      </w:pPr>
      <w:r>
        <w:rPr>
          <w:color w:val="000000"/>
          <w:sz w:val="28"/>
          <w:szCs w:val="28"/>
          <w:lang w:val="pt-BR"/>
        </w:rPr>
        <w:t xml:space="preserve">  </w:t>
      </w:r>
      <w:r w:rsidR="0080748A">
        <w:rPr>
          <w:color w:val="000000"/>
          <w:sz w:val="28"/>
          <w:szCs w:val="28"/>
          <w:lang w:val="pt-BR"/>
        </w:rPr>
        <w:t>2017</w:t>
      </w:r>
      <w:r>
        <w:rPr>
          <w:color w:val="000000"/>
          <w:sz w:val="28"/>
          <w:szCs w:val="28"/>
          <w:lang w:val="pt-BR"/>
        </w:rPr>
        <w:t>. gada                       </w:t>
      </w:r>
    </w:p>
    <w:p w:rsidR="00EB4337" w:rsidRPr="007A5553" w:rsidRDefault="00EB4337" w:rsidP="00EB4337">
      <w:pPr>
        <w:pStyle w:val="ListParagraph"/>
        <w:ind w:left="502"/>
        <w:jc w:val="right"/>
        <w:rPr>
          <w:color w:val="000000"/>
          <w:sz w:val="28"/>
          <w:szCs w:val="28"/>
          <w:lang w:val="pt-BR"/>
        </w:rPr>
      </w:pPr>
      <w:r>
        <w:rPr>
          <w:color w:val="000000"/>
          <w:sz w:val="28"/>
          <w:szCs w:val="28"/>
          <w:lang w:val="pt-BR"/>
        </w:rPr>
        <w:t>rīkojums Nr.           </w:t>
      </w:r>
      <w:r w:rsidRPr="007A5553">
        <w:rPr>
          <w:color w:val="000000"/>
          <w:sz w:val="28"/>
          <w:szCs w:val="28"/>
          <w:lang w:val="pt-BR"/>
        </w:rPr>
        <w:t>)</w:t>
      </w:r>
    </w:p>
    <w:p w:rsidR="00EB4337" w:rsidRPr="005206DC" w:rsidRDefault="00EB4337" w:rsidP="00EB4337">
      <w:pPr>
        <w:ind w:firstLine="426"/>
        <w:jc w:val="center"/>
        <w:rPr>
          <w:rFonts w:cs="Times New Roman"/>
          <w:b/>
          <w:sz w:val="36"/>
          <w:szCs w:val="36"/>
          <w:lang w:val="pt-BR"/>
        </w:rPr>
      </w:pPr>
    </w:p>
    <w:p w:rsidR="008650E5" w:rsidRPr="00EB4337" w:rsidRDefault="008650E5" w:rsidP="00A70D56">
      <w:pPr>
        <w:ind w:firstLine="426"/>
        <w:jc w:val="center"/>
        <w:rPr>
          <w:rFonts w:cs="Times New Roman"/>
          <w:b/>
          <w:sz w:val="36"/>
          <w:szCs w:val="36"/>
          <w:lang w:val="pt-BR"/>
        </w:rPr>
      </w:pPr>
    </w:p>
    <w:p w:rsidR="008650E5" w:rsidRPr="002355D6" w:rsidRDefault="008650E5" w:rsidP="00A70D56">
      <w:pPr>
        <w:ind w:firstLine="426"/>
        <w:jc w:val="center"/>
        <w:rPr>
          <w:rFonts w:cs="Times New Roman"/>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Default="008650E5" w:rsidP="00A70D56">
      <w:pPr>
        <w:ind w:firstLine="426"/>
        <w:jc w:val="center"/>
        <w:rPr>
          <w:rFonts w:asciiTheme="minorHAnsi" w:hAnsiTheme="minorHAnsi"/>
          <w:b/>
          <w:sz w:val="36"/>
          <w:szCs w:val="36"/>
        </w:rPr>
      </w:pPr>
    </w:p>
    <w:p w:rsidR="008650E5" w:rsidRPr="002355D6" w:rsidRDefault="008650E5" w:rsidP="00A70D56">
      <w:pPr>
        <w:ind w:firstLine="426"/>
        <w:jc w:val="center"/>
        <w:rPr>
          <w:rFonts w:cs="Times New Roman"/>
          <w:b/>
          <w:sz w:val="36"/>
          <w:szCs w:val="36"/>
        </w:rPr>
      </w:pPr>
    </w:p>
    <w:p w:rsidR="008650E5" w:rsidRPr="002355D6" w:rsidRDefault="008650E5" w:rsidP="00A70D56">
      <w:pPr>
        <w:ind w:firstLine="426"/>
        <w:jc w:val="center"/>
        <w:rPr>
          <w:rFonts w:cs="Times New Roman"/>
          <w:b/>
          <w:sz w:val="36"/>
          <w:szCs w:val="36"/>
        </w:rPr>
      </w:pPr>
    </w:p>
    <w:p w:rsidR="008650E5" w:rsidRPr="002355D6" w:rsidRDefault="008650E5" w:rsidP="00A70D56">
      <w:pPr>
        <w:ind w:firstLine="426"/>
        <w:jc w:val="center"/>
        <w:rPr>
          <w:rFonts w:cs="Times New Roman"/>
          <w:b/>
          <w:sz w:val="36"/>
          <w:szCs w:val="36"/>
        </w:rPr>
      </w:pPr>
    </w:p>
    <w:p w:rsidR="003604EB" w:rsidRPr="002355D6" w:rsidRDefault="00805ECE" w:rsidP="00A70D56">
      <w:pPr>
        <w:ind w:firstLine="426"/>
        <w:jc w:val="center"/>
        <w:rPr>
          <w:rFonts w:cs="Times New Roman"/>
          <w:b/>
          <w:sz w:val="36"/>
          <w:szCs w:val="36"/>
        </w:rPr>
      </w:pPr>
      <w:r w:rsidRPr="002355D6">
        <w:rPr>
          <w:rFonts w:cs="Times New Roman"/>
          <w:b/>
          <w:sz w:val="36"/>
          <w:szCs w:val="36"/>
        </w:rPr>
        <w:t>Ceļu sat</w:t>
      </w:r>
      <w:r w:rsidR="005867F1">
        <w:rPr>
          <w:rFonts w:cs="Times New Roman"/>
          <w:b/>
          <w:sz w:val="36"/>
          <w:szCs w:val="36"/>
        </w:rPr>
        <w:t>iksmes drošības plāns 2017.-2020</w:t>
      </w:r>
      <w:r w:rsidRPr="002355D6">
        <w:rPr>
          <w:rFonts w:cs="Times New Roman"/>
          <w:b/>
          <w:sz w:val="36"/>
          <w:szCs w:val="36"/>
        </w:rPr>
        <w:t>.gadam</w:t>
      </w:r>
    </w:p>
    <w:p w:rsidR="00BF254E" w:rsidRPr="002355D6" w:rsidRDefault="00BF254E" w:rsidP="00A70D56">
      <w:pPr>
        <w:ind w:firstLine="426"/>
        <w:jc w:val="both"/>
        <w:rPr>
          <w:rFonts w:cs="Times New Roman"/>
          <w:b/>
        </w:rPr>
      </w:pPr>
    </w:p>
    <w:p w:rsidR="008650E5" w:rsidRPr="002355D6" w:rsidRDefault="008650E5" w:rsidP="00A70D56">
      <w:pPr>
        <w:ind w:firstLine="426"/>
        <w:jc w:val="both"/>
        <w:rPr>
          <w:rFonts w:cs="Times New Roman"/>
          <w:b/>
        </w:rPr>
      </w:pPr>
    </w:p>
    <w:p w:rsidR="008650E5" w:rsidRPr="002355D6" w:rsidRDefault="008650E5" w:rsidP="00A70D56">
      <w:pPr>
        <w:ind w:firstLine="426"/>
        <w:jc w:val="both"/>
        <w:rPr>
          <w:rFonts w:cs="Times New Roman"/>
          <w:b/>
        </w:rPr>
      </w:pPr>
    </w:p>
    <w:p w:rsidR="008650E5" w:rsidRPr="002355D6" w:rsidRDefault="008650E5" w:rsidP="00A70D56">
      <w:pPr>
        <w:ind w:firstLine="426"/>
        <w:jc w:val="both"/>
        <w:rPr>
          <w:rFonts w:cs="Times New Roman"/>
          <w:b/>
        </w:rPr>
      </w:pPr>
    </w:p>
    <w:p w:rsidR="008650E5" w:rsidRPr="002355D6" w:rsidRDefault="008650E5" w:rsidP="00A70D56">
      <w:pPr>
        <w:ind w:firstLine="426"/>
        <w:jc w:val="both"/>
        <w:rPr>
          <w:rFonts w:cs="Times New Roman"/>
          <w:b/>
        </w:rPr>
      </w:pPr>
    </w:p>
    <w:p w:rsidR="008650E5" w:rsidRDefault="008650E5" w:rsidP="00A70D56">
      <w:pPr>
        <w:ind w:firstLine="426"/>
        <w:jc w:val="both"/>
        <w:rPr>
          <w:rFonts w:cs="Times New Roman"/>
          <w:b/>
        </w:rPr>
      </w:pPr>
    </w:p>
    <w:p w:rsidR="00CC2CD3" w:rsidRPr="002355D6" w:rsidRDefault="00CC2CD3"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center"/>
        <w:rPr>
          <w:rFonts w:cs="Times New Roman"/>
          <w:b/>
        </w:rPr>
      </w:pPr>
      <w:r w:rsidRPr="00FC4FEF">
        <w:rPr>
          <w:rFonts w:cs="Times New Roman"/>
          <w:b/>
        </w:rPr>
        <w:t>Rīga</w:t>
      </w:r>
    </w:p>
    <w:p w:rsidR="008650E5" w:rsidRPr="00FC4FEF" w:rsidRDefault="00AC58E1" w:rsidP="00A70D56">
      <w:pPr>
        <w:ind w:firstLine="426"/>
        <w:jc w:val="center"/>
        <w:rPr>
          <w:rFonts w:cs="Times New Roman"/>
          <w:b/>
        </w:rPr>
      </w:pPr>
      <w:r>
        <w:rPr>
          <w:rFonts w:cs="Times New Roman"/>
          <w:b/>
        </w:rPr>
        <w:t>2017</w:t>
      </w: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650E5" w:rsidRPr="00FC4FEF" w:rsidRDefault="008650E5" w:rsidP="00A70D56">
      <w:pPr>
        <w:ind w:firstLine="426"/>
        <w:jc w:val="both"/>
        <w:rPr>
          <w:rFonts w:cs="Times New Roman"/>
          <w:b/>
        </w:rPr>
      </w:pPr>
    </w:p>
    <w:p w:rsidR="00874289" w:rsidRDefault="00874289" w:rsidP="00A70D56">
      <w:pPr>
        <w:pStyle w:val="NormalWeb"/>
        <w:spacing w:before="0" w:beforeAutospacing="0" w:after="0" w:afterAutospacing="0"/>
        <w:ind w:firstLine="426"/>
        <w:rPr>
          <w:rFonts w:eastAsia="+mn-ea"/>
          <w:color w:val="000000"/>
          <w:kern w:val="24"/>
        </w:rPr>
      </w:pPr>
    </w:p>
    <w:p w:rsidR="00460E2E" w:rsidRPr="00FC4FEF" w:rsidRDefault="00460E2E" w:rsidP="00A70D56">
      <w:pPr>
        <w:pStyle w:val="NormalWeb"/>
        <w:spacing w:before="0" w:beforeAutospacing="0" w:after="0" w:afterAutospacing="0"/>
        <w:ind w:firstLine="426"/>
        <w:rPr>
          <w:rFonts w:eastAsia="+mn-ea"/>
          <w:color w:val="000000"/>
          <w:kern w:val="24"/>
        </w:rPr>
      </w:pPr>
    </w:p>
    <w:p w:rsidR="002355D6" w:rsidRPr="00FC4FEF" w:rsidRDefault="002355D6" w:rsidP="00A70D56">
      <w:pPr>
        <w:pStyle w:val="NormalWeb"/>
        <w:spacing w:before="0" w:beforeAutospacing="0" w:after="0" w:afterAutospacing="0"/>
        <w:ind w:firstLine="426"/>
        <w:rPr>
          <w:rFonts w:eastAsia="+mn-ea"/>
          <w:color w:val="000000"/>
          <w:kern w:val="24"/>
        </w:rPr>
      </w:pPr>
    </w:p>
    <w:p w:rsidR="00A91EE6" w:rsidRPr="00FC4FEF" w:rsidRDefault="00A91EE6" w:rsidP="00D829C1">
      <w:pPr>
        <w:pStyle w:val="NormalWeb"/>
        <w:spacing w:before="0" w:beforeAutospacing="0" w:after="0" w:afterAutospacing="0"/>
        <w:rPr>
          <w:rFonts w:eastAsia="+mn-ea"/>
          <w:b/>
          <w:color w:val="000000"/>
          <w:kern w:val="24"/>
        </w:rPr>
      </w:pPr>
    </w:p>
    <w:p w:rsidR="00A91EE6" w:rsidRPr="00FC4FEF" w:rsidRDefault="00A91EE6" w:rsidP="00954B3F">
      <w:pPr>
        <w:pStyle w:val="NormalWeb"/>
        <w:spacing w:before="0" w:beforeAutospacing="0" w:after="0" w:afterAutospacing="0"/>
        <w:ind w:firstLine="426"/>
        <w:jc w:val="center"/>
        <w:rPr>
          <w:rFonts w:eastAsia="+mn-ea"/>
          <w:b/>
          <w:color w:val="000000"/>
          <w:kern w:val="24"/>
          <w:sz w:val="32"/>
          <w:szCs w:val="32"/>
          <w:u w:val="single"/>
        </w:rPr>
      </w:pPr>
      <w:r w:rsidRPr="00FC4FEF">
        <w:rPr>
          <w:rFonts w:eastAsia="+mn-ea"/>
          <w:b/>
          <w:color w:val="000000"/>
          <w:kern w:val="24"/>
          <w:sz w:val="32"/>
          <w:szCs w:val="32"/>
          <w:u w:val="single"/>
        </w:rPr>
        <w:lastRenderedPageBreak/>
        <w:t>Saturs</w:t>
      </w:r>
    </w:p>
    <w:p w:rsidR="00A91EE6" w:rsidRPr="00FC4FEF" w:rsidRDefault="00A91EE6" w:rsidP="00A70D56">
      <w:pPr>
        <w:pStyle w:val="NormalWeb"/>
        <w:spacing w:before="0" w:beforeAutospacing="0" w:after="0" w:afterAutospacing="0"/>
        <w:ind w:firstLine="426"/>
        <w:rPr>
          <w:rFonts w:eastAsia="+mn-ea"/>
          <w:b/>
          <w:color w:val="000000"/>
          <w:kern w:val="24"/>
        </w:rPr>
      </w:pPr>
    </w:p>
    <w:sdt>
      <w:sdtPr>
        <w:rPr>
          <w:rFonts w:eastAsiaTheme="minorHAnsi" w:cs="Times New Roman"/>
          <w:b w:val="0"/>
          <w:sz w:val="24"/>
          <w:szCs w:val="22"/>
          <w:lang w:val="lv-LV"/>
        </w:rPr>
        <w:id w:val="1217700679"/>
        <w:docPartObj>
          <w:docPartGallery w:val="Table of Contents"/>
          <w:docPartUnique/>
        </w:docPartObj>
      </w:sdtPr>
      <w:sdtEndPr>
        <w:rPr>
          <w:bCs/>
          <w:noProof/>
          <w:szCs w:val="24"/>
        </w:rPr>
      </w:sdtEndPr>
      <w:sdtContent>
        <w:p w:rsidR="00CB5C17" w:rsidRPr="00FC4FEF" w:rsidRDefault="00CB5C17">
          <w:pPr>
            <w:pStyle w:val="TOCHeading"/>
            <w:rPr>
              <w:rFonts w:cs="Times New Roman"/>
            </w:rPr>
          </w:pPr>
        </w:p>
        <w:p w:rsidR="00EE3EED" w:rsidRPr="00EE3EED" w:rsidRDefault="00CB5C17">
          <w:pPr>
            <w:pStyle w:val="TOC1"/>
            <w:tabs>
              <w:tab w:val="right" w:leader="dot" w:pos="10054"/>
            </w:tabs>
            <w:rPr>
              <w:rFonts w:ascii="Times New Roman" w:eastAsiaTheme="minorEastAsia" w:hAnsi="Times New Roman" w:cs="Times New Roman"/>
              <w:b w:val="0"/>
              <w:bCs w:val="0"/>
              <w:caps w:val="0"/>
              <w:noProof/>
              <w:sz w:val="20"/>
              <w:szCs w:val="20"/>
              <w:lang w:eastAsia="lv-LV"/>
            </w:rPr>
          </w:pPr>
          <w:r w:rsidRPr="00EE3EED">
            <w:rPr>
              <w:rFonts w:ascii="Times New Roman" w:hAnsi="Times New Roman" w:cs="Times New Roman"/>
              <w:sz w:val="20"/>
              <w:szCs w:val="20"/>
            </w:rPr>
            <w:fldChar w:fldCharType="begin"/>
          </w:r>
          <w:r w:rsidRPr="00EE3EED">
            <w:rPr>
              <w:rFonts w:ascii="Times New Roman" w:hAnsi="Times New Roman" w:cs="Times New Roman"/>
              <w:sz w:val="20"/>
              <w:szCs w:val="20"/>
            </w:rPr>
            <w:instrText xml:space="preserve"> TOC \o "1-3" \h \z \u </w:instrText>
          </w:r>
          <w:r w:rsidRPr="00EE3EED">
            <w:rPr>
              <w:rFonts w:ascii="Times New Roman" w:hAnsi="Times New Roman" w:cs="Times New Roman"/>
              <w:sz w:val="20"/>
              <w:szCs w:val="20"/>
            </w:rPr>
            <w:fldChar w:fldCharType="separate"/>
          </w:r>
          <w:hyperlink w:anchor="_Toc477177747" w:history="1">
            <w:r w:rsidR="00EE3EED" w:rsidRPr="00EE3EED">
              <w:rPr>
                <w:rStyle w:val="Hyperlink"/>
                <w:rFonts w:ascii="Times New Roman" w:hAnsi="Times New Roman" w:cs="Times New Roman"/>
                <w:noProof/>
                <w:sz w:val="20"/>
                <w:szCs w:val="20"/>
              </w:rPr>
              <w:t>Lietotie saīsinājumi</w:t>
            </w:r>
            <w:r w:rsidR="00EE3EED" w:rsidRPr="00EE3EED">
              <w:rPr>
                <w:rFonts w:ascii="Times New Roman" w:hAnsi="Times New Roman" w:cs="Times New Roman"/>
                <w:noProof/>
                <w:webHidden/>
                <w:sz w:val="20"/>
                <w:szCs w:val="20"/>
              </w:rPr>
              <w:tab/>
            </w:r>
            <w:r w:rsidR="00EE3EED" w:rsidRPr="00EE3EED">
              <w:rPr>
                <w:rFonts w:ascii="Times New Roman" w:hAnsi="Times New Roman" w:cs="Times New Roman"/>
                <w:noProof/>
                <w:webHidden/>
                <w:sz w:val="20"/>
                <w:szCs w:val="20"/>
              </w:rPr>
              <w:fldChar w:fldCharType="begin"/>
            </w:r>
            <w:r w:rsidR="00EE3EED" w:rsidRPr="00EE3EED">
              <w:rPr>
                <w:rFonts w:ascii="Times New Roman" w:hAnsi="Times New Roman" w:cs="Times New Roman"/>
                <w:noProof/>
                <w:webHidden/>
                <w:sz w:val="20"/>
                <w:szCs w:val="20"/>
              </w:rPr>
              <w:instrText xml:space="preserve"> PAGEREF _Toc477177747 \h </w:instrText>
            </w:r>
            <w:r w:rsidR="00EE3EED" w:rsidRPr="00EE3EED">
              <w:rPr>
                <w:rFonts w:ascii="Times New Roman" w:hAnsi="Times New Roman" w:cs="Times New Roman"/>
                <w:noProof/>
                <w:webHidden/>
                <w:sz w:val="20"/>
                <w:szCs w:val="20"/>
              </w:rPr>
            </w:r>
            <w:r w:rsidR="00EE3EED" w:rsidRPr="00EE3EED">
              <w:rPr>
                <w:rFonts w:ascii="Times New Roman" w:hAnsi="Times New Roman" w:cs="Times New Roman"/>
                <w:noProof/>
                <w:webHidden/>
                <w:sz w:val="20"/>
                <w:szCs w:val="20"/>
              </w:rPr>
              <w:fldChar w:fldCharType="separate"/>
            </w:r>
            <w:r w:rsidR="003806D3">
              <w:rPr>
                <w:rFonts w:ascii="Times New Roman" w:hAnsi="Times New Roman" w:cs="Times New Roman"/>
                <w:noProof/>
                <w:webHidden/>
                <w:sz w:val="20"/>
                <w:szCs w:val="20"/>
              </w:rPr>
              <w:t>3</w:t>
            </w:r>
            <w:r w:rsidR="00EE3EED" w:rsidRPr="00EE3EED">
              <w:rPr>
                <w:rFonts w:ascii="Times New Roman" w:hAnsi="Times New Roman" w:cs="Times New Roman"/>
                <w:noProof/>
                <w:webHidden/>
                <w:sz w:val="20"/>
                <w:szCs w:val="20"/>
              </w:rPr>
              <w:fldChar w:fldCharType="end"/>
            </w:r>
          </w:hyperlink>
        </w:p>
        <w:p w:rsidR="00EE3EED" w:rsidRPr="00EE3EED" w:rsidRDefault="005A0E23">
          <w:pPr>
            <w:pStyle w:val="TOC1"/>
            <w:tabs>
              <w:tab w:val="right" w:leader="dot" w:pos="10054"/>
            </w:tabs>
            <w:rPr>
              <w:rFonts w:ascii="Times New Roman" w:eastAsiaTheme="minorEastAsia" w:hAnsi="Times New Roman" w:cs="Times New Roman"/>
              <w:b w:val="0"/>
              <w:bCs w:val="0"/>
              <w:caps w:val="0"/>
              <w:noProof/>
              <w:sz w:val="20"/>
              <w:szCs w:val="20"/>
              <w:lang w:eastAsia="lv-LV"/>
            </w:rPr>
          </w:pPr>
          <w:hyperlink w:anchor="_Toc477177748" w:history="1">
            <w:r w:rsidR="00EE3EED" w:rsidRPr="00EE3EED">
              <w:rPr>
                <w:rStyle w:val="Hyperlink"/>
                <w:rFonts w:ascii="Times New Roman" w:hAnsi="Times New Roman" w:cs="Times New Roman"/>
                <w:noProof/>
                <w:sz w:val="20"/>
                <w:szCs w:val="20"/>
              </w:rPr>
              <w:t>Kopsavilkums</w:t>
            </w:r>
            <w:r w:rsidR="00EE3EED" w:rsidRPr="00EE3EED">
              <w:rPr>
                <w:rFonts w:ascii="Times New Roman" w:hAnsi="Times New Roman" w:cs="Times New Roman"/>
                <w:noProof/>
                <w:webHidden/>
                <w:sz w:val="20"/>
                <w:szCs w:val="20"/>
              </w:rPr>
              <w:tab/>
            </w:r>
            <w:r w:rsidR="00EE3EED" w:rsidRPr="00EE3EED">
              <w:rPr>
                <w:rFonts w:ascii="Times New Roman" w:hAnsi="Times New Roman" w:cs="Times New Roman"/>
                <w:noProof/>
                <w:webHidden/>
                <w:sz w:val="20"/>
                <w:szCs w:val="20"/>
              </w:rPr>
              <w:fldChar w:fldCharType="begin"/>
            </w:r>
            <w:r w:rsidR="00EE3EED" w:rsidRPr="00EE3EED">
              <w:rPr>
                <w:rFonts w:ascii="Times New Roman" w:hAnsi="Times New Roman" w:cs="Times New Roman"/>
                <w:noProof/>
                <w:webHidden/>
                <w:sz w:val="20"/>
                <w:szCs w:val="20"/>
              </w:rPr>
              <w:instrText xml:space="preserve"> PAGEREF _Toc477177748 \h </w:instrText>
            </w:r>
            <w:r w:rsidR="00EE3EED" w:rsidRPr="00EE3EED">
              <w:rPr>
                <w:rFonts w:ascii="Times New Roman" w:hAnsi="Times New Roman" w:cs="Times New Roman"/>
                <w:noProof/>
                <w:webHidden/>
                <w:sz w:val="20"/>
                <w:szCs w:val="20"/>
              </w:rPr>
            </w:r>
            <w:r w:rsidR="00EE3EED" w:rsidRPr="00EE3EED">
              <w:rPr>
                <w:rFonts w:ascii="Times New Roman" w:hAnsi="Times New Roman" w:cs="Times New Roman"/>
                <w:noProof/>
                <w:webHidden/>
                <w:sz w:val="20"/>
                <w:szCs w:val="20"/>
              </w:rPr>
              <w:fldChar w:fldCharType="separate"/>
            </w:r>
            <w:r w:rsidR="003806D3">
              <w:rPr>
                <w:rFonts w:ascii="Times New Roman" w:hAnsi="Times New Roman" w:cs="Times New Roman"/>
                <w:noProof/>
                <w:webHidden/>
                <w:sz w:val="20"/>
                <w:szCs w:val="20"/>
              </w:rPr>
              <w:t>4</w:t>
            </w:r>
            <w:r w:rsidR="00EE3EED" w:rsidRPr="00EE3EED">
              <w:rPr>
                <w:rFonts w:ascii="Times New Roman" w:hAnsi="Times New Roman" w:cs="Times New Roman"/>
                <w:noProof/>
                <w:webHidden/>
                <w:sz w:val="20"/>
                <w:szCs w:val="20"/>
              </w:rPr>
              <w:fldChar w:fldCharType="end"/>
            </w:r>
          </w:hyperlink>
        </w:p>
        <w:p w:rsidR="00EE3EED" w:rsidRPr="00EE3EED" w:rsidRDefault="005A0E23">
          <w:pPr>
            <w:pStyle w:val="TOC1"/>
            <w:tabs>
              <w:tab w:val="left" w:pos="480"/>
              <w:tab w:val="right" w:leader="dot" w:pos="10054"/>
            </w:tabs>
            <w:rPr>
              <w:rFonts w:ascii="Times New Roman" w:eastAsiaTheme="minorEastAsia" w:hAnsi="Times New Roman" w:cs="Times New Roman"/>
              <w:b w:val="0"/>
              <w:bCs w:val="0"/>
              <w:caps w:val="0"/>
              <w:noProof/>
              <w:sz w:val="20"/>
              <w:szCs w:val="20"/>
              <w:lang w:eastAsia="lv-LV"/>
            </w:rPr>
          </w:pPr>
          <w:hyperlink w:anchor="_Toc477177749" w:history="1">
            <w:r w:rsidR="00EE3EED" w:rsidRPr="00EE3EED">
              <w:rPr>
                <w:rStyle w:val="Hyperlink"/>
                <w:rFonts w:ascii="Times New Roman" w:hAnsi="Times New Roman" w:cs="Times New Roman"/>
                <w:noProof/>
                <w:sz w:val="20"/>
                <w:szCs w:val="20"/>
              </w:rPr>
              <w:t>1.</w:t>
            </w:r>
            <w:r w:rsidR="00EE3EED" w:rsidRPr="00EE3EED">
              <w:rPr>
                <w:rFonts w:ascii="Times New Roman" w:eastAsiaTheme="minorEastAsia" w:hAnsi="Times New Roman" w:cs="Times New Roman"/>
                <w:b w:val="0"/>
                <w:bCs w:val="0"/>
                <w:caps w:val="0"/>
                <w:noProof/>
                <w:sz w:val="20"/>
                <w:szCs w:val="20"/>
                <w:lang w:eastAsia="lv-LV"/>
              </w:rPr>
              <w:tab/>
            </w:r>
            <w:r w:rsidR="00EE3EED" w:rsidRPr="00EE3EED">
              <w:rPr>
                <w:rStyle w:val="Hyperlink"/>
                <w:rFonts w:ascii="Times New Roman" w:hAnsi="Times New Roman" w:cs="Times New Roman"/>
                <w:noProof/>
                <w:sz w:val="20"/>
                <w:szCs w:val="20"/>
              </w:rPr>
              <w:t>Esošās situācijas raksturojums</w:t>
            </w:r>
            <w:r w:rsidR="00EE3EED" w:rsidRPr="00EE3EED">
              <w:rPr>
                <w:rFonts w:ascii="Times New Roman" w:hAnsi="Times New Roman" w:cs="Times New Roman"/>
                <w:noProof/>
                <w:webHidden/>
                <w:sz w:val="20"/>
                <w:szCs w:val="20"/>
              </w:rPr>
              <w:tab/>
            </w:r>
            <w:r w:rsidR="00EE3EED" w:rsidRPr="00EE3EED">
              <w:rPr>
                <w:rFonts w:ascii="Times New Roman" w:hAnsi="Times New Roman" w:cs="Times New Roman"/>
                <w:noProof/>
                <w:webHidden/>
                <w:sz w:val="20"/>
                <w:szCs w:val="20"/>
              </w:rPr>
              <w:fldChar w:fldCharType="begin"/>
            </w:r>
            <w:r w:rsidR="00EE3EED" w:rsidRPr="00EE3EED">
              <w:rPr>
                <w:rFonts w:ascii="Times New Roman" w:hAnsi="Times New Roman" w:cs="Times New Roman"/>
                <w:noProof/>
                <w:webHidden/>
                <w:sz w:val="20"/>
                <w:szCs w:val="20"/>
              </w:rPr>
              <w:instrText xml:space="preserve"> PAGEREF _Toc477177749 \h </w:instrText>
            </w:r>
            <w:r w:rsidR="00EE3EED" w:rsidRPr="00EE3EED">
              <w:rPr>
                <w:rFonts w:ascii="Times New Roman" w:hAnsi="Times New Roman" w:cs="Times New Roman"/>
                <w:noProof/>
                <w:webHidden/>
                <w:sz w:val="20"/>
                <w:szCs w:val="20"/>
              </w:rPr>
            </w:r>
            <w:r w:rsidR="00EE3EED" w:rsidRPr="00EE3EED">
              <w:rPr>
                <w:rFonts w:ascii="Times New Roman" w:hAnsi="Times New Roman" w:cs="Times New Roman"/>
                <w:noProof/>
                <w:webHidden/>
                <w:sz w:val="20"/>
                <w:szCs w:val="20"/>
              </w:rPr>
              <w:fldChar w:fldCharType="separate"/>
            </w:r>
            <w:r w:rsidR="003806D3">
              <w:rPr>
                <w:rFonts w:ascii="Times New Roman" w:hAnsi="Times New Roman" w:cs="Times New Roman"/>
                <w:noProof/>
                <w:webHidden/>
                <w:sz w:val="20"/>
                <w:szCs w:val="20"/>
              </w:rPr>
              <w:t>5</w:t>
            </w:r>
            <w:r w:rsidR="00EE3EED" w:rsidRPr="00EE3EED">
              <w:rPr>
                <w:rFonts w:ascii="Times New Roman" w:hAnsi="Times New Roman" w:cs="Times New Roman"/>
                <w:noProof/>
                <w:webHidden/>
                <w:sz w:val="20"/>
                <w:szCs w:val="20"/>
              </w:rPr>
              <w:fldChar w:fldCharType="end"/>
            </w:r>
          </w:hyperlink>
        </w:p>
        <w:p w:rsidR="00EE3EED" w:rsidRPr="00EE3EED" w:rsidRDefault="005A0E23">
          <w:pPr>
            <w:pStyle w:val="TOC2"/>
            <w:tabs>
              <w:tab w:val="left" w:pos="720"/>
              <w:tab w:val="right" w:leader="dot" w:pos="10054"/>
            </w:tabs>
            <w:rPr>
              <w:rFonts w:ascii="Times New Roman" w:eastAsiaTheme="minorEastAsia" w:hAnsi="Times New Roman" w:cs="Times New Roman"/>
              <w:b w:val="0"/>
              <w:bCs w:val="0"/>
              <w:noProof/>
              <w:lang w:eastAsia="lv-LV"/>
            </w:rPr>
          </w:pPr>
          <w:hyperlink w:anchor="_Toc477177750" w:history="1">
            <w:r w:rsidR="00EE3EED" w:rsidRPr="00EE3EED">
              <w:rPr>
                <w:rStyle w:val="Hyperlink"/>
                <w:rFonts w:ascii="Times New Roman" w:hAnsi="Times New Roman" w:cs="Times New Roman"/>
                <w:noProof/>
              </w:rPr>
              <w:t>1.1.</w:t>
            </w:r>
            <w:r w:rsidR="00EE3EED" w:rsidRPr="00EE3EED">
              <w:rPr>
                <w:rFonts w:ascii="Times New Roman" w:eastAsiaTheme="minorEastAsia" w:hAnsi="Times New Roman" w:cs="Times New Roman"/>
                <w:b w:val="0"/>
                <w:bCs w:val="0"/>
                <w:noProof/>
                <w:lang w:eastAsia="lv-LV"/>
              </w:rPr>
              <w:tab/>
            </w:r>
            <w:r w:rsidR="00EE3EED" w:rsidRPr="00EE3EED">
              <w:rPr>
                <w:rStyle w:val="Hyperlink"/>
                <w:rFonts w:ascii="Times New Roman" w:hAnsi="Times New Roman" w:cs="Times New Roman"/>
                <w:noProof/>
              </w:rPr>
              <w:t>Eiropas Savienības politikas dokumentos noteiktie mērķi</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_Toc477177750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5</w:t>
            </w:r>
            <w:r w:rsidR="00EE3EED" w:rsidRPr="00EE3EED">
              <w:rPr>
                <w:rFonts w:ascii="Times New Roman" w:hAnsi="Times New Roman" w:cs="Times New Roman"/>
                <w:noProof/>
                <w:webHidden/>
              </w:rPr>
              <w:fldChar w:fldCharType="end"/>
            </w:r>
          </w:hyperlink>
        </w:p>
        <w:p w:rsidR="00EE3EED" w:rsidRPr="00EE3EED" w:rsidRDefault="005A0E23">
          <w:pPr>
            <w:pStyle w:val="TOC2"/>
            <w:tabs>
              <w:tab w:val="left" w:pos="720"/>
              <w:tab w:val="right" w:leader="dot" w:pos="10054"/>
            </w:tabs>
            <w:rPr>
              <w:rFonts w:ascii="Times New Roman" w:eastAsiaTheme="minorEastAsia" w:hAnsi="Times New Roman" w:cs="Times New Roman"/>
              <w:b w:val="0"/>
              <w:bCs w:val="0"/>
              <w:noProof/>
              <w:lang w:eastAsia="lv-LV"/>
            </w:rPr>
          </w:pPr>
          <w:hyperlink w:anchor="_Toc477177751" w:history="1">
            <w:r w:rsidR="00EE3EED" w:rsidRPr="00EE3EED">
              <w:rPr>
                <w:rStyle w:val="Hyperlink"/>
                <w:rFonts w:ascii="Times New Roman" w:hAnsi="Times New Roman" w:cs="Times New Roman"/>
                <w:noProof/>
              </w:rPr>
              <w:t>1.2.</w:t>
            </w:r>
            <w:r w:rsidR="00EE3EED" w:rsidRPr="00EE3EED">
              <w:rPr>
                <w:rFonts w:ascii="Times New Roman" w:eastAsiaTheme="minorEastAsia" w:hAnsi="Times New Roman" w:cs="Times New Roman"/>
                <w:b w:val="0"/>
                <w:bCs w:val="0"/>
                <w:noProof/>
                <w:lang w:eastAsia="lv-LV"/>
              </w:rPr>
              <w:tab/>
            </w:r>
            <w:r w:rsidR="00EE3EED" w:rsidRPr="00EE3EED">
              <w:rPr>
                <w:rStyle w:val="Hyperlink"/>
                <w:rFonts w:ascii="Times New Roman" w:hAnsi="Times New Roman" w:cs="Times New Roman"/>
                <w:noProof/>
              </w:rPr>
              <w:t>Latvijas plānošanas dokumentos noteiktie mērķi un to izpildes novērtējums</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_Toc477177751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6</w:t>
            </w:r>
            <w:r w:rsidR="00EE3EED" w:rsidRPr="00EE3EED">
              <w:rPr>
                <w:rFonts w:ascii="Times New Roman" w:hAnsi="Times New Roman" w:cs="Times New Roman"/>
                <w:noProof/>
                <w:webHidden/>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52" w:history="1">
            <w:r w:rsidR="00EE3EED" w:rsidRPr="00EE3EED">
              <w:rPr>
                <w:rStyle w:val="Hyperlink"/>
                <w:rFonts w:ascii="Times New Roman" w:hAnsi="Times New Roman" w:cs="Times New Roman"/>
                <w:noProof/>
              </w:rPr>
              <w:t>1.3.    Ceļu satiksmes drošības situācija.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_Toc477177752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8</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3" w:history="1">
            <w:r w:rsidR="00EE3EED" w:rsidRPr="00EE3EED">
              <w:rPr>
                <w:rStyle w:val="Hyperlink"/>
                <w:rFonts w:ascii="Times New Roman" w:hAnsi="Times New Roman" w:cs="Times New Roman"/>
                <w:noProof/>
              </w:rPr>
              <w:t xml:space="preserve">1.3.1. </w:t>
            </w:r>
            <w:r w:rsidR="00EE3EED" w:rsidRPr="00EE3EED">
              <w:rPr>
                <w:rStyle w:val="Hyperlink"/>
                <w:rFonts w:ascii="Times New Roman" w:eastAsiaTheme="majorEastAsia" w:hAnsi="Times New Roman" w:cs="Times New Roman"/>
                <w:noProof/>
              </w:rPr>
              <w:t>Ceļu satiksmes negadījumu statistika un tās izvērtējums</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_Toc477177753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8</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4" w:history="1">
            <w:r w:rsidR="00EE3EED" w:rsidRPr="00EE3EED">
              <w:rPr>
                <w:rStyle w:val="Hyperlink"/>
                <w:rFonts w:ascii="Times New Roman" w:hAnsi="Times New Roman" w:cs="Times New Roman"/>
                <w:noProof/>
              </w:rPr>
              <w:t xml:space="preserve">1.3.2.  </w:t>
            </w:r>
            <w:r w:rsidR="00EE3EED" w:rsidRPr="00EE3EED">
              <w:rPr>
                <w:rStyle w:val="Hyperlink"/>
                <w:rFonts w:ascii="Times New Roman" w:eastAsiaTheme="majorEastAsia" w:hAnsi="Times New Roman" w:cs="Times New Roman"/>
                <w:iCs/>
                <w:noProof/>
              </w:rPr>
              <w:t>“Melno punktu” karte</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_Toc477177754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14</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5" w:history="1">
            <w:r w:rsidR="00EE3EED" w:rsidRPr="00EE3EED">
              <w:rPr>
                <w:rStyle w:val="Hyperlink"/>
                <w:rFonts w:ascii="Times New Roman" w:hAnsi="Times New Roman" w:cs="Times New Roman"/>
                <w:noProof/>
              </w:rPr>
              <w:t xml:space="preserve">1.3.3. </w:t>
            </w:r>
            <w:r w:rsidR="00EE3EED" w:rsidRPr="00EE3EED">
              <w:rPr>
                <w:rStyle w:val="Hyperlink"/>
                <w:rFonts w:ascii="Times New Roman" w:eastAsiaTheme="majorEastAsia" w:hAnsi="Times New Roman" w:cs="Times New Roman"/>
                <w:noProof/>
              </w:rPr>
              <w:t>Mazaizsargātāko ceļu satiksmes dalībnieku drošība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_Toc477177755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14</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6" w:history="1">
            <w:r w:rsidR="00EE3EED" w:rsidRPr="00EE3EED">
              <w:rPr>
                <w:rStyle w:val="Hyperlink"/>
                <w:rFonts w:ascii="Times New Roman" w:hAnsi="Times New Roman" w:cs="Times New Roman"/>
                <w:noProof/>
              </w:rPr>
              <w:t xml:space="preserve">1.3.4. </w:t>
            </w:r>
            <w:r w:rsidR="00EE3EED" w:rsidRPr="00EE3EED">
              <w:rPr>
                <w:rStyle w:val="Hyperlink"/>
                <w:rFonts w:ascii="Times New Roman" w:eastAsiaTheme="majorEastAsia" w:hAnsi="Times New Roman" w:cs="Times New Roman"/>
                <w:noProof/>
              </w:rPr>
              <w:t>Pārkāpumi ceļu satiksmē</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_Toc477177756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16</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7" w:history="1">
            <w:r w:rsidR="00EE3EED" w:rsidRPr="00EE3EED">
              <w:rPr>
                <w:rStyle w:val="Hyperlink"/>
                <w:rFonts w:ascii="Times New Roman" w:hAnsi="Times New Roman" w:cs="Times New Roman"/>
                <w:noProof/>
              </w:rPr>
              <w:t xml:space="preserve">1.3.5. </w:t>
            </w:r>
            <w:r w:rsidR="00EE3EED" w:rsidRPr="00EE3EED">
              <w:rPr>
                <w:rStyle w:val="Hyperlink"/>
                <w:rFonts w:ascii="Times New Roman" w:eastAsiaTheme="majorEastAsia" w:hAnsi="Times New Roman" w:cs="Times New Roman"/>
                <w:noProof/>
              </w:rPr>
              <w:t>Ceļu satiksmes dalībnieku izglītošana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_Toc477177757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17</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8" w:history="1">
            <w:r w:rsidR="00EE3EED" w:rsidRPr="00EE3EED">
              <w:rPr>
                <w:rStyle w:val="Hyperlink"/>
                <w:rFonts w:ascii="Times New Roman" w:hAnsi="Times New Roman" w:cs="Times New Roman"/>
                <w:noProof/>
              </w:rPr>
              <w:t xml:space="preserve">1.3.6.  </w:t>
            </w:r>
            <w:r w:rsidR="00EE3EED" w:rsidRPr="00EE3EED">
              <w:rPr>
                <w:rStyle w:val="Hyperlink"/>
                <w:rFonts w:ascii="Times New Roman" w:eastAsiaTheme="majorEastAsia" w:hAnsi="Times New Roman" w:cs="Times New Roman"/>
                <w:noProof/>
              </w:rPr>
              <w:t>Ceļu satiksmes negadījumu seku samazināšana un novēršana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_Toc477177758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18</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59" w:history="1">
            <w:r w:rsidR="00EE3EED" w:rsidRPr="00EE3EED">
              <w:rPr>
                <w:rStyle w:val="Hyperlink"/>
                <w:rFonts w:ascii="Times New Roman" w:hAnsi="Times New Roman" w:cs="Times New Roman"/>
                <w:noProof/>
              </w:rPr>
              <w:t xml:space="preserve">1.3.7.  </w:t>
            </w:r>
            <w:r w:rsidR="00EE3EED" w:rsidRPr="00EE3EED">
              <w:rPr>
                <w:rStyle w:val="Hyperlink"/>
                <w:rFonts w:ascii="Times New Roman" w:eastAsiaTheme="majorEastAsia" w:hAnsi="Times New Roman" w:cs="Times New Roman"/>
                <w:noProof/>
              </w:rPr>
              <w:t>Preventīvie pasākumi ceļu satiksmes negadījumu novēršanā</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_Toc477177759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19</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60" w:history="1">
            <w:r w:rsidR="00EE3EED" w:rsidRPr="00EE3EED">
              <w:rPr>
                <w:rStyle w:val="Hyperlink"/>
                <w:rFonts w:ascii="Times New Roman" w:hAnsi="Times New Roman" w:cs="Times New Roman"/>
                <w:noProof/>
              </w:rPr>
              <w:t xml:space="preserve">1.3.8. </w:t>
            </w:r>
            <w:r w:rsidR="00EE3EED" w:rsidRPr="00EE3EED">
              <w:rPr>
                <w:rStyle w:val="Hyperlink"/>
                <w:rFonts w:ascii="Times New Roman" w:eastAsiaTheme="majorEastAsia" w:hAnsi="Times New Roman" w:cs="Times New Roman"/>
                <w:noProof/>
              </w:rPr>
              <w:t>Esošā ceļu infrastruktūra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_Toc477177760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24</w:t>
            </w:r>
            <w:r w:rsidR="00EE3EED" w:rsidRPr="00EE3EED">
              <w:rPr>
                <w:rFonts w:ascii="Times New Roman" w:hAnsi="Times New Roman" w:cs="Times New Roman"/>
                <w:noProof/>
                <w:webHidden/>
              </w:rPr>
              <w:fldChar w:fldCharType="end"/>
            </w:r>
          </w:hyperlink>
        </w:p>
        <w:p w:rsidR="00EE3EED" w:rsidRPr="00EE3EED" w:rsidRDefault="005A0E23">
          <w:pPr>
            <w:pStyle w:val="TOC3"/>
            <w:tabs>
              <w:tab w:val="right" w:leader="dot" w:pos="10054"/>
            </w:tabs>
            <w:rPr>
              <w:rFonts w:ascii="Times New Roman" w:eastAsiaTheme="minorEastAsia" w:hAnsi="Times New Roman" w:cs="Times New Roman"/>
              <w:noProof/>
              <w:lang w:eastAsia="lv-LV"/>
            </w:rPr>
          </w:pPr>
          <w:hyperlink w:anchor="_Toc477177761" w:history="1">
            <w:r w:rsidR="00EE3EED" w:rsidRPr="00EE3EED">
              <w:rPr>
                <w:rStyle w:val="Hyperlink"/>
                <w:rFonts w:ascii="Times New Roman" w:hAnsi="Times New Roman" w:cs="Times New Roman"/>
                <w:noProof/>
              </w:rPr>
              <w:t xml:space="preserve">1.3.9. </w:t>
            </w:r>
            <w:r w:rsidR="00EE3EED" w:rsidRPr="00EE3EED">
              <w:rPr>
                <w:rStyle w:val="Hyperlink"/>
                <w:rFonts w:ascii="Times New Roman" w:eastAsiaTheme="majorEastAsia" w:hAnsi="Times New Roman" w:cs="Times New Roman"/>
                <w:noProof/>
              </w:rPr>
              <w:t>TL tehniskā stāvokļa ietekme uz ceļu satiksmes drošību</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_Toc477177761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26</w:t>
            </w:r>
            <w:r w:rsidR="00EE3EED" w:rsidRPr="00EE3EED">
              <w:rPr>
                <w:rFonts w:ascii="Times New Roman" w:hAnsi="Times New Roman" w:cs="Times New Roman"/>
                <w:noProof/>
                <w:webHidden/>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62" w:history="1">
            <w:r w:rsidR="00EE3EED" w:rsidRPr="00EE3EED">
              <w:rPr>
                <w:rStyle w:val="Hyperlink"/>
                <w:rFonts w:ascii="Times New Roman" w:hAnsi="Times New Roman" w:cs="Times New Roman"/>
                <w:noProof/>
              </w:rPr>
              <w:t>1.4. Secinājumi par ceļu satiksmes drošības līmeni</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_Toc477177762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28</w:t>
            </w:r>
            <w:r w:rsidR="00EE3EED" w:rsidRPr="00EE3EED">
              <w:rPr>
                <w:rFonts w:ascii="Times New Roman" w:hAnsi="Times New Roman" w:cs="Times New Roman"/>
                <w:noProof/>
                <w:webHidden/>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63" w:history="1">
            <w:r w:rsidR="00EE3EED" w:rsidRPr="00EE3EED">
              <w:rPr>
                <w:rStyle w:val="Hyperlink"/>
                <w:rFonts w:ascii="Times New Roman" w:hAnsi="Times New Roman" w:cs="Times New Roman"/>
                <w:noProof/>
              </w:rPr>
              <w:t>1.5. Tiešie darbības rezultāti un to novērtējums</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_Toc477177763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31</w:t>
            </w:r>
            <w:r w:rsidR="00EE3EED" w:rsidRPr="00EE3EED">
              <w:rPr>
                <w:rFonts w:ascii="Times New Roman" w:hAnsi="Times New Roman" w:cs="Times New Roman"/>
                <w:noProof/>
                <w:webHidden/>
              </w:rPr>
              <w:fldChar w:fldCharType="end"/>
            </w:r>
          </w:hyperlink>
        </w:p>
        <w:p w:rsidR="00EE3EED" w:rsidRPr="00EE3EED" w:rsidRDefault="005A0E23">
          <w:pPr>
            <w:pStyle w:val="TOC1"/>
            <w:tabs>
              <w:tab w:val="left" w:pos="480"/>
              <w:tab w:val="right" w:leader="dot" w:pos="10054"/>
            </w:tabs>
            <w:rPr>
              <w:rFonts w:ascii="Times New Roman" w:eastAsiaTheme="minorEastAsia" w:hAnsi="Times New Roman" w:cs="Times New Roman"/>
              <w:b w:val="0"/>
              <w:bCs w:val="0"/>
              <w:caps w:val="0"/>
              <w:noProof/>
              <w:sz w:val="20"/>
              <w:szCs w:val="20"/>
              <w:lang w:eastAsia="lv-LV"/>
            </w:rPr>
          </w:pPr>
          <w:hyperlink w:anchor="_Toc477177764" w:history="1">
            <w:r w:rsidR="00EE3EED" w:rsidRPr="00EE3EED">
              <w:rPr>
                <w:rStyle w:val="Hyperlink"/>
                <w:rFonts w:ascii="Times New Roman" w:hAnsi="Times New Roman" w:cs="Times New Roman"/>
                <w:noProof/>
                <w:sz w:val="20"/>
                <w:szCs w:val="20"/>
              </w:rPr>
              <w:t>2.</w:t>
            </w:r>
            <w:r w:rsidR="00EE3EED" w:rsidRPr="00EE3EED">
              <w:rPr>
                <w:rFonts w:ascii="Times New Roman" w:eastAsiaTheme="minorEastAsia" w:hAnsi="Times New Roman" w:cs="Times New Roman"/>
                <w:b w:val="0"/>
                <w:bCs w:val="0"/>
                <w:caps w:val="0"/>
                <w:noProof/>
                <w:sz w:val="20"/>
                <w:szCs w:val="20"/>
                <w:lang w:eastAsia="lv-LV"/>
              </w:rPr>
              <w:tab/>
            </w:r>
            <w:r w:rsidR="00EE3EED" w:rsidRPr="00EE3EED">
              <w:rPr>
                <w:rStyle w:val="Hyperlink"/>
                <w:rFonts w:ascii="Times New Roman" w:hAnsi="Times New Roman" w:cs="Times New Roman"/>
                <w:noProof/>
                <w:sz w:val="20"/>
                <w:szCs w:val="20"/>
              </w:rPr>
              <w:t>Plāna mērķis un rīcības virzieni</w:t>
            </w:r>
            <w:r w:rsidR="00EE3EED" w:rsidRPr="00EE3EED">
              <w:rPr>
                <w:rFonts w:ascii="Times New Roman" w:hAnsi="Times New Roman" w:cs="Times New Roman"/>
                <w:noProof/>
                <w:webHidden/>
                <w:sz w:val="20"/>
                <w:szCs w:val="20"/>
              </w:rPr>
              <w:tab/>
            </w:r>
            <w:r w:rsidR="00EE3EED" w:rsidRPr="00EE3EED">
              <w:rPr>
                <w:rFonts w:ascii="Times New Roman" w:hAnsi="Times New Roman" w:cs="Times New Roman"/>
                <w:noProof/>
                <w:webHidden/>
                <w:sz w:val="20"/>
                <w:szCs w:val="20"/>
              </w:rPr>
              <w:fldChar w:fldCharType="begin"/>
            </w:r>
            <w:r w:rsidR="00EE3EED" w:rsidRPr="00EE3EED">
              <w:rPr>
                <w:rFonts w:ascii="Times New Roman" w:hAnsi="Times New Roman" w:cs="Times New Roman"/>
                <w:noProof/>
                <w:webHidden/>
                <w:sz w:val="20"/>
                <w:szCs w:val="20"/>
              </w:rPr>
              <w:instrText xml:space="preserve"> PAGEREF _Toc477177764 \h </w:instrText>
            </w:r>
            <w:r w:rsidR="00EE3EED" w:rsidRPr="00EE3EED">
              <w:rPr>
                <w:rFonts w:ascii="Times New Roman" w:hAnsi="Times New Roman" w:cs="Times New Roman"/>
                <w:noProof/>
                <w:webHidden/>
                <w:sz w:val="20"/>
                <w:szCs w:val="20"/>
              </w:rPr>
            </w:r>
            <w:r w:rsidR="00EE3EED" w:rsidRPr="00EE3EED">
              <w:rPr>
                <w:rFonts w:ascii="Times New Roman" w:hAnsi="Times New Roman" w:cs="Times New Roman"/>
                <w:noProof/>
                <w:webHidden/>
                <w:sz w:val="20"/>
                <w:szCs w:val="20"/>
              </w:rPr>
              <w:fldChar w:fldCharType="separate"/>
            </w:r>
            <w:r w:rsidR="003806D3">
              <w:rPr>
                <w:rFonts w:ascii="Times New Roman" w:hAnsi="Times New Roman" w:cs="Times New Roman"/>
                <w:noProof/>
                <w:webHidden/>
                <w:sz w:val="20"/>
                <w:szCs w:val="20"/>
              </w:rPr>
              <w:t>33</w:t>
            </w:r>
            <w:r w:rsidR="00EE3EED" w:rsidRPr="00EE3EED">
              <w:rPr>
                <w:rFonts w:ascii="Times New Roman" w:hAnsi="Times New Roman" w:cs="Times New Roman"/>
                <w:noProof/>
                <w:webHidden/>
                <w:sz w:val="20"/>
                <w:szCs w:val="20"/>
              </w:rPr>
              <w:fldChar w:fldCharType="end"/>
            </w:r>
          </w:hyperlink>
        </w:p>
        <w:p w:rsidR="00EE3EED" w:rsidRPr="00EE3EED" w:rsidRDefault="005A0E23">
          <w:pPr>
            <w:pStyle w:val="TOC1"/>
            <w:tabs>
              <w:tab w:val="left" w:pos="480"/>
              <w:tab w:val="right" w:leader="dot" w:pos="10054"/>
            </w:tabs>
            <w:rPr>
              <w:rFonts w:ascii="Times New Roman" w:eastAsiaTheme="minorEastAsia" w:hAnsi="Times New Roman" w:cs="Times New Roman"/>
              <w:b w:val="0"/>
              <w:bCs w:val="0"/>
              <w:caps w:val="0"/>
              <w:noProof/>
              <w:sz w:val="20"/>
              <w:szCs w:val="20"/>
              <w:lang w:eastAsia="lv-LV"/>
            </w:rPr>
          </w:pPr>
          <w:hyperlink w:anchor="_Toc477177765" w:history="1">
            <w:r w:rsidR="00EE3EED" w:rsidRPr="00EE3EED">
              <w:rPr>
                <w:rStyle w:val="Hyperlink"/>
                <w:rFonts w:ascii="Times New Roman" w:hAnsi="Times New Roman" w:cs="Times New Roman"/>
                <w:noProof/>
                <w:sz w:val="20"/>
                <w:szCs w:val="20"/>
              </w:rPr>
              <w:t>3.</w:t>
            </w:r>
            <w:r w:rsidR="00EE3EED" w:rsidRPr="00EE3EED">
              <w:rPr>
                <w:rFonts w:ascii="Times New Roman" w:eastAsiaTheme="minorEastAsia" w:hAnsi="Times New Roman" w:cs="Times New Roman"/>
                <w:b w:val="0"/>
                <w:bCs w:val="0"/>
                <w:caps w:val="0"/>
                <w:noProof/>
                <w:sz w:val="20"/>
                <w:szCs w:val="20"/>
                <w:lang w:eastAsia="lv-LV"/>
              </w:rPr>
              <w:tab/>
            </w:r>
            <w:r w:rsidR="00EE3EED" w:rsidRPr="00EE3EED">
              <w:rPr>
                <w:rStyle w:val="Hyperlink"/>
                <w:rFonts w:ascii="Times New Roman" w:hAnsi="Times New Roman" w:cs="Times New Roman"/>
                <w:noProof/>
                <w:sz w:val="20"/>
                <w:szCs w:val="20"/>
              </w:rPr>
              <w:t>Rīcības virzienu apraksts</w:t>
            </w:r>
            <w:r w:rsidR="00EE3EED" w:rsidRPr="00EE3EED">
              <w:rPr>
                <w:rFonts w:ascii="Times New Roman" w:hAnsi="Times New Roman" w:cs="Times New Roman"/>
                <w:noProof/>
                <w:webHidden/>
                <w:sz w:val="20"/>
                <w:szCs w:val="20"/>
              </w:rPr>
              <w:tab/>
            </w:r>
            <w:r w:rsidR="00EE3EED" w:rsidRPr="00EE3EED">
              <w:rPr>
                <w:rFonts w:ascii="Times New Roman" w:hAnsi="Times New Roman" w:cs="Times New Roman"/>
                <w:noProof/>
                <w:webHidden/>
                <w:sz w:val="20"/>
                <w:szCs w:val="20"/>
              </w:rPr>
              <w:fldChar w:fldCharType="begin"/>
            </w:r>
            <w:r w:rsidR="00EE3EED" w:rsidRPr="00EE3EED">
              <w:rPr>
                <w:rFonts w:ascii="Times New Roman" w:hAnsi="Times New Roman" w:cs="Times New Roman"/>
                <w:noProof/>
                <w:webHidden/>
                <w:sz w:val="20"/>
                <w:szCs w:val="20"/>
              </w:rPr>
              <w:instrText xml:space="preserve"> PAGEREF _Toc477177765 \h </w:instrText>
            </w:r>
            <w:r w:rsidR="00EE3EED" w:rsidRPr="00EE3EED">
              <w:rPr>
                <w:rFonts w:ascii="Times New Roman" w:hAnsi="Times New Roman" w:cs="Times New Roman"/>
                <w:noProof/>
                <w:webHidden/>
                <w:sz w:val="20"/>
                <w:szCs w:val="20"/>
              </w:rPr>
            </w:r>
            <w:r w:rsidR="00EE3EED" w:rsidRPr="00EE3EED">
              <w:rPr>
                <w:rFonts w:ascii="Times New Roman" w:hAnsi="Times New Roman" w:cs="Times New Roman"/>
                <w:noProof/>
                <w:webHidden/>
                <w:sz w:val="20"/>
                <w:szCs w:val="20"/>
              </w:rPr>
              <w:fldChar w:fldCharType="separate"/>
            </w:r>
            <w:r w:rsidR="003806D3">
              <w:rPr>
                <w:rFonts w:ascii="Times New Roman" w:hAnsi="Times New Roman" w:cs="Times New Roman"/>
                <w:noProof/>
                <w:webHidden/>
                <w:sz w:val="20"/>
                <w:szCs w:val="20"/>
              </w:rPr>
              <w:t>34</w:t>
            </w:r>
            <w:r w:rsidR="00EE3EED" w:rsidRPr="00EE3EED">
              <w:rPr>
                <w:rFonts w:ascii="Times New Roman" w:hAnsi="Times New Roman" w:cs="Times New Roman"/>
                <w:noProof/>
                <w:webHidden/>
                <w:sz w:val="20"/>
                <w:szCs w:val="20"/>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66" w:history="1">
            <w:r w:rsidR="00EE3EED" w:rsidRPr="00EE3EED">
              <w:rPr>
                <w:rStyle w:val="Hyperlink"/>
                <w:rFonts w:ascii="Times New Roman" w:hAnsi="Times New Roman" w:cs="Times New Roman"/>
                <w:noProof/>
              </w:rPr>
              <w:t>3.1.  Preventīvie ceļu satiksmes drošības pasākumi.</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_Toc477177766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34</w:t>
            </w:r>
            <w:r w:rsidR="00EE3EED" w:rsidRPr="00EE3EED">
              <w:rPr>
                <w:rFonts w:ascii="Times New Roman" w:hAnsi="Times New Roman" w:cs="Times New Roman"/>
                <w:noProof/>
                <w:webHidden/>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67" w:history="1">
            <w:r w:rsidR="00EE3EED" w:rsidRPr="00EE3EED">
              <w:rPr>
                <w:rStyle w:val="Hyperlink"/>
                <w:rFonts w:ascii="Times New Roman" w:hAnsi="Times New Roman" w:cs="Times New Roman"/>
                <w:noProof/>
              </w:rPr>
              <w:t>3.2.  Satiksmes dalībnieku izglītošana un informēšana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_Toc477177767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43</w:t>
            </w:r>
            <w:r w:rsidR="00EE3EED" w:rsidRPr="00EE3EED">
              <w:rPr>
                <w:rFonts w:ascii="Times New Roman" w:hAnsi="Times New Roman" w:cs="Times New Roman"/>
                <w:noProof/>
                <w:webHidden/>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68" w:history="1">
            <w:r w:rsidR="00EE3EED" w:rsidRPr="00EE3EED">
              <w:rPr>
                <w:rStyle w:val="Hyperlink"/>
                <w:rFonts w:ascii="Times New Roman" w:hAnsi="Times New Roman" w:cs="Times New Roman"/>
                <w:noProof/>
              </w:rPr>
              <w:t>3.3. Satiksmes drošības risinājumu ieviešana autoceļu un ielu tīklā</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_Toc477177768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47</w:t>
            </w:r>
            <w:r w:rsidR="00EE3EED" w:rsidRPr="00EE3EED">
              <w:rPr>
                <w:rFonts w:ascii="Times New Roman" w:hAnsi="Times New Roman" w:cs="Times New Roman"/>
                <w:noProof/>
                <w:webHidden/>
              </w:rPr>
              <w:fldChar w:fldCharType="end"/>
            </w:r>
          </w:hyperlink>
        </w:p>
        <w:p w:rsidR="00EE3EED" w:rsidRPr="00EE3EED" w:rsidRDefault="005A0E23">
          <w:pPr>
            <w:pStyle w:val="TOC2"/>
            <w:tabs>
              <w:tab w:val="right" w:leader="dot" w:pos="10054"/>
            </w:tabs>
            <w:rPr>
              <w:rFonts w:ascii="Times New Roman" w:eastAsiaTheme="minorEastAsia" w:hAnsi="Times New Roman" w:cs="Times New Roman"/>
              <w:b w:val="0"/>
              <w:bCs w:val="0"/>
              <w:noProof/>
              <w:lang w:eastAsia="lv-LV"/>
            </w:rPr>
          </w:pPr>
          <w:hyperlink w:anchor="_Toc477177769" w:history="1">
            <w:r w:rsidR="00EE3EED" w:rsidRPr="00EE3EED">
              <w:rPr>
                <w:rStyle w:val="Hyperlink"/>
                <w:rFonts w:ascii="Times New Roman" w:hAnsi="Times New Roman" w:cs="Times New Roman"/>
                <w:noProof/>
              </w:rPr>
              <w:t>3.4.  Reaģēšana uz ceļu satiksmes negadījumiem un to seku mazināšana un novēršana</w:t>
            </w:r>
            <w:r w:rsidR="00EE3EED" w:rsidRPr="00EE3EED">
              <w:rPr>
                <w:rFonts w:ascii="Times New Roman" w:hAnsi="Times New Roman" w:cs="Times New Roman"/>
                <w:noProof/>
                <w:webHidden/>
              </w:rPr>
              <w:tab/>
            </w:r>
            <w:r w:rsidR="00EE3EED" w:rsidRPr="00EE3EED">
              <w:rPr>
                <w:rFonts w:ascii="Times New Roman" w:hAnsi="Times New Roman" w:cs="Times New Roman"/>
                <w:noProof/>
                <w:webHidden/>
              </w:rPr>
              <w:fldChar w:fldCharType="begin"/>
            </w:r>
            <w:r w:rsidR="00EE3EED" w:rsidRPr="00EE3EED">
              <w:rPr>
                <w:rFonts w:ascii="Times New Roman" w:hAnsi="Times New Roman" w:cs="Times New Roman"/>
                <w:noProof/>
                <w:webHidden/>
              </w:rPr>
              <w:instrText xml:space="preserve"> PAGEREF _Toc477177769 \h </w:instrText>
            </w:r>
            <w:r w:rsidR="00EE3EED" w:rsidRPr="00EE3EED">
              <w:rPr>
                <w:rFonts w:ascii="Times New Roman" w:hAnsi="Times New Roman" w:cs="Times New Roman"/>
                <w:noProof/>
                <w:webHidden/>
              </w:rPr>
            </w:r>
            <w:r w:rsidR="00EE3EED" w:rsidRPr="00EE3EED">
              <w:rPr>
                <w:rFonts w:ascii="Times New Roman" w:hAnsi="Times New Roman" w:cs="Times New Roman"/>
                <w:noProof/>
                <w:webHidden/>
              </w:rPr>
              <w:fldChar w:fldCharType="separate"/>
            </w:r>
            <w:r w:rsidR="003806D3">
              <w:rPr>
                <w:rFonts w:ascii="Times New Roman" w:hAnsi="Times New Roman" w:cs="Times New Roman"/>
                <w:noProof/>
                <w:webHidden/>
              </w:rPr>
              <w:t>49</w:t>
            </w:r>
            <w:r w:rsidR="00EE3EED" w:rsidRPr="00EE3EED">
              <w:rPr>
                <w:rFonts w:ascii="Times New Roman" w:hAnsi="Times New Roman" w:cs="Times New Roman"/>
                <w:noProof/>
                <w:webHidden/>
              </w:rPr>
              <w:fldChar w:fldCharType="end"/>
            </w:r>
          </w:hyperlink>
        </w:p>
        <w:p w:rsidR="00EE3EED" w:rsidRPr="00EE3EED" w:rsidRDefault="005A0E23">
          <w:pPr>
            <w:pStyle w:val="TOC1"/>
            <w:tabs>
              <w:tab w:val="right" w:leader="dot" w:pos="10054"/>
            </w:tabs>
            <w:rPr>
              <w:rFonts w:ascii="Times New Roman" w:eastAsiaTheme="minorEastAsia" w:hAnsi="Times New Roman" w:cs="Times New Roman"/>
              <w:b w:val="0"/>
              <w:bCs w:val="0"/>
              <w:caps w:val="0"/>
              <w:noProof/>
              <w:sz w:val="20"/>
              <w:szCs w:val="20"/>
              <w:lang w:eastAsia="lv-LV"/>
            </w:rPr>
          </w:pPr>
          <w:hyperlink w:anchor="_Toc477177770" w:history="1">
            <w:r w:rsidR="00EE3EED" w:rsidRPr="00EE3EED">
              <w:rPr>
                <w:rStyle w:val="Hyperlink"/>
                <w:rFonts w:ascii="Times New Roman" w:hAnsi="Times New Roman" w:cs="Times New Roman"/>
                <w:noProof/>
                <w:sz w:val="20"/>
                <w:szCs w:val="20"/>
              </w:rPr>
              <w:t>4. Plāna iekļauto pasākumu finansējuma plānojums, ietekmes novērtējums uz valsts un pašvaldību budžetu.</w:t>
            </w:r>
            <w:r w:rsidR="00EE3EED" w:rsidRPr="00EE3EED">
              <w:rPr>
                <w:rFonts w:ascii="Times New Roman" w:hAnsi="Times New Roman" w:cs="Times New Roman"/>
                <w:noProof/>
                <w:webHidden/>
                <w:sz w:val="20"/>
                <w:szCs w:val="20"/>
              </w:rPr>
              <w:tab/>
            </w:r>
            <w:r w:rsidR="00EE3EED" w:rsidRPr="00EE3EED">
              <w:rPr>
                <w:rFonts w:ascii="Times New Roman" w:hAnsi="Times New Roman" w:cs="Times New Roman"/>
                <w:noProof/>
                <w:webHidden/>
                <w:sz w:val="20"/>
                <w:szCs w:val="20"/>
              </w:rPr>
              <w:fldChar w:fldCharType="begin"/>
            </w:r>
            <w:r w:rsidR="00EE3EED" w:rsidRPr="00EE3EED">
              <w:rPr>
                <w:rFonts w:ascii="Times New Roman" w:hAnsi="Times New Roman" w:cs="Times New Roman"/>
                <w:noProof/>
                <w:webHidden/>
                <w:sz w:val="20"/>
                <w:szCs w:val="20"/>
              </w:rPr>
              <w:instrText xml:space="preserve"> PAGEREF _Toc477177770 \h </w:instrText>
            </w:r>
            <w:r w:rsidR="00EE3EED" w:rsidRPr="00EE3EED">
              <w:rPr>
                <w:rFonts w:ascii="Times New Roman" w:hAnsi="Times New Roman" w:cs="Times New Roman"/>
                <w:noProof/>
                <w:webHidden/>
                <w:sz w:val="20"/>
                <w:szCs w:val="20"/>
              </w:rPr>
            </w:r>
            <w:r w:rsidR="00EE3EED" w:rsidRPr="00EE3EED">
              <w:rPr>
                <w:rFonts w:ascii="Times New Roman" w:hAnsi="Times New Roman" w:cs="Times New Roman"/>
                <w:noProof/>
                <w:webHidden/>
                <w:sz w:val="20"/>
                <w:szCs w:val="20"/>
              </w:rPr>
              <w:fldChar w:fldCharType="separate"/>
            </w:r>
            <w:r w:rsidR="003806D3">
              <w:rPr>
                <w:rFonts w:ascii="Times New Roman" w:hAnsi="Times New Roman" w:cs="Times New Roman"/>
                <w:noProof/>
                <w:webHidden/>
                <w:sz w:val="20"/>
                <w:szCs w:val="20"/>
              </w:rPr>
              <w:t>50</w:t>
            </w:r>
            <w:r w:rsidR="00EE3EED" w:rsidRPr="00EE3EED">
              <w:rPr>
                <w:rFonts w:ascii="Times New Roman" w:hAnsi="Times New Roman" w:cs="Times New Roman"/>
                <w:noProof/>
                <w:webHidden/>
                <w:sz w:val="20"/>
                <w:szCs w:val="20"/>
              </w:rPr>
              <w:fldChar w:fldCharType="end"/>
            </w:r>
          </w:hyperlink>
        </w:p>
        <w:p w:rsidR="00CB5C17" w:rsidRPr="00C77593" w:rsidRDefault="00CB5C17" w:rsidP="00C77593">
          <w:pPr>
            <w:spacing w:after="120"/>
            <w:rPr>
              <w:rFonts w:cs="Times New Roman"/>
            </w:rPr>
          </w:pPr>
          <w:r w:rsidRPr="00EE3EED">
            <w:rPr>
              <w:rFonts w:cs="Times New Roman"/>
              <w:b/>
              <w:bCs/>
              <w:noProof/>
              <w:sz w:val="20"/>
              <w:szCs w:val="20"/>
            </w:rPr>
            <w:fldChar w:fldCharType="end"/>
          </w:r>
        </w:p>
      </w:sdtContent>
    </w:sdt>
    <w:p w:rsidR="00A91EE6" w:rsidRDefault="00A91EE6" w:rsidP="00A70D56">
      <w:pPr>
        <w:pStyle w:val="NormalWeb"/>
        <w:spacing w:before="0" w:beforeAutospacing="0" w:after="0" w:afterAutospacing="0"/>
        <w:ind w:firstLine="426"/>
        <w:rPr>
          <w:rFonts w:eastAsia="+mn-ea"/>
          <w:b/>
          <w:color w:val="000000"/>
          <w:kern w:val="24"/>
        </w:rPr>
      </w:pPr>
    </w:p>
    <w:p w:rsidR="00A91EE6" w:rsidRDefault="00A91EE6" w:rsidP="00A70D56">
      <w:pPr>
        <w:pStyle w:val="NormalWeb"/>
        <w:spacing w:before="0" w:beforeAutospacing="0" w:after="0" w:afterAutospacing="0"/>
        <w:ind w:firstLine="426"/>
        <w:rPr>
          <w:rFonts w:eastAsia="+mn-ea"/>
          <w:b/>
          <w:color w:val="000000"/>
          <w:kern w:val="24"/>
        </w:rPr>
      </w:pPr>
    </w:p>
    <w:p w:rsidR="00A91EE6" w:rsidRDefault="00A91EE6" w:rsidP="00A70D56">
      <w:pPr>
        <w:pStyle w:val="NormalWeb"/>
        <w:spacing w:before="0" w:beforeAutospacing="0" w:after="0" w:afterAutospacing="0"/>
        <w:ind w:firstLine="426"/>
        <w:rPr>
          <w:rFonts w:eastAsia="+mn-ea"/>
          <w:b/>
          <w:color w:val="000000"/>
          <w:kern w:val="24"/>
        </w:rPr>
      </w:pPr>
    </w:p>
    <w:p w:rsidR="00A91EE6" w:rsidRDefault="00A91EE6" w:rsidP="00A70D56">
      <w:pPr>
        <w:pStyle w:val="NormalWeb"/>
        <w:spacing w:before="0" w:beforeAutospacing="0" w:after="0" w:afterAutospacing="0"/>
        <w:ind w:firstLine="426"/>
        <w:rPr>
          <w:rFonts w:eastAsia="+mn-ea"/>
          <w:b/>
          <w:color w:val="000000"/>
          <w:kern w:val="24"/>
        </w:rPr>
      </w:pPr>
    </w:p>
    <w:p w:rsidR="00A91EE6" w:rsidRDefault="00A91EE6" w:rsidP="00A70D56">
      <w:pPr>
        <w:pStyle w:val="NormalWeb"/>
        <w:spacing w:before="0" w:beforeAutospacing="0" w:after="0" w:afterAutospacing="0"/>
        <w:ind w:firstLine="426"/>
        <w:rPr>
          <w:rFonts w:eastAsia="+mn-ea"/>
          <w:b/>
          <w:color w:val="000000"/>
          <w:kern w:val="24"/>
        </w:rPr>
      </w:pPr>
    </w:p>
    <w:p w:rsidR="008F6DCD" w:rsidRDefault="008F6DCD" w:rsidP="008F6DCD">
      <w:pPr>
        <w:pStyle w:val="NormalWeb"/>
        <w:spacing w:before="0" w:beforeAutospacing="0" w:after="0" w:afterAutospacing="0"/>
        <w:rPr>
          <w:rFonts w:eastAsia="+mn-ea"/>
          <w:b/>
          <w:i/>
          <w:color w:val="000000"/>
          <w:kern w:val="24"/>
          <w:sz w:val="28"/>
          <w:szCs w:val="28"/>
        </w:rPr>
      </w:pPr>
    </w:p>
    <w:p w:rsidR="00BC1989" w:rsidRDefault="00BC1989" w:rsidP="008F6DCD">
      <w:pPr>
        <w:pStyle w:val="NormalWeb"/>
        <w:spacing w:before="0" w:beforeAutospacing="0" w:after="0" w:afterAutospacing="0"/>
        <w:rPr>
          <w:rFonts w:eastAsia="+mn-ea"/>
          <w:b/>
          <w:i/>
          <w:color w:val="000000"/>
          <w:kern w:val="24"/>
          <w:sz w:val="28"/>
          <w:szCs w:val="28"/>
        </w:rPr>
      </w:pPr>
    </w:p>
    <w:p w:rsidR="00FC4FEF" w:rsidRDefault="00FC4FEF" w:rsidP="008F6DCD">
      <w:pPr>
        <w:pStyle w:val="NormalWeb"/>
        <w:spacing w:before="0" w:beforeAutospacing="0" w:after="0" w:afterAutospacing="0"/>
        <w:rPr>
          <w:rFonts w:eastAsia="+mn-ea"/>
          <w:b/>
          <w:i/>
          <w:color w:val="000000"/>
          <w:kern w:val="24"/>
          <w:sz w:val="28"/>
          <w:szCs w:val="28"/>
        </w:rPr>
      </w:pPr>
    </w:p>
    <w:p w:rsidR="00ED240D" w:rsidRDefault="00ED240D" w:rsidP="008F6DCD">
      <w:pPr>
        <w:pStyle w:val="NormalWeb"/>
        <w:spacing w:before="0" w:beforeAutospacing="0" w:after="0" w:afterAutospacing="0"/>
        <w:rPr>
          <w:rFonts w:eastAsia="+mn-ea"/>
          <w:b/>
          <w:i/>
          <w:color w:val="000000"/>
          <w:kern w:val="24"/>
          <w:sz w:val="28"/>
          <w:szCs w:val="28"/>
        </w:rPr>
      </w:pPr>
    </w:p>
    <w:p w:rsidR="00ED240D" w:rsidRPr="00A91EE6" w:rsidRDefault="00ED240D" w:rsidP="008F6DCD">
      <w:pPr>
        <w:pStyle w:val="NormalWeb"/>
        <w:spacing w:before="0" w:beforeAutospacing="0" w:after="0" w:afterAutospacing="0"/>
        <w:rPr>
          <w:rFonts w:eastAsia="+mn-ea"/>
          <w:b/>
          <w:i/>
          <w:color w:val="000000"/>
          <w:kern w:val="24"/>
          <w:sz w:val="28"/>
          <w:szCs w:val="28"/>
        </w:rPr>
      </w:pPr>
    </w:p>
    <w:p w:rsidR="008F6DCD" w:rsidRPr="00D1125E" w:rsidRDefault="008F6DCD" w:rsidP="008F6DCD">
      <w:pPr>
        <w:pStyle w:val="Heading1"/>
        <w:rPr>
          <w:rFonts w:cs="Times New Roman"/>
          <w:b w:val="0"/>
          <w:szCs w:val="28"/>
        </w:rPr>
      </w:pPr>
      <w:bookmarkStart w:id="0" w:name="_Toc477177747"/>
      <w:r w:rsidRPr="00950714">
        <w:lastRenderedPageBreak/>
        <w:t>Lietotie saīsinājumi</w:t>
      </w:r>
      <w:bookmarkEnd w:id="0"/>
      <w:r w:rsidRPr="00D1125E">
        <w:rPr>
          <w:rFonts w:cs="Times New Roman"/>
          <w:b w:val="0"/>
          <w:szCs w:val="28"/>
        </w:rPr>
        <w:tab/>
      </w:r>
    </w:p>
    <w:tbl>
      <w:tblPr>
        <w:tblW w:w="0" w:type="auto"/>
        <w:tblLook w:val="01E0" w:firstRow="1" w:lastRow="1" w:firstColumn="1" w:lastColumn="1" w:noHBand="0" w:noVBand="0"/>
      </w:tblPr>
      <w:tblGrid>
        <w:gridCol w:w="2160"/>
        <w:gridCol w:w="7127"/>
      </w:tblGrid>
      <w:tr w:rsidR="008F6DCD" w:rsidRPr="002355D6" w:rsidTr="00814104">
        <w:tc>
          <w:tcPr>
            <w:tcW w:w="2160" w:type="dxa"/>
            <w:shd w:val="clear" w:color="auto" w:fill="auto"/>
          </w:tcPr>
          <w:p w:rsidR="008F6DCD" w:rsidRPr="002355D6" w:rsidRDefault="008F6DCD" w:rsidP="00814104">
            <w:pPr>
              <w:ind w:firstLine="426"/>
              <w:jc w:val="both"/>
              <w:rPr>
                <w:rFonts w:cs="Times New Roman"/>
              </w:rPr>
            </w:pPr>
          </w:p>
          <w:p w:rsidR="008F6DCD" w:rsidRPr="002355D6" w:rsidRDefault="008F6DCD" w:rsidP="00814104">
            <w:pPr>
              <w:ind w:firstLine="426"/>
              <w:jc w:val="both"/>
              <w:rPr>
                <w:rFonts w:cs="Times New Roman"/>
              </w:rPr>
            </w:pPr>
            <w:r w:rsidRPr="002355D6">
              <w:rPr>
                <w:rFonts w:cs="Times New Roman"/>
              </w:rPr>
              <w:t>CSDD</w:t>
            </w:r>
          </w:p>
        </w:tc>
        <w:tc>
          <w:tcPr>
            <w:tcW w:w="7127" w:type="dxa"/>
            <w:shd w:val="clear" w:color="auto" w:fill="auto"/>
          </w:tcPr>
          <w:p w:rsidR="008F6DCD" w:rsidRPr="002355D6" w:rsidRDefault="008F6DCD" w:rsidP="00814104">
            <w:pPr>
              <w:ind w:firstLine="426"/>
              <w:jc w:val="both"/>
              <w:rPr>
                <w:rFonts w:cs="Times New Roman"/>
              </w:rPr>
            </w:pPr>
          </w:p>
          <w:p w:rsidR="008F6DCD" w:rsidRPr="002355D6" w:rsidRDefault="008F6DCD" w:rsidP="00814104">
            <w:pPr>
              <w:ind w:firstLine="426"/>
              <w:jc w:val="both"/>
              <w:rPr>
                <w:rFonts w:cs="Times New Roman"/>
              </w:rPr>
            </w:pPr>
            <w:r w:rsidRPr="002355D6">
              <w:rPr>
                <w:rFonts w:cs="Times New Roman"/>
              </w:rPr>
              <w:t>Valsts akciju sabiedrība „Ceļu satiksmes drošības direkcija”</w:t>
            </w:r>
          </w:p>
        </w:tc>
      </w:tr>
      <w:tr w:rsidR="008F6DCD" w:rsidRPr="002355D6" w:rsidTr="00814104">
        <w:tc>
          <w:tcPr>
            <w:tcW w:w="2160" w:type="dxa"/>
            <w:shd w:val="clear" w:color="auto" w:fill="auto"/>
          </w:tcPr>
          <w:p w:rsidR="008F6DCD" w:rsidRDefault="008F6DCD" w:rsidP="00814104">
            <w:pPr>
              <w:ind w:firstLine="426"/>
              <w:jc w:val="both"/>
              <w:rPr>
                <w:rFonts w:cs="Times New Roman"/>
              </w:rPr>
            </w:pPr>
            <w:proofErr w:type="spellStart"/>
            <w:r w:rsidRPr="002355D6">
              <w:rPr>
                <w:rFonts w:cs="Times New Roman"/>
              </w:rPr>
              <w:t>CSNg</w:t>
            </w:r>
            <w:proofErr w:type="spellEnd"/>
          </w:p>
          <w:p w:rsidR="00563BA8" w:rsidRPr="002355D6" w:rsidRDefault="00563BA8" w:rsidP="00814104">
            <w:pPr>
              <w:ind w:firstLine="426"/>
              <w:jc w:val="both"/>
              <w:rPr>
                <w:rFonts w:cs="Times New Roman"/>
              </w:rPr>
            </w:pPr>
            <w:r>
              <w:rPr>
                <w:rFonts w:cs="Times New Roman"/>
              </w:rPr>
              <w:t>CSL</w:t>
            </w:r>
          </w:p>
        </w:tc>
        <w:tc>
          <w:tcPr>
            <w:tcW w:w="7127" w:type="dxa"/>
            <w:shd w:val="clear" w:color="auto" w:fill="auto"/>
          </w:tcPr>
          <w:p w:rsidR="008F6DCD" w:rsidRDefault="008F6DCD" w:rsidP="00814104">
            <w:pPr>
              <w:ind w:firstLine="426"/>
              <w:jc w:val="both"/>
              <w:rPr>
                <w:rFonts w:cs="Times New Roman"/>
              </w:rPr>
            </w:pPr>
            <w:r w:rsidRPr="002355D6">
              <w:rPr>
                <w:rFonts w:cs="Times New Roman"/>
              </w:rPr>
              <w:t>Ceļu satiksmes negadījums</w:t>
            </w:r>
          </w:p>
          <w:p w:rsidR="00563BA8" w:rsidRPr="002355D6" w:rsidRDefault="00563BA8" w:rsidP="00814104">
            <w:pPr>
              <w:ind w:firstLine="426"/>
              <w:jc w:val="both"/>
              <w:rPr>
                <w:rFonts w:cs="Times New Roman"/>
              </w:rPr>
            </w:pPr>
            <w:r>
              <w:rPr>
                <w:rFonts w:cs="Times New Roman"/>
              </w:rPr>
              <w:t>Ceļu satiksmes likums</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CSN</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Ceļu satiksmes noteikumi</w:t>
            </w:r>
          </w:p>
        </w:tc>
      </w:tr>
      <w:tr w:rsidR="008F6DCD" w:rsidRPr="002355D6" w:rsidTr="00814104">
        <w:tc>
          <w:tcPr>
            <w:tcW w:w="2160" w:type="dxa"/>
            <w:shd w:val="clear" w:color="auto" w:fill="auto"/>
          </w:tcPr>
          <w:p w:rsidR="008F6DCD" w:rsidRDefault="008F6DCD" w:rsidP="00814104">
            <w:pPr>
              <w:ind w:firstLine="426"/>
              <w:jc w:val="both"/>
              <w:rPr>
                <w:rFonts w:cs="Times New Roman"/>
              </w:rPr>
            </w:pPr>
            <w:r w:rsidRPr="002355D6">
              <w:rPr>
                <w:rFonts w:cs="Times New Roman"/>
              </w:rPr>
              <w:t>CSDP</w:t>
            </w:r>
          </w:p>
          <w:p w:rsidR="00EF3D79" w:rsidRDefault="00EF3D79" w:rsidP="00814104">
            <w:pPr>
              <w:ind w:firstLine="426"/>
              <w:jc w:val="both"/>
              <w:rPr>
                <w:rFonts w:cs="Times New Roman"/>
              </w:rPr>
            </w:pPr>
            <w:proofErr w:type="spellStart"/>
            <w:r>
              <w:rPr>
                <w:rFonts w:cs="Times New Roman"/>
              </w:rPr>
              <w:t>eCall</w:t>
            </w:r>
            <w:proofErr w:type="spellEnd"/>
            <w:r>
              <w:rPr>
                <w:rFonts w:cs="Times New Roman"/>
              </w:rPr>
              <w:t xml:space="preserve"> </w:t>
            </w:r>
            <w:r w:rsidR="000009A6">
              <w:rPr>
                <w:rFonts w:cs="Times New Roman"/>
              </w:rPr>
              <w:t>–</w:t>
            </w:r>
            <w:r>
              <w:rPr>
                <w:rFonts w:cs="Times New Roman"/>
              </w:rPr>
              <w:t xml:space="preserve"> </w:t>
            </w:r>
            <w:proofErr w:type="spellStart"/>
            <w:r>
              <w:rPr>
                <w:rFonts w:cs="Times New Roman"/>
              </w:rPr>
              <w:t>eZvans</w:t>
            </w:r>
            <w:proofErr w:type="spellEnd"/>
          </w:p>
          <w:p w:rsidR="000009A6" w:rsidRDefault="000009A6" w:rsidP="00814104">
            <w:pPr>
              <w:ind w:firstLine="426"/>
              <w:jc w:val="both"/>
              <w:rPr>
                <w:rFonts w:cs="Times New Roman"/>
              </w:rPr>
            </w:pPr>
          </w:p>
          <w:p w:rsidR="000009A6" w:rsidRPr="002355D6" w:rsidRDefault="000009A6" w:rsidP="00814104">
            <w:pPr>
              <w:ind w:firstLine="426"/>
              <w:jc w:val="both"/>
              <w:rPr>
                <w:rFonts w:cs="Times New Roman"/>
              </w:rPr>
            </w:pPr>
            <w:r>
              <w:rPr>
                <w:rFonts w:cs="Times New Roman"/>
              </w:rPr>
              <w:t>EM</w:t>
            </w:r>
          </w:p>
        </w:tc>
        <w:tc>
          <w:tcPr>
            <w:tcW w:w="7127" w:type="dxa"/>
            <w:shd w:val="clear" w:color="auto" w:fill="auto"/>
          </w:tcPr>
          <w:p w:rsidR="008F6DCD" w:rsidRDefault="008F6DCD" w:rsidP="00814104">
            <w:pPr>
              <w:ind w:firstLine="426"/>
              <w:jc w:val="both"/>
              <w:rPr>
                <w:rFonts w:cs="Times New Roman"/>
              </w:rPr>
            </w:pPr>
            <w:r w:rsidRPr="002355D6">
              <w:rPr>
                <w:rFonts w:cs="Times New Roman"/>
              </w:rPr>
              <w:t>Ceļu satiksmes drošības padome</w:t>
            </w:r>
          </w:p>
          <w:p w:rsidR="00EF3D79" w:rsidRDefault="00EF3D79" w:rsidP="00EF3D79">
            <w:pPr>
              <w:ind w:left="426"/>
              <w:jc w:val="both"/>
              <w:rPr>
                <w:rFonts w:cs="Times New Roman"/>
              </w:rPr>
            </w:pPr>
            <w:r>
              <w:rPr>
                <w:rFonts w:cs="Times New Roman"/>
              </w:rPr>
              <w:t>Transportlīdzekļu tehnoloģija</w:t>
            </w:r>
            <w:r w:rsidRPr="00EF3D79">
              <w:rPr>
                <w:rFonts w:cs="Times New Roman"/>
              </w:rPr>
              <w:t xml:space="preserve">, kura </w:t>
            </w:r>
            <w:r>
              <w:rPr>
                <w:rFonts w:cs="Times New Roman"/>
              </w:rPr>
              <w:t>nelaimes gadījumā sazinā</w:t>
            </w:r>
            <w:r w:rsidRPr="00EF3D79">
              <w:rPr>
                <w:rFonts w:cs="Times New Roman"/>
              </w:rPr>
              <w:t xml:space="preserve">s ar </w:t>
            </w:r>
            <w:proofErr w:type="spellStart"/>
            <w:r w:rsidRPr="00EF3D79">
              <w:rPr>
                <w:rFonts w:cs="Times New Roman"/>
              </w:rPr>
              <w:t>eZvana</w:t>
            </w:r>
            <w:proofErr w:type="spellEnd"/>
            <w:r w:rsidRPr="00EF3D79">
              <w:rPr>
                <w:rFonts w:cs="Times New Roman"/>
              </w:rPr>
              <w:t xml:space="preserve"> </w:t>
            </w:r>
            <w:proofErr w:type="spellStart"/>
            <w:r w:rsidRPr="00EF3D79">
              <w:rPr>
                <w:rFonts w:cs="Times New Roman"/>
              </w:rPr>
              <w:t>sadarbspējīgo</w:t>
            </w:r>
            <w:proofErr w:type="spellEnd"/>
            <w:r w:rsidRPr="00EF3D79">
              <w:rPr>
                <w:rFonts w:cs="Times New Roman"/>
              </w:rPr>
              <w:t xml:space="preserve"> pakalpojumu uz tālruņa līnijas 112 bāzes</w:t>
            </w:r>
            <w:r>
              <w:rPr>
                <w:rFonts w:cs="Times New Roman"/>
              </w:rPr>
              <w:t>.</w:t>
            </w:r>
          </w:p>
          <w:p w:rsidR="000009A6" w:rsidRPr="002355D6" w:rsidRDefault="000009A6" w:rsidP="00EF3D79">
            <w:pPr>
              <w:ind w:left="426"/>
              <w:jc w:val="both"/>
              <w:rPr>
                <w:rFonts w:cs="Times New Roman"/>
              </w:rPr>
            </w:pPr>
            <w:r>
              <w:rPr>
                <w:rFonts w:cs="Times New Roman"/>
              </w:rPr>
              <w:t>Ekonomikas ministrija</w:t>
            </w:r>
          </w:p>
        </w:tc>
      </w:tr>
      <w:tr w:rsidR="008F6DCD" w:rsidRPr="002355D6" w:rsidTr="00814104">
        <w:tc>
          <w:tcPr>
            <w:tcW w:w="2160" w:type="dxa"/>
            <w:shd w:val="clear" w:color="auto" w:fill="auto"/>
          </w:tcPr>
          <w:p w:rsidR="008F6DCD" w:rsidRDefault="008F6DCD" w:rsidP="00814104">
            <w:pPr>
              <w:ind w:firstLine="426"/>
              <w:jc w:val="both"/>
              <w:rPr>
                <w:rFonts w:cs="Times New Roman"/>
              </w:rPr>
            </w:pPr>
            <w:r w:rsidRPr="002355D6">
              <w:rPr>
                <w:rFonts w:cs="Times New Roman"/>
              </w:rPr>
              <w:t>ES</w:t>
            </w:r>
          </w:p>
          <w:p w:rsidR="00E27F5B" w:rsidRDefault="00E27F5B" w:rsidP="00814104">
            <w:pPr>
              <w:ind w:firstLine="426"/>
              <w:jc w:val="both"/>
              <w:rPr>
                <w:rFonts w:cs="Times New Roman"/>
              </w:rPr>
            </w:pPr>
            <w:r>
              <w:rPr>
                <w:rFonts w:cs="Times New Roman"/>
              </w:rPr>
              <w:t>FM</w:t>
            </w:r>
          </w:p>
          <w:p w:rsidR="00002D8B" w:rsidRPr="002355D6" w:rsidRDefault="00002D8B" w:rsidP="00814104">
            <w:pPr>
              <w:ind w:firstLine="426"/>
              <w:jc w:val="both"/>
              <w:rPr>
                <w:rFonts w:cs="Times New Roman"/>
              </w:rPr>
            </w:pPr>
            <w:r>
              <w:rPr>
                <w:rFonts w:cs="Times New Roman"/>
              </w:rPr>
              <w:t>IAL</w:t>
            </w:r>
          </w:p>
        </w:tc>
        <w:tc>
          <w:tcPr>
            <w:tcW w:w="7127" w:type="dxa"/>
            <w:shd w:val="clear" w:color="auto" w:fill="auto"/>
          </w:tcPr>
          <w:p w:rsidR="008F6DCD" w:rsidRDefault="008F6DCD" w:rsidP="00814104">
            <w:pPr>
              <w:ind w:firstLine="426"/>
              <w:jc w:val="both"/>
              <w:rPr>
                <w:rFonts w:cs="Times New Roman"/>
              </w:rPr>
            </w:pPr>
            <w:r w:rsidRPr="002355D6">
              <w:rPr>
                <w:rFonts w:cs="Times New Roman"/>
              </w:rPr>
              <w:t>Eiropas Savienība</w:t>
            </w:r>
          </w:p>
          <w:p w:rsidR="00002D8B" w:rsidRDefault="00E27F5B" w:rsidP="00002D8B">
            <w:pPr>
              <w:ind w:firstLine="426"/>
              <w:jc w:val="both"/>
              <w:rPr>
                <w:rFonts w:cs="Times New Roman"/>
              </w:rPr>
            </w:pPr>
            <w:r>
              <w:rPr>
                <w:rFonts w:cs="Times New Roman"/>
              </w:rPr>
              <w:t>Finanšu ministrija</w:t>
            </w:r>
          </w:p>
          <w:p w:rsidR="00002D8B" w:rsidRPr="002355D6" w:rsidRDefault="00002D8B" w:rsidP="00002D8B">
            <w:pPr>
              <w:jc w:val="both"/>
              <w:rPr>
                <w:rFonts w:cs="Times New Roman"/>
              </w:rPr>
            </w:pPr>
            <w:r>
              <w:rPr>
                <w:rFonts w:cs="Times New Roman"/>
              </w:rPr>
              <w:t xml:space="preserve">       Individuālie aizsardzības līdzekļi</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IeM</w:t>
            </w:r>
          </w:p>
          <w:p w:rsidR="008F6DCD" w:rsidRPr="002355D6" w:rsidRDefault="008F6DCD" w:rsidP="00814104">
            <w:pPr>
              <w:ind w:firstLine="426"/>
              <w:jc w:val="both"/>
              <w:rPr>
                <w:rFonts w:cs="Times New Roman"/>
              </w:rPr>
            </w:pPr>
            <w:r w:rsidRPr="002355D6">
              <w:rPr>
                <w:rFonts w:cs="Times New Roman"/>
              </w:rPr>
              <w:t>IeM IC</w:t>
            </w:r>
          </w:p>
        </w:tc>
        <w:tc>
          <w:tcPr>
            <w:tcW w:w="7127" w:type="dxa"/>
            <w:shd w:val="clear" w:color="auto" w:fill="auto"/>
          </w:tcPr>
          <w:p w:rsidR="008F6DCD" w:rsidRPr="002355D6" w:rsidRDefault="008F6DCD" w:rsidP="00814104">
            <w:pPr>
              <w:ind w:firstLine="426"/>
              <w:jc w:val="both"/>
              <w:rPr>
                <w:rFonts w:cs="Times New Roman"/>
              </w:rPr>
            </w:pPr>
            <w:proofErr w:type="spellStart"/>
            <w:r w:rsidRPr="002355D6">
              <w:rPr>
                <w:rFonts w:cs="Times New Roman"/>
              </w:rPr>
              <w:t>Iekšlietu</w:t>
            </w:r>
            <w:proofErr w:type="spellEnd"/>
            <w:r w:rsidRPr="002355D6">
              <w:rPr>
                <w:rFonts w:cs="Times New Roman"/>
              </w:rPr>
              <w:t xml:space="preserve"> ministrija </w:t>
            </w:r>
          </w:p>
          <w:p w:rsidR="008F6DCD" w:rsidRPr="002355D6" w:rsidRDefault="008F6DCD" w:rsidP="00814104">
            <w:pPr>
              <w:ind w:firstLine="426"/>
              <w:jc w:val="both"/>
              <w:rPr>
                <w:rFonts w:cs="Times New Roman"/>
              </w:rPr>
            </w:pPr>
            <w:proofErr w:type="spellStart"/>
            <w:r w:rsidRPr="002355D6">
              <w:rPr>
                <w:rFonts w:cs="Times New Roman"/>
              </w:rPr>
              <w:t>Iekšlietu</w:t>
            </w:r>
            <w:proofErr w:type="spellEnd"/>
            <w:r w:rsidRPr="002355D6">
              <w:rPr>
                <w:rFonts w:cs="Times New Roman"/>
              </w:rPr>
              <w:t xml:space="preserve"> ministrijas Informācijas centrs</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IZM</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 xml:space="preserve">Izglītības un zinātnes ministrija </w:t>
            </w:r>
          </w:p>
        </w:tc>
      </w:tr>
      <w:tr w:rsidR="008F6DCD" w:rsidRPr="002355D6" w:rsidTr="00814104">
        <w:tc>
          <w:tcPr>
            <w:tcW w:w="2160" w:type="dxa"/>
            <w:shd w:val="clear" w:color="auto" w:fill="auto"/>
          </w:tcPr>
          <w:p w:rsidR="008F6DCD" w:rsidRDefault="008F6DCD" w:rsidP="00814104">
            <w:pPr>
              <w:ind w:firstLine="426"/>
              <w:jc w:val="both"/>
              <w:rPr>
                <w:rFonts w:cs="Times New Roman"/>
              </w:rPr>
            </w:pPr>
            <w:r w:rsidRPr="002355D6">
              <w:rPr>
                <w:rFonts w:cs="Times New Roman"/>
              </w:rPr>
              <w:t>ITS</w:t>
            </w:r>
          </w:p>
          <w:p w:rsidR="00E27F5B" w:rsidRPr="002355D6" w:rsidRDefault="00E27F5B" w:rsidP="00814104">
            <w:pPr>
              <w:ind w:firstLine="426"/>
              <w:jc w:val="both"/>
              <w:rPr>
                <w:rFonts w:cs="Times New Roman"/>
              </w:rPr>
            </w:pPr>
            <w:r>
              <w:rPr>
                <w:rFonts w:cs="Times New Roman"/>
              </w:rPr>
              <w:t>LM</w:t>
            </w:r>
          </w:p>
        </w:tc>
        <w:tc>
          <w:tcPr>
            <w:tcW w:w="7127" w:type="dxa"/>
            <w:shd w:val="clear" w:color="auto" w:fill="auto"/>
          </w:tcPr>
          <w:p w:rsidR="008F6DCD" w:rsidRDefault="008F6DCD" w:rsidP="00814104">
            <w:pPr>
              <w:ind w:firstLine="426"/>
              <w:jc w:val="both"/>
              <w:rPr>
                <w:rFonts w:cs="Times New Roman"/>
                <w:bCs/>
              </w:rPr>
            </w:pPr>
            <w:r w:rsidRPr="002355D6">
              <w:rPr>
                <w:rFonts w:cs="Times New Roman"/>
                <w:bCs/>
              </w:rPr>
              <w:t>Inteliģentās (viedās) transporta sistēmas</w:t>
            </w:r>
          </w:p>
          <w:p w:rsidR="00E27F5B" w:rsidRPr="002355D6" w:rsidRDefault="00E27F5B" w:rsidP="00814104">
            <w:pPr>
              <w:ind w:firstLine="426"/>
              <w:jc w:val="both"/>
              <w:rPr>
                <w:rFonts w:cs="Times New Roman"/>
                <w:bCs/>
              </w:rPr>
            </w:pPr>
            <w:r>
              <w:rPr>
                <w:rFonts w:cs="Times New Roman"/>
                <w:bCs/>
              </w:rPr>
              <w:t>Labklājības ministrija</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LPS</w:t>
            </w:r>
          </w:p>
          <w:p w:rsidR="008F6DCD" w:rsidRPr="002355D6" w:rsidRDefault="008F6DCD" w:rsidP="00814104">
            <w:pPr>
              <w:ind w:firstLine="426"/>
              <w:jc w:val="both"/>
              <w:rPr>
                <w:rFonts w:cs="Times New Roman"/>
              </w:rPr>
            </w:pPr>
            <w:r w:rsidRPr="002355D6">
              <w:rPr>
                <w:rFonts w:cs="Times New Roman"/>
              </w:rPr>
              <w:t>LTAB</w:t>
            </w:r>
          </w:p>
          <w:p w:rsidR="008F6DCD" w:rsidRPr="002355D6" w:rsidRDefault="008F6DCD" w:rsidP="00814104">
            <w:pPr>
              <w:ind w:firstLine="426"/>
              <w:jc w:val="both"/>
              <w:rPr>
                <w:rFonts w:cs="Times New Roman"/>
              </w:rPr>
            </w:pPr>
            <w:r w:rsidRPr="002355D6">
              <w:rPr>
                <w:rFonts w:cs="Times New Roman"/>
              </w:rPr>
              <w:t>LVC</w:t>
            </w:r>
          </w:p>
          <w:p w:rsidR="008F6DCD" w:rsidRPr="002355D6" w:rsidRDefault="008F6DCD" w:rsidP="00814104">
            <w:pPr>
              <w:ind w:firstLine="426"/>
              <w:jc w:val="both"/>
              <w:rPr>
                <w:rFonts w:cs="Times New Roman"/>
              </w:rPr>
            </w:pPr>
            <w:r w:rsidRPr="002355D6">
              <w:rPr>
                <w:rFonts w:cs="Times New Roman"/>
              </w:rPr>
              <w:t>MAIS</w:t>
            </w:r>
          </w:p>
          <w:p w:rsidR="008F6DCD" w:rsidRPr="002355D6" w:rsidRDefault="008F6DCD" w:rsidP="00814104">
            <w:pPr>
              <w:ind w:firstLine="426"/>
              <w:jc w:val="both"/>
              <w:rPr>
                <w:rFonts w:cs="Times New Roman"/>
              </w:rPr>
            </w:pPr>
            <w:r w:rsidRPr="002355D6">
              <w:rPr>
                <w:rFonts w:cs="Times New Roman"/>
              </w:rPr>
              <w:t>NAP2020</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Latvijas Pašvaldību savienība</w:t>
            </w:r>
          </w:p>
          <w:p w:rsidR="008F6DCD" w:rsidRPr="002355D6" w:rsidRDefault="008F6DCD" w:rsidP="00814104">
            <w:pPr>
              <w:ind w:firstLine="426"/>
              <w:jc w:val="both"/>
              <w:rPr>
                <w:rFonts w:cs="Times New Roman"/>
              </w:rPr>
            </w:pPr>
            <w:r w:rsidRPr="002355D6">
              <w:rPr>
                <w:rFonts w:cs="Times New Roman"/>
              </w:rPr>
              <w:t>Latvijas Transportlīdzekļu apdrošinātāju birojs</w:t>
            </w:r>
          </w:p>
          <w:p w:rsidR="008F6DCD" w:rsidRPr="002355D6" w:rsidRDefault="008F6DCD" w:rsidP="00814104">
            <w:pPr>
              <w:ind w:firstLine="426"/>
              <w:rPr>
                <w:rFonts w:cs="Times New Roman"/>
              </w:rPr>
            </w:pPr>
            <w:r w:rsidRPr="002355D6">
              <w:rPr>
                <w:rFonts w:cs="Times New Roman"/>
              </w:rPr>
              <w:t>Valsts akciju sabiedrība „Latvijas Valsts ceļi”</w:t>
            </w:r>
          </w:p>
          <w:p w:rsidR="008F6DCD" w:rsidRPr="002355D6" w:rsidRDefault="008F6DCD" w:rsidP="00814104">
            <w:pPr>
              <w:ind w:firstLine="426"/>
              <w:rPr>
                <w:rFonts w:cs="Times New Roman"/>
              </w:rPr>
            </w:pPr>
            <w:proofErr w:type="spellStart"/>
            <w:r w:rsidRPr="002355D6">
              <w:rPr>
                <w:rFonts w:cs="Times New Roman"/>
              </w:rPr>
              <w:t>Maximum</w:t>
            </w:r>
            <w:proofErr w:type="spellEnd"/>
            <w:r w:rsidRPr="002355D6">
              <w:rPr>
                <w:rFonts w:cs="Times New Roman"/>
              </w:rPr>
              <w:t xml:space="preserve"> </w:t>
            </w:r>
            <w:proofErr w:type="spellStart"/>
            <w:r w:rsidRPr="002355D6">
              <w:rPr>
                <w:rFonts w:cs="Times New Roman"/>
              </w:rPr>
              <w:t>Abbreviated</w:t>
            </w:r>
            <w:proofErr w:type="spellEnd"/>
            <w:r w:rsidRPr="002355D6">
              <w:rPr>
                <w:rFonts w:cs="Times New Roman"/>
              </w:rPr>
              <w:t xml:space="preserve"> </w:t>
            </w:r>
            <w:proofErr w:type="spellStart"/>
            <w:r w:rsidRPr="002355D6">
              <w:rPr>
                <w:rFonts w:cs="Times New Roman"/>
              </w:rPr>
              <w:t>Injury</w:t>
            </w:r>
            <w:proofErr w:type="spellEnd"/>
            <w:r w:rsidRPr="002355D6">
              <w:rPr>
                <w:rFonts w:cs="Times New Roman"/>
              </w:rPr>
              <w:t xml:space="preserve"> </w:t>
            </w:r>
            <w:proofErr w:type="spellStart"/>
            <w:r w:rsidRPr="002355D6">
              <w:rPr>
                <w:rFonts w:cs="Times New Roman"/>
              </w:rPr>
              <w:t>Scale</w:t>
            </w:r>
            <w:proofErr w:type="spellEnd"/>
          </w:p>
          <w:p w:rsidR="008F6DCD" w:rsidRPr="002355D6" w:rsidRDefault="008F6DCD" w:rsidP="00814104">
            <w:pPr>
              <w:ind w:firstLine="426"/>
              <w:rPr>
                <w:rFonts w:cs="Times New Roman"/>
              </w:rPr>
            </w:pPr>
            <w:r w:rsidRPr="002355D6">
              <w:rPr>
                <w:rFonts w:cs="Times New Roman"/>
              </w:rPr>
              <w:t>Nacionālais attīstības plāns 2014. – 2020. gadam</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NVO</w:t>
            </w:r>
          </w:p>
          <w:p w:rsidR="008F6DCD" w:rsidRDefault="008F6DCD" w:rsidP="00814104">
            <w:pPr>
              <w:ind w:firstLine="426"/>
              <w:jc w:val="both"/>
              <w:rPr>
                <w:rFonts w:cs="Times New Roman"/>
              </w:rPr>
            </w:pPr>
            <w:r w:rsidRPr="002355D6">
              <w:rPr>
                <w:rFonts w:cs="Times New Roman"/>
              </w:rPr>
              <w:t>OCTA</w:t>
            </w:r>
          </w:p>
          <w:p w:rsidR="00002D8B" w:rsidRPr="002355D6" w:rsidRDefault="00002D8B" w:rsidP="00814104">
            <w:pPr>
              <w:ind w:firstLine="426"/>
              <w:jc w:val="both"/>
              <w:rPr>
                <w:rFonts w:cs="Times New Roman"/>
              </w:rPr>
            </w:pPr>
            <w:r>
              <w:rPr>
                <w:rFonts w:cs="Times New Roman"/>
              </w:rPr>
              <w:t>PTAC</w:t>
            </w:r>
          </w:p>
          <w:p w:rsidR="008F6DCD" w:rsidRPr="002355D6" w:rsidRDefault="008F6DCD" w:rsidP="00814104">
            <w:pPr>
              <w:ind w:firstLine="426"/>
              <w:jc w:val="both"/>
              <w:rPr>
                <w:rFonts w:cs="Times New Roman"/>
              </w:rPr>
            </w:pPr>
            <w:r w:rsidRPr="002355D6">
              <w:rPr>
                <w:rFonts w:cs="Times New Roman"/>
              </w:rPr>
              <w:t>RA</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Nevalstiskās organizācijas</w:t>
            </w:r>
          </w:p>
          <w:p w:rsidR="008F6DCD" w:rsidRDefault="008F6DCD" w:rsidP="00814104">
            <w:pPr>
              <w:ind w:firstLine="426"/>
              <w:jc w:val="both"/>
              <w:rPr>
                <w:rFonts w:cs="Times New Roman"/>
              </w:rPr>
            </w:pPr>
            <w:r w:rsidRPr="002355D6">
              <w:rPr>
                <w:rFonts w:cs="Times New Roman"/>
              </w:rPr>
              <w:t>Obligātās civiltiesiskās atbildības apdrošināšana</w:t>
            </w:r>
          </w:p>
          <w:p w:rsidR="00002D8B" w:rsidRPr="002355D6" w:rsidRDefault="00002D8B" w:rsidP="00814104">
            <w:pPr>
              <w:ind w:firstLine="426"/>
              <w:jc w:val="both"/>
              <w:rPr>
                <w:rFonts w:cs="Times New Roman"/>
              </w:rPr>
            </w:pPr>
            <w:r>
              <w:rPr>
                <w:rFonts w:cs="Times New Roman"/>
              </w:rPr>
              <w:t>Patērētāju tiesību aizsardzības centrs</w:t>
            </w:r>
          </w:p>
          <w:p w:rsidR="008F6DCD" w:rsidRPr="002355D6" w:rsidRDefault="008F6DCD" w:rsidP="00814104">
            <w:pPr>
              <w:ind w:firstLine="426"/>
              <w:jc w:val="both"/>
              <w:rPr>
                <w:rFonts w:cs="Times New Roman"/>
              </w:rPr>
            </w:pPr>
            <w:r w:rsidRPr="002355D6">
              <w:rPr>
                <w:rFonts w:cs="Times New Roman"/>
              </w:rPr>
              <w:t>Biedrība “Latvijas Riteņbraucēju apvienība”</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RTU</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Rīgas Tehniskā universitāte</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RD SD</w:t>
            </w:r>
          </w:p>
          <w:p w:rsidR="008F6DCD" w:rsidRPr="002355D6" w:rsidRDefault="008F6DCD" w:rsidP="00814104">
            <w:pPr>
              <w:ind w:firstLine="426"/>
              <w:jc w:val="both"/>
              <w:rPr>
                <w:rFonts w:cs="Times New Roman"/>
              </w:rPr>
            </w:pPr>
            <w:r w:rsidRPr="002355D6">
              <w:rPr>
                <w:rFonts w:cs="Times New Roman"/>
              </w:rPr>
              <w:t>TAP2020</w:t>
            </w:r>
          </w:p>
          <w:p w:rsidR="008F6DCD" w:rsidRPr="002355D6" w:rsidRDefault="008F6DCD" w:rsidP="00814104">
            <w:pPr>
              <w:ind w:firstLine="426"/>
              <w:jc w:val="both"/>
              <w:rPr>
                <w:rFonts w:cs="Times New Roman"/>
              </w:rPr>
            </w:pPr>
            <w:r w:rsidRPr="002355D6">
              <w:rPr>
                <w:rFonts w:cs="Times New Roman"/>
              </w:rPr>
              <w:t>TL</w:t>
            </w:r>
          </w:p>
          <w:p w:rsidR="008F6DCD" w:rsidRDefault="008F6DCD" w:rsidP="00814104">
            <w:pPr>
              <w:ind w:firstLine="426"/>
              <w:jc w:val="both"/>
              <w:rPr>
                <w:rFonts w:cs="Times New Roman"/>
              </w:rPr>
            </w:pPr>
            <w:r w:rsidRPr="002355D6">
              <w:rPr>
                <w:rFonts w:cs="Times New Roman"/>
              </w:rPr>
              <w:t>TA</w:t>
            </w:r>
          </w:p>
          <w:p w:rsidR="00E27F5B" w:rsidRPr="002355D6" w:rsidRDefault="00E27F5B" w:rsidP="00814104">
            <w:pPr>
              <w:ind w:firstLine="426"/>
              <w:jc w:val="both"/>
              <w:rPr>
                <w:rFonts w:cs="Times New Roman"/>
              </w:rPr>
            </w:pPr>
            <w:r>
              <w:rPr>
                <w:rFonts w:cs="Times New Roman"/>
              </w:rPr>
              <w:t>TM</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Rīgas domes Satiksmes departaments</w:t>
            </w:r>
          </w:p>
          <w:p w:rsidR="008F6DCD" w:rsidRPr="002355D6" w:rsidRDefault="008F6DCD" w:rsidP="00814104">
            <w:pPr>
              <w:ind w:firstLine="426"/>
              <w:jc w:val="both"/>
              <w:rPr>
                <w:rFonts w:cs="Times New Roman"/>
              </w:rPr>
            </w:pPr>
            <w:r w:rsidRPr="002355D6">
              <w:rPr>
                <w:rFonts w:cs="Times New Roman"/>
              </w:rPr>
              <w:t>Transporta attīstības pamatnostādnes 2014.-2020.gadam</w:t>
            </w:r>
          </w:p>
          <w:p w:rsidR="008F6DCD" w:rsidRPr="002355D6" w:rsidRDefault="008F6DCD" w:rsidP="00814104">
            <w:pPr>
              <w:ind w:firstLine="426"/>
              <w:jc w:val="both"/>
              <w:rPr>
                <w:rFonts w:cs="Times New Roman"/>
              </w:rPr>
            </w:pPr>
            <w:r w:rsidRPr="002355D6">
              <w:rPr>
                <w:rFonts w:cs="Times New Roman"/>
              </w:rPr>
              <w:t>Transportlīdzeklis</w:t>
            </w:r>
          </w:p>
          <w:p w:rsidR="008F6DCD" w:rsidRDefault="008F6DCD" w:rsidP="00814104">
            <w:pPr>
              <w:ind w:firstLine="426"/>
              <w:jc w:val="both"/>
              <w:rPr>
                <w:rFonts w:cs="Times New Roman"/>
              </w:rPr>
            </w:pPr>
            <w:r w:rsidRPr="002355D6">
              <w:rPr>
                <w:rFonts w:cs="Times New Roman"/>
              </w:rPr>
              <w:t>Transportlīdzekļu valsts tehniskā apskate</w:t>
            </w:r>
          </w:p>
          <w:p w:rsidR="00E27F5B" w:rsidRPr="002355D6" w:rsidRDefault="00E27F5B" w:rsidP="00814104">
            <w:pPr>
              <w:ind w:firstLine="426"/>
              <w:jc w:val="both"/>
              <w:rPr>
                <w:rFonts w:cs="Times New Roman"/>
              </w:rPr>
            </w:pPr>
            <w:r>
              <w:rPr>
                <w:rFonts w:cs="Times New Roman"/>
              </w:rPr>
              <w:t>Tieslietu ministrija</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SM</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Satiksmes ministrija</w:t>
            </w:r>
          </w:p>
        </w:tc>
      </w:tr>
      <w:tr w:rsidR="008F6DCD" w:rsidRPr="002355D6" w:rsidTr="00814104">
        <w:tc>
          <w:tcPr>
            <w:tcW w:w="2160" w:type="dxa"/>
            <w:shd w:val="clear" w:color="auto" w:fill="auto"/>
          </w:tcPr>
          <w:p w:rsidR="00E27F5B" w:rsidRPr="002355D6" w:rsidRDefault="00E27F5B" w:rsidP="00814104">
            <w:pPr>
              <w:ind w:firstLine="426"/>
              <w:jc w:val="both"/>
              <w:rPr>
                <w:rFonts w:cs="Times New Roman"/>
              </w:rPr>
            </w:pPr>
            <w:r>
              <w:rPr>
                <w:rFonts w:cs="Times New Roman"/>
              </w:rPr>
              <w:t>VARAM</w:t>
            </w:r>
          </w:p>
        </w:tc>
        <w:tc>
          <w:tcPr>
            <w:tcW w:w="7127" w:type="dxa"/>
            <w:shd w:val="clear" w:color="auto" w:fill="auto"/>
          </w:tcPr>
          <w:p w:rsidR="00E27F5B" w:rsidRPr="002355D6" w:rsidRDefault="00E27F5B" w:rsidP="00E27F5B">
            <w:pPr>
              <w:ind w:firstLine="426"/>
              <w:jc w:val="both"/>
              <w:rPr>
                <w:rFonts w:cs="Times New Roman"/>
              </w:rPr>
            </w:pPr>
            <w:r>
              <w:t>Vides aizsardzības un reģionālās attīstības ministrija</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VISC</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Valsts izglītības satura centrs</w:t>
            </w:r>
          </w:p>
        </w:tc>
      </w:tr>
      <w:tr w:rsidR="008F6DCD" w:rsidRPr="002355D6" w:rsidTr="00814104">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VUGD</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Valsts ugunsdzēsības un glābšanas dienests</w:t>
            </w:r>
          </w:p>
        </w:tc>
      </w:tr>
      <w:tr w:rsidR="008F6DCD" w:rsidRPr="002355D6" w:rsidTr="00814104">
        <w:trPr>
          <w:trHeight w:val="646"/>
        </w:trPr>
        <w:tc>
          <w:tcPr>
            <w:tcW w:w="2160" w:type="dxa"/>
            <w:shd w:val="clear" w:color="auto" w:fill="auto"/>
          </w:tcPr>
          <w:p w:rsidR="008F6DCD" w:rsidRPr="002355D6" w:rsidRDefault="008F6DCD" w:rsidP="00814104">
            <w:pPr>
              <w:ind w:firstLine="426"/>
              <w:jc w:val="both"/>
              <w:rPr>
                <w:rFonts w:cs="Times New Roman"/>
              </w:rPr>
            </w:pPr>
            <w:r w:rsidRPr="002355D6">
              <w:rPr>
                <w:rFonts w:cs="Times New Roman"/>
              </w:rPr>
              <w:t>VP</w:t>
            </w:r>
          </w:p>
          <w:p w:rsidR="008F6DCD" w:rsidRPr="002355D6" w:rsidRDefault="008F6DCD" w:rsidP="00814104">
            <w:pPr>
              <w:ind w:firstLine="426"/>
              <w:jc w:val="both"/>
              <w:rPr>
                <w:rFonts w:cs="Times New Roman"/>
              </w:rPr>
            </w:pPr>
            <w:r w:rsidRPr="002355D6">
              <w:rPr>
                <w:rFonts w:cs="Times New Roman"/>
              </w:rPr>
              <w:t>VRS</w:t>
            </w:r>
          </w:p>
          <w:p w:rsidR="008F6DCD" w:rsidRPr="002355D6" w:rsidRDefault="0002276F" w:rsidP="00814104">
            <w:pPr>
              <w:ind w:firstLine="426"/>
              <w:jc w:val="both"/>
              <w:rPr>
                <w:rFonts w:cs="Times New Roman"/>
              </w:rPr>
            </w:pPr>
            <w:r>
              <w:rPr>
                <w:rFonts w:cs="Times New Roman"/>
              </w:rPr>
              <w:t>VM</w:t>
            </w:r>
          </w:p>
        </w:tc>
        <w:tc>
          <w:tcPr>
            <w:tcW w:w="7127" w:type="dxa"/>
            <w:shd w:val="clear" w:color="auto" w:fill="auto"/>
          </w:tcPr>
          <w:p w:rsidR="008F6DCD" w:rsidRPr="002355D6" w:rsidRDefault="008F6DCD" w:rsidP="00814104">
            <w:pPr>
              <w:ind w:firstLine="426"/>
              <w:jc w:val="both"/>
              <w:rPr>
                <w:rFonts w:cs="Times New Roman"/>
              </w:rPr>
            </w:pPr>
            <w:r w:rsidRPr="002355D6">
              <w:rPr>
                <w:rFonts w:cs="Times New Roman"/>
              </w:rPr>
              <w:t>Valsts policija</w:t>
            </w:r>
          </w:p>
          <w:p w:rsidR="008F6DCD" w:rsidRDefault="008F6DCD" w:rsidP="00814104">
            <w:pPr>
              <w:ind w:firstLine="426"/>
              <w:jc w:val="both"/>
              <w:rPr>
                <w:rFonts w:cs="Times New Roman"/>
              </w:rPr>
            </w:pPr>
            <w:r w:rsidRPr="002355D6">
              <w:rPr>
                <w:rFonts w:cs="Times New Roman"/>
              </w:rPr>
              <w:t>Valsts robežsardze</w:t>
            </w:r>
          </w:p>
          <w:p w:rsidR="0002276F" w:rsidRPr="002355D6" w:rsidRDefault="0002276F" w:rsidP="00814104">
            <w:pPr>
              <w:ind w:firstLine="426"/>
              <w:jc w:val="both"/>
              <w:rPr>
                <w:rFonts w:cs="Times New Roman"/>
              </w:rPr>
            </w:pPr>
            <w:r>
              <w:rPr>
                <w:rFonts w:cs="Times New Roman"/>
              </w:rPr>
              <w:t>Veselības ministrija</w:t>
            </w:r>
          </w:p>
          <w:p w:rsidR="008F6DCD" w:rsidRPr="002355D6" w:rsidRDefault="008F6DCD" w:rsidP="00814104">
            <w:pPr>
              <w:ind w:firstLine="426"/>
              <w:jc w:val="both"/>
              <w:rPr>
                <w:rFonts w:cs="Times New Roman"/>
              </w:rPr>
            </w:pPr>
          </w:p>
        </w:tc>
      </w:tr>
    </w:tbl>
    <w:p w:rsidR="008F6DCD" w:rsidRPr="002355D6" w:rsidRDefault="008F6DCD" w:rsidP="008F6DCD">
      <w:pPr>
        <w:pStyle w:val="NormalWeb"/>
        <w:spacing w:before="0" w:beforeAutospacing="0" w:after="0" w:afterAutospacing="0"/>
        <w:ind w:firstLine="426"/>
        <w:rPr>
          <w:rFonts w:eastAsia="+mn-ea"/>
          <w:color w:val="000000"/>
          <w:kern w:val="24"/>
        </w:rPr>
      </w:pPr>
    </w:p>
    <w:p w:rsidR="008F6DCD" w:rsidRPr="002355D6" w:rsidRDefault="008F6DCD" w:rsidP="008F6DCD">
      <w:pPr>
        <w:pStyle w:val="NormalWeb"/>
        <w:spacing w:before="0" w:beforeAutospacing="0" w:after="0" w:afterAutospacing="0"/>
        <w:ind w:firstLine="426"/>
        <w:rPr>
          <w:rFonts w:eastAsia="+mn-ea"/>
          <w:color w:val="000000"/>
          <w:kern w:val="24"/>
        </w:rPr>
      </w:pPr>
    </w:p>
    <w:p w:rsidR="00CB5C17" w:rsidRDefault="00CB5C17" w:rsidP="00A70D56">
      <w:pPr>
        <w:pStyle w:val="NormalWeb"/>
        <w:spacing w:before="0" w:beforeAutospacing="0" w:after="0" w:afterAutospacing="0"/>
        <w:ind w:firstLine="426"/>
        <w:rPr>
          <w:rFonts w:eastAsia="+mn-ea"/>
          <w:b/>
          <w:color w:val="000000"/>
          <w:kern w:val="24"/>
        </w:rPr>
      </w:pPr>
    </w:p>
    <w:p w:rsidR="00CB5C17" w:rsidRDefault="00CB5C17" w:rsidP="00A70D56">
      <w:pPr>
        <w:pStyle w:val="NormalWeb"/>
        <w:spacing w:before="0" w:beforeAutospacing="0" w:after="0" w:afterAutospacing="0"/>
        <w:ind w:firstLine="426"/>
        <w:rPr>
          <w:rFonts w:eastAsia="+mn-ea"/>
          <w:b/>
          <w:color w:val="000000"/>
          <w:kern w:val="24"/>
        </w:rPr>
      </w:pPr>
    </w:p>
    <w:p w:rsidR="00DA691B" w:rsidRDefault="00DA691B" w:rsidP="00A70D56">
      <w:pPr>
        <w:pStyle w:val="NormalWeb"/>
        <w:spacing w:before="0" w:beforeAutospacing="0" w:after="0" w:afterAutospacing="0"/>
        <w:ind w:firstLine="426"/>
        <w:rPr>
          <w:rFonts w:eastAsia="+mn-ea"/>
          <w:b/>
          <w:color w:val="000000"/>
          <w:kern w:val="24"/>
        </w:rPr>
      </w:pPr>
    </w:p>
    <w:p w:rsidR="00DA691B" w:rsidRDefault="00DA691B" w:rsidP="00A70D56">
      <w:pPr>
        <w:pStyle w:val="NormalWeb"/>
        <w:spacing w:before="0" w:beforeAutospacing="0" w:after="0" w:afterAutospacing="0"/>
        <w:ind w:firstLine="426"/>
        <w:rPr>
          <w:rFonts w:eastAsia="+mn-ea"/>
          <w:b/>
          <w:color w:val="000000"/>
          <w:kern w:val="24"/>
        </w:rPr>
      </w:pPr>
    </w:p>
    <w:p w:rsidR="00DA691B" w:rsidRDefault="00DA691B" w:rsidP="00A70D56">
      <w:pPr>
        <w:pStyle w:val="NormalWeb"/>
        <w:spacing w:before="0" w:beforeAutospacing="0" w:after="0" w:afterAutospacing="0"/>
        <w:ind w:firstLine="426"/>
        <w:rPr>
          <w:rFonts w:eastAsia="+mn-ea"/>
          <w:b/>
          <w:color w:val="000000"/>
          <w:kern w:val="24"/>
        </w:rPr>
      </w:pPr>
    </w:p>
    <w:p w:rsidR="00CB5C17" w:rsidRDefault="00CB5C17" w:rsidP="00A70D56">
      <w:pPr>
        <w:pStyle w:val="NormalWeb"/>
        <w:spacing w:before="0" w:beforeAutospacing="0" w:after="0" w:afterAutospacing="0"/>
        <w:ind w:firstLine="426"/>
        <w:rPr>
          <w:rFonts w:eastAsia="+mn-ea"/>
          <w:b/>
          <w:color w:val="000000"/>
          <w:kern w:val="24"/>
        </w:rPr>
      </w:pPr>
    </w:p>
    <w:p w:rsidR="008F6DCD" w:rsidRDefault="008F6DCD" w:rsidP="00A70D56">
      <w:pPr>
        <w:pStyle w:val="NormalWeb"/>
        <w:spacing w:before="0" w:beforeAutospacing="0" w:after="0" w:afterAutospacing="0"/>
        <w:ind w:firstLine="426"/>
        <w:rPr>
          <w:rFonts w:eastAsia="+mn-ea"/>
          <w:b/>
          <w:color w:val="000000"/>
          <w:kern w:val="24"/>
        </w:rPr>
      </w:pPr>
    </w:p>
    <w:p w:rsidR="00360C6E" w:rsidRDefault="00360C6E" w:rsidP="00360C6E">
      <w:pPr>
        <w:pStyle w:val="NoSpacing"/>
        <w:jc w:val="both"/>
        <w:rPr>
          <w:rFonts w:cs="Times New Roman"/>
        </w:rPr>
      </w:pPr>
    </w:p>
    <w:p w:rsidR="00360C6E" w:rsidRPr="00360C6E" w:rsidRDefault="00360C6E" w:rsidP="00360C6E">
      <w:pPr>
        <w:pStyle w:val="Heading1"/>
      </w:pPr>
      <w:bookmarkStart w:id="1" w:name="_Toc477177748"/>
      <w:r w:rsidRPr="00360C6E">
        <w:lastRenderedPageBreak/>
        <w:t>Kopsavilkums</w:t>
      </w:r>
      <w:bookmarkEnd w:id="1"/>
    </w:p>
    <w:p w:rsidR="00360C6E" w:rsidRDefault="00360C6E" w:rsidP="00360C6E">
      <w:pPr>
        <w:pStyle w:val="NoSpacing"/>
        <w:jc w:val="both"/>
        <w:rPr>
          <w:rFonts w:cs="Times New Roman"/>
        </w:rPr>
      </w:pPr>
    </w:p>
    <w:p w:rsidR="00E24A6A" w:rsidRPr="00B47A01" w:rsidRDefault="00E24A6A" w:rsidP="00E24A6A">
      <w:pPr>
        <w:pStyle w:val="NoSpacing"/>
        <w:ind w:firstLine="426"/>
        <w:jc w:val="both"/>
        <w:rPr>
          <w:rFonts w:cs="Times New Roman"/>
        </w:rPr>
      </w:pPr>
      <w:r w:rsidRPr="002E5B1E">
        <w:rPr>
          <w:rFonts w:cs="Times New Roman"/>
        </w:rPr>
        <w:t xml:space="preserve">Ceļu satiksmes drošība skar ikvienu mūsu valsts iedzīvotāju. Salīdzinot </w:t>
      </w:r>
      <w:r w:rsidR="00B4087E" w:rsidRPr="00B4087E">
        <w:rPr>
          <w:rFonts w:cs="Times New Roman"/>
        </w:rPr>
        <w:t>ES</w:t>
      </w:r>
      <w:r w:rsidR="00B4087E">
        <w:rPr>
          <w:rFonts w:cs="Times New Roman"/>
        </w:rPr>
        <w:t xml:space="preserve"> </w:t>
      </w:r>
      <w:r w:rsidRPr="00B47A01">
        <w:rPr>
          <w:rFonts w:cs="Times New Roman"/>
        </w:rPr>
        <w:t xml:space="preserve">dalībvalstīs </w:t>
      </w:r>
      <w:proofErr w:type="spellStart"/>
      <w:r w:rsidRPr="00B47A01">
        <w:rPr>
          <w:rFonts w:cs="Times New Roman"/>
        </w:rPr>
        <w:t>CSNg</w:t>
      </w:r>
      <w:proofErr w:type="spellEnd"/>
      <w:r w:rsidRPr="00B47A01">
        <w:rPr>
          <w:rFonts w:cs="Times New Roman"/>
        </w:rPr>
        <w:t xml:space="preserve"> statistiku par bojāgājušajiem un cietušajiem, jāatzīst, ka </w:t>
      </w:r>
      <w:proofErr w:type="spellStart"/>
      <w:r w:rsidR="00EF34D6" w:rsidRPr="00B47A01">
        <w:rPr>
          <w:rFonts w:cs="Times New Roman"/>
        </w:rPr>
        <w:t>CSNg</w:t>
      </w:r>
      <w:proofErr w:type="spellEnd"/>
      <w:r w:rsidRPr="00B47A01">
        <w:rPr>
          <w:rFonts w:cs="Times New Roman"/>
        </w:rPr>
        <w:t xml:space="preserve"> bojāgājušo un cietušo personu skaits Latvijā joprojām ir ievērojami lielāks nekā citās </w:t>
      </w:r>
      <w:r w:rsidR="00B4087E" w:rsidRPr="00B4087E">
        <w:rPr>
          <w:rFonts w:cs="Times New Roman"/>
        </w:rPr>
        <w:t>ES</w:t>
      </w:r>
      <w:r w:rsidR="00B4087E">
        <w:rPr>
          <w:rFonts w:cs="Times New Roman"/>
        </w:rPr>
        <w:t xml:space="preserve"> </w:t>
      </w:r>
      <w:r w:rsidRPr="00B47A01">
        <w:rPr>
          <w:rFonts w:cs="Times New Roman"/>
        </w:rPr>
        <w:t>dalībvalstīs.</w:t>
      </w:r>
    </w:p>
    <w:p w:rsidR="00E24A6A" w:rsidRPr="00B47A01" w:rsidRDefault="00E24A6A" w:rsidP="00E24A6A">
      <w:pPr>
        <w:pStyle w:val="NoSpacing"/>
        <w:ind w:firstLine="426"/>
        <w:jc w:val="both"/>
        <w:rPr>
          <w:rFonts w:cs="Times New Roman"/>
        </w:rPr>
      </w:pPr>
      <w:r w:rsidRPr="00B47A01">
        <w:rPr>
          <w:rFonts w:cs="Times New Roman"/>
        </w:rPr>
        <w:t xml:space="preserve">Ceļu satiksmes drošības plāns 2017.-2020.gadam </w:t>
      </w:r>
      <w:r w:rsidR="00320D12">
        <w:rPr>
          <w:rFonts w:cs="Times New Roman"/>
        </w:rPr>
        <w:t>(turpmāk – Plāns) ir izstrādāts</w:t>
      </w:r>
      <w:r w:rsidRPr="00B47A01">
        <w:rPr>
          <w:rFonts w:cs="Times New Roman"/>
        </w:rPr>
        <w:t xml:space="preserve"> </w:t>
      </w:r>
      <w:r w:rsidR="00EF34D6" w:rsidRPr="00B47A01">
        <w:rPr>
          <w:rFonts w:cs="Times New Roman"/>
        </w:rPr>
        <w:t>saskaņā ar</w:t>
      </w:r>
      <w:r w:rsidRPr="00B47A01">
        <w:rPr>
          <w:rFonts w:cs="Times New Roman"/>
        </w:rPr>
        <w:t xml:space="preserve"> Transporta attīstības pamatnostādnēs 2014.-2020.gadam </w:t>
      </w:r>
      <w:r w:rsidR="00EF34D6" w:rsidRPr="00B47A01">
        <w:rPr>
          <w:rFonts w:cs="Times New Roman"/>
        </w:rPr>
        <w:t xml:space="preserve">(turpmāk – TAP2020) noteikto uzdevumu un lai sasniegtu </w:t>
      </w:r>
      <w:r w:rsidRPr="00B47A01">
        <w:rPr>
          <w:rFonts w:cs="Times New Roman"/>
        </w:rPr>
        <w:t>izvirzīto politikas rezultātu</w:t>
      </w:r>
      <w:r w:rsidR="00EF34D6" w:rsidRPr="00B47A01">
        <w:rPr>
          <w:rFonts w:cs="Times New Roman"/>
        </w:rPr>
        <w:t>- samazināt ceļu satiksmes negadījumos bojāgājušo skaitu par 50%, salīdzinot ar 2010.gadu</w:t>
      </w:r>
      <w:r w:rsidRPr="00B47A01">
        <w:rPr>
          <w:rFonts w:cs="Times New Roman"/>
        </w:rPr>
        <w:t xml:space="preserve">. </w:t>
      </w:r>
      <w:r w:rsidR="00EF34D6" w:rsidRPr="00B47A01">
        <w:rPr>
          <w:rFonts w:cs="Times New Roman"/>
        </w:rPr>
        <w:t>Plānots</w:t>
      </w:r>
      <w:r w:rsidRPr="00B47A01">
        <w:rPr>
          <w:rFonts w:cs="Times New Roman"/>
        </w:rPr>
        <w:t xml:space="preserve"> arī par 50% samazināt smagi ievainoto skaitu, salīdzinot ar 2010.gadu. Plāns paredz noteiktus rīcības virzienus ceļu satiksmes drošības uzlabošanā, nosakot atbildīgās institūcijas un rīcības virzienu īstenošanas termiņus un tiem nepieciešamo finansējumu.</w:t>
      </w:r>
    </w:p>
    <w:p w:rsidR="003222B4" w:rsidRPr="00B47A01" w:rsidRDefault="00E24A6A" w:rsidP="003222B4">
      <w:pPr>
        <w:pStyle w:val="NoSpacing"/>
        <w:ind w:firstLine="426"/>
        <w:jc w:val="both"/>
      </w:pPr>
      <w:r w:rsidRPr="00B47A01">
        <w:rPr>
          <w:rFonts w:cs="Times New Roman"/>
        </w:rPr>
        <w:t>Ceļu satiksmes drošības uzlabošanas pasākumu sekmīgā īstenošanā būtiska nozīme ir sadarbības nodrošināšanā un veicināšanā starp</w:t>
      </w:r>
      <w:r w:rsidRPr="00B47A01">
        <w:t xml:space="preserve"> visām atbildīgajām institūcijām. Šīs institūcijas ir iesaistītas procesos, kuri saistīti ar sabiedrības izglītošanu, informēšanu, </w:t>
      </w:r>
      <w:proofErr w:type="spellStart"/>
      <w:r w:rsidRPr="00B47A01">
        <w:t>prevenciju</w:t>
      </w:r>
      <w:proofErr w:type="spellEnd"/>
      <w:r w:rsidRPr="00B47A01">
        <w:t xml:space="preserve">, ceļu auditu un infrastruktūras uzlabošanu, normatīvo aktu un sodu sistēmas pilnveidi un arī </w:t>
      </w:r>
      <w:proofErr w:type="spellStart"/>
      <w:r w:rsidR="00CA43BA" w:rsidRPr="00B47A01">
        <w:t>CSNg</w:t>
      </w:r>
      <w:proofErr w:type="spellEnd"/>
      <w:r w:rsidRPr="00B47A01">
        <w:t xml:space="preserve"> cietušo glābšanu un cietušo veselības atjaunošanu.</w:t>
      </w:r>
      <w:r w:rsidR="003222B4" w:rsidRPr="00B47A01">
        <w:t xml:space="preserve"> Plāna izveidē un realizācijā ir iesaistīta </w:t>
      </w:r>
      <w:r w:rsidR="0002276F">
        <w:t>IeM</w:t>
      </w:r>
      <w:r w:rsidR="003222B4" w:rsidRPr="00B47A01">
        <w:t xml:space="preserve"> un tās pārziņā esošās institūcijas, </w:t>
      </w:r>
      <w:r w:rsidR="0002276F">
        <w:t>IZM</w:t>
      </w:r>
      <w:r w:rsidR="00952E29" w:rsidRPr="00B47A01">
        <w:t xml:space="preserve"> un tās pārziņā esošās institūcijas</w:t>
      </w:r>
      <w:r w:rsidR="003222B4" w:rsidRPr="00B47A01">
        <w:t xml:space="preserve">, </w:t>
      </w:r>
      <w:r w:rsidR="0002276F">
        <w:t>SM</w:t>
      </w:r>
      <w:r w:rsidR="003222B4" w:rsidRPr="00B47A01">
        <w:t xml:space="preserve"> un tās pārziņā esošās institūcijas, </w:t>
      </w:r>
      <w:r w:rsidR="0002276F">
        <w:t>VM</w:t>
      </w:r>
      <w:r w:rsidR="00CA43BA" w:rsidRPr="00B47A01">
        <w:t xml:space="preserve">, </w:t>
      </w:r>
      <w:r w:rsidR="0002276F">
        <w:t>RD SD</w:t>
      </w:r>
      <w:r w:rsidR="003222B4" w:rsidRPr="00B47A01">
        <w:t xml:space="preserve">, </w:t>
      </w:r>
      <w:r w:rsidR="0002276F">
        <w:t>TM</w:t>
      </w:r>
      <w:r w:rsidR="003222B4" w:rsidRPr="00B47A01">
        <w:t xml:space="preserve"> Valsts tiesu ekspertīžu birojs, </w:t>
      </w:r>
      <w:r w:rsidR="0002276F">
        <w:t>LPS</w:t>
      </w:r>
      <w:r w:rsidR="003222B4" w:rsidRPr="00B47A01">
        <w:t xml:space="preserve">, kā arī dažādas biedrības un nevalstiskās organizācijas. Plāna realizāciju pārrauga </w:t>
      </w:r>
      <w:r w:rsidR="00B4087E">
        <w:t>CSDP</w:t>
      </w:r>
      <w:r w:rsidR="003222B4" w:rsidRPr="00B47A01">
        <w:t>.</w:t>
      </w:r>
    </w:p>
    <w:p w:rsidR="00954B3F" w:rsidRPr="00B47A01" w:rsidRDefault="003222B4" w:rsidP="003222B4">
      <w:pPr>
        <w:pStyle w:val="NoSpacing"/>
        <w:ind w:firstLine="567"/>
        <w:jc w:val="both"/>
      </w:pPr>
      <w:r w:rsidRPr="00B47A01">
        <w:t>Latvijā kopš 1994.gada noteiktam laika periodam tiek izstrādāti plānošanas dokumenti ceļu satiksmes drošības jomā. Latvijā viskritiskākā situācija ceļu satiksmes drošības</w:t>
      </w:r>
      <w:r w:rsidR="00CA43BA" w:rsidRPr="00B47A01">
        <w:t xml:space="preserve"> jomā bija 1991. gadā, kad </w:t>
      </w:r>
      <w:proofErr w:type="spellStart"/>
      <w:r w:rsidR="00CA43BA" w:rsidRPr="00B47A01">
        <w:t>CSNg</w:t>
      </w:r>
      <w:proofErr w:type="spellEnd"/>
      <w:r w:rsidRPr="00B47A01">
        <w:t xml:space="preserve"> gāja bojā 923 cilvēki. Statistika liecina, ka pēdējo 15 gadu laikā ceļu satiksmes drošības situācija Latvijā ir būtiski uzlabojusies, pat ņemot vērā, ka ir ievērojami pieaudzis </w:t>
      </w:r>
      <w:r w:rsidR="004928B4">
        <w:t>TL</w:t>
      </w:r>
      <w:r w:rsidR="004928B4" w:rsidRPr="00B47A01">
        <w:t xml:space="preserve"> </w:t>
      </w:r>
      <w:r w:rsidRPr="00B47A01">
        <w:t>un autovadītāju skaits</w:t>
      </w:r>
      <w:r w:rsidRPr="00B47A01">
        <w:rPr>
          <w:color w:val="000000" w:themeColor="text1"/>
        </w:rPr>
        <w:t xml:space="preserve">. </w:t>
      </w:r>
      <w:r w:rsidRPr="00B47A01">
        <w:t xml:space="preserve">Tomēr ir jāņem vērā arī fakts, ka, lai arī bojāgājušo skaita samazinājums ir viens no </w:t>
      </w:r>
      <w:r w:rsidR="00CA43BA" w:rsidRPr="00B47A01">
        <w:t>straujākajiem</w:t>
      </w:r>
      <w:r w:rsidRPr="00B47A01">
        <w:t xml:space="preserve"> </w:t>
      </w:r>
      <w:r w:rsidR="00B4087E">
        <w:t>ES</w:t>
      </w:r>
      <w:r w:rsidRPr="00B47A01">
        <w:t xml:space="preserve">, bojāgājušo skaits uz miljons iedzīvotājiem 2015. gadā ir viens no augstākajiem </w:t>
      </w:r>
      <w:r w:rsidR="00B4087E">
        <w:t>ES</w:t>
      </w:r>
      <w:r w:rsidRPr="00B47A01">
        <w:t>.</w:t>
      </w:r>
    </w:p>
    <w:p w:rsidR="00791271" w:rsidRPr="000F62DB" w:rsidRDefault="003222B4" w:rsidP="001C4747">
      <w:pPr>
        <w:pStyle w:val="NoSpacing"/>
        <w:shd w:val="clear" w:color="auto" w:fill="FFFFFF" w:themeFill="background1"/>
        <w:ind w:firstLine="567"/>
        <w:jc w:val="both"/>
      </w:pPr>
      <w:r w:rsidRPr="000F62DB">
        <w:t xml:space="preserve">Plānā tiek pievērsta uzmanība faktoriem, kas tiešā mērā ietekmē ceļu satiksmes drošību </w:t>
      </w:r>
      <w:r w:rsidR="00717A1F" w:rsidRPr="000F62DB">
        <w:t>(</w:t>
      </w:r>
      <w:proofErr w:type="spellStart"/>
      <w:r w:rsidRPr="000F62DB">
        <w:t>CSNg</w:t>
      </w:r>
      <w:proofErr w:type="spellEnd"/>
      <w:r w:rsidRPr="000F62DB">
        <w:t xml:space="preserve"> skaitu, tajos bojāgājušo un cietušo skaitu</w:t>
      </w:r>
      <w:r w:rsidR="00717A1F" w:rsidRPr="000F62DB">
        <w:t>)</w:t>
      </w:r>
      <w:r w:rsidRPr="000F62DB">
        <w:t>.</w:t>
      </w:r>
      <w:r w:rsidR="00791271" w:rsidRPr="000F62DB">
        <w:t xml:space="preserve"> </w:t>
      </w:r>
      <w:r w:rsidR="004D2F7C" w:rsidRPr="000F62DB">
        <w:t xml:space="preserve">Jānorāda, ka ceļu satiksmes drošības ir atkarīga no trīs pamata faktoriem: no cilvēka (satiksmes dalībnieka), </w:t>
      </w:r>
      <w:r w:rsidR="004928B4">
        <w:t>TL</w:t>
      </w:r>
      <w:r w:rsidR="004928B4" w:rsidRPr="000F62DB">
        <w:t xml:space="preserve"> </w:t>
      </w:r>
      <w:r w:rsidR="004D2F7C" w:rsidRPr="000F62DB">
        <w:t>(tā tehniskā stāvokļa un aprīkojuma) un apkārtējā</w:t>
      </w:r>
      <w:r w:rsidR="00320D12">
        <w:t>s</w:t>
      </w:r>
      <w:r w:rsidR="004D2F7C" w:rsidRPr="000F62DB">
        <w:t xml:space="preserve"> vides (ceļu infrastruktūras</w:t>
      </w:r>
      <w:r w:rsidR="009E0054" w:rsidRPr="000F62DB">
        <w:t>).</w:t>
      </w:r>
    </w:p>
    <w:p w:rsidR="008311E0" w:rsidRPr="00D7108E" w:rsidRDefault="00E50CF0" w:rsidP="009D1429">
      <w:pPr>
        <w:pStyle w:val="NoSpacing"/>
        <w:ind w:firstLine="567"/>
        <w:jc w:val="both"/>
      </w:pPr>
      <w:r w:rsidRPr="000F62DB">
        <w:t xml:space="preserve">Lai sasniegtu TAP2020 un attiecīgi Plānā noteikto mērķi, ir </w:t>
      </w:r>
      <w:r w:rsidR="008311E0" w:rsidRPr="00F469E8">
        <w:t xml:space="preserve">noteikti </w:t>
      </w:r>
      <w:r w:rsidR="00D8788B" w:rsidRPr="00F469E8">
        <w:t>četri</w:t>
      </w:r>
      <w:r w:rsidR="008311E0" w:rsidRPr="00F469E8">
        <w:t xml:space="preserve"> rīcības virzieni</w:t>
      </w:r>
      <w:r w:rsidRPr="00F469E8">
        <w:t>:</w:t>
      </w:r>
      <w:r w:rsidR="00320D12">
        <w:t xml:space="preserve"> p</w:t>
      </w:r>
      <w:r w:rsidR="001D2D02" w:rsidRPr="00F469E8">
        <w:t>reventīvie p</w:t>
      </w:r>
      <w:r w:rsidR="00D8788B" w:rsidRPr="00F469E8">
        <w:t>asākumi ceļu satiksmes drošībā,</w:t>
      </w:r>
      <w:r w:rsidR="001D2D02" w:rsidRPr="00F469E8">
        <w:t xml:space="preserve"> satiksmes dalībnieku izglītošan</w:t>
      </w:r>
      <w:r w:rsidRPr="00F469E8">
        <w:t>a</w:t>
      </w:r>
      <w:r w:rsidR="001D2D02" w:rsidRPr="00F469E8">
        <w:t xml:space="preserve"> un informēšan</w:t>
      </w:r>
      <w:r w:rsidRPr="00F469E8">
        <w:t>a</w:t>
      </w:r>
      <w:r w:rsidR="001D2D02" w:rsidRPr="00F469E8">
        <w:t>, satiksmes</w:t>
      </w:r>
      <w:r w:rsidR="001D2D02" w:rsidRPr="000F62DB">
        <w:t xml:space="preserve"> drošības risinājumu ieviešan</w:t>
      </w:r>
      <w:r w:rsidRPr="000F62DB">
        <w:t>a</w:t>
      </w:r>
      <w:r w:rsidR="001D2D02" w:rsidRPr="000F62DB">
        <w:t xml:space="preserve"> autoceļu un ielu tīklā, reaģēšan</w:t>
      </w:r>
      <w:r w:rsidRPr="000F62DB">
        <w:t>a</w:t>
      </w:r>
      <w:r w:rsidR="001D2D02" w:rsidRPr="000F62DB">
        <w:t xml:space="preserve"> uz </w:t>
      </w:r>
      <w:proofErr w:type="spellStart"/>
      <w:r w:rsidR="00EF3D79" w:rsidRPr="000F62DB">
        <w:t>CSNg</w:t>
      </w:r>
      <w:proofErr w:type="spellEnd"/>
      <w:r w:rsidR="001D2D02" w:rsidRPr="000F62DB">
        <w:t xml:space="preserve"> un to seku mazināšana un </w:t>
      </w:r>
      <w:r w:rsidR="001D2D02" w:rsidRPr="00D7108E">
        <w:t>novēršana</w:t>
      </w:r>
      <w:r w:rsidR="009E0054" w:rsidRPr="00D7108E">
        <w:t>.</w:t>
      </w:r>
    </w:p>
    <w:p w:rsidR="00360C6E" w:rsidRPr="00D7108E" w:rsidRDefault="00360C6E" w:rsidP="00D7108E">
      <w:pPr>
        <w:ind w:firstLine="567"/>
        <w:jc w:val="both"/>
        <w:rPr>
          <w:b/>
          <w:bCs/>
        </w:rPr>
      </w:pPr>
      <w:r w:rsidRPr="00D7108E">
        <w:t xml:space="preserve">Plānā iekļauto pasākumu  īstenošanai 4 gadu periodam ir nepieciešami finanšu līdzekļi </w:t>
      </w:r>
      <w:r w:rsidR="00E91A5A" w:rsidRPr="00D7108E">
        <w:rPr>
          <w:bCs/>
        </w:rPr>
        <w:t>14</w:t>
      </w:r>
      <w:r w:rsidR="00832A17">
        <w:rPr>
          <w:bCs/>
        </w:rPr>
        <w:t> 174 525</w:t>
      </w:r>
      <w:r w:rsidR="00E91A5A" w:rsidRPr="00D7108E">
        <w:rPr>
          <w:bCs/>
        </w:rPr>
        <w:t xml:space="preserve"> </w:t>
      </w:r>
      <w:proofErr w:type="spellStart"/>
      <w:r w:rsidRPr="00D7108E">
        <w:rPr>
          <w:i/>
        </w:rPr>
        <w:t>euro</w:t>
      </w:r>
      <w:proofErr w:type="spellEnd"/>
      <w:r w:rsidRPr="00D7108E">
        <w:rPr>
          <w:i/>
        </w:rPr>
        <w:t xml:space="preserve"> </w:t>
      </w:r>
      <w:r w:rsidR="00FD6938" w:rsidRPr="00D7108E">
        <w:t xml:space="preserve">apmērā, no tiem </w:t>
      </w:r>
      <w:r w:rsidR="00021A4E" w:rsidRPr="00D7108E">
        <w:rPr>
          <w:rFonts w:cs="Times New Roman"/>
        </w:rPr>
        <w:t xml:space="preserve">5 950 000 </w:t>
      </w:r>
      <w:proofErr w:type="spellStart"/>
      <w:r w:rsidR="00FD6938" w:rsidRPr="00D7108E">
        <w:rPr>
          <w:i/>
        </w:rPr>
        <w:t>e</w:t>
      </w:r>
      <w:r w:rsidRPr="00D7108E">
        <w:rPr>
          <w:i/>
        </w:rPr>
        <w:t>uro</w:t>
      </w:r>
      <w:proofErr w:type="spellEnd"/>
      <w:r w:rsidRPr="00D7108E">
        <w:t xml:space="preserve"> </w:t>
      </w:r>
      <w:r w:rsidR="00021A4E" w:rsidRPr="00D7108E">
        <w:t xml:space="preserve">ir </w:t>
      </w:r>
      <w:r w:rsidRPr="00D7108E">
        <w:t>valsts budžeta līdzekļi,</w:t>
      </w:r>
      <w:r w:rsidR="00021A4E" w:rsidRPr="00D7108E">
        <w:t xml:space="preserve"> 4 322 635 CSDD dividendes,</w:t>
      </w:r>
      <w:r w:rsidRPr="00D7108E">
        <w:t xml:space="preserve"> savukārt </w:t>
      </w:r>
      <w:r w:rsidR="00D7108E" w:rsidRPr="00D7108E">
        <w:rPr>
          <w:rFonts w:cs="Times New Roman"/>
        </w:rPr>
        <w:t xml:space="preserve"> </w:t>
      </w:r>
      <w:r w:rsidR="00832A17">
        <w:rPr>
          <w:bCs/>
        </w:rPr>
        <w:t>3 901 890</w:t>
      </w:r>
      <w:r w:rsidR="00D7108E" w:rsidRPr="00D7108E">
        <w:rPr>
          <w:bCs/>
        </w:rPr>
        <w:t xml:space="preserve"> </w:t>
      </w:r>
      <w:proofErr w:type="spellStart"/>
      <w:r w:rsidRPr="00D7108E">
        <w:rPr>
          <w:i/>
        </w:rPr>
        <w:t>euro</w:t>
      </w:r>
      <w:proofErr w:type="spellEnd"/>
      <w:r w:rsidRPr="00D7108E">
        <w:t xml:space="preserve"> tiek plānots piešķi</w:t>
      </w:r>
      <w:r w:rsidR="0000395E" w:rsidRPr="00D7108E">
        <w:t>rt no OCTA pieejamā finansējuma, turklāt</w:t>
      </w:r>
      <w:r w:rsidR="0000395E" w:rsidRPr="00021A4E">
        <w:t xml:space="preserve"> atsevišķiem pasākumiem finansējuma apmēru varēs noteikt tikai pēc sākotnējās izpētes.</w:t>
      </w:r>
    </w:p>
    <w:p w:rsidR="00954B3F" w:rsidRDefault="00954B3F" w:rsidP="009D1429">
      <w:pPr>
        <w:pStyle w:val="NormalWeb"/>
        <w:spacing w:before="0" w:beforeAutospacing="0" w:after="0" w:afterAutospacing="0"/>
        <w:ind w:firstLine="426"/>
        <w:rPr>
          <w:rFonts w:eastAsia="+mn-ea"/>
          <w:b/>
          <w:color w:val="000000"/>
          <w:kern w:val="24"/>
        </w:rPr>
      </w:pPr>
    </w:p>
    <w:p w:rsidR="00A91EE6" w:rsidRDefault="00A91EE6" w:rsidP="009D1429">
      <w:pPr>
        <w:pStyle w:val="NormalWeb"/>
        <w:spacing w:before="0" w:beforeAutospacing="0" w:after="0" w:afterAutospacing="0"/>
        <w:rPr>
          <w:sz w:val="28"/>
          <w:szCs w:val="28"/>
          <w:u w:val="single"/>
        </w:rPr>
      </w:pPr>
    </w:p>
    <w:p w:rsidR="009E0054" w:rsidRDefault="009E0054" w:rsidP="009D1429">
      <w:pPr>
        <w:pStyle w:val="NormalWeb"/>
        <w:spacing w:before="0" w:beforeAutospacing="0" w:after="0" w:afterAutospacing="0"/>
        <w:rPr>
          <w:sz w:val="28"/>
          <w:szCs w:val="28"/>
          <w:u w:val="single"/>
        </w:rPr>
      </w:pPr>
    </w:p>
    <w:p w:rsidR="009E0054" w:rsidRDefault="009E0054" w:rsidP="009D1429">
      <w:pPr>
        <w:pStyle w:val="NormalWeb"/>
        <w:spacing w:before="0" w:beforeAutospacing="0" w:after="0" w:afterAutospacing="0"/>
        <w:rPr>
          <w:sz w:val="28"/>
          <w:szCs w:val="28"/>
          <w:u w:val="single"/>
        </w:rPr>
      </w:pPr>
    </w:p>
    <w:p w:rsidR="009E0054" w:rsidRDefault="009E0054" w:rsidP="009D1429">
      <w:pPr>
        <w:pStyle w:val="NormalWeb"/>
        <w:spacing w:before="0" w:beforeAutospacing="0" w:after="0" w:afterAutospacing="0"/>
        <w:rPr>
          <w:sz w:val="28"/>
          <w:szCs w:val="28"/>
          <w:u w:val="single"/>
        </w:rPr>
      </w:pPr>
    </w:p>
    <w:p w:rsidR="009E0054" w:rsidRDefault="009E0054" w:rsidP="001C4747">
      <w:pPr>
        <w:pStyle w:val="NormalWeb"/>
        <w:shd w:val="clear" w:color="auto" w:fill="FFFFFF" w:themeFill="background1"/>
        <w:spacing w:before="0" w:beforeAutospacing="0" w:after="0" w:afterAutospacing="0"/>
        <w:rPr>
          <w:sz w:val="28"/>
          <w:szCs w:val="28"/>
          <w:u w:val="single"/>
        </w:rPr>
      </w:pPr>
    </w:p>
    <w:p w:rsidR="009E0054" w:rsidRDefault="009E0054" w:rsidP="008F6DCD">
      <w:pPr>
        <w:pStyle w:val="NormalWeb"/>
        <w:spacing w:before="0" w:beforeAutospacing="0" w:after="0" w:afterAutospacing="0"/>
        <w:rPr>
          <w:sz w:val="28"/>
          <w:szCs w:val="28"/>
          <w:u w:val="single"/>
        </w:rPr>
      </w:pPr>
    </w:p>
    <w:p w:rsidR="009E0054" w:rsidRDefault="009E0054" w:rsidP="008F6DCD">
      <w:pPr>
        <w:pStyle w:val="NormalWeb"/>
        <w:spacing w:before="0" w:beforeAutospacing="0" w:after="0" w:afterAutospacing="0"/>
        <w:rPr>
          <w:sz w:val="28"/>
          <w:szCs w:val="28"/>
          <w:u w:val="single"/>
        </w:rPr>
      </w:pPr>
    </w:p>
    <w:p w:rsidR="009E0054" w:rsidRDefault="009E0054" w:rsidP="008F6DCD">
      <w:pPr>
        <w:pStyle w:val="NormalWeb"/>
        <w:spacing w:before="0" w:beforeAutospacing="0" w:after="0" w:afterAutospacing="0"/>
        <w:rPr>
          <w:sz w:val="28"/>
          <w:szCs w:val="28"/>
          <w:u w:val="single"/>
        </w:rPr>
      </w:pPr>
    </w:p>
    <w:p w:rsidR="009E0054" w:rsidRDefault="009E0054" w:rsidP="008F6DCD">
      <w:pPr>
        <w:pStyle w:val="NormalWeb"/>
        <w:spacing w:before="0" w:beforeAutospacing="0" w:after="0" w:afterAutospacing="0"/>
        <w:rPr>
          <w:sz w:val="28"/>
          <w:szCs w:val="28"/>
          <w:u w:val="single"/>
        </w:rPr>
      </w:pPr>
    </w:p>
    <w:p w:rsidR="00127D28" w:rsidRDefault="00127D28" w:rsidP="008F6DCD">
      <w:pPr>
        <w:pStyle w:val="NormalWeb"/>
        <w:spacing w:before="0" w:beforeAutospacing="0" w:after="0" w:afterAutospacing="0"/>
        <w:rPr>
          <w:sz w:val="28"/>
          <w:szCs w:val="28"/>
          <w:u w:val="single"/>
        </w:rPr>
      </w:pPr>
    </w:p>
    <w:p w:rsidR="009D1429" w:rsidRDefault="009D1429" w:rsidP="008F6DCD">
      <w:pPr>
        <w:pStyle w:val="NormalWeb"/>
        <w:spacing w:before="0" w:beforeAutospacing="0" w:after="0" w:afterAutospacing="0"/>
        <w:rPr>
          <w:sz w:val="28"/>
          <w:szCs w:val="28"/>
          <w:u w:val="single"/>
        </w:rPr>
      </w:pPr>
    </w:p>
    <w:p w:rsidR="00127D28" w:rsidRPr="0067229D" w:rsidRDefault="00127D28" w:rsidP="008F6DCD">
      <w:pPr>
        <w:pStyle w:val="NormalWeb"/>
        <w:spacing w:before="0" w:beforeAutospacing="0" w:after="0" w:afterAutospacing="0"/>
        <w:rPr>
          <w:sz w:val="28"/>
          <w:szCs w:val="28"/>
          <w:u w:val="single"/>
        </w:rPr>
      </w:pPr>
    </w:p>
    <w:p w:rsidR="00AE22F9" w:rsidRPr="00D1125E" w:rsidRDefault="00041FBF" w:rsidP="00D1125E">
      <w:pPr>
        <w:pStyle w:val="Heading1"/>
        <w:numPr>
          <w:ilvl w:val="0"/>
          <w:numId w:val="33"/>
        </w:numPr>
        <w:rPr>
          <w:rFonts w:cs="Times New Roman"/>
          <w:szCs w:val="28"/>
        </w:rPr>
      </w:pPr>
      <w:bookmarkStart w:id="2" w:name="_Toc457824710"/>
      <w:bookmarkStart w:id="3" w:name="_Toc457824864"/>
      <w:bookmarkStart w:id="4" w:name="_Toc457986542"/>
      <w:bookmarkStart w:id="5" w:name="_Toc477177749"/>
      <w:r w:rsidRPr="00D1125E">
        <w:rPr>
          <w:rFonts w:cs="Times New Roman"/>
          <w:szCs w:val="28"/>
        </w:rPr>
        <w:lastRenderedPageBreak/>
        <w:t>Esošās situācijas raksturojums</w:t>
      </w:r>
      <w:bookmarkEnd w:id="2"/>
      <w:bookmarkEnd w:id="3"/>
      <w:bookmarkEnd w:id="4"/>
      <w:bookmarkEnd w:id="5"/>
    </w:p>
    <w:p w:rsidR="00006085" w:rsidRPr="00A91EE6" w:rsidRDefault="00006085" w:rsidP="00A70D56">
      <w:pPr>
        <w:pStyle w:val="NormalWeb"/>
        <w:spacing w:before="0" w:beforeAutospacing="0" w:after="0" w:afterAutospacing="0"/>
        <w:ind w:firstLine="426"/>
        <w:rPr>
          <w:b/>
          <w:color w:val="000000" w:themeColor="text1"/>
          <w:u w:val="single"/>
        </w:rPr>
      </w:pPr>
    </w:p>
    <w:p w:rsidR="00006085" w:rsidRPr="00D1125E" w:rsidRDefault="00BD2C58" w:rsidP="00D1125E">
      <w:pPr>
        <w:pStyle w:val="Heading2"/>
        <w:numPr>
          <w:ilvl w:val="1"/>
          <w:numId w:val="33"/>
        </w:numPr>
      </w:pPr>
      <w:bookmarkStart w:id="6" w:name="_Toc457824711"/>
      <w:bookmarkStart w:id="7" w:name="_Toc457824865"/>
      <w:bookmarkStart w:id="8" w:name="_Toc457986543"/>
      <w:bookmarkStart w:id="9" w:name="_Toc457989649"/>
      <w:bookmarkStart w:id="10" w:name="_Toc477177750"/>
      <w:r w:rsidRPr="00D1125E">
        <w:t xml:space="preserve">Eiropas Savienības </w:t>
      </w:r>
      <w:r w:rsidR="00C80DA1" w:rsidRPr="00D1125E">
        <w:t>politikas dokumentos noteiktie mērķi</w:t>
      </w:r>
      <w:bookmarkEnd w:id="6"/>
      <w:bookmarkEnd w:id="7"/>
      <w:bookmarkEnd w:id="8"/>
      <w:bookmarkEnd w:id="9"/>
      <w:bookmarkEnd w:id="10"/>
      <w:r w:rsidRPr="00D1125E">
        <w:t xml:space="preserve"> </w:t>
      </w:r>
    </w:p>
    <w:p w:rsidR="00D05A7D" w:rsidRPr="0067229D" w:rsidRDefault="00D05A7D" w:rsidP="00A70D56">
      <w:pPr>
        <w:pStyle w:val="NormalWeb"/>
        <w:spacing w:before="0" w:beforeAutospacing="0" w:after="0" w:afterAutospacing="0"/>
        <w:ind w:firstLine="426"/>
        <w:rPr>
          <w:rFonts w:eastAsia="+mn-ea"/>
          <w:b/>
          <w:bCs/>
          <w:color w:val="000000"/>
          <w:kern w:val="24"/>
        </w:rPr>
      </w:pPr>
    </w:p>
    <w:p w:rsidR="00A2467F" w:rsidRPr="000F62DB" w:rsidRDefault="00FF5135" w:rsidP="00A70D56">
      <w:pPr>
        <w:pStyle w:val="NoSpacing"/>
        <w:ind w:firstLine="426"/>
        <w:jc w:val="both"/>
        <w:rPr>
          <w:rFonts w:cs="Times New Roman"/>
        </w:rPr>
      </w:pPr>
      <w:r w:rsidRPr="0067229D">
        <w:rPr>
          <w:rFonts w:cs="Times New Roman"/>
        </w:rPr>
        <w:t xml:space="preserve">Ceļu satiksmes drošības uzlabošana </w:t>
      </w:r>
      <w:r w:rsidR="00B4087E">
        <w:rPr>
          <w:rFonts w:cs="Times New Roman"/>
        </w:rPr>
        <w:t>ES</w:t>
      </w:r>
      <w:r w:rsidRPr="0067229D">
        <w:rPr>
          <w:rFonts w:cs="Times New Roman"/>
        </w:rPr>
        <w:t xml:space="preserve">, novēršot </w:t>
      </w:r>
      <w:proofErr w:type="spellStart"/>
      <w:r w:rsidRPr="0067229D">
        <w:rPr>
          <w:rFonts w:cs="Times New Roman"/>
        </w:rPr>
        <w:t>CSNg</w:t>
      </w:r>
      <w:proofErr w:type="spellEnd"/>
      <w:r w:rsidRPr="0067229D">
        <w:rPr>
          <w:rFonts w:cs="Times New Roman"/>
        </w:rPr>
        <w:t xml:space="preserve">, </w:t>
      </w:r>
      <w:r w:rsidR="005D4E38" w:rsidRPr="0067229D">
        <w:rPr>
          <w:rFonts w:cs="Times New Roman"/>
        </w:rPr>
        <w:t xml:space="preserve">ievērojami </w:t>
      </w:r>
      <w:r w:rsidRPr="0067229D">
        <w:rPr>
          <w:rFonts w:cs="Times New Roman"/>
        </w:rPr>
        <w:t xml:space="preserve">samazinot cietušo un bojāgājušo skaitu, ir liels izaicinājums </w:t>
      </w:r>
      <w:r w:rsidR="005D4E38" w:rsidRPr="0067229D">
        <w:rPr>
          <w:rFonts w:cs="Times New Roman"/>
        </w:rPr>
        <w:t xml:space="preserve">tuvākajiem gadiem, kura sasniegšanai ir jāveic liels </w:t>
      </w:r>
      <w:r w:rsidR="005D4E38" w:rsidRPr="000F62DB">
        <w:rPr>
          <w:rFonts w:cs="Times New Roman"/>
        </w:rPr>
        <w:t xml:space="preserve">darbs. </w:t>
      </w:r>
      <w:r w:rsidR="00B87E23" w:rsidRPr="000F62DB">
        <w:rPr>
          <w:rFonts w:cs="Times New Roman"/>
        </w:rPr>
        <w:t xml:space="preserve">Līdz šim </w:t>
      </w:r>
      <w:r w:rsidR="005D4E38" w:rsidRPr="000F62DB">
        <w:rPr>
          <w:rFonts w:cs="Times New Roman"/>
        </w:rPr>
        <w:t>Eiropas Komisija</w:t>
      </w:r>
      <w:r w:rsidR="00B87E23" w:rsidRPr="000F62DB">
        <w:rPr>
          <w:rFonts w:cs="Times New Roman"/>
        </w:rPr>
        <w:t xml:space="preserve"> kā galveno mērķi bija uzstādījusi cilvēku bojāejas novēršanu </w:t>
      </w:r>
      <w:proofErr w:type="spellStart"/>
      <w:r w:rsidR="00B87E23" w:rsidRPr="000F62DB">
        <w:rPr>
          <w:rFonts w:cs="Times New Roman"/>
        </w:rPr>
        <w:t>CSNg</w:t>
      </w:r>
      <w:proofErr w:type="spellEnd"/>
      <w:r w:rsidR="00B87E23" w:rsidRPr="000F62DB">
        <w:rPr>
          <w:rFonts w:cs="Times New Roman"/>
        </w:rPr>
        <w:t>, tomēr</w:t>
      </w:r>
      <w:r w:rsidR="005D4E38" w:rsidRPr="000F62DB">
        <w:rPr>
          <w:rFonts w:cs="Times New Roman"/>
        </w:rPr>
        <w:t xml:space="preserve"> </w:t>
      </w:r>
      <w:r w:rsidR="00AB6201" w:rsidRPr="000F62DB">
        <w:rPr>
          <w:rFonts w:cs="Times New Roman"/>
        </w:rPr>
        <w:t xml:space="preserve">pašlaik </w:t>
      </w:r>
      <w:r w:rsidR="00B87E23" w:rsidRPr="000F62DB">
        <w:rPr>
          <w:rFonts w:cs="Times New Roman"/>
        </w:rPr>
        <w:t>uzmanība tiek pievērsta arī centieniem</w:t>
      </w:r>
      <w:r w:rsidR="005D4E38" w:rsidRPr="000F62DB">
        <w:rPr>
          <w:rFonts w:cs="Times New Roman"/>
        </w:rPr>
        <w:t xml:space="preserve"> samazināt </w:t>
      </w:r>
      <w:r w:rsidR="00AB6201" w:rsidRPr="000F62DB">
        <w:rPr>
          <w:rFonts w:cs="Times New Roman"/>
        </w:rPr>
        <w:t xml:space="preserve">smagu </w:t>
      </w:r>
      <w:proofErr w:type="spellStart"/>
      <w:r w:rsidR="00AB6201" w:rsidRPr="000F62DB">
        <w:rPr>
          <w:rFonts w:cs="Times New Roman"/>
        </w:rPr>
        <w:t>CSNg</w:t>
      </w:r>
      <w:proofErr w:type="spellEnd"/>
      <w:r w:rsidR="00AB6201" w:rsidRPr="000F62DB">
        <w:rPr>
          <w:rFonts w:cs="Times New Roman"/>
        </w:rPr>
        <w:t xml:space="preserve"> skaitu</w:t>
      </w:r>
      <w:r w:rsidR="005D4E38" w:rsidRPr="000F62DB">
        <w:rPr>
          <w:rFonts w:cs="Times New Roman"/>
        </w:rPr>
        <w:t xml:space="preserve">, kas ir </w:t>
      </w:r>
      <w:r w:rsidR="00AB6201" w:rsidRPr="000F62DB">
        <w:rPr>
          <w:rFonts w:cs="Times New Roman"/>
        </w:rPr>
        <w:t>saistīts arī ar tā saucamo “</w:t>
      </w:r>
      <w:proofErr w:type="spellStart"/>
      <w:r w:rsidR="00AB6201" w:rsidRPr="000F62DB">
        <w:rPr>
          <w:rFonts w:cs="Times New Roman"/>
        </w:rPr>
        <w:t>zero</w:t>
      </w:r>
      <w:proofErr w:type="spellEnd"/>
      <w:r w:rsidR="00AB6201" w:rsidRPr="000F62DB">
        <w:rPr>
          <w:rFonts w:cs="Times New Roman"/>
        </w:rPr>
        <w:t xml:space="preserve"> </w:t>
      </w:r>
      <w:proofErr w:type="spellStart"/>
      <w:r w:rsidR="00AB6201" w:rsidRPr="000F62DB">
        <w:rPr>
          <w:rFonts w:cs="Times New Roman"/>
        </w:rPr>
        <w:t>vision</w:t>
      </w:r>
      <w:proofErr w:type="spellEnd"/>
      <w:r w:rsidR="00AB6201" w:rsidRPr="000F62DB">
        <w:rPr>
          <w:rFonts w:cs="Times New Roman"/>
        </w:rPr>
        <w:t>”</w:t>
      </w:r>
      <w:r w:rsidR="00AB6201" w:rsidRPr="000F62DB">
        <w:rPr>
          <w:rStyle w:val="FootnoteReference"/>
          <w:rFonts w:cs="Times New Roman"/>
        </w:rPr>
        <w:footnoteReference w:id="1"/>
      </w:r>
      <w:r w:rsidR="00B87E23" w:rsidRPr="000F62DB">
        <w:rPr>
          <w:rFonts w:cs="Times New Roman"/>
        </w:rPr>
        <w:t xml:space="preserve"> mērķi, lai </w:t>
      </w:r>
      <w:r w:rsidR="005D4E38" w:rsidRPr="000F62DB">
        <w:rPr>
          <w:rFonts w:cs="Times New Roman"/>
        </w:rPr>
        <w:t>novērst</w:t>
      </w:r>
      <w:r w:rsidR="00B87E23" w:rsidRPr="000F62DB">
        <w:rPr>
          <w:rFonts w:cs="Times New Roman"/>
        </w:rPr>
        <w:t xml:space="preserve">u </w:t>
      </w:r>
      <w:proofErr w:type="spellStart"/>
      <w:r w:rsidR="00B87E23" w:rsidRPr="000F62DB">
        <w:rPr>
          <w:rFonts w:cs="Times New Roman"/>
        </w:rPr>
        <w:t>CSNg</w:t>
      </w:r>
      <w:proofErr w:type="spellEnd"/>
      <w:r w:rsidR="00B87E23" w:rsidRPr="000F62DB">
        <w:rPr>
          <w:rFonts w:cs="Times New Roman"/>
        </w:rPr>
        <w:t xml:space="preserve"> izraisītus </w:t>
      </w:r>
      <w:r w:rsidR="005D4E38" w:rsidRPr="000F62DB">
        <w:rPr>
          <w:rFonts w:cs="Times New Roman"/>
        </w:rPr>
        <w:t xml:space="preserve">nāves gadījumus un nopietnus ievainojumus </w:t>
      </w:r>
      <w:r w:rsidR="00B87E23" w:rsidRPr="000F62DB">
        <w:rPr>
          <w:rFonts w:cs="Times New Roman"/>
        </w:rPr>
        <w:t>ES</w:t>
      </w:r>
      <w:r w:rsidR="001604C2" w:rsidRPr="000F62DB">
        <w:rPr>
          <w:rFonts w:cs="Times New Roman"/>
        </w:rPr>
        <w:t xml:space="preserve"> teritorijā</w:t>
      </w:r>
      <w:r w:rsidR="00B87E23" w:rsidRPr="000F62DB">
        <w:rPr>
          <w:rFonts w:cs="Times New Roman"/>
        </w:rPr>
        <w:t xml:space="preserve">. </w:t>
      </w:r>
    </w:p>
    <w:p w:rsidR="00B47A01" w:rsidRPr="000F62DB" w:rsidRDefault="00401C83" w:rsidP="00A70D56">
      <w:pPr>
        <w:pStyle w:val="NoSpacing"/>
        <w:ind w:firstLine="426"/>
        <w:jc w:val="both"/>
        <w:rPr>
          <w:rFonts w:cs="Times New Roman"/>
        </w:rPr>
      </w:pPr>
      <w:r w:rsidRPr="000F62DB">
        <w:rPr>
          <w:rFonts w:cs="Times New Roman"/>
        </w:rPr>
        <w:t>Ir vērts pieminēt, ka s</w:t>
      </w:r>
      <w:r w:rsidR="00B47A01" w:rsidRPr="000F62DB">
        <w:rPr>
          <w:rFonts w:cs="Times New Roman"/>
        </w:rPr>
        <w:t>askaņā ar Pasaules Veselības org</w:t>
      </w:r>
      <w:r w:rsidR="00320D12">
        <w:rPr>
          <w:rFonts w:cs="Times New Roman"/>
        </w:rPr>
        <w:t>anizācijas norādīto informāciju</w:t>
      </w:r>
      <w:r w:rsidR="00B47A01" w:rsidRPr="000F62DB">
        <w:rPr>
          <w:rFonts w:cs="Times New Roman"/>
        </w:rPr>
        <w:t xml:space="preserve"> aptuveni 1,25 miljoni cilvēku iet bojā </w:t>
      </w:r>
      <w:proofErr w:type="spellStart"/>
      <w:r w:rsidR="00B47A01" w:rsidRPr="000F62DB">
        <w:rPr>
          <w:rFonts w:cs="Times New Roman"/>
        </w:rPr>
        <w:t>CSNg</w:t>
      </w:r>
      <w:proofErr w:type="spellEnd"/>
      <w:r w:rsidR="00B47A01" w:rsidRPr="000F62DB">
        <w:rPr>
          <w:rFonts w:cs="Times New Roman"/>
        </w:rPr>
        <w:t xml:space="preserve"> katru gadu visā pasaulē, kā arī 20 līdz 50 miljoni cilvēku tiek </w:t>
      </w:r>
      <w:r w:rsidRPr="000F62DB">
        <w:rPr>
          <w:rFonts w:cs="Times New Roman"/>
        </w:rPr>
        <w:t xml:space="preserve">tajos </w:t>
      </w:r>
      <w:r w:rsidR="00B47A01" w:rsidRPr="000F62DB">
        <w:rPr>
          <w:rFonts w:cs="Times New Roman"/>
        </w:rPr>
        <w:t xml:space="preserve">smagi ievainoti, tādēļ jānorāda, ka </w:t>
      </w:r>
      <w:proofErr w:type="spellStart"/>
      <w:r w:rsidR="00B47A01" w:rsidRPr="000F62DB">
        <w:rPr>
          <w:rFonts w:cs="Times New Roman"/>
        </w:rPr>
        <w:t>CSNg</w:t>
      </w:r>
      <w:proofErr w:type="spellEnd"/>
      <w:r w:rsidR="00B47A01" w:rsidRPr="000F62DB">
        <w:rPr>
          <w:rFonts w:cs="Times New Roman"/>
        </w:rPr>
        <w:t xml:space="preserve"> sekas atstāj postošu ietekmi uz ģimenēm katrā pasaules valstī. Tāpat </w:t>
      </w:r>
      <w:proofErr w:type="spellStart"/>
      <w:r w:rsidR="00B47A01" w:rsidRPr="000F62DB">
        <w:rPr>
          <w:rFonts w:cs="Times New Roman"/>
        </w:rPr>
        <w:t>CSNg</w:t>
      </w:r>
      <w:proofErr w:type="spellEnd"/>
      <w:r w:rsidR="00B47A01" w:rsidRPr="000F62DB">
        <w:rPr>
          <w:rFonts w:cs="Times New Roman"/>
        </w:rPr>
        <w:t xml:space="preserve"> rada milzīgus ekonomiskos zaudējumus, kas pēc aplēsēm sastāda apmēram 2-5% no iekšzemes kopprodukta. Lielais bojāgājušo un cietušo cilvēku skaits ir nepieņemams gan no individuālu personu pārdzīvojumu aspekta, tāpat jānovērtē arī kopējie sabiedrības finansiālie zaudējumi, turklāt transportam nākotnē ir jābūt ilgtspējīgam, tātad arī drošam.</w:t>
      </w:r>
      <w:r w:rsidR="00B47A01" w:rsidRPr="000F62DB">
        <w:rPr>
          <w:rStyle w:val="FootnoteReference"/>
          <w:rFonts w:cs="Times New Roman"/>
        </w:rPr>
        <w:footnoteReference w:id="2"/>
      </w:r>
    </w:p>
    <w:p w:rsidR="00A2467F" w:rsidRDefault="00A2467F" w:rsidP="00A70D56">
      <w:pPr>
        <w:pStyle w:val="NoSpacing"/>
        <w:ind w:firstLine="426"/>
        <w:jc w:val="both"/>
      </w:pPr>
      <w:r w:rsidRPr="000F62DB">
        <w:rPr>
          <w:rFonts w:cs="Times New Roman"/>
        </w:rPr>
        <w:t xml:space="preserve">Lai arī pēdējo gadu laikā ir novērojama pozitīva tendence ceļu satiksmes drošības uzlabošanā ES, tomēr kopējais ES </w:t>
      </w:r>
      <w:proofErr w:type="spellStart"/>
      <w:r w:rsidRPr="000F62DB">
        <w:rPr>
          <w:rFonts w:cs="Times New Roman"/>
        </w:rPr>
        <w:t>CSNg</w:t>
      </w:r>
      <w:proofErr w:type="spellEnd"/>
      <w:r w:rsidRPr="000F62DB">
        <w:rPr>
          <w:rFonts w:cs="Times New Roman"/>
        </w:rPr>
        <w:t xml:space="preserve"> bojāgājušo cilvēku skaits ir liels –</w:t>
      </w:r>
      <w:r w:rsidR="00337A8D" w:rsidRPr="000F62DB">
        <w:rPr>
          <w:rFonts w:cs="Times New Roman"/>
        </w:rPr>
        <w:t xml:space="preserve"> 2014</w:t>
      </w:r>
      <w:r w:rsidRPr="000F62DB">
        <w:rPr>
          <w:rFonts w:cs="Times New Roman"/>
        </w:rPr>
        <w:t>.gadā ES ir bojāgājuši aptuveni 25 000 cilvēku</w:t>
      </w:r>
      <w:r w:rsidR="00191EB4" w:rsidRPr="000F62DB">
        <w:rPr>
          <w:rFonts w:cs="Times New Roman"/>
        </w:rPr>
        <w:t>,</w:t>
      </w:r>
      <w:r w:rsidR="00CD5B1D" w:rsidRPr="000F62DB">
        <w:rPr>
          <w:rFonts w:cs="Times New Roman"/>
        </w:rPr>
        <w:t xml:space="preserve"> tas nozīmē, ka</w:t>
      </w:r>
      <w:r w:rsidR="00191EB4" w:rsidRPr="000F62DB">
        <w:rPr>
          <w:rFonts w:cs="Times New Roman"/>
        </w:rPr>
        <w:t xml:space="preserve"> ik</w:t>
      </w:r>
      <w:r w:rsidR="00191EB4" w:rsidRPr="000F62DB">
        <w:t xml:space="preserve"> dienas uz ES ceļiem iet bojā aptuveni 70 cilvēku</w:t>
      </w:r>
      <w:r w:rsidR="00191EB4">
        <w:rPr>
          <w:rStyle w:val="FootnoteReference"/>
        </w:rPr>
        <w:footnoteReference w:id="3"/>
      </w:r>
      <w:r w:rsidR="00191EB4">
        <w:t xml:space="preserve">. </w:t>
      </w:r>
      <w:r w:rsidR="00CD5B1D">
        <w:t>Tāpat statistika liecina, ka 2015.gadā bojāgājušo skaits ir pieaudzis –</w:t>
      </w:r>
      <w:r w:rsidR="001604C2">
        <w:t xml:space="preserve"> tās ir</w:t>
      </w:r>
      <w:r w:rsidR="00CD5B1D">
        <w:t xml:space="preserve"> 26 300 personas, kas kopum</w:t>
      </w:r>
      <w:r w:rsidR="001604C2">
        <w:t>ā sastāda 1 % pieaugumu</w:t>
      </w:r>
      <w:r w:rsidR="00CD5B1D">
        <w:t xml:space="preserve"> salīdzinājumā ar 2014.gadu. </w:t>
      </w:r>
      <w:r w:rsidR="00191EB4">
        <w:t xml:space="preserve">Ievērojams ir arī </w:t>
      </w:r>
      <w:proofErr w:type="spellStart"/>
      <w:r w:rsidR="00191EB4">
        <w:t>CSNg</w:t>
      </w:r>
      <w:proofErr w:type="spellEnd"/>
      <w:r w:rsidR="00191EB4">
        <w:t xml:space="preserve"> cietušo personu skaits – 2015.gadā cietušas aptuveni 200 000 personas.</w:t>
      </w:r>
    </w:p>
    <w:p w:rsidR="000D4B6C" w:rsidRPr="000F62DB" w:rsidRDefault="00CD5B1D" w:rsidP="00A70D56">
      <w:pPr>
        <w:pStyle w:val="NoSpacing"/>
        <w:ind w:firstLine="426"/>
        <w:jc w:val="both"/>
      </w:pPr>
      <w:r>
        <w:t xml:space="preserve">Laika posmā no 2010.gada līdz 2015.gadam </w:t>
      </w:r>
      <w:proofErr w:type="spellStart"/>
      <w:r>
        <w:t>CSNg</w:t>
      </w:r>
      <w:proofErr w:type="spellEnd"/>
      <w:r>
        <w:t xml:space="preserve"> bojāgājušo skaits ES ir</w:t>
      </w:r>
      <w:r w:rsidR="00FA4FF6">
        <w:t xml:space="preserve"> samazinājies aptuveni</w:t>
      </w:r>
      <w:r>
        <w:t xml:space="preserve"> 17 %</w:t>
      </w:r>
      <w:r w:rsidR="00FA4FF6">
        <w:t xml:space="preserve"> apmērā</w:t>
      </w:r>
      <w:r>
        <w:t>, kas nozīmē vidēji 3,6 % gadā</w:t>
      </w:r>
      <w:r w:rsidR="00007370">
        <w:rPr>
          <w:rStyle w:val="FootnoteReference"/>
        </w:rPr>
        <w:footnoteReference w:id="4"/>
      </w:r>
      <w:r>
        <w:t xml:space="preserve">. </w:t>
      </w:r>
      <w:r w:rsidR="000D4B6C">
        <w:t xml:space="preserve">Lai sasniegtu kopīgo ES mērķi par </w:t>
      </w:r>
      <w:r w:rsidR="000D4B6C" w:rsidRPr="000D4B6C">
        <w:t>2020.gadā bojāgājuš</w:t>
      </w:r>
      <w:r w:rsidR="000D4B6C">
        <w:t xml:space="preserve">o </w:t>
      </w:r>
      <w:r w:rsidR="000D4B6C" w:rsidRPr="000F62DB">
        <w:t>un cietušo skaita samazinājumu par 50% pret 2010.gadu</w:t>
      </w:r>
      <w:r w:rsidR="00FA4FF6" w:rsidRPr="000F62DB">
        <w:t>, ik gadu būtu bijis</w:t>
      </w:r>
      <w:r w:rsidR="000D4B6C" w:rsidRPr="000F62DB">
        <w:t xml:space="preserve"> nepieciešams nodrošināt šo samazinājumu aptuveni 7 % robež</w:t>
      </w:r>
      <w:r w:rsidRPr="000F62DB">
        <w:t>ās</w:t>
      </w:r>
      <w:r w:rsidR="00FA4FF6" w:rsidRPr="000F62DB">
        <w:t xml:space="preserve"> no 2010.gada līdz 2020.gadam</w:t>
      </w:r>
      <w:r w:rsidR="000D4B6C" w:rsidRPr="000F62DB">
        <w:t>, tādēļ turpmākajos gados būs jāpieliek lielas pūles, lai mērķi īstenotu.</w:t>
      </w:r>
      <w:r w:rsidRPr="000F62DB">
        <w:t xml:space="preserve"> Pašlaik, lai pilnībā īstenotu mērķi un atgūtu nokavēto, samazinājumam ir jābūt jau 9,7 % ik gadu. </w:t>
      </w:r>
    </w:p>
    <w:p w:rsidR="008438F5" w:rsidRPr="000F62DB" w:rsidRDefault="008438F5" w:rsidP="00A70D56">
      <w:pPr>
        <w:pStyle w:val="NoSpacing"/>
        <w:ind w:firstLine="426"/>
        <w:jc w:val="both"/>
        <w:rPr>
          <w:vertAlign w:val="superscript"/>
        </w:rPr>
      </w:pPr>
      <w:r w:rsidRPr="000F62DB">
        <w:t xml:space="preserve">Jānorāda, ka lielākā daļa no </w:t>
      </w:r>
      <w:proofErr w:type="spellStart"/>
      <w:r w:rsidRPr="000F62DB">
        <w:t>CSNg</w:t>
      </w:r>
      <w:proofErr w:type="spellEnd"/>
      <w:r w:rsidRPr="000F62DB">
        <w:t xml:space="preserve"> pie neierobežotiem resursiem un līdzekļiem būtu prognozējami un </w:t>
      </w:r>
      <w:r w:rsidR="00401C83" w:rsidRPr="000F62DB">
        <w:t xml:space="preserve">tomēr </w:t>
      </w:r>
      <w:r w:rsidRPr="000F62DB">
        <w:t xml:space="preserve">arī novēršami. Zināms arī, ka valstis ar lieliem ienākumiem ir spējušas līdzsvarot autotransporta vienību pieaugumu un </w:t>
      </w:r>
      <w:proofErr w:type="spellStart"/>
      <w:r w:rsidRPr="000F62DB">
        <w:t>CSNg</w:t>
      </w:r>
      <w:proofErr w:type="spellEnd"/>
      <w:r w:rsidRPr="000F62DB">
        <w:t xml:space="preserve"> skaitu – transporta popularitāte nav veicinājusi krasu </w:t>
      </w:r>
      <w:proofErr w:type="spellStart"/>
      <w:r w:rsidRPr="000F62DB">
        <w:t>CSNg</w:t>
      </w:r>
      <w:proofErr w:type="spellEnd"/>
      <w:r w:rsidRPr="000F62DB">
        <w:t xml:space="preserve"> bojāgājušo un cietušo skaita pieaugumu. Šāds rezultāts pamatā ir panākts izveidojot sistemātisku pieeju problēmai – nodrošinot efektīvas visaptverošas un pārbaudītas ceļu satiksmes drošības uzlabošanas programmas ieviešanu.</w:t>
      </w:r>
      <w:r w:rsidRPr="000F62DB">
        <w:rPr>
          <w:vertAlign w:val="superscript"/>
        </w:rPr>
        <w:t>2</w:t>
      </w:r>
    </w:p>
    <w:p w:rsidR="00FF5135" w:rsidRPr="000F62DB" w:rsidRDefault="00FF5135" w:rsidP="00A70D56">
      <w:pPr>
        <w:pStyle w:val="NormalWeb"/>
        <w:spacing w:before="0" w:beforeAutospacing="0" w:after="0" w:afterAutospacing="0"/>
        <w:ind w:firstLine="426"/>
        <w:rPr>
          <w:rFonts w:asciiTheme="minorHAnsi" w:eastAsia="+mn-ea" w:hAnsiTheme="minorHAnsi" w:cs="+mn-cs"/>
          <w:b/>
          <w:bCs/>
          <w:color w:val="000000"/>
          <w:kern w:val="24"/>
        </w:rPr>
      </w:pPr>
    </w:p>
    <w:p w:rsidR="00A56746" w:rsidRPr="005B508C" w:rsidRDefault="00A56746" w:rsidP="005B508C">
      <w:pPr>
        <w:autoSpaceDE w:val="0"/>
        <w:autoSpaceDN w:val="0"/>
        <w:adjustRightInd w:val="0"/>
        <w:ind w:firstLine="426"/>
        <w:jc w:val="both"/>
        <w:rPr>
          <w:rFonts w:ascii="TimesNewRoman" w:hAnsi="TimesNewRoman" w:cs="TimesNewRoman"/>
        </w:rPr>
      </w:pPr>
      <w:r w:rsidRPr="000F62DB">
        <w:rPr>
          <w:szCs w:val="28"/>
        </w:rPr>
        <w:t xml:space="preserve">Eiropas Komisijas 2011.gada 28.marta </w:t>
      </w:r>
      <w:r w:rsidRPr="000F62DB">
        <w:rPr>
          <w:b/>
          <w:i/>
          <w:szCs w:val="28"/>
        </w:rPr>
        <w:t>Baltā grāmata</w:t>
      </w:r>
      <w:r w:rsidRPr="000F62DB">
        <w:rPr>
          <w:szCs w:val="28"/>
        </w:rPr>
        <w:t xml:space="preserve"> </w:t>
      </w:r>
      <w:r w:rsidR="001C15E4" w:rsidRPr="000F62DB">
        <w:rPr>
          <w:b/>
          <w:i/>
          <w:szCs w:val="28"/>
        </w:rPr>
        <w:t>“</w:t>
      </w:r>
      <w:r w:rsidRPr="000F62DB">
        <w:rPr>
          <w:b/>
          <w:i/>
          <w:szCs w:val="28"/>
        </w:rPr>
        <w:t xml:space="preserve">Ceļvedis uz Eiropas vienoto transporta telpu – virzībā uz konkurētspējīgu un </w:t>
      </w:r>
      <w:proofErr w:type="spellStart"/>
      <w:r w:rsidRPr="000F62DB">
        <w:rPr>
          <w:b/>
          <w:i/>
          <w:szCs w:val="28"/>
        </w:rPr>
        <w:t>resursefektīvu</w:t>
      </w:r>
      <w:proofErr w:type="spellEnd"/>
      <w:r w:rsidRPr="00CD5B1D">
        <w:rPr>
          <w:b/>
          <w:i/>
          <w:szCs w:val="28"/>
        </w:rPr>
        <w:t xml:space="preserve"> transporta sistēmu</w:t>
      </w:r>
      <w:r w:rsidR="001C15E4">
        <w:rPr>
          <w:b/>
          <w:i/>
          <w:szCs w:val="28"/>
        </w:rPr>
        <w:t>”</w:t>
      </w:r>
      <w:r w:rsidR="00264460">
        <w:rPr>
          <w:b/>
          <w:i/>
          <w:szCs w:val="28"/>
        </w:rPr>
        <w:t xml:space="preserve"> </w:t>
      </w:r>
      <w:r w:rsidR="009F7452">
        <w:rPr>
          <w:szCs w:val="28"/>
        </w:rPr>
        <w:t>s</w:t>
      </w:r>
      <w:r w:rsidR="00264460">
        <w:rPr>
          <w:szCs w:val="28"/>
        </w:rPr>
        <w:t xml:space="preserve">aistībā ar ceļu satiksmes drošību </w:t>
      </w:r>
      <w:r>
        <w:rPr>
          <w:szCs w:val="28"/>
        </w:rPr>
        <w:t xml:space="preserve">nosaka ļoti ambiciozu mērķi - </w:t>
      </w:r>
      <w:r>
        <w:t>l</w:t>
      </w:r>
      <w:r w:rsidRPr="00103370">
        <w:rPr>
          <w:szCs w:val="28"/>
        </w:rPr>
        <w:t>īdz 2050. gadam panākt, lai uz autoceļiem bojāgājušo skaits tuvotos nullei. Saskaņā</w:t>
      </w:r>
      <w:r>
        <w:rPr>
          <w:szCs w:val="28"/>
        </w:rPr>
        <w:t xml:space="preserve"> </w:t>
      </w:r>
      <w:r w:rsidRPr="00103370">
        <w:rPr>
          <w:szCs w:val="28"/>
        </w:rPr>
        <w:t xml:space="preserve">ar šo uzdevumu </w:t>
      </w:r>
      <w:r w:rsidR="00B4087E" w:rsidRPr="00B4087E">
        <w:rPr>
          <w:szCs w:val="28"/>
        </w:rPr>
        <w:t>ES</w:t>
      </w:r>
      <w:r w:rsidR="00B4087E">
        <w:rPr>
          <w:szCs w:val="28"/>
        </w:rPr>
        <w:t xml:space="preserve"> </w:t>
      </w:r>
      <w:r w:rsidRPr="00103370">
        <w:rPr>
          <w:szCs w:val="28"/>
        </w:rPr>
        <w:t>mērķis ir uz pusi samazināt boj</w:t>
      </w:r>
      <w:r w:rsidR="00956690">
        <w:rPr>
          <w:szCs w:val="28"/>
        </w:rPr>
        <w:t>āgājušo skaitu līdz 2020.</w:t>
      </w:r>
      <w:r w:rsidR="00264460">
        <w:rPr>
          <w:szCs w:val="28"/>
        </w:rPr>
        <w:t>gadam, tālāk turpinot proporcionālu bojāgājušo skaita samazinājumu līdz 2050.gadam.</w:t>
      </w:r>
    </w:p>
    <w:p w:rsidR="00264460" w:rsidRPr="00264460" w:rsidRDefault="00264460" w:rsidP="00A70D56">
      <w:pPr>
        <w:autoSpaceDE w:val="0"/>
        <w:autoSpaceDN w:val="0"/>
        <w:adjustRightInd w:val="0"/>
        <w:ind w:firstLine="426"/>
        <w:jc w:val="both"/>
        <w:rPr>
          <w:rFonts w:ascii="TimesNewRoman" w:hAnsi="TimesNewRoman" w:cs="TimesNewRoman"/>
        </w:rPr>
      </w:pPr>
      <w:r>
        <w:rPr>
          <w:rFonts w:ascii="TimesNewRoman" w:hAnsi="TimesNewRoman" w:cs="TimesNewRoman"/>
        </w:rPr>
        <w:t xml:space="preserve">Lai gan </w:t>
      </w:r>
      <w:proofErr w:type="spellStart"/>
      <w:r w:rsidR="00EF3D79">
        <w:rPr>
          <w:rFonts w:ascii="TimesNewRoman" w:hAnsi="TimesNewRoman" w:cs="TimesNewRoman"/>
        </w:rPr>
        <w:t>CSNg</w:t>
      </w:r>
      <w:proofErr w:type="spellEnd"/>
      <w:r>
        <w:rPr>
          <w:rFonts w:ascii="TimesNewRoman" w:hAnsi="TimesNewRoman" w:cs="TimesNewRoman"/>
        </w:rPr>
        <w:t xml:space="preserve"> bojāgājušo skaits ES pēdējā desmitgadē ir samazinājies, jebkurš negadījums, kurā ir gājis bojā cilvēks</w:t>
      </w:r>
      <w:r w:rsidR="00320D12">
        <w:rPr>
          <w:rFonts w:ascii="TimesNewRoman" w:hAnsi="TimesNewRoman" w:cs="TimesNewRoman"/>
        </w:rPr>
        <w:t>,</w:t>
      </w:r>
      <w:r>
        <w:rPr>
          <w:rFonts w:ascii="TimesNewRoman" w:hAnsi="TimesNewRoman" w:cs="TimesNewRoman"/>
        </w:rPr>
        <w:t xml:space="preserve"> vienmēr būs par daudz, lai sasniegtu ambiciozo 2050.gada mērķi. Lai vēl vairāk strauji </w:t>
      </w:r>
      <w:r>
        <w:rPr>
          <w:rFonts w:ascii="TimesNewRoman" w:hAnsi="TimesNewRoman" w:cs="TimesNewRoman"/>
        </w:rPr>
        <w:lastRenderedPageBreak/>
        <w:t>samazinā</w:t>
      </w:r>
      <w:r w:rsidR="00007370">
        <w:rPr>
          <w:rFonts w:ascii="TimesNewRoman" w:hAnsi="TimesNewRoman" w:cs="TimesNewRoman"/>
        </w:rPr>
        <w:t>tu</w:t>
      </w:r>
      <w:r>
        <w:rPr>
          <w:rFonts w:ascii="TimesNewRoman" w:hAnsi="TimesNewRoman" w:cs="TimesNewRoman"/>
        </w:rPr>
        <w:t xml:space="preserve"> bojāgājušo skaitu, svarīgākais </w:t>
      </w:r>
      <w:r w:rsidR="00007370">
        <w:rPr>
          <w:rFonts w:ascii="TimesNewRoman" w:hAnsi="TimesNewRoman" w:cs="TimesNewRoman"/>
        </w:rPr>
        <w:t xml:space="preserve">turpmāk </w:t>
      </w:r>
      <w:r>
        <w:rPr>
          <w:rFonts w:ascii="TimesNewRoman" w:hAnsi="TimesNewRoman" w:cs="TimesNewRoman"/>
        </w:rPr>
        <w:t>būs iniciatīvas tehnoloģiju, īstenošanas un izglītības jomā, kā arī īpašas uzmanības pievēršana neaizsargātākajiem ceļu satiksmes dalībniekiem.</w:t>
      </w:r>
    </w:p>
    <w:p w:rsidR="00007370" w:rsidRPr="00007370" w:rsidRDefault="00007370" w:rsidP="00A70D56">
      <w:pPr>
        <w:pStyle w:val="NormalWeb"/>
        <w:spacing w:before="0" w:beforeAutospacing="0" w:after="0" w:afterAutospacing="0"/>
        <w:ind w:firstLine="426"/>
        <w:jc w:val="both"/>
      </w:pPr>
      <w:r>
        <w:t xml:space="preserve">Lai virzītos uz </w:t>
      </w:r>
      <w:r w:rsidRPr="00A56746">
        <w:t>Baltajā grāmatā noteikto mērķi, ir nepieciešami kompleksi risinājumi ceļ</w:t>
      </w:r>
      <w:r>
        <w:t>u satiksmes drošības sekmēšanai, tādēļ c</w:t>
      </w:r>
      <w:r w:rsidRPr="00007370">
        <w:rPr>
          <w:szCs w:val="28"/>
        </w:rPr>
        <w:t>eļā uz</w:t>
      </w:r>
      <w:r>
        <w:rPr>
          <w:szCs w:val="28"/>
        </w:rPr>
        <w:t xml:space="preserve"> 2050.gada</w:t>
      </w:r>
      <w:r w:rsidRPr="00007370">
        <w:rPr>
          <w:szCs w:val="28"/>
        </w:rPr>
        <w:t xml:space="preserve"> mērķi samazināt </w:t>
      </w:r>
      <w:proofErr w:type="spellStart"/>
      <w:r w:rsidR="00EF3D79">
        <w:rPr>
          <w:szCs w:val="28"/>
        </w:rPr>
        <w:t>CSNg</w:t>
      </w:r>
      <w:proofErr w:type="spellEnd"/>
      <w:r>
        <w:rPr>
          <w:szCs w:val="28"/>
        </w:rPr>
        <w:t xml:space="preserve"> bojāgājušo un smagi </w:t>
      </w:r>
      <w:r w:rsidRPr="00007370">
        <w:rPr>
          <w:szCs w:val="28"/>
        </w:rPr>
        <w:t xml:space="preserve">ievainoto skaitu līdz nullei </w:t>
      </w:r>
      <w:r>
        <w:rPr>
          <w:szCs w:val="28"/>
        </w:rPr>
        <w:t>Baltajā grāmatā tiek likts uzsvars uz sekojošām lietām:</w:t>
      </w:r>
    </w:p>
    <w:p w:rsidR="00007370" w:rsidRPr="00007370" w:rsidRDefault="00007370" w:rsidP="00A70D56">
      <w:pPr>
        <w:pStyle w:val="ListParagraph"/>
        <w:numPr>
          <w:ilvl w:val="0"/>
          <w:numId w:val="11"/>
        </w:numPr>
        <w:ind w:right="-1" w:firstLine="426"/>
        <w:jc w:val="both"/>
        <w:rPr>
          <w:szCs w:val="28"/>
        </w:rPr>
      </w:pPr>
      <w:r>
        <w:rPr>
          <w:szCs w:val="28"/>
        </w:rPr>
        <w:t>Ir nepieciešams s</w:t>
      </w:r>
      <w:r w:rsidRPr="00007370">
        <w:rPr>
          <w:szCs w:val="28"/>
        </w:rPr>
        <w:t>askaņot un izvērst ceļu satiksmes drošības tehnoloģijas — piemēram, autovadītāja</w:t>
      </w:r>
      <w:r>
        <w:rPr>
          <w:szCs w:val="28"/>
        </w:rPr>
        <w:t xml:space="preserve"> </w:t>
      </w:r>
      <w:r w:rsidRPr="00007370">
        <w:rPr>
          <w:szCs w:val="28"/>
        </w:rPr>
        <w:t>palīdzības sistēmas, (viedos) ātruma ierobežotājus, drošības jostu lietošanas atgādinājuma</w:t>
      </w:r>
      <w:r>
        <w:rPr>
          <w:szCs w:val="28"/>
        </w:rPr>
        <w:t xml:space="preserve"> </w:t>
      </w:r>
      <w:r w:rsidRPr="00007370">
        <w:rPr>
          <w:szCs w:val="28"/>
        </w:rPr>
        <w:t xml:space="preserve">sistēmas, </w:t>
      </w:r>
      <w:proofErr w:type="spellStart"/>
      <w:r w:rsidRPr="00007370">
        <w:rPr>
          <w:szCs w:val="28"/>
        </w:rPr>
        <w:t>eCall</w:t>
      </w:r>
      <w:proofErr w:type="spellEnd"/>
      <w:r w:rsidRPr="00007370">
        <w:rPr>
          <w:szCs w:val="28"/>
        </w:rPr>
        <w:t xml:space="preserve">, </w:t>
      </w:r>
      <w:r w:rsidR="005A6F6A">
        <w:rPr>
          <w:szCs w:val="28"/>
        </w:rPr>
        <w:t xml:space="preserve">TL </w:t>
      </w:r>
      <w:r w:rsidR="000B0A01">
        <w:rPr>
          <w:szCs w:val="28"/>
        </w:rPr>
        <w:t xml:space="preserve">un </w:t>
      </w:r>
      <w:r w:rsidRPr="00007370">
        <w:rPr>
          <w:szCs w:val="28"/>
        </w:rPr>
        <w:t xml:space="preserve">infrastruktūras </w:t>
      </w:r>
      <w:r w:rsidR="000B0A01">
        <w:rPr>
          <w:szCs w:val="28"/>
        </w:rPr>
        <w:t>savstarpējās savietojamības sistēmas</w:t>
      </w:r>
      <w:r w:rsidRPr="00007370">
        <w:rPr>
          <w:szCs w:val="28"/>
        </w:rPr>
        <w:t>, kā arī</w:t>
      </w:r>
      <w:r>
        <w:rPr>
          <w:szCs w:val="28"/>
        </w:rPr>
        <w:t xml:space="preserve"> </w:t>
      </w:r>
      <w:r w:rsidRPr="00007370">
        <w:rPr>
          <w:szCs w:val="28"/>
        </w:rPr>
        <w:t>uzlabot tehniskā stāvokļa kontroli, ieskaitot</w:t>
      </w:r>
      <w:r w:rsidR="00FE5171">
        <w:rPr>
          <w:szCs w:val="28"/>
        </w:rPr>
        <w:t xml:space="preserve"> TL, kuri tiek darbināti ar alternatīvajām degvielām, elektrību, ūdeņradi u.c</w:t>
      </w:r>
      <w:r w:rsidRPr="00007370">
        <w:rPr>
          <w:szCs w:val="28"/>
        </w:rPr>
        <w:t>.</w:t>
      </w:r>
    </w:p>
    <w:p w:rsidR="00007370" w:rsidRPr="00007370" w:rsidRDefault="00007370" w:rsidP="00A70D56">
      <w:pPr>
        <w:pStyle w:val="ListParagraph"/>
        <w:numPr>
          <w:ilvl w:val="0"/>
          <w:numId w:val="11"/>
        </w:numPr>
        <w:ind w:right="-1" w:firstLine="426"/>
        <w:jc w:val="both"/>
        <w:rPr>
          <w:szCs w:val="28"/>
        </w:rPr>
      </w:pPr>
      <w:r>
        <w:rPr>
          <w:szCs w:val="28"/>
        </w:rPr>
        <w:t>Ir nepieciešams i</w:t>
      </w:r>
      <w:r w:rsidRPr="00007370">
        <w:rPr>
          <w:szCs w:val="28"/>
        </w:rPr>
        <w:t>zstrādāt visaptverošu stratēģiju rīcībai attiecībā uz traumām, kas gūtas uz ceļiem, un</w:t>
      </w:r>
      <w:r>
        <w:rPr>
          <w:szCs w:val="28"/>
        </w:rPr>
        <w:t xml:space="preserve"> </w:t>
      </w:r>
      <w:r w:rsidRPr="00007370">
        <w:rPr>
          <w:szCs w:val="28"/>
        </w:rPr>
        <w:t>avārijas dienestiem, tostarp traumu un nāves gadījumu vienotu definīciju un standarta</w:t>
      </w:r>
      <w:r>
        <w:rPr>
          <w:szCs w:val="28"/>
        </w:rPr>
        <w:t xml:space="preserve"> </w:t>
      </w:r>
      <w:r w:rsidRPr="00007370">
        <w:rPr>
          <w:szCs w:val="28"/>
        </w:rPr>
        <w:t>klasifikāciju nolūkā noteikt traumu samazināšanas mērķi.</w:t>
      </w:r>
    </w:p>
    <w:p w:rsidR="00007370" w:rsidRPr="00007370" w:rsidRDefault="00007370" w:rsidP="00A70D56">
      <w:pPr>
        <w:pStyle w:val="ListParagraph"/>
        <w:numPr>
          <w:ilvl w:val="0"/>
          <w:numId w:val="11"/>
        </w:numPr>
        <w:ind w:right="-1" w:firstLine="426"/>
        <w:jc w:val="both"/>
        <w:rPr>
          <w:szCs w:val="28"/>
        </w:rPr>
      </w:pPr>
      <w:r>
        <w:rPr>
          <w:szCs w:val="28"/>
        </w:rPr>
        <w:t>Ir jāpievērš</w:t>
      </w:r>
      <w:r w:rsidR="000B0A01">
        <w:rPr>
          <w:szCs w:val="28"/>
        </w:rPr>
        <w:t xml:space="preserve"> uzmanību visu satiksmes dalībnieku</w:t>
      </w:r>
      <w:r>
        <w:rPr>
          <w:szCs w:val="28"/>
        </w:rPr>
        <w:t xml:space="preserve"> apmācībai un izglītībai, tāpat jāveicina</w:t>
      </w:r>
      <w:r w:rsidRPr="00007370">
        <w:rPr>
          <w:szCs w:val="28"/>
        </w:rPr>
        <w:t xml:space="preserve"> drošības aprīkojuma</w:t>
      </w:r>
      <w:r>
        <w:rPr>
          <w:szCs w:val="28"/>
        </w:rPr>
        <w:t xml:space="preserve"> izmantošana</w:t>
      </w:r>
      <w:r w:rsidRPr="00007370">
        <w:rPr>
          <w:szCs w:val="28"/>
        </w:rPr>
        <w:t xml:space="preserve"> (drošības jostas, aizsargapģērbs, pret neatļautu iejaukšanos vērsti pasākumi).</w:t>
      </w:r>
    </w:p>
    <w:p w:rsidR="00264460" w:rsidRPr="00007370" w:rsidRDefault="00007370" w:rsidP="00320D12">
      <w:pPr>
        <w:pStyle w:val="ListParagraph"/>
        <w:numPr>
          <w:ilvl w:val="0"/>
          <w:numId w:val="11"/>
        </w:numPr>
        <w:ind w:right="-1" w:firstLine="414"/>
        <w:jc w:val="both"/>
        <w:rPr>
          <w:szCs w:val="28"/>
        </w:rPr>
      </w:pPr>
      <w:r>
        <w:rPr>
          <w:szCs w:val="28"/>
        </w:rPr>
        <w:t>Ir jāpievērš</w:t>
      </w:r>
      <w:r w:rsidRPr="00007370">
        <w:rPr>
          <w:szCs w:val="28"/>
        </w:rPr>
        <w:t xml:space="preserve"> īpašu uzmanību </w:t>
      </w:r>
      <w:proofErr w:type="spellStart"/>
      <w:r w:rsidRPr="00007370">
        <w:rPr>
          <w:szCs w:val="28"/>
        </w:rPr>
        <w:t>mazaizsargātiem</w:t>
      </w:r>
      <w:proofErr w:type="spellEnd"/>
      <w:r w:rsidRPr="00007370">
        <w:rPr>
          <w:szCs w:val="28"/>
        </w:rPr>
        <w:t xml:space="preserve"> satiksmes dalībniekiem, piemēram, gājējiem,</w:t>
      </w:r>
      <w:r>
        <w:rPr>
          <w:szCs w:val="28"/>
        </w:rPr>
        <w:t xml:space="preserve"> </w:t>
      </w:r>
      <w:r w:rsidRPr="00007370">
        <w:rPr>
          <w:szCs w:val="28"/>
        </w:rPr>
        <w:t>riteņbraucējiem, motociklistiem, tostarp izmantojot drošāku infrastruktūru un</w:t>
      </w:r>
      <w:r>
        <w:rPr>
          <w:szCs w:val="28"/>
        </w:rPr>
        <w:t xml:space="preserve"> </w:t>
      </w:r>
      <w:r w:rsidR="005A6F6A" w:rsidRPr="005A6F6A">
        <w:rPr>
          <w:szCs w:val="28"/>
        </w:rPr>
        <w:t>TL</w:t>
      </w:r>
      <w:r w:rsidRPr="00007370">
        <w:rPr>
          <w:szCs w:val="28"/>
        </w:rPr>
        <w:t xml:space="preserve"> tehnoloģijas.</w:t>
      </w:r>
    </w:p>
    <w:p w:rsidR="00A56746" w:rsidRDefault="00A56746" w:rsidP="00A70D56">
      <w:pPr>
        <w:pStyle w:val="NormalWeb"/>
        <w:spacing w:before="0" w:beforeAutospacing="0" w:after="0" w:afterAutospacing="0"/>
        <w:ind w:firstLine="426"/>
        <w:jc w:val="both"/>
      </w:pPr>
    </w:p>
    <w:p w:rsidR="008C70BB" w:rsidRDefault="00EB5891" w:rsidP="00A70D56">
      <w:pPr>
        <w:pStyle w:val="NoSpacing"/>
        <w:ind w:firstLine="426"/>
        <w:jc w:val="both"/>
      </w:pPr>
      <w:r w:rsidRPr="00EB5891">
        <w:t xml:space="preserve">Eiropas Komisijas </w:t>
      </w:r>
      <w:r>
        <w:t xml:space="preserve">2010. gada 20. jūlija </w:t>
      </w:r>
      <w:r w:rsidRPr="00EB5891">
        <w:rPr>
          <w:b/>
          <w:i/>
        </w:rPr>
        <w:t xml:space="preserve">paziņojumā Eiropas Parlamentam, Padomei, Eiropas Ekonomikas un sociālo lietu </w:t>
      </w:r>
      <w:r>
        <w:rPr>
          <w:b/>
          <w:i/>
        </w:rPr>
        <w:t>komitejai un Reģionu komitejai “</w:t>
      </w:r>
      <w:r w:rsidR="002703AD">
        <w:rPr>
          <w:b/>
          <w:i/>
        </w:rPr>
        <w:t xml:space="preserve">Virzoties uz Eiropas ceļu </w:t>
      </w:r>
      <w:r w:rsidRPr="00EB5891">
        <w:rPr>
          <w:b/>
          <w:i/>
        </w:rPr>
        <w:t>satiksmes drošības telpu: ceļu satiksmes drošības politika</w:t>
      </w:r>
      <w:r>
        <w:rPr>
          <w:b/>
          <w:i/>
        </w:rPr>
        <w:t>s ievirzes 2011. – 2020. gadam”</w:t>
      </w:r>
      <w:r w:rsidR="008C70BB">
        <w:t>(turpmāk – Ceļu drošības politikas ievirzes)</w:t>
      </w:r>
      <w:r>
        <w:t xml:space="preserve"> tiek norādīts, ka </w:t>
      </w:r>
      <w:r w:rsidR="008C70BB">
        <w:t xml:space="preserve">iepriekšējo </w:t>
      </w:r>
      <w:r>
        <w:t xml:space="preserve">ES </w:t>
      </w:r>
      <w:r w:rsidR="008C70BB">
        <w:t>ceļu satiksmes drošības programmu panākumi nevar būt par iemeslu neturpināt iesāktos darbus un neuzsākt jaunus.</w:t>
      </w:r>
      <w:r>
        <w:t xml:space="preserve"> </w:t>
      </w:r>
      <w:r w:rsidR="008C70BB">
        <w:t xml:space="preserve">ES </w:t>
      </w:r>
      <w:r>
        <w:t>autoceļi joprojām ne tuvu nav d</w:t>
      </w:r>
      <w:r w:rsidR="002703AD">
        <w:t xml:space="preserve">roši - </w:t>
      </w:r>
      <w:r w:rsidR="008C70BB">
        <w:t xml:space="preserve">Ceļu drošības politikas ievirzēs ir minēts, ka 2009. gadā </w:t>
      </w:r>
      <w:proofErr w:type="spellStart"/>
      <w:r w:rsidR="008C70BB">
        <w:t>CSNg</w:t>
      </w:r>
      <w:proofErr w:type="spellEnd"/>
      <w:r>
        <w:t xml:space="preserve"> bojā gāja 35000</w:t>
      </w:r>
      <w:r w:rsidR="008C70BB">
        <w:t xml:space="preserve"> cilvēku, tāpat</w:t>
      </w:r>
      <w:r>
        <w:t xml:space="preserve"> vairāk nekā 1,7 miljoni guva ievainojumus.</w:t>
      </w:r>
      <w:r w:rsidR="002703AD">
        <w:t xml:space="preserve"> </w:t>
      </w:r>
      <w:r w:rsidR="008C70BB">
        <w:t>Atkārtoti atsaucoties uz</w:t>
      </w:r>
      <w:r>
        <w:t xml:space="preserve"> </w:t>
      </w:r>
      <w:r w:rsidR="008C70BB">
        <w:t>ES nosprausto mērķi 2020.gadam</w:t>
      </w:r>
      <w:r w:rsidR="002703AD">
        <w:t xml:space="preserve"> par bojāgājušo un cietušo skaita samazinājumu</w:t>
      </w:r>
      <w:r w:rsidR="008C70BB">
        <w:t>, ir jānodrošina tādu pasākumu</w:t>
      </w:r>
      <w:r w:rsidR="002703AD">
        <w:t xml:space="preserve"> kopums, kas sabalansēti aptvers visas nozares, kuras ir tiešā vai netiešā mērā saistītas ar ceļu satiksmes drošību.</w:t>
      </w:r>
    </w:p>
    <w:p w:rsidR="008C70BB" w:rsidRDefault="00814104" w:rsidP="00A70D56">
      <w:pPr>
        <w:pStyle w:val="NoSpacing"/>
        <w:ind w:firstLine="426"/>
        <w:jc w:val="both"/>
      </w:pPr>
      <w:r>
        <w:t>Būtiskākie</w:t>
      </w:r>
      <w:r w:rsidR="002703AD">
        <w:t xml:space="preserve">  veicam</w:t>
      </w:r>
      <w:r>
        <w:t>ie</w:t>
      </w:r>
      <w:r w:rsidR="002703AD">
        <w:t xml:space="preserve"> pasākumi, kas minēti Ceļu drošības politikas ievirzēs</w:t>
      </w:r>
      <w:r>
        <w:t xml:space="preserve"> un varētu tikt attiecināti uz Latviju</w:t>
      </w:r>
      <w:r w:rsidR="002703AD">
        <w:t>, ir šādi</w:t>
      </w:r>
      <w:r w:rsidR="008C70BB">
        <w:t>:</w:t>
      </w:r>
    </w:p>
    <w:p w:rsidR="008C70BB" w:rsidRDefault="002703AD" w:rsidP="00A70D56">
      <w:pPr>
        <w:pStyle w:val="NoSpacing"/>
        <w:numPr>
          <w:ilvl w:val="0"/>
          <w:numId w:val="11"/>
        </w:numPr>
        <w:ind w:firstLine="426"/>
        <w:jc w:val="both"/>
      </w:pPr>
      <w:r>
        <w:t>ir jāievieš</w:t>
      </w:r>
      <w:r w:rsidR="008C70BB">
        <w:t xml:space="preserve"> ES līmeņa ceļu satiksmes drošības regulējumu, lai </w:t>
      </w:r>
      <w:r w:rsidR="000B0A01">
        <w:t xml:space="preserve">CSN </w:t>
      </w:r>
      <w:r w:rsidR="008C70BB">
        <w:t>pārkāpuma gadījumā garantētu vienādu</w:t>
      </w:r>
      <w:r>
        <w:t xml:space="preserve"> </w:t>
      </w:r>
      <w:r w:rsidR="008C70BB">
        <w:t>attieksmi pret visiem ES iedzīvotājiem;</w:t>
      </w:r>
    </w:p>
    <w:p w:rsidR="008C70BB" w:rsidRDefault="002703AD" w:rsidP="00A70D56">
      <w:pPr>
        <w:pStyle w:val="NoSpacing"/>
        <w:numPr>
          <w:ilvl w:val="0"/>
          <w:numId w:val="11"/>
        </w:numPr>
        <w:ind w:firstLine="426"/>
        <w:jc w:val="both"/>
      </w:pPr>
      <w:r>
        <w:t>ir jāpaaugstina</w:t>
      </w:r>
      <w:r w:rsidR="008C70BB">
        <w:t xml:space="preserve"> mazāk aizsargāto satiksmes dalībni</w:t>
      </w:r>
      <w:r w:rsidR="005568A0">
        <w:t>eku</w:t>
      </w:r>
      <w:r>
        <w:t xml:space="preserve"> drošība</w:t>
      </w:r>
      <w:r w:rsidR="008C70BB">
        <w:t>, uzlabojot saziņu starp iestādēm un satiksmes</w:t>
      </w:r>
      <w:r>
        <w:t xml:space="preserve"> </w:t>
      </w:r>
      <w:r w:rsidR="008C70BB">
        <w:t>dalībniek</w:t>
      </w:r>
      <w:r>
        <w:t>iem</w:t>
      </w:r>
      <w:r w:rsidR="008C70BB">
        <w:t>;</w:t>
      </w:r>
    </w:p>
    <w:p w:rsidR="00A56746" w:rsidRDefault="00676E18" w:rsidP="00A70D56">
      <w:pPr>
        <w:pStyle w:val="NoSpacing"/>
        <w:numPr>
          <w:ilvl w:val="0"/>
          <w:numId w:val="11"/>
        </w:numPr>
        <w:ind w:firstLine="426"/>
        <w:jc w:val="both"/>
      </w:pPr>
      <w:r>
        <w:t xml:space="preserve">ir </w:t>
      </w:r>
      <w:r w:rsidR="002703AD">
        <w:t>jāuzlabo</w:t>
      </w:r>
      <w:r w:rsidR="008C70BB">
        <w:t xml:space="preserve"> rīkus, kas ļauj vākt un analizēt informāciju par negadījumiem, lai efektīvāk uzraudzītu progresu, kas dalībvalstīs</w:t>
      </w:r>
      <w:r w:rsidR="002703AD">
        <w:t xml:space="preserve"> </w:t>
      </w:r>
      <w:r w:rsidR="008C70BB">
        <w:t>panākts ceļu satiksmes drošības jomā, un nodrošinātu precīzus datus, kas būtu izmantojami jaunu ceļu satiksmes drošības</w:t>
      </w:r>
      <w:r w:rsidR="002703AD">
        <w:t xml:space="preserve"> </w:t>
      </w:r>
      <w:r w:rsidR="008C70BB">
        <w:t>noteikumu izstrādē</w:t>
      </w:r>
      <w:r w:rsidR="000B0A01">
        <w:t>.</w:t>
      </w:r>
    </w:p>
    <w:p w:rsidR="002703AD" w:rsidRDefault="002703AD" w:rsidP="00A70D56">
      <w:pPr>
        <w:pStyle w:val="NormalWeb"/>
        <w:spacing w:before="0" w:beforeAutospacing="0" w:after="0" w:afterAutospacing="0"/>
        <w:ind w:firstLine="426"/>
        <w:jc w:val="both"/>
        <w:rPr>
          <w:rFonts w:asciiTheme="minorHAnsi" w:hAnsiTheme="minorHAnsi"/>
          <w:sz w:val="20"/>
          <w:szCs w:val="20"/>
        </w:rPr>
      </w:pPr>
      <w:r>
        <w:t>Kā tiek uzsvērts Ceļu drošības politikas ievirzēs</w:t>
      </w:r>
      <w:r w:rsidR="00676E18">
        <w:t>,</w:t>
      </w:r>
      <w:r>
        <w:t xml:space="preserve"> ceļu satiksmes drošības problēmas i</w:t>
      </w:r>
      <w:r w:rsidR="00676E18">
        <w:t>r kopīgas visām ES dalībvalstīm</w:t>
      </w:r>
      <w:r>
        <w:t xml:space="preserve"> un ES var palīdzēt dalībvalstīm sadarboties un apmainīties ar informāciju.</w:t>
      </w:r>
    </w:p>
    <w:p w:rsidR="004D6D34" w:rsidRPr="00127D28" w:rsidRDefault="002703AD" w:rsidP="00127D28">
      <w:pPr>
        <w:pStyle w:val="NormalWeb"/>
        <w:spacing w:before="0" w:beforeAutospacing="0" w:after="0" w:afterAutospacing="0"/>
        <w:ind w:firstLine="426"/>
        <w:jc w:val="both"/>
        <w:rPr>
          <w:sz w:val="20"/>
          <w:szCs w:val="20"/>
        </w:rPr>
      </w:pPr>
      <w:r>
        <w:t xml:space="preserve">Pieredze </w:t>
      </w:r>
      <w:r w:rsidRPr="002E5B1E">
        <w:t>liecina, ka</w:t>
      </w:r>
      <w:r w:rsidR="00676E18">
        <w:t>,</w:t>
      </w:r>
      <w:r w:rsidRPr="002E5B1E">
        <w:t xml:space="preserve"> īstenojot iepriekšējās</w:t>
      </w:r>
      <w:r w:rsidR="00777308" w:rsidRPr="002E5B1E">
        <w:t xml:space="preserve"> ES</w:t>
      </w:r>
      <w:r w:rsidRPr="002E5B1E">
        <w:t xml:space="preserve"> ceļu satiksmes drošības programmas no 2001.gada līdz 2010. gadam, tika glābtas78 000 cilvēku dzīvības</w:t>
      </w:r>
      <w:r w:rsidR="00777308" w:rsidRPr="002E5B1E">
        <w:t>, kas tika panākts</w:t>
      </w:r>
      <w:r w:rsidR="00676E18">
        <w:t>,</w:t>
      </w:r>
      <w:r w:rsidR="00777308" w:rsidRPr="002E5B1E">
        <w:t xml:space="preserve"> īstenojot plašu pasākumu kopumu.</w:t>
      </w:r>
    </w:p>
    <w:p w:rsidR="008A6A09" w:rsidRPr="002E5B1E" w:rsidRDefault="008A6A09" w:rsidP="00360C6E">
      <w:pPr>
        <w:pStyle w:val="NormalWeb"/>
        <w:spacing w:before="0" w:beforeAutospacing="0" w:after="0" w:afterAutospacing="0"/>
        <w:jc w:val="both"/>
      </w:pPr>
    </w:p>
    <w:p w:rsidR="007A4525" w:rsidRPr="00D1125E" w:rsidRDefault="004D6D34" w:rsidP="00D1125E">
      <w:pPr>
        <w:pStyle w:val="Heading2"/>
        <w:numPr>
          <w:ilvl w:val="1"/>
          <w:numId w:val="33"/>
        </w:numPr>
      </w:pPr>
      <w:bookmarkStart w:id="11" w:name="_Toc457824712"/>
      <w:bookmarkStart w:id="12" w:name="_Toc457824866"/>
      <w:bookmarkStart w:id="13" w:name="_Toc457986544"/>
      <w:bookmarkStart w:id="14" w:name="_Toc457989650"/>
      <w:bookmarkStart w:id="15" w:name="_Toc477177751"/>
      <w:r w:rsidRPr="00D1125E">
        <w:t>Latvijas</w:t>
      </w:r>
      <w:r w:rsidR="00A47717" w:rsidRPr="00D1125E">
        <w:t xml:space="preserve"> plānošanas dokumentos noteiktie mērķi un to izpildes novērtējums</w:t>
      </w:r>
      <w:bookmarkEnd w:id="11"/>
      <w:bookmarkEnd w:id="12"/>
      <w:bookmarkEnd w:id="13"/>
      <w:bookmarkEnd w:id="14"/>
      <w:bookmarkEnd w:id="15"/>
    </w:p>
    <w:p w:rsidR="00A56746" w:rsidRPr="002E5B1E" w:rsidRDefault="00A56746" w:rsidP="00A70D56">
      <w:pPr>
        <w:pStyle w:val="NormalWeb"/>
        <w:spacing w:before="0" w:beforeAutospacing="0" w:after="0" w:afterAutospacing="0"/>
        <w:ind w:firstLine="426"/>
        <w:jc w:val="both"/>
        <w:rPr>
          <w:b/>
        </w:rPr>
      </w:pPr>
    </w:p>
    <w:p w:rsidR="00691AFC" w:rsidRPr="008D392B" w:rsidRDefault="00A47717" w:rsidP="008D392B">
      <w:pPr>
        <w:pStyle w:val="NoSpacing"/>
        <w:ind w:firstLine="426"/>
        <w:jc w:val="both"/>
        <w:rPr>
          <w:rFonts w:ascii="Tms Rmn" w:hAnsi="Tms Rmn" w:cs="Tms Rmn"/>
        </w:rPr>
      </w:pPr>
      <w:r>
        <w:t>Latvijā k</w:t>
      </w:r>
      <w:r w:rsidR="00A56746" w:rsidRPr="00A47717">
        <w:t xml:space="preserve">opš 1994.gada </w:t>
      </w:r>
      <w:r w:rsidR="00A56746">
        <w:t xml:space="preserve">noteiktam laika periodam tiek izstrādāti plānošanas dokumenti ceļu satiksmes drošības jomā. Saskaņā ar Ceļu satiksmes drošības plānu 2014.-2016.gadam </w:t>
      </w:r>
      <w:r w:rsidR="00A56746" w:rsidRPr="00055CCC">
        <w:t xml:space="preserve">Ceļu satiksmes drošības programma 2007. - 2013. gadam realizēta aptuveni par 90%. </w:t>
      </w:r>
      <w:r w:rsidR="00116162">
        <w:t>Šajos</w:t>
      </w:r>
      <w:r w:rsidR="00A56746" w:rsidRPr="00055CCC">
        <w:t xml:space="preserve"> piecos gados potenciāli izglābtas 1167 dzīvības un par 6988 mazāk cilvēku guvuši savainojumus, traumas, nekā pie 2006. gada līdzvērtīgā satiksmes drošības līmeņa.</w:t>
      </w:r>
      <w:r w:rsidR="00A56746">
        <w:t xml:space="preserve"> Lai arī kopš 1999.gada vērojami būtiski rādītāju uzlabojumi cietušo un bojāgājušo skaita samazināšanā ceļu satiksmes negadījumos,</w:t>
      </w:r>
      <w:r w:rsidR="00FD16A1">
        <w:t xml:space="preserve"> </w:t>
      </w:r>
      <w:r w:rsidR="00FD16A1">
        <w:rPr>
          <w:rFonts w:ascii="Tms Rmn" w:hAnsi="Tms Rmn" w:cs="Tms Rmn"/>
        </w:rPr>
        <w:t>pēdējos gados vērojama zināma stagnācija un situācija uzlabojas ļoti lēnām</w:t>
      </w:r>
      <w:r w:rsidR="00D1203A" w:rsidRPr="00D1203A">
        <w:rPr>
          <w:rFonts w:ascii="Tms Rmn" w:hAnsi="Tms Rmn" w:cs="Tms Rmn"/>
        </w:rPr>
        <w:t xml:space="preserve"> </w:t>
      </w:r>
      <w:r w:rsidR="000324A6">
        <w:rPr>
          <w:rFonts w:ascii="Tms Rmn" w:hAnsi="Tms Rmn" w:cs="Tms Rmn"/>
        </w:rPr>
        <w:t xml:space="preserve">- </w:t>
      </w:r>
      <w:r w:rsidR="00D1203A">
        <w:rPr>
          <w:rFonts w:ascii="Tms Rmn" w:hAnsi="Tms Rmn" w:cs="Tms Rmn"/>
        </w:rPr>
        <w:t>Latvijā 2015.gadā 33,5</w:t>
      </w:r>
      <w:r w:rsidR="00D1203A" w:rsidRPr="00CF3E5A">
        <w:rPr>
          <w:rFonts w:ascii="Tms Rmn" w:hAnsi="Tms Rmn" w:cs="Tms Rmn"/>
        </w:rPr>
        <w:t xml:space="preserve">% no </w:t>
      </w:r>
      <w:proofErr w:type="spellStart"/>
      <w:r w:rsidR="00D1203A" w:rsidRPr="00CF3E5A">
        <w:rPr>
          <w:rFonts w:ascii="Tms Rmn" w:hAnsi="Tms Rmn" w:cs="Tms Rmn"/>
        </w:rPr>
        <w:t>CSNg</w:t>
      </w:r>
      <w:proofErr w:type="spellEnd"/>
      <w:r w:rsidR="00D1203A" w:rsidRPr="00CF3E5A">
        <w:rPr>
          <w:rFonts w:ascii="Tms Rmn" w:hAnsi="Tms Rmn" w:cs="Tms Rmn"/>
        </w:rPr>
        <w:t xml:space="preserve"> ar bojāgājušajiem </w:t>
      </w:r>
      <w:r w:rsidR="00D1203A">
        <w:rPr>
          <w:rFonts w:ascii="Tms Rmn" w:hAnsi="Tms Rmn" w:cs="Tms Rmn"/>
        </w:rPr>
        <w:t>ir bijuši negadījumi ar gājējie</w:t>
      </w:r>
      <w:r w:rsidR="000324A6">
        <w:rPr>
          <w:rFonts w:ascii="Tms Rmn" w:hAnsi="Tms Rmn" w:cs="Tms Rmn"/>
        </w:rPr>
        <w:t>m</w:t>
      </w:r>
      <w:r w:rsidR="00A56746">
        <w:t xml:space="preserve">. </w:t>
      </w:r>
      <w:r w:rsidR="0000308A" w:rsidRPr="005B508C">
        <w:t>Latvijā viskritiskākā situācija ceļu satiksmes drošības jomā bija 1991. gadā, kad</w:t>
      </w:r>
      <w:r w:rsidR="0000308A" w:rsidRPr="0000308A">
        <w:t xml:space="preserve"> </w:t>
      </w:r>
      <w:proofErr w:type="spellStart"/>
      <w:r w:rsidR="000B0A01">
        <w:t>CSNg</w:t>
      </w:r>
      <w:proofErr w:type="spellEnd"/>
      <w:r w:rsidR="0000308A" w:rsidRPr="0000308A">
        <w:t xml:space="preserve"> gāja bojā 923 cilvēki. Tieši šī traģiskā statistika, kā arī tas, ka sāka strauji attīstīties Latvijas sakari </w:t>
      </w:r>
      <w:r w:rsidR="0000308A" w:rsidRPr="0000308A">
        <w:lastRenderedPageBreak/>
        <w:t xml:space="preserve">ar Eiropas valstīm, konsekventi augot starptautisko, tajā skaitā tranzīta pārvadājumu apjomam, aktualizēja jautājumu par satiksmes drošības garantēšanu uz Latvijas autoceļiem Eiropas līmenī. 1994. gadā Latvijā Transporta attīstības programmas ietvaros, tika izstrādāta pirmā Ceļu satiksmes drošības programma. Realizējot tajā minētos pasākumus, jau 1998. gadā, salīdzinot ar 1991. gadu, izdevās samazināt </w:t>
      </w:r>
      <w:r w:rsidR="0000308A">
        <w:t xml:space="preserve">bojāgājušo skaitu 1,47 reizes. </w:t>
      </w:r>
      <w:r w:rsidR="008D392B">
        <w:rPr>
          <w:rFonts w:ascii="Tms Rmn" w:hAnsi="Tms Rmn" w:cs="Tms Rmn"/>
        </w:rPr>
        <w:t xml:space="preserve">Vienlaikus </w:t>
      </w:r>
      <w:r w:rsidR="002E5B1E">
        <w:t>1</w:t>
      </w:r>
      <w:r w:rsidR="0000308A" w:rsidRPr="0000308A">
        <w:t xml:space="preserve">994. gada Ceļu satiksmes drošības programmā nospraustie mērķi 1999. gada sākumā kopumā bija izpildīti. Straujais </w:t>
      </w:r>
      <w:proofErr w:type="spellStart"/>
      <w:r w:rsidR="0000308A" w:rsidRPr="0000308A">
        <w:t>automobilizācijas</w:t>
      </w:r>
      <w:proofErr w:type="spellEnd"/>
      <w:r w:rsidR="0000308A" w:rsidRPr="0000308A">
        <w:t xml:space="preserve"> līmeņa pieaugums, kā arī Latvijas virzība uz </w:t>
      </w:r>
      <w:r w:rsidR="00B4087E">
        <w:t>ES</w:t>
      </w:r>
      <w:r w:rsidR="0000308A" w:rsidRPr="0000308A">
        <w:t xml:space="preserve"> izvirzīja jaunus mērķus, un 2000. gada 25. janvārī Ministru kabinets aps</w:t>
      </w:r>
      <w:r w:rsidR="00A32CBC">
        <w:t>tiprināja “</w:t>
      </w:r>
      <w:r w:rsidR="0000308A" w:rsidRPr="0000308A">
        <w:t>Ceļu satiksmes drošības nacionālo p</w:t>
      </w:r>
      <w:r w:rsidR="00A32CBC">
        <w:t>rogrammu 2000. - 2006. gadam”</w:t>
      </w:r>
      <w:r w:rsidR="0000308A">
        <w:t xml:space="preserve">. </w:t>
      </w:r>
      <w:r w:rsidR="008D392B">
        <w:t xml:space="preserve">Savukārt </w:t>
      </w:r>
      <w:r w:rsidR="00A32CBC">
        <w:rPr>
          <w:szCs w:val="28"/>
        </w:rPr>
        <w:t>“</w:t>
      </w:r>
      <w:r w:rsidR="0000308A" w:rsidRPr="0000308A">
        <w:rPr>
          <w:szCs w:val="28"/>
        </w:rPr>
        <w:t xml:space="preserve">Ceļu satiksmes drošības </w:t>
      </w:r>
      <w:r w:rsidR="00A32CBC">
        <w:rPr>
          <w:szCs w:val="28"/>
        </w:rPr>
        <w:t>nacionālajā programmā 2000.-2006.</w:t>
      </w:r>
      <w:r w:rsidR="0000308A" w:rsidRPr="0000308A">
        <w:rPr>
          <w:szCs w:val="28"/>
        </w:rPr>
        <w:t>gadam</w:t>
      </w:r>
      <w:r w:rsidR="00A32CBC">
        <w:rPr>
          <w:szCs w:val="28"/>
        </w:rPr>
        <w:t>”</w:t>
      </w:r>
      <w:r w:rsidR="0000308A" w:rsidRPr="0000308A">
        <w:rPr>
          <w:szCs w:val="28"/>
        </w:rPr>
        <w:t xml:space="preserve"> nospraustie mērķi 2007. gada sākumā kopumā bija izpildīti – bojāgājušo skaits 2006. gadā samazinājās 1,6 reizes, salīdzinot ar 1999. gadu. 2007. gada 13. aprīlī Ministru kabinets ar rīkojumu Nr.209 apstiprināja „Ceļu satiksmes drošības programmu 2007. - 2013. gadam”, kuras </w:t>
      </w:r>
      <w:proofErr w:type="spellStart"/>
      <w:r w:rsidR="0000308A" w:rsidRPr="0000308A">
        <w:rPr>
          <w:szCs w:val="28"/>
        </w:rPr>
        <w:t>starpmērķis</w:t>
      </w:r>
      <w:proofErr w:type="spellEnd"/>
      <w:r w:rsidR="0000308A" w:rsidRPr="0000308A">
        <w:rPr>
          <w:szCs w:val="28"/>
        </w:rPr>
        <w:t xml:space="preserve"> – līdz 2010. gadam samazinot bojāgājušo skaitu divas reizes, salīdzinot ar 2001. gadu, tika sasniegts.</w:t>
      </w:r>
    </w:p>
    <w:p w:rsidR="00BA153A" w:rsidRPr="00254D4D" w:rsidRDefault="00254D4D" w:rsidP="00A47717">
      <w:pPr>
        <w:pStyle w:val="NormalWeb"/>
        <w:spacing w:before="0" w:beforeAutospacing="0" w:after="0" w:afterAutospacing="0"/>
        <w:ind w:firstLine="426"/>
        <w:jc w:val="both"/>
      </w:pPr>
      <w:r w:rsidRPr="001167A7">
        <w:rPr>
          <w:b/>
          <w:i/>
        </w:rPr>
        <w:t>Nacionālais attīstības plāns 2014. – 2020. gadam</w:t>
      </w:r>
      <w:r w:rsidRPr="00254D4D">
        <w:t xml:space="preserve"> (</w:t>
      </w:r>
      <w:r w:rsidR="00D10EAF">
        <w:t xml:space="preserve">turpmāk - </w:t>
      </w:r>
      <w:r w:rsidRPr="00254D4D">
        <w:t>NAP2020) ir hierarhiski augstākais nacionāla līmeņa vidēja termiņa plānošanas dokuments. NAP2020 ir cieši saistīts ar “Latvijas ilgtspējīgas attīstības stratēģiju līdz 2030.gadam” (Latvija2030) un “Nacionālo reformu programmu stratēģijas "ES2020" īstenošanai”.</w:t>
      </w:r>
      <w:r w:rsidR="00BB20E2">
        <w:t xml:space="preserve"> A</w:t>
      </w:r>
      <w:r w:rsidR="00CC1D85">
        <w:t>rī</w:t>
      </w:r>
      <w:r w:rsidR="000B0A01">
        <w:t xml:space="preserve"> NAP2020 ir</w:t>
      </w:r>
      <w:r w:rsidR="00BA153A">
        <w:t xml:space="preserve"> iekļauti pasākumi, kas tieši vai netieši attiecas uz ceļu satiksmes drošības uzlabo</w:t>
      </w:r>
      <w:r w:rsidR="00CC1D85">
        <w:t>šanu.</w:t>
      </w:r>
    </w:p>
    <w:p w:rsidR="00691AFC" w:rsidRPr="00127D28" w:rsidRDefault="00116162" w:rsidP="00127D28">
      <w:pPr>
        <w:pStyle w:val="NormalWeb"/>
        <w:spacing w:before="0" w:beforeAutospacing="0" w:after="0" w:afterAutospacing="0"/>
        <w:ind w:firstLine="426"/>
        <w:jc w:val="both"/>
      </w:pPr>
      <w:r>
        <w:t xml:space="preserve">Kā norādīts NAP2020, tad svarīgi </w:t>
      </w:r>
      <w:r w:rsidR="00254D4D" w:rsidRPr="00254D4D">
        <w:t>i</w:t>
      </w:r>
      <w:r>
        <w:t xml:space="preserve">r uzlabot veselības aprūpes pieejamību, kas attiecas arī uz cietušo ārstēšanos pēc </w:t>
      </w:r>
      <w:proofErr w:type="spellStart"/>
      <w:r>
        <w:t>CSNg</w:t>
      </w:r>
      <w:proofErr w:type="spellEnd"/>
      <w:r>
        <w:t>. NAP2020 r</w:t>
      </w:r>
      <w:r w:rsidRPr="00116162">
        <w:t>īcības virzienā</w:t>
      </w:r>
      <w:r>
        <w:t xml:space="preserve"> “Vesels un darbspējīgs cilvēks”</w:t>
      </w:r>
      <w:r w:rsidR="00BA153A">
        <w:t xml:space="preserve"> ir norādīts, ka</w:t>
      </w:r>
      <w:r>
        <w:t xml:space="preserve"> ap</w:t>
      </w:r>
      <w:r w:rsidR="00672940" w:rsidRPr="00672940">
        <w:t>tuveni 30 % no visiem Latvijā mirušajiem dzīvību zaudējuši priekšlaicīgi, esot darbspējas vecumā. Tā kā priekšlaicīgas mirstības un darbspēju zaudējuma cēloņi vairumā gadījumu saistīti ar dažādiem veselības riskiem, tad, mazinot to ietekmi, iespējams palielināt cilvēku veselīgi nodzīvotos mūža gadus un dzīves kvalitāti, tādā veidā uzlabojot arī dabīgo pieaugumu un sekmējot nodarbin</w:t>
      </w:r>
      <w:r>
        <w:t>ātību valstī, lai nodrošinātu “ekonomikas izrāvienu”</w:t>
      </w:r>
      <w:r w:rsidR="00672940" w:rsidRPr="00672940">
        <w:t>.</w:t>
      </w:r>
      <w:r w:rsidR="00127D28">
        <w:t xml:space="preserve"> </w:t>
      </w:r>
    </w:p>
    <w:p w:rsidR="00691AFC" w:rsidRDefault="00EB2A5E" w:rsidP="00004B44">
      <w:pPr>
        <w:pStyle w:val="NoSpacing"/>
        <w:ind w:firstLine="426"/>
        <w:jc w:val="both"/>
      </w:pPr>
      <w:r w:rsidRPr="001167A7">
        <w:rPr>
          <w:b/>
          <w:i/>
        </w:rPr>
        <w:t>Transporta attīstības pamatnostādnes 2014.-2020.gadam</w:t>
      </w:r>
      <w:r w:rsidR="00C32B60">
        <w:t xml:space="preserve"> (</w:t>
      </w:r>
      <w:r w:rsidR="00D10EAF">
        <w:t xml:space="preserve">turpmāk - </w:t>
      </w:r>
      <w:r w:rsidR="00C32B60">
        <w:t>TAP2020)</w:t>
      </w:r>
      <w:r w:rsidRPr="00EB2A5E">
        <w:t xml:space="preserve"> ir vidēja termiņa politikas plānošanas dokuments, kurā noteikti transporta politikas attīstības mērķi, pamatprincipi, prioritātes un sasniedzamie rezultāti transporta nozarē. Pamatnostādnes ietver turpmākās rīcības plānojumu ar konkrētiem pasākumiem noteikto mērķu sasniegšanai.</w:t>
      </w:r>
    </w:p>
    <w:p w:rsidR="00C32B60" w:rsidRPr="00EB2A5E" w:rsidRDefault="00C32B60" w:rsidP="00004B44">
      <w:pPr>
        <w:pStyle w:val="NoSpacing"/>
        <w:ind w:firstLine="426"/>
        <w:jc w:val="both"/>
      </w:pPr>
      <w:r w:rsidRPr="00C32B60">
        <w:t xml:space="preserve">Pamatnostādnes izstrādātas, ievērojot Baltajā grāmatā noteikto mērķi - izveidot sistēmu, kas atbalsta Eiropas ekonomikas attīstību, paaugstina konkurētspēju un nodrošina augstas kvalitātes mobilitātes pakalpojumus, vienlaicīgi efektīvāk izmantojot resursus, - un izaicinājumus, izvērtējot </w:t>
      </w:r>
      <w:r w:rsidR="00B4087E">
        <w:t>ES</w:t>
      </w:r>
      <w:r w:rsidRPr="00C32B60">
        <w:t xml:space="preserve"> Stratēģijā Baltijas jūras reģionam noteiktās prioritātes, mērķus un sasniedzamos rezultātus transporta jomā, nodrošinot atbilstību Latvijas ilgtspējīgas attīstības stratēģijā līdz 2030.gadam noteiktajiem mērķiem un uzdevumiem, nodrošinot atbilstību Nacionālajā attīstības plānā 2014.-2020.gadam noteiktajiem mērķiem un uzdevumiem, izvērtējot un ņemot vērā Rīgas Ekonomikas augstskolas veikto Eiropas Sociālā fonda finansēto pētījumu "Latvijas konkurētspējas novērtējums 2011", kā arī nodrošinot sasaisti ar citu nozaru politikas plānošanas dokumentiem.</w:t>
      </w:r>
    </w:p>
    <w:p w:rsidR="00720588" w:rsidRPr="00004B44" w:rsidRDefault="00C32B60" w:rsidP="00004B44">
      <w:pPr>
        <w:pStyle w:val="NoSpacing"/>
        <w:ind w:firstLine="426"/>
        <w:jc w:val="both"/>
        <w:rPr>
          <w:bCs/>
        </w:rPr>
      </w:pPr>
      <w:r>
        <w:rPr>
          <w:bCs/>
        </w:rPr>
        <w:t>Kā norādīts TAP2020, tad i</w:t>
      </w:r>
      <w:r w:rsidR="00720588" w:rsidRPr="00144772">
        <w:rPr>
          <w:bCs/>
        </w:rPr>
        <w:t xml:space="preserve">lgtspējīgas transporta </w:t>
      </w:r>
      <w:r w:rsidR="00720588" w:rsidRPr="00C32B60">
        <w:rPr>
          <w:bCs/>
        </w:rPr>
        <w:t>sistēmas vīzija</w:t>
      </w:r>
      <w:r w:rsidR="00004B44">
        <w:rPr>
          <w:bCs/>
        </w:rPr>
        <w:t xml:space="preserve"> ietver arī </w:t>
      </w:r>
      <w:r w:rsidR="00004B44">
        <w:rPr>
          <w:color w:val="000000" w:themeColor="text1"/>
          <w:u w:val="single"/>
        </w:rPr>
        <w:t>augstu</w:t>
      </w:r>
      <w:r w:rsidR="000B0A01">
        <w:rPr>
          <w:color w:val="000000" w:themeColor="text1"/>
          <w:u w:val="single"/>
        </w:rPr>
        <w:t xml:space="preserve"> satiksmes drošības līmeni.</w:t>
      </w:r>
      <w:r w:rsidR="00720588" w:rsidRPr="00C32B60">
        <w:rPr>
          <w:color w:val="000000" w:themeColor="text1"/>
          <w:u w:val="single"/>
        </w:rPr>
        <w:t xml:space="preserve"> </w:t>
      </w:r>
    </w:p>
    <w:p w:rsidR="0000308A" w:rsidRDefault="00AC036E" w:rsidP="00004B44">
      <w:pPr>
        <w:pStyle w:val="NoSpacing"/>
        <w:ind w:firstLine="426"/>
        <w:jc w:val="both"/>
      </w:pPr>
      <w:r>
        <w:rPr>
          <w:rFonts w:eastAsia="Times New Roman" w:cs="Times New Roman"/>
          <w:lang w:eastAsia="lv-LV"/>
        </w:rPr>
        <w:t xml:space="preserve">TAP2020 tiek norādīts, ka </w:t>
      </w:r>
      <w:r>
        <w:rPr>
          <w:b/>
        </w:rPr>
        <w:t>d</w:t>
      </w:r>
      <w:r w:rsidR="00FF415F">
        <w:rPr>
          <w:b/>
        </w:rPr>
        <w:t xml:space="preserve">rošība </w:t>
      </w:r>
      <w:r w:rsidR="00FF415F" w:rsidRPr="00A27EA5">
        <w:t>ir viens no būtiskākajiem faktoriem, izvēloties dažādus transporta</w:t>
      </w:r>
      <w:r>
        <w:t xml:space="preserve"> risinājumus, tādēļ būtiski ir arī izvērtēt līdz šim paveiktos darbu ceļus satiksmes drošības uzlabošanā. </w:t>
      </w:r>
      <w:r w:rsidR="00FF415F" w:rsidRPr="00FF415F">
        <w:t>Latvija no 2001. gada līdz 2010. gadam veikusi nozīmīgu darbu ceļu satiksmes drošības uzlabošanas jomā, panākot bojāgājušo skaita samazinājumu par 60,9%. Lai gan pēc bojāgājušo skaita samazin</w:t>
      </w:r>
      <w:r w:rsidR="00BB20E2">
        <w:t>ājuma no 2001. līdz 2010. gadam</w:t>
      </w:r>
      <w:r w:rsidR="00FF415F" w:rsidRPr="00FF415F">
        <w:t xml:space="preserve"> Latvija </w:t>
      </w:r>
      <w:r w:rsidR="0000308A">
        <w:t>ir bijusi</w:t>
      </w:r>
      <w:r w:rsidR="00FF415F" w:rsidRPr="00FF415F">
        <w:t xml:space="preserve"> vienā no vadošajām vietām ES, tomēr tāds rādītājs kā bojāgājušo s</w:t>
      </w:r>
      <w:r w:rsidR="0000308A">
        <w:t xml:space="preserve">kaits uz miljons iedzīvotājiem </w:t>
      </w:r>
      <w:r w:rsidR="00FF415F" w:rsidRPr="00FF415F">
        <w:t xml:space="preserve">joprojām ir augsts </w:t>
      </w:r>
      <w:r w:rsidR="0000308A">
        <w:t>–</w:t>
      </w:r>
      <w:r w:rsidR="00FF415F" w:rsidRPr="00FF415F">
        <w:t xml:space="preserve"> </w:t>
      </w:r>
      <w:r w:rsidR="0000308A">
        <w:t>94 personas, kur vidējais ES bojāgājušo skaits ir gandrīz divas reizes mazāks – 51,5 personas.</w:t>
      </w:r>
    </w:p>
    <w:p w:rsidR="008A6A09" w:rsidRPr="00BB20E2" w:rsidRDefault="0000308A" w:rsidP="00BB20E2">
      <w:pPr>
        <w:pStyle w:val="NoSpacing"/>
        <w:ind w:firstLine="426"/>
        <w:jc w:val="both"/>
      </w:pPr>
      <w:r w:rsidRPr="0032006C">
        <w:t xml:space="preserve">TAP2020 tiek identificētas būtiskākās autoceļu </w:t>
      </w:r>
      <w:r w:rsidR="00004B44" w:rsidRPr="0032006C">
        <w:t>infrastruktūras problēmas, kur viena no tām ir</w:t>
      </w:r>
      <w:r w:rsidR="00BB20E2">
        <w:t xml:space="preserve"> </w:t>
      </w:r>
      <w:r w:rsidR="00004B44" w:rsidRPr="0032006C">
        <w:t>n</w:t>
      </w:r>
      <w:r w:rsidR="00FF415F" w:rsidRPr="0032006C">
        <w:t xml:space="preserve">eapmierinoša autoceļu stāvokļa kvalitāte, kas ir viens no būtiskiem </w:t>
      </w:r>
      <w:r w:rsidR="00004B44" w:rsidRPr="0032006C">
        <w:t>ceļu satiksmes drošības riskiem</w:t>
      </w:r>
      <w:r w:rsidR="00127D28">
        <w:rPr>
          <w:rFonts w:cs="Times New Roman"/>
        </w:rPr>
        <w:t>.</w:t>
      </w:r>
    </w:p>
    <w:p w:rsidR="00621D8F" w:rsidRDefault="00621D8F" w:rsidP="00004B44">
      <w:pPr>
        <w:pStyle w:val="NoSpacing"/>
        <w:jc w:val="both"/>
        <w:rPr>
          <w:rFonts w:cs="Times New Roman"/>
        </w:rPr>
      </w:pPr>
    </w:p>
    <w:p w:rsidR="003806D3" w:rsidRPr="002E5B1E" w:rsidRDefault="003806D3" w:rsidP="00004B44">
      <w:pPr>
        <w:pStyle w:val="NoSpacing"/>
        <w:jc w:val="both"/>
        <w:rPr>
          <w:rFonts w:cs="Times New Roman"/>
        </w:rPr>
      </w:pPr>
    </w:p>
    <w:p w:rsidR="00606C22" w:rsidRPr="00D1125E" w:rsidRDefault="00D1125E" w:rsidP="00D1125E">
      <w:pPr>
        <w:pStyle w:val="Heading2"/>
      </w:pPr>
      <w:bookmarkStart w:id="16" w:name="_Toc457824713"/>
      <w:bookmarkStart w:id="17" w:name="_Toc457824867"/>
      <w:bookmarkStart w:id="18" w:name="_Toc457986545"/>
      <w:bookmarkStart w:id="19" w:name="_Toc457989651"/>
      <w:bookmarkStart w:id="20" w:name="_Toc477177752"/>
      <w:r w:rsidRPr="00D1125E">
        <w:lastRenderedPageBreak/>
        <w:t>1</w:t>
      </w:r>
      <w:r w:rsidR="00A91EE6" w:rsidRPr="00D1125E">
        <w:t xml:space="preserve">.3.    </w:t>
      </w:r>
      <w:r w:rsidR="002F2B4A" w:rsidRPr="00D1125E">
        <w:t>Ceļu satiksmes drošības</w:t>
      </w:r>
      <w:r w:rsidR="00AA2DF5" w:rsidRPr="00D1125E">
        <w:t xml:space="preserve"> </w:t>
      </w:r>
      <w:r w:rsidR="005D4D4D" w:rsidRPr="00D1125E">
        <w:t>situācija.</w:t>
      </w:r>
      <w:bookmarkEnd w:id="16"/>
      <w:bookmarkEnd w:id="17"/>
      <w:bookmarkEnd w:id="18"/>
      <w:bookmarkEnd w:id="19"/>
      <w:bookmarkEnd w:id="20"/>
    </w:p>
    <w:p w:rsidR="00785293" w:rsidRPr="00A83439" w:rsidRDefault="00CD12A0" w:rsidP="00A83439">
      <w:pPr>
        <w:pStyle w:val="NormalWeb"/>
        <w:ind w:left="-142" w:firstLine="142"/>
        <w:rPr>
          <w:b/>
        </w:rPr>
      </w:pPr>
      <w:bookmarkStart w:id="21" w:name="_Toc477177753"/>
      <w:r>
        <w:rPr>
          <w:rStyle w:val="Heading3Char"/>
        </w:rPr>
        <w:t>1</w:t>
      </w:r>
      <w:r w:rsidR="002844B9" w:rsidRPr="00D1125E">
        <w:rPr>
          <w:rStyle w:val="Heading3Char"/>
        </w:rPr>
        <w:t>.3</w:t>
      </w:r>
      <w:r w:rsidR="002F2B4A" w:rsidRPr="00D1125E">
        <w:rPr>
          <w:rStyle w:val="Heading3Char"/>
        </w:rPr>
        <w:t>.1.</w:t>
      </w:r>
      <w:r w:rsidR="00A91EE6" w:rsidRPr="00D1125E">
        <w:rPr>
          <w:rStyle w:val="Heading3Char"/>
        </w:rPr>
        <w:t xml:space="preserve"> </w:t>
      </w:r>
      <w:r w:rsidR="005D4D4D" w:rsidRPr="00D1125E">
        <w:rPr>
          <w:rStyle w:val="Heading3Char"/>
          <w:rFonts w:eastAsiaTheme="majorEastAsia"/>
        </w:rPr>
        <w:t>C</w:t>
      </w:r>
      <w:r w:rsidR="004D6D34" w:rsidRPr="00D1125E">
        <w:rPr>
          <w:rStyle w:val="Heading3Char"/>
          <w:rFonts w:eastAsiaTheme="majorEastAsia"/>
        </w:rPr>
        <w:t>eļu satiksmes negadījum</w:t>
      </w:r>
      <w:r w:rsidR="005D4D4D" w:rsidRPr="00D1125E">
        <w:rPr>
          <w:rStyle w:val="Heading3Char"/>
          <w:rFonts w:eastAsiaTheme="majorEastAsia"/>
        </w:rPr>
        <w:t xml:space="preserve">u statistika un tās </w:t>
      </w:r>
      <w:proofErr w:type="spellStart"/>
      <w:r w:rsidR="005D4D4D" w:rsidRPr="00D1125E">
        <w:rPr>
          <w:rStyle w:val="Heading3Char"/>
          <w:rFonts w:eastAsiaTheme="majorEastAsia"/>
        </w:rPr>
        <w:t>izvērtējums</w:t>
      </w:r>
      <w:bookmarkEnd w:id="21"/>
      <w:proofErr w:type="spellEnd"/>
      <w:r w:rsidR="00606C22" w:rsidRPr="00A91EE6">
        <w:rPr>
          <w:rStyle w:val="Heading4Char"/>
          <w:rFonts w:ascii="Times New Roman" w:hAnsi="Times New Roman" w:cs="Times New Roman"/>
          <w:b/>
          <w:color w:val="000000" w:themeColor="text1"/>
          <w:u w:val="single"/>
        </w:rPr>
        <w:t>.</w:t>
      </w:r>
      <w:r w:rsidR="00A83439">
        <w:rPr>
          <w:b/>
        </w:rPr>
        <w:tab/>
      </w:r>
      <w:r w:rsidR="00A83439">
        <w:rPr>
          <w:b/>
        </w:rPr>
        <w:tab/>
      </w:r>
    </w:p>
    <w:p w:rsidR="002E1F91" w:rsidRDefault="00B31DCF" w:rsidP="002E1F91">
      <w:pPr>
        <w:pStyle w:val="NoSpacing"/>
        <w:ind w:firstLine="426"/>
        <w:jc w:val="both"/>
      </w:pPr>
      <w:r w:rsidRPr="002E5B1E">
        <w:rPr>
          <w:rFonts w:cs="Times New Roman"/>
        </w:rPr>
        <w:t xml:space="preserve">Izvērtējot </w:t>
      </w:r>
      <w:proofErr w:type="spellStart"/>
      <w:r w:rsidRPr="002E5B1E">
        <w:rPr>
          <w:rFonts w:cs="Times New Roman"/>
        </w:rPr>
        <w:t>CSNg</w:t>
      </w:r>
      <w:proofErr w:type="spellEnd"/>
      <w:r w:rsidRPr="002E5B1E">
        <w:rPr>
          <w:rFonts w:cs="Times New Roman"/>
        </w:rPr>
        <w:t xml:space="preserve"> statistiku, </w:t>
      </w:r>
      <w:r w:rsidR="0094068C">
        <w:rPr>
          <w:rFonts w:cs="Times New Roman"/>
        </w:rPr>
        <w:t>jāņem</w:t>
      </w:r>
      <w:r w:rsidRPr="002E5B1E">
        <w:rPr>
          <w:rFonts w:cs="Times New Roman"/>
        </w:rPr>
        <w:t xml:space="preserve"> vērā, ka no 1985.gada līdz 2003.gadam</w:t>
      </w:r>
      <w:r w:rsidR="00250C9E" w:rsidRPr="002E5B1E">
        <w:rPr>
          <w:rFonts w:cs="Times New Roman"/>
        </w:rPr>
        <w:t xml:space="preserve"> Latvijā par bojāgājušajiem </w:t>
      </w:r>
      <w:proofErr w:type="spellStart"/>
      <w:r w:rsidR="00250C9E" w:rsidRPr="002E5B1E">
        <w:rPr>
          <w:rFonts w:cs="Times New Roman"/>
        </w:rPr>
        <w:t>CSNg</w:t>
      </w:r>
      <w:proofErr w:type="spellEnd"/>
      <w:r w:rsidR="00250C9E" w:rsidRPr="002E5B1E">
        <w:rPr>
          <w:rFonts w:cs="Times New Roman"/>
        </w:rPr>
        <w:t xml:space="preserve"> uzskata tos, kuri miruši</w:t>
      </w:r>
      <w:r w:rsidR="00250C9E" w:rsidRPr="00250C9E">
        <w:t xml:space="preserve"> </w:t>
      </w:r>
      <w:r w:rsidR="00250C9E">
        <w:t xml:space="preserve">negadījuma vietā </w:t>
      </w:r>
      <w:r w:rsidR="00250C9E" w:rsidRPr="00250C9E">
        <w:t xml:space="preserve">vai 7 dienu laikā pēc negadījuma, bet citās valstīs - 30 </w:t>
      </w:r>
      <w:r w:rsidR="003222B4">
        <w:t xml:space="preserve">dienu laikā. </w:t>
      </w:r>
      <w:r w:rsidR="00250C9E" w:rsidRPr="00250C9E">
        <w:t xml:space="preserve">Lai Latviju pēc </w:t>
      </w:r>
      <w:proofErr w:type="spellStart"/>
      <w:r w:rsidR="00250C9E" w:rsidRPr="00250C9E">
        <w:t>CSNg</w:t>
      </w:r>
      <w:proofErr w:type="spellEnd"/>
      <w:r w:rsidR="00250C9E" w:rsidRPr="00250C9E">
        <w:t xml:space="preserve"> salīdzinātu ar citām valstīm, </w:t>
      </w:r>
      <w:r w:rsidR="009A05FB">
        <w:t xml:space="preserve">šobrīd </w:t>
      </w:r>
      <w:r w:rsidR="00250C9E" w:rsidRPr="00250C9E">
        <w:t>izmanto starptautiski atzī</w:t>
      </w:r>
      <w:r w:rsidR="00250C9E">
        <w:t xml:space="preserve">tu koeficientu </w:t>
      </w:r>
      <w:r w:rsidR="009A05FB">
        <w:t xml:space="preserve">– </w:t>
      </w:r>
      <w:r w:rsidR="00250C9E">
        <w:t>no</w:t>
      </w:r>
      <w:r w:rsidR="009A05FB">
        <w:t xml:space="preserve"> iepriekš izmantotā</w:t>
      </w:r>
      <w:r w:rsidR="00250C9E">
        <w:t xml:space="preserve"> 7 dienu</w:t>
      </w:r>
      <w:r>
        <w:t xml:space="preserve"> </w:t>
      </w:r>
      <w:r w:rsidR="00250C9E" w:rsidRPr="00250C9E">
        <w:t>peri</w:t>
      </w:r>
      <w:r w:rsidR="009A05FB">
        <w:t>oda pārejot uz 30 dienu periodu.</w:t>
      </w:r>
      <w:r>
        <w:t xml:space="preserve"> </w:t>
      </w:r>
      <w:r w:rsidR="009A05FB">
        <w:t>Precizējot iepriekš minēto, n</w:t>
      </w:r>
      <w:r>
        <w:t>o 2004. gada</w:t>
      </w:r>
      <w:r w:rsidR="00250C9E" w:rsidRPr="00250C9E">
        <w:t xml:space="preserve"> Latvijā par bojāgājušajiem </w:t>
      </w:r>
      <w:proofErr w:type="spellStart"/>
      <w:r w:rsidR="00250C9E" w:rsidRPr="00250C9E">
        <w:t>CSNg</w:t>
      </w:r>
      <w:proofErr w:type="spellEnd"/>
      <w:r w:rsidR="00250C9E" w:rsidRPr="00250C9E">
        <w:t xml:space="preserve"> uzskata tos, kuri miru</w:t>
      </w:r>
      <w:r w:rsidR="00250C9E">
        <w:t>ši negadījuma vietā vai 30 dienu laikā p</w:t>
      </w:r>
      <w:r>
        <w:t>ēc negadījuma, savukārt</w:t>
      </w:r>
      <w:r w:rsidR="00250C9E">
        <w:t xml:space="preserve"> </w:t>
      </w:r>
      <w:r>
        <w:t>no 2004.gada</w:t>
      </w:r>
      <w:r w:rsidR="00250C9E" w:rsidRPr="00250C9E">
        <w:t xml:space="preserve"> Latvijā par smagi ievainotiem uzskata tos, kuri hospitalizēti ilgāk par 24 stundām.</w:t>
      </w:r>
      <w:r>
        <w:t xml:space="preserve"> </w:t>
      </w:r>
      <w:r w:rsidR="002E1F91">
        <w:t xml:space="preserve">Tāpat jānorāda, ka plānā norādītajā </w:t>
      </w:r>
      <w:proofErr w:type="spellStart"/>
      <w:r w:rsidR="002E1F91">
        <w:t>CSNg</w:t>
      </w:r>
      <w:proofErr w:type="spellEnd"/>
      <w:r w:rsidR="002E1F91">
        <w:t xml:space="preserve"> statistikā par bērnu tiek uzskatīts ceļu satiksmes dalībnieks, kura vecums ir līdz pilniem 15 gadiem. Atbilstoši starptautiski pieņemtajai praksei un standartiem par ceļu satiksmes negadījumu statistiku ceļu satiksmes negadījumu statistika pēc vecuma tiek  iedalīta sekojoši:</w:t>
      </w:r>
    </w:p>
    <w:p w:rsidR="002E1F91" w:rsidRDefault="002E1F91" w:rsidP="002E1F91">
      <w:pPr>
        <w:pStyle w:val="NoSpacing"/>
        <w:ind w:firstLine="426"/>
        <w:jc w:val="both"/>
      </w:pPr>
      <w:r>
        <w:t>•</w:t>
      </w:r>
      <w:r>
        <w:tab/>
        <w:t>Bērns – persona vecumā līdz 15 pilniem gadiem;</w:t>
      </w:r>
    </w:p>
    <w:p w:rsidR="00250C9E" w:rsidRPr="00CB4638" w:rsidRDefault="002E1F91" w:rsidP="002E1F91">
      <w:pPr>
        <w:pStyle w:val="NoSpacing"/>
        <w:ind w:firstLine="426"/>
        <w:jc w:val="both"/>
        <w:rPr>
          <w:rFonts w:asciiTheme="minorHAnsi" w:hAnsiTheme="minorHAnsi"/>
          <w:i/>
        </w:rPr>
      </w:pPr>
      <w:r>
        <w:t>•</w:t>
      </w:r>
      <w:r>
        <w:tab/>
        <w:t>Pusaudzis – persona vecumā no 15 līdz 17 pilniem gadiem.</w:t>
      </w:r>
    </w:p>
    <w:p w:rsidR="00520E97" w:rsidRDefault="00520E97" w:rsidP="00A70D56">
      <w:pPr>
        <w:pStyle w:val="NoSpacing"/>
        <w:ind w:firstLine="426"/>
        <w:jc w:val="both"/>
      </w:pPr>
      <w:r w:rsidRPr="00C96CF2">
        <w:rPr>
          <w:b/>
        </w:rPr>
        <w:t>Par smagu ceļu satiksmes negadījumu</w:t>
      </w:r>
      <w:r>
        <w:t xml:space="preserve"> tiek uzskatīts </w:t>
      </w:r>
      <w:proofErr w:type="spellStart"/>
      <w:r>
        <w:t>CSNg</w:t>
      </w:r>
      <w:proofErr w:type="spellEnd"/>
      <w:r>
        <w:t>, kuros ir vismaz viens cietu</w:t>
      </w:r>
      <w:r w:rsidR="007210FD">
        <w:t xml:space="preserve">šais. </w:t>
      </w:r>
    </w:p>
    <w:p w:rsidR="007210FD" w:rsidRDefault="007210FD" w:rsidP="00A70D56">
      <w:pPr>
        <w:pStyle w:val="NoSpacing"/>
        <w:ind w:firstLine="426"/>
        <w:jc w:val="both"/>
      </w:pPr>
      <w:r w:rsidRPr="00C96CF2">
        <w:rPr>
          <w:b/>
        </w:rPr>
        <w:t>Par</w:t>
      </w:r>
      <w:r>
        <w:t xml:space="preserve"> </w:t>
      </w:r>
      <w:r w:rsidRPr="00C96CF2">
        <w:rPr>
          <w:b/>
        </w:rPr>
        <w:t>cietušo</w:t>
      </w:r>
      <w:r>
        <w:t xml:space="preserve"> tiek uzskatīta persona, kura </w:t>
      </w:r>
      <w:proofErr w:type="spellStart"/>
      <w:r>
        <w:t>CSNg</w:t>
      </w:r>
      <w:proofErr w:type="spellEnd"/>
      <w:r>
        <w:t xml:space="preserve"> rezultātā ir gājusi bojā vai ievainota (ir sniegta medicīniskā palīdzība).</w:t>
      </w:r>
    </w:p>
    <w:p w:rsidR="00250C9E" w:rsidRDefault="00B31DCF" w:rsidP="00A70D56">
      <w:pPr>
        <w:pStyle w:val="NoSpacing"/>
        <w:ind w:firstLine="426"/>
        <w:jc w:val="both"/>
      </w:pPr>
      <w:r w:rsidRPr="00C96CF2">
        <w:rPr>
          <w:b/>
        </w:rPr>
        <w:t xml:space="preserve">Par </w:t>
      </w:r>
      <w:r w:rsidR="005A6F6A">
        <w:rPr>
          <w:b/>
        </w:rPr>
        <w:t>TL</w:t>
      </w:r>
      <w:r w:rsidR="005A6F6A" w:rsidRPr="00C96CF2">
        <w:rPr>
          <w:b/>
        </w:rPr>
        <w:t xml:space="preserve"> </w:t>
      </w:r>
      <w:r w:rsidRPr="00C96CF2">
        <w:rPr>
          <w:b/>
        </w:rPr>
        <w:t>v</w:t>
      </w:r>
      <w:r w:rsidR="00250C9E" w:rsidRPr="00C96CF2">
        <w:rPr>
          <w:b/>
        </w:rPr>
        <w:t>adī</w:t>
      </w:r>
      <w:r w:rsidRPr="00C96CF2">
        <w:rPr>
          <w:b/>
        </w:rPr>
        <w:t>tāju</w:t>
      </w:r>
      <w:r>
        <w:t xml:space="preserve"> tiek uzskatīta</w:t>
      </w:r>
      <w:r w:rsidR="00250C9E" w:rsidRPr="00250C9E">
        <w:t xml:space="preserve"> persona, kura vada mehānisko </w:t>
      </w:r>
      <w:r w:rsidR="005A6F6A" w:rsidRPr="005A6F6A">
        <w:t>TL</w:t>
      </w:r>
      <w:r>
        <w:t>, bet n</w:t>
      </w:r>
      <w:r w:rsidR="00250C9E" w:rsidRPr="00250C9E">
        <w:t>o vadītājiem atsevišķi izdala velosipēdistu, mopēdistu, m</w:t>
      </w:r>
      <w:r w:rsidR="00250C9E">
        <w:t>otocik</w:t>
      </w:r>
      <w:r>
        <w:t xml:space="preserve">listu un </w:t>
      </w:r>
      <w:proofErr w:type="spellStart"/>
      <w:r>
        <w:t>kvadriciklistu</w:t>
      </w:r>
      <w:proofErr w:type="spellEnd"/>
      <w:r>
        <w:t>.</w:t>
      </w:r>
      <w:r w:rsidR="00250C9E">
        <w:tab/>
      </w:r>
    </w:p>
    <w:p w:rsidR="00B31DCF" w:rsidRDefault="00250C9E" w:rsidP="00A70D56">
      <w:pPr>
        <w:pStyle w:val="NoSpacing"/>
        <w:ind w:firstLine="426"/>
        <w:jc w:val="both"/>
      </w:pPr>
      <w:r w:rsidRPr="00C96CF2">
        <w:rPr>
          <w:b/>
        </w:rPr>
        <w:t>B kategorijas</w:t>
      </w:r>
      <w:r w:rsidR="00B31DCF" w:rsidRPr="00C96CF2">
        <w:rPr>
          <w:b/>
        </w:rPr>
        <w:t xml:space="preserve"> </w:t>
      </w:r>
      <w:r w:rsidR="005A6F6A" w:rsidRPr="005A6F6A">
        <w:rPr>
          <w:b/>
        </w:rPr>
        <w:t xml:space="preserve">TL </w:t>
      </w:r>
      <w:r w:rsidRPr="00C96CF2">
        <w:rPr>
          <w:b/>
        </w:rPr>
        <w:t>vadītājs</w:t>
      </w:r>
      <w:r w:rsidR="00B31DCF">
        <w:t xml:space="preserve"> ir persona, kura</w:t>
      </w:r>
      <w:r w:rsidRPr="00250C9E">
        <w:t xml:space="preserve"> vada mehānisko </w:t>
      </w:r>
      <w:r w:rsidR="005A6F6A" w:rsidRPr="005A6F6A">
        <w:t>TL</w:t>
      </w:r>
      <w:r w:rsidRPr="00250C9E">
        <w:t>, kur</w:t>
      </w:r>
      <w:r>
        <w:t>a pilna masa nepārsniedz 3500</w:t>
      </w:r>
      <w:r w:rsidR="00B31DCF">
        <w:t xml:space="preserve"> kg</w:t>
      </w:r>
      <w:r>
        <w:t xml:space="preserve"> </w:t>
      </w:r>
      <w:r w:rsidRPr="00250C9E">
        <w:t>un sēdvietu skaits, neskaitot vadītāja v</w:t>
      </w:r>
      <w:r>
        <w:t>ietu,</w:t>
      </w:r>
      <w:r w:rsidR="00B31DCF">
        <w:t xml:space="preserve"> nepārsniedz 8 vietas.</w:t>
      </w:r>
    </w:p>
    <w:p w:rsidR="00250C9E" w:rsidRDefault="00B31DCF" w:rsidP="00A70D56">
      <w:pPr>
        <w:pStyle w:val="NoSpacing"/>
        <w:ind w:firstLine="426"/>
        <w:jc w:val="both"/>
      </w:pPr>
      <w:r w:rsidRPr="00C96CF2">
        <w:rPr>
          <w:b/>
        </w:rPr>
        <w:t xml:space="preserve">Pie </w:t>
      </w:r>
      <w:proofErr w:type="spellStart"/>
      <w:r w:rsidRPr="00C96CF2">
        <w:rPr>
          <w:b/>
        </w:rPr>
        <w:t>m</w:t>
      </w:r>
      <w:r w:rsidR="00250C9E" w:rsidRPr="00C96CF2">
        <w:rPr>
          <w:b/>
        </w:rPr>
        <w:t>azaiz</w:t>
      </w:r>
      <w:r w:rsidRPr="00C96CF2">
        <w:rPr>
          <w:b/>
        </w:rPr>
        <w:t>sargātajiem</w:t>
      </w:r>
      <w:proofErr w:type="spellEnd"/>
      <w:r>
        <w:t xml:space="preserve"> </w:t>
      </w:r>
      <w:r w:rsidRPr="000B0A01">
        <w:rPr>
          <w:b/>
        </w:rPr>
        <w:t>ceļu satiksmes dalībniekiem</w:t>
      </w:r>
      <w:r>
        <w:t xml:space="preserve"> tiek pieskaitīti - </w:t>
      </w:r>
      <w:r w:rsidR="00250C9E" w:rsidRPr="00250C9E">
        <w:t xml:space="preserve"> gājējs, velosipēda vadītājs un tā </w:t>
      </w:r>
      <w:r w:rsidR="00250C9E">
        <w:t>pasažieri, mopēda vadītāj</w:t>
      </w:r>
      <w:r>
        <w:t xml:space="preserve">s </w:t>
      </w:r>
      <w:r w:rsidR="00250C9E" w:rsidRPr="00250C9E">
        <w:t>un tā pasažieri, motocikla vadītājs un tā pasažieri, kvadric</w:t>
      </w:r>
      <w:r w:rsidR="00250C9E">
        <w:t>ikla vadītājs un tā pasažieri.</w:t>
      </w:r>
      <w:r w:rsidR="00250C9E">
        <w:tab/>
      </w:r>
    </w:p>
    <w:p w:rsidR="00EA1596" w:rsidRDefault="00EA1596" w:rsidP="00A70D56">
      <w:pPr>
        <w:pStyle w:val="NoSpacing"/>
        <w:ind w:firstLine="426"/>
        <w:jc w:val="both"/>
      </w:pPr>
      <w:r>
        <w:t xml:space="preserve">Saistībā ar </w:t>
      </w:r>
      <w:proofErr w:type="spellStart"/>
      <w:r w:rsidR="000B0A01">
        <w:t>CSNg</w:t>
      </w:r>
      <w:proofErr w:type="spellEnd"/>
      <w:r>
        <w:t xml:space="preserve"> statistiku ir v</w:t>
      </w:r>
      <w:r w:rsidR="00B31DCF">
        <w:t xml:space="preserve">ērts pieminēt, ka </w:t>
      </w:r>
      <w:r>
        <w:t>CSN 40. pants</w:t>
      </w:r>
      <w:r w:rsidR="00B31DCF">
        <w:t xml:space="preserve"> (</w:t>
      </w:r>
      <w:r>
        <w:t xml:space="preserve">2015.gada 2.jūnija noteikumi Nr.279) nosaka: ja ceļu satiksmes negadījumā nav cietuši cilvēki, nav nodarīti bojājumi trešās personas mantai, kā arī </w:t>
      </w:r>
      <w:r w:rsidR="005A6F6A" w:rsidRPr="005A6F6A">
        <w:t xml:space="preserve">TL </w:t>
      </w:r>
      <w:r>
        <w:t xml:space="preserve">nav radušies bojājumi, kuru dēļ tie nevar vai tiem aizliegts braukt, </w:t>
      </w:r>
      <w:r w:rsidR="005A6F6A" w:rsidRPr="005A6F6A">
        <w:t xml:space="preserve">TL </w:t>
      </w:r>
      <w:r>
        <w:t>vadītājs:</w:t>
      </w:r>
    </w:p>
    <w:p w:rsidR="00EA1596" w:rsidRDefault="00EA1596" w:rsidP="00A70D56">
      <w:pPr>
        <w:pStyle w:val="NoSpacing"/>
        <w:ind w:firstLine="426"/>
        <w:jc w:val="both"/>
      </w:pPr>
      <w:r>
        <w:t>- nekavējoties apstājas un paliek negadījuma vietā, iededz avārijas gaismas signalizāciju un uzstāda avārijas zīmi, bet, ja tas nav iespējams, citādā veidā brīdina pārējos ceļu satiksmes dalībniekus par ceļu satiksmes negadījumu;</w:t>
      </w:r>
    </w:p>
    <w:p w:rsidR="002570DD" w:rsidRDefault="00EA1596" w:rsidP="00127D28">
      <w:pPr>
        <w:pStyle w:val="NoSpacing"/>
        <w:ind w:firstLine="426"/>
        <w:jc w:val="both"/>
      </w:pPr>
      <w:r>
        <w:t xml:space="preserve">- vienojas ar otra ceļu satiksmes negadījumā iesaistītā </w:t>
      </w:r>
      <w:r w:rsidR="005A6F6A" w:rsidRPr="005A6F6A">
        <w:t>TL</w:t>
      </w:r>
      <w:r>
        <w:t xml:space="preserve"> vadītāju par visiem būtiskajiem negadījuma apstākļiem, </w:t>
      </w:r>
      <w:r w:rsidRPr="0032006C">
        <w:t>aizpilda saskaņoto paziņojumu un, neziņojot policijai par nega</w:t>
      </w:r>
      <w:r w:rsidR="002570DD">
        <w:t>dījumu, atstāj negadījuma vietu.</w:t>
      </w:r>
    </w:p>
    <w:p w:rsidR="00233DD0" w:rsidRDefault="00233DD0" w:rsidP="00233DD0">
      <w:pPr>
        <w:pStyle w:val="NoSpacing"/>
        <w:ind w:firstLine="426"/>
        <w:jc w:val="both"/>
      </w:pPr>
      <w:r>
        <w:t xml:space="preserve">Statistika liecina, ka pēdējo </w:t>
      </w:r>
      <w:r w:rsidRPr="000A7320">
        <w:t>15 gadu laikā ceļu satiksmes drošības situācija</w:t>
      </w:r>
      <w:r>
        <w:t xml:space="preserve"> Latvijā ir būtiski uzlabojusies, pat ņemot vērā, ka ir ievērojami pieaudzis </w:t>
      </w:r>
      <w:r w:rsidRPr="005A6F6A">
        <w:t>TL</w:t>
      </w:r>
      <w:r>
        <w:t xml:space="preserve"> un autovadītāju skaits – </w:t>
      </w:r>
      <w:r w:rsidRPr="002E5B1E">
        <w:rPr>
          <w:color w:val="000000" w:themeColor="text1"/>
        </w:rPr>
        <w:t xml:space="preserve">skat. </w:t>
      </w:r>
      <w:r>
        <w:rPr>
          <w:color w:val="000000" w:themeColor="text1"/>
        </w:rPr>
        <w:t>1</w:t>
      </w:r>
      <w:r w:rsidRPr="002E5B1E">
        <w:rPr>
          <w:color w:val="000000" w:themeColor="text1"/>
        </w:rPr>
        <w:t>.</w:t>
      </w:r>
      <w:r>
        <w:rPr>
          <w:color w:val="000000" w:themeColor="text1"/>
        </w:rPr>
        <w:t xml:space="preserve">attēlu. </w:t>
      </w:r>
      <w:r>
        <w:t xml:space="preserve">Tomēr ir jāņem vērā arī fakts, ka, lai arī </w:t>
      </w:r>
      <w:r w:rsidRPr="000A7320">
        <w:t>bojāgājušo skaita samazi</w:t>
      </w:r>
      <w:r>
        <w:t>nājums ir viens no labākajiem ES, b</w:t>
      </w:r>
      <w:r w:rsidRPr="000A7320">
        <w:t>ojāgājušo skai</w:t>
      </w:r>
      <w:r>
        <w:t>ts uz miljons iedzīvotājiem 2015</w:t>
      </w:r>
      <w:r w:rsidRPr="000A7320">
        <w:t xml:space="preserve">. gadā ir </w:t>
      </w:r>
      <w:r>
        <w:t>viens no augstākajiem</w:t>
      </w:r>
      <w:r w:rsidRPr="000A7320">
        <w:t xml:space="preserve"> </w:t>
      </w:r>
      <w:r w:rsidRPr="00B4087E">
        <w:t>ES</w:t>
      </w:r>
      <w:r>
        <w:t xml:space="preserve">. Tas ir </w:t>
      </w:r>
      <w:r w:rsidRPr="002B7DC5">
        <w:t>(106</w:t>
      </w:r>
      <w:r>
        <w:t xml:space="preserve"> bojāgājušie</w:t>
      </w:r>
      <w:r w:rsidRPr="002B7DC5">
        <w:t xml:space="preserve"> – 2014.gadā</w:t>
      </w:r>
      <w:r>
        <w:t>, 94 – 2015.gadā)</w:t>
      </w:r>
      <w:r w:rsidRPr="002B7DC5">
        <w:t xml:space="preserve"> apmēram divas reizes augstāks nekā </w:t>
      </w:r>
      <w:r w:rsidRPr="00B4087E">
        <w:t>ES</w:t>
      </w:r>
      <w:r>
        <w:t xml:space="preserve"> </w:t>
      </w:r>
      <w:r w:rsidRPr="002B7DC5">
        <w:t xml:space="preserve">vidējais </w:t>
      </w:r>
      <w:r>
        <w:t xml:space="preserve">rādītājs </w:t>
      </w:r>
      <w:r w:rsidRPr="002B7DC5">
        <w:t>(</w:t>
      </w:r>
      <w:r>
        <w:t xml:space="preserve">vidēji </w:t>
      </w:r>
      <w:r w:rsidRPr="002B7DC5">
        <w:t xml:space="preserve">51 </w:t>
      </w:r>
      <w:r>
        <w:t xml:space="preserve">bojāgājušais </w:t>
      </w:r>
      <w:r w:rsidRPr="002B7DC5">
        <w:t>– 2014.</w:t>
      </w:r>
      <w:r>
        <w:t xml:space="preserve"> un 2015.</w:t>
      </w:r>
      <w:r w:rsidRPr="002B7DC5">
        <w:t>gadā).</w:t>
      </w:r>
      <w:r w:rsidR="0094068C">
        <w:t xml:space="preserve"> Vienlaikus</w:t>
      </w:r>
      <w:r>
        <w:t xml:space="preserve"> pēdējo 5 gadu statistikā redzams, ka bojāgājušo skaits un cietušo skaits samazinās nepietiekošā apjomā. Jāņem vērā, ka noteikto mērķu sasniegšanai par bojāgājušo</w:t>
      </w:r>
      <w:r w:rsidR="00E327CE">
        <w:t xml:space="preserve"> un cietušo skaita samazinājumu</w:t>
      </w:r>
      <w:r>
        <w:t xml:space="preserve"> </w:t>
      </w:r>
      <w:r w:rsidRPr="00004B44">
        <w:t xml:space="preserve"> ir </w:t>
      </w:r>
      <w:r>
        <w:t>jāveic izpēti par visefektīvākajiem pasākumiem, kuri būtu jāveic.</w:t>
      </w:r>
    </w:p>
    <w:p w:rsidR="00233DD0" w:rsidRPr="00FA7264" w:rsidRDefault="00233DD0" w:rsidP="00233DD0">
      <w:pPr>
        <w:pStyle w:val="NoSpacing"/>
        <w:ind w:firstLine="426"/>
        <w:jc w:val="both"/>
      </w:pPr>
      <w:r>
        <w:t xml:space="preserve">Jānorāda, ka daļēji bojāgājušo skaita un </w:t>
      </w:r>
      <w:proofErr w:type="spellStart"/>
      <w:r>
        <w:t>CSNg</w:t>
      </w:r>
      <w:proofErr w:type="spellEnd"/>
      <w:r>
        <w:t xml:space="preserve"> samazinājums 2009. un 2010.gadā ir izskaidrojams ar TL skaita samazinājumu ekonomiskās krīzes laikā, tomēr  tas ir</w:t>
      </w:r>
      <w:r w:rsidR="00E327CE">
        <w:t xml:space="preserve"> tikai viens no iemesliem. Vienlaikus</w:t>
      </w:r>
      <w:r>
        <w:t xml:space="preserve"> šajā laika posmā parādījās arī pirmie </w:t>
      </w:r>
      <w:proofErr w:type="spellStart"/>
      <w:r>
        <w:t>fotoradari</w:t>
      </w:r>
      <w:proofErr w:type="spellEnd"/>
      <w:r>
        <w:t>, kas nodrošināja ievērojamu vidējā kustības ātruma samazinājumu uz valsts ceļiem, tādejādi paaugstinot satiksmes drošību.</w:t>
      </w:r>
    </w:p>
    <w:p w:rsidR="00233DD0" w:rsidRPr="00233DD0" w:rsidRDefault="00233DD0" w:rsidP="00233DD0">
      <w:pPr>
        <w:spacing w:after="120"/>
        <w:ind w:firstLine="426"/>
        <w:jc w:val="both"/>
        <w:rPr>
          <w:rFonts w:eastAsia="Times New Roman" w:cs="Times New Roman"/>
          <w:lang w:eastAsia="lv-LV"/>
        </w:rPr>
      </w:pPr>
      <w:r>
        <w:rPr>
          <w:rFonts w:eastAsia="Times New Roman" w:cs="Times New Roman"/>
          <w:lang w:eastAsia="lv-LV"/>
        </w:rPr>
        <w:t xml:space="preserve">Aplūkojot statistiku par iepriekšējo periodu, </w:t>
      </w:r>
      <w:r w:rsidRPr="00FF415F">
        <w:rPr>
          <w:rFonts w:eastAsia="Times New Roman" w:cs="Times New Roman"/>
          <w:lang w:eastAsia="lv-LV"/>
        </w:rPr>
        <w:t xml:space="preserve">Latvija no 2001. gada līdz 2010. gadam veikusi nozīmīgu darbu ceļu satiksmes drošības uzlabošanas jomā, panākot bojāgājušo skaita samazinājumu par 60,9%, tādējādi sasniedzot ES izvirzīto ambiciozo mērķi – līdz 2010. gadam par 50% samazināt bojāgājušo skaitu. Bojāgājušo skaits arī 2011.gadā samazinājās </w:t>
      </w:r>
      <w:r>
        <w:rPr>
          <w:rFonts w:eastAsia="Times New Roman" w:cs="Times New Roman"/>
          <w:lang w:eastAsia="lv-LV"/>
        </w:rPr>
        <w:t>– par 24,6%, salīdzinot ar 2010.gadu.</w:t>
      </w:r>
      <w:r w:rsidRPr="00FF415F">
        <w:rPr>
          <w:rFonts w:eastAsia="Times New Roman" w:cs="Times New Roman"/>
          <w:lang w:eastAsia="lv-LV"/>
        </w:rPr>
        <w:t xml:space="preserve"> </w:t>
      </w:r>
    </w:p>
    <w:p w:rsidR="00233DD0" w:rsidRDefault="00233DD0" w:rsidP="00127D28">
      <w:pPr>
        <w:pStyle w:val="NoSpacing"/>
        <w:ind w:firstLine="426"/>
        <w:jc w:val="both"/>
      </w:pPr>
    </w:p>
    <w:p w:rsidR="00233DD0" w:rsidRDefault="00233DD0" w:rsidP="00233DD0">
      <w:pPr>
        <w:pStyle w:val="NoSpacing"/>
        <w:jc w:val="both"/>
      </w:pPr>
    </w:p>
    <w:p w:rsidR="00EA1596" w:rsidRDefault="00233DD0" w:rsidP="00A70D56">
      <w:pPr>
        <w:pStyle w:val="NoSpacing"/>
        <w:ind w:firstLine="426"/>
        <w:jc w:val="both"/>
      </w:pPr>
      <w:r w:rsidRPr="002A03FA">
        <w:rPr>
          <w:rFonts w:ascii="Arial" w:eastAsia="Times New Roman" w:hAnsi="Arial" w:cs="Arial"/>
          <w:noProof/>
          <w:sz w:val="20"/>
          <w:szCs w:val="20"/>
          <w:lang w:eastAsia="lv-LV"/>
        </w:rPr>
        <w:lastRenderedPageBreak/>
        <w:drawing>
          <wp:anchor distT="0" distB="0" distL="114300" distR="114300" simplePos="0" relativeHeight="251656192" behindDoc="0" locked="0" layoutInCell="1" allowOverlap="1" wp14:anchorId="251F400E" wp14:editId="3D56B6ED">
            <wp:simplePos x="0" y="0"/>
            <wp:positionH relativeFrom="column">
              <wp:posOffset>902970</wp:posOffset>
            </wp:positionH>
            <wp:positionV relativeFrom="paragraph">
              <wp:posOffset>80010</wp:posOffset>
            </wp:positionV>
            <wp:extent cx="5057775" cy="3219450"/>
            <wp:effectExtent l="0" t="0" r="0" b="0"/>
            <wp:wrapNone/>
            <wp:docPr id="1026" name="Chart 10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50C9E">
        <w:tab/>
      </w:r>
      <w:r w:rsidR="00250C9E">
        <w:tab/>
      </w:r>
      <w:r w:rsidR="00250C9E">
        <w:tab/>
      </w:r>
      <w:r w:rsidR="00250C9E">
        <w:tab/>
      </w:r>
      <w:r w:rsidR="00250C9E">
        <w:tab/>
      </w:r>
      <w:r w:rsidR="00250C9E">
        <w:tab/>
      </w:r>
      <w:r w:rsidR="00250C9E">
        <w:tab/>
      </w:r>
      <w:r w:rsidR="00250C9E">
        <w:tab/>
      </w:r>
      <w:r w:rsidR="00250C9E">
        <w:tab/>
      </w:r>
    </w:p>
    <w:p w:rsidR="002A03FA" w:rsidRDefault="00250C9E" w:rsidP="00A70D56">
      <w:pPr>
        <w:pStyle w:val="NoSpacing"/>
        <w:ind w:firstLine="426"/>
        <w:jc w:val="both"/>
      </w:pPr>
      <w:r>
        <w:tab/>
      </w:r>
    </w:p>
    <w:tbl>
      <w:tblPr>
        <w:tblW w:w="10300" w:type="dxa"/>
        <w:tblLook w:val="04A0" w:firstRow="1" w:lastRow="0" w:firstColumn="1" w:lastColumn="0" w:noHBand="0" w:noVBand="1"/>
      </w:tblPr>
      <w:tblGrid>
        <w:gridCol w:w="7420"/>
        <w:gridCol w:w="480"/>
        <w:gridCol w:w="480"/>
        <w:gridCol w:w="643"/>
        <w:gridCol w:w="480"/>
        <w:gridCol w:w="480"/>
        <w:gridCol w:w="480"/>
      </w:tblGrid>
      <w:tr w:rsidR="002A03FA" w:rsidRPr="002A03FA" w:rsidTr="002A03FA">
        <w:trPr>
          <w:trHeight w:val="240"/>
        </w:trPr>
        <w:tc>
          <w:tcPr>
            <w:tcW w:w="10300" w:type="dxa"/>
            <w:gridSpan w:val="7"/>
            <w:tcBorders>
              <w:top w:val="nil"/>
              <w:left w:val="nil"/>
              <w:bottom w:val="nil"/>
              <w:right w:val="nil"/>
            </w:tcBorders>
            <w:shd w:val="clear" w:color="auto" w:fill="auto"/>
            <w:noWrap/>
            <w:vAlign w:val="bottom"/>
            <w:hideMark/>
          </w:tcPr>
          <w:p w:rsidR="002A03FA" w:rsidRPr="002A03FA" w:rsidRDefault="002A03FA" w:rsidP="00A70D56">
            <w:pPr>
              <w:ind w:firstLine="426"/>
              <w:jc w:val="center"/>
              <w:rPr>
                <w:rFonts w:eastAsia="Times New Roman" w:cs="Times New Roman"/>
                <w:b/>
                <w:bCs/>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ascii="Arial" w:eastAsia="Times New Roman" w:hAnsi="Arial" w:cs="Arial"/>
                <w:sz w:val="20"/>
                <w:szCs w:val="20"/>
                <w:lang w:eastAsia="lv-LV"/>
              </w:rPr>
            </w:pPr>
          </w:p>
          <w:tbl>
            <w:tblPr>
              <w:tblW w:w="0" w:type="auto"/>
              <w:tblCellSpacing w:w="0" w:type="dxa"/>
              <w:tblCellMar>
                <w:left w:w="0" w:type="dxa"/>
                <w:right w:w="0" w:type="dxa"/>
              </w:tblCellMar>
              <w:tblLook w:val="04A0" w:firstRow="1" w:lastRow="0" w:firstColumn="1" w:lastColumn="0" w:noHBand="0" w:noVBand="1"/>
            </w:tblPr>
            <w:tblGrid>
              <w:gridCol w:w="1060"/>
            </w:tblGrid>
            <w:tr w:rsidR="002A03FA" w:rsidRPr="002A03FA">
              <w:trPr>
                <w:trHeight w:val="240"/>
                <w:tblCellSpacing w:w="0" w:type="dxa"/>
              </w:trPr>
              <w:tc>
                <w:tcPr>
                  <w:tcW w:w="106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ascii="Arial" w:eastAsia="Times New Roman" w:hAnsi="Arial" w:cs="Arial"/>
                      <w:sz w:val="20"/>
                      <w:szCs w:val="20"/>
                      <w:lang w:eastAsia="lv-LV"/>
                    </w:rPr>
                  </w:pPr>
                </w:p>
              </w:tc>
            </w:tr>
          </w:tbl>
          <w:p w:rsidR="002A03FA" w:rsidRPr="002A03FA" w:rsidRDefault="002A03FA" w:rsidP="00A70D56">
            <w:pPr>
              <w:ind w:firstLine="426"/>
              <w:rPr>
                <w:rFonts w:ascii="Arial" w:eastAsia="Times New Roman" w:hAnsi="Arial" w:cs="Arial"/>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24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165"/>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r w:rsidR="002A03FA" w:rsidRPr="002A03FA" w:rsidTr="002A03FA">
        <w:trPr>
          <w:trHeight w:val="180"/>
        </w:trPr>
        <w:tc>
          <w:tcPr>
            <w:tcW w:w="742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Default="002A03FA" w:rsidP="00A70D56">
            <w:pPr>
              <w:ind w:firstLine="426"/>
              <w:rPr>
                <w:rFonts w:eastAsia="Times New Roman" w:cs="Times New Roman"/>
                <w:sz w:val="20"/>
                <w:szCs w:val="20"/>
                <w:lang w:eastAsia="lv-LV"/>
              </w:rPr>
            </w:pPr>
          </w:p>
          <w:p w:rsidR="002E5B1E" w:rsidRDefault="002E5B1E" w:rsidP="00A70D56">
            <w:pPr>
              <w:ind w:firstLine="426"/>
              <w:rPr>
                <w:rFonts w:eastAsia="Times New Roman" w:cs="Times New Roman"/>
                <w:sz w:val="20"/>
                <w:szCs w:val="20"/>
                <w:lang w:eastAsia="lv-LV"/>
              </w:rPr>
            </w:pPr>
          </w:p>
          <w:p w:rsidR="002E5B1E" w:rsidRDefault="002E5B1E" w:rsidP="00A70D56">
            <w:pPr>
              <w:ind w:firstLine="426"/>
              <w:rPr>
                <w:rFonts w:eastAsia="Times New Roman" w:cs="Times New Roman"/>
                <w:sz w:val="20"/>
                <w:szCs w:val="20"/>
                <w:lang w:eastAsia="lv-LV"/>
              </w:rPr>
            </w:pPr>
          </w:p>
          <w:p w:rsidR="002E5B1E" w:rsidRDefault="002E5B1E" w:rsidP="00A70D56">
            <w:pPr>
              <w:ind w:firstLine="426"/>
              <w:rPr>
                <w:rFonts w:eastAsia="Times New Roman" w:cs="Times New Roman"/>
                <w:sz w:val="20"/>
                <w:szCs w:val="20"/>
                <w:lang w:eastAsia="lv-LV"/>
              </w:rPr>
            </w:pPr>
          </w:p>
          <w:p w:rsidR="002E5B1E" w:rsidRDefault="002E5B1E" w:rsidP="00A70D56">
            <w:pPr>
              <w:ind w:firstLine="426"/>
              <w:rPr>
                <w:rFonts w:eastAsia="Times New Roman" w:cs="Times New Roman"/>
                <w:sz w:val="20"/>
                <w:szCs w:val="20"/>
                <w:lang w:eastAsia="lv-LV"/>
              </w:rPr>
            </w:pPr>
          </w:p>
          <w:p w:rsidR="002E5B1E" w:rsidRPr="002A03FA" w:rsidRDefault="002E5B1E"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c>
          <w:tcPr>
            <w:tcW w:w="480" w:type="dxa"/>
            <w:tcBorders>
              <w:top w:val="nil"/>
              <w:left w:val="nil"/>
              <w:bottom w:val="nil"/>
              <w:right w:val="nil"/>
            </w:tcBorders>
            <w:shd w:val="clear" w:color="auto" w:fill="auto"/>
            <w:noWrap/>
            <w:vAlign w:val="bottom"/>
            <w:hideMark/>
          </w:tcPr>
          <w:p w:rsidR="002A03FA" w:rsidRPr="002A03FA" w:rsidRDefault="002A03FA" w:rsidP="00A70D56">
            <w:pPr>
              <w:ind w:firstLine="426"/>
              <w:rPr>
                <w:rFonts w:eastAsia="Times New Roman" w:cs="Times New Roman"/>
                <w:sz w:val="20"/>
                <w:szCs w:val="20"/>
                <w:lang w:eastAsia="lv-LV"/>
              </w:rPr>
            </w:pPr>
          </w:p>
        </w:tc>
      </w:tr>
    </w:tbl>
    <w:p w:rsidR="002A03FA" w:rsidRPr="002A03FA" w:rsidRDefault="00950714" w:rsidP="00A70D56">
      <w:pPr>
        <w:pStyle w:val="NoSpacing"/>
        <w:ind w:firstLine="426"/>
        <w:jc w:val="center"/>
        <w:rPr>
          <w:b/>
        </w:rPr>
      </w:pPr>
      <w:r>
        <w:rPr>
          <w:b/>
        </w:rPr>
        <w:t>1.attēls</w:t>
      </w:r>
      <w:r w:rsidR="002A03FA">
        <w:rPr>
          <w:b/>
        </w:rPr>
        <w:t xml:space="preserve">  </w:t>
      </w:r>
      <w:r w:rsidR="002A03FA" w:rsidRPr="002A03FA">
        <w:rPr>
          <w:b/>
        </w:rPr>
        <w:t>Satiksmes drošības raksturlielumu izmaiņas</w:t>
      </w:r>
      <w:r w:rsidR="002A03FA">
        <w:rPr>
          <w:b/>
        </w:rPr>
        <w:t xml:space="preserve"> – </w:t>
      </w:r>
      <w:r w:rsidR="005A6F6A" w:rsidRPr="005A6F6A">
        <w:rPr>
          <w:b/>
        </w:rPr>
        <w:t>TL</w:t>
      </w:r>
      <w:r w:rsidR="002A03FA">
        <w:rPr>
          <w:b/>
        </w:rPr>
        <w:t xml:space="preserve"> skaits/autovadītāju skaits/</w:t>
      </w:r>
      <w:proofErr w:type="spellStart"/>
      <w:r w:rsidR="002A03FA">
        <w:rPr>
          <w:b/>
        </w:rPr>
        <w:t>CSNg</w:t>
      </w:r>
      <w:proofErr w:type="spellEnd"/>
      <w:r w:rsidR="002A03FA">
        <w:rPr>
          <w:b/>
        </w:rPr>
        <w:t xml:space="preserve"> skaits ar cietušajiem/bojāgājušo skaits (izmaiņas procentos pret 2000.gadu - 2000.gads = 100 %)</w:t>
      </w:r>
    </w:p>
    <w:p w:rsidR="002E5B1E" w:rsidRDefault="002E5B1E" w:rsidP="00A70D56">
      <w:pPr>
        <w:pStyle w:val="NoSpacing"/>
        <w:ind w:firstLine="426"/>
        <w:jc w:val="both"/>
      </w:pPr>
      <w:r>
        <w:tab/>
      </w:r>
      <w:r>
        <w:tab/>
      </w:r>
      <w:r>
        <w:tab/>
      </w:r>
      <w:r>
        <w:tab/>
      </w:r>
      <w:r>
        <w:tab/>
      </w:r>
      <w:r>
        <w:tab/>
      </w:r>
      <w:r>
        <w:tab/>
      </w:r>
      <w:r>
        <w:tab/>
      </w:r>
      <w:r>
        <w:tab/>
      </w:r>
    </w:p>
    <w:p w:rsidR="002E7BEB" w:rsidRPr="002E7BEB" w:rsidRDefault="00F55581" w:rsidP="00A70D56">
      <w:pPr>
        <w:pStyle w:val="BodyText"/>
        <w:ind w:firstLine="426"/>
        <w:rPr>
          <w:color w:val="000000" w:themeColor="text1"/>
          <w:lang w:val="lv-LV"/>
        </w:rPr>
      </w:pPr>
      <w:r w:rsidRPr="00F55581">
        <w:rPr>
          <w:color w:val="000000" w:themeColor="text1"/>
          <w:lang w:val="lv-LV"/>
        </w:rPr>
        <w:t xml:space="preserve">Ceļu </w:t>
      </w:r>
      <w:r>
        <w:rPr>
          <w:color w:val="000000" w:themeColor="text1"/>
          <w:lang w:val="lv-LV"/>
        </w:rPr>
        <w:t xml:space="preserve">satiksmes drošības statistika laika posmā no </w:t>
      </w:r>
      <w:r w:rsidRPr="00F55581">
        <w:rPr>
          <w:color w:val="000000" w:themeColor="text1"/>
          <w:lang w:val="lv-LV"/>
        </w:rPr>
        <w:t>1990.</w:t>
      </w:r>
      <w:r>
        <w:rPr>
          <w:color w:val="000000" w:themeColor="text1"/>
          <w:lang w:val="lv-LV"/>
        </w:rPr>
        <w:t xml:space="preserve">gada līdz </w:t>
      </w:r>
      <w:r w:rsidRPr="00F55581">
        <w:rPr>
          <w:color w:val="000000" w:themeColor="text1"/>
          <w:lang w:val="lv-LV"/>
        </w:rPr>
        <w:t>2010.</w:t>
      </w:r>
      <w:r w:rsidR="002E5B1E">
        <w:rPr>
          <w:color w:val="000000" w:themeColor="text1"/>
          <w:lang w:val="lv-LV"/>
        </w:rPr>
        <w:t>gadam.</w:t>
      </w:r>
    </w:p>
    <w:p w:rsidR="00F55581" w:rsidRPr="00F55581" w:rsidRDefault="00F55581" w:rsidP="00A70D56">
      <w:pPr>
        <w:ind w:firstLine="426"/>
        <w:jc w:val="both"/>
        <w:rPr>
          <w:color w:val="000000" w:themeColor="text1"/>
        </w:rPr>
      </w:pPr>
      <w:r>
        <w:rPr>
          <w:color w:val="000000" w:themeColor="text1"/>
        </w:rPr>
        <w:t>2010. gadā Latvijā bija</w:t>
      </w:r>
      <w:r w:rsidRPr="00F55581">
        <w:rPr>
          <w:color w:val="000000" w:themeColor="text1"/>
        </w:rPr>
        <w:t xml:space="preserve"> notikuši 3193 </w:t>
      </w:r>
      <w:proofErr w:type="spellStart"/>
      <w:r>
        <w:rPr>
          <w:color w:val="000000" w:themeColor="text1"/>
        </w:rPr>
        <w:t>CSNg</w:t>
      </w:r>
      <w:proofErr w:type="spellEnd"/>
      <w:r w:rsidRPr="00F55581">
        <w:rPr>
          <w:color w:val="000000" w:themeColor="text1"/>
        </w:rPr>
        <w:t xml:space="preserve"> ar cietušajiem, kuros bojā gājuši 218</w:t>
      </w:r>
      <w:r w:rsidR="006031A3">
        <w:rPr>
          <w:color w:val="000000" w:themeColor="text1"/>
        </w:rPr>
        <w:t xml:space="preserve"> cilvēki</w:t>
      </w:r>
      <w:r w:rsidRPr="00F55581">
        <w:rPr>
          <w:color w:val="000000" w:themeColor="text1"/>
        </w:rPr>
        <w:t xml:space="preserve"> un ievainoti 4023 cilvēki. </w:t>
      </w:r>
      <w:r w:rsidR="006031A3">
        <w:rPr>
          <w:color w:val="000000" w:themeColor="text1"/>
        </w:rPr>
        <w:t xml:space="preserve">Jāatzīmē, ka 218 bojāgājušie bija </w:t>
      </w:r>
      <w:r w:rsidRPr="00F55581">
        <w:rPr>
          <w:color w:val="000000" w:themeColor="text1"/>
        </w:rPr>
        <w:t>vismazākais</w:t>
      </w:r>
      <w:r w:rsidR="006031A3">
        <w:rPr>
          <w:color w:val="000000" w:themeColor="text1"/>
        </w:rPr>
        <w:t xml:space="preserve"> bojāgājušo</w:t>
      </w:r>
      <w:r w:rsidRPr="00F55581">
        <w:rPr>
          <w:color w:val="000000" w:themeColor="text1"/>
        </w:rPr>
        <w:t xml:space="preserve"> skaits</w:t>
      </w:r>
      <w:r w:rsidR="00E327CE">
        <w:rPr>
          <w:color w:val="000000" w:themeColor="text1"/>
        </w:rPr>
        <w:t>,</w:t>
      </w:r>
      <w:r w:rsidRPr="00F55581">
        <w:rPr>
          <w:color w:val="000000" w:themeColor="text1"/>
        </w:rPr>
        <w:t xml:space="preserve"> kopš Latvijā tiek reģistrēta </w:t>
      </w:r>
      <w:proofErr w:type="spellStart"/>
      <w:r w:rsidRPr="00F55581">
        <w:rPr>
          <w:color w:val="000000" w:themeColor="text1"/>
        </w:rPr>
        <w:t>CSNg</w:t>
      </w:r>
      <w:proofErr w:type="spellEnd"/>
      <w:r w:rsidRPr="00F55581">
        <w:rPr>
          <w:color w:val="000000" w:themeColor="text1"/>
        </w:rPr>
        <w:t xml:space="preserve"> statistika (</w:t>
      </w:r>
      <w:r w:rsidR="006031A3">
        <w:rPr>
          <w:color w:val="000000" w:themeColor="text1"/>
        </w:rPr>
        <w:t>tā tiek reģistrēta no 1970. gada).</w:t>
      </w:r>
    </w:p>
    <w:p w:rsidR="00F55581" w:rsidRDefault="006031A3" w:rsidP="00A70D56">
      <w:pPr>
        <w:ind w:firstLine="426"/>
        <w:jc w:val="both"/>
        <w:rPr>
          <w:color w:val="000000" w:themeColor="text1"/>
        </w:rPr>
      </w:pPr>
      <w:r>
        <w:rPr>
          <w:color w:val="000000" w:themeColor="text1"/>
        </w:rPr>
        <w:t xml:space="preserve">Ņemot vērā, ka </w:t>
      </w:r>
      <w:r w:rsidR="00B4087E" w:rsidRPr="00B4087E">
        <w:rPr>
          <w:color w:val="000000" w:themeColor="text1"/>
        </w:rPr>
        <w:t>ES</w:t>
      </w:r>
      <w:r w:rsidR="00B4087E">
        <w:rPr>
          <w:color w:val="000000" w:themeColor="text1"/>
        </w:rPr>
        <w:t xml:space="preserve"> </w:t>
      </w:r>
      <w:r>
        <w:rPr>
          <w:color w:val="000000" w:themeColor="text1"/>
        </w:rPr>
        <w:t>bija</w:t>
      </w:r>
      <w:r w:rsidR="00F55581" w:rsidRPr="00F55581">
        <w:rPr>
          <w:color w:val="000000" w:themeColor="text1"/>
        </w:rPr>
        <w:t xml:space="preserve"> izvirzījusi mērķi līdz 2010. gadam samazināt bojāgājušo skaitu divas </w:t>
      </w:r>
      <w:r>
        <w:rPr>
          <w:color w:val="000000" w:themeColor="text1"/>
        </w:rPr>
        <w:t>reizes</w:t>
      </w:r>
      <w:r w:rsidR="00E327CE">
        <w:rPr>
          <w:color w:val="000000" w:themeColor="text1"/>
        </w:rPr>
        <w:t>,</w:t>
      </w:r>
      <w:r>
        <w:rPr>
          <w:color w:val="000000" w:themeColor="text1"/>
        </w:rPr>
        <w:t xml:space="preserve"> salīdzinot ar 2001.gadu, p</w:t>
      </w:r>
      <w:r w:rsidR="00F55581" w:rsidRPr="00F55581">
        <w:rPr>
          <w:color w:val="000000" w:themeColor="text1"/>
        </w:rPr>
        <w:t>ēc šī uzstādījuma Latvijā bojāgājušo skaits ne</w:t>
      </w:r>
      <w:r>
        <w:rPr>
          <w:color w:val="000000" w:themeColor="text1"/>
        </w:rPr>
        <w:t>drīkstēja pārsniegt 280 bojāgājušos cilvēkus 2010.gadā, līdz ar to Latvija bija</w:t>
      </w:r>
      <w:r w:rsidR="00F55581" w:rsidRPr="00F55581">
        <w:rPr>
          <w:color w:val="000000" w:themeColor="text1"/>
        </w:rPr>
        <w:t xml:space="preserve"> izpildījusi šo mērķi. </w:t>
      </w:r>
      <w:r>
        <w:rPr>
          <w:color w:val="000000" w:themeColor="text1"/>
        </w:rPr>
        <w:t>Tātad tā brīža bojāgājušo personu skaita samazinājums</w:t>
      </w:r>
      <w:r w:rsidR="00F55581" w:rsidRPr="00F55581">
        <w:rPr>
          <w:color w:val="000000" w:themeColor="text1"/>
        </w:rPr>
        <w:t xml:space="preserve"> 61%</w:t>
      </w:r>
      <w:r>
        <w:rPr>
          <w:color w:val="000000" w:themeColor="text1"/>
        </w:rPr>
        <w:t xml:space="preserve"> apmērā bija viens no labākajiem ES.</w:t>
      </w:r>
    </w:p>
    <w:p w:rsidR="000F191E" w:rsidRDefault="000F191E" w:rsidP="00A70D56">
      <w:pPr>
        <w:ind w:firstLine="426"/>
        <w:jc w:val="both"/>
        <w:rPr>
          <w:color w:val="000000" w:themeColor="text1"/>
        </w:rPr>
      </w:pPr>
    </w:p>
    <w:p w:rsidR="000F191E" w:rsidRPr="001A6D78" w:rsidRDefault="000F191E" w:rsidP="00A70D56">
      <w:pPr>
        <w:spacing w:after="120"/>
        <w:ind w:firstLine="426"/>
        <w:jc w:val="center"/>
        <w:rPr>
          <w:rFonts w:eastAsia="Times New Roman" w:cs="Times New Roman"/>
          <w:lang w:eastAsia="lv-LV"/>
        </w:rPr>
      </w:pPr>
      <w:r w:rsidRPr="001A6D78">
        <w:rPr>
          <w:rFonts w:eastAsia="Times New Roman" w:cs="Times New Roman"/>
          <w:noProof/>
          <w:lang w:eastAsia="lv-LV"/>
        </w:rPr>
        <w:drawing>
          <wp:inline distT="0" distB="0" distL="0" distR="0" wp14:anchorId="3B53EB56" wp14:editId="14C93860">
            <wp:extent cx="5753100" cy="26193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91E" w:rsidRPr="00CE696E" w:rsidRDefault="00950714" w:rsidP="00A70D56">
      <w:pPr>
        <w:pStyle w:val="NormalWeb"/>
        <w:spacing w:before="0" w:beforeAutospacing="0" w:after="0" w:afterAutospacing="0"/>
        <w:ind w:firstLine="426"/>
        <w:jc w:val="center"/>
        <w:rPr>
          <w:b/>
          <w:szCs w:val="28"/>
        </w:rPr>
      </w:pPr>
      <w:r>
        <w:rPr>
          <w:b/>
          <w:szCs w:val="28"/>
        </w:rPr>
        <w:t>2.attēls</w:t>
      </w:r>
      <w:r w:rsidR="000F191E">
        <w:rPr>
          <w:b/>
          <w:szCs w:val="28"/>
        </w:rPr>
        <w:t>. Ceļu satiksmes negadījumu dinamika</w:t>
      </w:r>
      <w:r w:rsidR="00B42DFA">
        <w:rPr>
          <w:b/>
          <w:szCs w:val="28"/>
        </w:rPr>
        <w:t xml:space="preserve"> (procentos – 100 %)</w:t>
      </w:r>
      <w:r w:rsidR="000F191E">
        <w:rPr>
          <w:b/>
          <w:szCs w:val="28"/>
        </w:rPr>
        <w:t xml:space="preserve"> Latvijā laika periodā no 1985.gada līdz 2015.gadam.</w:t>
      </w:r>
      <w:r w:rsidR="000F191E">
        <w:rPr>
          <w:rStyle w:val="FootnoteReference"/>
          <w:b/>
          <w:szCs w:val="28"/>
        </w:rPr>
        <w:footnoteReference w:id="5"/>
      </w:r>
    </w:p>
    <w:p w:rsidR="000F191E" w:rsidRDefault="000F191E" w:rsidP="00A70D56">
      <w:pPr>
        <w:ind w:firstLine="426"/>
        <w:jc w:val="both"/>
        <w:rPr>
          <w:color w:val="000000" w:themeColor="text1"/>
        </w:rPr>
      </w:pPr>
    </w:p>
    <w:p w:rsidR="00E327CE" w:rsidRPr="00F55581" w:rsidRDefault="00E327CE" w:rsidP="00A70D56">
      <w:pPr>
        <w:ind w:firstLine="426"/>
        <w:jc w:val="both"/>
        <w:rPr>
          <w:color w:val="000000" w:themeColor="text1"/>
        </w:rPr>
      </w:pPr>
    </w:p>
    <w:p w:rsidR="00F55581" w:rsidRPr="00F55581" w:rsidRDefault="006031A3" w:rsidP="00E327CE">
      <w:pPr>
        <w:pStyle w:val="BodyText"/>
        <w:ind w:firstLine="426"/>
        <w:rPr>
          <w:b w:val="0"/>
          <w:color w:val="000000" w:themeColor="text1"/>
          <w:lang w:val="lv-LV"/>
        </w:rPr>
      </w:pPr>
      <w:r>
        <w:rPr>
          <w:b w:val="0"/>
          <w:color w:val="000000" w:themeColor="text1"/>
          <w:lang w:val="lv-LV"/>
        </w:rPr>
        <w:lastRenderedPageBreak/>
        <w:t>Pat ņemot vērā,</w:t>
      </w:r>
      <w:r w:rsidR="00F55581" w:rsidRPr="00F55581">
        <w:rPr>
          <w:b w:val="0"/>
          <w:color w:val="000000" w:themeColor="text1"/>
          <w:lang w:val="lv-LV"/>
        </w:rPr>
        <w:t xml:space="preserve"> ka pēc bojāgājušo skaita samazinājuma no 2001 līdz 2010. gadam</w:t>
      </w:r>
      <w:r w:rsidR="000B0A01">
        <w:rPr>
          <w:b w:val="0"/>
          <w:color w:val="000000" w:themeColor="text1"/>
          <w:lang w:val="lv-LV"/>
        </w:rPr>
        <w:t xml:space="preserve"> (ar samazinājumu 61% apmērā)</w:t>
      </w:r>
      <w:r w:rsidR="00F55581" w:rsidRPr="00F55581">
        <w:rPr>
          <w:b w:val="0"/>
          <w:color w:val="000000" w:themeColor="text1"/>
          <w:lang w:val="lv-LV"/>
        </w:rPr>
        <w:t xml:space="preserve"> Latv</w:t>
      </w:r>
      <w:r>
        <w:rPr>
          <w:b w:val="0"/>
          <w:color w:val="000000" w:themeColor="text1"/>
          <w:lang w:val="lv-LV"/>
        </w:rPr>
        <w:t>ija atradās</w:t>
      </w:r>
      <w:r w:rsidR="00F55581" w:rsidRPr="00F55581">
        <w:rPr>
          <w:b w:val="0"/>
          <w:color w:val="000000" w:themeColor="text1"/>
          <w:lang w:val="lv-LV"/>
        </w:rPr>
        <w:t xml:space="preserve"> vienā no vadošajām vietām ES, tomēr tāds rādītājs kā bojāgājušo skaits uz miljons iedzīvotājiem (97</w:t>
      </w:r>
      <w:r>
        <w:rPr>
          <w:b w:val="0"/>
          <w:color w:val="000000" w:themeColor="text1"/>
          <w:lang w:val="lv-LV"/>
        </w:rPr>
        <w:t xml:space="preserve"> personas – 2010. gadā) vēl bija</w:t>
      </w:r>
      <w:r w:rsidR="00F55581" w:rsidRPr="00F55581">
        <w:rPr>
          <w:b w:val="0"/>
          <w:color w:val="000000" w:themeColor="text1"/>
          <w:lang w:val="lv-LV"/>
        </w:rPr>
        <w:t xml:space="preserve"> krietni augstāks nekā </w:t>
      </w:r>
      <w:r w:rsidR="00B4087E" w:rsidRPr="00B4087E">
        <w:rPr>
          <w:b w:val="0"/>
          <w:color w:val="000000" w:themeColor="text1"/>
          <w:lang w:val="lv-LV"/>
        </w:rPr>
        <w:t>ES</w:t>
      </w:r>
      <w:r w:rsidR="00B4087E">
        <w:rPr>
          <w:b w:val="0"/>
          <w:color w:val="000000" w:themeColor="text1"/>
          <w:lang w:val="lv-LV"/>
        </w:rPr>
        <w:t xml:space="preserve"> </w:t>
      </w:r>
      <w:r>
        <w:rPr>
          <w:b w:val="0"/>
          <w:color w:val="000000" w:themeColor="text1"/>
          <w:lang w:val="lv-LV"/>
        </w:rPr>
        <w:t>vidējais (70 personas – 2009. gadā).</w:t>
      </w:r>
    </w:p>
    <w:p w:rsidR="00F55581" w:rsidRPr="00F55581" w:rsidRDefault="006031A3" w:rsidP="00A70D56">
      <w:pPr>
        <w:pStyle w:val="BodyText"/>
        <w:ind w:firstLine="426"/>
        <w:rPr>
          <w:b w:val="0"/>
          <w:color w:val="000000" w:themeColor="text1"/>
          <w:lang w:val="lv-LV"/>
        </w:rPr>
      </w:pPr>
      <w:r>
        <w:rPr>
          <w:b w:val="0"/>
          <w:color w:val="000000" w:themeColor="text1"/>
          <w:lang w:val="lv-LV"/>
        </w:rPr>
        <w:t>Ir vērts atzīmēt, ka salīdzinot ar 1990.</w:t>
      </w:r>
      <w:r w:rsidR="00F55581" w:rsidRPr="00F55581">
        <w:rPr>
          <w:b w:val="0"/>
          <w:color w:val="000000" w:themeColor="text1"/>
          <w:lang w:val="lv-LV"/>
        </w:rPr>
        <w:t xml:space="preserve">gadu </w:t>
      </w:r>
      <w:r w:rsidR="00E327CE">
        <w:rPr>
          <w:b w:val="0"/>
          <w:color w:val="000000" w:themeColor="text1"/>
          <w:lang w:val="lv-LV"/>
        </w:rPr>
        <w:t xml:space="preserve">2010.gadā </w:t>
      </w:r>
      <w:r w:rsidR="00F55581" w:rsidRPr="00F55581">
        <w:rPr>
          <w:b w:val="0"/>
          <w:color w:val="000000" w:themeColor="text1"/>
          <w:lang w:val="lv-LV"/>
        </w:rPr>
        <w:t>bojāgājušo skaits</w:t>
      </w:r>
      <w:r w:rsidR="00E327CE">
        <w:rPr>
          <w:b w:val="0"/>
          <w:color w:val="000000" w:themeColor="text1"/>
          <w:lang w:val="lv-LV"/>
        </w:rPr>
        <w:t xml:space="preserve"> </w:t>
      </w:r>
      <w:proofErr w:type="spellStart"/>
      <w:r w:rsidR="00E327CE">
        <w:rPr>
          <w:b w:val="0"/>
          <w:color w:val="000000" w:themeColor="text1"/>
          <w:lang w:val="lv-LV"/>
        </w:rPr>
        <w:t>CSNg</w:t>
      </w:r>
      <w:proofErr w:type="spellEnd"/>
      <w:r w:rsidR="00E327CE">
        <w:rPr>
          <w:b w:val="0"/>
          <w:color w:val="000000" w:themeColor="text1"/>
          <w:lang w:val="lv-LV"/>
        </w:rPr>
        <w:t xml:space="preserve"> bija</w:t>
      </w:r>
      <w:r>
        <w:rPr>
          <w:b w:val="0"/>
          <w:color w:val="000000" w:themeColor="text1"/>
          <w:lang w:val="lv-LV"/>
        </w:rPr>
        <w:t xml:space="preserve"> samazinājies 5 reizes no 947 personām 1990.gadā</w:t>
      </w:r>
      <w:r w:rsidR="00F55581" w:rsidRPr="00F55581">
        <w:rPr>
          <w:b w:val="0"/>
          <w:color w:val="000000" w:themeColor="text1"/>
          <w:lang w:val="lv-LV"/>
        </w:rPr>
        <w:t xml:space="preserve"> līdz 218</w:t>
      </w:r>
      <w:r>
        <w:rPr>
          <w:b w:val="0"/>
          <w:color w:val="000000" w:themeColor="text1"/>
          <w:lang w:val="lv-LV"/>
        </w:rPr>
        <w:t xml:space="preserve"> personām 2010.gadā</w:t>
      </w:r>
      <w:r w:rsidR="00F55581" w:rsidRPr="00F55581">
        <w:rPr>
          <w:b w:val="0"/>
          <w:color w:val="000000" w:themeColor="text1"/>
          <w:lang w:val="lv-LV"/>
        </w:rPr>
        <w:t xml:space="preserve">, </w:t>
      </w:r>
      <w:r>
        <w:rPr>
          <w:b w:val="0"/>
          <w:color w:val="000000" w:themeColor="text1"/>
          <w:lang w:val="lv-LV"/>
        </w:rPr>
        <w:t xml:space="preserve">savukārt </w:t>
      </w:r>
      <w:r w:rsidR="00F55581" w:rsidRPr="00F55581">
        <w:rPr>
          <w:b w:val="0"/>
          <w:color w:val="000000" w:themeColor="text1"/>
          <w:lang w:val="lv-LV"/>
        </w:rPr>
        <w:t>ievainoto skaits</w:t>
      </w:r>
      <w:r w:rsidR="00E327CE">
        <w:rPr>
          <w:b w:val="0"/>
          <w:color w:val="000000" w:themeColor="text1"/>
          <w:lang w:val="lv-LV"/>
        </w:rPr>
        <w:t xml:space="preserve"> bija</w:t>
      </w:r>
      <w:r w:rsidR="00F55581" w:rsidRPr="00F55581">
        <w:rPr>
          <w:b w:val="0"/>
          <w:color w:val="000000" w:themeColor="text1"/>
          <w:lang w:val="lv-LV"/>
        </w:rPr>
        <w:t xml:space="preserve"> samazinājies p</w:t>
      </w:r>
      <w:r w:rsidR="00175B14">
        <w:rPr>
          <w:b w:val="0"/>
          <w:color w:val="000000" w:themeColor="text1"/>
          <w:lang w:val="lv-LV"/>
        </w:rPr>
        <w:t xml:space="preserve">ar 13,4 % no 4646 personām </w:t>
      </w:r>
      <w:r w:rsidR="00F55581" w:rsidRPr="00F55581">
        <w:rPr>
          <w:b w:val="0"/>
          <w:color w:val="000000" w:themeColor="text1"/>
          <w:lang w:val="lv-LV"/>
        </w:rPr>
        <w:t>1</w:t>
      </w:r>
      <w:r w:rsidR="00175B14">
        <w:rPr>
          <w:b w:val="0"/>
          <w:color w:val="000000" w:themeColor="text1"/>
          <w:lang w:val="lv-LV"/>
        </w:rPr>
        <w:t>990.gadā līdz 4023 personām 2010.gadā</w:t>
      </w:r>
      <w:r w:rsidR="00F55581" w:rsidRPr="00F55581">
        <w:rPr>
          <w:b w:val="0"/>
          <w:color w:val="000000" w:themeColor="text1"/>
          <w:lang w:val="lv-LV"/>
        </w:rPr>
        <w:t xml:space="preserve">. </w:t>
      </w:r>
    </w:p>
    <w:p w:rsidR="00F55581" w:rsidRPr="00233DD0" w:rsidRDefault="00F55581" w:rsidP="00A70D56">
      <w:pPr>
        <w:pStyle w:val="BodyText"/>
        <w:ind w:firstLine="426"/>
        <w:rPr>
          <w:color w:val="000000" w:themeColor="text1"/>
          <w:sz w:val="20"/>
          <w:szCs w:val="20"/>
          <w:lang w:val="lv-LV"/>
        </w:rPr>
      </w:pPr>
    </w:p>
    <w:p w:rsidR="00F55581" w:rsidRPr="00CA4F73" w:rsidRDefault="00F55581" w:rsidP="00A70D56">
      <w:pPr>
        <w:pStyle w:val="BodyText"/>
        <w:ind w:firstLine="426"/>
        <w:rPr>
          <w:color w:val="000000" w:themeColor="text1"/>
          <w:lang w:val="lv-LV"/>
        </w:rPr>
      </w:pPr>
      <w:r w:rsidRPr="00F55581">
        <w:rPr>
          <w:color w:val="000000" w:themeColor="text1"/>
          <w:lang w:val="lv-LV"/>
        </w:rPr>
        <w:t>Ceļu satiksmes drošība</w:t>
      </w:r>
      <w:r w:rsidR="00175B14">
        <w:rPr>
          <w:color w:val="000000" w:themeColor="text1"/>
          <w:lang w:val="lv-LV"/>
        </w:rPr>
        <w:t>s statistika laika posmā no</w:t>
      </w:r>
      <w:r w:rsidRPr="00F55581">
        <w:rPr>
          <w:color w:val="000000" w:themeColor="text1"/>
          <w:lang w:val="lv-LV"/>
        </w:rPr>
        <w:t xml:space="preserve"> </w:t>
      </w:r>
      <w:r w:rsidRPr="000F62DB">
        <w:rPr>
          <w:color w:val="000000" w:themeColor="text1"/>
          <w:lang w:val="lv-LV"/>
        </w:rPr>
        <w:t>2010.</w:t>
      </w:r>
      <w:r w:rsidR="00175B14" w:rsidRPr="000F62DB">
        <w:rPr>
          <w:color w:val="000000" w:themeColor="text1"/>
          <w:lang w:val="lv-LV"/>
        </w:rPr>
        <w:t xml:space="preserve">gada līdz </w:t>
      </w:r>
      <w:r w:rsidRPr="000F62DB">
        <w:rPr>
          <w:color w:val="000000" w:themeColor="text1"/>
          <w:lang w:val="lv-LV"/>
        </w:rPr>
        <w:t>201</w:t>
      </w:r>
      <w:r w:rsidR="00B42DFA" w:rsidRPr="000F62DB">
        <w:rPr>
          <w:color w:val="000000" w:themeColor="text1"/>
          <w:lang w:val="lv-LV"/>
        </w:rPr>
        <w:t>5</w:t>
      </w:r>
      <w:r w:rsidRPr="000F62DB">
        <w:rPr>
          <w:color w:val="000000" w:themeColor="text1"/>
          <w:lang w:val="lv-LV"/>
        </w:rPr>
        <w:t>.</w:t>
      </w:r>
      <w:r w:rsidR="00175B14" w:rsidRPr="000F62DB">
        <w:rPr>
          <w:color w:val="000000" w:themeColor="text1"/>
          <w:lang w:val="lv-LV"/>
        </w:rPr>
        <w:t>gadam.</w:t>
      </w:r>
    </w:p>
    <w:p w:rsidR="00F55581" w:rsidRPr="00F55581" w:rsidRDefault="00453943" w:rsidP="00A70D56">
      <w:pPr>
        <w:ind w:firstLine="426"/>
        <w:jc w:val="both"/>
        <w:rPr>
          <w:color w:val="000000" w:themeColor="text1"/>
        </w:rPr>
      </w:pPr>
      <w:r>
        <w:rPr>
          <w:color w:val="000000" w:themeColor="text1"/>
        </w:rPr>
        <w:t>2015. gadā</w:t>
      </w:r>
      <w:r w:rsidR="00E327CE">
        <w:rPr>
          <w:color w:val="000000" w:themeColor="text1"/>
        </w:rPr>
        <w:t>,</w:t>
      </w:r>
      <w:r>
        <w:rPr>
          <w:color w:val="000000" w:themeColor="text1"/>
        </w:rPr>
        <w:t xml:space="preserve"> s</w:t>
      </w:r>
      <w:r w:rsidR="00F55581" w:rsidRPr="00F55581">
        <w:rPr>
          <w:color w:val="000000" w:themeColor="text1"/>
        </w:rPr>
        <w:t>alīdzinot ar 2010. gadu</w:t>
      </w:r>
      <w:r w:rsidR="00E327CE">
        <w:rPr>
          <w:color w:val="000000" w:themeColor="text1"/>
        </w:rPr>
        <w:t>,</w:t>
      </w:r>
      <w:r w:rsidR="00F55581" w:rsidRPr="00F55581">
        <w:rPr>
          <w:color w:val="000000" w:themeColor="text1"/>
        </w:rPr>
        <w:t xml:space="preserve"> bojāgājušu skaits samazinājies par 13,8%, ievainoto skaits pieaudzis par 13,5%. </w:t>
      </w:r>
    </w:p>
    <w:p w:rsidR="000F191E" w:rsidRDefault="000F191E" w:rsidP="00A70D56">
      <w:pPr>
        <w:spacing w:after="120"/>
        <w:ind w:firstLine="426"/>
        <w:jc w:val="center"/>
        <w:rPr>
          <w:rFonts w:eastAsia="Times New Roman" w:cs="Times New Roman"/>
          <w:b/>
          <w:lang w:eastAsia="lv-LV"/>
        </w:rPr>
      </w:pPr>
      <w:r>
        <w:rPr>
          <w:rFonts w:eastAsia="Times New Roman" w:cs="Times New Roman"/>
          <w:b/>
          <w:noProof/>
          <w:lang w:eastAsia="lv-LV"/>
        </w:rPr>
        <w:drawing>
          <wp:inline distT="0" distB="0" distL="0" distR="0" wp14:anchorId="587122AA" wp14:editId="34B722D0">
            <wp:extent cx="2901498" cy="4646798"/>
            <wp:effectExtent l="381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931517" cy="4694874"/>
                    </a:xfrm>
                    <a:prstGeom prst="rect">
                      <a:avLst/>
                    </a:prstGeom>
                    <a:noFill/>
                    <a:ln>
                      <a:noFill/>
                    </a:ln>
                  </pic:spPr>
                </pic:pic>
              </a:graphicData>
            </a:graphic>
          </wp:inline>
        </w:drawing>
      </w:r>
    </w:p>
    <w:p w:rsidR="001A6D78" w:rsidRPr="000F191E" w:rsidRDefault="00950714" w:rsidP="00A70D56">
      <w:pPr>
        <w:spacing w:after="120"/>
        <w:ind w:firstLine="426"/>
        <w:jc w:val="center"/>
        <w:rPr>
          <w:rFonts w:eastAsia="Times New Roman" w:cs="Times New Roman"/>
          <w:b/>
          <w:lang w:eastAsia="lv-LV"/>
        </w:rPr>
      </w:pPr>
      <w:r>
        <w:rPr>
          <w:rFonts w:eastAsia="Times New Roman" w:cs="Times New Roman"/>
          <w:b/>
          <w:lang w:eastAsia="lv-LV"/>
        </w:rPr>
        <w:t>3.attēls</w:t>
      </w:r>
      <w:r w:rsidR="000F191E">
        <w:rPr>
          <w:rFonts w:eastAsia="Times New Roman" w:cs="Times New Roman"/>
          <w:b/>
          <w:lang w:eastAsia="lv-LV"/>
        </w:rPr>
        <w:t xml:space="preserve">. </w:t>
      </w:r>
      <w:proofErr w:type="spellStart"/>
      <w:r w:rsidR="000F191E">
        <w:rPr>
          <w:rFonts w:eastAsia="Times New Roman" w:cs="Times New Roman"/>
          <w:b/>
          <w:lang w:eastAsia="lv-LV"/>
        </w:rPr>
        <w:t>CSNg</w:t>
      </w:r>
      <w:proofErr w:type="spellEnd"/>
      <w:r w:rsidR="000F191E">
        <w:rPr>
          <w:rFonts w:eastAsia="Times New Roman" w:cs="Times New Roman"/>
          <w:b/>
          <w:lang w:eastAsia="lv-LV"/>
        </w:rPr>
        <w:t xml:space="preserve"> bojāgājušo skaita samazinājums ES dalībvalstīs no 2010.gada līdz 2015.gadam (</w:t>
      </w:r>
      <w:r w:rsidR="000F191E">
        <w:rPr>
          <w:rFonts w:eastAsia="Times New Roman" w:cs="Times New Roman"/>
          <w:lang w:eastAsia="lv-LV"/>
        </w:rPr>
        <w:t>informācijas avots</w:t>
      </w:r>
      <w:r w:rsidR="000F191E" w:rsidRPr="009B0191">
        <w:rPr>
          <w:rFonts w:eastAsia="Times New Roman" w:cs="Times New Roman"/>
          <w:lang w:eastAsia="lv-LV"/>
        </w:rPr>
        <w:t>: Eiropas Komisija</w:t>
      </w:r>
      <w:r w:rsidR="000F191E">
        <w:rPr>
          <w:rFonts w:eastAsia="Times New Roman" w:cs="Times New Roman"/>
          <w:b/>
          <w:lang w:eastAsia="lv-LV"/>
        </w:rPr>
        <w:t>).</w:t>
      </w:r>
    </w:p>
    <w:p w:rsidR="00F426C6" w:rsidRDefault="00574D13" w:rsidP="00A70D56">
      <w:pPr>
        <w:spacing w:after="120"/>
        <w:ind w:firstLine="426"/>
        <w:jc w:val="center"/>
        <w:rPr>
          <w:rFonts w:eastAsia="Times New Roman" w:cs="Times New Roman"/>
          <w:lang w:eastAsia="lv-LV"/>
        </w:rPr>
      </w:pPr>
      <w:r>
        <w:rPr>
          <w:rFonts w:eastAsia="Times New Roman" w:cs="Times New Roman"/>
          <w:noProof/>
          <w:lang w:eastAsia="lv-LV"/>
        </w:rPr>
        <w:drawing>
          <wp:inline distT="0" distB="0" distL="0" distR="0" wp14:anchorId="582610EB" wp14:editId="55738197">
            <wp:extent cx="3711233" cy="5611332"/>
            <wp:effectExtent l="254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724824" cy="5631882"/>
                    </a:xfrm>
                    <a:prstGeom prst="rect">
                      <a:avLst/>
                    </a:prstGeom>
                    <a:noFill/>
                    <a:ln>
                      <a:noFill/>
                    </a:ln>
                  </pic:spPr>
                </pic:pic>
              </a:graphicData>
            </a:graphic>
          </wp:inline>
        </w:drawing>
      </w:r>
    </w:p>
    <w:p w:rsidR="00127D28" w:rsidRPr="00233DD0" w:rsidRDefault="00950714" w:rsidP="00233DD0">
      <w:pPr>
        <w:spacing w:after="120"/>
        <w:ind w:firstLine="426"/>
        <w:jc w:val="center"/>
        <w:rPr>
          <w:rFonts w:eastAsia="Times New Roman" w:cs="Times New Roman"/>
          <w:lang w:eastAsia="lv-LV"/>
        </w:rPr>
      </w:pPr>
      <w:r>
        <w:rPr>
          <w:rFonts w:eastAsia="Times New Roman" w:cs="Times New Roman"/>
          <w:b/>
          <w:lang w:eastAsia="lv-LV"/>
        </w:rPr>
        <w:t>4.attēls</w:t>
      </w:r>
      <w:r w:rsidR="00F55581">
        <w:rPr>
          <w:rFonts w:eastAsia="Times New Roman" w:cs="Times New Roman"/>
          <w:b/>
          <w:lang w:eastAsia="lv-LV"/>
        </w:rPr>
        <w:t xml:space="preserve">. Bojāgājušo skaits uz miljons iedzīvotājiem </w:t>
      </w:r>
      <w:r w:rsidR="00B4087E" w:rsidRPr="00B4087E">
        <w:rPr>
          <w:rFonts w:eastAsia="Times New Roman" w:cs="Times New Roman"/>
          <w:b/>
          <w:lang w:eastAsia="lv-LV"/>
        </w:rPr>
        <w:t>ES</w:t>
      </w:r>
      <w:r w:rsidR="00B4087E">
        <w:rPr>
          <w:rFonts w:eastAsia="Times New Roman" w:cs="Times New Roman"/>
          <w:b/>
          <w:lang w:eastAsia="lv-LV"/>
        </w:rPr>
        <w:t xml:space="preserve"> </w:t>
      </w:r>
      <w:r w:rsidR="00F55581">
        <w:rPr>
          <w:rFonts w:eastAsia="Times New Roman" w:cs="Times New Roman"/>
          <w:b/>
          <w:lang w:eastAsia="lv-LV"/>
        </w:rPr>
        <w:t xml:space="preserve">dalībvalstīs 2015.gadā.  </w:t>
      </w:r>
      <w:r w:rsidR="00CA4F73">
        <w:rPr>
          <w:rFonts w:eastAsia="Times New Roman" w:cs="Times New Roman"/>
          <w:lang w:eastAsia="lv-LV"/>
        </w:rPr>
        <w:t>(informācijas avots: Eiropas K</w:t>
      </w:r>
      <w:r w:rsidR="00F55581" w:rsidRPr="00F55581">
        <w:rPr>
          <w:rFonts w:eastAsia="Times New Roman" w:cs="Times New Roman"/>
          <w:lang w:eastAsia="lv-LV"/>
        </w:rPr>
        <w:t>omisija)</w:t>
      </w:r>
    </w:p>
    <w:p w:rsidR="00400E18" w:rsidRPr="000F191E" w:rsidRDefault="00400E18" w:rsidP="00A70D56">
      <w:pPr>
        <w:pStyle w:val="NoSpacing"/>
        <w:ind w:firstLine="426"/>
        <w:jc w:val="both"/>
        <w:rPr>
          <w:b/>
          <w:color w:val="000000" w:themeColor="text1"/>
        </w:rPr>
      </w:pPr>
      <w:r w:rsidRPr="00400E18">
        <w:rPr>
          <w:b/>
          <w:color w:val="000000" w:themeColor="text1"/>
        </w:rPr>
        <w:lastRenderedPageBreak/>
        <w:t>Ceļu satiksmes dr</w:t>
      </w:r>
      <w:r w:rsidR="000F191E">
        <w:rPr>
          <w:b/>
          <w:color w:val="000000" w:themeColor="text1"/>
        </w:rPr>
        <w:t>ošības statistika par 2015.gadu</w:t>
      </w:r>
    </w:p>
    <w:p w:rsidR="000F191E" w:rsidRPr="001A6D78" w:rsidRDefault="006A0E95" w:rsidP="00A70D56">
      <w:pPr>
        <w:pStyle w:val="NoSpacing"/>
        <w:ind w:firstLine="426"/>
        <w:jc w:val="both"/>
        <w:rPr>
          <w:lang w:eastAsia="lv-LV"/>
        </w:rPr>
      </w:pPr>
      <w:r w:rsidRPr="006A0E95">
        <w:rPr>
          <w:lang w:eastAsia="lv-LV"/>
        </w:rPr>
        <w:t>Ņemot v</w:t>
      </w:r>
      <w:r>
        <w:rPr>
          <w:lang w:eastAsia="lv-LV"/>
        </w:rPr>
        <w:t xml:space="preserve">ērā, ka </w:t>
      </w:r>
      <w:r w:rsidRPr="006A0E95">
        <w:rPr>
          <w:lang w:eastAsia="lv-LV"/>
        </w:rPr>
        <w:t>2015.gad</w:t>
      </w:r>
      <w:r>
        <w:rPr>
          <w:lang w:eastAsia="lv-LV"/>
        </w:rPr>
        <w:t>a 31.janvārī</w:t>
      </w:r>
      <w:r w:rsidRPr="006A0E95">
        <w:rPr>
          <w:lang w:eastAsia="lv-LV"/>
        </w:rPr>
        <w:t xml:space="preserve"> Latvijā</w:t>
      </w:r>
      <w:r>
        <w:rPr>
          <w:lang w:eastAsia="lv-LV"/>
        </w:rPr>
        <w:t xml:space="preserve"> iedzīvotāju skaits bija 1</w:t>
      </w:r>
      <w:r w:rsidR="000B0A01">
        <w:rPr>
          <w:lang w:eastAsia="lv-LV"/>
        </w:rPr>
        <w:t> </w:t>
      </w:r>
      <w:r>
        <w:rPr>
          <w:lang w:eastAsia="lv-LV"/>
        </w:rPr>
        <w:t>971</w:t>
      </w:r>
      <w:r w:rsidR="000B0A01">
        <w:rPr>
          <w:lang w:eastAsia="lv-LV"/>
        </w:rPr>
        <w:t xml:space="preserve"> </w:t>
      </w:r>
      <w:r>
        <w:rPr>
          <w:lang w:eastAsia="lv-LV"/>
        </w:rPr>
        <w:t xml:space="preserve">300, reģistrēto </w:t>
      </w:r>
      <w:r w:rsidR="005A6F6A" w:rsidRPr="005A6F6A">
        <w:rPr>
          <w:lang w:eastAsia="lv-LV"/>
        </w:rPr>
        <w:t xml:space="preserve">TL </w:t>
      </w:r>
      <w:r>
        <w:rPr>
          <w:lang w:eastAsia="lv-LV"/>
        </w:rPr>
        <w:t>skaits bija 887</w:t>
      </w:r>
      <w:r w:rsidR="000B0A01">
        <w:rPr>
          <w:lang w:eastAsia="lv-LV"/>
        </w:rPr>
        <w:t xml:space="preserve"> </w:t>
      </w:r>
      <w:r>
        <w:rPr>
          <w:lang w:eastAsia="lv-LV"/>
        </w:rPr>
        <w:t>969, kā arī kopējais autovadītāju skaits bija 839</w:t>
      </w:r>
      <w:r w:rsidR="000B0A01">
        <w:rPr>
          <w:lang w:eastAsia="lv-LV"/>
        </w:rPr>
        <w:t xml:space="preserve"> </w:t>
      </w:r>
      <w:r>
        <w:rPr>
          <w:lang w:eastAsia="lv-LV"/>
        </w:rPr>
        <w:t xml:space="preserve">424, </w:t>
      </w:r>
      <w:r w:rsidR="001A6D78" w:rsidRPr="001A6D78">
        <w:rPr>
          <w:b/>
          <w:lang w:eastAsia="lv-LV"/>
        </w:rPr>
        <w:t>2015.gadā</w:t>
      </w:r>
      <w:r w:rsidR="001A6D78" w:rsidRPr="001A6D78">
        <w:rPr>
          <w:lang w:eastAsia="lv-LV"/>
        </w:rPr>
        <w:t xml:space="preserve"> kopā ir notikuši 40091 </w:t>
      </w:r>
      <w:proofErr w:type="spellStart"/>
      <w:r w:rsidR="000B0A01">
        <w:rPr>
          <w:lang w:eastAsia="lv-LV"/>
        </w:rPr>
        <w:t>CSNg</w:t>
      </w:r>
      <w:proofErr w:type="spellEnd"/>
      <w:r w:rsidR="000B0A01">
        <w:rPr>
          <w:lang w:eastAsia="lv-LV"/>
        </w:rPr>
        <w:t>, kas ir par 7,</w:t>
      </w:r>
      <w:r w:rsidR="001A6D78" w:rsidRPr="001A6D78">
        <w:rPr>
          <w:lang w:eastAsia="lv-LV"/>
        </w:rPr>
        <w:t xml:space="preserve">4 % vairāk nekā 2014.gadā, kad tika reģistrēti 37326 </w:t>
      </w:r>
      <w:proofErr w:type="spellStart"/>
      <w:r w:rsidR="000B0A01">
        <w:rPr>
          <w:lang w:eastAsia="lv-LV"/>
        </w:rPr>
        <w:t>CSNg</w:t>
      </w:r>
      <w:proofErr w:type="spellEnd"/>
      <w:r w:rsidR="000B0A01">
        <w:rPr>
          <w:lang w:eastAsia="lv-LV"/>
        </w:rPr>
        <w:t>.</w:t>
      </w:r>
      <w:r w:rsidR="001A6D78" w:rsidRPr="001A6D78">
        <w:rPr>
          <w:lang w:eastAsia="lv-LV"/>
        </w:rPr>
        <w:t xml:space="preserve"> Kopumā visvairāk negadījumi ir notikuši vasaras atvaļinājumu laika periodā – jūlijs (3633), augusts (3729) un septembris(3634), savukārt ziemas mēnešos ceļu satiksmes negadījumu skaits ir pat mazāks, piemēram, 2015.gada februārī ir reģistrēti 2691 </w:t>
      </w:r>
      <w:proofErr w:type="spellStart"/>
      <w:r w:rsidR="001A6D78" w:rsidRPr="001A6D78">
        <w:rPr>
          <w:lang w:eastAsia="lv-LV"/>
        </w:rPr>
        <w:t>CSNg</w:t>
      </w:r>
      <w:proofErr w:type="spellEnd"/>
      <w:r w:rsidR="001A6D78" w:rsidRPr="001A6D78">
        <w:rPr>
          <w:lang w:eastAsia="lv-LV"/>
        </w:rPr>
        <w:t>.</w:t>
      </w:r>
    </w:p>
    <w:p w:rsidR="00940263" w:rsidRDefault="008F5361" w:rsidP="00A70D56">
      <w:pPr>
        <w:pStyle w:val="NoSpacing"/>
        <w:ind w:firstLine="426"/>
        <w:jc w:val="both"/>
        <w:rPr>
          <w:lang w:eastAsia="lv-LV"/>
        </w:rPr>
      </w:pPr>
      <w:proofErr w:type="spellStart"/>
      <w:r>
        <w:rPr>
          <w:b/>
          <w:lang w:eastAsia="lv-LV"/>
        </w:rPr>
        <w:t>CSNg</w:t>
      </w:r>
      <w:proofErr w:type="spellEnd"/>
      <w:r w:rsidR="001A6D78" w:rsidRPr="001A6D78">
        <w:rPr>
          <w:b/>
          <w:lang w:eastAsia="lv-LV"/>
        </w:rPr>
        <w:t>, kuros ir cietuši cilvēki,</w:t>
      </w:r>
      <w:r w:rsidR="001A6D78" w:rsidRPr="001A6D78">
        <w:rPr>
          <w:lang w:eastAsia="lv-LV"/>
        </w:rPr>
        <w:t xml:space="preserve"> 2015.gadā ir tikuši reģistrēti 3692 reizes, kas ir par 1 % mazāk kā 2014.gadā – 3728. Visvairāk </w:t>
      </w:r>
      <w:proofErr w:type="spellStart"/>
      <w:r w:rsidR="001A6D78" w:rsidRPr="001A6D78">
        <w:rPr>
          <w:lang w:eastAsia="lv-LV"/>
        </w:rPr>
        <w:t>CSNg</w:t>
      </w:r>
      <w:proofErr w:type="spellEnd"/>
      <w:r w:rsidR="001A6D78" w:rsidRPr="001A6D78">
        <w:rPr>
          <w:lang w:eastAsia="lv-LV"/>
        </w:rPr>
        <w:t xml:space="preserve"> ar cietušajiem atkal ir reģistrēti atvaļinājumu laikā – jūlijā (402), augustā (482) un septembrī (378), savukārt ziemas mēnešos </w:t>
      </w:r>
      <w:proofErr w:type="spellStart"/>
      <w:r w:rsidR="001A6D78" w:rsidRPr="001A6D78">
        <w:rPr>
          <w:lang w:eastAsia="lv-LV"/>
        </w:rPr>
        <w:t>CSNg</w:t>
      </w:r>
      <w:proofErr w:type="spellEnd"/>
      <w:r>
        <w:rPr>
          <w:lang w:eastAsia="lv-LV"/>
        </w:rPr>
        <w:t xml:space="preserve"> skaits ar cietušajiem ir šāds</w:t>
      </w:r>
      <w:r w:rsidR="001A6D78" w:rsidRPr="001A6D78">
        <w:rPr>
          <w:lang w:eastAsia="lv-LV"/>
        </w:rPr>
        <w:t xml:space="preserve"> – janvārī 239, februārī 194, martā 234, oktobrī 321, novembrī 261, decembrī 297. </w:t>
      </w:r>
      <w:r w:rsidR="001E10D1">
        <w:rPr>
          <w:lang w:eastAsia="lv-LV"/>
        </w:rPr>
        <w:t>S</w:t>
      </w:r>
      <w:r w:rsidR="001A6D78" w:rsidRPr="001A6D78">
        <w:rPr>
          <w:lang w:eastAsia="lv-LV"/>
        </w:rPr>
        <w:t xml:space="preserve">tatistika liecina, ka no </w:t>
      </w:r>
      <w:r>
        <w:rPr>
          <w:lang w:eastAsia="lv-LV"/>
        </w:rPr>
        <w:t>negadījumiem un negadījumiem</w:t>
      </w:r>
      <w:r w:rsidR="001A6D78" w:rsidRPr="001A6D78">
        <w:rPr>
          <w:lang w:eastAsia="lv-LV"/>
        </w:rPr>
        <w:t xml:space="preserve"> ar cietušajiem, visbīstamākie ne vienmēr var būt </w:t>
      </w:r>
      <w:r w:rsidR="00250C9E">
        <w:rPr>
          <w:lang w:eastAsia="lv-LV"/>
        </w:rPr>
        <w:t xml:space="preserve">arī </w:t>
      </w:r>
      <w:r w:rsidR="001A6D78" w:rsidRPr="001A6D78">
        <w:rPr>
          <w:lang w:eastAsia="lv-LV"/>
        </w:rPr>
        <w:t>ziemas mēneši</w:t>
      </w:r>
      <w:r w:rsidR="001E10D1">
        <w:rPr>
          <w:lang w:eastAsia="lv-LV"/>
        </w:rPr>
        <w:t>, kad braukšanas apstākļi mēdz būt apgrūtināti</w:t>
      </w:r>
      <w:r w:rsidR="001A6D78" w:rsidRPr="001A6D78">
        <w:rPr>
          <w:lang w:eastAsia="lv-LV"/>
        </w:rPr>
        <w:t>.</w:t>
      </w:r>
      <w:r w:rsidR="00C5543D">
        <w:rPr>
          <w:lang w:eastAsia="lv-LV"/>
        </w:rPr>
        <w:t xml:space="preserve"> </w:t>
      </w:r>
    </w:p>
    <w:p w:rsidR="00400E18" w:rsidRPr="003803AB" w:rsidRDefault="003803AB" w:rsidP="00A70D56">
      <w:pPr>
        <w:pStyle w:val="NoSpacing"/>
        <w:ind w:firstLine="426"/>
        <w:jc w:val="both"/>
        <w:rPr>
          <w:lang w:eastAsia="lv-LV"/>
        </w:rPr>
      </w:pPr>
      <w:r>
        <w:rPr>
          <w:lang w:eastAsia="lv-LV"/>
        </w:rPr>
        <w:t>Latvijā 2015.gadā 25</w:t>
      </w:r>
      <w:r w:rsidR="001E10D1">
        <w:rPr>
          <w:lang w:eastAsia="lv-LV"/>
        </w:rPr>
        <w:t xml:space="preserve"> % no </w:t>
      </w:r>
      <w:proofErr w:type="spellStart"/>
      <w:r w:rsidR="001E10D1">
        <w:rPr>
          <w:lang w:eastAsia="lv-LV"/>
        </w:rPr>
        <w:t>CSNg</w:t>
      </w:r>
      <w:proofErr w:type="spellEnd"/>
      <w:r w:rsidR="001E10D1">
        <w:rPr>
          <w:lang w:eastAsia="lv-LV"/>
        </w:rPr>
        <w:t xml:space="preserve"> ar cietušajiem ir bijuši negadījumi ar gājējiem, divu vai vairāku </w:t>
      </w:r>
      <w:r w:rsidR="005A6F6A" w:rsidRPr="005A6F6A">
        <w:rPr>
          <w:lang w:eastAsia="lv-LV"/>
        </w:rPr>
        <w:t>TL</w:t>
      </w:r>
      <w:r w:rsidR="001E10D1">
        <w:rPr>
          <w:lang w:eastAsia="lv-LV"/>
        </w:rPr>
        <w:t xml:space="preserve"> sadursme ir </w:t>
      </w:r>
      <w:r>
        <w:rPr>
          <w:lang w:eastAsia="lv-LV"/>
        </w:rPr>
        <w:t>45</w:t>
      </w:r>
      <w:r w:rsidR="001E10D1">
        <w:rPr>
          <w:lang w:eastAsia="lv-LV"/>
        </w:rPr>
        <w:t xml:space="preserve"> % gadījumu, savukārt viena </w:t>
      </w:r>
      <w:r w:rsidR="005A6F6A" w:rsidRPr="005A6F6A">
        <w:rPr>
          <w:lang w:eastAsia="lv-LV"/>
        </w:rPr>
        <w:t>TL</w:t>
      </w:r>
      <w:r w:rsidR="001E10D1">
        <w:rPr>
          <w:lang w:eastAsia="lv-LV"/>
        </w:rPr>
        <w:t xml:space="preserve"> negadījumi</w:t>
      </w:r>
      <w:r>
        <w:rPr>
          <w:lang w:eastAsia="lv-LV"/>
        </w:rPr>
        <w:t>, kuros ir cietušie,</w:t>
      </w:r>
      <w:r w:rsidR="001E10D1">
        <w:rPr>
          <w:lang w:eastAsia="lv-LV"/>
        </w:rPr>
        <w:t xml:space="preserve"> ir </w:t>
      </w:r>
      <w:r>
        <w:rPr>
          <w:lang w:eastAsia="lv-LV"/>
        </w:rPr>
        <w:t>30</w:t>
      </w:r>
      <w:r w:rsidR="001E10D1">
        <w:rPr>
          <w:lang w:eastAsia="lv-LV"/>
        </w:rPr>
        <w:t xml:space="preserve"> %. </w:t>
      </w:r>
    </w:p>
    <w:p w:rsidR="00C5543D" w:rsidRDefault="001A6D78" w:rsidP="00A70D56">
      <w:pPr>
        <w:pStyle w:val="NoSpacing"/>
        <w:ind w:firstLine="426"/>
        <w:jc w:val="both"/>
        <w:rPr>
          <w:lang w:eastAsia="lv-LV"/>
        </w:rPr>
      </w:pPr>
      <w:r w:rsidRPr="001A6D78">
        <w:rPr>
          <w:b/>
          <w:lang w:eastAsia="lv-LV"/>
        </w:rPr>
        <w:t xml:space="preserve">2015.gadā </w:t>
      </w:r>
      <w:proofErr w:type="spellStart"/>
      <w:r w:rsidR="008F5361">
        <w:rPr>
          <w:b/>
          <w:lang w:eastAsia="lv-LV"/>
        </w:rPr>
        <w:t>CSNg</w:t>
      </w:r>
      <w:proofErr w:type="spellEnd"/>
      <w:r w:rsidR="008F5361">
        <w:rPr>
          <w:b/>
          <w:lang w:eastAsia="lv-LV"/>
        </w:rPr>
        <w:t xml:space="preserve"> </w:t>
      </w:r>
      <w:r w:rsidRPr="001A6D78">
        <w:rPr>
          <w:b/>
          <w:lang w:eastAsia="lv-LV"/>
        </w:rPr>
        <w:t>kopā ir bojāgājušas</w:t>
      </w:r>
      <w:r w:rsidRPr="001A6D78">
        <w:rPr>
          <w:lang w:eastAsia="lv-LV"/>
        </w:rPr>
        <w:t xml:space="preserve"> </w:t>
      </w:r>
      <w:r w:rsidR="008F5361">
        <w:rPr>
          <w:lang w:eastAsia="lv-LV"/>
        </w:rPr>
        <w:t xml:space="preserve">ir </w:t>
      </w:r>
      <w:r w:rsidRPr="001A6D78">
        <w:rPr>
          <w:lang w:eastAsia="lv-LV"/>
        </w:rPr>
        <w:t>188</w:t>
      </w:r>
      <w:r w:rsidR="001E10D1">
        <w:rPr>
          <w:lang w:eastAsia="lv-LV"/>
        </w:rPr>
        <w:t xml:space="preserve"> (187</w:t>
      </w:r>
      <w:r w:rsidR="001E10D1">
        <w:rPr>
          <w:rStyle w:val="FootnoteReference"/>
          <w:rFonts w:eastAsia="Times New Roman" w:cs="Times New Roman"/>
          <w:lang w:eastAsia="lv-LV"/>
        </w:rPr>
        <w:footnoteReference w:id="6"/>
      </w:r>
      <w:r w:rsidR="001E10D1">
        <w:rPr>
          <w:lang w:eastAsia="lv-LV"/>
        </w:rPr>
        <w:t>)</w:t>
      </w:r>
      <w:r w:rsidRPr="001A6D78">
        <w:rPr>
          <w:lang w:eastAsia="lv-LV"/>
        </w:rPr>
        <w:t xml:space="preserve"> personas, kas ir par 11,3 % mazāk kā 2014.gadā, kad </w:t>
      </w:r>
      <w:proofErr w:type="spellStart"/>
      <w:r w:rsidRPr="001A6D78">
        <w:rPr>
          <w:lang w:eastAsia="lv-LV"/>
        </w:rPr>
        <w:t>CSNg</w:t>
      </w:r>
      <w:proofErr w:type="spellEnd"/>
      <w:r w:rsidRPr="001A6D78">
        <w:rPr>
          <w:lang w:eastAsia="lv-LV"/>
        </w:rPr>
        <w:t xml:space="preserve"> bojā gāja 212 personas. Visvairāk bojāgājušie bija 2015.gada augustā – 30 personas, savukārt tumšajos ziemas mēnešos jau mazāk – janvārī 22, februārī 7, novembrī 17, decembrī 23 personas. Līdzīga tendence ir arī 2014.gadā, kad jūlijā bija 24 bojāgājušie, savukārt augustā 23.</w:t>
      </w:r>
      <w:r w:rsidR="00C5543D">
        <w:rPr>
          <w:lang w:eastAsia="lv-LV"/>
        </w:rPr>
        <w:t xml:space="preserve"> 2015.gada augusts, kad</w:t>
      </w:r>
      <w:r w:rsidR="00C5543D" w:rsidRPr="00C5543D">
        <w:rPr>
          <w:lang w:eastAsia="lv-LV"/>
        </w:rPr>
        <w:t xml:space="preserve"> ceļu satiksmes negadīju</w:t>
      </w:r>
      <w:r w:rsidR="00C5543D">
        <w:rPr>
          <w:lang w:eastAsia="lv-LV"/>
        </w:rPr>
        <w:t xml:space="preserve">mos bojā gājušo cilvēku skaits sasniedza 30, veido </w:t>
      </w:r>
      <w:r w:rsidR="00C5543D" w:rsidRPr="00C5543D">
        <w:rPr>
          <w:lang w:eastAsia="lv-LV"/>
        </w:rPr>
        <w:t xml:space="preserve"> 16% no visiem bojā gājušajiem </w:t>
      </w:r>
      <w:r w:rsidR="00E327CE">
        <w:rPr>
          <w:lang w:eastAsia="lv-LV"/>
        </w:rPr>
        <w:t>2015.</w:t>
      </w:r>
      <w:r w:rsidR="00C5543D" w:rsidRPr="00C5543D">
        <w:rPr>
          <w:lang w:eastAsia="lv-LV"/>
        </w:rPr>
        <w:t xml:space="preserve">gadā. Trīs negadījumos </w:t>
      </w:r>
      <w:r w:rsidR="00C5543D">
        <w:rPr>
          <w:lang w:eastAsia="lv-LV"/>
        </w:rPr>
        <w:t xml:space="preserve">2015.gada </w:t>
      </w:r>
      <w:r w:rsidR="00C5543D" w:rsidRPr="00C5543D">
        <w:rPr>
          <w:lang w:eastAsia="lv-LV"/>
        </w:rPr>
        <w:t>augustā dzīvību zaudēja 8 cilvēki.</w:t>
      </w:r>
      <w:r w:rsidR="003803AB">
        <w:rPr>
          <w:lang w:eastAsia="lv-LV"/>
        </w:rPr>
        <w:t xml:space="preserve"> </w:t>
      </w:r>
    </w:p>
    <w:p w:rsidR="00D1203A" w:rsidRPr="00CF3E5A" w:rsidRDefault="00D1203A" w:rsidP="00D1203A">
      <w:pPr>
        <w:pStyle w:val="NoSpacing"/>
        <w:ind w:firstLine="426"/>
        <w:jc w:val="both"/>
      </w:pPr>
      <w:r>
        <w:t>Latvijā 2015.gadā 33,5</w:t>
      </w:r>
      <w:r w:rsidRPr="00CF3E5A">
        <w:t xml:space="preserve">% no </w:t>
      </w:r>
      <w:proofErr w:type="spellStart"/>
      <w:r w:rsidRPr="00CF3E5A">
        <w:t>CSNg</w:t>
      </w:r>
      <w:proofErr w:type="spellEnd"/>
      <w:r w:rsidRPr="00CF3E5A">
        <w:t xml:space="preserve"> ar bojāgājušajiem ir bijuši negadījumi ar gājējiem, </w:t>
      </w:r>
      <w:r>
        <w:t>34,8</w:t>
      </w:r>
      <w:r w:rsidRPr="00CF3E5A">
        <w:t>% bojāgājušie ir bijuši negadījumos,</w:t>
      </w:r>
      <w:r>
        <w:t xml:space="preserve"> kur notikusi divu vai vairāku transportlīdzekļu</w:t>
      </w:r>
      <w:r w:rsidRPr="00CF3E5A">
        <w:t xml:space="preserve"> sadursme, savukārt viena </w:t>
      </w:r>
      <w:r>
        <w:t>transportlīdzekļa</w:t>
      </w:r>
      <w:r w:rsidRPr="00CF3E5A">
        <w:t xml:space="preserve"> negadījumi, kuros ir bojāgājušie, ir </w:t>
      </w:r>
      <w:r>
        <w:t>29,6</w:t>
      </w:r>
      <w:r w:rsidRPr="00CF3E5A">
        <w:t xml:space="preserve">%.  </w:t>
      </w:r>
    </w:p>
    <w:p w:rsidR="000F191E" w:rsidRDefault="00D1203A" w:rsidP="00D1203A">
      <w:pPr>
        <w:pStyle w:val="NoSpacing"/>
        <w:ind w:firstLine="426"/>
        <w:jc w:val="both"/>
        <w:rPr>
          <w:lang w:eastAsia="lv-LV"/>
        </w:rPr>
      </w:pPr>
      <w:r w:rsidRPr="00CF3E5A">
        <w:t xml:space="preserve">2015.gadā </w:t>
      </w:r>
      <w:proofErr w:type="spellStart"/>
      <w:r w:rsidRPr="00CF3E5A">
        <w:t>CSNg</w:t>
      </w:r>
      <w:proofErr w:type="spellEnd"/>
      <w:r w:rsidRPr="00CF3E5A">
        <w:t xml:space="preserve"> bojāgājušo </w:t>
      </w:r>
      <w:r>
        <w:t>transportlīdzekļu</w:t>
      </w:r>
      <w:r w:rsidRPr="00CF3E5A">
        <w:t xml:space="preserve"> vadītāju negadījuma iemesls ir neatbilstoša ātruma izvēle (</w:t>
      </w:r>
      <w:r>
        <w:t>17,6</w:t>
      </w:r>
      <w:r w:rsidRPr="00CF3E5A">
        <w:t>%), manevrēšanas noteikumu neievērošana (</w:t>
      </w:r>
      <w:r>
        <w:t>0,5</w:t>
      </w:r>
      <w:r w:rsidRPr="00CF3E5A">
        <w:t>%), kā arī neuzmanība (</w:t>
      </w:r>
      <w:r>
        <w:t>10,6%)</w:t>
      </w:r>
      <w:r w:rsidR="00400E18" w:rsidRPr="00400E18">
        <w:rPr>
          <w:lang w:eastAsia="lv-LV"/>
        </w:rPr>
        <w:t>.</w:t>
      </w:r>
    </w:p>
    <w:p w:rsidR="000F191E" w:rsidRDefault="000F191E" w:rsidP="00A70D56">
      <w:pPr>
        <w:pStyle w:val="BodyText"/>
        <w:ind w:firstLine="426"/>
        <w:rPr>
          <w:b w:val="0"/>
          <w:bCs/>
          <w:color w:val="000000" w:themeColor="text1"/>
          <w:lang w:val="lv-LV"/>
        </w:rPr>
      </w:pPr>
      <w:r>
        <w:rPr>
          <w:b w:val="0"/>
          <w:bCs/>
          <w:color w:val="000000" w:themeColor="text1"/>
          <w:lang w:val="lv-LV"/>
        </w:rPr>
        <w:t>2015.gadā</w:t>
      </w:r>
      <w:r w:rsidRPr="00F55581">
        <w:rPr>
          <w:b w:val="0"/>
          <w:bCs/>
          <w:color w:val="000000" w:themeColor="text1"/>
          <w:lang w:val="lv-LV"/>
        </w:rPr>
        <w:t xml:space="preserve"> 45,2% </w:t>
      </w:r>
      <w:r>
        <w:rPr>
          <w:b w:val="0"/>
          <w:bCs/>
          <w:color w:val="000000" w:themeColor="text1"/>
          <w:lang w:val="lv-LV"/>
        </w:rPr>
        <w:t xml:space="preserve">no </w:t>
      </w:r>
      <w:r w:rsidRPr="00F55581">
        <w:rPr>
          <w:b w:val="0"/>
          <w:bCs/>
          <w:color w:val="000000" w:themeColor="text1"/>
          <w:lang w:val="lv-LV"/>
        </w:rPr>
        <w:t>bojāgājušie</w:t>
      </w:r>
      <w:r>
        <w:rPr>
          <w:b w:val="0"/>
          <w:bCs/>
          <w:color w:val="000000" w:themeColor="text1"/>
          <w:lang w:val="lv-LV"/>
        </w:rPr>
        <w:t xml:space="preserve">m </w:t>
      </w:r>
      <w:proofErr w:type="spellStart"/>
      <w:r>
        <w:rPr>
          <w:b w:val="0"/>
          <w:bCs/>
          <w:color w:val="000000" w:themeColor="text1"/>
          <w:lang w:val="lv-LV"/>
        </w:rPr>
        <w:t>CSNg</w:t>
      </w:r>
      <w:proofErr w:type="spellEnd"/>
      <w:r>
        <w:rPr>
          <w:b w:val="0"/>
          <w:bCs/>
          <w:color w:val="000000" w:themeColor="text1"/>
          <w:lang w:val="lv-LV"/>
        </w:rPr>
        <w:t xml:space="preserve"> ir</w:t>
      </w:r>
      <w:r w:rsidRPr="00F55581">
        <w:rPr>
          <w:b w:val="0"/>
          <w:bCs/>
          <w:color w:val="000000" w:themeColor="text1"/>
          <w:lang w:val="lv-LV"/>
        </w:rPr>
        <w:t xml:space="preserve"> vieglo automobiļu vadītāji un pasažieri, </w:t>
      </w:r>
      <w:r>
        <w:rPr>
          <w:b w:val="0"/>
          <w:bCs/>
          <w:color w:val="000000" w:themeColor="text1"/>
          <w:lang w:val="lv-LV"/>
        </w:rPr>
        <w:t>tāpat aptuveni puse</w:t>
      </w:r>
      <w:r w:rsidRPr="00F55581">
        <w:rPr>
          <w:b w:val="0"/>
          <w:bCs/>
          <w:color w:val="000000" w:themeColor="text1"/>
          <w:lang w:val="lv-LV"/>
        </w:rPr>
        <w:t xml:space="preserve"> no šiem </w:t>
      </w:r>
      <w:r>
        <w:rPr>
          <w:b w:val="0"/>
          <w:bCs/>
          <w:color w:val="000000" w:themeColor="text1"/>
          <w:lang w:val="lv-LV"/>
        </w:rPr>
        <w:t xml:space="preserve">negadījumiem ir viena </w:t>
      </w:r>
      <w:r w:rsidR="005A6F6A" w:rsidRPr="005A6F6A">
        <w:rPr>
          <w:b w:val="0"/>
          <w:bCs/>
          <w:color w:val="000000" w:themeColor="text1"/>
          <w:lang w:val="lv-LV"/>
        </w:rPr>
        <w:t>TL</w:t>
      </w:r>
      <w:r w:rsidRPr="00F55581">
        <w:rPr>
          <w:b w:val="0"/>
          <w:bCs/>
          <w:color w:val="000000" w:themeColor="text1"/>
          <w:lang w:val="lv-LV"/>
        </w:rPr>
        <w:t xml:space="preserve"> negadījumi</w:t>
      </w:r>
      <w:r>
        <w:rPr>
          <w:b w:val="0"/>
          <w:bCs/>
          <w:color w:val="000000" w:themeColor="text1"/>
          <w:lang w:val="lv-LV"/>
        </w:rPr>
        <w:t xml:space="preserve">.  </w:t>
      </w:r>
      <w:r>
        <w:rPr>
          <w:b w:val="0"/>
          <w:bCs/>
          <w:color w:val="000000" w:themeColor="text1"/>
          <w:lang w:val="lv-LV"/>
        </w:rPr>
        <w:br/>
      </w:r>
      <w:r w:rsidR="00E327CE">
        <w:rPr>
          <w:b w:val="0"/>
          <w:bCs/>
          <w:color w:val="000000" w:themeColor="text1"/>
          <w:lang w:val="lv-LV"/>
        </w:rPr>
        <w:t xml:space="preserve">Vienlaikus </w:t>
      </w:r>
      <w:r>
        <w:rPr>
          <w:b w:val="0"/>
          <w:bCs/>
          <w:color w:val="000000" w:themeColor="text1"/>
          <w:lang w:val="lv-LV"/>
        </w:rPr>
        <w:t xml:space="preserve">jānorāda, </w:t>
      </w:r>
      <w:r w:rsidRPr="00F55581">
        <w:rPr>
          <w:b w:val="0"/>
          <w:bCs/>
          <w:color w:val="000000" w:themeColor="text1"/>
          <w:lang w:val="lv-LV"/>
        </w:rPr>
        <w:t xml:space="preserve">lai gan 2015. gadā par 16,5% samazinājies bojāgājušo </w:t>
      </w:r>
      <w:proofErr w:type="spellStart"/>
      <w:r w:rsidRPr="00F55581">
        <w:rPr>
          <w:b w:val="0"/>
          <w:bCs/>
          <w:color w:val="000000" w:themeColor="text1"/>
          <w:lang w:val="lv-LV"/>
        </w:rPr>
        <w:t>mazaizsargāto</w:t>
      </w:r>
      <w:proofErr w:type="spellEnd"/>
      <w:r w:rsidRPr="00F55581">
        <w:rPr>
          <w:b w:val="0"/>
          <w:bCs/>
          <w:color w:val="000000" w:themeColor="text1"/>
          <w:lang w:val="lv-LV"/>
        </w:rPr>
        <w:t xml:space="preserve"> satiksmes dalībnieku skaits, tie vēl aizvien ir 45,7% no visiem bojāgājušajiem</w:t>
      </w:r>
      <w:r>
        <w:rPr>
          <w:b w:val="0"/>
          <w:bCs/>
          <w:color w:val="000000" w:themeColor="text1"/>
          <w:lang w:val="lv-LV"/>
        </w:rPr>
        <w:t xml:space="preserve"> (gājēji, velosipēdisti, mopēdisti, motociklisti un </w:t>
      </w:r>
      <w:proofErr w:type="spellStart"/>
      <w:r>
        <w:rPr>
          <w:b w:val="0"/>
          <w:bCs/>
          <w:color w:val="000000" w:themeColor="text1"/>
          <w:lang w:val="lv-LV"/>
        </w:rPr>
        <w:t>kvadraciklu</w:t>
      </w:r>
      <w:proofErr w:type="spellEnd"/>
      <w:r>
        <w:rPr>
          <w:b w:val="0"/>
          <w:bCs/>
          <w:color w:val="000000" w:themeColor="text1"/>
          <w:lang w:val="lv-LV"/>
        </w:rPr>
        <w:t xml:space="preserve"> braucēji)</w:t>
      </w:r>
      <w:r w:rsidRPr="00F55581">
        <w:rPr>
          <w:b w:val="0"/>
          <w:bCs/>
          <w:color w:val="000000" w:themeColor="text1"/>
          <w:lang w:val="lv-LV"/>
        </w:rPr>
        <w:t>.</w:t>
      </w:r>
    </w:p>
    <w:p w:rsidR="00950714" w:rsidRDefault="00950714" w:rsidP="00A70D56">
      <w:pPr>
        <w:pStyle w:val="BodyText"/>
        <w:ind w:firstLine="426"/>
        <w:rPr>
          <w:b w:val="0"/>
          <w:bCs/>
          <w:color w:val="000000" w:themeColor="text1"/>
          <w:lang w:val="lv-LV"/>
        </w:rPr>
      </w:pPr>
    </w:p>
    <w:p w:rsidR="000F191E" w:rsidRPr="005B508C" w:rsidRDefault="00950714" w:rsidP="00127D28">
      <w:pPr>
        <w:pStyle w:val="BodyText"/>
        <w:jc w:val="right"/>
        <w:rPr>
          <w:bCs/>
          <w:color w:val="000000" w:themeColor="text1"/>
          <w:lang w:val="lv-LV"/>
        </w:rPr>
      </w:pPr>
      <w:r w:rsidRPr="005B508C">
        <w:rPr>
          <w:bCs/>
          <w:color w:val="000000" w:themeColor="text1"/>
          <w:lang w:val="lv-LV"/>
        </w:rPr>
        <w:t xml:space="preserve">1. tabula. 2015.gadā </w:t>
      </w:r>
      <w:proofErr w:type="spellStart"/>
      <w:r w:rsidRPr="005B508C">
        <w:rPr>
          <w:bCs/>
          <w:color w:val="000000" w:themeColor="text1"/>
          <w:lang w:val="lv-LV"/>
        </w:rPr>
        <w:t>CSNg</w:t>
      </w:r>
      <w:proofErr w:type="spellEnd"/>
      <w:r w:rsidRPr="005B508C">
        <w:rPr>
          <w:bCs/>
          <w:color w:val="000000" w:themeColor="text1"/>
          <w:lang w:val="lv-LV"/>
        </w:rPr>
        <w:t xml:space="preserve"> cietušo un bojāgājušo skaits pēc </w:t>
      </w:r>
      <w:r w:rsidR="005A6F6A" w:rsidRPr="005A6F6A">
        <w:rPr>
          <w:bCs/>
          <w:color w:val="000000" w:themeColor="text1"/>
          <w:lang w:val="lv-LV"/>
        </w:rPr>
        <w:t>TL</w:t>
      </w:r>
      <w:r w:rsidRPr="005B508C">
        <w:rPr>
          <w:bCs/>
          <w:color w:val="000000" w:themeColor="text1"/>
          <w:lang w:val="lv-LV"/>
        </w:rPr>
        <w:t xml:space="preserve"> veida vai ceļu satiksmes dalībnieka statusa.</w:t>
      </w:r>
    </w:p>
    <w:p w:rsidR="00A70D56" w:rsidRDefault="00A70D56" w:rsidP="00A70D56">
      <w:pPr>
        <w:pStyle w:val="BodyText"/>
        <w:ind w:firstLine="142"/>
        <w:jc w:val="center"/>
        <w:rPr>
          <w:b w:val="0"/>
          <w:bCs/>
          <w:color w:val="000000" w:themeColor="text1"/>
          <w:lang w:val="lv-LV"/>
        </w:rPr>
      </w:pPr>
      <w:r w:rsidRPr="00A70D56">
        <w:rPr>
          <w:noProof/>
          <w:lang w:val="lv-LV" w:eastAsia="lv-LV"/>
        </w:rPr>
        <w:drawing>
          <wp:inline distT="0" distB="0" distL="0" distR="0" wp14:anchorId="4A605E35" wp14:editId="6166CED9">
            <wp:extent cx="5941060" cy="207937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2079371"/>
                    </a:xfrm>
                    <a:prstGeom prst="rect">
                      <a:avLst/>
                    </a:prstGeom>
                    <a:noFill/>
                    <a:ln>
                      <a:noFill/>
                    </a:ln>
                  </pic:spPr>
                </pic:pic>
              </a:graphicData>
            </a:graphic>
          </wp:inline>
        </w:drawing>
      </w:r>
    </w:p>
    <w:p w:rsidR="000F191E" w:rsidRPr="00EF2BB5" w:rsidRDefault="000F191E" w:rsidP="00A70D56">
      <w:pPr>
        <w:spacing w:after="120"/>
        <w:ind w:firstLine="426"/>
        <w:jc w:val="center"/>
        <w:rPr>
          <w:rFonts w:eastAsia="Times New Roman" w:cs="Times New Roman"/>
          <w:b/>
          <w:lang w:eastAsia="lv-LV"/>
        </w:rPr>
      </w:pPr>
    </w:p>
    <w:p w:rsidR="000F191E" w:rsidRPr="001A6D78" w:rsidRDefault="000F191E" w:rsidP="00A70D56">
      <w:pPr>
        <w:pStyle w:val="NoSpacing"/>
        <w:ind w:firstLine="426"/>
        <w:jc w:val="both"/>
        <w:rPr>
          <w:lang w:eastAsia="lv-LV"/>
        </w:rPr>
      </w:pPr>
    </w:p>
    <w:p w:rsidR="001A6D78" w:rsidRPr="001A6D78" w:rsidRDefault="001A6D78" w:rsidP="00A70D56">
      <w:pPr>
        <w:pStyle w:val="NoSpacing"/>
        <w:ind w:firstLine="426"/>
        <w:jc w:val="both"/>
        <w:rPr>
          <w:lang w:eastAsia="lv-LV"/>
        </w:rPr>
      </w:pPr>
      <w:r w:rsidRPr="001A6D78">
        <w:rPr>
          <w:b/>
          <w:lang w:eastAsia="lv-LV"/>
        </w:rPr>
        <w:t xml:space="preserve">2015.gadā </w:t>
      </w:r>
      <w:proofErr w:type="spellStart"/>
      <w:r w:rsidRPr="001A6D78">
        <w:rPr>
          <w:b/>
          <w:lang w:eastAsia="lv-LV"/>
        </w:rPr>
        <w:t>CSNg</w:t>
      </w:r>
      <w:proofErr w:type="spellEnd"/>
      <w:r w:rsidRPr="001A6D78">
        <w:rPr>
          <w:b/>
          <w:lang w:eastAsia="lv-LV"/>
        </w:rPr>
        <w:t xml:space="preserve"> cietušo skaits</w:t>
      </w:r>
      <w:r w:rsidRPr="001A6D78">
        <w:rPr>
          <w:lang w:eastAsia="lv-LV"/>
        </w:rPr>
        <w:t xml:space="preserve"> ir 4566, kas ir par 0.8 % maz</w:t>
      </w:r>
      <w:r w:rsidR="000B30A2">
        <w:rPr>
          <w:lang w:eastAsia="lv-LV"/>
        </w:rPr>
        <w:t xml:space="preserve">āk kā 2014.gadā – 4603 personas, tātad </w:t>
      </w:r>
      <w:r w:rsidR="000B30A2" w:rsidRPr="000B30A2">
        <w:rPr>
          <w:lang w:eastAsia="lv-LV"/>
        </w:rPr>
        <w:t>kopējais ievainoto skaits nav būtis</w:t>
      </w:r>
      <w:r w:rsidR="000B30A2">
        <w:rPr>
          <w:lang w:eastAsia="lv-LV"/>
        </w:rPr>
        <w:t>ki mainījies.</w:t>
      </w:r>
      <w:r w:rsidRPr="001A6D78">
        <w:rPr>
          <w:lang w:eastAsia="lv-LV"/>
        </w:rPr>
        <w:t xml:space="preserve"> </w:t>
      </w:r>
      <w:r w:rsidR="00453943">
        <w:rPr>
          <w:lang w:eastAsia="lv-LV"/>
        </w:rPr>
        <w:t xml:space="preserve"> </w:t>
      </w:r>
      <w:r w:rsidR="00453943">
        <w:rPr>
          <w:b/>
          <w:bCs/>
          <w:color w:val="000000" w:themeColor="text1"/>
        </w:rPr>
        <w:t xml:space="preserve">Smagi ievainotas </w:t>
      </w:r>
      <w:r w:rsidR="00453943">
        <w:rPr>
          <w:bCs/>
          <w:color w:val="000000" w:themeColor="text1"/>
        </w:rPr>
        <w:t>2015.gadā ir</w:t>
      </w:r>
      <w:r w:rsidR="00453943" w:rsidRPr="00F55581">
        <w:rPr>
          <w:b/>
          <w:bCs/>
          <w:color w:val="000000" w:themeColor="text1"/>
        </w:rPr>
        <w:t xml:space="preserve"> </w:t>
      </w:r>
      <w:r w:rsidR="00453943" w:rsidRPr="00453943">
        <w:rPr>
          <w:bCs/>
          <w:color w:val="000000" w:themeColor="text1"/>
        </w:rPr>
        <w:t>479 personas (2014.gadā – 434 personas), tātad pieaugums ir + 10,4%.</w:t>
      </w:r>
      <w:r w:rsidR="00453943">
        <w:rPr>
          <w:b/>
          <w:bCs/>
          <w:color w:val="000000" w:themeColor="text1"/>
        </w:rPr>
        <w:t xml:space="preserve"> </w:t>
      </w:r>
      <w:r w:rsidRPr="001A6D78">
        <w:rPr>
          <w:lang w:eastAsia="lv-LV"/>
        </w:rPr>
        <w:t xml:space="preserve">Augusta mēnesī ir cietušas 593 personas, jūlijā 511, bet </w:t>
      </w:r>
      <w:r w:rsidRPr="001A6D78">
        <w:rPr>
          <w:lang w:eastAsia="lv-LV"/>
        </w:rPr>
        <w:lastRenderedPageBreak/>
        <w:t xml:space="preserve">septembrī 440 personas.  Ziemas mēnešos – janvārī 294 personas, februārī 247, martā 283, oktobrī 422, novembrī 306, decembrī 339 personas. </w:t>
      </w:r>
    </w:p>
    <w:p w:rsidR="001A6D78" w:rsidRPr="001A6D78" w:rsidRDefault="003803AB" w:rsidP="00A70D56">
      <w:pPr>
        <w:pStyle w:val="NoSpacing"/>
        <w:ind w:firstLine="426"/>
        <w:jc w:val="both"/>
        <w:rPr>
          <w:lang w:eastAsia="lv-LV"/>
        </w:rPr>
      </w:pPr>
      <w:r>
        <w:rPr>
          <w:b/>
          <w:lang w:eastAsia="lv-LV"/>
        </w:rPr>
        <w:t xml:space="preserve">2015.gadā </w:t>
      </w:r>
      <w:proofErr w:type="spellStart"/>
      <w:r>
        <w:rPr>
          <w:b/>
          <w:lang w:eastAsia="lv-LV"/>
        </w:rPr>
        <w:t>m</w:t>
      </w:r>
      <w:r w:rsidR="001A6D78" w:rsidRPr="001A6D78">
        <w:rPr>
          <w:b/>
          <w:lang w:eastAsia="lv-LV"/>
        </w:rPr>
        <w:t>azaiz</w:t>
      </w:r>
      <w:r w:rsidR="00E327CE">
        <w:rPr>
          <w:b/>
          <w:lang w:eastAsia="lv-LV"/>
        </w:rPr>
        <w:t>s</w:t>
      </w:r>
      <w:r w:rsidR="001A6D78" w:rsidRPr="001A6D78">
        <w:rPr>
          <w:b/>
          <w:lang w:eastAsia="lv-LV"/>
        </w:rPr>
        <w:t>argātākie</w:t>
      </w:r>
      <w:proofErr w:type="spellEnd"/>
      <w:r w:rsidR="001A6D78" w:rsidRPr="001A6D78">
        <w:rPr>
          <w:b/>
          <w:lang w:eastAsia="lv-LV"/>
        </w:rPr>
        <w:t xml:space="preserve"> </w:t>
      </w:r>
      <w:r w:rsidR="008F5361">
        <w:rPr>
          <w:lang w:eastAsia="lv-LV"/>
        </w:rPr>
        <w:t>c</w:t>
      </w:r>
      <w:r w:rsidR="001A6D78" w:rsidRPr="001A6D78">
        <w:rPr>
          <w:lang w:eastAsia="lv-LV"/>
        </w:rPr>
        <w:t>eļu satiksmes dalībnie</w:t>
      </w:r>
      <w:r w:rsidR="00250C9E">
        <w:rPr>
          <w:lang w:eastAsia="lv-LV"/>
        </w:rPr>
        <w:t>ki no bojāgājušo skaita veido 45.7</w:t>
      </w:r>
      <w:r w:rsidR="001A6D78" w:rsidRPr="001A6D78">
        <w:rPr>
          <w:lang w:eastAsia="lv-LV"/>
        </w:rPr>
        <w:t xml:space="preserve"> %, tas ir 86 personas. 2014.gadā bija par 16,5 % vairāk – 103 personas. No bojāgājušiem tieši gājēji ir 63 personas</w:t>
      </w:r>
      <w:r w:rsidR="00D1203A">
        <w:rPr>
          <w:lang w:eastAsia="lv-LV"/>
        </w:rPr>
        <w:t xml:space="preserve"> (33,5</w:t>
      </w:r>
      <w:r w:rsidR="00400E18">
        <w:rPr>
          <w:lang w:eastAsia="lv-LV"/>
        </w:rPr>
        <w:t xml:space="preserve"> % no bojāgājušajiem)</w:t>
      </w:r>
      <w:r w:rsidR="001A6D78" w:rsidRPr="001A6D78">
        <w:rPr>
          <w:lang w:eastAsia="lv-LV"/>
        </w:rPr>
        <w:t>, kas ir par 11,3 % mazāk kā 2014.gadā – 71 persona.</w:t>
      </w:r>
      <w:r w:rsidR="00400E18">
        <w:rPr>
          <w:lang w:eastAsia="lv-LV"/>
        </w:rPr>
        <w:t xml:space="preserve"> Tāpat jānorāda, ka </w:t>
      </w:r>
      <w:r w:rsidR="00400E18" w:rsidRPr="00400E18">
        <w:rPr>
          <w:lang w:eastAsia="lv-LV"/>
        </w:rPr>
        <w:t>60% no gājējiem negadījuma laikā atradušies uz brauktuves.</w:t>
      </w:r>
      <w:r w:rsidR="00E327CE">
        <w:rPr>
          <w:lang w:eastAsia="lv-LV"/>
        </w:rPr>
        <w:t xml:space="preserve"> 2015.gadā </w:t>
      </w:r>
      <w:proofErr w:type="spellStart"/>
      <w:r w:rsidR="00E327CE">
        <w:rPr>
          <w:lang w:eastAsia="lv-LV"/>
        </w:rPr>
        <w:t>CSNg</w:t>
      </w:r>
      <w:proofErr w:type="spellEnd"/>
      <w:r w:rsidR="00E327CE">
        <w:rPr>
          <w:lang w:eastAsia="lv-LV"/>
        </w:rPr>
        <w:t xml:space="preserve"> </w:t>
      </w:r>
      <w:r w:rsidR="006A0E95">
        <w:rPr>
          <w:lang w:eastAsia="lv-LV"/>
        </w:rPr>
        <w:t xml:space="preserve">gājuši </w:t>
      </w:r>
      <w:r w:rsidR="00E327CE">
        <w:rPr>
          <w:lang w:eastAsia="lv-LV"/>
        </w:rPr>
        <w:t xml:space="preserve">bojā ir </w:t>
      </w:r>
      <w:r w:rsidR="006A0E95">
        <w:rPr>
          <w:lang w:eastAsia="lv-LV"/>
        </w:rPr>
        <w:t xml:space="preserve">9 velosipēdisti, ievainoti </w:t>
      </w:r>
      <w:r w:rsidR="00D1203A">
        <w:rPr>
          <w:lang w:eastAsia="lv-LV"/>
        </w:rPr>
        <w:t>548</w:t>
      </w:r>
      <w:r w:rsidR="001E10D1">
        <w:rPr>
          <w:lang w:eastAsia="lv-LV"/>
        </w:rPr>
        <w:t>, bet smagi ievainots</w:t>
      </w:r>
      <w:r w:rsidR="006A0E95">
        <w:rPr>
          <w:lang w:eastAsia="lv-LV"/>
        </w:rPr>
        <w:t xml:space="preserve"> 31 velosipēdists</w:t>
      </w:r>
      <w:r w:rsidR="001E10D1">
        <w:rPr>
          <w:lang w:eastAsia="lv-LV"/>
        </w:rPr>
        <w:t>.</w:t>
      </w:r>
    </w:p>
    <w:p w:rsidR="00C5543D" w:rsidRDefault="00E327CE" w:rsidP="00A70D56">
      <w:pPr>
        <w:spacing w:after="120"/>
        <w:ind w:firstLine="426"/>
        <w:jc w:val="both"/>
        <w:rPr>
          <w:rFonts w:eastAsia="Times New Roman" w:cs="Times New Roman"/>
          <w:lang w:eastAsia="lv-LV"/>
        </w:rPr>
      </w:pPr>
      <w:r>
        <w:rPr>
          <w:rFonts w:eastAsia="Times New Roman" w:cs="Times New Roman"/>
          <w:b/>
          <w:lang w:eastAsia="lv-LV"/>
        </w:rPr>
        <w:t>M</w:t>
      </w:r>
      <w:r w:rsidR="001A6D78" w:rsidRPr="00250C9E">
        <w:rPr>
          <w:rFonts w:eastAsia="Times New Roman" w:cs="Times New Roman"/>
          <w:b/>
          <w:lang w:eastAsia="lv-LV"/>
        </w:rPr>
        <w:t xml:space="preserve">otociklisti </w:t>
      </w:r>
      <w:r w:rsidR="001A6D78" w:rsidRPr="001A6D78">
        <w:rPr>
          <w:rFonts w:eastAsia="Times New Roman" w:cs="Times New Roman"/>
          <w:lang w:eastAsia="lv-LV"/>
        </w:rPr>
        <w:t xml:space="preserve">kā bojāgājušie </w:t>
      </w:r>
      <w:proofErr w:type="spellStart"/>
      <w:r w:rsidR="001A6D78" w:rsidRPr="001A6D78">
        <w:rPr>
          <w:rFonts w:eastAsia="Times New Roman" w:cs="Times New Roman"/>
          <w:lang w:eastAsia="lv-LV"/>
        </w:rPr>
        <w:t>CSNg</w:t>
      </w:r>
      <w:proofErr w:type="spellEnd"/>
      <w:r w:rsidR="001A6D78" w:rsidRPr="001A6D78">
        <w:rPr>
          <w:rFonts w:eastAsia="Times New Roman" w:cs="Times New Roman"/>
          <w:lang w:eastAsia="lv-LV"/>
        </w:rPr>
        <w:t xml:space="preserve">  ir tikai 7 personas 2015.gadā, savukārt 2014.gadā</w:t>
      </w:r>
      <w:r w:rsidR="008F5361">
        <w:rPr>
          <w:rFonts w:eastAsia="Times New Roman" w:cs="Times New Roman"/>
          <w:lang w:eastAsia="lv-LV"/>
        </w:rPr>
        <w:t xml:space="preserve"> tās</w:t>
      </w:r>
      <w:r w:rsidR="001A6D78" w:rsidRPr="001A6D78">
        <w:rPr>
          <w:rFonts w:eastAsia="Times New Roman" w:cs="Times New Roman"/>
          <w:lang w:eastAsia="lv-LV"/>
        </w:rPr>
        <w:t xml:space="preserve"> bija</w:t>
      </w:r>
      <w:r w:rsidR="008F5361">
        <w:rPr>
          <w:rFonts w:eastAsia="Times New Roman" w:cs="Times New Roman"/>
          <w:lang w:eastAsia="lv-LV"/>
        </w:rPr>
        <w:t xml:space="preserve"> </w:t>
      </w:r>
      <w:r w:rsidR="001A6D78" w:rsidRPr="001A6D78">
        <w:rPr>
          <w:rFonts w:eastAsia="Times New Roman" w:cs="Times New Roman"/>
          <w:lang w:eastAsia="lv-LV"/>
        </w:rPr>
        <w:t xml:space="preserve">10 personas. Svarīgi, ka lielākā daļa no </w:t>
      </w:r>
      <w:proofErr w:type="spellStart"/>
      <w:r w:rsidR="001A6D78" w:rsidRPr="001A6D78">
        <w:rPr>
          <w:rFonts w:eastAsia="Times New Roman" w:cs="Times New Roman"/>
          <w:lang w:eastAsia="lv-LV"/>
        </w:rPr>
        <w:t>mazaizsargātajiem</w:t>
      </w:r>
      <w:proofErr w:type="spellEnd"/>
      <w:r w:rsidR="001A6D78" w:rsidRPr="001A6D78">
        <w:rPr>
          <w:rFonts w:eastAsia="Times New Roman" w:cs="Times New Roman"/>
          <w:lang w:eastAsia="lv-LV"/>
        </w:rPr>
        <w:t xml:space="preserve">  bojāgājušajiem ir tieši gājēji – 33,5 %.</w:t>
      </w:r>
    </w:p>
    <w:p w:rsidR="00C5543D" w:rsidRDefault="00C5543D" w:rsidP="00A70D56">
      <w:pPr>
        <w:spacing w:after="120"/>
        <w:ind w:firstLine="426"/>
        <w:jc w:val="center"/>
        <w:rPr>
          <w:rFonts w:eastAsia="Times New Roman" w:cs="Times New Roman"/>
          <w:lang w:eastAsia="lv-LV"/>
        </w:rPr>
      </w:pPr>
      <w:r>
        <w:rPr>
          <w:rFonts w:eastAsia="Times New Roman" w:cs="Times New Roman"/>
          <w:noProof/>
          <w:lang w:eastAsia="lv-LV"/>
        </w:rPr>
        <w:drawing>
          <wp:inline distT="0" distB="0" distL="0" distR="0" wp14:anchorId="2ABE1F27" wp14:editId="4FFC9380">
            <wp:extent cx="2733675" cy="2369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0713" cy="2384246"/>
                    </a:xfrm>
                    <a:prstGeom prst="rect">
                      <a:avLst/>
                    </a:prstGeom>
                    <a:noFill/>
                    <a:ln>
                      <a:noFill/>
                    </a:ln>
                  </pic:spPr>
                </pic:pic>
              </a:graphicData>
            </a:graphic>
          </wp:inline>
        </w:drawing>
      </w:r>
    </w:p>
    <w:p w:rsidR="00C5543D" w:rsidRDefault="00950714" w:rsidP="00A70D56">
      <w:pPr>
        <w:spacing w:after="120"/>
        <w:ind w:firstLine="426"/>
        <w:jc w:val="center"/>
        <w:rPr>
          <w:rFonts w:eastAsia="Times New Roman" w:cs="Times New Roman"/>
          <w:b/>
          <w:bCs/>
          <w:lang w:eastAsia="lv-LV"/>
        </w:rPr>
      </w:pPr>
      <w:r>
        <w:rPr>
          <w:rFonts w:eastAsia="Times New Roman" w:cs="Times New Roman"/>
          <w:b/>
          <w:color w:val="000000" w:themeColor="text1"/>
          <w:lang w:eastAsia="lv-LV"/>
        </w:rPr>
        <w:t>5</w:t>
      </w:r>
      <w:r w:rsidR="00C5543D" w:rsidRPr="00CA4F73">
        <w:rPr>
          <w:rFonts w:eastAsia="Times New Roman" w:cs="Times New Roman"/>
          <w:b/>
          <w:color w:val="000000" w:themeColor="text1"/>
          <w:lang w:eastAsia="lv-LV"/>
        </w:rPr>
        <w:t>. attēls</w:t>
      </w:r>
      <w:r w:rsidR="00C5543D">
        <w:rPr>
          <w:rFonts w:eastAsia="Times New Roman" w:cs="Times New Roman"/>
          <w:b/>
          <w:lang w:eastAsia="lv-LV"/>
        </w:rPr>
        <w:t xml:space="preserve">. Statistika par 2014. un 2015. gadā </w:t>
      </w:r>
      <w:proofErr w:type="spellStart"/>
      <w:r w:rsidR="00C5543D" w:rsidRPr="00C5543D">
        <w:rPr>
          <w:rFonts w:eastAsia="Times New Roman" w:cs="Times New Roman"/>
          <w:b/>
          <w:bCs/>
          <w:lang w:eastAsia="lv-LV"/>
        </w:rPr>
        <w:t>CSNg</w:t>
      </w:r>
      <w:proofErr w:type="spellEnd"/>
      <w:r w:rsidR="00C5543D">
        <w:rPr>
          <w:rFonts w:eastAsia="Times New Roman" w:cs="Times New Roman"/>
          <w:b/>
          <w:bCs/>
          <w:lang w:eastAsia="lv-LV"/>
        </w:rPr>
        <w:t xml:space="preserve"> cietušajiem bērniem</w:t>
      </w:r>
      <w:r w:rsidR="008F5021">
        <w:rPr>
          <w:rStyle w:val="FootnoteReference"/>
          <w:rFonts w:eastAsia="Times New Roman" w:cs="Times New Roman"/>
          <w:b/>
          <w:bCs/>
          <w:lang w:eastAsia="lv-LV"/>
        </w:rPr>
        <w:footnoteReference w:id="7"/>
      </w:r>
      <w:r w:rsidR="00C5543D">
        <w:rPr>
          <w:rFonts w:eastAsia="Times New Roman" w:cs="Times New Roman"/>
          <w:b/>
          <w:bCs/>
          <w:lang w:eastAsia="lv-LV"/>
        </w:rPr>
        <w:t xml:space="preserve">. </w:t>
      </w:r>
    </w:p>
    <w:p w:rsidR="00C5543D" w:rsidRPr="00C5543D" w:rsidRDefault="00C5543D" w:rsidP="008A0F2C">
      <w:pPr>
        <w:spacing w:after="120"/>
        <w:ind w:firstLine="426"/>
        <w:jc w:val="both"/>
        <w:rPr>
          <w:rFonts w:eastAsia="Times New Roman" w:cs="Times New Roman"/>
          <w:lang w:eastAsia="lv-LV"/>
        </w:rPr>
      </w:pPr>
      <w:r>
        <w:rPr>
          <w:rFonts w:eastAsia="Times New Roman" w:cs="Times New Roman"/>
          <w:b/>
          <w:bCs/>
          <w:lang w:eastAsia="lv-LV"/>
        </w:rPr>
        <w:t xml:space="preserve">2015.gadā </w:t>
      </w:r>
      <w:r>
        <w:rPr>
          <w:rFonts w:eastAsia="Times New Roman" w:cs="Times New Roman"/>
          <w:bCs/>
          <w:lang w:eastAsia="lv-LV"/>
        </w:rPr>
        <w:t xml:space="preserve">ir pieaudzis </w:t>
      </w:r>
      <w:r>
        <w:rPr>
          <w:rFonts w:eastAsia="Times New Roman" w:cs="Times New Roman"/>
          <w:b/>
          <w:bCs/>
          <w:lang w:eastAsia="lv-LV"/>
        </w:rPr>
        <w:t>bojāgājušo bērnu</w:t>
      </w:r>
      <w:r w:rsidR="008F5021">
        <w:rPr>
          <w:rFonts w:eastAsia="Times New Roman" w:cs="Times New Roman"/>
          <w:b/>
          <w:bCs/>
          <w:vertAlign w:val="superscript"/>
          <w:lang w:eastAsia="lv-LV"/>
        </w:rPr>
        <w:t>7</w:t>
      </w:r>
      <w:r>
        <w:rPr>
          <w:rFonts w:eastAsia="Times New Roman" w:cs="Times New Roman"/>
          <w:b/>
          <w:bCs/>
          <w:lang w:eastAsia="lv-LV"/>
        </w:rPr>
        <w:t xml:space="preserve"> </w:t>
      </w:r>
      <w:r>
        <w:rPr>
          <w:rFonts w:eastAsia="Times New Roman" w:cs="Times New Roman"/>
          <w:bCs/>
          <w:lang w:eastAsia="lv-LV"/>
        </w:rPr>
        <w:t xml:space="preserve">skaits </w:t>
      </w:r>
      <w:proofErr w:type="spellStart"/>
      <w:r>
        <w:rPr>
          <w:rFonts w:eastAsia="Times New Roman" w:cs="Times New Roman"/>
          <w:bCs/>
          <w:lang w:eastAsia="lv-LV"/>
        </w:rPr>
        <w:t>CSNg</w:t>
      </w:r>
      <w:proofErr w:type="spellEnd"/>
      <w:r>
        <w:rPr>
          <w:rFonts w:eastAsia="Times New Roman" w:cs="Times New Roman"/>
          <w:bCs/>
          <w:lang w:eastAsia="lv-LV"/>
        </w:rPr>
        <w:t xml:space="preserve"> – 12 personas, savukārt 2014.gadā 7 personas. Cietušo bērnu skaits </w:t>
      </w:r>
      <w:proofErr w:type="spellStart"/>
      <w:r>
        <w:rPr>
          <w:rFonts w:eastAsia="Times New Roman" w:cs="Times New Roman"/>
          <w:bCs/>
          <w:lang w:eastAsia="lv-LV"/>
        </w:rPr>
        <w:t>CSNg</w:t>
      </w:r>
      <w:proofErr w:type="spellEnd"/>
      <w:r>
        <w:rPr>
          <w:rFonts w:eastAsia="Times New Roman" w:cs="Times New Roman"/>
          <w:bCs/>
          <w:lang w:eastAsia="lv-LV"/>
        </w:rPr>
        <w:t xml:space="preserve"> 2015.gadā ir nedaudz samazinājies – 398 personas pret 441 persona 2014.gadā. Ņemot vērā bēdīgo statistiku, būtiska ir nepieciešamo drošības līdzekļu lietošana (bērnu sēd</w:t>
      </w:r>
      <w:r w:rsidR="008F5361">
        <w:rPr>
          <w:rFonts w:eastAsia="Times New Roman" w:cs="Times New Roman"/>
          <w:bCs/>
          <w:lang w:eastAsia="lv-LV"/>
        </w:rPr>
        <w:t>eklīši, velosipēdu aizsargķiveres, atstarojošās vestes</w:t>
      </w:r>
      <w:r>
        <w:rPr>
          <w:rFonts w:eastAsia="Times New Roman" w:cs="Times New Roman"/>
          <w:bCs/>
          <w:lang w:eastAsia="lv-LV"/>
        </w:rPr>
        <w:t xml:space="preserve"> u.c.),</w:t>
      </w:r>
      <w:r w:rsidR="000F191E">
        <w:rPr>
          <w:rFonts w:eastAsia="Times New Roman" w:cs="Times New Roman"/>
          <w:bCs/>
          <w:lang w:eastAsia="lv-LV"/>
        </w:rPr>
        <w:t xml:space="preserve"> jo par </w:t>
      </w:r>
      <w:r w:rsidR="000F191E" w:rsidRPr="000F191E">
        <w:rPr>
          <w:rFonts w:eastAsia="Times New Roman" w:cs="Times New Roman"/>
          <w:bCs/>
          <w:lang w:eastAsia="lv-LV"/>
        </w:rPr>
        <w:t>bērnu sēdeklīšu vai paliktņu nelietošanu</w:t>
      </w:r>
      <w:r w:rsidR="000F191E">
        <w:rPr>
          <w:rFonts w:eastAsia="Times New Roman" w:cs="Times New Roman"/>
          <w:bCs/>
          <w:lang w:eastAsia="lv-LV"/>
        </w:rPr>
        <w:t xml:space="preserve"> 2015.gadā ir sastādīti protokoli 459 reizes (2014.gadā 503 sastādīti protokoli).</w:t>
      </w:r>
    </w:p>
    <w:p w:rsidR="009A3326" w:rsidRPr="009A3326" w:rsidRDefault="00190F10" w:rsidP="008A0F2C">
      <w:pPr>
        <w:pStyle w:val="NoSpacing"/>
        <w:ind w:firstLine="426"/>
        <w:jc w:val="both"/>
        <w:rPr>
          <w:b/>
        </w:rPr>
      </w:pPr>
      <w:proofErr w:type="spellStart"/>
      <w:r>
        <w:rPr>
          <w:b/>
        </w:rPr>
        <w:t>CSNg</w:t>
      </w:r>
      <w:proofErr w:type="spellEnd"/>
      <w:r>
        <w:rPr>
          <w:b/>
        </w:rPr>
        <w:t xml:space="preserve"> </w:t>
      </w:r>
      <w:r w:rsidR="009A3326">
        <w:rPr>
          <w:b/>
        </w:rPr>
        <w:t>R</w:t>
      </w:r>
      <w:r>
        <w:rPr>
          <w:b/>
        </w:rPr>
        <w:t>īgā</w:t>
      </w:r>
      <w:r w:rsidR="00E1462C">
        <w:rPr>
          <w:b/>
        </w:rPr>
        <w:t xml:space="preserve"> un uz valsts autoceļiem</w:t>
      </w:r>
      <w:r w:rsidR="00FA7C2A">
        <w:rPr>
          <w:b/>
        </w:rPr>
        <w:t>.</w:t>
      </w:r>
    </w:p>
    <w:p w:rsidR="00400E18" w:rsidRDefault="00E1462C" w:rsidP="00E327CE">
      <w:pPr>
        <w:pStyle w:val="NoSpacing"/>
        <w:ind w:firstLine="426"/>
        <w:jc w:val="both"/>
      </w:pPr>
      <w:r w:rsidRPr="00C5543D">
        <w:rPr>
          <w:b/>
        </w:rPr>
        <w:t>2015.gadā</w:t>
      </w:r>
      <w:r>
        <w:t xml:space="preserve"> uz vals</w:t>
      </w:r>
      <w:r w:rsidR="00E02606">
        <w:t xml:space="preserve">ts autoceļiem ir notikuši </w:t>
      </w:r>
      <w:r>
        <w:t xml:space="preserve">25% no visiem </w:t>
      </w:r>
      <w:proofErr w:type="spellStart"/>
      <w:r>
        <w:t>CSNg</w:t>
      </w:r>
      <w:proofErr w:type="spellEnd"/>
      <w:r>
        <w:t xml:space="preserve"> </w:t>
      </w:r>
      <w:r w:rsidR="00E327CE">
        <w:t xml:space="preserve">ar cietušajiem, tāpat uz valsts </w:t>
      </w:r>
      <w:r>
        <w:t xml:space="preserve">autoceļiem reģistrēti 64,9% no visiem bojāgājušajiem un </w:t>
      </w:r>
      <w:r w:rsidR="000F191E">
        <w:t xml:space="preserve">30,3% no visiem ievainotajiem. </w:t>
      </w:r>
    </w:p>
    <w:p w:rsidR="00400E18" w:rsidRDefault="00400E18" w:rsidP="00A70D56">
      <w:pPr>
        <w:pStyle w:val="NoSpacing"/>
        <w:ind w:firstLine="426"/>
      </w:pPr>
    </w:p>
    <w:p w:rsidR="006B0795" w:rsidRDefault="006B0795" w:rsidP="00A70D56">
      <w:pPr>
        <w:pStyle w:val="NoSpacing"/>
        <w:ind w:firstLine="426"/>
      </w:pPr>
      <w:r>
        <w:t xml:space="preserve">Rīgā </w:t>
      </w:r>
      <w:r w:rsidR="00AE56E2">
        <w:t xml:space="preserve">2015.gadā </w:t>
      </w:r>
      <w:r>
        <w:t xml:space="preserve">notikušie </w:t>
      </w:r>
      <w:proofErr w:type="spellStart"/>
      <w:r w:rsidR="005F31C3">
        <w:t>CSNg</w:t>
      </w:r>
      <w:proofErr w:type="spellEnd"/>
      <w:r>
        <w:t xml:space="preserve"> un to ietekme uz</w:t>
      </w:r>
      <w:r w:rsidR="00E60992">
        <w:t xml:space="preserve"> ceļu satiksmes drošību Latvijā</w:t>
      </w:r>
      <w:r>
        <w:t>:</w:t>
      </w:r>
    </w:p>
    <w:p w:rsidR="0080656C" w:rsidRPr="006B0795" w:rsidRDefault="00A71A6D" w:rsidP="00A70D56">
      <w:pPr>
        <w:pStyle w:val="NormalWeb"/>
        <w:numPr>
          <w:ilvl w:val="0"/>
          <w:numId w:val="5"/>
        </w:numPr>
        <w:ind w:firstLine="426"/>
      </w:pPr>
      <w:r>
        <w:rPr>
          <w:rFonts w:eastAsiaTheme="minorEastAsia"/>
        </w:rPr>
        <w:t xml:space="preserve">2015.gadā Rīgā tika </w:t>
      </w:r>
      <w:r w:rsidR="006B0795">
        <w:rPr>
          <w:rFonts w:eastAsiaTheme="minorEastAsia"/>
        </w:rPr>
        <w:t xml:space="preserve">reģistrēti  aptuveni </w:t>
      </w:r>
      <w:r w:rsidR="00AE56E2">
        <w:rPr>
          <w:rFonts w:eastAsiaTheme="minorEastAsia"/>
        </w:rPr>
        <w:t>30</w:t>
      </w:r>
      <w:r w:rsidR="002418FA" w:rsidRPr="006B0795">
        <w:rPr>
          <w:rFonts w:eastAsiaTheme="minorEastAsia"/>
        </w:rPr>
        <w:t xml:space="preserve">% no kopējā </w:t>
      </w:r>
      <w:r w:rsidR="005F31C3">
        <w:rPr>
          <w:rFonts w:eastAsiaTheme="minorEastAsia"/>
        </w:rPr>
        <w:t>TL</w:t>
      </w:r>
      <w:r w:rsidR="002418FA" w:rsidRPr="006B0795">
        <w:rPr>
          <w:rFonts w:eastAsiaTheme="minorEastAsia"/>
        </w:rPr>
        <w:t xml:space="preserve"> skaita</w:t>
      </w:r>
      <w:r>
        <w:rPr>
          <w:rFonts w:eastAsiaTheme="minorEastAsia"/>
        </w:rPr>
        <w:t xml:space="preserve"> (vieglie, kravas, autobusi)</w:t>
      </w:r>
      <w:r w:rsidR="002418FA" w:rsidRPr="006B0795">
        <w:rPr>
          <w:rFonts w:eastAsiaTheme="minorEastAsia"/>
        </w:rPr>
        <w:t>;</w:t>
      </w:r>
    </w:p>
    <w:p w:rsidR="0080656C" w:rsidRPr="006B0795" w:rsidRDefault="00A71A6D" w:rsidP="00A70D56">
      <w:pPr>
        <w:pStyle w:val="NormalWeb"/>
        <w:numPr>
          <w:ilvl w:val="0"/>
          <w:numId w:val="5"/>
        </w:numPr>
        <w:ind w:firstLine="426"/>
      </w:pPr>
      <w:r>
        <w:rPr>
          <w:rFonts w:eastAsiaTheme="minorEastAsia"/>
        </w:rPr>
        <w:t xml:space="preserve">2015.gadā </w:t>
      </w:r>
      <w:r w:rsidR="00AE56E2">
        <w:rPr>
          <w:rFonts w:eastAsiaTheme="minorEastAsia"/>
        </w:rPr>
        <w:t>Rīgā ir</w:t>
      </w:r>
      <w:r w:rsidR="006B0795">
        <w:rPr>
          <w:rFonts w:eastAsiaTheme="minorEastAsia"/>
        </w:rPr>
        <w:t xml:space="preserve"> reģistrēti aptuveni </w:t>
      </w:r>
      <w:r w:rsidR="002418FA" w:rsidRPr="006B0795">
        <w:rPr>
          <w:rFonts w:eastAsiaTheme="minorEastAsia"/>
        </w:rPr>
        <w:t xml:space="preserve">43% no kopējā </w:t>
      </w:r>
      <w:proofErr w:type="spellStart"/>
      <w:r w:rsidR="002418FA" w:rsidRPr="006B0795">
        <w:rPr>
          <w:rFonts w:eastAsiaTheme="minorEastAsia"/>
        </w:rPr>
        <w:t>CSNg</w:t>
      </w:r>
      <w:proofErr w:type="spellEnd"/>
      <w:r w:rsidR="002418FA" w:rsidRPr="006B0795">
        <w:rPr>
          <w:rFonts w:eastAsiaTheme="minorEastAsia"/>
        </w:rPr>
        <w:t xml:space="preserve"> skaita</w:t>
      </w:r>
      <w:r>
        <w:rPr>
          <w:rFonts w:eastAsiaTheme="minorEastAsia"/>
        </w:rPr>
        <w:t>, kuros ir cietuši cilvēki</w:t>
      </w:r>
      <w:r w:rsidR="002418FA" w:rsidRPr="006B0795">
        <w:rPr>
          <w:rFonts w:eastAsiaTheme="minorEastAsia"/>
        </w:rPr>
        <w:t>;</w:t>
      </w:r>
    </w:p>
    <w:p w:rsidR="0080656C" w:rsidRPr="006B0795" w:rsidRDefault="00A71A6D" w:rsidP="00A70D56">
      <w:pPr>
        <w:pStyle w:val="NormalWeb"/>
        <w:numPr>
          <w:ilvl w:val="0"/>
          <w:numId w:val="5"/>
        </w:numPr>
        <w:ind w:firstLine="426"/>
      </w:pPr>
      <w:r>
        <w:rPr>
          <w:rFonts w:eastAsiaTheme="minorEastAsia"/>
        </w:rPr>
        <w:t>2015.gadā Rīgā tika reģistrēti 12,8</w:t>
      </w:r>
      <w:r w:rsidR="002418FA" w:rsidRPr="006B0795">
        <w:rPr>
          <w:rFonts w:eastAsiaTheme="minorEastAsia"/>
        </w:rPr>
        <w:t>% no visiem</w:t>
      </w:r>
      <w:r>
        <w:rPr>
          <w:rFonts w:eastAsiaTheme="minorEastAsia"/>
        </w:rPr>
        <w:t xml:space="preserve"> </w:t>
      </w:r>
      <w:proofErr w:type="spellStart"/>
      <w:r>
        <w:rPr>
          <w:rFonts w:eastAsiaTheme="minorEastAsia"/>
        </w:rPr>
        <w:t>CSNg</w:t>
      </w:r>
      <w:proofErr w:type="spellEnd"/>
      <w:r w:rsidR="002418FA" w:rsidRPr="006B0795">
        <w:rPr>
          <w:rFonts w:eastAsiaTheme="minorEastAsia"/>
        </w:rPr>
        <w:t xml:space="preserve"> </w:t>
      </w:r>
      <w:r w:rsidR="005F31C3">
        <w:rPr>
          <w:rFonts w:eastAsiaTheme="minorEastAsia"/>
        </w:rPr>
        <w:t xml:space="preserve">ar </w:t>
      </w:r>
      <w:r w:rsidR="002418FA" w:rsidRPr="006B0795">
        <w:rPr>
          <w:rFonts w:eastAsiaTheme="minorEastAsia"/>
        </w:rPr>
        <w:t>bojāgājušajiem;</w:t>
      </w:r>
    </w:p>
    <w:p w:rsidR="006B0795" w:rsidRPr="0099019B" w:rsidRDefault="00A71A6D" w:rsidP="008A0F2C">
      <w:pPr>
        <w:pStyle w:val="NormalWeb"/>
        <w:numPr>
          <w:ilvl w:val="0"/>
          <w:numId w:val="5"/>
        </w:numPr>
        <w:ind w:firstLine="426"/>
        <w:jc w:val="both"/>
      </w:pPr>
      <w:r>
        <w:rPr>
          <w:rFonts w:eastAsiaTheme="minorEastAsia"/>
        </w:rPr>
        <w:t>2015.gadā Rīgā ti</w:t>
      </w:r>
      <w:r w:rsidR="006B0795">
        <w:rPr>
          <w:rFonts w:eastAsiaTheme="minorEastAsia"/>
        </w:rPr>
        <w:t>k</w:t>
      </w:r>
      <w:r>
        <w:rPr>
          <w:rFonts w:eastAsiaTheme="minorEastAsia"/>
        </w:rPr>
        <w:t xml:space="preserve">a reģistrēti </w:t>
      </w:r>
      <w:r w:rsidR="006B0795">
        <w:rPr>
          <w:rFonts w:eastAsiaTheme="minorEastAsia"/>
        </w:rPr>
        <w:t xml:space="preserve"> </w:t>
      </w:r>
      <w:r>
        <w:rPr>
          <w:rFonts w:eastAsiaTheme="minorEastAsia"/>
        </w:rPr>
        <w:t>39,6</w:t>
      </w:r>
      <w:r w:rsidR="002418FA" w:rsidRPr="006B0795">
        <w:rPr>
          <w:rFonts w:eastAsiaTheme="minorEastAsia"/>
        </w:rPr>
        <w:t xml:space="preserve">% no visiem </w:t>
      </w:r>
      <w:proofErr w:type="spellStart"/>
      <w:r>
        <w:rPr>
          <w:rFonts w:eastAsiaTheme="minorEastAsia"/>
        </w:rPr>
        <w:t>CSNg</w:t>
      </w:r>
      <w:proofErr w:type="spellEnd"/>
      <w:r w:rsidR="005F31C3">
        <w:rPr>
          <w:rFonts w:eastAsiaTheme="minorEastAsia"/>
        </w:rPr>
        <w:t>, kuros gūti</w:t>
      </w:r>
      <w:r>
        <w:rPr>
          <w:rFonts w:eastAsiaTheme="minorEastAsia"/>
        </w:rPr>
        <w:t xml:space="preserve"> </w:t>
      </w:r>
      <w:r w:rsidR="002418FA" w:rsidRPr="006B0795">
        <w:rPr>
          <w:rFonts w:eastAsiaTheme="minorEastAsia"/>
        </w:rPr>
        <w:t>ievainojum</w:t>
      </w:r>
      <w:r w:rsidR="005F31C3">
        <w:rPr>
          <w:rFonts w:eastAsiaTheme="minorEastAsia"/>
        </w:rPr>
        <w:t>i.</w:t>
      </w:r>
    </w:p>
    <w:p w:rsidR="00806F51" w:rsidRDefault="00520E97" w:rsidP="00127D28">
      <w:pPr>
        <w:pStyle w:val="NormalWeb"/>
        <w:tabs>
          <w:tab w:val="left" w:pos="5445"/>
        </w:tabs>
        <w:ind w:firstLine="426"/>
        <w:jc w:val="both"/>
        <w:rPr>
          <w:color w:val="000000" w:themeColor="text1"/>
        </w:rPr>
      </w:pPr>
      <w:r>
        <w:t xml:space="preserve">Uz valsts autoceļiem 2015.gadā visvairāk smago </w:t>
      </w:r>
      <w:proofErr w:type="spellStart"/>
      <w:r>
        <w:t>CSNg</w:t>
      </w:r>
      <w:proofErr w:type="spellEnd"/>
      <w:r>
        <w:t xml:space="preserve"> ir reģistrēti uz ceļa A10 (Rīga –Ventspils)</w:t>
      </w:r>
      <w:r w:rsidR="007210FD">
        <w:t xml:space="preserve"> – 53 smagi ceļu satiksmes negadījumi, tāpat </w:t>
      </w:r>
      <w:r w:rsidR="00B87F22">
        <w:t xml:space="preserve">arī </w:t>
      </w:r>
      <w:r w:rsidR="007210FD">
        <w:t xml:space="preserve">uz valsts autoceļa A2 (Rīga – Sigulda – Igaunijas robeža (Veclaicene) 2015.gadā ir reģistrēti 50 smagi </w:t>
      </w:r>
      <w:proofErr w:type="spellStart"/>
      <w:r w:rsidR="008A0F2C">
        <w:rPr>
          <w:color w:val="000000" w:themeColor="text1"/>
        </w:rPr>
        <w:t>CSNg</w:t>
      </w:r>
      <w:proofErr w:type="spellEnd"/>
      <w:r w:rsidR="00B87F22" w:rsidRPr="00CA4F73">
        <w:rPr>
          <w:color w:val="000000" w:themeColor="text1"/>
        </w:rPr>
        <w:t xml:space="preserve">. Visvairāk bojāgājušie </w:t>
      </w:r>
      <w:proofErr w:type="spellStart"/>
      <w:r w:rsidR="00B87F22" w:rsidRPr="00CA4F73">
        <w:rPr>
          <w:color w:val="000000" w:themeColor="text1"/>
        </w:rPr>
        <w:t>CSNg</w:t>
      </w:r>
      <w:proofErr w:type="spellEnd"/>
      <w:r w:rsidR="00B87F22" w:rsidRPr="00CA4F73">
        <w:rPr>
          <w:color w:val="000000" w:themeColor="text1"/>
        </w:rPr>
        <w:t xml:space="preserve"> uz valsts autoceļiem 2015.gadā ir reģistrēti uz ceļa A6 (Rīga – Daugavpils – Krāslava – (Pāternieki) – 8 personas, tāpat 2014.gadā visvairāk </w:t>
      </w:r>
      <w:proofErr w:type="spellStart"/>
      <w:r w:rsidR="00B87F22" w:rsidRPr="00CA4F73">
        <w:rPr>
          <w:color w:val="000000" w:themeColor="text1"/>
        </w:rPr>
        <w:t>bojāgājušajie</w:t>
      </w:r>
      <w:proofErr w:type="spellEnd"/>
      <w:r w:rsidR="00B87F22" w:rsidRPr="00CA4F73">
        <w:rPr>
          <w:color w:val="000000" w:themeColor="text1"/>
        </w:rPr>
        <w:t xml:space="preserve"> – 9 personas, ir reģistrēti uz ceļa A10 (Rīga – Ventspils). </w:t>
      </w:r>
      <w:r w:rsidR="00176ABF" w:rsidRPr="00CA4F73">
        <w:rPr>
          <w:color w:val="000000" w:themeColor="text1"/>
        </w:rPr>
        <w:t xml:space="preserve">Balstoties uz </w:t>
      </w:r>
      <w:r w:rsidR="005568A0">
        <w:rPr>
          <w:color w:val="000000" w:themeColor="text1"/>
        </w:rPr>
        <w:t>2</w:t>
      </w:r>
      <w:r w:rsidR="00CA4F73" w:rsidRPr="00CA4F73">
        <w:rPr>
          <w:color w:val="000000" w:themeColor="text1"/>
        </w:rPr>
        <w:t>.</w:t>
      </w:r>
      <w:r w:rsidR="00176ABF" w:rsidRPr="00CA4F73">
        <w:rPr>
          <w:color w:val="000000" w:themeColor="text1"/>
        </w:rPr>
        <w:t xml:space="preserve">tabulā sniegto informāciju par </w:t>
      </w:r>
      <w:proofErr w:type="spellStart"/>
      <w:r w:rsidR="00176ABF" w:rsidRPr="00CA4F73">
        <w:rPr>
          <w:color w:val="000000" w:themeColor="text1"/>
        </w:rPr>
        <w:t>CSNg</w:t>
      </w:r>
      <w:proofErr w:type="spellEnd"/>
      <w:r w:rsidR="00176ABF" w:rsidRPr="00CA4F73">
        <w:rPr>
          <w:color w:val="000000" w:themeColor="text1"/>
        </w:rPr>
        <w:t xml:space="preserve"> ar cietušajiem un bojāgājušajiem uz valsts autoceļiem, lai gūtu pilnīgāku ieskaitu par bīstamākajiem ceļiem,</w:t>
      </w:r>
      <w:r w:rsidR="00B87F22" w:rsidRPr="00CA4F73">
        <w:rPr>
          <w:color w:val="000000" w:themeColor="text1"/>
        </w:rPr>
        <w:t xml:space="preserve"> būtu jāņem vērā arī šo ceļu garums un </w:t>
      </w:r>
      <w:r w:rsidR="00176ABF" w:rsidRPr="00CA4F73">
        <w:rPr>
          <w:color w:val="000000" w:themeColor="text1"/>
        </w:rPr>
        <w:t>satiksmes intensitāte</w:t>
      </w:r>
      <w:r w:rsidR="00176ABF">
        <w:rPr>
          <w:color w:val="000000" w:themeColor="text1"/>
        </w:rPr>
        <w:t>. Precīzāku ieskatu par bīstamākajiem ceļa posmiem un vietām sniedz LVC izdotā “Melno punktu</w:t>
      </w:r>
      <w:r w:rsidR="00625336">
        <w:rPr>
          <w:color w:val="000000" w:themeColor="text1"/>
        </w:rPr>
        <w:t>”</w:t>
      </w:r>
      <w:r w:rsidR="00176ABF">
        <w:rPr>
          <w:color w:val="000000" w:themeColor="text1"/>
        </w:rPr>
        <w:t xml:space="preserve"> karte.</w:t>
      </w:r>
    </w:p>
    <w:p w:rsidR="005469D1" w:rsidRDefault="00451695" w:rsidP="005469D1">
      <w:pPr>
        <w:pStyle w:val="NoSpacing"/>
        <w:ind w:firstLine="426"/>
        <w:jc w:val="both"/>
        <w:rPr>
          <w:b/>
          <w:color w:val="000000" w:themeColor="text1"/>
        </w:rPr>
      </w:pPr>
      <w:r w:rsidRPr="00400E18">
        <w:rPr>
          <w:b/>
          <w:color w:val="000000" w:themeColor="text1"/>
        </w:rPr>
        <w:lastRenderedPageBreak/>
        <w:t>Ceļu satiksmes dr</w:t>
      </w:r>
      <w:r>
        <w:rPr>
          <w:b/>
          <w:color w:val="000000" w:themeColor="text1"/>
        </w:rPr>
        <w:t>ošības statistika par 2016.gadu</w:t>
      </w:r>
      <w:r>
        <w:rPr>
          <w:rStyle w:val="FootnoteReference"/>
          <w:b/>
          <w:color w:val="000000" w:themeColor="text1"/>
        </w:rPr>
        <w:footnoteReference w:id="8"/>
      </w:r>
    </w:p>
    <w:p w:rsidR="005469D1" w:rsidRDefault="005469D1" w:rsidP="005469D1">
      <w:pPr>
        <w:pStyle w:val="NoSpacing"/>
        <w:ind w:firstLine="426"/>
        <w:jc w:val="both"/>
      </w:pPr>
      <w:r>
        <w:t>2016.gada provizoriskie</w:t>
      </w:r>
      <w:r>
        <w:rPr>
          <w:vertAlign w:val="superscript"/>
        </w:rPr>
        <w:t>8</w:t>
      </w:r>
      <w:r>
        <w:t xml:space="preserve"> dati liecina, ka </w:t>
      </w:r>
      <w:proofErr w:type="spellStart"/>
      <w:r>
        <w:t>CSNg</w:t>
      </w:r>
      <w:proofErr w:type="spellEnd"/>
      <w:r>
        <w:t xml:space="preserve"> ir bojāgājušas 157 personas, no tiem lielākā daļa  -70 personas, ir vieglo automobiļu vadītāji vai pasažieri), 55 gājēji, 7 velosipēdisti, 12 motociklisti un 13 citu transportlīdzekļu vadītāji un pasažieri (mopēdi, </w:t>
      </w:r>
      <w:proofErr w:type="spellStart"/>
      <w:r>
        <w:t>kradricikli</w:t>
      </w:r>
      <w:proofErr w:type="spellEnd"/>
      <w:r>
        <w:t>, traktori u.c.). Tādējādi statistika liecina, ka 2</w:t>
      </w:r>
      <w:r w:rsidRPr="005469D1">
        <w:t>016.gadā samazinājies</w:t>
      </w:r>
      <w:r w:rsidR="00B3615D">
        <w:t xml:space="preserve"> </w:t>
      </w:r>
      <w:proofErr w:type="spellStart"/>
      <w:r w:rsidR="00B3615D">
        <w:t>CSNg</w:t>
      </w:r>
      <w:proofErr w:type="spellEnd"/>
      <w:r w:rsidRPr="005469D1">
        <w:t xml:space="preserve"> bojā gājušo auto vadītāju un pasažieru skaits, bet aktuāla problēma</w:t>
      </w:r>
      <w:r>
        <w:t xml:space="preserve"> joprojām</w:t>
      </w:r>
      <w:r w:rsidRPr="005469D1">
        <w:t xml:space="preserve"> ir gājēju, velosip</w:t>
      </w:r>
      <w:r>
        <w:t>ēdistu un moto braucēju drošība.</w:t>
      </w:r>
    </w:p>
    <w:p w:rsidR="007F63D3" w:rsidRPr="005469D1" w:rsidRDefault="007F63D3" w:rsidP="005469D1">
      <w:pPr>
        <w:pStyle w:val="NoSpacing"/>
        <w:ind w:firstLine="426"/>
        <w:jc w:val="both"/>
      </w:pPr>
      <w:r>
        <w:t xml:space="preserve">2016.gada provizoriskie dati liecina, ka kopumā 2016.gadā ir notikuši 19 544 </w:t>
      </w:r>
      <w:proofErr w:type="spellStart"/>
      <w:r>
        <w:t>CSNg</w:t>
      </w:r>
      <w:proofErr w:type="spellEnd"/>
      <w:r>
        <w:t xml:space="preserve">, no kuriem 3 773 ir </w:t>
      </w:r>
      <w:proofErr w:type="spellStart"/>
      <w:r>
        <w:t>CSNg</w:t>
      </w:r>
      <w:proofErr w:type="spellEnd"/>
      <w:r>
        <w:t xml:space="preserve"> ar cietušajiem (no tiem 916 </w:t>
      </w:r>
      <w:proofErr w:type="spellStart"/>
      <w:r>
        <w:t>CSNg</w:t>
      </w:r>
      <w:proofErr w:type="spellEnd"/>
      <w:r>
        <w:t xml:space="preserve"> ir bijuši ar gājējiem). 2016.gadā </w:t>
      </w:r>
      <w:proofErr w:type="spellStart"/>
      <w:r>
        <w:t>CSNg</w:t>
      </w:r>
      <w:proofErr w:type="spellEnd"/>
      <w:r>
        <w:t xml:space="preserve"> ir ievainotas 4 644 personas, turklāt no tiem 888 ir gājēji.</w:t>
      </w:r>
    </w:p>
    <w:p w:rsidR="005469D1" w:rsidRDefault="005469D1" w:rsidP="005469D1">
      <w:pPr>
        <w:pStyle w:val="NoSpacing"/>
        <w:ind w:firstLine="426"/>
        <w:jc w:val="both"/>
      </w:pPr>
      <w:r w:rsidRPr="005469D1">
        <w:t>Būtiski, ka pie nemainīga vai pat nedaudz augoša Latvijas a</w:t>
      </w:r>
      <w:r>
        <w:t xml:space="preserve">utoparka, </w:t>
      </w:r>
      <w:r w:rsidR="007F63D3">
        <w:t>2016.gadā</w:t>
      </w:r>
      <w:r w:rsidRPr="005469D1">
        <w:t xml:space="preserve"> par 16 % ir samazinājies avārijās bojā gājušo skaits</w:t>
      </w:r>
      <w:r w:rsidR="007F63D3">
        <w:t xml:space="preserve"> pret 2015.gadu</w:t>
      </w:r>
      <w:r w:rsidRPr="005469D1">
        <w:t xml:space="preserve"> (2017.gada 1.jan</w:t>
      </w:r>
      <w:r w:rsidR="00956690">
        <w:t>vā</w:t>
      </w:r>
      <w:r>
        <w:t>rī –</w:t>
      </w:r>
      <w:r w:rsidR="00B3615D">
        <w:t xml:space="preserve"> </w:t>
      </w:r>
      <w:r>
        <w:t>vairāk nekā 752 000 TL</w:t>
      </w:r>
      <w:r w:rsidRPr="005469D1">
        <w:t xml:space="preserve">, kuri piedalās ceļu satiksmē). 2016.gads ar 157 bojā gājušajiem ir bijis </w:t>
      </w:r>
      <w:proofErr w:type="spellStart"/>
      <w:r w:rsidRPr="005469D1">
        <w:t>rekordgads</w:t>
      </w:r>
      <w:proofErr w:type="spellEnd"/>
      <w:r w:rsidRPr="005469D1">
        <w:t xml:space="preserve"> Latvijas valsts vēsturē.  Salīdzinoši,</w:t>
      </w:r>
      <w:r w:rsidR="00B3615D">
        <w:t xml:space="preserve"> 2015.gadā bojā gāja 188 personas</w:t>
      </w:r>
      <w:r w:rsidRPr="005469D1">
        <w:t>, bet līdz šim labākajā  - 2012.gadā bojā gājušo skaits uz Latvijas ceļiem bija 177. Pērn labākais mēnesis ir bijis maijs, kad bojā gāja septiņi cilvēki, bet satiksmes drošības jomā sliktākais izrādījās septembris ar 20 bojā gājušajiem.</w:t>
      </w:r>
    </w:p>
    <w:p w:rsidR="007F63D3" w:rsidRDefault="005469D1" w:rsidP="007F63D3">
      <w:pPr>
        <w:pStyle w:val="NoSpacing"/>
        <w:ind w:firstLine="426"/>
        <w:jc w:val="both"/>
      </w:pPr>
      <w:r>
        <w:t xml:space="preserve">Tāpat jānorāda, ka pēdējos gados būtiski ir samazinājies </w:t>
      </w:r>
      <w:proofErr w:type="spellStart"/>
      <w:r w:rsidR="00B3615D">
        <w:t>CSNg</w:t>
      </w:r>
      <w:proofErr w:type="spellEnd"/>
      <w:r>
        <w:t xml:space="preserve"> skaits, kuras izraisa reibumā pie stūres sēdušies autovadītāji. Piemēram, ja 2007.gadā </w:t>
      </w:r>
      <w:proofErr w:type="spellStart"/>
      <w:r>
        <w:t>dzērājšoferu</w:t>
      </w:r>
      <w:proofErr w:type="spellEnd"/>
      <w:r>
        <w:t xml:space="preserve"> izraisītaj</w:t>
      </w:r>
      <w:r w:rsidR="00B3615D">
        <w:t>ās avārijās bojā gāja 84 personas</w:t>
      </w:r>
      <w:r>
        <w:t>, pērn šis skaits ir samazinājies septiņ</w:t>
      </w:r>
      <w:r w:rsidR="00B3615D">
        <w:t>as reizes (2016.gadā 12 personas</w:t>
      </w:r>
      <w:r>
        <w:t xml:space="preserve"> zaudēja dzīvības reibumā izraisītajās avārijās). Svarīgi, ka visievērojamākais progress ir panāks bērnu dzīvību nosargāšanā. Pagājušajā gadā </w:t>
      </w:r>
      <w:proofErr w:type="spellStart"/>
      <w:r w:rsidR="00B3615D">
        <w:t>CSNg</w:t>
      </w:r>
      <w:proofErr w:type="spellEnd"/>
      <w:r>
        <w:t xml:space="preserve"> bojā gāja 2 bērni vecumā līdz 15 gadiem; 2015.gadā – 11 bērni.</w:t>
      </w:r>
    </w:p>
    <w:p w:rsidR="00B3615D" w:rsidRPr="00B3615D" w:rsidRDefault="00B3615D" w:rsidP="00B3615D">
      <w:pPr>
        <w:pStyle w:val="NoSpacing"/>
        <w:ind w:firstLine="426"/>
        <w:jc w:val="both"/>
      </w:pPr>
    </w:p>
    <w:p w:rsidR="0099019B" w:rsidRPr="000F62DB" w:rsidRDefault="0099019B" w:rsidP="0099019B">
      <w:pPr>
        <w:pStyle w:val="NoSpacing"/>
        <w:ind w:firstLine="426"/>
        <w:jc w:val="both"/>
        <w:rPr>
          <w:b/>
          <w:color w:val="000000" w:themeColor="text1"/>
        </w:rPr>
      </w:pPr>
      <w:r w:rsidRPr="000F62DB">
        <w:rPr>
          <w:b/>
          <w:color w:val="000000" w:themeColor="text1"/>
        </w:rPr>
        <w:t>Pētījuma “Pētījums par smagajiem ceļu satiksmes negadījumiem” galvenie secinājumi</w:t>
      </w:r>
    </w:p>
    <w:p w:rsidR="0099019B" w:rsidRPr="0099019B" w:rsidRDefault="0099019B" w:rsidP="00F0708C">
      <w:pPr>
        <w:pStyle w:val="NoSpacing"/>
        <w:ind w:firstLine="426"/>
        <w:jc w:val="both"/>
        <w:rPr>
          <w:color w:val="000000" w:themeColor="text1"/>
        </w:rPr>
      </w:pPr>
      <w:r w:rsidRPr="000F62DB">
        <w:rPr>
          <w:color w:val="000000" w:themeColor="text1"/>
        </w:rPr>
        <w:t>VP</w:t>
      </w:r>
      <w:r w:rsidR="00F0708C" w:rsidRPr="000F62DB">
        <w:rPr>
          <w:color w:val="000000" w:themeColor="text1"/>
        </w:rPr>
        <w:t xml:space="preserve"> sadarbībā ar speciālistiem no Latvijas Universitātes</w:t>
      </w:r>
      <w:r w:rsidRPr="000F62DB">
        <w:rPr>
          <w:color w:val="000000" w:themeColor="text1"/>
        </w:rPr>
        <w:t xml:space="preserve"> 2015.gadā ir veikusi pētījumu par smago</w:t>
      </w:r>
      <w:r w:rsidR="002724B3">
        <w:rPr>
          <w:color w:val="000000" w:themeColor="text1"/>
        </w:rPr>
        <w:t xml:space="preserve"> </w:t>
      </w:r>
      <w:proofErr w:type="spellStart"/>
      <w:r w:rsidR="002724B3">
        <w:rPr>
          <w:color w:val="000000" w:themeColor="text1"/>
        </w:rPr>
        <w:t>CSNg</w:t>
      </w:r>
      <w:proofErr w:type="spellEnd"/>
      <w:r w:rsidRPr="000F62DB">
        <w:rPr>
          <w:color w:val="000000" w:themeColor="text1"/>
        </w:rPr>
        <w:t xml:space="preserve"> iemesliem, kas notikuši </w:t>
      </w:r>
      <w:r w:rsidR="00F0708C" w:rsidRPr="000F62DB">
        <w:rPr>
          <w:color w:val="000000" w:themeColor="text1"/>
        </w:rPr>
        <w:t>laika posmā no 2013. gada 1.jūlija līdz 2014.gada 30.jūnijam</w:t>
      </w:r>
      <w:r w:rsidR="002724B3">
        <w:rPr>
          <w:color w:val="000000" w:themeColor="text1"/>
        </w:rPr>
        <w:t>,</w:t>
      </w:r>
      <w:r w:rsidR="002724B3" w:rsidRPr="002724B3">
        <w:rPr>
          <w:color w:val="000000" w:themeColor="text1"/>
        </w:rPr>
        <w:t xml:space="preserve"> </w:t>
      </w:r>
      <w:r w:rsidR="002724B3" w:rsidRPr="000F62DB">
        <w:rPr>
          <w:color w:val="000000" w:themeColor="text1"/>
        </w:rPr>
        <w:t>un to ietekmējošiem faktoriem</w:t>
      </w:r>
      <w:r w:rsidRPr="000F62DB">
        <w:rPr>
          <w:color w:val="000000" w:themeColor="text1"/>
        </w:rPr>
        <w:t xml:space="preserve">. </w:t>
      </w:r>
      <w:r w:rsidR="00F0708C" w:rsidRPr="000F62DB">
        <w:rPr>
          <w:color w:val="000000" w:themeColor="text1"/>
        </w:rPr>
        <w:t>Pētījumā tika apskatīti trīs faktori,</w:t>
      </w:r>
      <w:r w:rsidR="00F0708C" w:rsidRPr="00F0708C">
        <w:rPr>
          <w:color w:val="000000" w:themeColor="text1"/>
        </w:rPr>
        <w:t xml:space="preserve"> kas ietekmē </w:t>
      </w:r>
      <w:proofErr w:type="spellStart"/>
      <w:r w:rsidR="00F0708C" w:rsidRPr="00F0708C">
        <w:rPr>
          <w:color w:val="000000" w:themeColor="text1"/>
        </w:rPr>
        <w:t>CSNg</w:t>
      </w:r>
      <w:proofErr w:type="spellEnd"/>
      <w:r w:rsidR="00F0708C" w:rsidRPr="00F0708C">
        <w:rPr>
          <w:color w:val="000000" w:themeColor="text1"/>
        </w:rPr>
        <w:t xml:space="preserve"> – cilvēks (iekšējie faktori), </w:t>
      </w:r>
      <w:r w:rsidR="005A6F6A" w:rsidRPr="005A6F6A">
        <w:rPr>
          <w:color w:val="000000" w:themeColor="text1"/>
        </w:rPr>
        <w:t>TL</w:t>
      </w:r>
      <w:r w:rsidR="00F0708C" w:rsidRPr="00F0708C">
        <w:rPr>
          <w:color w:val="000000" w:themeColor="text1"/>
        </w:rPr>
        <w:t xml:space="preserve"> un tā tehni</w:t>
      </w:r>
      <w:r w:rsidR="00F0708C">
        <w:rPr>
          <w:color w:val="000000" w:themeColor="text1"/>
        </w:rPr>
        <w:t xml:space="preserve">skais aprīkojums un ārējā vide. </w:t>
      </w:r>
      <w:r>
        <w:rPr>
          <w:color w:val="000000" w:themeColor="text1"/>
        </w:rPr>
        <w:t>VP veiktais pētījums sastāvēja no 2 daļām, kur lielāko</w:t>
      </w:r>
      <w:r w:rsidRPr="0099019B">
        <w:rPr>
          <w:color w:val="000000" w:themeColor="text1"/>
        </w:rPr>
        <w:t xml:space="preserve"> </w:t>
      </w:r>
      <w:r>
        <w:rPr>
          <w:color w:val="000000" w:themeColor="text1"/>
        </w:rPr>
        <w:t>pētījuma daļu sastāda</w:t>
      </w:r>
      <w:r w:rsidRPr="0099019B">
        <w:rPr>
          <w:color w:val="000000" w:themeColor="text1"/>
        </w:rPr>
        <w:t xml:space="preserve"> </w:t>
      </w:r>
      <w:r>
        <w:rPr>
          <w:color w:val="000000" w:themeColor="text1"/>
        </w:rPr>
        <w:t xml:space="preserve"> </w:t>
      </w:r>
      <w:r w:rsidRPr="0099019B">
        <w:rPr>
          <w:color w:val="000000" w:themeColor="text1"/>
        </w:rPr>
        <w:t>notikumu</w:t>
      </w:r>
      <w:r>
        <w:rPr>
          <w:color w:val="000000" w:themeColor="text1"/>
        </w:rPr>
        <w:t xml:space="preserve"> (statistikas)</w:t>
      </w:r>
      <w:r w:rsidRPr="0099019B">
        <w:rPr>
          <w:color w:val="000000" w:themeColor="text1"/>
        </w:rPr>
        <w:t xml:space="preserve"> analīze</w:t>
      </w:r>
      <w:r>
        <w:rPr>
          <w:color w:val="000000" w:themeColor="text1"/>
        </w:rPr>
        <w:t>, savukārt otrā daļa sastāv no</w:t>
      </w:r>
      <w:r w:rsidRPr="0099019B">
        <w:rPr>
          <w:color w:val="000000" w:themeColor="text1"/>
        </w:rPr>
        <w:t xml:space="preserve"> iedzīvotāju aptauja</w:t>
      </w:r>
      <w:r>
        <w:rPr>
          <w:color w:val="000000" w:themeColor="text1"/>
        </w:rPr>
        <w:t>s</w:t>
      </w:r>
      <w:r w:rsidRPr="0099019B">
        <w:rPr>
          <w:color w:val="000000" w:themeColor="text1"/>
        </w:rPr>
        <w:t xml:space="preserve"> (</w:t>
      </w:r>
      <w:r>
        <w:rPr>
          <w:color w:val="000000" w:themeColor="text1"/>
        </w:rPr>
        <w:t xml:space="preserve">tika aptaujāti </w:t>
      </w:r>
      <w:r w:rsidRPr="0099019B">
        <w:rPr>
          <w:color w:val="000000" w:themeColor="text1"/>
        </w:rPr>
        <w:t>225 respondenti)</w:t>
      </w:r>
      <w:r>
        <w:rPr>
          <w:color w:val="000000" w:themeColor="text1"/>
        </w:rPr>
        <w:t>.</w:t>
      </w:r>
      <w:r w:rsidR="00F0708C">
        <w:rPr>
          <w:color w:val="000000" w:themeColor="text1"/>
        </w:rPr>
        <w:t xml:space="preserve"> Statistikas analīzē tika veikta analīze</w:t>
      </w:r>
      <w:r w:rsidR="00F0708C" w:rsidRPr="00F0708C">
        <w:rPr>
          <w:color w:val="000000" w:themeColor="text1"/>
        </w:rPr>
        <w:t xml:space="preserve"> par minēto laika periodu </w:t>
      </w:r>
      <w:r w:rsidR="00F0708C">
        <w:rPr>
          <w:color w:val="000000" w:themeColor="text1"/>
        </w:rPr>
        <w:t>(</w:t>
      </w:r>
      <w:r w:rsidR="00F0708C" w:rsidRPr="00F0708C">
        <w:rPr>
          <w:color w:val="000000" w:themeColor="text1"/>
        </w:rPr>
        <w:t xml:space="preserve">kopā 2122 </w:t>
      </w:r>
      <w:proofErr w:type="spellStart"/>
      <w:r w:rsidR="00F0708C" w:rsidRPr="00F0708C">
        <w:rPr>
          <w:color w:val="000000" w:themeColor="text1"/>
        </w:rPr>
        <w:t>CSNg</w:t>
      </w:r>
      <w:proofErr w:type="spellEnd"/>
      <w:r w:rsidR="00F0708C">
        <w:rPr>
          <w:color w:val="000000" w:themeColor="text1"/>
        </w:rPr>
        <w:t>)</w:t>
      </w:r>
      <w:r w:rsidR="00F0708C" w:rsidRPr="00F0708C">
        <w:rPr>
          <w:color w:val="000000" w:themeColor="text1"/>
        </w:rPr>
        <w:t xml:space="preserve">, kur notikumi tika atlasīti proporcionāli </w:t>
      </w:r>
      <w:proofErr w:type="spellStart"/>
      <w:r w:rsidR="00F0708C" w:rsidRPr="00F0708C">
        <w:rPr>
          <w:color w:val="000000" w:themeColor="text1"/>
        </w:rPr>
        <w:t>CSNg</w:t>
      </w:r>
      <w:proofErr w:type="spellEnd"/>
      <w:r w:rsidR="00F0708C" w:rsidRPr="00F0708C">
        <w:rPr>
          <w:color w:val="000000" w:themeColor="text1"/>
        </w:rPr>
        <w:t xml:space="preserve"> apjomam katrā mēnesī un katrā notikuma veidā. Tāpat šajā laika posmā tika analizēti visi smagie </w:t>
      </w:r>
      <w:proofErr w:type="spellStart"/>
      <w:r w:rsidR="00F0708C" w:rsidRPr="00F0708C">
        <w:rPr>
          <w:color w:val="000000" w:themeColor="text1"/>
        </w:rPr>
        <w:t>CSNg</w:t>
      </w:r>
      <w:proofErr w:type="spellEnd"/>
      <w:r w:rsidR="00F0708C" w:rsidRPr="00F0708C">
        <w:rPr>
          <w:color w:val="000000" w:themeColor="text1"/>
        </w:rPr>
        <w:t xml:space="preserve"> - 393 </w:t>
      </w:r>
      <w:proofErr w:type="spellStart"/>
      <w:r w:rsidR="00F0708C" w:rsidRPr="00F0708C">
        <w:rPr>
          <w:color w:val="000000" w:themeColor="text1"/>
        </w:rPr>
        <w:t>CSNg</w:t>
      </w:r>
      <w:proofErr w:type="spellEnd"/>
      <w:r w:rsidR="00F0708C" w:rsidRPr="00F0708C">
        <w:rPr>
          <w:color w:val="000000" w:themeColor="text1"/>
        </w:rPr>
        <w:t>, kur vismaz vienam no dalībniekiem bija smagi miesas bojājumi</w:t>
      </w:r>
      <w:r w:rsidR="00AE7CFE">
        <w:rPr>
          <w:color w:val="000000" w:themeColor="text1"/>
        </w:rPr>
        <w:t>,</w:t>
      </w:r>
      <w:r w:rsidR="00F0708C" w:rsidRPr="00F0708C">
        <w:rPr>
          <w:color w:val="000000" w:themeColor="text1"/>
        </w:rPr>
        <w:t xml:space="preserve"> un 207 </w:t>
      </w:r>
      <w:proofErr w:type="spellStart"/>
      <w:r w:rsidR="00F0708C" w:rsidRPr="00F0708C">
        <w:rPr>
          <w:color w:val="000000" w:themeColor="text1"/>
        </w:rPr>
        <w:t>CSNg</w:t>
      </w:r>
      <w:proofErr w:type="spellEnd"/>
      <w:r w:rsidR="00F0708C" w:rsidRPr="00F0708C">
        <w:rPr>
          <w:color w:val="000000" w:themeColor="text1"/>
        </w:rPr>
        <w:t>, kur bija vismaz viens bojāgājušais.</w:t>
      </w:r>
    </w:p>
    <w:p w:rsidR="0099019B" w:rsidRDefault="0099019B" w:rsidP="0099019B">
      <w:pPr>
        <w:pStyle w:val="NoSpacing"/>
        <w:ind w:firstLine="426"/>
        <w:jc w:val="both"/>
        <w:rPr>
          <w:color w:val="000000" w:themeColor="text1"/>
        </w:rPr>
      </w:pPr>
      <w:r w:rsidRPr="0099019B">
        <w:rPr>
          <w:color w:val="000000" w:themeColor="text1"/>
        </w:rPr>
        <w:t>Reģistrētie notikumi tika analizēti</w:t>
      </w:r>
      <w:r w:rsidR="00AE7CFE">
        <w:rPr>
          <w:color w:val="000000" w:themeColor="text1"/>
        </w:rPr>
        <w:t>,</w:t>
      </w:r>
      <w:r w:rsidRPr="0099019B">
        <w:rPr>
          <w:color w:val="000000" w:themeColor="text1"/>
        </w:rPr>
        <w:t xml:space="preserve"> salīdzinot </w:t>
      </w:r>
      <w:r>
        <w:rPr>
          <w:color w:val="000000" w:themeColor="text1"/>
        </w:rPr>
        <w:t xml:space="preserve">tādus </w:t>
      </w:r>
      <w:proofErr w:type="spellStart"/>
      <w:r>
        <w:rPr>
          <w:color w:val="000000" w:themeColor="text1"/>
        </w:rPr>
        <w:t>CSNg</w:t>
      </w:r>
      <w:proofErr w:type="spellEnd"/>
      <w:r>
        <w:rPr>
          <w:color w:val="000000" w:themeColor="text1"/>
        </w:rPr>
        <w:t xml:space="preserve">, kuros gūti </w:t>
      </w:r>
      <w:r w:rsidRPr="0099019B">
        <w:rPr>
          <w:color w:val="000000" w:themeColor="text1"/>
        </w:rPr>
        <w:t>smagi miesas bojājumi</w:t>
      </w:r>
      <w:r>
        <w:rPr>
          <w:color w:val="000000" w:themeColor="text1"/>
        </w:rPr>
        <w:t xml:space="preserve"> vai </w:t>
      </w:r>
      <w:proofErr w:type="spellStart"/>
      <w:r>
        <w:rPr>
          <w:color w:val="000000" w:themeColor="text1"/>
        </w:rPr>
        <w:t>CSNg</w:t>
      </w:r>
      <w:proofErr w:type="spellEnd"/>
      <w:r>
        <w:rPr>
          <w:color w:val="000000" w:themeColor="text1"/>
        </w:rPr>
        <w:t xml:space="preserve"> ir </w:t>
      </w:r>
      <w:proofErr w:type="spellStart"/>
      <w:r>
        <w:rPr>
          <w:color w:val="000000" w:themeColor="text1"/>
        </w:rPr>
        <w:t>bojāgājušajas</w:t>
      </w:r>
      <w:proofErr w:type="spellEnd"/>
      <w:r>
        <w:rPr>
          <w:color w:val="000000" w:themeColor="text1"/>
        </w:rPr>
        <w:t xml:space="preserve"> personas</w:t>
      </w:r>
      <w:r w:rsidR="00AE7CFE">
        <w:rPr>
          <w:color w:val="000000" w:themeColor="text1"/>
        </w:rPr>
        <w:t>,</w:t>
      </w:r>
      <w:r w:rsidRPr="0099019B">
        <w:rPr>
          <w:color w:val="000000" w:themeColor="text1"/>
        </w:rPr>
        <w:t xml:space="preserve"> un </w:t>
      </w:r>
      <w:r w:rsidR="00E72DD3">
        <w:rPr>
          <w:color w:val="000000" w:themeColor="text1"/>
        </w:rPr>
        <w:t xml:space="preserve">tādus </w:t>
      </w:r>
      <w:proofErr w:type="spellStart"/>
      <w:r w:rsidR="00E72DD3">
        <w:rPr>
          <w:color w:val="000000" w:themeColor="text1"/>
        </w:rPr>
        <w:t>CSNg</w:t>
      </w:r>
      <w:proofErr w:type="spellEnd"/>
      <w:r w:rsidR="00E72DD3">
        <w:rPr>
          <w:color w:val="000000" w:themeColor="text1"/>
        </w:rPr>
        <w:t>, kuros nav bijuši cietušie vai ir bijuši cietušie, bet ar viegliem miesas bojājumiem</w:t>
      </w:r>
      <w:r w:rsidRPr="0099019B">
        <w:rPr>
          <w:color w:val="000000" w:themeColor="text1"/>
        </w:rPr>
        <w:t xml:space="preserve">. </w:t>
      </w:r>
      <w:r w:rsidR="00E72DD3">
        <w:rPr>
          <w:color w:val="000000" w:themeColor="text1"/>
        </w:rPr>
        <w:t>Veicot salīdzināšanu, tika konstatēts,</w:t>
      </w:r>
      <w:r w:rsidRPr="0099019B">
        <w:rPr>
          <w:color w:val="000000" w:themeColor="text1"/>
        </w:rPr>
        <w:t xml:space="preserve"> kādi faktori ir </w:t>
      </w:r>
      <w:r w:rsidR="00024092">
        <w:rPr>
          <w:color w:val="000000" w:themeColor="text1"/>
        </w:rPr>
        <w:t xml:space="preserve">bijuši galvenie iemesli smagiem </w:t>
      </w:r>
      <w:proofErr w:type="spellStart"/>
      <w:r w:rsidR="00E72DD3">
        <w:rPr>
          <w:color w:val="000000" w:themeColor="text1"/>
        </w:rPr>
        <w:t>CSNg</w:t>
      </w:r>
      <w:proofErr w:type="spellEnd"/>
      <w:r w:rsidR="00024092">
        <w:rPr>
          <w:color w:val="000000" w:themeColor="text1"/>
        </w:rPr>
        <w:t>.</w:t>
      </w:r>
    </w:p>
    <w:p w:rsidR="00024092" w:rsidRDefault="00024092" w:rsidP="0099019B">
      <w:pPr>
        <w:pStyle w:val="NoSpacing"/>
        <w:ind w:firstLine="426"/>
        <w:jc w:val="both"/>
        <w:rPr>
          <w:color w:val="000000" w:themeColor="text1"/>
        </w:rPr>
      </w:pPr>
      <w:r>
        <w:rPr>
          <w:color w:val="000000" w:themeColor="text1"/>
        </w:rPr>
        <w:t xml:space="preserve">Pētījumā ir norādīts, ka procentuāli vislielāko daļu </w:t>
      </w:r>
      <w:r w:rsidR="00AE7CFE">
        <w:rPr>
          <w:color w:val="000000" w:themeColor="text1"/>
        </w:rPr>
        <w:t xml:space="preserve">no </w:t>
      </w:r>
      <w:r>
        <w:rPr>
          <w:color w:val="000000" w:themeColor="text1"/>
        </w:rPr>
        <w:t xml:space="preserve">smagajiem </w:t>
      </w:r>
      <w:proofErr w:type="spellStart"/>
      <w:r>
        <w:rPr>
          <w:color w:val="000000" w:themeColor="text1"/>
        </w:rPr>
        <w:t>CSNg</w:t>
      </w:r>
      <w:proofErr w:type="spellEnd"/>
      <w:r>
        <w:rPr>
          <w:color w:val="000000" w:themeColor="text1"/>
        </w:rPr>
        <w:t xml:space="preserve"> veido uzbraukšana gājējam (31%), tālāk 26% no smagajiem </w:t>
      </w:r>
      <w:proofErr w:type="spellStart"/>
      <w:r>
        <w:rPr>
          <w:color w:val="000000" w:themeColor="text1"/>
        </w:rPr>
        <w:t>CSNg</w:t>
      </w:r>
      <w:proofErr w:type="spellEnd"/>
      <w:r>
        <w:rPr>
          <w:color w:val="000000" w:themeColor="text1"/>
        </w:rPr>
        <w:t xml:space="preserve"> ir </w:t>
      </w:r>
      <w:r w:rsidR="005A6F6A" w:rsidRPr="005A6F6A">
        <w:rPr>
          <w:color w:val="000000" w:themeColor="text1"/>
        </w:rPr>
        <w:t>TL</w:t>
      </w:r>
      <w:r>
        <w:rPr>
          <w:color w:val="000000" w:themeColor="text1"/>
        </w:rPr>
        <w:t xml:space="preserve"> sadursmes, 17% ir </w:t>
      </w:r>
      <w:r w:rsidR="005A6F6A" w:rsidRPr="005A6F6A">
        <w:rPr>
          <w:color w:val="000000" w:themeColor="text1"/>
        </w:rPr>
        <w:t>TL</w:t>
      </w:r>
      <w:r>
        <w:rPr>
          <w:color w:val="000000" w:themeColor="text1"/>
        </w:rPr>
        <w:t xml:space="preserve"> apgāšanās, 10% ir uzbraukšanas šķērslim, 6% ir uzbraukšana velosipēdistam, bet atlikušie 10% veido cita veida negadījumi. Aplūkojot smago </w:t>
      </w:r>
      <w:proofErr w:type="spellStart"/>
      <w:r>
        <w:rPr>
          <w:color w:val="000000" w:themeColor="text1"/>
        </w:rPr>
        <w:t>CSNg</w:t>
      </w:r>
      <w:proofErr w:type="spellEnd"/>
      <w:r>
        <w:rPr>
          <w:color w:val="000000" w:themeColor="text1"/>
        </w:rPr>
        <w:t xml:space="preserve"> statistiku gada griezumā par mēnešiem, kuros ir visbiežāk notikuši šādi negadījumi, ir secināts, ka 32,3% ir bijuši </w:t>
      </w:r>
      <w:r w:rsidR="00086D50">
        <w:rPr>
          <w:color w:val="000000" w:themeColor="text1"/>
        </w:rPr>
        <w:t>jūnijā un jūlijā (ņemot vērā statistiku par attiec</w:t>
      </w:r>
      <w:r w:rsidR="00236B04">
        <w:rPr>
          <w:color w:val="000000" w:themeColor="text1"/>
        </w:rPr>
        <w:t xml:space="preserve">īgo gadu). </w:t>
      </w:r>
      <w:r w:rsidR="00086D50">
        <w:rPr>
          <w:color w:val="000000" w:themeColor="text1"/>
        </w:rPr>
        <w:t xml:space="preserve">Tomēr jānorāda, ka līdzīga tendence ir arī par citiem gadiem, kur vasaras mēnešos (jūnijs, jūlijs, augusts) bieži vien notiek vairāk smagu </w:t>
      </w:r>
      <w:proofErr w:type="spellStart"/>
      <w:r w:rsidR="00086D50">
        <w:rPr>
          <w:color w:val="000000" w:themeColor="text1"/>
        </w:rPr>
        <w:t>CSNg</w:t>
      </w:r>
      <w:proofErr w:type="spellEnd"/>
      <w:r w:rsidR="00086D50">
        <w:rPr>
          <w:color w:val="000000" w:themeColor="text1"/>
        </w:rPr>
        <w:t>, nekā citos mēnešos.</w:t>
      </w:r>
    </w:p>
    <w:p w:rsidR="00086D50" w:rsidRDefault="00086D50" w:rsidP="0099019B">
      <w:pPr>
        <w:pStyle w:val="NoSpacing"/>
        <w:ind w:firstLine="426"/>
        <w:jc w:val="both"/>
        <w:rPr>
          <w:color w:val="000000" w:themeColor="text1"/>
        </w:rPr>
      </w:pPr>
      <w:r>
        <w:rPr>
          <w:color w:val="000000" w:themeColor="text1"/>
        </w:rPr>
        <w:t xml:space="preserve">Tāpat šajā pētījumā tika noteikts, kāds ir tipiskais smaga </w:t>
      </w:r>
      <w:proofErr w:type="spellStart"/>
      <w:r>
        <w:rPr>
          <w:color w:val="000000" w:themeColor="text1"/>
        </w:rPr>
        <w:t>CSNg</w:t>
      </w:r>
      <w:proofErr w:type="spellEnd"/>
      <w:r>
        <w:rPr>
          <w:color w:val="000000" w:themeColor="text1"/>
        </w:rPr>
        <w:t xml:space="preserve"> izraisītājs. Visbiežāk tas ir vīrietis (82,4%), kas ir vecumā līdz 29 gadiem (36,1%), kurš vada </w:t>
      </w:r>
      <w:r w:rsidRPr="00086D50">
        <w:rPr>
          <w:i/>
          <w:color w:val="000000" w:themeColor="text1"/>
        </w:rPr>
        <w:t>AUDI</w:t>
      </w:r>
      <w:r>
        <w:rPr>
          <w:color w:val="000000" w:themeColor="text1"/>
        </w:rPr>
        <w:t xml:space="preserve"> markas vieglo automašīnu (21,3%), kā arī visbiežāk šī automašīna ir vecāka par 20 gadiem (32,4%).</w:t>
      </w:r>
    </w:p>
    <w:p w:rsidR="00086D50" w:rsidRDefault="00086D50" w:rsidP="0099019B">
      <w:pPr>
        <w:pStyle w:val="NoSpacing"/>
        <w:ind w:firstLine="426"/>
        <w:jc w:val="both"/>
        <w:rPr>
          <w:color w:val="000000" w:themeColor="text1"/>
        </w:rPr>
      </w:pPr>
      <w:r>
        <w:rPr>
          <w:color w:val="000000" w:themeColor="text1"/>
        </w:rPr>
        <w:t xml:space="preserve">Veicot analīzi par apstākļiem smago </w:t>
      </w:r>
      <w:proofErr w:type="spellStart"/>
      <w:r>
        <w:rPr>
          <w:color w:val="000000" w:themeColor="text1"/>
        </w:rPr>
        <w:t>CSNg</w:t>
      </w:r>
      <w:proofErr w:type="spellEnd"/>
      <w:r>
        <w:rPr>
          <w:color w:val="000000" w:themeColor="text1"/>
        </w:rPr>
        <w:t xml:space="preserve"> brīdī, tika secināts, ka 88% no smagajiem </w:t>
      </w:r>
      <w:proofErr w:type="spellStart"/>
      <w:r>
        <w:rPr>
          <w:color w:val="000000" w:themeColor="text1"/>
        </w:rPr>
        <w:t>CSNg</w:t>
      </w:r>
      <w:proofErr w:type="spellEnd"/>
      <w:r>
        <w:rPr>
          <w:color w:val="000000" w:themeColor="text1"/>
        </w:rPr>
        <w:t xml:space="preserve"> notiek labos laika apstākļos dienas laikā (57%), tāpat jānorāda, ka lielākoties brauktuve ir bijusi sausa (69%), kā arī </w:t>
      </w:r>
      <w:proofErr w:type="spellStart"/>
      <w:r>
        <w:rPr>
          <w:color w:val="000000" w:themeColor="text1"/>
        </w:rPr>
        <w:t>CSNg</w:t>
      </w:r>
      <w:proofErr w:type="spellEnd"/>
      <w:r>
        <w:rPr>
          <w:color w:val="000000" w:themeColor="text1"/>
        </w:rPr>
        <w:t xml:space="preserve"> brīdī ir pārsniegts atļautais braukšanas ātrums (40%), bet alkohola lieto</w:t>
      </w:r>
      <w:r w:rsidR="00236B04">
        <w:rPr>
          <w:color w:val="000000" w:themeColor="text1"/>
        </w:rPr>
        <w:t>šana vai citu ap</w:t>
      </w:r>
      <w:r>
        <w:rPr>
          <w:color w:val="000000" w:themeColor="text1"/>
        </w:rPr>
        <w:t>reibinošo līdzekļu lietošana ir b</w:t>
      </w:r>
      <w:r w:rsidR="007C4E7D">
        <w:rPr>
          <w:color w:val="000000" w:themeColor="text1"/>
        </w:rPr>
        <w:t>ijusi par vienu no iemesliem  11</w:t>
      </w:r>
      <w:r>
        <w:rPr>
          <w:color w:val="000000" w:themeColor="text1"/>
        </w:rPr>
        <w:t>%.</w:t>
      </w:r>
      <w:r w:rsidR="00236B04">
        <w:rPr>
          <w:color w:val="000000" w:themeColor="text1"/>
        </w:rPr>
        <w:t xml:space="preserve"> Lai </w:t>
      </w:r>
      <w:r w:rsidR="00AE7CFE">
        <w:rPr>
          <w:color w:val="000000" w:themeColor="text1"/>
        </w:rPr>
        <w:t xml:space="preserve">arī tikai 11% no  smagajiem </w:t>
      </w:r>
      <w:proofErr w:type="spellStart"/>
      <w:r w:rsidR="00AE7CFE">
        <w:rPr>
          <w:color w:val="000000" w:themeColor="text1"/>
        </w:rPr>
        <w:t>CSNg</w:t>
      </w:r>
      <w:proofErr w:type="spellEnd"/>
      <w:r w:rsidR="00236B04">
        <w:rPr>
          <w:color w:val="000000" w:themeColor="text1"/>
        </w:rPr>
        <w:t xml:space="preserve"> pētījumā ietvertajā laika periodā ir izraisītas alkohola vai citu apreibinošo vielu ietekmē, jānorāda, ka 54,4% no šiem vadītājiem ir jau iepriekš sodīti par braukšanu reibumā (41,7% motociklu, mopēdu vai motorolleru vadītāji, savukārt 58,3% vieglā automobiļa vadītāji). </w:t>
      </w:r>
    </w:p>
    <w:p w:rsidR="00236B04" w:rsidRDefault="00236B04" w:rsidP="0099019B">
      <w:pPr>
        <w:pStyle w:val="NoSpacing"/>
        <w:ind w:firstLine="426"/>
        <w:jc w:val="both"/>
        <w:rPr>
          <w:color w:val="000000" w:themeColor="text1"/>
        </w:rPr>
      </w:pPr>
      <w:r>
        <w:rPr>
          <w:color w:val="000000" w:themeColor="text1"/>
        </w:rPr>
        <w:lastRenderedPageBreak/>
        <w:t xml:space="preserve">Tālāk pētījumā secināts, ka šajā laika periodā 68% no smagajiem </w:t>
      </w:r>
      <w:proofErr w:type="spellStart"/>
      <w:r>
        <w:rPr>
          <w:color w:val="000000" w:themeColor="text1"/>
        </w:rPr>
        <w:t>CSNg</w:t>
      </w:r>
      <w:proofErr w:type="spellEnd"/>
      <w:r>
        <w:rPr>
          <w:color w:val="000000" w:themeColor="text1"/>
        </w:rPr>
        <w:t xml:space="preserve"> ir notikuši ārpus apdzīvotām vietām, savukārt 32% ir notikuši apdzīvotās vietās.</w:t>
      </w:r>
    </w:p>
    <w:p w:rsidR="00F853B2" w:rsidRDefault="00F853B2" w:rsidP="00F853B2">
      <w:pPr>
        <w:pStyle w:val="NoSpacing"/>
        <w:ind w:firstLine="426"/>
        <w:jc w:val="both"/>
        <w:rPr>
          <w:color w:val="000000" w:themeColor="text1"/>
        </w:rPr>
      </w:pPr>
      <w:r>
        <w:rPr>
          <w:color w:val="000000" w:themeColor="text1"/>
        </w:rPr>
        <w:t xml:space="preserve">Analizējot statistiku noteiktajā laika periodā par smagajiem </w:t>
      </w:r>
      <w:proofErr w:type="spellStart"/>
      <w:r>
        <w:rPr>
          <w:color w:val="000000" w:themeColor="text1"/>
        </w:rPr>
        <w:t>CSNg</w:t>
      </w:r>
      <w:proofErr w:type="spellEnd"/>
      <w:r>
        <w:rPr>
          <w:color w:val="000000" w:themeColor="text1"/>
        </w:rPr>
        <w:t xml:space="preserve"> ar gājējiem, secināts, ka 75% avārijas izraisītājs ir bijis gājējs (nav rīkojies atbilstoši</w:t>
      </w:r>
      <w:r w:rsidR="007C4E7D">
        <w:rPr>
          <w:color w:val="000000" w:themeColor="text1"/>
        </w:rPr>
        <w:t xml:space="preserve"> CSN prasībām), tāpat 65% no šād</w:t>
      </w:r>
      <w:r>
        <w:rPr>
          <w:color w:val="000000" w:themeColor="text1"/>
        </w:rPr>
        <w:t xml:space="preserve">iem </w:t>
      </w:r>
      <w:proofErr w:type="spellStart"/>
      <w:r>
        <w:rPr>
          <w:color w:val="000000" w:themeColor="text1"/>
        </w:rPr>
        <w:t>CSNg</w:t>
      </w:r>
      <w:proofErr w:type="spellEnd"/>
      <w:r>
        <w:rPr>
          <w:color w:val="000000" w:themeColor="text1"/>
        </w:rPr>
        <w:t xml:space="preserve"> ir notikuši tumsā, 55% tie ir notikuši ārpus apdzīvotām vietām (45% apdzīvotās vietās). Jānorāda arī, ka apdzīvotās vietās notikušie </w:t>
      </w:r>
      <w:proofErr w:type="spellStart"/>
      <w:r w:rsidRPr="00F853B2">
        <w:rPr>
          <w:color w:val="000000" w:themeColor="text1"/>
          <w:u w:val="single"/>
        </w:rPr>
        <w:t>CSNg</w:t>
      </w:r>
      <w:proofErr w:type="spellEnd"/>
      <w:r w:rsidRPr="00F853B2">
        <w:rPr>
          <w:color w:val="000000" w:themeColor="text1"/>
          <w:u w:val="single"/>
        </w:rPr>
        <w:t xml:space="preserve"> ar gājējiem 46% gadījumu</w:t>
      </w:r>
      <w:r>
        <w:rPr>
          <w:color w:val="000000" w:themeColor="text1"/>
        </w:rPr>
        <w:t xml:space="preserve"> ir bijuši pie ieslēgta apgaismojuma.</w:t>
      </w:r>
    </w:p>
    <w:p w:rsidR="00F853B2" w:rsidRPr="0099019B" w:rsidRDefault="00F46A9A" w:rsidP="00F853B2">
      <w:pPr>
        <w:pStyle w:val="NoSpacing"/>
        <w:ind w:firstLine="426"/>
        <w:jc w:val="both"/>
        <w:rPr>
          <w:color w:val="000000" w:themeColor="text1"/>
        </w:rPr>
      </w:pPr>
      <w:r>
        <w:rPr>
          <w:color w:val="000000" w:themeColor="text1"/>
        </w:rPr>
        <w:t>P</w:t>
      </w:r>
      <w:r w:rsidR="00F853B2">
        <w:rPr>
          <w:color w:val="000000" w:themeColor="text1"/>
        </w:rPr>
        <w:t>ētījumā secināts, ka tipisks gājējs, kurš</w:t>
      </w:r>
      <w:r w:rsidR="00760FCB">
        <w:rPr>
          <w:color w:val="000000" w:themeColor="text1"/>
        </w:rPr>
        <w:t xml:space="preserve"> smagajā </w:t>
      </w:r>
      <w:proofErr w:type="spellStart"/>
      <w:r w:rsidR="00760FCB">
        <w:rPr>
          <w:color w:val="000000" w:themeColor="text1"/>
        </w:rPr>
        <w:t>CSNg</w:t>
      </w:r>
      <w:proofErr w:type="spellEnd"/>
      <w:r w:rsidR="00F853B2">
        <w:rPr>
          <w:color w:val="000000" w:themeColor="text1"/>
        </w:rPr>
        <w:t xml:space="preserve"> tiek notriekts</w:t>
      </w:r>
      <w:r>
        <w:rPr>
          <w:color w:val="000000" w:themeColor="text1"/>
        </w:rPr>
        <w:t>,</w:t>
      </w:r>
      <w:r w:rsidR="00F853B2">
        <w:rPr>
          <w:color w:val="000000" w:themeColor="text1"/>
        </w:rPr>
        <w:t xml:space="preserve"> ir vīrietis (75%) vecumā virs 65 gadiem (28%)</w:t>
      </w:r>
      <w:r w:rsidR="00760FCB">
        <w:rPr>
          <w:color w:val="000000" w:themeColor="text1"/>
        </w:rPr>
        <w:t xml:space="preserve"> alkohola reibumā (16%), kuram nav derīga vadītāja apliecība (61%).</w:t>
      </w:r>
    </w:p>
    <w:p w:rsidR="008A0F2C" w:rsidRDefault="00760FCB" w:rsidP="00127D28">
      <w:pPr>
        <w:pStyle w:val="NoSpacing"/>
        <w:ind w:firstLine="426"/>
        <w:jc w:val="both"/>
        <w:rPr>
          <w:color w:val="000000" w:themeColor="text1"/>
        </w:rPr>
      </w:pPr>
      <w:r>
        <w:rPr>
          <w:color w:val="000000" w:themeColor="text1"/>
        </w:rPr>
        <w:t xml:space="preserve">Veicot aptauju par smago </w:t>
      </w:r>
      <w:proofErr w:type="spellStart"/>
      <w:r>
        <w:rPr>
          <w:color w:val="000000" w:themeColor="text1"/>
        </w:rPr>
        <w:t>CSNg</w:t>
      </w:r>
      <w:proofErr w:type="spellEnd"/>
      <w:r>
        <w:rPr>
          <w:color w:val="000000" w:themeColor="text1"/>
        </w:rPr>
        <w:t xml:space="preserve"> iemesliem, autovadītāji 32% ir minējuši, ka nav bijuši uzmanīgi vadīšanas laikā, 16% gadījumu iemesls ir bijis nogurums, reibums 11%, domas par citām lietām 11%, slikta pašsajūta 6%, strīds 6%, bet atlikušajos 4% kā iemesls ir minēts cita pasažiera (bērna) ietekme uz uzmanības novēršanu no ceļa.</w:t>
      </w:r>
      <w:r w:rsidR="00121529">
        <w:rPr>
          <w:color w:val="000000" w:themeColor="text1"/>
        </w:rPr>
        <w:t xml:space="preserve"> Šajā aptaujā ir arī secināts, ka 77% autovadītāju ir novērtējuši savas auto vadīšanas prasmes kā labas uz sausas brauktuves, taču tieši 69% no smagajiem </w:t>
      </w:r>
      <w:proofErr w:type="spellStart"/>
      <w:r w:rsidR="00121529">
        <w:rPr>
          <w:color w:val="000000" w:themeColor="text1"/>
        </w:rPr>
        <w:t>CSNg</w:t>
      </w:r>
      <w:proofErr w:type="spellEnd"/>
      <w:r w:rsidR="00121529">
        <w:rPr>
          <w:color w:val="000000" w:themeColor="text1"/>
        </w:rPr>
        <w:t xml:space="preserve"> tieši notiek uz sausas brauktuves.</w:t>
      </w:r>
    </w:p>
    <w:p w:rsidR="00017686" w:rsidRPr="000807B7" w:rsidRDefault="00017686" w:rsidP="000807B7">
      <w:pPr>
        <w:rPr>
          <w:lang w:eastAsia="lv-LV"/>
        </w:rPr>
      </w:pPr>
    </w:p>
    <w:p w:rsidR="00806F51" w:rsidRPr="004914A4" w:rsidRDefault="00CD12A0" w:rsidP="00D1125E">
      <w:pPr>
        <w:pStyle w:val="Heading3"/>
        <w:rPr>
          <w:i w:val="0"/>
        </w:rPr>
      </w:pPr>
      <w:bookmarkStart w:id="22" w:name="_Toc477177754"/>
      <w:r w:rsidRPr="00233DD0">
        <w:t>1</w:t>
      </w:r>
      <w:r w:rsidR="00806F51" w:rsidRPr="00233DD0">
        <w:t>.3.2.</w:t>
      </w:r>
      <w:r w:rsidR="00806F51" w:rsidRPr="004914A4">
        <w:rPr>
          <w:i w:val="0"/>
        </w:rPr>
        <w:t xml:space="preserve"> </w:t>
      </w:r>
      <w:r w:rsidR="00A91EE6" w:rsidRPr="004914A4">
        <w:rPr>
          <w:i w:val="0"/>
        </w:rPr>
        <w:t xml:space="preserve"> </w:t>
      </w:r>
      <w:r w:rsidR="00806F51" w:rsidRPr="004914A4">
        <w:rPr>
          <w:rStyle w:val="Heading4Char"/>
          <w:rFonts w:ascii="Times New Roman" w:hAnsi="Times New Roman" w:cs="Times New Roman"/>
          <w:i/>
          <w:color w:val="000000" w:themeColor="text1"/>
        </w:rPr>
        <w:t>“Melno punktu” karte</w:t>
      </w:r>
      <w:bookmarkEnd w:id="22"/>
    </w:p>
    <w:p w:rsidR="00806F51" w:rsidRPr="004914A4" w:rsidRDefault="00806F51" w:rsidP="00A70D56">
      <w:pPr>
        <w:pStyle w:val="NoSpacing"/>
        <w:ind w:firstLine="426"/>
        <w:jc w:val="both"/>
        <w:rPr>
          <w:b/>
          <w:color w:val="000000" w:themeColor="text1"/>
        </w:rPr>
      </w:pPr>
    </w:p>
    <w:p w:rsidR="00887406" w:rsidRPr="004914A4" w:rsidRDefault="00625336" w:rsidP="00A70D56">
      <w:pPr>
        <w:pStyle w:val="NoSpacing"/>
        <w:ind w:firstLine="426"/>
        <w:jc w:val="both"/>
        <w:rPr>
          <w:color w:val="000000" w:themeColor="text1"/>
        </w:rPr>
      </w:pPr>
      <w:r w:rsidRPr="004914A4">
        <w:rPr>
          <w:b/>
          <w:color w:val="000000" w:themeColor="text1"/>
        </w:rPr>
        <w:t>“Melno punktu”</w:t>
      </w:r>
      <w:r w:rsidRPr="004914A4">
        <w:rPr>
          <w:color w:val="000000" w:themeColor="text1"/>
        </w:rPr>
        <w:t xml:space="preserve"> karti LVC atjauno ik pēc 3 gadiem, punktu noteikšanā balstoties uz informāciju par notikušo </w:t>
      </w:r>
      <w:proofErr w:type="spellStart"/>
      <w:r w:rsidR="00F32662">
        <w:rPr>
          <w:color w:val="000000" w:themeColor="text1"/>
        </w:rPr>
        <w:t>CSNg</w:t>
      </w:r>
      <w:proofErr w:type="spellEnd"/>
      <w:r w:rsidR="00F32662">
        <w:rPr>
          <w:color w:val="000000" w:themeColor="text1"/>
        </w:rPr>
        <w:t xml:space="preserve"> skaitu, savukārt</w:t>
      </w:r>
      <w:r w:rsidRPr="004914A4">
        <w:rPr>
          <w:color w:val="000000" w:themeColor="text1"/>
        </w:rPr>
        <w:t xml:space="preserve"> </w:t>
      </w:r>
      <w:r w:rsidR="00F32662">
        <w:rPr>
          <w:color w:val="000000" w:themeColor="text1"/>
        </w:rPr>
        <w:t>Ministru kabineta 2010.gada 28.decembra noteikumi Nr.1240 “</w:t>
      </w:r>
      <w:r w:rsidR="00F32662" w:rsidRPr="00F32662">
        <w:rPr>
          <w:color w:val="000000" w:themeColor="text1"/>
        </w:rPr>
        <w:t>Kārtība, kādā klasificē ceļu posmus, kuros bieži notiek ceļu satiksmes negadījumi, un ceļu tīkla drošību Eiropas ceļu tīklā</w:t>
      </w:r>
      <w:r w:rsidR="00F32662">
        <w:rPr>
          <w:color w:val="000000" w:themeColor="text1"/>
        </w:rPr>
        <w:t>”</w:t>
      </w:r>
      <w:r w:rsidR="00F32662" w:rsidRPr="00F32662">
        <w:rPr>
          <w:color w:val="000000" w:themeColor="text1"/>
        </w:rPr>
        <w:t xml:space="preserve"> nosaka kārtību, kādā klasificē ceļu posmus</w:t>
      </w:r>
      <w:r w:rsidR="00F32662">
        <w:rPr>
          <w:color w:val="000000" w:themeColor="text1"/>
        </w:rPr>
        <w:t xml:space="preserve"> (“melnos punktus”)</w:t>
      </w:r>
      <w:r w:rsidR="00F32662" w:rsidRPr="00F32662">
        <w:rPr>
          <w:color w:val="000000" w:themeColor="text1"/>
        </w:rPr>
        <w:t xml:space="preserve">, kuros bieži </w:t>
      </w:r>
      <w:r w:rsidR="00F32662">
        <w:rPr>
          <w:color w:val="000000" w:themeColor="text1"/>
        </w:rPr>
        <w:t xml:space="preserve">notiek </w:t>
      </w:r>
      <w:proofErr w:type="spellStart"/>
      <w:r w:rsidR="00F32662">
        <w:rPr>
          <w:color w:val="000000" w:themeColor="text1"/>
        </w:rPr>
        <w:t>CSNg</w:t>
      </w:r>
      <w:proofErr w:type="spellEnd"/>
      <w:r w:rsidR="00F32662">
        <w:rPr>
          <w:color w:val="000000" w:themeColor="text1"/>
        </w:rPr>
        <w:t>.</w:t>
      </w:r>
    </w:p>
    <w:p w:rsidR="00887406" w:rsidRPr="004914A4" w:rsidRDefault="00887406" w:rsidP="00A70D56">
      <w:pPr>
        <w:pStyle w:val="NoSpacing"/>
        <w:ind w:firstLine="426"/>
        <w:jc w:val="both"/>
        <w:rPr>
          <w:color w:val="000000" w:themeColor="text1"/>
        </w:rPr>
      </w:pPr>
      <w:r w:rsidRPr="004914A4">
        <w:rPr>
          <w:color w:val="000000" w:themeColor="text1"/>
        </w:rPr>
        <w:t xml:space="preserve">Par “melno punktu” </w:t>
      </w:r>
      <w:r w:rsidR="00F2106A" w:rsidRPr="004914A4">
        <w:rPr>
          <w:color w:val="000000" w:themeColor="text1"/>
        </w:rPr>
        <w:t xml:space="preserve">ārpus apdzīvotām vietām </w:t>
      </w:r>
      <w:r w:rsidRPr="004914A4">
        <w:rPr>
          <w:color w:val="000000" w:themeColor="text1"/>
        </w:rPr>
        <w:t xml:space="preserve">tiek uzskatīta vieta, kur viena kilometra garumā trīs gadu laikā ir notikuši astoņi vai vairāk </w:t>
      </w:r>
      <w:proofErr w:type="spellStart"/>
      <w:r w:rsidRPr="004914A4">
        <w:rPr>
          <w:color w:val="000000" w:themeColor="text1"/>
        </w:rPr>
        <w:t>CSNg</w:t>
      </w:r>
      <w:proofErr w:type="spellEnd"/>
      <w:r w:rsidRPr="004914A4">
        <w:rPr>
          <w:color w:val="000000" w:themeColor="text1"/>
        </w:rPr>
        <w:t xml:space="preserve"> vai arī ir trīs vai vairāk bojāgājušie </w:t>
      </w:r>
      <w:proofErr w:type="spellStart"/>
      <w:r w:rsidRPr="004914A4">
        <w:rPr>
          <w:color w:val="000000" w:themeColor="text1"/>
        </w:rPr>
        <w:t>CSNg</w:t>
      </w:r>
      <w:proofErr w:type="spellEnd"/>
      <w:r w:rsidRPr="004914A4">
        <w:rPr>
          <w:color w:val="000000" w:themeColor="text1"/>
        </w:rPr>
        <w:t xml:space="preserve">. Savukārt ceļu krustojums uzskatāms par “melno punktu”, ja </w:t>
      </w:r>
      <w:proofErr w:type="spellStart"/>
      <w:r w:rsidRPr="004914A4">
        <w:rPr>
          <w:color w:val="000000" w:themeColor="text1"/>
        </w:rPr>
        <w:t>CSNg</w:t>
      </w:r>
      <w:proofErr w:type="spellEnd"/>
      <w:r w:rsidRPr="004914A4">
        <w:rPr>
          <w:color w:val="000000" w:themeColor="text1"/>
        </w:rPr>
        <w:t xml:space="preserve"> pēc iepriekš minētajiem faktoriem ir notikuši 150m rādiusā uz katru pusi. </w:t>
      </w:r>
      <w:r w:rsidR="00F46A9A">
        <w:rPr>
          <w:color w:val="000000" w:themeColor="text1"/>
        </w:rPr>
        <w:t>Pēdējo gadu laikā “m</w:t>
      </w:r>
      <w:r w:rsidR="004B3F13" w:rsidRPr="004914A4">
        <w:rPr>
          <w:color w:val="000000" w:themeColor="text1"/>
        </w:rPr>
        <w:t>elno punktu” skaits ir samazinājies, tomēr daudzviet aizvien īpaši apdraudēti ir gājēji un citi mazāk aizsargātie ceļu satiksmes dalībnieki.</w:t>
      </w:r>
      <w:r w:rsidRPr="004914A4">
        <w:rPr>
          <w:color w:val="000000" w:themeColor="text1"/>
        </w:rPr>
        <w:t xml:space="preserve"> </w:t>
      </w:r>
    </w:p>
    <w:p w:rsidR="00F2106A" w:rsidRPr="000F62DB" w:rsidRDefault="00604E97" w:rsidP="00A70D56">
      <w:pPr>
        <w:pStyle w:val="NoSpacing"/>
        <w:ind w:firstLine="426"/>
        <w:jc w:val="both"/>
        <w:rPr>
          <w:color w:val="000000" w:themeColor="text1"/>
        </w:rPr>
      </w:pPr>
      <w:r w:rsidRPr="004914A4">
        <w:rPr>
          <w:color w:val="000000" w:themeColor="text1"/>
        </w:rPr>
        <w:t>Jānorāda arī, ka</w:t>
      </w:r>
      <w:r w:rsidR="000F62DB" w:rsidRPr="004914A4">
        <w:rPr>
          <w:color w:val="000000" w:themeColor="text1"/>
        </w:rPr>
        <w:t xml:space="preserve"> kritēriji</w:t>
      </w:r>
      <w:r w:rsidRPr="004914A4">
        <w:rPr>
          <w:color w:val="000000" w:themeColor="text1"/>
        </w:rPr>
        <w:t xml:space="preserve"> </w:t>
      </w:r>
      <w:r w:rsidR="00F2106A" w:rsidRPr="004914A4">
        <w:rPr>
          <w:color w:val="000000" w:themeColor="text1"/>
        </w:rPr>
        <w:t>“</w:t>
      </w:r>
      <w:r w:rsidR="00F46A9A">
        <w:rPr>
          <w:color w:val="000000" w:themeColor="text1"/>
        </w:rPr>
        <w:t>m</w:t>
      </w:r>
      <w:r w:rsidRPr="004914A4">
        <w:rPr>
          <w:color w:val="000000" w:themeColor="text1"/>
        </w:rPr>
        <w:t xml:space="preserve">elno punktu” </w:t>
      </w:r>
      <w:r w:rsidR="000F62DB" w:rsidRPr="004914A4">
        <w:rPr>
          <w:color w:val="000000" w:themeColor="text1"/>
        </w:rPr>
        <w:t xml:space="preserve"> un ceļu satiksmes</w:t>
      </w:r>
      <w:r w:rsidR="000F62DB" w:rsidRPr="000F62DB">
        <w:rPr>
          <w:color w:val="000000" w:themeColor="text1"/>
        </w:rPr>
        <w:t xml:space="preserve"> drošībai bīstamu vietu </w:t>
      </w:r>
      <w:r w:rsidRPr="000F62DB">
        <w:rPr>
          <w:color w:val="000000" w:themeColor="text1"/>
        </w:rPr>
        <w:t>noteikšana</w:t>
      </w:r>
      <w:r w:rsidR="000F62DB" w:rsidRPr="000F62DB">
        <w:rPr>
          <w:color w:val="000000" w:themeColor="text1"/>
        </w:rPr>
        <w:t xml:space="preserve">i </w:t>
      </w:r>
      <w:r w:rsidRPr="000F62DB">
        <w:rPr>
          <w:color w:val="000000" w:themeColor="text1"/>
        </w:rPr>
        <w:t>apdzīvotās vietās ir katras pašvaldības kompetencē</w:t>
      </w:r>
      <w:r w:rsidR="000F62DB" w:rsidRPr="000F62DB">
        <w:rPr>
          <w:color w:val="000000" w:themeColor="text1"/>
        </w:rPr>
        <w:t>.</w:t>
      </w:r>
    </w:p>
    <w:p w:rsidR="00887406" w:rsidRPr="004914A4" w:rsidRDefault="00F922DA" w:rsidP="00A70D56">
      <w:pPr>
        <w:pStyle w:val="NoSpacing"/>
        <w:ind w:firstLine="426"/>
        <w:jc w:val="both"/>
        <w:rPr>
          <w:color w:val="000000" w:themeColor="text1"/>
        </w:rPr>
      </w:pPr>
      <w:r w:rsidRPr="000F62DB">
        <w:rPr>
          <w:color w:val="000000" w:themeColor="text1"/>
        </w:rPr>
        <w:t>Pēc 2016.gada jūlijā pieejamās informācijas</w:t>
      </w:r>
      <w:r w:rsidR="00887406" w:rsidRPr="000F62DB">
        <w:rPr>
          <w:color w:val="000000" w:themeColor="text1"/>
        </w:rPr>
        <w:t xml:space="preserve"> </w:t>
      </w:r>
      <w:r w:rsidRPr="000F62DB">
        <w:rPr>
          <w:color w:val="000000" w:themeColor="text1"/>
        </w:rPr>
        <w:t xml:space="preserve">šobrīd ir uzskaitīti </w:t>
      </w:r>
      <w:r w:rsidRPr="000F62DB">
        <w:rPr>
          <w:b/>
          <w:color w:val="000000" w:themeColor="text1"/>
        </w:rPr>
        <w:t xml:space="preserve">58 “melnie punkti” </w:t>
      </w:r>
      <w:r w:rsidR="00887406" w:rsidRPr="000F62DB">
        <w:rPr>
          <w:b/>
          <w:color w:val="000000" w:themeColor="text1"/>
        </w:rPr>
        <w:t xml:space="preserve">uz </w:t>
      </w:r>
      <w:r w:rsidR="004914A4">
        <w:rPr>
          <w:b/>
          <w:color w:val="000000" w:themeColor="text1"/>
        </w:rPr>
        <w:t xml:space="preserve">valsts ceļiem, </w:t>
      </w:r>
      <w:r w:rsidR="00F46A9A">
        <w:rPr>
          <w:color w:val="000000" w:themeColor="text1"/>
        </w:rPr>
        <w:t>aktuālā “m</w:t>
      </w:r>
      <w:r w:rsidR="004914A4">
        <w:rPr>
          <w:color w:val="000000" w:themeColor="text1"/>
        </w:rPr>
        <w:t xml:space="preserve">elno punktu” karte ir pieejama LVC tīmekļa vietnē </w:t>
      </w:r>
      <w:hyperlink r:id="rId14" w:history="1">
        <w:r w:rsidR="004914A4" w:rsidRPr="00A7439F">
          <w:rPr>
            <w:rStyle w:val="Hyperlink"/>
          </w:rPr>
          <w:t>www.lvceli.lv</w:t>
        </w:r>
      </w:hyperlink>
      <w:r w:rsidR="004914A4">
        <w:rPr>
          <w:color w:val="000000" w:themeColor="text1"/>
        </w:rPr>
        <w:t>.</w:t>
      </w:r>
    </w:p>
    <w:p w:rsidR="00887406" w:rsidRPr="000F62DB" w:rsidRDefault="00887406" w:rsidP="00A70D56">
      <w:pPr>
        <w:pStyle w:val="NoSpacing"/>
        <w:ind w:firstLine="426"/>
        <w:jc w:val="both"/>
        <w:rPr>
          <w:color w:val="000000" w:themeColor="text1"/>
        </w:rPr>
      </w:pPr>
      <w:r w:rsidRPr="000F62DB">
        <w:rPr>
          <w:color w:val="000000" w:themeColor="text1"/>
        </w:rPr>
        <w:t xml:space="preserve">No 2009.gada līdz 2011.gadam uz valsts autoceļiem bija 62 “melnie punkti”, savukārt no 2007.gada līdz 2009.gadam – 174. Lielākoties bīstamās vietas ir uz ceļiem pie Rīgas ar lielāko satiksmes intensitāti, bet tendence rāda, ka arvien vairāk </w:t>
      </w:r>
      <w:r w:rsidR="00F46A9A">
        <w:rPr>
          <w:color w:val="000000" w:themeColor="text1"/>
        </w:rPr>
        <w:t>“</w:t>
      </w:r>
      <w:r w:rsidRPr="000F62DB">
        <w:rPr>
          <w:color w:val="000000" w:themeColor="text1"/>
        </w:rPr>
        <w:t>melnie punkti</w:t>
      </w:r>
      <w:r w:rsidR="00F46A9A">
        <w:rPr>
          <w:color w:val="000000" w:themeColor="text1"/>
        </w:rPr>
        <w:t>”</w:t>
      </w:r>
      <w:r w:rsidRPr="000F62DB">
        <w:rPr>
          <w:color w:val="000000" w:themeColor="text1"/>
        </w:rPr>
        <w:t xml:space="preserve"> parādās arī</w:t>
      </w:r>
      <w:r w:rsidR="00F922DA" w:rsidRPr="000F62DB">
        <w:rPr>
          <w:color w:val="000000" w:themeColor="text1"/>
        </w:rPr>
        <w:t xml:space="preserve"> reģionos.</w:t>
      </w:r>
    </w:p>
    <w:p w:rsidR="00887406" w:rsidRPr="000F62DB" w:rsidRDefault="00F922DA" w:rsidP="00A70D56">
      <w:pPr>
        <w:pStyle w:val="NoSpacing"/>
        <w:ind w:firstLine="426"/>
        <w:jc w:val="both"/>
        <w:rPr>
          <w:color w:val="000000" w:themeColor="text1"/>
        </w:rPr>
      </w:pPr>
      <w:r w:rsidRPr="000F62DB">
        <w:rPr>
          <w:color w:val="000000" w:themeColor="text1"/>
        </w:rPr>
        <w:t>Viens</w:t>
      </w:r>
      <w:r w:rsidR="00887406" w:rsidRPr="000F62DB">
        <w:rPr>
          <w:color w:val="000000" w:themeColor="text1"/>
        </w:rPr>
        <w:t xml:space="preserve"> n</w:t>
      </w:r>
      <w:r w:rsidRPr="000F62DB">
        <w:rPr>
          <w:color w:val="000000" w:themeColor="text1"/>
        </w:rPr>
        <w:t>o iemesliem “</w:t>
      </w:r>
      <w:r w:rsidR="00887406" w:rsidRPr="000F62DB">
        <w:rPr>
          <w:color w:val="000000" w:themeColor="text1"/>
        </w:rPr>
        <w:t>melno punktu</w:t>
      </w:r>
      <w:r w:rsidRPr="000F62DB">
        <w:rPr>
          <w:color w:val="000000" w:themeColor="text1"/>
        </w:rPr>
        <w:t>” sk</w:t>
      </w:r>
      <w:r w:rsidR="00887406" w:rsidRPr="000F62DB">
        <w:rPr>
          <w:color w:val="000000" w:themeColor="text1"/>
        </w:rPr>
        <w:t xml:space="preserve">aita samazinājumam ir satiksmes drošības uzlabošanas pasākumi. Piemēram, </w:t>
      </w:r>
      <w:r w:rsidR="00604E97" w:rsidRPr="000F62DB">
        <w:rPr>
          <w:color w:val="000000" w:themeColor="text1"/>
        </w:rPr>
        <w:t>autoceļa A5 (Rīgas apvedceļš</w:t>
      </w:r>
      <w:r w:rsidR="00887406" w:rsidRPr="000F62DB">
        <w:rPr>
          <w:color w:val="000000" w:themeColor="text1"/>
        </w:rPr>
        <w:t xml:space="preserve"> (Salaspils-Babīte)</w:t>
      </w:r>
      <w:r w:rsidRPr="000F62DB">
        <w:rPr>
          <w:color w:val="000000" w:themeColor="text1"/>
        </w:rPr>
        <w:t>) pašā sākumā bīstamā krustojuma vietā šobrīd</w:t>
      </w:r>
      <w:r w:rsidR="00887406" w:rsidRPr="000F62DB">
        <w:rPr>
          <w:color w:val="000000" w:themeColor="text1"/>
        </w:rPr>
        <w:t xml:space="preserve"> ir</w:t>
      </w:r>
      <w:r w:rsidRPr="000F62DB">
        <w:rPr>
          <w:color w:val="000000" w:themeColor="text1"/>
        </w:rPr>
        <w:t xml:space="preserve"> izveidots</w:t>
      </w:r>
      <w:r w:rsidR="00887406" w:rsidRPr="000F62DB">
        <w:rPr>
          <w:color w:val="000000" w:themeColor="text1"/>
        </w:rPr>
        <w:t xml:space="preserve"> rotācijas aplis, </w:t>
      </w:r>
      <w:r w:rsidRPr="000F62DB">
        <w:rPr>
          <w:color w:val="000000" w:themeColor="text1"/>
        </w:rPr>
        <w:t>tāpat autoceļa A7 (Rīga – Bauska – Lietuvas robeža (Grenctāle)) krustojumā uz Baložiem ir uzstādīt</w:t>
      </w:r>
      <w:r w:rsidR="00887406" w:rsidRPr="000F62DB">
        <w:rPr>
          <w:color w:val="000000" w:themeColor="text1"/>
        </w:rPr>
        <w:t>s luksofors</w:t>
      </w:r>
      <w:r w:rsidRPr="000F62DB">
        <w:rPr>
          <w:color w:val="000000" w:themeColor="text1"/>
        </w:rPr>
        <w:t>. Tāpat daudzās vietās tiek</w:t>
      </w:r>
      <w:r w:rsidR="00887406" w:rsidRPr="000F62DB">
        <w:rPr>
          <w:color w:val="000000" w:themeColor="text1"/>
        </w:rPr>
        <w:t xml:space="preserve"> ieguldīti </w:t>
      </w:r>
      <w:r w:rsidRPr="000F62DB">
        <w:rPr>
          <w:color w:val="000000" w:themeColor="text1"/>
        </w:rPr>
        <w:t xml:space="preserve">līdzekļi  arī pārējā </w:t>
      </w:r>
      <w:r w:rsidR="00887406" w:rsidRPr="000F62DB">
        <w:rPr>
          <w:color w:val="000000" w:themeColor="text1"/>
        </w:rPr>
        <w:t>ceļa infrastruktūrā</w:t>
      </w:r>
      <w:r w:rsidR="00604E97" w:rsidRPr="000F62DB">
        <w:rPr>
          <w:color w:val="000000" w:themeColor="text1"/>
        </w:rPr>
        <w:t xml:space="preserve">. </w:t>
      </w:r>
    </w:p>
    <w:p w:rsidR="009B5456" w:rsidRPr="000F62DB" w:rsidRDefault="009B5456" w:rsidP="009B5456">
      <w:pPr>
        <w:pStyle w:val="NoSpacing"/>
        <w:ind w:firstLine="426"/>
        <w:jc w:val="both"/>
        <w:rPr>
          <w:color w:val="000000" w:themeColor="text1"/>
        </w:rPr>
      </w:pPr>
      <w:r w:rsidRPr="000F62DB">
        <w:rPr>
          <w:color w:val="000000" w:themeColor="text1"/>
        </w:rPr>
        <w:t>2015. gadā tika veikti uzlabošanas darbi šādā “melnajā punktā: tika ierīkots apgaismojums  gar a/c A1 Rīga (Baltezers) - Igaunijas robeža (Ainaži), 5,90</w:t>
      </w:r>
      <w:r w:rsidR="00F46A9A">
        <w:rPr>
          <w:color w:val="000000" w:themeColor="text1"/>
        </w:rPr>
        <w:t xml:space="preserve"> km</w:t>
      </w:r>
      <w:r w:rsidRPr="000F62DB">
        <w:rPr>
          <w:color w:val="000000" w:themeColor="text1"/>
        </w:rPr>
        <w:t xml:space="preserve"> (pie Baltezera kokaudzētavas </w:t>
      </w:r>
      <w:proofErr w:type="spellStart"/>
      <w:r w:rsidRPr="000F62DB">
        <w:rPr>
          <w:color w:val="000000" w:themeColor="text1"/>
        </w:rPr>
        <w:t>pieslēguma</w:t>
      </w:r>
      <w:proofErr w:type="spellEnd"/>
      <w:r w:rsidRPr="000F62DB">
        <w:rPr>
          <w:color w:val="000000" w:themeColor="text1"/>
        </w:rPr>
        <w:t>).</w:t>
      </w:r>
    </w:p>
    <w:p w:rsidR="0072202E" w:rsidRDefault="00E9510A" w:rsidP="00A70D56">
      <w:pPr>
        <w:pStyle w:val="NoSpacing"/>
        <w:ind w:firstLine="426"/>
        <w:jc w:val="both"/>
        <w:rPr>
          <w:color w:val="000000" w:themeColor="text1"/>
        </w:rPr>
      </w:pPr>
      <w:r w:rsidRPr="000F62DB">
        <w:rPr>
          <w:color w:val="000000" w:themeColor="text1"/>
        </w:rPr>
        <w:t>Jānorāda, ka</w:t>
      </w:r>
      <w:r w:rsidR="00F46A9A">
        <w:rPr>
          <w:color w:val="000000" w:themeColor="text1"/>
        </w:rPr>
        <w:t>,</w:t>
      </w:r>
      <w:r w:rsidRPr="000F62DB">
        <w:rPr>
          <w:color w:val="000000" w:themeColor="text1"/>
        </w:rPr>
        <w:t xml:space="preserve"> lai mazinātu negadījumu skaitu, visbiežāk tiek ierobežots braukšanas ātrums, taču autovadītāji to ne vienmēr</w:t>
      </w:r>
      <w:r w:rsidRPr="00E9510A">
        <w:rPr>
          <w:color w:val="000000" w:themeColor="text1"/>
        </w:rPr>
        <w:t xml:space="preserve"> ievēro, tādēļ </w:t>
      </w:r>
      <w:r>
        <w:rPr>
          <w:color w:val="000000" w:themeColor="text1"/>
        </w:rPr>
        <w:t>turpmāk pie “melnajiem punktiem” tiek plānots</w:t>
      </w:r>
      <w:r w:rsidRPr="00E9510A">
        <w:rPr>
          <w:color w:val="000000" w:themeColor="text1"/>
        </w:rPr>
        <w:t xml:space="preserve"> uzstādīt arī </w:t>
      </w:r>
      <w:proofErr w:type="spellStart"/>
      <w:r w:rsidRPr="00E9510A">
        <w:rPr>
          <w:color w:val="000000" w:themeColor="text1"/>
        </w:rPr>
        <w:t>fotoradarus</w:t>
      </w:r>
      <w:proofErr w:type="spellEnd"/>
      <w:r w:rsidRPr="00E9510A">
        <w:rPr>
          <w:color w:val="000000" w:themeColor="text1"/>
        </w:rPr>
        <w:t xml:space="preserve">. </w:t>
      </w:r>
    </w:p>
    <w:p w:rsidR="005130BB" w:rsidRDefault="005C0CD6" w:rsidP="004914A4">
      <w:pPr>
        <w:pStyle w:val="NoSpacing"/>
        <w:ind w:firstLine="426"/>
        <w:jc w:val="both"/>
        <w:rPr>
          <w:color w:val="000000" w:themeColor="text1"/>
        </w:rPr>
      </w:pPr>
      <w:r w:rsidRPr="005C0CD6">
        <w:rPr>
          <w:color w:val="000000" w:themeColor="text1"/>
        </w:rPr>
        <w:t xml:space="preserve">2015.gadā </w:t>
      </w:r>
      <w:r w:rsidR="00DF3B37">
        <w:rPr>
          <w:color w:val="000000" w:themeColor="text1"/>
        </w:rPr>
        <w:t xml:space="preserve">ir </w:t>
      </w:r>
      <w:r w:rsidRPr="005C0CD6">
        <w:rPr>
          <w:color w:val="000000" w:themeColor="text1"/>
        </w:rPr>
        <w:t xml:space="preserve">ieviesta </w:t>
      </w:r>
      <w:proofErr w:type="spellStart"/>
      <w:r w:rsidR="00604E97">
        <w:rPr>
          <w:color w:val="000000" w:themeColor="text1"/>
        </w:rPr>
        <w:t>CSNg</w:t>
      </w:r>
      <w:proofErr w:type="spellEnd"/>
      <w:r w:rsidR="00604E97">
        <w:rPr>
          <w:color w:val="000000" w:themeColor="text1"/>
        </w:rPr>
        <w:t xml:space="preserve"> vietas</w:t>
      </w:r>
      <w:r w:rsidRPr="005C0CD6">
        <w:rPr>
          <w:color w:val="000000" w:themeColor="text1"/>
        </w:rPr>
        <w:t xml:space="preserve"> reģistrācija ar GPS</w:t>
      </w:r>
      <w:r w:rsidR="00DF3B37">
        <w:rPr>
          <w:rStyle w:val="FootnoteReference"/>
          <w:color w:val="000000" w:themeColor="text1"/>
        </w:rPr>
        <w:footnoteReference w:id="9"/>
      </w:r>
      <w:r w:rsidR="00604E97">
        <w:rPr>
          <w:color w:val="000000" w:themeColor="text1"/>
        </w:rPr>
        <w:t xml:space="preserve"> koordināšu piesaisti</w:t>
      </w:r>
      <w:r w:rsidRPr="005C0CD6">
        <w:rPr>
          <w:color w:val="000000" w:themeColor="text1"/>
        </w:rPr>
        <w:t xml:space="preserve">, lai </w:t>
      </w:r>
      <w:r w:rsidR="00604E97">
        <w:t xml:space="preserve">pēc iespējas precīzāk noteiktu </w:t>
      </w:r>
      <w:proofErr w:type="spellStart"/>
      <w:r w:rsidR="00604E97">
        <w:t>CSNg</w:t>
      </w:r>
      <w:proofErr w:type="spellEnd"/>
      <w:r w:rsidR="00604E97">
        <w:t xml:space="preserve"> vietu</w:t>
      </w:r>
      <w:r w:rsidRPr="005C0CD6">
        <w:rPr>
          <w:color w:val="000000" w:themeColor="text1"/>
        </w:rPr>
        <w:t>.</w:t>
      </w:r>
      <w:r w:rsidR="005130BB">
        <w:rPr>
          <w:color w:val="000000" w:themeColor="text1"/>
        </w:rPr>
        <w:t xml:space="preserve"> </w:t>
      </w:r>
    </w:p>
    <w:p w:rsidR="00EE737D" w:rsidRPr="00D1125E" w:rsidRDefault="00CD12A0" w:rsidP="00D1125E">
      <w:pPr>
        <w:pStyle w:val="Heading3"/>
        <w:rPr>
          <w:rStyle w:val="Heading4Char"/>
          <w:rFonts w:ascii="Times New Roman" w:hAnsi="Times New Roman" w:cs="Arial"/>
          <w:i/>
          <w:iCs w:val="0"/>
          <w:color w:val="auto"/>
        </w:rPr>
      </w:pPr>
      <w:bookmarkStart w:id="23" w:name="_Toc477177755"/>
      <w:r>
        <w:t>1</w:t>
      </w:r>
      <w:r w:rsidR="00806F51" w:rsidRPr="00D1125E">
        <w:t xml:space="preserve">.3.3. </w:t>
      </w:r>
      <w:proofErr w:type="spellStart"/>
      <w:r w:rsidR="00806F51" w:rsidRPr="00D1125E">
        <w:rPr>
          <w:rStyle w:val="Heading4Char"/>
          <w:rFonts w:ascii="Times New Roman" w:hAnsi="Times New Roman" w:cs="Arial"/>
          <w:i/>
          <w:iCs w:val="0"/>
          <w:color w:val="auto"/>
        </w:rPr>
        <w:t>Mazaizsargātāko</w:t>
      </w:r>
      <w:proofErr w:type="spellEnd"/>
      <w:r w:rsidR="00806F51" w:rsidRPr="00D1125E">
        <w:rPr>
          <w:rStyle w:val="Heading4Char"/>
          <w:rFonts w:ascii="Times New Roman" w:hAnsi="Times New Roman" w:cs="Arial"/>
          <w:i/>
          <w:iCs w:val="0"/>
          <w:color w:val="auto"/>
        </w:rPr>
        <w:t xml:space="preserve"> ceļu satiksmes dalībnieku drošība</w:t>
      </w:r>
      <w:bookmarkEnd w:id="23"/>
    </w:p>
    <w:p w:rsidR="00806F51" w:rsidRPr="00E10BE1" w:rsidRDefault="00806F51" w:rsidP="00A70D56">
      <w:pPr>
        <w:pStyle w:val="NoSpacing"/>
        <w:ind w:firstLine="426"/>
        <w:rPr>
          <w:b/>
          <w:sz w:val="20"/>
          <w:szCs w:val="20"/>
        </w:rPr>
      </w:pPr>
    </w:p>
    <w:p w:rsidR="00806F51" w:rsidRDefault="00806F51" w:rsidP="00A70D56">
      <w:pPr>
        <w:pStyle w:val="NoSpacing"/>
        <w:ind w:firstLine="426"/>
        <w:rPr>
          <w:b/>
        </w:rPr>
      </w:pPr>
      <w:proofErr w:type="spellStart"/>
      <w:r w:rsidRPr="009A3326">
        <w:rPr>
          <w:b/>
        </w:rPr>
        <w:t>Mazaizsargātākie</w:t>
      </w:r>
      <w:proofErr w:type="spellEnd"/>
      <w:r>
        <w:rPr>
          <w:b/>
        </w:rPr>
        <w:t xml:space="preserve"> (gājēji, velosipēdu vadītāji)</w:t>
      </w:r>
      <w:r w:rsidRPr="009A3326">
        <w:rPr>
          <w:b/>
        </w:rPr>
        <w:t>.</w:t>
      </w:r>
    </w:p>
    <w:p w:rsidR="00806F51" w:rsidRDefault="00806F51" w:rsidP="005130BB">
      <w:pPr>
        <w:tabs>
          <w:tab w:val="left" w:pos="360"/>
        </w:tabs>
        <w:ind w:firstLine="426"/>
        <w:jc w:val="both"/>
      </w:pPr>
      <w:r w:rsidRPr="009263EC">
        <w:t xml:space="preserve">Jaunu pasīvo un aktīvo drošības sistēmu ieviešana vieglajās, kravas automašīnās un autobusos ir ievērojami paaugstinājusi šo </w:t>
      </w:r>
      <w:r w:rsidR="004928B4">
        <w:t>TL</w:t>
      </w:r>
      <w:r w:rsidR="004928B4" w:rsidRPr="009263EC">
        <w:t xml:space="preserve"> </w:t>
      </w:r>
      <w:r w:rsidRPr="009263EC">
        <w:t xml:space="preserve">drošības līmeni, turpretī mazāk aizsargāto satiksmes dalībnieku, it sevišķi </w:t>
      </w:r>
      <w:r w:rsidRPr="009263EC">
        <w:lastRenderedPageBreak/>
        <w:t xml:space="preserve">gājēju, drošības līmenis joprojām ir ļoti zems. </w:t>
      </w:r>
      <w:proofErr w:type="spellStart"/>
      <w:r w:rsidR="00604E97">
        <w:t>CSNg</w:t>
      </w:r>
      <w:proofErr w:type="spellEnd"/>
      <w:r w:rsidRPr="009263EC">
        <w:t xml:space="preserve"> ar mazāk aizsargātajiem satiksmes dalībniekiem parasti ir arī ar vis</w:t>
      </w:r>
      <w:r w:rsidR="00D50656">
        <w:t>s</w:t>
      </w:r>
      <w:r w:rsidRPr="009263EC">
        <w:t>magākaj</w:t>
      </w:r>
      <w:r>
        <w:t>ām sekām, bieži vien ar letālām.</w:t>
      </w:r>
      <w:r w:rsidRPr="009263EC">
        <w:t xml:space="preserve"> Gaismas atstarojošo elementu vai vestes ar gaismu atstarojošiem elementiem lietošana prasa mazākus ieguldījumus, nekā ievērojamas satiksmes un pilsētvides izmaiņas – gājēju plūsmas atdalīšana no pārējās satiksmes</w:t>
      </w:r>
      <w:r>
        <w:t xml:space="preserve"> (it īpaši ārpus apdzīvotām vietām) un</w:t>
      </w:r>
      <w:r w:rsidRPr="009263EC">
        <w:t xml:space="preserve"> speciālu velosipēdu joslu izveidošana. Jebkurā gadījumā abi šie piemēri ir būtiski un, ja pirmais ir realizējams salīdzinoši ātrā laika posmā, tad nākotnē jebkurā gadījumā</w:t>
      </w:r>
      <w:r w:rsidR="00D50656">
        <w:t>,</w:t>
      </w:r>
      <w:r w:rsidRPr="009263EC">
        <w:t xml:space="preserve"> veidojot jaunus satiksmes risinājumus vai atjaunojot esošos, ir jāpievērš uzmanība arī, lai mazāk aizsargāto satiksmes dalībnieku plūsmas (gājēju, velosipēdistu) pēc iespējas mazāk </w:t>
      </w:r>
      <w:r>
        <w:t xml:space="preserve">būtu </w:t>
      </w:r>
      <w:r w:rsidRPr="009263EC">
        <w:t>saistīt</w:t>
      </w:r>
      <w:r w:rsidR="005130BB">
        <w:t xml:space="preserve">as ar pārējo satiksmes plūsmu. </w:t>
      </w:r>
    </w:p>
    <w:p w:rsidR="00CD5044" w:rsidRDefault="00CD5044" w:rsidP="00CD5044">
      <w:pPr>
        <w:tabs>
          <w:tab w:val="left" w:pos="360"/>
        </w:tabs>
        <w:ind w:firstLine="426"/>
        <w:jc w:val="both"/>
      </w:pPr>
      <w:r>
        <w:t>Saskaņā ar Latvijas un ES normatīvajiem aktiem</w:t>
      </w:r>
      <w:r>
        <w:rPr>
          <w:rStyle w:val="FootnoteReference"/>
        </w:rPr>
        <w:footnoteReference w:id="10"/>
      </w:r>
      <w:r>
        <w:t>, gaismu atstarojošie elementi, bērnu sēdeklīši, kā arī aizsargķiveres uzskatāmi par individuālajiem aizsardzības līdzekļiem. Lai arī individuālo aizsardzības līdzekļu izmantošana ir būtiska, ne mazāk svarīgi ir izmantot prasībām atbilstošus individuālos aizsard</w:t>
      </w:r>
      <w:r w:rsidR="00002D8B">
        <w:t xml:space="preserve">zības līdzekļus, kas </w:t>
      </w:r>
      <w:proofErr w:type="spellStart"/>
      <w:r w:rsidR="00002D8B">
        <w:t>CSNg</w:t>
      </w:r>
      <w:proofErr w:type="spellEnd"/>
      <w:r w:rsidR="00002D8B">
        <w:t xml:space="preserve"> brīdī</w:t>
      </w:r>
      <w:r>
        <w:t xml:space="preserve"> pildītu savas funkcijas un nodrošinātu paredzēto aizsardzību. </w:t>
      </w:r>
      <w:r w:rsidR="00002D8B">
        <w:t>PTAC</w:t>
      </w:r>
      <w:r>
        <w:t xml:space="preserve"> katru gadu veic </w:t>
      </w:r>
      <w:r w:rsidR="00002D8B">
        <w:t>IAL</w:t>
      </w:r>
      <w:r>
        <w:t xml:space="preserve"> tirgus uzraudzību, lai patērētājiem samazinātu risku iegādāties neatbilstošu preci. IAL lietošanas vai izmantošanas mērķis ir novērst vienu vai vairākus riska faktorus, kas var būt saistīti ar dažādu traumu gūšanu. Tādējādi, izvēloties atbilstošus IAL, jāņem vērā ne tikai to drošības pakāpe, bet arī ērtums. Lietojamajiem IAL ir jābūt darba kārtībā, bez plīsumiem vai nodilumiem, un tiem jānodrošina pilnīga aizsardzība. IAL drīkst lietot tikai tam mērķim, kam tie ir paredzēti, ievērojot ražotāja dotās lietošanas instrukcijas. Pirms IAL iegādāšanās patērētājiem jāpārliecinās, vai tiem ir nepieciešamais marķējums:</w:t>
      </w:r>
    </w:p>
    <w:p w:rsidR="00CD5044" w:rsidRDefault="00CD5044" w:rsidP="00CD5044">
      <w:pPr>
        <w:tabs>
          <w:tab w:val="left" w:pos="360"/>
        </w:tabs>
        <w:ind w:firstLine="426"/>
        <w:jc w:val="both"/>
      </w:pPr>
      <w:r>
        <w:t>•</w:t>
      </w:r>
      <w:r>
        <w:tab/>
        <w:t>ražotāja nosaukums un adrese;</w:t>
      </w:r>
    </w:p>
    <w:p w:rsidR="00CD5044" w:rsidRDefault="00CD5044" w:rsidP="00CD5044">
      <w:pPr>
        <w:tabs>
          <w:tab w:val="left" w:pos="360"/>
        </w:tabs>
        <w:ind w:firstLine="426"/>
        <w:jc w:val="both"/>
      </w:pPr>
      <w:r>
        <w:t>•</w:t>
      </w:r>
      <w:r>
        <w:tab/>
        <w:t>CE marķējums;</w:t>
      </w:r>
    </w:p>
    <w:p w:rsidR="00CD5044" w:rsidRDefault="00CD5044" w:rsidP="00CD5044">
      <w:pPr>
        <w:tabs>
          <w:tab w:val="left" w:pos="360"/>
        </w:tabs>
        <w:ind w:firstLine="426"/>
        <w:jc w:val="both"/>
      </w:pPr>
      <w:r>
        <w:t>•</w:t>
      </w:r>
      <w:r>
        <w:tab/>
        <w:t>informācija valsts valodā par to lietošanu (uzglabāšanu, izmantošanu, tīrīšanu, apkopi utt.). Lai saglabātu IAL iespējami ilgāku laiku un novērstu kaitējumus lietotāja veselībai, ir nepieciešams rūpēties, lai tie tiktu atbilstoši kopti. Tikai precīza ražotāja sniegtās mazgāšanas un uzglabāšanas instrukcijas ievērošana garantē nemainīgu aizsardzību.</w:t>
      </w:r>
    </w:p>
    <w:p w:rsidR="00CD5044" w:rsidRPr="00806F51" w:rsidRDefault="00CD5044" w:rsidP="00CD5044">
      <w:pPr>
        <w:tabs>
          <w:tab w:val="left" w:pos="360"/>
        </w:tabs>
        <w:ind w:firstLine="426"/>
        <w:jc w:val="both"/>
      </w:pPr>
      <w:r>
        <w:t>Saskaņā ar Ministru kabineta 2003.gada 11.februāra noteikumiem Nr.74 „Prasības individuālajiem aizsardzības līdzekļiem, to atbilstības novērtēšanas kārtība un tirgus uzraudzība”, atstarotāji  ir nepieciešami ne tikai gājējiem, bet ar tiem būtu jābūt aprīkotiem arī velosipēdiem, bērnu un invalīdu ratiņiem. Ir atbalstāmi iegādāties apģērbu, kurā iestrādāts atstarojošs materiāls, tomēr drošuma ziņā nevar aizstāt atstarotāja vai atstarojošās vestes  lietošanu.</w:t>
      </w:r>
    </w:p>
    <w:p w:rsidR="009A3326" w:rsidRDefault="009A3326" w:rsidP="00A70D56">
      <w:pPr>
        <w:pStyle w:val="NoSpacing"/>
        <w:ind w:firstLine="426"/>
        <w:jc w:val="both"/>
      </w:pPr>
      <w:r w:rsidRPr="002A64DC">
        <w:rPr>
          <w:b/>
        </w:rPr>
        <w:t>Velosipēdisti</w:t>
      </w:r>
      <w:r w:rsidRPr="00271A35">
        <w:t xml:space="preserve"> ir satiksmes dalībnieki un viņiem ir atļauts pārvietoties pa vispārējās lietošanas ceļiem. Visdrošāk velosipēdisti varētu justies tad, ja </w:t>
      </w:r>
      <w:proofErr w:type="spellStart"/>
      <w:r w:rsidRPr="00271A35">
        <w:t>velosatiksme</w:t>
      </w:r>
      <w:proofErr w:type="spellEnd"/>
      <w:r w:rsidRPr="00271A35">
        <w:t xml:space="preserve"> tiktu nodalīta no autotransporta pa speciāli izveidotiem </w:t>
      </w:r>
      <w:proofErr w:type="spellStart"/>
      <w:r w:rsidRPr="00271A35">
        <w:t>veloce</w:t>
      </w:r>
      <w:r>
        <w:t>ļiem</w:t>
      </w:r>
      <w:proofErr w:type="spellEnd"/>
      <w:r w:rsidRPr="00271A35">
        <w:t xml:space="preserve">. Tā kā valsts </w:t>
      </w:r>
      <w:r>
        <w:t>auto</w:t>
      </w:r>
      <w:r w:rsidRPr="00271A35">
        <w:t xml:space="preserve">ceļu tīklā ir </w:t>
      </w:r>
      <w:r>
        <w:t xml:space="preserve">ceļi </w:t>
      </w:r>
      <w:r w:rsidRPr="00271A35">
        <w:t>vairāk nekā 20</w:t>
      </w:r>
      <w:r w:rsidR="00604E97">
        <w:t xml:space="preserve"> </w:t>
      </w:r>
      <w:r w:rsidRPr="00271A35">
        <w:t>000 km</w:t>
      </w:r>
      <w:r>
        <w:t xml:space="preserve"> garumā</w:t>
      </w:r>
      <w:r w:rsidRPr="00271A35">
        <w:t xml:space="preserve">, izveidot šāda apjoma </w:t>
      </w:r>
      <w:proofErr w:type="spellStart"/>
      <w:r w:rsidRPr="00271A35">
        <w:t>vel</w:t>
      </w:r>
      <w:r>
        <w:t>oceļu</w:t>
      </w:r>
      <w:proofErr w:type="spellEnd"/>
      <w:r>
        <w:t xml:space="preserve"> tīklu nebūs iespējams, t</w:t>
      </w:r>
      <w:r w:rsidRPr="00271A35">
        <w:t xml:space="preserve">ādēļ nodalītu </w:t>
      </w:r>
      <w:proofErr w:type="spellStart"/>
      <w:r w:rsidRPr="00271A35">
        <w:t>veloce</w:t>
      </w:r>
      <w:r>
        <w:t>ļu</w:t>
      </w:r>
      <w:proofErr w:type="spellEnd"/>
      <w:r w:rsidRPr="00271A35">
        <w:t xml:space="preserve"> izveidošana ir iespējam</w:t>
      </w:r>
      <w:r>
        <w:t>a</w:t>
      </w:r>
      <w:r w:rsidRPr="00271A35">
        <w:t xml:space="preserve"> tikai atsevišķos gadījumos pie apdzīvotām vietām ar intensīvu velosipēdistu pārvietošanos konkrētajā maršrutā apvienojumā ar intensīvu gājēju plūsmu</w:t>
      </w:r>
      <w:r>
        <w:t>. K</w:t>
      </w:r>
      <w:r w:rsidRPr="00271A35">
        <w:t>atru gadu</w:t>
      </w:r>
      <w:r>
        <w:t xml:space="preserve"> atbilstoši iespējām</w:t>
      </w:r>
      <w:r w:rsidRPr="00271A35">
        <w:t xml:space="preserve"> </w:t>
      </w:r>
      <w:r>
        <w:t>tiek plānota un veikta</w:t>
      </w:r>
      <w:r w:rsidR="00604E97">
        <w:t xml:space="preserve"> gājēju – velosipēdu</w:t>
      </w:r>
      <w:r w:rsidRPr="00271A35">
        <w:t xml:space="preserve"> ce</w:t>
      </w:r>
      <w:r>
        <w:t>ļu būvniecība.</w:t>
      </w:r>
    </w:p>
    <w:p w:rsidR="006A0E95" w:rsidRDefault="009A3326" w:rsidP="005130BB">
      <w:pPr>
        <w:ind w:firstLine="426"/>
        <w:jc w:val="both"/>
      </w:pPr>
      <w:r>
        <w:t>Ņ</w:t>
      </w:r>
      <w:r w:rsidRPr="00DA43E0">
        <w:t xml:space="preserve">emot vērā sabiedrības pieprasījumu, teritorijas plānošanas ietvaros pašvaldībām ir iespējas plānot </w:t>
      </w:r>
      <w:proofErr w:type="spellStart"/>
      <w:r w:rsidRPr="00DA43E0">
        <w:t>velomaršrutus</w:t>
      </w:r>
      <w:proofErr w:type="spellEnd"/>
      <w:r w:rsidRPr="00DA43E0">
        <w:t xml:space="preserve">, izbūvējamus </w:t>
      </w:r>
      <w:proofErr w:type="spellStart"/>
      <w:r w:rsidRPr="00DA43E0">
        <w:t>veloce</w:t>
      </w:r>
      <w:r>
        <w:t>ļus</w:t>
      </w:r>
      <w:proofErr w:type="spellEnd"/>
      <w:r w:rsidRPr="00DA43E0">
        <w:t xml:space="preserve"> un </w:t>
      </w:r>
      <w:proofErr w:type="spellStart"/>
      <w:r w:rsidRPr="00DA43E0">
        <w:t>velojoslas</w:t>
      </w:r>
      <w:proofErr w:type="spellEnd"/>
      <w:r w:rsidRPr="00DA43E0">
        <w:t xml:space="preserve">, kā arī nodrošināt to izbūvi, piesaistot gan pašvaldības, gan dažādu fondu un programmu finansējumu. Vairākas pašvaldības ir sagatavojušas </w:t>
      </w:r>
      <w:proofErr w:type="spellStart"/>
      <w:r w:rsidRPr="00DA43E0">
        <w:t>velosatiksmes</w:t>
      </w:r>
      <w:proofErr w:type="spellEnd"/>
      <w:r w:rsidRPr="00DA43E0">
        <w:t xml:space="preserve"> attīstības koncepcijas, velotransporta organizācijas shēmas, kā arī </w:t>
      </w:r>
      <w:proofErr w:type="spellStart"/>
      <w:r w:rsidRPr="00DA43E0">
        <w:t>veloce</w:t>
      </w:r>
      <w:r>
        <w:t>ļu</w:t>
      </w:r>
      <w:proofErr w:type="spellEnd"/>
      <w:r w:rsidRPr="00DA43E0">
        <w:t xml:space="preserve"> tīklojuma </w:t>
      </w:r>
      <w:proofErr w:type="spellStart"/>
      <w:r w:rsidRPr="00DA43E0">
        <w:t>kartoshēmas</w:t>
      </w:r>
      <w:proofErr w:type="spellEnd"/>
      <w:r w:rsidRPr="00DA43E0">
        <w:t xml:space="preserve"> un  bukletus, kuros ir ietverta informācija par ierīkotajiem </w:t>
      </w:r>
      <w:proofErr w:type="spellStart"/>
      <w:r w:rsidRPr="00DA43E0">
        <w:t>velomaršrutiem</w:t>
      </w:r>
      <w:proofErr w:type="spellEnd"/>
      <w:r w:rsidRPr="00DA43E0">
        <w:t xml:space="preserve"> un izbūvētajiem </w:t>
      </w:r>
      <w:proofErr w:type="spellStart"/>
      <w:r w:rsidRPr="00DA43E0">
        <w:t>veloce</w:t>
      </w:r>
      <w:r>
        <w:t>ļiem</w:t>
      </w:r>
      <w:proofErr w:type="spellEnd"/>
      <w:r w:rsidRPr="00DA43E0">
        <w:t xml:space="preserve">, kā arī svarīgākajiem drošības nosacījumiem, pārvietojoties ar velosipēdiem. </w:t>
      </w:r>
    </w:p>
    <w:p w:rsidR="009A3326" w:rsidRPr="002B7DC5" w:rsidRDefault="001E10D1" w:rsidP="00A70D56">
      <w:pPr>
        <w:autoSpaceDE w:val="0"/>
        <w:autoSpaceDN w:val="0"/>
        <w:adjustRightInd w:val="0"/>
        <w:ind w:firstLine="426"/>
        <w:jc w:val="both"/>
      </w:pPr>
      <w:r w:rsidRPr="00AC07B8">
        <w:rPr>
          <w:u w:val="single"/>
        </w:rPr>
        <w:t xml:space="preserve"> B</w:t>
      </w:r>
      <w:r w:rsidR="009A3326" w:rsidRPr="00AC07B8">
        <w:rPr>
          <w:u w:val="single"/>
        </w:rPr>
        <w:t xml:space="preserve">ūtiskākās </w:t>
      </w:r>
      <w:proofErr w:type="spellStart"/>
      <w:r w:rsidR="009A3326" w:rsidRPr="00AC07B8">
        <w:rPr>
          <w:u w:val="single"/>
        </w:rPr>
        <w:t>velosatiksmes</w:t>
      </w:r>
      <w:proofErr w:type="spellEnd"/>
      <w:r w:rsidR="009A3326" w:rsidRPr="00AC07B8">
        <w:rPr>
          <w:u w:val="single"/>
        </w:rPr>
        <w:t xml:space="preserve"> drošības problēmas Latvijā</w:t>
      </w:r>
      <w:r w:rsidR="009A3326">
        <w:t>:</w:t>
      </w:r>
    </w:p>
    <w:p w:rsidR="009A3326" w:rsidRPr="002B7DC5" w:rsidRDefault="009A3326" w:rsidP="00A70D56">
      <w:pPr>
        <w:autoSpaceDE w:val="0"/>
        <w:autoSpaceDN w:val="0"/>
        <w:adjustRightInd w:val="0"/>
        <w:ind w:firstLine="426"/>
        <w:jc w:val="both"/>
      </w:pPr>
      <w:r>
        <w:t>• V</w:t>
      </w:r>
      <w:r w:rsidRPr="002B7DC5">
        <w:t xml:space="preserve">elosipēdisti </w:t>
      </w:r>
      <w:r w:rsidR="00AC07B8">
        <w:t>diennakts tumšajā laikā</w:t>
      </w:r>
      <w:r w:rsidR="00F46A9A">
        <w:t xml:space="preserve"> </w:t>
      </w:r>
      <w:r w:rsidR="00F46A9A" w:rsidRPr="002B7DC5">
        <w:t>nelieto</w:t>
      </w:r>
      <w:r w:rsidR="00AC07B8">
        <w:t xml:space="preserve"> </w:t>
      </w:r>
      <w:r>
        <w:t xml:space="preserve">apģērbu ar </w:t>
      </w:r>
      <w:r w:rsidRPr="002B7DC5">
        <w:t>gaismu atstarojoša materiāla elementiem</w:t>
      </w:r>
      <w:r w:rsidRPr="002B7DC5" w:rsidDel="00B55881">
        <w:t xml:space="preserve"> </w:t>
      </w:r>
      <w:r>
        <w:t>un uz autoceļiem ir nepietiekošs apgaismojums</w:t>
      </w:r>
      <w:r w:rsidRPr="002B7DC5">
        <w:t xml:space="preserve"> </w:t>
      </w:r>
      <w:r>
        <w:t>diennakts tumšajā laikā</w:t>
      </w:r>
      <w:r w:rsidRPr="002B7DC5">
        <w:t xml:space="preserve">, </w:t>
      </w:r>
      <w:r>
        <w:t>kā arī g</w:t>
      </w:r>
      <w:r w:rsidRPr="002B7DC5">
        <w:t xml:space="preserve">ājēju un velosipēdistu plūsmas </w:t>
      </w:r>
      <w:r w:rsidR="00AC07B8">
        <w:t>lielākoties</w:t>
      </w:r>
      <w:r w:rsidRPr="002B7DC5">
        <w:t xml:space="preserve"> nav atdalītas no mehānisko </w:t>
      </w:r>
      <w:r w:rsidR="004928B4" w:rsidRPr="004928B4">
        <w:t>TL</w:t>
      </w:r>
      <w:r w:rsidR="004928B4">
        <w:t xml:space="preserve"> </w:t>
      </w:r>
      <w:r w:rsidRPr="002B7DC5">
        <w:t xml:space="preserve"> plūsmām;</w:t>
      </w:r>
    </w:p>
    <w:p w:rsidR="009A3326" w:rsidRPr="002B7DC5" w:rsidRDefault="009A3326" w:rsidP="00A70D56">
      <w:pPr>
        <w:autoSpaceDE w:val="0"/>
        <w:autoSpaceDN w:val="0"/>
        <w:adjustRightInd w:val="0"/>
        <w:ind w:firstLine="426"/>
        <w:jc w:val="both"/>
      </w:pPr>
      <w:r>
        <w:t>• Izglītības iestādēs nav metodiskas bērnu izglītības par ceļu satiksmi</w:t>
      </w:r>
      <w:r w:rsidR="00AC07B8">
        <w:t xml:space="preserve"> un satiksmes drošību</w:t>
      </w:r>
      <w:r w:rsidRPr="002B7DC5">
        <w:t>;</w:t>
      </w:r>
    </w:p>
    <w:p w:rsidR="009A3326" w:rsidRPr="002B7DC5" w:rsidRDefault="009A3326" w:rsidP="00A70D56">
      <w:pPr>
        <w:autoSpaceDE w:val="0"/>
        <w:autoSpaceDN w:val="0"/>
        <w:adjustRightInd w:val="0"/>
        <w:ind w:firstLine="426"/>
        <w:jc w:val="both"/>
      </w:pPr>
      <w:r>
        <w:t>• D</w:t>
      </w:r>
      <w:r w:rsidRPr="002B7DC5">
        <w:t>aļa velosipēdu vadītāju ceļu satiksmē piedalās alkohola reibumā.</w:t>
      </w:r>
    </w:p>
    <w:p w:rsidR="009A3326" w:rsidRDefault="009A3326" w:rsidP="00A70D56">
      <w:pPr>
        <w:autoSpaceDE w:val="0"/>
        <w:autoSpaceDN w:val="0"/>
        <w:adjustRightInd w:val="0"/>
        <w:ind w:firstLine="426"/>
        <w:jc w:val="both"/>
      </w:pPr>
    </w:p>
    <w:p w:rsidR="009A3326" w:rsidRDefault="00190F10" w:rsidP="00A70D56">
      <w:pPr>
        <w:autoSpaceDE w:val="0"/>
        <w:autoSpaceDN w:val="0"/>
        <w:adjustRightInd w:val="0"/>
        <w:ind w:firstLine="426"/>
        <w:jc w:val="both"/>
      </w:pPr>
      <w:r>
        <w:t xml:space="preserve">Lai </w:t>
      </w:r>
      <w:proofErr w:type="spellStart"/>
      <w:r w:rsidRPr="002B7DC5">
        <w:t>vel</w:t>
      </w:r>
      <w:r>
        <w:t>osatiksmes</w:t>
      </w:r>
      <w:proofErr w:type="spellEnd"/>
      <w:r>
        <w:t xml:space="preserve"> drošības situāciju uzlabotu, būtu jāveic darbs pie šādiem</w:t>
      </w:r>
      <w:r w:rsidR="009A3326">
        <w:t xml:space="preserve"> p</w:t>
      </w:r>
      <w:r w:rsidR="009A3326" w:rsidRPr="002B7DC5">
        <w:t>asākum</w:t>
      </w:r>
      <w:r>
        <w:t>iem</w:t>
      </w:r>
      <w:r w:rsidR="009A3326">
        <w:t>:</w:t>
      </w:r>
    </w:p>
    <w:p w:rsidR="009A3326" w:rsidRPr="002B7DC5" w:rsidRDefault="009A3326" w:rsidP="00A70D56">
      <w:pPr>
        <w:autoSpaceDE w:val="0"/>
        <w:autoSpaceDN w:val="0"/>
        <w:adjustRightInd w:val="0"/>
        <w:ind w:firstLine="426"/>
        <w:jc w:val="both"/>
      </w:pPr>
      <w:r w:rsidRPr="002B7DC5">
        <w:t>•</w:t>
      </w:r>
      <w:r>
        <w:t xml:space="preserve"> </w:t>
      </w:r>
      <w:r w:rsidR="00F46A9A">
        <w:t>Sabiedrība</w:t>
      </w:r>
      <w:r>
        <w:t xml:space="preserve"> un sociālie partneri aktīvāk jāinformē par apģērba ar gaismu atstarojoša materiāla elementu lietošanu diennakts tumšajā laikā</w:t>
      </w:r>
      <w:r w:rsidR="00190F10">
        <w:t>, kā arī spilgta apģērba, kas izceļas uz apkārtējā fona, lietošanu diennakts gaišajā laikā</w:t>
      </w:r>
      <w:r>
        <w:t>;</w:t>
      </w:r>
    </w:p>
    <w:p w:rsidR="009A3326" w:rsidRDefault="009A3326" w:rsidP="00A70D56">
      <w:pPr>
        <w:autoSpaceDE w:val="0"/>
        <w:autoSpaceDN w:val="0"/>
        <w:adjustRightInd w:val="0"/>
        <w:ind w:firstLine="426"/>
        <w:jc w:val="both"/>
      </w:pPr>
      <w:r>
        <w:t xml:space="preserve">• </w:t>
      </w:r>
      <w:r w:rsidR="000E3D1F">
        <w:t xml:space="preserve"> </w:t>
      </w:r>
      <w:r>
        <w:t>J</w:t>
      </w:r>
      <w:r w:rsidRPr="002B7DC5">
        <w:t>āturpina attīst</w:t>
      </w:r>
      <w:r>
        <w:t>ī</w:t>
      </w:r>
      <w:r w:rsidR="00190F10">
        <w:t>t velosipēd</w:t>
      </w:r>
      <w:r w:rsidR="00AC07B8">
        <w:t xml:space="preserve">u </w:t>
      </w:r>
      <w:r w:rsidRPr="002B7DC5">
        <w:t>ceļu</w:t>
      </w:r>
      <w:r w:rsidR="00AC07B8">
        <w:t xml:space="preserve"> un joslu</w:t>
      </w:r>
      <w:r w:rsidRPr="002B7DC5">
        <w:t xml:space="preserve"> tīklu</w:t>
      </w:r>
      <w:r>
        <w:t>;</w:t>
      </w:r>
    </w:p>
    <w:p w:rsidR="009A3326" w:rsidRPr="002B7DC5" w:rsidRDefault="009A3326" w:rsidP="00A70D56">
      <w:pPr>
        <w:autoSpaceDE w:val="0"/>
        <w:autoSpaceDN w:val="0"/>
        <w:adjustRightInd w:val="0"/>
        <w:ind w:firstLine="426"/>
        <w:jc w:val="both"/>
      </w:pPr>
      <w:r>
        <w:t>• Jā</w:t>
      </w:r>
      <w:r w:rsidRPr="002B7DC5">
        <w:t xml:space="preserve">aktivizē ceļu satiksmes dalībnieku kontrole, </w:t>
      </w:r>
      <w:r w:rsidR="009D394A">
        <w:t>jāpastiprina</w:t>
      </w:r>
      <w:r w:rsidRPr="002B7DC5">
        <w:t xml:space="preserve"> </w:t>
      </w:r>
      <w:r w:rsidR="009D394A">
        <w:t>VP</w:t>
      </w:r>
      <w:r w:rsidRPr="002B7DC5">
        <w:t xml:space="preserve"> darbinieku fizisko klātbūtni satiksmes uzraudzības procesā, īpaši attālākajos valsts reģionos;</w:t>
      </w:r>
    </w:p>
    <w:p w:rsidR="009A3326" w:rsidRPr="002B7DC5" w:rsidRDefault="009A3326" w:rsidP="00A70D56">
      <w:pPr>
        <w:autoSpaceDE w:val="0"/>
        <w:autoSpaceDN w:val="0"/>
        <w:adjustRightInd w:val="0"/>
        <w:ind w:firstLine="426"/>
        <w:jc w:val="both"/>
      </w:pPr>
      <w:r>
        <w:t>• Jāveido metodiska bērnu apmācība ceļu satiksmes drošības jautājumos</w:t>
      </w:r>
      <w:r w:rsidRPr="002B7DC5">
        <w:t xml:space="preserve"> izglītības iestādēs;</w:t>
      </w:r>
    </w:p>
    <w:p w:rsidR="00233DD0" w:rsidRDefault="009A3326" w:rsidP="00B02243">
      <w:pPr>
        <w:autoSpaceDE w:val="0"/>
        <w:autoSpaceDN w:val="0"/>
        <w:adjustRightInd w:val="0"/>
        <w:ind w:firstLine="426"/>
        <w:jc w:val="both"/>
      </w:pPr>
      <w:r>
        <w:t>• Jāturpina</w:t>
      </w:r>
      <w:r w:rsidRPr="002B7DC5">
        <w:t xml:space="preserve"> veidot sabiedrības attieksmi par drošu pārvietošanos ceļu satiksmē (katru gadu organizēt sabiedrības informēšanas un izglītošanas kampaņas par aktuālām tēmām)</w:t>
      </w:r>
      <w:r>
        <w:t xml:space="preserve">. </w:t>
      </w:r>
    </w:p>
    <w:p w:rsidR="000F191E" w:rsidRPr="00D1125E" w:rsidRDefault="00CD12A0" w:rsidP="00D1125E">
      <w:pPr>
        <w:pStyle w:val="Heading3"/>
      </w:pPr>
      <w:bookmarkStart w:id="24" w:name="_Toc477177756"/>
      <w:r>
        <w:t>1</w:t>
      </w:r>
      <w:r w:rsidR="00806F51" w:rsidRPr="00D1125E">
        <w:t xml:space="preserve">.3.4. </w:t>
      </w:r>
      <w:r w:rsidR="00806F51" w:rsidRPr="00D1125E">
        <w:rPr>
          <w:rStyle w:val="Heading4Char"/>
          <w:rFonts w:ascii="Times New Roman" w:hAnsi="Times New Roman" w:cs="Arial"/>
          <w:i/>
          <w:iCs w:val="0"/>
          <w:color w:val="auto"/>
        </w:rPr>
        <w:t>Pārkāpumi</w:t>
      </w:r>
      <w:r w:rsidR="000F191E" w:rsidRPr="00D1125E">
        <w:rPr>
          <w:rStyle w:val="Heading4Char"/>
          <w:rFonts w:ascii="Times New Roman" w:hAnsi="Times New Roman" w:cs="Arial"/>
          <w:i/>
          <w:iCs w:val="0"/>
          <w:color w:val="auto"/>
        </w:rPr>
        <w:t xml:space="preserve"> ceļu satiksmē</w:t>
      </w:r>
      <w:bookmarkEnd w:id="24"/>
    </w:p>
    <w:p w:rsidR="009A3326" w:rsidRPr="003351E5" w:rsidRDefault="009A3326" w:rsidP="00A70D56">
      <w:pPr>
        <w:pStyle w:val="NoSpacing"/>
        <w:ind w:firstLine="426"/>
        <w:rPr>
          <w:sz w:val="20"/>
          <w:szCs w:val="20"/>
        </w:rPr>
      </w:pPr>
    </w:p>
    <w:p w:rsidR="00246830" w:rsidRDefault="00246830" w:rsidP="00C836E6">
      <w:pPr>
        <w:pStyle w:val="NoSpacing"/>
        <w:ind w:firstLine="426"/>
        <w:jc w:val="both"/>
        <w:rPr>
          <w:rFonts w:eastAsia="Times New Roman" w:cs="Times New Roman"/>
          <w:bCs/>
          <w:color w:val="000000"/>
          <w:lang w:eastAsia="lv-LV"/>
        </w:rPr>
      </w:pPr>
      <w:r>
        <w:rPr>
          <w:rFonts w:eastAsia="Times New Roman" w:cs="Times New Roman"/>
          <w:bCs/>
          <w:color w:val="000000"/>
          <w:lang w:eastAsia="lv-LV"/>
        </w:rPr>
        <w:t>VP par pārkāpumiem ceļu satiksmē kopumā 2014.gadā sastādīti 279078 administratīvo pārkāpumu protokoli, 2015.gad</w:t>
      </w:r>
      <w:r w:rsidR="00C836E6">
        <w:rPr>
          <w:rFonts w:eastAsia="Times New Roman" w:cs="Times New Roman"/>
          <w:bCs/>
          <w:color w:val="000000"/>
          <w:lang w:eastAsia="lv-LV"/>
        </w:rPr>
        <w:t xml:space="preserve">ā 270333, bet 2016.gadā 273929. </w:t>
      </w:r>
      <w:r>
        <w:rPr>
          <w:rFonts w:eastAsia="Times New Roman" w:cs="Times New Roman"/>
          <w:bCs/>
          <w:color w:val="000000"/>
          <w:lang w:eastAsia="lv-LV"/>
        </w:rPr>
        <w:t>Par atļautā braukšanas ātruma pārsniegšanu 2014.gadā sastādīti 100541 administratīvā pārkāpuma protokoli, 2015.gadā 93126, bet 2016.gadā 99582. Par telefona lietošanu vadītājam braukšanas laikā 2014.gadā sastādīti 2839 admin</w:t>
      </w:r>
      <w:r w:rsidR="00C836E6">
        <w:rPr>
          <w:rFonts w:eastAsia="Times New Roman" w:cs="Times New Roman"/>
          <w:bCs/>
          <w:color w:val="000000"/>
          <w:lang w:eastAsia="lv-LV"/>
        </w:rPr>
        <w:t>istratīvā pārkāpuma protokoli, 2015.gadā 3838, bet 2016.gadā 4120.</w:t>
      </w:r>
    </w:p>
    <w:p w:rsidR="00246830" w:rsidRDefault="00246830" w:rsidP="00246830">
      <w:pPr>
        <w:pStyle w:val="NormalWeb"/>
        <w:ind w:firstLine="426"/>
        <w:jc w:val="center"/>
        <w:rPr>
          <w:rFonts w:asciiTheme="minorHAnsi" w:hAnsiTheme="minorHAnsi"/>
          <w:b/>
          <w:sz w:val="20"/>
          <w:szCs w:val="20"/>
        </w:rPr>
      </w:pPr>
      <w:r>
        <w:rPr>
          <w:rFonts w:asciiTheme="minorHAnsi" w:hAnsiTheme="minorHAnsi"/>
          <w:b/>
          <w:noProof/>
          <w:sz w:val="20"/>
          <w:szCs w:val="20"/>
        </w:rPr>
        <w:drawing>
          <wp:inline distT="0" distB="0" distL="0" distR="0" wp14:anchorId="65018F3D" wp14:editId="07E0F952">
            <wp:extent cx="5086350" cy="41593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291" cy="4164182"/>
                    </a:xfrm>
                    <a:prstGeom prst="rect">
                      <a:avLst/>
                    </a:prstGeom>
                    <a:noFill/>
                  </pic:spPr>
                </pic:pic>
              </a:graphicData>
            </a:graphic>
          </wp:inline>
        </w:drawing>
      </w:r>
    </w:p>
    <w:p w:rsidR="00246830" w:rsidRDefault="00246830" w:rsidP="00246830">
      <w:pPr>
        <w:pStyle w:val="NoSpacing"/>
        <w:ind w:firstLine="426"/>
        <w:jc w:val="center"/>
        <w:rPr>
          <w:b/>
        </w:rPr>
      </w:pPr>
      <w:r>
        <w:rPr>
          <w:b/>
          <w:color w:val="000000" w:themeColor="text1"/>
        </w:rPr>
        <w:t>6</w:t>
      </w:r>
      <w:r w:rsidRPr="00D5051B">
        <w:rPr>
          <w:b/>
          <w:color w:val="000000" w:themeColor="text1"/>
        </w:rPr>
        <w:t>. attēls</w:t>
      </w:r>
      <w:r>
        <w:rPr>
          <w:b/>
          <w:color w:val="000000" w:themeColor="text1"/>
        </w:rPr>
        <w:t xml:space="preserve">.  </w:t>
      </w:r>
      <w:r w:rsidRPr="000F191E">
        <w:rPr>
          <w:b/>
        </w:rPr>
        <w:t xml:space="preserve">Valsts policijā </w:t>
      </w:r>
      <w:r>
        <w:rPr>
          <w:b/>
        </w:rPr>
        <w:t xml:space="preserve">2014.- 2016.gadā </w:t>
      </w:r>
      <w:r w:rsidRPr="000F191E">
        <w:rPr>
          <w:b/>
        </w:rPr>
        <w:t xml:space="preserve">fiksēto pārkāpumu </w:t>
      </w:r>
      <w:r>
        <w:rPr>
          <w:b/>
        </w:rPr>
        <w:t>statistika</w:t>
      </w:r>
      <w:r w:rsidRPr="000F191E">
        <w:rPr>
          <w:b/>
        </w:rPr>
        <w:t xml:space="preserve"> ceļu satiksmē</w:t>
      </w:r>
      <w:r>
        <w:rPr>
          <w:b/>
        </w:rPr>
        <w:t>.</w:t>
      </w:r>
    </w:p>
    <w:p w:rsidR="00246830" w:rsidRDefault="00246830" w:rsidP="00246830">
      <w:pPr>
        <w:pStyle w:val="NoSpacing"/>
        <w:ind w:firstLine="426"/>
        <w:jc w:val="both"/>
        <w:rPr>
          <w:rFonts w:eastAsia="Times New Roman" w:cs="Times New Roman"/>
          <w:bCs/>
          <w:color w:val="000000"/>
          <w:lang w:eastAsia="lv-LV"/>
        </w:rPr>
      </w:pPr>
    </w:p>
    <w:p w:rsidR="00B01E1C" w:rsidRPr="00C836E6" w:rsidRDefault="00246830" w:rsidP="00C836E6">
      <w:pPr>
        <w:pStyle w:val="NoSpacing"/>
        <w:ind w:firstLine="426"/>
        <w:jc w:val="both"/>
        <w:rPr>
          <w:rFonts w:eastAsia="Times New Roman" w:cs="Times New Roman"/>
          <w:bCs/>
          <w:color w:val="000000"/>
          <w:lang w:eastAsia="lv-LV"/>
        </w:rPr>
      </w:pPr>
      <w:r>
        <w:rPr>
          <w:rFonts w:eastAsia="Times New Roman" w:cs="Times New Roman"/>
          <w:bCs/>
          <w:color w:val="000000"/>
          <w:lang w:eastAsia="lv-LV"/>
        </w:rPr>
        <w:t>Par transportlīdzekļa vadīšanu reibumā 2014.gadā sastādīti 4190 administratīvā pārkāpuma protokoli, 2015.gadā 4152, bet</w:t>
      </w:r>
      <w:r w:rsidR="00C836E6">
        <w:rPr>
          <w:rFonts w:eastAsia="Times New Roman" w:cs="Times New Roman"/>
          <w:bCs/>
          <w:color w:val="000000"/>
          <w:lang w:eastAsia="lv-LV"/>
        </w:rPr>
        <w:t xml:space="preserve"> 2016.gadā 3839. </w:t>
      </w:r>
      <w:r>
        <w:rPr>
          <w:rFonts w:eastAsia="Times New Roman" w:cs="Times New Roman"/>
          <w:bCs/>
          <w:color w:val="000000"/>
          <w:lang w:eastAsia="lv-LV"/>
        </w:rPr>
        <w:t>Par drošības jostu nelietošanu 2014.gadā kopumā sastādīti 27064 administratīvā pārkāpuma protokoli, 2015.gadā 26623, bet 2016.gadā 26744.</w:t>
      </w:r>
      <w:r w:rsidR="00C836E6">
        <w:rPr>
          <w:rFonts w:eastAsia="Times New Roman" w:cs="Times New Roman"/>
          <w:bCs/>
          <w:color w:val="000000"/>
          <w:lang w:eastAsia="lv-LV"/>
        </w:rPr>
        <w:t xml:space="preserve"> </w:t>
      </w:r>
      <w:r>
        <w:rPr>
          <w:rFonts w:eastAsia="Times New Roman" w:cs="Times New Roman"/>
          <w:bCs/>
          <w:color w:val="000000"/>
          <w:lang w:eastAsia="lv-LV"/>
        </w:rPr>
        <w:t xml:space="preserve">Par atļautā braukšanas ātruma pārkāpšanu, kas fiksēti neapturot transportlīdzekli (ar </w:t>
      </w:r>
      <w:proofErr w:type="spellStart"/>
      <w:r>
        <w:rPr>
          <w:rFonts w:eastAsia="Times New Roman" w:cs="Times New Roman"/>
          <w:bCs/>
          <w:color w:val="000000"/>
          <w:lang w:eastAsia="lv-LV"/>
        </w:rPr>
        <w:t>fotoradariem</w:t>
      </w:r>
      <w:proofErr w:type="spellEnd"/>
      <w:r>
        <w:rPr>
          <w:rFonts w:eastAsia="Times New Roman" w:cs="Times New Roman"/>
          <w:bCs/>
          <w:color w:val="000000"/>
          <w:lang w:eastAsia="lv-LV"/>
        </w:rPr>
        <w:t xml:space="preserve">) 2016.gadā sastādīti 128409 administratīvā pārkāpuma protokoli, tai skaitā ārvalstu autovadītājiem (no tiem 97155 ar CSDD </w:t>
      </w:r>
      <w:proofErr w:type="spellStart"/>
      <w:r>
        <w:rPr>
          <w:rFonts w:eastAsia="Times New Roman" w:cs="Times New Roman"/>
          <w:bCs/>
          <w:color w:val="000000"/>
          <w:lang w:eastAsia="lv-LV"/>
        </w:rPr>
        <w:t>fotoradariem</w:t>
      </w:r>
      <w:proofErr w:type="spellEnd"/>
      <w:r>
        <w:rPr>
          <w:rFonts w:eastAsia="Times New Roman" w:cs="Times New Roman"/>
          <w:bCs/>
          <w:color w:val="000000"/>
          <w:lang w:eastAsia="lv-LV"/>
        </w:rPr>
        <w:t xml:space="preserve">, savukārt 31254 ar VP </w:t>
      </w:r>
      <w:proofErr w:type="spellStart"/>
      <w:r>
        <w:rPr>
          <w:rFonts w:eastAsia="Times New Roman" w:cs="Times New Roman"/>
          <w:bCs/>
          <w:color w:val="000000"/>
          <w:lang w:eastAsia="lv-LV"/>
        </w:rPr>
        <w:t>fotoradariem</w:t>
      </w:r>
      <w:proofErr w:type="spellEnd"/>
      <w:r>
        <w:rPr>
          <w:rFonts w:eastAsia="Times New Roman" w:cs="Times New Roman"/>
          <w:bCs/>
          <w:color w:val="000000"/>
          <w:lang w:eastAsia="lv-LV"/>
        </w:rPr>
        <w:t>).</w:t>
      </w:r>
    </w:p>
    <w:p w:rsidR="00092D68" w:rsidRDefault="00CD12A0" w:rsidP="00D1125E">
      <w:pPr>
        <w:pStyle w:val="Heading3"/>
        <w:rPr>
          <w:rStyle w:val="Heading4Char"/>
          <w:rFonts w:ascii="Times New Roman" w:hAnsi="Times New Roman" w:cs="Arial"/>
          <w:i/>
          <w:iCs w:val="0"/>
          <w:color w:val="auto"/>
        </w:rPr>
      </w:pPr>
      <w:bookmarkStart w:id="25" w:name="_Toc477177757"/>
      <w:r>
        <w:lastRenderedPageBreak/>
        <w:t>1</w:t>
      </w:r>
      <w:r w:rsidR="002844B9" w:rsidRPr="00D1125E">
        <w:t>.3</w:t>
      </w:r>
      <w:r w:rsidR="00600E43" w:rsidRPr="00D1125E">
        <w:t>.5</w:t>
      </w:r>
      <w:r w:rsidR="00606C22" w:rsidRPr="00D1125E">
        <w:t xml:space="preserve">. </w:t>
      </w:r>
      <w:r w:rsidR="00606C22" w:rsidRPr="00D1125E">
        <w:rPr>
          <w:rStyle w:val="Heading4Char"/>
          <w:rFonts w:ascii="Times New Roman" w:hAnsi="Times New Roman" w:cs="Arial"/>
          <w:i/>
          <w:iCs w:val="0"/>
          <w:color w:val="auto"/>
        </w:rPr>
        <w:t>Ceļu s</w:t>
      </w:r>
      <w:r w:rsidR="00A91EE6" w:rsidRPr="00D1125E">
        <w:rPr>
          <w:rStyle w:val="Heading4Char"/>
          <w:rFonts w:ascii="Times New Roman" w:hAnsi="Times New Roman" w:cs="Arial"/>
          <w:i/>
          <w:iCs w:val="0"/>
          <w:color w:val="auto"/>
        </w:rPr>
        <w:t>atiksmes dalībnieku izglītošana</w:t>
      </w:r>
      <w:bookmarkEnd w:id="25"/>
    </w:p>
    <w:p w:rsidR="00233DD0" w:rsidRPr="00233DD0" w:rsidRDefault="00233DD0" w:rsidP="00233DD0">
      <w:pPr>
        <w:rPr>
          <w:lang w:eastAsia="lv-LV"/>
        </w:rPr>
      </w:pPr>
    </w:p>
    <w:p w:rsidR="00D83778" w:rsidRDefault="00D6362C" w:rsidP="00A70D56">
      <w:pPr>
        <w:ind w:firstLine="426"/>
        <w:jc w:val="both"/>
        <w:rPr>
          <w:rFonts w:eastAsia="Times New Roman"/>
          <w:color w:val="000000"/>
          <w:lang w:eastAsia="lv-LV"/>
        </w:rPr>
      </w:pPr>
      <w:r>
        <w:rPr>
          <w:rFonts w:eastAsia="Times New Roman"/>
          <w:color w:val="000000"/>
          <w:lang w:eastAsia="lv-LV"/>
        </w:rPr>
        <w:t xml:space="preserve">Lai pilnveidotu jauno ceļu satiksmes dalībnieku izglītošanas procesu, </w:t>
      </w:r>
      <w:r w:rsidRPr="00D6362C">
        <w:rPr>
          <w:rFonts w:eastAsia="Times New Roman"/>
          <w:color w:val="000000"/>
          <w:lang w:eastAsia="lv-LV"/>
        </w:rPr>
        <w:t>ir jāsāk ar ģimeni, jo ģimene ir tā, kas veido bērnu, ieaudzina a</w:t>
      </w:r>
      <w:r>
        <w:rPr>
          <w:rFonts w:eastAsia="Times New Roman"/>
          <w:color w:val="000000"/>
          <w:lang w:eastAsia="lv-LV"/>
        </w:rPr>
        <w:t>ttieksmi pret satiksmes drošību un</w:t>
      </w:r>
      <w:r w:rsidRPr="00D6362C">
        <w:rPr>
          <w:rFonts w:eastAsia="Times New Roman"/>
          <w:color w:val="000000"/>
          <w:lang w:eastAsia="lv-LV"/>
        </w:rPr>
        <w:t xml:space="preserve"> ceļu satiksmes noteikumu ievērošanu. </w:t>
      </w:r>
      <w:r>
        <w:rPr>
          <w:rFonts w:eastAsia="Times New Roman"/>
          <w:color w:val="000000"/>
          <w:lang w:eastAsia="lv-LV"/>
        </w:rPr>
        <w:t xml:space="preserve">Jāņem vērā, ka </w:t>
      </w:r>
      <w:r w:rsidR="003F4655">
        <w:rPr>
          <w:rFonts w:eastAsia="Times New Roman"/>
          <w:color w:val="000000"/>
          <w:lang w:eastAsia="lv-LV"/>
        </w:rPr>
        <w:t xml:space="preserve">nevar pilnībā attiecināt esošo </w:t>
      </w:r>
      <w:r>
        <w:rPr>
          <w:rFonts w:eastAsia="Times New Roman"/>
          <w:color w:val="000000"/>
          <w:lang w:eastAsia="lv-LV"/>
        </w:rPr>
        <w:t>zināšanu l</w:t>
      </w:r>
      <w:r w:rsidR="003F4655">
        <w:rPr>
          <w:rFonts w:eastAsia="Times New Roman"/>
          <w:color w:val="000000"/>
          <w:lang w:eastAsia="lv-LV"/>
        </w:rPr>
        <w:t>īmeni</w:t>
      </w:r>
      <w:r>
        <w:rPr>
          <w:rFonts w:eastAsia="Times New Roman"/>
          <w:color w:val="000000"/>
          <w:lang w:eastAsia="lv-LV"/>
        </w:rPr>
        <w:t xml:space="preserve"> par ce</w:t>
      </w:r>
      <w:r w:rsidR="003F4655">
        <w:rPr>
          <w:rFonts w:eastAsia="Times New Roman"/>
          <w:color w:val="000000"/>
          <w:lang w:eastAsia="lv-LV"/>
        </w:rPr>
        <w:t>ļu satiksmes noteikumiem uz praktisko</w:t>
      </w:r>
      <w:r>
        <w:rPr>
          <w:rFonts w:eastAsia="Times New Roman"/>
          <w:color w:val="000000"/>
          <w:lang w:eastAsia="lv-LV"/>
        </w:rPr>
        <w:t xml:space="preserve"> rīcību</w:t>
      </w:r>
      <w:r w:rsidRPr="00D6362C">
        <w:rPr>
          <w:rFonts w:eastAsia="Times New Roman"/>
          <w:color w:val="000000"/>
          <w:lang w:eastAsia="lv-LV"/>
        </w:rPr>
        <w:t xml:space="preserve"> </w:t>
      </w:r>
      <w:r w:rsidR="003F4655">
        <w:rPr>
          <w:rFonts w:eastAsia="Times New Roman"/>
          <w:color w:val="000000"/>
          <w:lang w:eastAsia="lv-LV"/>
        </w:rPr>
        <w:t>un uzvedību</w:t>
      </w:r>
      <w:r w:rsidR="009D394A">
        <w:rPr>
          <w:rFonts w:eastAsia="Times New Roman"/>
          <w:color w:val="000000"/>
          <w:lang w:eastAsia="lv-LV"/>
        </w:rPr>
        <w:t>,</w:t>
      </w:r>
      <w:r w:rsidR="003F4655">
        <w:rPr>
          <w:rFonts w:eastAsia="Times New Roman"/>
          <w:color w:val="000000"/>
          <w:lang w:eastAsia="lv-LV"/>
        </w:rPr>
        <w:t xml:space="preserve"> </w:t>
      </w:r>
      <w:r w:rsidRPr="00D6362C">
        <w:rPr>
          <w:rFonts w:eastAsia="Times New Roman"/>
          <w:color w:val="000000"/>
          <w:lang w:eastAsia="lv-LV"/>
        </w:rPr>
        <w:t>piedaloties ceļu satiksmē,</w:t>
      </w:r>
      <w:r w:rsidR="003F4655">
        <w:rPr>
          <w:rFonts w:eastAsia="Times New Roman"/>
          <w:color w:val="000000"/>
          <w:lang w:eastAsia="lv-LV"/>
        </w:rPr>
        <w:t xml:space="preserve"> </w:t>
      </w:r>
      <w:r w:rsidRPr="00D6362C">
        <w:rPr>
          <w:rFonts w:eastAsia="Times New Roman"/>
          <w:color w:val="000000"/>
          <w:lang w:eastAsia="lv-LV"/>
        </w:rPr>
        <w:t xml:space="preserve"> </w:t>
      </w:r>
      <w:r w:rsidR="003F4655">
        <w:rPr>
          <w:rFonts w:eastAsia="Times New Roman"/>
          <w:color w:val="000000"/>
          <w:lang w:eastAsia="lv-LV"/>
        </w:rPr>
        <w:t>jo ļoti</w:t>
      </w:r>
      <w:r w:rsidRPr="00D6362C">
        <w:rPr>
          <w:rFonts w:eastAsia="Times New Roman"/>
          <w:color w:val="000000"/>
          <w:lang w:eastAsia="lv-LV"/>
        </w:rPr>
        <w:t xml:space="preserve"> svarīga ir attieksmes veidošana, pareizas uzvedības modeļa veidošana bērnos. Tātad pamati par drošību bērnam ir jāapgūst jau no agras bērnības</w:t>
      </w:r>
      <w:r w:rsidR="003F4655">
        <w:rPr>
          <w:rFonts w:eastAsia="Times New Roman"/>
          <w:color w:val="000000"/>
          <w:lang w:eastAsia="lv-LV"/>
        </w:rPr>
        <w:t xml:space="preserve">. </w:t>
      </w:r>
      <w:r w:rsidR="009A08B2">
        <w:rPr>
          <w:rFonts w:eastAsia="Times New Roman"/>
          <w:color w:val="000000"/>
          <w:lang w:eastAsia="lv-LV"/>
        </w:rPr>
        <w:t>I</w:t>
      </w:r>
      <w:r w:rsidR="003F4655">
        <w:rPr>
          <w:rFonts w:eastAsia="Times New Roman"/>
          <w:color w:val="000000"/>
          <w:lang w:eastAsia="lv-LV"/>
        </w:rPr>
        <w:t>r jādomā risinājumi</w:t>
      </w:r>
      <w:r w:rsidR="003F4655" w:rsidRPr="003F4655">
        <w:rPr>
          <w:rFonts w:eastAsia="Times New Roman"/>
          <w:color w:val="000000"/>
          <w:lang w:eastAsia="lv-LV"/>
        </w:rPr>
        <w:t xml:space="preserve">, kā bērniem iemācīt uz ceļa uzvesties un justies droši. </w:t>
      </w:r>
    </w:p>
    <w:p w:rsidR="003F4655" w:rsidRPr="00293F42" w:rsidRDefault="00D83778" w:rsidP="00A70D56">
      <w:pPr>
        <w:ind w:firstLine="426"/>
        <w:jc w:val="both"/>
        <w:rPr>
          <w:rFonts w:eastAsia="Times New Roman"/>
          <w:color w:val="000000" w:themeColor="text1"/>
          <w:lang w:eastAsia="lv-LV"/>
        </w:rPr>
      </w:pPr>
      <w:r>
        <w:rPr>
          <w:rFonts w:eastAsia="Times New Roman"/>
          <w:color w:val="000000"/>
          <w:lang w:eastAsia="lv-LV"/>
        </w:rPr>
        <w:t>Ir novērots, ka</w:t>
      </w:r>
      <w:r w:rsidR="003F4655">
        <w:rPr>
          <w:rFonts w:eastAsia="Times New Roman"/>
          <w:color w:val="000000"/>
          <w:lang w:eastAsia="lv-LV"/>
        </w:rPr>
        <w:t xml:space="preserve"> </w:t>
      </w:r>
      <w:r w:rsidR="003F4655" w:rsidRPr="003F4655">
        <w:rPr>
          <w:rFonts w:eastAsia="Times New Roman"/>
          <w:color w:val="000000"/>
          <w:lang w:eastAsia="lv-LV"/>
        </w:rPr>
        <w:t xml:space="preserve">apmācība </w:t>
      </w:r>
      <w:r>
        <w:rPr>
          <w:rFonts w:eastAsia="Times New Roman"/>
          <w:color w:val="000000"/>
          <w:lang w:eastAsia="lv-LV"/>
        </w:rPr>
        <w:t>par satiksmes drošību</w:t>
      </w:r>
      <w:r w:rsidR="003F4655" w:rsidRPr="003F4655">
        <w:rPr>
          <w:rFonts w:eastAsia="Times New Roman"/>
          <w:color w:val="000000"/>
          <w:lang w:eastAsia="lv-LV"/>
        </w:rPr>
        <w:t xml:space="preserve"> dažādās skolās </w:t>
      </w:r>
      <w:r>
        <w:rPr>
          <w:rFonts w:eastAsia="Times New Roman"/>
          <w:color w:val="000000"/>
          <w:lang w:eastAsia="lv-LV"/>
        </w:rPr>
        <w:t xml:space="preserve">šobrīd ir </w:t>
      </w:r>
      <w:r w:rsidR="003F4655" w:rsidRPr="003F4655">
        <w:rPr>
          <w:rFonts w:eastAsia="Times New Roman"/>
          <w:color w:val="000000"/>
          <w:lang w:eastAsia="lv-LV"/>
        </w:rPr>
        <w:t xml:space="preserve">atšķirīga. Daudzviet tas aprobežojas tikai ar pārrunām par satiksmes drošību mācību gada sākumā vai beigās. Tā rezultātā bērns </w:t>
      </w:r>
      <w:r w:rsidR="003F4655" w:rsidRPr="00293F42">
        <w:rPr>
          <w:rFonts w:eastAsia="Times New Roman"/>
          <w:color w:val="000000" w:themeColor="text1"/>
          <w:lang w:eastAsia="lv-LV"/>
        </w:rPr>
        <w:t xml:space="preserve">saņem </w:t>
      </w:r>
      <w:r w:rsidR="00293F42">
        <w:rPr>
          <w:rFonts w:eastAsia="Times New Roman"/>
          <w:color w:val="000000" w:themeColor="text1"/>
          <w:lang w:eastAsia="lv-LV"/>
        </w:rPr>
        <w:t>virspusēju informāciju</w:t>
      </w:r>
      <w:r w:rsidR="003F4655" w:rsidRPr="00293F42">
        <w:rPr>
          <w:rFonts w:eastAsia="Times New Roman"/>
          <w:color w:val="000000" w:themeColor="text1"/>
          <w:lang w:eastAsia="lv-LV"/>
        </w:rPr>
        <w:t>, taču nav iemācīts to izpr</w:t>
      </w:r>
      <w:r w:rsidRPr="00293F42">
        <w:rPr>
          <w:rFonts w:eastAsia="Times New Roman"/>
          <w:color w:val="000000" w:themeColor="text1"/>
          <w:lang w:eastAsia="lv-LV"/>
        </w:rPr>
        <w:t>ast un reāli pielietot ceļu satiksmē.</w:t>
      </w:r>
    </w:p>
    <w:p w:rsidR="00D6362C" w:rsidRPr="00293F42" w:rsidRDefault="00EB39B7" w:rsidP="005E6027">
      <w:pPr>
        <w:ind w:firstLine="426"/>
        <w:jc w:val="both"/>
        <w:rPr>
          <w:rFonts w:eastAsia="Times New Roman"/>
          <w:color w:val="000000" w:themeColor="text1"/>
          <w:lang w:eastAsia="lv-LV"/>
        </w:rPr>
      </w:pPr>
      <w:r>
        <w:rPr>
          <w:color w:val="000000" w:themeColor="text1"/>
        </w:rPr>
        <w:t>Z</w:t>
      </w:r>
      <w:r w:rsidR="00D83778" w:rsidRPr="00293F42">
        <w:rPr>
          <w:color w:val="000000" w:themeColor="text1"/>
        </w:rPr>
        <w:t>ināšanu sniegšana</w:t>
      </w:r>
      <w:r>
        <w:rPr>
          <w:color w:val="000000" w:themeColor="text1"/>
        </w:rPr>
        <w:t xml:space="preserve"> par ceļu satiksmes drošību bērniem</w:t>
      </w:r>
      <w:r w:rsidR="00D83778" w:rsidRPr="00293F42">
        <w:rPr>
          <w:color w:val="000000" w:themeColor="text1"/>
        </w:rPr>
        <w:t xml:space="preserve"> ir nepieciešama saistībā </w:t>
      </w:r>
      <w:r>
        <w:rPr>
          <w:color w:val="000000" w:themeColor="text1"/>
        </w:rPr>
        <w:t xml:space="preserve">arī </w:t>
      </w:r>
      <w:r w:rsidR="00D83778" w:rsidRPr="00293F42">
        <w:rPr>
          <w:color w:val="000000" w:themeColor="text1"/>
        </w:rPr>
        <w:t xml:space="preserve">ar to, ka </w:t>
      </w:r>
      <w:r>
        <w:rPr>
          <w:color w:val="000000" w:themeColor="text1"/>
        </w:rPr>
        <w:t xml:space="preserve">šobrīd </w:t>
      </w:r>
      <w:r w:rsidR="00D83778" w:rsidRPr="00293F42">
        <w:rPr>
          <w:color w:val="000000" w:themeColor="text1"/>
        </w:rPr>
        <w:t xml:space="preserve"> velosipēda vadītāja apliecību </w:t>
      </w:r>
      <w:r>
        <w:rPr>
          <w:color w:val="000000" w:themeColor="text1"/>
        </w:rPr>
        <w:t>var iegūt no 10 gadu vecuma</w:t>
      </w:r>
      <w:r w:rsidR="00D83778" w:rsidRPr="00293F42">
        <w:rPr>
          <w:color w:val="000000" w:themeColor="text1"/>
        </w:rPr>
        <w:t xml:space="preserve">. </w:t>
      </w:r>
      <w:r>
        <w:rPr>
          <w:color w:val="000000" w:themeColor="text1"/>
        </w:rPr>
        <w:t xml:space="preserve">Jāņem vērā, ka šāds bērns ar velosipēdu piedalīsies kopējā </w:t>
      </w:r>
      <w:r w:rsidR="00D83778" w:rsidRPr="00293F42">
        <w:rPr>
          <w:color w:val="000000" w:themeColor="text1"/>
        </w:rPr>
        <w:t xml:space="preserve">ceļu satiksmē, </w:t>
      </w:r>
      <w:r>
        <w:rPr>
          <w:color w:val="000000" w:themeColor="text1"/>
        </w:rPr>
        <w:t>tādēļ viņš ir atbilstoši jāsagatavo jau laicīgi pirms tam</w:t>
      </w:r>
      <w:r w:rsidR="00D83778" w:rsidRPr="00293F42">
        <w:rPr>
          <w:color w:val="000000" w:themeColor="text1"/>
        </w:rPr>
        <w:t xml:space="preserve">. Bērnam pilnībā ir jābūt gatavam </w:t>
      </w:r>
      <w:r w:rsidR="009D394A">
        <w:rPr>
          <w:color w:val="000000" w:themeColor="text1"/>
        </w:rPr>
        <w:t xml:space="preserve">dalībai </w:t>
      </w:r>
      <w:r w:rsidR="00D83778" w:rsidRPr="00293F42">
        <w:rPr>
          <w:color w:val="000000" w:themeColor="text1"/>
        </w:rPr>
        <w:t>ceļu satiksmē, jo velosipēdu vadītājs ir mazāk aizsargāts ceļu satiksmes dalībnieks.</w:t>
      </w:r>
      <w:r w:rsidR="00BE5B88" w:rsidRPr="00293F42">
        <w:rPr>
          <w:color w:val="000000" w:themeColor="text1"/>
        </w:rPr>
        <w:t xml:space="preserve"> </w:t>
      </w:r>
    </w:p>
    <w:p w:rsidR="005568A0" w:rsidRDefault="0072202E" w:rsidP="00A70D56">
      <w:pPr>
        <w:ind w:firstLine="426"/>
        <w:jc w:val="both"/>
        <w:rPr>
          <w:rFonts w:eastAsia="Times New Roman"/>
          <w:bCs/>
          <w:color w:val="000000"/>
          <w:lang w:eastAsia="lv-LV"/>
        </w:rPr>
      </w:pPr>
      <w:r>
        <w:rPr>
          <w:rFonts w:eastAsia="Times New Roman"/>
          <w:color w:val="000000"/>
          <w:lang w:eastAsia="lv-LV"/>
        </w:rPr>
        <w:t>L</w:t>
      </w:r>
      <w:r w:rsidRPr="00385A23">
        <w:rPr>
          <w:rFonts w:eastAsia="Times New Roman"/>
          <w:color w:val="000000"/>
          <w:lang w:eastAsia="lv-LV"/>
        </w:rPr>
        <w:t>iels darbs ieguldīts s</w:t>
      </w:r>
      <w:r w:rsidRPr="00385A23">
        <w:rPr>
          <w:rFonts w:eastAsia="Times New Roman"/>
          <w:bCs/>
          <w:color w:val="000000"/>
          <w:lang w:eastAsia="lv-LV"/>
        </w:rPr>
        <w:t xml:space="preserve">abiedrības informēšanā un izglītošanā satiksmes drošības jomā - kopš 2001.gada </w:t>
      </w:r>
      <w:r>
        <w:rPr>
          <w:rFonts w:eastAsia="Times New Roman"/>
          <w:bCs/>
          <w:color w:val="000000"/>
          <w:lang w:eastAsia="lv-LV"/>
        </w:rPr>
        <w:t xml:space="preserve">CSDD sadarbībā ar iesaistītajām institūcijām </w:t>
      </w:r>
      <w:r w:rsidRPr="00385A23">
        <w:rPr>
          <w:rFonts w:eastAsia="Times New Roman"/>
          <w:bCs/>
          <w:color w:val="000000"/>
          <w:lang w:eastAsia="lv-LV"/>
        </w:rPr>
        <w:t xml:space="preserve">regulāri </w:t>
      </w:r>
      <w:r>
        <w:rPr>
          <w:rFonts w:eastAsia="Times New Roman"/>
          <w:bCs/>
          <w:color w:val="000000"/>
          <w:lang w:eastAsia="lv-LV"/>
        </w:rPr>
        <w:t>veido</w:t>
      </w:r>
      <w:r w:rsidRPr="00385A23">
        <w:rPr>
          <w:rFonts w:eastAsia="Times New Roman"/>
          <w:bCs/>
          <w:color w:val="000000"/>
          <w:lang w:eastAsia="lv-LV"/>
        </w:rPr>
        <w:t xml:space="preserve"> satiksmes drošības kampaņas par aktuālām tēmām – braukšan</w:t>
      </w:r>
      <w:r>
        <w:rPr>
          <w:rFonts w:eastAsia="Times New Roman"/>
          <w:bCs/>
          <w:color w:val="000000"/>
          <w:lang w:eastAsia="lv-LV"/>
        </w:rPr>
        <w:t>u</w:t>
      </w:r>
      <w:r w:rsidRPr="00385A23">
        <w:rPr>
          <w:rFonts w:eastAsia="Times New Roman"/>
          <w:bCs/>
          <w:color w:val="000000"/>
          <w:lang w:eastAsia="lv-LV"/>
        </w:rPr>
        <w:t xml:space="preserve"> reibumā (</w:t>
      </w:r>
      <w:r w:rsidRPr="00385A23">
        <w:rPr>
          <w:rFonts w:eastAsia="Times New Roman"/>
          <w:bCs/>
          <w:i/>
          <w:color w:val="000000"/>
          <w:lang w:eastAsia="lv-LV"/>
        </w:rPr>
        <w:t>Izglāb draugu!, Stūrē skaidrā! u.c.),</w:t>
      </w:r>
      <w:r w:rsidRPr="00385A23">
        <w:rPr>
          <w:rFonts w:eastAsia="Times New Roman"/>
          <w:bCs/>
          <w:color w:val="000000"/>
          <w:lang w:eastAsia="lv-LV"/>
        </w:rPr>
        <w:t xml:space="preserve"> drošības jostu lietošan</w:t>
      </w:r>
      <w:r>
        <w:rPr>
          <w:rFonts w:eastAsia="Times New Roman"/>
          <w:bCs/>
          <w:color w:val="000000"/>
          <w:lang w:eastAsia="lv-LV"/>
        </w:rPr>
        <w:t>u</w:t>
      </w:r>
      <w:r w:rsidRPr="00385A23">
        <w:rPr>
          <w:rFonts w:eastAsia="Times New Roman"/>
          <w:bCs/>
          <w:color w:val="000000"/>
          <w:lang w:eastAsia="lv-LV"/>
        </w:rPr>
        <w:t xml:space="preserve"> (</w:t>
      </w:r>
      <w:r w:rsidRPr="00385A23">
        <w:rPr>
          <w:rFonts w:eastAsia="Times New Roman"/>
          <w:bCs/>
          <w:i/>
          <w:color w:val="000000"/>
          <w:lang w:eastAsia="lv-LV"/>
        </w:rPr>
        <w:t>Izdzīvo, kas piesprādzējas)</w:t>
      </w:r>
      <w:r w:rsidRPr="00385A23">
        <w:rPr>
          <w:rFonts w:eastAsia="Times New Roman"/>
          <w:bCs/>
          <w:color w:val="000000"/>
          <w:lang w:eastAsia="lv-LV"/>
        </w:rPr>
        <w:t>, ātruma pārsniegšan</w:t>
      </w:r>
      <w:r>
        <w:rPr>
          <w:rFonts w:eastAsia="Times New Roman"/>
          <w:bCs/>
          <w:color w:val="000000"/>
          <w:lang w:eastAsia="lv-LV"/>
        </w:rPr>
        <w:t>u</w:t>
      </w:r>
      <w:r w:rsidRPr="00385A23">
        <w:rPr>
          <w:rFonts w:eastAsia="Times New Roman"/>
          <w:bCs/>
          <w:color w:val="000000"/>
          <w:lang w:eastAsia="lv-LV"/>
        </w:rPr>
        <w:t xml:space="preserve"> (</w:t>
      </w:r>
      <w:r w:rsidRPr="00385A23">
        <w:rPr>
          <w:rFonts w:eastAsia="Times New Roman"/>
          <w:bCs/>
          <w:i/>
          <w:color w:val="000000"/>
          <w:lang w:eastAsia="lv-LV"/>
        </w:rPr>
        <w:t>Ātrums, nāvīgi viltīgs!)</w:t>
      </w:r>
      <w:r w:rsidRPr="00385A23">
        <w:rPr>
          <w:rFonts w:eastAsia="Times New Roman"/>
          <w:bCs/>
          <w:color w:val="000000"/>
          <w:lang w:eastAsia="lv-LV"/>
        </w:rPr>
        <w:t xml:space="preserve">, </w:t>
      </w:r>
      <w:proofErr w:type="spellStart"/>
      <w:r w:rsidRPr="00385A23">
        <w:rPr>
          <w:rFonts w:eastAsia="Times New Roman"/>
          <w:bCs/>
          <w:color w:val="000000"/>
          <w:lang w:eastAsia="lv-LV"/>
        </w:rPr>
        <w:t>mazaizsargāto</w:t>
      </w:r>
      <w:proofErr w:type="spellEnd"/>
      <w:r w:rsidRPr="00385A23">
        <w:rPr>
          <w:rFonts w:eastAsia="Times New Roman"/>
          <w:bCs/>
          <w:color w:val="000000"/>
          <w:lang w:eastAsia="lv-LV"/>
        </w:rPr>
        <w:t xml:space="preserve"> satiksmes dalībnieku drošīb</w:t>
      </w:r>
      <w:r>
        <w:rPr>
          <w:rFonts w:eastAsia="Times New Roman"/>
          <w:bCs/>
          <w:color w:val="000000"/>
          <w:lang w:eastAsia="lv-LV"/>
        </w:rPr>
        <w:t>u</w:t>
      </w:r>
      <w:r w:rsidR="009D394A">
        <w:rPr>
          <w:rFonts w:eastAsia="Times New Roman"/>
          <w:bCs/>
          <w:color w:val="000000"/>
          <w:lang w:eastAsia="lv-LV"/>
        </w:rPr>
        <w:t>. Jau 23</w:t>
      </w:r>
      <w:r w:rsidR="005568A0">
        <w:rPr>
          <w:rFonts w:eastAsia="Times New Roman"/>
          <w:bCs/>
          <w:color w:val="000000"/>
          <w:lang w:eastAsia="lv-LV"/>
        </w:rPr>
        <w:t xml:space="preserve"> </w:t>
      </w:r>
      <w:r w:rsidR="009D394A">
        <w:rPr>
          <w:rFonts w:eastAsia="Times New Roman"/>
          <w:bCs/>
          <w:color w:val="000000"/>
          <w:lang w:eastAsia="lv-LV"/>
        </w:rPr>
        <w:t xml:space="preserve">gadus </w:t>
      </w:r>
      <w:r w:rsidR="005568A0">
        <w:rPr>
          <w:rFonts w:eastAsia="Times New Roman"/>
          <w:bCs/>
          <w:color w:val="000000"/>
          <w:lang w:eastAsia="lv-LV"/>
        </w:rPr>
        <w:t>(kopš 1994.gada)</w:t>
      </w:r>
      <w:r w:rsidRPr="00385A23">
        <w:rPr>
          <w:rFonts w:eastAsia="Times New Roman"/>
          <w:bCs/>
          <w:color w:val="000000"/>
          <w:lang w:eastAsia="lv-LV"/>
        </w:rPr>
        <w:t xml:space="preserve"> Latvijā tiek organizētas Jauno satiksmes dalībnieku sacensības jaunajiem velosipēdistiem, kā arī konkurss mopēdistiem „Gribu būt mobils” un topošajiem autovadītājiem – „Gada l</w:t>
      </w:r>
      <w:r w:rsidR="005568A0">
        <w:rPr>
          <w:rFonts w:eastAsia="Times New Roman"/>
          <w:bCs/>
          <w:color w:val="000000"/>
          <w:lang w:eastAsia="lv-LV"/>
        </w:rPr>
        <w:t>abākais topošais autovadītājs”.</w:t>
      </w:r>
    </w:p>
    <w:p w:rsidR="0072202E" w:rsidRPr="00385A23" w:rsidRDefault="005568A0" w:rsidP="00A70D56">
      <w:pPr>
        <w:ind w:firstLine="426"/>
        <w:jc w:val="both"/>
        <w:rPr>
          <w:rFonts w:eastAsia="Times New Roman"/>
          <w:bCs/>
          <w:color w:val="000000"/>
          <w:lang w:eastAsia="lv-LV"/>
        </w:rPr>
      </w:pPr>
      <w:r>
        <w:rPr>
          <w:rFonts w:eastAsia="Times New Roman"/>
          <w:bCs/>
          <w:color w:val="000000"/>
          <w:lang w:eastAsia="lv-LV"/>
        </w:rPr>
        <w:t xml:space="preserve">Jāpiemin arī, ka </w:t>
      </w:r>
      <w:r w:rsidRPr="00C00D91">
        <w:rPr>
          <w:rFonts w:eastAsia="Times New Roman"/>
          <w:bCs/>
          <w:color w:val="000000"/>
          <w:lang w:eastAsia="lv-LV"/>
        </w:rPr>
        <w:t>CSDD katru gadu veido mācību līdzekli satiksmes drošībā, kas tiek dāvināts Latvijas skolām.</w:t>
      </w:r>
    </w:p>
    <w:p w:rsidR="0072202E" w:rsidRPr="00385A23" w:rsidRDefault="00A74463" w:rsidP="00A70D56">
      <w:pPr>
        <w:ind w:firstLine="426"/>
        <w:jc w:val="both"/>
        <w:rPr>
          <w:rFonts w:eastAsia="Times New Roman"/>
          <w:bCs/>
          <w:color w:val="000000"/>
          <w:lang w:eastAsia="lv-LV"/>
        </w:rPr>
      </w:pPr>
      <w:r>
        <w:rPr>
          <w:rFonts w:eastAsia="Times New Roman"/>
          <w:bCs/>
          <w:color w:val="000000"/>
          <w:lang w:eastAsia="lv-LV"/>
        </w:rPr>
        <w:t>2015.gadā</w:t>
      </w:r>
      <w:r w:rsidR="0072202E" w:rsidRPr="00385A23">
        <w:rPr>
          <w:rFonts w:eastAsia="Times New Roman"/>
          <w:bCs/>
          <w:color w:val="000000"/>
          <w:lang w:eastAsia="lv-LV"/>
        </w:rPr>
        <w:t xml:space="preserve"> tika realizētas kampaņas par velosipēdistu drošību, drošības jostu lietošanu un braukšanu reibumā. </w:t>
      </w:r>
      <w:r w:rsidR="00EB39B7">
        <w:rPr>
          <w:rFonts w:eastAsia="Times New Roman"/>
          <w:bCs/>
          <w:color w:val="000000"/>
          <w:lang w:eastAsia="lv-LV"/>
        </w:rPr>
        <w:t>2015.gada r</w:t>
      </w:r>
      <w:r>
        <w:rPr>
          <w:rFonts w:eastAsia="Times New Roman"/>
          <w:bCs/>
          <w:color w:val="000000"/>
          <w:lang w:eastAsia="lv-LV"/>
        </w:rPr>
        <w:t>udens sezonā ti</w:t>
      </w:r>
      <w:r w:rsidR="0072202E" w:rsidRPr="00385A23">
        <w:rPr>
          <w:rFonts w:eastAsia="Times New Roman"/>
          <w:bCs/>
          <w:color w:val="000000"/>
          <w:lang w:eastAsia="lv-LV"/>
        </w:rPr>
        <w:t>k</w:t>
      </w:r>
      <w:r>
        <w:rPr>
          <w:rFonts w:eastAsia="Times New Roman"/>
          <w:bCs/>
          <w:color w:val="000000"/>
          <w:lang w:eastAsia="lv-LV"/>
        </w:rPr>
        <w:t>a</w:t>
      </w:r>
      <w:r w:rsidR="0072202E" w:rsidRPr="00385A23">
        <w:rPr>
          <w:rFonts w:eastAsia="Times New Roman"/>
          <w:bCs/>
          <w:color w:val="000000"/>
          <w:lang w:eastAsia="lv-LV"/>
        </w:rPr>
        <w:t xml:space="preserve"> realizēta kampaņa gājējiem “Esi gaismas vest-nesis”, kuras laikā Latvijas </w:t>
      </w:r>
      <w:r w:rsidR="009D394A">
        <w:rPr>
          <w:rFonts w:eastAsia="Times New Roman"/>
          <w:bCs/>
          <w:color w:val="000000"/>
          <w:lang w:eastAsia="lv-LV"/>
        </w:rPr>
        <w:t>mazturīgajiem iedzīvotājiem tika</w:t>
      </w:r>
      <w:r w:rsidR="0072202E" w:rsidRPr="00385A23">
        <w:rPr>
          <w:rFonts w:eastAsia="Times New Roman"/>
          <w:bCs/>
          <w:color w:val="000000"/>
          <w:lang w:eastAsia="lv-LV"/>
        </w:rPr>
        <w:t xml:space="preserve"> izdalītas 20 000 gaismu atstarojošas vestes. </w:t>
      </w:r>
    </w:p>
    <w:p w:rsidR="00D50656" w:rsidRDefault="0072202E" w:rsidP="00D50656">
      <w:pPr>
        <w:ind w:firstLine="426"/>
        <w:jc w:val="both"/>
        <w:rPr>
          <w:rFonts w:eastAsia="Times New Roman" w:cs="Times New Roman"/>
          <w:bCs/>
          <w:color w:val="000000"/>
          <w:lang w:eastAsia="lv-LV"/>
        </w:rPr>
      </w:pPr>
      <w:r w:rsidRPr="00385A23">
        <w:rPr>
          <w:rFonts w:eastAsia="Times New Roman"/>
          <w:bCs/>
          <w:color w:val="000000"/>
          <w:lang w:eastAsia="lv-LV"/>
        </w:rPr>
        <w:t xml:space="preserve">CSDD </w:t>
      </w:r>
      <w:r w:rsidR="00EB39B7">
        <w:rPr>
          <w:rFonts w:eastAsia="Times New Roman"/>
          <w:bCs/>
          <w:color w:val="000000"/>
          <w:lang w:eastAsia="lv-LV"/>
        </w:rPr>
        <w:t>ir izveidots interaktīvs</w:t>
      </w:r>
      <w:r w:rsidRPr="00385A23">
        <w:rPr>
          <w:rFonts w:eastAsia="Times New Roman"/>
          <w:bCs/>
          <w:color w:val="000000"/>
          <w:lang w:eastAsia="lv-LV"/>
        </w:rPr>
        <w:t xml:space="preserve"> mācību līdzekli</w:t>
      </w:r>
      <w:r w:rsidR="00EB39B7">
        <w:rPr>
          <w:rFonts w:eastAsia="Times New Roman"/>
          <w:bCs/>
          <w:color w:val="000000"/>
          <w:lang w:eastAsia="lv-LV"/>
        </w:rPr>
        <w:t>s</w:t>
      </w:r>
      <w:r w:rsidRPr="00385A23">
        <w:rPr>
          <w:rFonts w:eastAsia="Times New Roman"/>
          <w:bCs/>
          <w:color w:val="000000"/>
          <w:lang w:eastAsia="lv-LV"/>
        </w:rPr>
        <w:t xml:space="preserve"> topošajiem velosipēdistiem. Skolēni, viņu vecāki un pedagogi to var izmantot mācību procesā un ar to var iepazīties </w:t>
      </w:r>
      <w:r w:rsidR="009D394A">
        <w:rPr>
          <w:rFonts w:eastAsia="Times New Roman"/>
          <w:bCs/>
          <w:color w:val="000000"/>
          <w:lang w:eastAsia="lv-LV"/>
        </w:rPr>
        <w:t xml:space="preserve">tīmekļa </w:t>
      </w:r>
      <w:r w:rsidRPr="00385A23">
        <w:rPr>
          <w:rFonts w:eastAsia="Times New Roman"/>
          <w:bCs/>
          <w:color w:val="000000"/>
          <w:lang w:eastAsia="lv-LV"/>
        </w:rPr>
        <w:t xml:space="preserve">vietnē – </w:t>
      </w:r>
      <w:hyperlink r:id="rId16" w:history="1">
        <w:r w:rsidR="00D50656" w:rsidRPr="001A4078">
          <w:rPr>
            <w:rStyle w:val="Hyperlink"/>
            <w:rFonts w:eastAsia="Times New Roman"/>
            <w:bCs/>
            <w:lang w:eastAsia="lv-LV"/>
          </w:rPr>
          <w:t>www.</w:t>
        </w:r>
        <w:r w:rsidR="00D50656" w:rsidRPr="001A4078">
          <w:rPr>
            <w:rStyle w:val="Hyperlink"/>
            <w:rFonts w:eastAsia="Times New Roman" w:cs="Times New Roman"/>
            <w:bCs/>
            <w:lang w:eastAsia="lv-LV"/>
          </w:rPr>
          <w:t>berniem.csdd.lv</w:t>
        </w:r>
      </w:hyperlink>
      <w:r w:rsidR="00D50656">
        <w:rPr>
          <w:rFonts w:eastAsia="Times New Roman"/>
          <w:bCs/>
          <w:color w:val="000000"/>
          <w:lang w:eastAsia="lv-LV"/>
        </w:rPr>
        <w:t>.</w:t>
      </w:r>
    </w:p>
    <w:p w:rsidR="00746DD5" w:rsidRDefault="00746DD5" w:rsidP="00A70D56">
      <w:pPr>
        <w:ind w:firstLine="426"/>
        <w:jc w:val="both"/>
        <w:rPr>
          <w:rFonts w:eastAsia="Times New Roman" w:cs="Times New Roman"/>
          <w:bCs/>
          <w:color w:val="000000"/>
          <w:lang w:eastAsia="lv-LV"/>
        </w:rPr>
      </w:pPr>
    </w:p>
    <w:p w:rsidR="00746DD5" w:rsidRPr="00746DD5" w:rsidRDefault="00746DD5" w:rsidP="00BA7171">
      <w:pPr>
        <w:pStyle w:val="NoSpacing"/>
        <w:ind w:firstLine="426"/>
        <w:jc w:val="both"/>
        <w:rPr>
          <w:rFonts w:cs="Times New Roman"/>
        </w:rPr>
      </w:pPr>
      <w:r w:rsidRPr="00A74463">
        <w:rPr>
          <w:rFonts w:cs="Times New Roman"/>
          <w:b/>
        </w:rPr>
        <w:t>Valsts izglītības satura centrs</w:t>
      </w:r>
      <w:r w:rsidRPr="00746DD5">
        <w:rPr>
          <w:rFonts w:cs="Times New Roman"/>
        </w:rPr>
        <w:t xml:space="preserve"> </w:t>
      </w:r>
      <w:r>
        <w:rPr>
          <w:rFonts w:cs="Times New Roman"/>
        </w:rPr>
        <w:t xml:space="preserve"> ir izstrādājis un  2015. gada rudenī piedāvājis</w:t>
      </w:r>
      <w:r w:rsidRPr="00746DD5">
        <w:rPr>
          <w:rFonts w:cs="Times New Roman"/>
        </w:rPr>
        <w:t xml:space="preserve"> izglītības iestādēm diagnosticējošo darbu par ceļu satiksmes noteikumiem 4.klases un 8.klases skolēniem. Tā mērķis</w:t>
      </w:r>
      <w:r w:rsidRPr="00746DD5">
        <w:rPr>
          <w:rFonts w:cs="Times New Roman"/>
          <w:color w:val="00B050"/>
        </w:rPr>
        <w:t xml:space="preserve"> </w:t>
      </w:r>
      <w:r w:rsidRPr="00746DD5">
        <w:rPr>
          <w:rFonts w:cs="Times New Roman"/>
        </w:rPr>
        <w:t>bija</w:t>
      </w:r>
      <w:r w:rsidRPr="00746DD5">
        <w:rPr>
          <w:rFonts w:cs="Times New Roman"/>
          <w:color w:val="00B050"/>
        </w:rPr>
        <w:t xml:space="preserve"> </w:t>
      </w:r>
      <w:r w:rsidRPr="00746DD5">
        <w:rPr>
          <w:rFonts w:cs="Times New Roman"/>
        </w:rPr>
        <w:t>noskaidrot skolēnu zināšanas, prasmes un attieksmi par ceļu satiksmes noteikumu ievērošanu un paradumiem ikdienas situācijās uz ceļa, ielas, apdzīvotās vietās un ārpus tām.</w:t>
      </w:r>
    </w:p>
    <w:p w:rsidR="00746DD5" w:rsidRPr="00746DD5" w:rsidRDefault="00746DD5" w:rsidP="00A70D56">
      <w:pPr>
        <w:ind w:firstLine="426"/>
        <w:jc w:val="both"/>
        <w:rPr>
          <w:rFonts w:cs="Times New Roman"/>
          <w:color w:val="000000"/>
        </w:rPr>
      </w:pPr>
      <w:r w:rsidRPr="00746DD5">
        <w:rPr>
          <w:rFonts w:cs="Times New Roman"/>
          <w:color w:val="000000"/>
        </w:rPr>
        <w:t xml:space="preserve">Diagnosticējošā darba organizēšanu atbalstīja </w:t>
      </w:r>
      <w:r w:rsidR="00B4087E">
        <w:rPr>
          <w:rFonts w:cs="Times New Roman"/>
          <w:color w:val="000000"/>
        </w:rPr>
        <w:t>CSDP</w:t>
      </w:r>
      <w:r w:rsidRPr="00746DD5">
        <w:rPr>
          <w:rFonts w:cs="Times New Roman"/>
          <w:color w:val="000000"/>
        </w:rPr>
        <w:t xml:space="preserve">, tā sagatavošana un organizēšana tika finansēta no apdrošināšanas līdzekļiem, ko saskaņā ar Sauszemes transportlīdzekļu īpašnieku civiltiesiskās atbildības obligātās apdrošināšanas likumu apdrošinātāji ceļu satiksmes negadījumu novēršanas pasākumu veikšanai ieskaita biedrības „Latvijas Transportlīdzekļu apdrošinātāju birojs” kontā. </w:t>
      </w:r>
    </w:p>
    <w:p w:rsidR="00746DD5" w:rsidRPr="00746DD5" w:rsidRDefault="00746DD5" w:rsidP="00A70D56">
      <w:pPr>
        <w:ind w:firstLine="426"/>
        <w:jc w:val="both"/>
        <w:rPr>
          <w:rFonts w:cs="Times New Roman"/>
          <w:color w:val="00B050"/>
        </w:rPr>
      </w:pPr>
      <w:r w:rsidRPr="00746DD5">
        <w:rPr>
          <w:rFonts w:cs="Times New Roman"/>
          <w:color w:val="000000"/>
        </w:rPr>
        <w:t xml:space="preserve">Kopumā tika apkopoti 19793 skolēnu darba rezultāti (4.klasēs - 10766; 8. klasēs - 9027). </w:t>
      </w:r>
    </w:p>
    <w:p w:rsidR="00746DD5" w:rsidRPr="00746DD5" w:rsidRDefault="00746DD5" w:rsidP="00A70D56">
      <w:pPr>
        <w:ind w:firstLine="426"/>
        <w:jc w:val="both"/>
        <w:rPr>
          <w:rFonts w:cs="Times New Roman"/>
          <w:bCs/>
          <w:i/>
        </w:rPr>
      </w:pPr>
      <w:r w:rsidRPr="00746DD5">
        <w:rPr>
          <w:rFonts w:cs="Times New Roman"/>
          <w:b/>
        </w:rPr>
        <w:t>4.klašu skolēniem</w:t>
      </w:r>
      <w:r w:rsidRPr="00746DD5">
        <w:rPr>
          <w:rFonts w:cs="Times New Roman"/>
        </w:rPr>
        <w:t xml:space="preserve"> diagnosticējošā darbā bija ietverti jautājumi, piemēram, par </w:t>
      </w:r>
      <w:r w:rsidRPr="00746DD5">
        <w:rPr>
          <w:rFonts w:cs="Times New Roman"/>
          <w:i/>
        </w:rPr>
        <w:t>Gājēju un pasažier</w:t>
      </w:r>
      <w:r w:rsidR="009D394A">
        <w:rPr>
          <w:rFonts w:cs="Times New Roman"/>
          <w:i/>
        </w:rPr>
        <w:t>u pienākumiem; Papildus prasībām</w:t>
      </w:r>
      <w:r w:rsidRPr="00746DD5">
        <w:rPr>
          <w:rFonts w:cs="Times New Roman"/>
          <w:i/>
        </w:rPr>
        <w:t xml:space="preserve"> velosipēdu un mopēdu vadītājiem; Ceļu satiksmes </w:t>
      </w:r>
      <w:r w:rsidR="009D394A">
        <w:rPr>
          <w:rFonts w:cs="Times New Roman"/>
          <w:i/>
        </w:rPr>
        <w:t>regulēšanu</w:t>
      </w:r>
      <w:r w:rsidRPr="00746DD5">
        <w:rPr>
          <w:rFonts w:cs="Times New Roman"/>
          <w:i/>
        </w:rPr>
        <w:t xml:space="preserve"> un Neregulējamie</w:t>
      </w:r>
      <w:r w:rsidR="009D394A">
        <w:rPr>
          <w:rFonts w:cs="Times New Roman"/>
          <w:i/>
        </w:rPr>
        <w:t>m</w:t>
      </w:r>
      <w:r w:rsidRPr="00746DD5">
        <w:rPr>
          <w:rFonts w:cs="Times New Roman"/>
          <w:i/>
        </w:rPr>
        <w:t xml:space="preserve"> krustojumi</w:t>
      </w:r>
      <w:r w:rsidR="009D394A">
        <w:rPr>
          <w:rFonts w:cs="Times New Roman"/>
          <w:i/>
        </w:rPr>
        <w:t>em</w:t>
      </w:r>
      <w:r w:rsidRPr="00746DD5">
        <w:rPr>
          <w:rFonts w:cs="Times New Roman"/>
        </w:rPr>
        <w:t xml:space="preserve">; </w:t>
      </w:r>
      <w:r w:rsidR="00435F90">
        <w:rPr>
          <w:rFonts w:cs="Times New Roman"/>
          <w:i/>
        </w:rPr>
        <w:t>Ceļa zīmēm un to raksturojumu; Braukšanas ātrumu, distanci un intervālu</w:t>
      </w:r>
      <w:r w:rsidRPr="00746DD5">
        <w:rPr>
          <w:rFonts w:cs="Times New Roman"/>
          <w:i/>
        </w:rPr>
        <w:t xml:space="preserve">; </w:t>
      </w:r>
      <w:r w:rsidR="004928B4">
        <w:rPr>
          <w:rFonts w:cs="Times New Roman"/>
          <w:bCs/>
          <w:i/>
        </w:rPr>
        <w:t>TL</w:t>
      </w:r>
      <w:r w:rsidR="004928B4" w:rsidRPr="00746DD5">
        <w:rPr>
          <w:rFonts w:cs="Times New Roman"/>
          <w:bCs/>
          <w:i/>
        </w:rPr>
        <w:t xml:space="preserve"> </w:t>
      </w:r>
      <w:r w:rsidRPr="00746DD5">
        <w:rPr>
          <w:rFonts w:cs="Times New Roman"/>
          <w:bCs/>
          <w:i/>
        </w:rPr>
        <w:t>vadītāju un atsevišķu kategoriju ceļu satiksmes dalībnieku vecuma ierobežojumi</w:t>
      </w:r>
      <w:r w:rsidR="00435F90">
        <w:rPr>
          <w:rFonts w:cs="Times New Roman"/>
          <w:bCs/>
          <w:i/>
        </w:rPr>
        <w:t>em</w:t>
      </w:r>
      <w:r w:rsidRPr="00746DD5">
        <w:rPr>
          <w:rFonts w:cs="Times New Roman"/>
          <w:bCs/>
          <w:i/>
        </w:rPr>
        <w:t xml:space="preserve"> </w:t>
      </w:r>
      <w:r w:rsidRPr="00746DD5">
        <w:rPr>
          <w:rFonts w:cs="Times New Roman"/>
          <w:bCs/>
        </w:rPr>
        <w:t xml:space="preserve">un </w:t>
      </w:r>
      <w:r w:rsidRPr="00746DD5">
        <w:rPr>
          <w:rFonts w:cs="Times New Roman"/>
          <w:bCs/>
          <w:i/>
        </w:rPr>
        <w:t>Vispārīgie</w:t>
      </w:r>
      <w:r w:rsidR="00435F90">
        <w:rPr>
          <w:rFonts w:cs="Times New Roman"/>
          <w:bCs/>
          <w:i/>
        </w:rPr>
        <w:t>m</w:t>
      </w:r>
      <w:r w:rsidRPr="00746DD5">
        <w:rPr>
          <w:rFonts w:cs="Times New Roman"/>
          <w:bCs/>
          <w:i/>
        </w:rPr>
        <w:t xml:space="preserve"> jautājumi</w:t>
      </w:r>
      <w:r w:rsidR="00435F90">
        <w:rPr>
          <w:rFonts w:cs="Times New Roman"/>
          <w:bCs/>
          <w:i/>
        </w:rPr>
        <w:t>em</w:t>
      </w:r>
      <w:r w:rsidRPr="00746DD5">
        <w:rPr>
          <w:rFonts w:cs="Times New Roman"/>
          <w:bCs/>
          <w:i/>
        </w:rPr>
        <w:t>.</w:t>
      </w:r>
    </w:p>
    <w:p w:rsidR="00746DD5" w:rsidRPr="00746DD5" w:rsidRDefault="00435F90" w:rsidP="00A70D56">
      <w:pPr>
        <w:ind w:firstLine="426"/>
        <w:jc w:val="both"/>
        <w:rPr>
          <w:rFonts w:cs="Times New Roman"/>
          <w:color w:val="000000"/>
        </w:rPr>
      </w:pPr>
      <w:r>
        <w:rPr>
          <w:rFonts w:cs="Times New Roman"/>
          <w:color w:val="000000"/>
        </w:rPr>
        <w:t>Vidējais</w:t>
      </w:r>
      <w:r w:rsidR="00746DD5" w:rsidRPr="00746DD5">
        <w:rPr>
          <w:rFonts w:cs="Times New Roman"/>
          <w:color w:val="000000"/>
        </w:rPr>
        <w:t xml:space="preserve"> 4.klases darba pareizo atbilžu procentuālais daudzums ir 77,5%. Skolēnu zināšanu līmenis ir augsts, jo pēc jautājumu analīzes redzams, ka lielākajam vairumam skolēnu (35,1%) pareizo atbilžu skaits svārstās no 90% - 100%, savukārt vājus rezultātus (zem 33% pareizo atbilžu) uzrādījuši vien 2,7% skolēnu. </w:t>
      </w:r>
    </w:p>
    <w:p w:rsidR="00746DD5" w:rsidRPr="00435F90" w:rsidRDefault="00746DD5" w:rsidP="00A70D56">
      <w:pPr>
        <w:ind w:firstLine="426"/>
        <w:jc w:val="both"/>
        <w:rPr>
          <w:rFonts w:cs="Times New Roman"/>
          <w:i/>
          <w:color w:val="000000"/>
        </w:rPr>
      </w:pPr>
      <w:r w:rsidRPr="00746DD5">
        <w:rPr>
          <w:rFonts w:cs="Times New Roman"/>
          <w:b/>
        </w:rPr>
        <w:t>8.klašu skolēniem</w:t>
      </w:r>
      <w:r w:rsidRPr="00746DD5">
        <w:rPr>
          <w:rFonts w:cs="Times New Roman"/>
        </w:rPr>
        <w:t xml:space="preserve"> diagnosticējošā darbā bija ietverti jautājumi, piemēram, par </w:t>
      </w:r>
      <w:r w:rsidRPr="00746DD5">
        <w:rPr>
          <w:rFonts w:cs="Times New Roman"/>
          <w:i/>
          <w:color w:val="000000"/>
        </w:rPr>
        <w:t xml:space="preserve">Vispārīgiem jautājumiem; Gājēju un pasažieru pienākumiem; </w:t>
      </w:r>
      <w:r w:rsidR="004928B4">
        <w:rPr>
          <w:rFonts w:cs="Times New Roman"/>
          <w:i/>
          <w:color w:val="000000"/>
        </w:rPr>
        <w:t>TL</w:t>
      </w:r>
      <w:r w:rsidR="004928B4" w:rsidRPr="00746DD5">
        <w:rPr>
          <w:rFonts w:cs="Times New Roman"/>
          <w:i/>
          <w:color w:val="000000"/>
        </w:rPr>
        <w:t xml:space="preserve"> </w:t>
      </w:r>
      <w:r w:rsidRPr="00746DD5">
        <w:rPr>
          <w:rFonts w:cs="Times New Roman"/>
          <w:i/>
          <w:color w:val="000000"/>
        </w:rPr>
        <w:t>vadītāju vispārīgie pienākumi</w:t>
      </w:r>
      <w:r w:rsidR="00435F90">
        <w:rPr>
          <w:rFonts w:cs="Times New Roman"/>
          <w:i/>
          <w:color w:val="000000"/>
        </w:rPr>
        <w:t>em</w:t>
      </w:r>
      <w:r w:rsidRPr="00746DD5">
        <w:rPr>
          <w:rFonts w:cs="Times New Roman"/>
          <w:i/>
          <w:color w:val="000000"/>
        </w:rPr>
        <w:t xml:space="preserve">; </w:t>
      </w:r>
      <w:r w:rsidR="004928B4" w:rsidRPr="004928B4">
        <w:rPr>
          <w:rFonts w:cs="Times New Roman"/>
          <w:i/>
          <w:color w:val="000000"/>
        </w:rPr>
        <w:t>TL</w:t>
      </w:r>
      <w:r w:rsidR="004928B4" w:rsidRPr="004928B4" w:rsidDel="004928B4">
        <w:rPr>
          <w:rFonts w:cs="Times New Roman"/>
          <w:i/>
          <w:color w:val="000000"/>
        </w:rPr>
        <w:t xml:space="preserve"> </w:t>
      </w:r>
      <w:r w:rsidRPr="00746DD5">
        <w:rPr>
          <w:rFonts w:cs="Times New Roman"/>
          <w:i/>
          <w:color w:val="000000"/>
        </w:rPr>
        <w:t>vadītāju pienākumi</w:t>
      </w:r>
      <w:r w:rsidR="00435F90">
        <w:rPr>
          <w:rFonts w:cs="Times New Roman"/>
          <w:i/>
          <w:color w:val="000000"/>
        </w:rPr>
        <w:t>em</w:t>
      </w:r>
      <w:r w:rsidRPr="00746DD5">
        <w:rPr>
          <w:rFonts w:cs="Times New Roman"/>
          <w:i/>
          <w:color w:val="000000"/>
        </w:rPr>
        <w:t xml:space="preserve"> īpašos gadījumos; </w:t>
      </w:r>
      <w:r w:rsidR="004928B4" w:rsidRPr="004928B4">
        <w:rPr>
          <w:rFonts w:cs="Times New Roman"/>
          <w:i/>
          <w:color w:val="000000"/>
        </w:rPr>
        <w:t>TL</w:t>
      </w:r>
      <w:r w:rsidR="00435F90">
        <w:rPr>
          <w:rFonts w:cs="Times New Roman"/>
          <w:i/>
          <w:color w:val="000000"/>
        </w:rPr>
        <w:t xml:space="preserve"> vadītāja rīcību</w:t>
      </w:r>
      <w:r w:rsidRPr="00746DD5">
        <w:rPr>
          <w:rFonts w:cs="Times New Roman"/>
          <w:i/>
          <w:color w:val="000000"/>
        </w:rPr>
        <w:t xml:space="preserve"> pēc ceļu satiksmes negadījuma; Ceļu satiksmes </w:t>
      </w:r>
      <w:r w:rsidR="00435F90">
        <w:rPr>
          <w:rFonts w:cs="Times New Roman"/>
          <w:i/>
          <w:color w:val="000000"/>
        </w:rPr>
        <w:t>regulēšanu; Braukšanas sākšanu un braukšanas virzienu maiņu</w:t>
      </w:r>
      <w:r w:rsidRPr="00746DD5">
        <w:rPr>
          <w:rFonts w:cs="Times New Roman"/>
          <w:i/>
          <w:color w:val="000000"/>
        </w:rPr>
        <w:t>; Braukšanas ātrum</w:t>
      </w:r>
      <w:r w:rsidR="00435F90">
        <w:rPr>
          <w:rFonts w:cs="Times New Roman"/>
          <w:i/>
          <w:color w:val="000000"/>
        </w:rPr>
        <w:t xml:space="preserve">u, distanci un </w:t>
      </w:r>
      <w:r w:rsidR="00435F90">
        <w:rPr>
          <w:rFonts w:cs="Times New Roman"/>
          <w:i/>
          <w:color w:val="000000"/>
        </w:rPr>
        <w:lastRenderedPageBreak/>
        <w:t>intervālu; Ceļu satiksmi</w:t>
      </w:r>
      <w:r w:rsidRPr="00746DD5">
        <w:rPr>
          <w:rFonts w:cs="Times New Roman"/>
          <w:i/>
          <w:color w:val="000000"/>
        </w:rPr>
        <w:t xml:space="preserve"> dzīvojamās zonās; Dz</w:t>
      </w:r>
      <w:r w:rsidR="00435F90">
        <w:rPr>
          <w:rFonts w:cs="Times New Roman"/>
          <w:i/>
          <w:color w:val="000000"/>
        </w:rPr>
        <w:t>elzceļa pārbrauktuvju šķērsošanu; Avārijas zīmju lietošanu; Papildu prasībām</w:t>
      </w:r>
      <w:r w:rsidRPr="00746DD5">
        <w:rPr>
          <w:rFonts w:cs="Times New Roman"/>
          <w:i/>
          <w:color w:val="000000"/>
        </w:rPr>
        <w:t xml:space="preserve"> velosipēdu un mopēdu vadītājiem; </w:t>
      </w:r>
      <w:r w:rsidR="004928B4" w:rsidRPr="004928B4">
        <w:rPr>
          <w:rFonts w:cs="Times New Roman"/>
          <w:i/>
          <w:color w:val="000000"/>
        </w:rPr>
        <w:t>TL</w:t>
      </w:r>
      <w:r w:rsidR="00435F90">
        <w:rPr>
          <w:rFonts w:cs="Times New Roman"/>
          <w:i/>
          <w:color w:val="000000"/>
        </w:rPr>
        <w:t xml:space="preserve"> pazīšanas zīmēm; Mācību braukšanu; Braukšanu</w:t>
      </w:r>
      <w:r w:rsidRPr="00746DD5">
        <w:rPr>
          <w:rFonts w:cs="Times New Roman"/>
          <w:i/>
          <w:color w:val="000000"/>
        </w:rPr>
        <w:t xml:space="preserve"> krustojumos; </w:t>
      </w:r>
      <w:r w:rsidR="004928B4" w:rsidRPr="00435F90">
        <w:rPr>
          <w:rFonts w:cs="Times New Roman"/>
          <w:i/>
          <w:color w:val="000000"/>
        </w:rPr>
        <w:t>TL</w:t>
      </w:r>
      <w:r w:rsidR="004928B4" w:rsidRPr="00435F90" w:rsidDel="004928B4">
        <w:rPr>
          <w:rFonts w:cs="Times New Roman"/>
          <w:i/>
          <w:color w:val="000000"/>
        </w:rPr>
        <w:t xml:space="preserve"> </w:t>
      </w:r>
      <w:r w:rsidR="00435F90" w:rsidRPr="00435F90">
        <w:rPr>
          <w:rFonts w:cs="Times New Roman"/>
          <w:i/>
          <w:color w:val="000000"/>
        </w:rPr>
        <w:t>un to reģistrāciju</w:t>
      </w:r>
      <w:r w:rsidRPr="00435F90">
        <w:rPr>
          <w:rFonts w:cs="Times New Roman"/>
          <w:i/>
          <w:color w:val="000000"/>
        </w:rPr>
        <w:t>; Ceļu satiksmes dalībnieku pienākumi</w:t>
      </w:r>
      <w:r w:rsidR="00435F90" w:rsidRPr="00435F90">
        <w:rPr>
          <w:rFonts w:cs="Times New Roman"/>
          <w:i/>
          <w:color w:val="000000"/>
        </w:rPr>
        <w:t>em</w:t>
      </w:r>
      <w:r w:rsidR="00435F90">
        <w:rPr>
          <w:rFonts w:cs="Times New Roman"/>
          <w:i/>
          <w:color w:val="000000"/>
        </w:rPr>
        <w:t xml:space="preserve"> un to tiesībām</w:t>
      </w:r>
      <w:r w:rsidRPr="00435F90">
        <w:rPr>
          <w:rFonts w:cs="Times New Roman"/>
          <w:i/>
          <w:color w:val="000000"/>
        </w:rPr>
        <w:t>.</w:t>
      </w:r>
    </w:p>
    <w:p w:rsidR="00746DD5" w:rsidRPr="00746DD5" w:rsidRDefault="00746DD5" w:rsidP="00A70D56">
      <w:pPr>
        <w:ind w:firstLine="426"/>
        <w:jc w:val="both"/>
        <w:rPr>
          <w:rFonts w:cs="Times New Roman"/>
          <w:color w:val="000000"/>
        </w:rPr>
      </w:pPr>
      <w:r w:rsidRPr="00746DD5">
        <w:rPr>
          <w:rFonts w:cs="Times New Roman"/>
          <w:color w:val="000000"/>
        </w:rPr>
        <w:t xml:space="preserve">Vairumam skolēnu rezultāti grupējas ap vidējo rezultātu, kas darbā kopumā ir 59,25%. Turklāt skolēni ar ļoti zemiem rezultātiem (9%) ir tikpat, cik skolēnu ar ļoti augstiem rezultātiem (9%). Labāk skolēni atbild uz jautājumiem par </w:t>
      </w:r>
      <w:r w:rsidR="00435F90">
        <w:rPr>
          <w:rFonts w:cs="Times New Roman"/>
          <w:color w:val="000000"/>
        </w:rPr>
        <w:t>CSN</w:t>
      </w:r>
      <w:r w:rsidRPr="00746DD5">
        <w:rPr>
          <w:rFonts w:cs="Times New Roman"/>
          <w:color w:val="000000"/>
        </w:rPr>
        <w:t xml:space="preserve">, taču vājāk pārzina </w:t>
      </w:r>
      <w:r w:rsidR="00435F90">
        <w:rPr>
          <w:rFonts w:cs="Times New Roman"/>
          <w:color w:val="000000"/>
        </w:rPr>
        <w:t xml:space="preserve">būtiskākus </w:t>
      </w:r>
      <w:r w:rsidR="00A74463">
        <w:rPr>
          <w:rFonts w:cs="Times New Roman"/>
          <w:color w:val="000000"/>
        </w:rPr>
        <w:t xml:space="preserve">jautājumus par </w:t>
      </w:r>
      <w:r w:rsidR="00A6048F">
        <w:rPr>
          <w:rFonts w:cs="Times New Roman"/>
          <w:color w:val="000000"/>
        </w:rPr>
        <w:t>CSL</w:t>
      </w:r>
      <w:r w:rsidRPr="00746DD5">
        <w:rPr>
          <w:rFonts w:cs="Times New Roman"/>
          <w:color w:val="000000"/>
        </w:rPr>
        <w:t>.</w:t>
      </w:r>
    </w:p>
    <w:p w:rsidR="00A74463" w:rsidRDefault="00746DD5" w:rsidP="00003992">
      <w:pPr>
        <w:pStyle w:val="NoSpacing"/>
        <w:ind w:firstLine="426"/>
        <w:jc w:val="both"/>
        <w:rPr>
          <w:rFonts w:cs="Times New Roman"/>
        </w:rPr>
      </w:pPr>
      <w:r w:rsidRPr="00746DD5">
        <w:rPr>
          <w:rFonts w:cs="Times New Roman"/>
        </w:rPr>
        <w:t xml:space="preserve">Lieki piebilst, ka visu jautājumu apguvei nepietiek vien ar pedagoga darbu izglītības iestādē, šeit būtu ļoti nepieciešama arī vecāku un visas sabiedrības droša </w:t>
      </w:r>
      <w:r>
        <w:rPr>
          <w:rFonts w:cs="Times New Roman"/>
        </w:rPr>
        <w:t>un pareiza rīcība ceļu satiksmē.</w:t>
      </w:r>
    </w:p>
    <w:p w:rsidR="00E60992" w:rsidRPr="00A74463" w:rsidRDefault="00A74463" w:rsidP="00A70D56">
      <w:pPr>
        <w:pStyle w:val="NoSpacing"/>
        <w:ind w:firstLine="426"/>
        <w:jc w:val="both"/>
        <w:rPr>
          <w:rFonts w:cs="Times New Roman"/>
        </w:rPr>
      </w:pPr>
      <w:r>
        <w:rPr>
          <w:rFonts w:cs="Times New Roman"/>
        </w:rPr>
        <w:t xml:space="preserve">Kopējai ceļu satiksmes dalībnieku izglītošanai un informētībai būtu nepieciešami </w:t>
      </w:r>
      <w:r>
        <w:rPr>
          <w:b/>
        </w:rPr>
        <w:t>m</w:t>
      </w:r>
      <w:r w:rsidR="00E60992" w:rsidRPr="00A74463">
        <w:rPr>
          <w:b/>
        </w:rPr>
        <w:t>ūsdienīgi pašmācības izglītības modeļi satiksmes drošībā:</w:t>
      </w:r>
    </w:p>
    <w:p w:rsidR="00E60992" w:rsidRPr="00901A63" w:rsidRDefault="00E60992" w:rsidP="0030243A">
      <w:pPr>
        <w:numPr>
          <w:ilvl w:val="0"/>
          <w:numId w:val="8"/>
        </w:numPr>
        <w:tabs>
          <w:tab w:val="clear" w:pos="765"/>
          <w:tab w:val="num" w:pos="900"/>
        </w:tabs>
        <w:ind w:left="900" w:firstLine="426"/>
        <w:jc w:val="both"/>
      </w:pPr>
      <w:r>
        <w:t>Interaktīvu digitālo materiālu</w:t>
      </w:r>
      <w:r w:rsidRPr="00901A63">
        <w:t xml:space="preserve"> (satiksmes drošības </w:t>
      </w:r>
      <w:r w:rsidR="0030243A">
        <w:t>tīmekļa vietnē</w:t>
      </w:r>
      <w:r w:rsidRPr="00901A63">
        <w:t xml:space="preserve"> </w:t>
      </w:r>
      <w:r w:rsidR="0030243A">
        <w:t>–</w:t>
      </w:r>
      <w:r>
        <w:t xml:space="preserve"> </w:t>
      </w:r>
      <w:hyperlink r:id="rId17" w:history="1">
        <w:r w:rsidR="0030243A" w:rsidRPr="001A4078">
          <w:rPr>
            <w:rStyle w:val="Hyperlink"/>
          </w:rPr>
          <w:t>www.bērniem.csdd.lv</w:t>
        </w:r>
      </w:hyperlink>
      <w:r w:rsidR="0030243A">
        <w:t>,</w:t>
      </w:r>
      <w:r>
        <w:t xml:space="preserve"> datorspēle u.tml.) pilnveidošana, attīstīšana un veidošana;</w:t>
      </w:r>
    </w:p>
    <w:p w:rsidR="00E60992" w:rsidRPr="00901A63" w:rsidRDefault="000212C9" w:rsidP="00A70D56">
      <w:pPr>
        <w:numPr>
          <w:ilvl w:val="0"/>
          <w:numId w:val="8"/>
        </w:numPr>
        <w:tabs>
          <w:tab w:val="clear" w:pos="765"/>
          <w:tab w:val="num" w:pos="900"/>
        </w:tabs>
        <w:ind w:left="900" w:firstLine="426"/>
        <w:jc w:val="both"/>
      </w:pPr>
      <w:r>
        <w:t xml:space="preserve">IZM, </w:t>
      </w:r>
      <w:r w:rsidRPr="00901A63">
        <w:t>CSDD</w:t>
      </w:r>
      <w:r>
        <w:t>, VP un citu atbildīgo institūciju</w:t>
      </w:r>
      <w:r w:rsidR="00E60992" w:rsidRPr="00901A63">
        <w:t xml:space="preserve"> satiks</w:t>
      </w:r>
      <w:r w:rsidR="00E60992">
        <w:t>mes drošības izglītības projektu</w:t>
      </w:r>
      <w:r w:rsidR="00E60992" w:rsidRPr="00901A63">
        <w:t xml:space="preserve"> dažādām vecuma un satiksmes dalībnieku grupām (gājēji, pasažieri, velosipēdu, mopēdu un automobiļu vadītāji</w:t>
      </w:r>
      <w:r w:rsidR="00E60992">
        <w:t>),</w:t>
      </w:r>
      <w:r w:rsidR="00E60992" w:rsidRPr="00901A63">
        <w:t xml:space="preserve"> m</w:t>
      </w:r>
      <w:r w:rsidR="00E60992">
        <w:t>asu pasākumu</w:t>
      </w:r>
      <w:r w:rsidR="00E60992" w:rsidRPr="00901A63">
        <w:t xml:space="preserve"> skolās un Latvijas pilsētās dro</w:t>
      </w:r>
      <w:r w:rsidR="00E60992">
        <w:t>šības jautājumu aktualizēšanai organizēšana.</w:t>
      </w:r>
    </w:p>
    <w:p w:rsidR="00233DD0" w:rsidRPr="00901A63" w:rsidRDefault="00233DD0" w:rsidP="00B02243">
      <w:pPr>
        <w:jc w:val="both"/>
      </w:pPr>
    </w:p>
    <w:p w:rsidR="00E60992" w:rsidRPr="00A74463" w:rsidRDefault="00A74463" w:rsidP="00A70D56">
      <w:pPr>
        <w:spacing w:after="160" w:line="259" w:lineRule="auto"/>
        <w:ind w:firstLine="426"/>
        <w:jc w:val="both"/>
        <w:rPr>
          <w:rFonts w:cs="Times New Roman"/>
          <w:b/>
        </w:rPr>
      </w:pPr>
      <w:r>
        <w:rPr>
          <w:rFonts w:cs="Times New Roman"/>
        </w:rPr>
        <w:t xml:space="preserve">Tāpat būtiskas ir arī </w:t>
      </w:r>
      <w:r>
        <w:rPr>
          <w:rFonts w:cs="Times New Roman"/>
          <w:b/>
        </w:rPr>
        <w:t>i</w:t>
      </w:r>
      <w:r w:rsidR="00E60992" w:rsidRPr="00A74463">
        <w:rPr>
          <w:rFonts w:cs="Times New Roman"/>
          <w:b/>
        </w:rPr>
        <w:t>zglītojoši informatīvas kampaņas par aktuālām ceļu satiksmes drošības problēmām</w:t>
      </w:r>
      <w:r w:rsidR="000E5481">
        <w:rPr>
          <w:rFonts w:cs="Times New Roman"/>
          <w:b/>
        </w:rPr>
        <w:t xml:space="preserve"> visiem ceļu satiksmes dalībniekiem</w:t>
      </w:r>
      <w:r w:rsidR="00E60992" w:rsidRPr="00A74463">
        <w:rPr>
          <w:rFonts w:cs="Times New Roman"/>
          <w:b/>
        </w:rPr>
        <w:t>:</w:t>
      </w:r>
    </w:p>
    <w:p w:rsidR="00E60992" w:rsidRPr="00901A63" w:rsidRDefault="000E5481" w:rsidP="00A70D56">
      <w:pPr>
        <w:pStyle w:val="ListParagraph"/>
        <w:numPr>
          <w:ilvl w:val="0"/>
          <w:numId w:val="8"/>
        </w:numPr>
        <w:spacing w:after="160" w:line="259" w:lineRule="auto"/>
        <w:ind w:firstLine="426"/>
        <w:jc w:val="both"/>
        <w:rPr>
          <w:rFonts w:cs="Times New Roman"/>
          <w:color w:val="000000"/>
        </w:rPr>
      </w:pPr>
      <w:r>
        <w:rPr>
          <w:rFonts w:cs="Times New Roman"/>
          <w:color w:val="000000"/>
        </w:rPr>
        <w:t>Par braukšanu</w:t>
      </w:r>
      <w:r w:rsidR="00E60992">
        <w:rPr>
          <w:rFonts w:cs="Times New Roman"/>
          <w:color w:val="000000"/>
        </w:rPr>
        <w:t xml:space="preserve"> reibumā</w:t>
      </w:r>
      <w:r w:rsidR="00E60992" w:rsidRPr="00901A63">
        <w:rPr>
          <w:rFonts w:cs="Times New Roman"/>
          <w:color w:val="000000"/>
        </w:rPr>
        <w:t>;</w:t>
      </w:r>
    </w:p>
    <w:p w:rsidR="00E60992" w:rsidRPr="00901A63" w:rsidRDefault="000E5481" w:rsidP="00A70D56">
      <w:pPr>
        <w:pStyle w:val="ListParagraph"/>
        <w:numPr>
          <w:ilvl w:val="0"/>
          <w:numId w:val="8"/>
        </w:numPr>
        <w:spacing w:after="160" w:line="259" w:lineRule="auto"/>
        <w:ind w:firstLine="426"/>
        <w:jc w:val="both"/>
        <w:rPr>
          <w:rFonts w:cs="Times New Roman"/>
          <w:noProof/>
          <w:color w:val="000000"/>
        </w:rPr>
      </w:pPr>
      <w:r>
        <w:rPr>
          <w:rFonts w:cs="Times New Roman"/>
          <w:noProof/>
          <w:color w:val="000000"/>
        </w:rPr>
        <w:t>Par droša ātruma neievērošanu</w:t>
      </w:r>
      <w:r w:rsidR="00E60992" w:rsidRPr="00901A63">
        <w:rPr>
          <w:rFonts w:cs="Times New Roman"/>
          <w:noProof/>
          <w:color w:val="000000"/>
        </w:rPr>
        <w:t>;</w:t>
      </w:r>
    </w:p>
    <w:p w:rsidR="00E60992" w:rsidRDefault="000E5481" w:rsidP="00A70D56">
      <w:pPr>
        <w:pStyle w:val="ListParagraph"/>
        <w:numPr>
          <w:ilvl w:val="0"/>
          <w:numId w:val="8"/>
        </w:numPr>
        <w:spacing w:after="160" w:line="259" w:lineRule="auto"/>
        <w:ind w:firstLine="426"/>
        <w:jc w:val="both"/>
        <w:rPr>
          <w:rFonts w:cs="Times New Roman"/>
          <w:noProof/>
          <w:color w:val="000000"/>
        </w:rPr>
      </w:pPr>
      <w:r>
        <w:rPr>
          <w:rFonts w:cs="Times New Roman"/>
          <w:noProof/>
          <w:color w:val="000000"/>
        </w:rPr>
        <w:t xml:space="preserve">Par </w:t>
      </w:r>
      <w:r w:rsidR="00435F90">
        <w:rPr>
          <w:rFonts w:cs="Times New Roman"/>
          <w:noProof/>
          <w:color w:val="000000"/>
        </w:rPr>
        <w:t xml:space="preserve">drošības </w:t>
      </w:r>
      <w:r w:rsidR="00E60992" w:rsidRPr="00901A63">
        <w:rPr>
          <w:rFonts w:cs="Times New Roman"/>
          <w:noProof/>
          <w:color w:val="000000"/>
        </w:rPr>
        <w:t>jostu, aizsargķive</w:t>
      </w:r>
      <w:r w:rsidR="00E60992">
        <w:rPr>
          <w:rFonts w:cs="Times New Roman"/>
          <w:noProof/>
          <w:color w:val="000000"/>
        </w:rPr>
        <w:t>r</w:t>
      </w:r>
      <w:r>
        <w:rPr>
          <w:rFonts w:cs="Times New Roman"/>
          <w:noProof/>
          <w:color w:val="000000"/>
        </w:rPr>
        <w:t>u un bērnu sēdeklīšu nelietošanu</w:t>
      </w:r>
      <w:r w:rsidR="00E60992" w:rsidRPr="00901A63">
        <w:rPr>
          <w:rFonts w:cs="Times New Roman"/>
          <w:noProof/>
          <w:color w:val="000000"/>
        </w:rPr>
        <w:t>;</w:t>
      </w:r>
    </w:p>
    <w:p w:rsidR="00E60992" w:rsidRPr="00D5051B" w:rsidRDefault="000E5481" w:rsidP="00A70D56">
      <w:pPr>
        <w:pStyle w:val="ListParagraph"/>
        <w:numPr>
          <w:ilvl w:val="0"/>
          <w:numId w:val="8"/>
        </w:numPr>
        <w:spacing w:after="160" w:line="259" w:lineRule="auto"/>
        <w:ind w:firstLine="426"/>
        <w:jc w:val="both"/>
        <w:rPr>
          <w:rFonts w:cs="Times New Roman"/>
          <w:noProof/>
          <w:color w:val="000000"/>
        </w:rPr>
      </w:pPr>
      <w:r>
        <w:rPr>
          <w:rFonts w:cs="Times New Roman"/>
          <w:noProof/>
          <w:color w:val="000000"/>
        </w:rPr>
        <w:t xml:space="preserve">Par </w:t>
      </w:r>
      <w:r w:rsidR="00E60992">
        <w:rPr>
          <w:rFonts w:cs="Times New Roman"/>
          <w:noProof/>
          <w:color w:val="000000"/>
        </w:rPr>
        <w:t>mazaizsargāto satiksmes dalībnieku (gājēju, velosipēdu, mopēd</w:t>
      </w:r>
      <w:r w:rsidR="00435F90">
        <w:rPr>
          <w:rFonts w:cs="Times New Roman"/>
          <w:noProof/>
          <w:color w:val="000000"/>
        </w:rPr>
        <w:t>u un motociklu vadītāju</w:t>
      </w:r>
      <w:r>
        <w:rPr>
          <w:rFonts w:cs="Times New Roman"/>
          <w:noProof/>
          <w:color w:val="000000"/>
        </w:rPr>
        <w:t>) drošību</w:t>
      </w:r>
      <w:r w:rsidR="00E60992">
        <w:rPr>
          <w:rFonts w:cs="Times New Roman"/>
          <w:noProof/>
          <w:color w:val="000000"/>
        </w:rPr>
        <w:t>;</w:t>
      </w:r>
    </w:p>
    <w:p w:rsidR="00E60992" w:rsidRPr="00D5051B" w:rsidRDefault="000E5481" w:rsidP="00A70D56">
      <w:pPr>
        <w:pStyle w:val="ListParagraph"/>
        <w:numPr>
          <w:ilvl w:val="0"/>
          <w:numId w:val="8"/>
        </w:numPr>
        <w:spacing w:after="160" w:line="259" w:lineRule="auto"/>
        <w:ind w:firstLine="426"/>
        <w:jc w:val="both"/>
        <w:rPr>
          <w:rFonts w:cs="Times New Roman"/>
          <w:noProof/>
          <w:color w:val="000000"/>
        </w:rPr>
      </w:pPr>
      <w:r w:rsidRPr="00D5051B">
        <w:rPr>
          <w:rFonts w:cs="Times New Roman"/>
          <w:noProof/>
          <w:color w:val="000000"/>
        </w:rPr>
        <w:t xml:space="preserve">Par </w:t>
      </w:r>
      <w:r w:rsidR="00E60992" w:rsidRPr="00D5051B">
        <w:rPr>
          <w:rFonts w:cs="Times New Roman"/>
          <w:noProof/>
          <w:color w:val="000000"/>
        </w:rPr>
        <w:t>agresīv</w:t>
      </w:r>
      <w:r w:rsidR="0030243A">
        <w:rPr>
          <w:rFonts w:cs="Times New Roman"/>
          <w:noProof/>
          <w:color w:val="000000"/>
        </w:rPr>
        <w:t>u</w:t>
      </w:r>
      <w:r w:rsidR="00E60992" w:rsidRPr="00D5051B">
        <w:rPr>
          <w:rFonts w:cs="Times New Roman"/>
          <w:noProof/>
          <w:color w:val="000000"/>
        </w:rPr>
        <w:t xml:space="preserve"> braukšanas sti</w:t>
      </w:r>
      <w:r w:rsidRPr="00D5051B">
        <w:rPr>
          <w:rFonts w:cs="Times New Roman"/>
          <w:noProof/>
          <w:color w:val="000000"/>
        </w:rPr>
        <w:t>lu</w:t>
      </w:r>
      <w:r w:rsidR="00E60992" w:rsidRPr="00D5051B">
        <w:rPr>
          <w:rFonts w:cs="Times New Roman"/>
          <w:noProof/>
          <w:color w:val="000000"/>
        </w:rPr>
        <w:t>;</w:t>
      </w:r>
    </w:p>
    <w:p w:rsidR="00E60992" w:rsidRPr="00D5051B" w:rsidRDefault="000E5481" w:rsidP="00A70D56">
      <w:pPr>
        <w:pStyle w:val="ListParagraph"/>
        <w:numPr>
          <w:ilvl w:val="0"/>
          <w:numId w:val="8"/>
        </w:numPr>
        <w:spacing w:after="160" w:line="259" w:lineRule="auto"/>
        <w:ind w:firstLine="426"/>
        <w:jc w:val="both"/>
        <w:rPr>
          <w:rFonts w:cs="Times New Roman"/>
          <w:noProof/>
          <w:color w:val="000000"/>
        </w:rPr>
      </w:pPr>
      <w:r w:rsidRPr="00D5051B">
        <w:rPr>
          <w:rFonts w:cs="Times New Roman"/>
          <w:noProof/>
          <w:color w:val="000000"/>
        </w:rPr>
        <w:t>Par autovadītāju nogurumu un sekundes miegu</w:t>
      </w:r>
      <w:r w:rsidR="00E60992" w:rsidRPr="00D5051B">
        <w:rPr>
          <w:rFonts w:cs="Times New Roman"/>
          <w:noProof/>
          <w:color w:val="000000"/>
        </w:rPr>
        <w:t xml:space="preserve"> pie stūres;</w:t>
      </w:r>
    </w:p>
    <w:p w:rsidR="00A74463" w:rsidRPr="00D5051B" w:rsidRDefault="000E5481" w:rsidP="00A70D56">
      <w:pPr>
        <w:pStyle w:val="ListParagraph"/>
        <w:numPr>
          <w:ilvl w:val="0"/>
          <w:numId w:val="8"/>
        </w:numPr>
        <w:spacing w:after="160" w:line="259" w:lineRule="auto"/>
        <w:ind w:firstLine="426"/>
        <w:jc w:val="both"/>
        <w:rPr>
          <w:rFonts w:cs="Times New Roman"/>
        </w:rPr>
      </w:pPr>
      <w:r w:rsidRPr="00D5051B">
        <w:rPr>
          <w:rFonts w:cs="Times New Roman"/>
        </w:rPr>
        <w:t xml:space="preserve">Par </w:t>
      </w:r>
      <w:r w:rsidR="00E60992" w:rsidRPr="00D5051B">
        <w:rPr>
          <w:rFonts w:cs="Times New Roman"/>
        </w:rPr>
        <w:t>satiksmes dalībnieku savstarp</w:t>
      </w:r>
      <w:r w:rsidRPr="00D5051B">
        <w:rPr>
          <w:rFonts w:cs="Times New Roman"/>
        </w:rPr>
        <w:t>ējās sapratnes un cieņas trūkumu</w:t>
      </w:r>
      <w:r w:rsidR="00E60992" w:rsidRPr="00D5051B">
        <w:rPr>
          <w:rFonts w:cs="Times New Roman"/>
        </w:rPr>
        <w:t xml:space="preserve"> u.c.</w:t>
      </w:r>
    </w:p>
    <w:p w:rsidR="00E60992" w:rsidRPr="00D1125E" w:rsidRDefault="00CD12A0" w:rsidP="00D1125E">
      <w:pPr>
        <w:pStyle w:val="Heading3"/>
      </w:pPr>
      <w:bookmarkStart w:id="26" w:name="_Toc477177758"/>
      <w:r>
        <w:t>1</w:t>
      </w:r>
      <w:r w:rsidR="002844B9" w:rsidRPr="00D1125E">
        <w:t>.3</w:t>
      </w:r>
      <w:r w:rsidR="00600E43" w:rsidRPr="00D1125E">
        <w:t>.6</w:t>
      </w:r>
      <w:r w:rsidR="00606C22" w:rsidRPr="00D1125E">
        <w:t xml:space="preserve">.  </w:t>
      </w:r>
      <w:r w:rsidR="00606C22" w:rsidRPr="00D1125E">
        <w:rPr>
          <w:rStyle w:val="Heading4Char"/>
          <w:rFonts w:ascii="Times New Roman" w:hAnsi="Times New Roman" w:cs="Arial"/>
          <w:i/>
          <w:iCs w:val="0"/>
          <w:color w:val="auto"/>
        </w:rPr>
        <w:t>Ceļu sat</w:t>
      </w:r>
      <w:r w:rsidR="00A91EE6" w:rsidRPr="00D1125E">
        <w:rPr>
          <w:rStyle w:val="Heading4Char"/>
          <w:rFonts w:ascii="Times New Roman" w:hAnsi="Times New Roman" w:cs="Arial"/>
          <w:i/>
          <w:iCs w:val="0"/>
          <w:color w:val="auto"/>
        </w:rPr>
        <w:t>iksmes negadījumu seku</w:t>
      </w:r>
      <w:r w:rsidR="005D4D4D" w:rsidRPr="00D1125E">
        <w:rPr>
          <w:rStyle w:val="Heading4Char"/>
          <w:rFonts w:ascii="Times New Roman" w:hAnsi="Times New Roman" w:cs="Arial"/>
          <w:i/>
          <w:iCs w:val="0"/>
          <w:color w:val="auto"/>
        </w:rPr>
        <w:t xml:space="preserve"> samazināšana un </w:t>
      </w:r>
      <w:r w:rsidR="00606C22" w:rsidRPr="00D1125E">
        <w:rPr>
          <w:rStyle w:val="Heading4Char"/>
          <w:rFonts w:ascii="Times New Roman" w:hAnsi="Times New Roman" w:cs="Arial"/>
          <w:i/>
          <w:iCs w:val="0"/>
          <w:color w:val="auto"/>
        </w:rPr>
        <w:t>novēršana</w:t>
      </w:r>
      <w:bookmarkEnd w:id="26"/>
      <w:r w:rsidR="00606C22" w:rsidRPr="00D1125E">
        <w:t xml:space="preserve"> </w:t>
      </w:r>
    </w:p>
    <w:p w:rsidR="00402A4D" w:rsidRDefault="00402A4D" w:rsidP="00A70D56">
      <w:pPr>
        <w:pStyle w:val="NoSpacing"/>
        <w:ind w:firstLine="426"/>
        <w:jc w:val="both"/>
      </w:pPr>
      <w:r w:rsidRPr="00D5051B">
        <w:rPr>
          <w:rFonts w:cs="Times New Roman"/>
        </w:rPr>
        <w:t>Bojāgājušo skaita samazināšanai ir būtiski, lai tiktu apzinātas un pievērsta uzmanība tieši tām traumām, kas rada invaliditāti</w:t>
      </w:r>
      <w:r w:rsidRPr="00402A4D">
        <w:t xml:space="preserve"> vai letālas sekas. </w:t>
      </w:r>
    </w:p>
    <w:p w:rsidR="00402A4D" w:rsidRPr="009263EC" w:rsidRDefault="00402A4D" w:rsidP="00A70D56">
      <w:pPr>
        <w:pStyle w:val="NoSpacing"/>
        <w:ind w:firstLine="426"/>
        <w:jc w:val="both"/>
      </w:pPr>
      <w:r w:rsidRPr="009263EC">
        <w:t xml:space="preserve">Atļautā kustības ātruma pārsniegšana un nepiemērota ātruma izvēle, kas bieži vien ir par iemeslu </w:t>
      </w:r>
      <w:proofErr w:type="spellStart"/>
      <w:r w:rsidR="00435F90">
        <w:t>CSNg</w:t>
      </w:r>
      <w:proofErr w:type="spellEnd"/>
      <w:r w:rsidRPr="009263EC">
        <w:t xml:space="preserve">, tāpat var būt iemesls smagām cietušo traumām pēc </w:t>
      </w:r>
      <w:proofErr w:type="spellStart"/>
      <w:r w:rsidR="00435F90">
        <w:t>CSNg</w:t>
      </w:r>
      <w:proofErr w:type="spellEnd"/>
      <w:r w:rsidRPr="009263EC">
        <w:t>. Ātruma ietekme uz negadījumu</w:t>
      </w:r>
      <w:r w:rsidR="00675D8B">
        <w:t xml:space="preserve"> traumu smagumu ir tieša</w:t>
      </w:r>
      <w:r w:rsidRPr="009263EC">
        <w:t xml:space="preserve">, </w:t>
      </w:r>
      <w:r>
        <w:t>t</w:t>
      </w:r>
      <w:r w:rsidRPr="009263EC">
        <w:t xml:space="preserve">āpat svarīgi ir arī citi </w:t>
      </w:r>
      <w:r w:rsidR="00675D8B">
        <w:t>faktori</w:t>
      </w:r>
      <w:r w:rsidRPr="009263EC">
        <w:t xml:space="preserve">: negadījumā cietušo glābšana, glābšanas laika samazināšana. Šeit kā vienu no galvenajiem pasākumiem, kas </w:t>
      </w:r>
      <w:r w:rsidR="00675D8B">
        <w:t>turpmāk</w:t>
      </w:r>
      <w:r w:rsidRPr="009263EC">
        <w:t xml:space="preserve"> </w:t>
      </w:r>
      <w:r w:rsidR="00675D8B">
        <w:t>ievērojami samazinātu šo laiku</w:t>
      </w:r>
      <w:r w:rsidR="00435F90">
        <w:t>,</w:t>
      </w:r>
      <w:r w:rsidR="00675D8B">
        <w:t xml:space="preserve"> </w:t>
      </w:r>
      <w:r w:rsidRPr="009263EC">
        <w:t xml:space="preserve">var minēt </w:t>
      </w:r>
      <w:proofErr w:type="spellStart"/>
      <w:r w:rsidRPr="009263EC">
        <w:t>eZv</w:t>
      </w:r>
      <w:r w:rsidR="00675D8B">
        <w:t>ana</w:t>
      </w:r>
      <w:proofErr w:type="spellEnd"/>
      <w:r w:rsidR="00675D8B">
        <w:t xml:space="preserve"> sistēmas ieviešanu, tomēr jāņem vērā, ka šī sistēma būs pieejama tikai jauniem automobiļiem.</w:t>
      </w:r>
    </w:p>
    <w:p w:rsidR="00402A4D" w:rsidRPr="009263EC" w:rsidRDefault="00402A4D" w:rsidP="00A70D56">
      <w:pPr>
        <w:ind w:firstLine="426"/>
        <w:jc w:val="both"/>
      </w:pPr>
      <w:r>
        <w:t>Bieži vien</w:t>
      </w:r>
      <w:r w:rsidRPr="009263EC">
        <w:t xml:space="preserve"> viss</w:t>
      </w:r>
      <w:r>
        <w:t>magākās traumas</w:t>
      </w:r>
      <w:r w:rsidRPr="009263EC">
        <w:t xml:space="preserve"> ir negadījumos, kuros cieš </w:t>
      </w:r>
      <w:r>
        <w:t xml:space="preserve">vismazāk </w:t>
      </w:r>
      <w:r w:rsidRPr="009263EC">
        <w:t xml:space="preserve">aizsargātākie </w:t>
      </w:r>
      <w:r>
        <w:t>ceļu satiksmes dalībnieki, tādēļ ir būtiski</w:t>
      </w:r>
      <w:r w:rsidRPr="009263EC">
        <w:t xml:space="preserve">, lai </w:t>
      </w:r>
      <w:r>
        <w:t>tiktu samazinātas</w:t>
      </w:r>
      <w:r w:rsidRPr="009263EC">
        <w:t xml:space="preserve"> traumas gājējiem un velosipēdistiem.</w:t>
      </w:r>
    </w:p>
    <w:p w:rsidR="00402A4D" w:rsidRPr="009263EC" w:rsidRDefault="00675D8B" w:rsidP="00A70D56">
      <w:pPr>
        <w:ind w:firstLine="426"/>
        <w:jc w:val="both"/>
      </w:pPr>
      <w:r>
        <w:t>C</w:t>
      </w:r>
      <w:r w:rsidR="00402A4D" w:rsidRPr="009263EC">
        <w:t>e</w:t>
      </w:r>
      <w:r>
        <w:t>ļu satiksmes negadījumos ar</w:t>
      </w:r>
      <w:r w:rsidR="00402A4D" w:rsidRPr="009263EC">
        <w:t xml:space="preserve"> smagām traumām vai letālām sekām kā </w:t>
      </w:r>
      <w:r>
        <w:t xml:space="preserve">viens no </w:t>
      </w:r>
      <w:r w:rsidR="00402A4D" w:rsidRPr="009263EC">
        <w:t>negadījuma iemesli</w:t>
      </w:r>
      <w:r>
        <w:t>em</w:t>
      </w:r>
      <w:r w:rsidR="00402A4D" w:rsidRPr="009263EC">
        <w:t xml:space="preserve"> parasti ir vadītāja atrašanās alkohola reibumā </w:t>
      </w:r>
      <w:r w:rsidR="0030243A">
        <w:t>vai</w:t>
      </w:r>
      <w:r w:rsidR="0030243A" w:rsidRPr="009263EC">
        <w:t xml:space="preserve"> </w:t>
      </w:r>
      <w:r w:rsidR="00402A4D" w:rsidRPr="009263EC">
        <w:t>narkotisko vielu iespaidā, taču vēl viens iemesls, kuram līdz šim ir pievērsta mazāka uzmanība, ir vadītāja nogurums (</w:t>
      </w:r>
      <w:r w:rsidR="00435F90">
        <w:t xml:space="preserve">arī profesionālo vadītāju </w:t>
      </w:r>
      <w:r w:rsidR="00402A4D" w:rsidRPr="009263EC">
        <w:t>atpūtas/darba laika kontrole).</w:t>
      </w:r>
    </w:p>
    <w:p w:rsidR="00C13729" w:rsidRPr="00003992" w:rsidRDefault="00402A4D" w:rsidP="00003992">
      <w:pPr>
        <w:ind w:firstLine="426"/>
        <w:jc w:val="both"/>
        <w:rPr>
          <w:rFonts w:cs="Times New Roman"/>
          <w:color w:val="000000"/>
        </w:rPr>
      </w:pPr>
      <w:r>
        <w:rPr>
          <w:color w:val="000000"/>
        </w:rPr>
        <w:t>Svarīgs elements</w:t>
      </w:r>
      <w:r w:rsidRPr="009263EC">
        <w:rPr>
          <w:color w:val="000000"/>
        </w:rPr>
        <w:t>, kas spētu samazināt smagi cietušo skaitu</w:t>
      </w:r>
      <w:r w:rsidR="00435F90">
        <w:rPr>
          <w:color w:val="000000"/>
        </w:rPr>
        <w:t>,</w:t>
      </w:r>
      <w:r w:rsidRPr="009263EC">
        <w:rPr>
          <w:color w:val="000000"/>
        </w:rPr>
        <w:t xml:space="preserve"> ir</w:t>
      </w:r>
      <w:r>
        <w:t xml:space="preserve"> drošības jostu</w:t>
      </w:r>
      <w:r w:rsidRPr="009263EC">
        <w:t xml:space="preserve"> lietošana visiem </w:t>
      </w:r>
      <w:r w:rsidR="004928B4" w:rsidRPr="004928B4">
        <w:t>TL</w:t>
      </w:r>
      <w:r w:rsidR="00435F90">
        <w:t xml:space="preserve"> pasažieriem (ne tikai</w:t>
      </w:r>
      <w:r w:rsidRPr="009263EC">
        <w:t xml:space="preserve"> vadītājam). Tāpat svarīgi</w:t>
      </w:r>
      <w:r w:rsidR="003D1DEA">
        <w:t>,</w:t>
      </w:r>
      <w:r w:rsidRPr="009263EC">
        <w:t xml:space="preserve"> lai visi motociklu un mopēdu vadītāji un to līdzb</w:t>
      </w:r>
      <w:r>
        <w:t xml:space="preserve">raucēji lietotu aizsargķiveres, </w:t>
      </w:r>
      <w:r w:rsidRPr="009263EC">
        <w:t>lai visi bērni tiktu</w:t>
      </w:r>
      <w:r>
        <w:t xml:space="preserve"> </w:t>
      </w:r>
      <w:r w:rsidR="00435F90">
        <w:t>pārvadāti bērnu krēsliņos,</w:t>
      </w:r>
      <w:r w:rsidRPr="009263EC">
        <w:t xml:space="preserve"> nepieciešams uzlabot </w:t>
      </w:r>
      <w:r w:rsidRPr="000F62DB">
        <w:t xml:space="preserve">sabiedrības zināšanas un prasmes par pirmās palīdzības sniegšanu satiksmes negadījumos, kā arī nepieciešams </w:t>
      </w:r>
      <w:r w:rsidRPr="000F62DB">
        <w:rPr>
          <w:rFonts w:cs="Times New Roman"/>
        </w:rPr>
        <w:t xml:space="preserve">samazināt glābēju ierašanās laiku ceļu satiksmes negadījuma vietā. Papildus ir nepieciešams efektīvāk veikt </w:t>
      </w:r>
      <w:r w:rsidRPr="000F62DB">
        <w:rPr>
          <w:rFonts w:cs="Times New Roman"/>
          <w:color w:val="000000"/>
        </w:rPr>
        <w:t>glābšanas darbus un nodrošināt efektīvu, savlaicīgu un kvalitatīvu neatliekamo medicīnisko palīdzību ceļu satiksmes negadījumos cietušajiem, to ārstēša</w:t>
      </w:r>
      <w:r w:rsidR="00675D8B" w:rsidRPr="000F62DB">
        <w:rPr>
          <w:rFonts w:cs="Times New Roman"/>
          <w:color w:val="000000"/>
        </w:rPr>
        <w:t>nu slimnīcās un rehabilitāciju.</w:t>
      </w:r>
    </w:p>
    <w:p w:rsidR="008438F5" w:rsidRDefault="00CD12A0" w:rsidP="00E10BE1">
      <w:pPr>
        <w:pStyle w:val="Heading3"/>
        <w:rPr>
          <w:rStyle w:val="Heading4Char"/>
          <w:rFonts w:ascii="Times New Roman" w:hAnsi="Times New Roman" w:cs="Arial"/>
          <w:i/>
          <w:iCs w:val="0"/>
          <w:color w:val="auto"/>
        </w:rPr>
      </w:pPr>
      <w:bookmarkStart w:id="27" w:name="_Toc477177759"/>
      <w:r>
        <w:lastRenderedPageBreak/>
        <w:t>1</w:t>
      </w:r>
      <w:r w:rsidR="002844B9" w:rsidRPr="00D1125E">
        <w:t>.3</w:t>
      </w:r>
      <w:r w:rsidR="00600E43" w:rsidRPr="00D1125E">
        <w:t>.7</w:t>
      </w:r>
      <w:r w:rsidR="00606C22" w:rsidRPr="00D1125E">
        <w:t xml:space="preserve">.  </w:t>
      </w:r>
      <w:r w:rsidR="00606C22" w:rsidRPr="00D1125E">
        <w:rPr>
          <w:rStyle w:val="Heading4Char"/>
          <w:rFonts w:ascii="Times New Roman" w:hAnsi="Times New Roman" w:cs="Arial"/>
          <w:i/>
          <w:iCs w:val="0"/>
          <w:color w:val="auto"/>
        </w:rPr>
        <w:t>Preventīv</w:t>
      </w:r>
      <w:r w:rsidR="005D4D4D" w:rsidRPr="00D1125E">
        <w:rPr>
          <w:rStyle w:val="Heading4Char"/>
          <w:rFonts w:ascii="Times New Roman" w:hAnsi="Times New Roman" w:cs="Arial"/>
          <w:i/>
          <w:iCs w:val="0"/>
          <w:color w:val="auto"/>
        </w:rPr>
        <w:t>ie</w:t>
      </w:r>
      <w:r w:rsidR="00606C22" w:rsidRPr="00D1125E">
        <w:rPr>
          <w:rStyle w:val="Heading4Char"/>
          <w:rFonts w:ascii="Times New Roman" w:hAnsi="Times New Roman" w:cs="Arial"/>
          <w:i/>
          <w:iCs w:val="0"/>
          <w:color w:val="auto"/>
        </w:rPr>
        <w:t xml:space="preserve"> pasākum</w:t>
      </w:r>
      <w:r w:rsidR="005D4D4D" w:rsidRPr="00D1125E">
        <w:rPr>
          <w:rStyle w:val="Heading4Char"/>
          <w:rFonts w:ascii="Times New Roman" w:hAnsi="Times New Roman" w:cs="Arial"/>
          <w:i/>
          <w:iCs w:val="0"/>
          <w:color w:val="auto"/>
        </w:rPr>
        <w:t>i</w:t>
      </w:r>
      <w:r w:rsidR="00606C22" w:rsidRPr="00D1125E">
        <w:rPr>
          <w:rStyle w:val="Heading4Char"/>
          <w:rFonts w:ascii="Times New Roman" w:hAnsi="Times New Roman" w:cs="Arial"/>
          <w:i/>
          <w:iCs w:val="0"/>
          <w:color w:val="auto"/>
        </w:rPr>
        <w:t xml:space="preserve"> </w:t>
      </w:r>
      <w:r w:rsidR="005D4D4D" w:rsidRPr="00D1125E">
        <w:rPr>
          <w:rStyle w:val="Heading4Char"/>
          <w:rFonts w:ascii="Times New Roman" w:hAnsi="Times New Roman" w:cs="Arial"/>
          <w:i/>
          <w:iCs w:val="0"/>
          <w:color w:val="auto"/>
        </w:rPr>
        <w:t>ceļu satiksmes negadījumu novēršanā</w:t>
      </w:r>
      <w:bookmarkEnd w:id="27"/>
    </w:p>
    <w:p w:rsidR="00E10BE1" w:rsidRPr="00233DD0" w:rsidRDefault="00E10BE1" w:rsidP="00E10BE1">
      <w:pPr>
        <w:rPr>
          <w:sz w:val="20"/>
          <w:szCs w:val="20"/>
          <w:lang w:eastAsia="lv-LV"/>
        </w:rPr>
      </w:pPr>
    </w:p>
    <w:p w:rsidR="008438F5" w:rsidRPr="008438F5" w:rsidRDefault="000212C9" w:rsidP="008438F5">
      <w:pPr>
        <w:pStyle w:val="NoSpacing"/>
        <w:ind w:firstLine="426"/>
        <w:rPr>
          <w:b/>
        </w:rPr>
      </w:pPr>
      <w:r>
        <w:rPr>
          <w:b/>
        </w:rPr>
        <w:t xml:space="preserve">Atļautā braukšanas ātruma kontrole – stacionārie </w:t>
      </w:r>
      <w:proofErr w:type="spellStart"/>
      <w:r>
        <w:rPr>
          <w:b/>
        </w:rPr>
        <w:t>fotoradar</w:t>
      </w:r>
      <w:r w:rsidR="003B4D8C">
        <w:rPr>
          <w:b/>
        </w:rPr>
        <w:t>i</w:t>
      </w:r>
      <w:proofErr w:type="spellEnd"/>
    </w:p>
    <w:p w:rsidR="0058195F" w:rsidRDefault="0058195F" w:rsidP="0058195F">
      <w:pPr>
        <w:pStyle w:val="NoSpacing"/>
        <w:ind w:firstLine="426"/>
        <w:jc w:val="both"/>
      </w:pPr>
      <w:r>
        <w:t xml:space="preserve">Lai samazinātu atļautā braukšanas ātruma neievērošanu ceļu satiksmē, ir </w:t>
      </w:r>
      <w:r w:rsidRPr="00997206">
        <w:t>jāturpina pilnveidot ce</w:t>
      </w:r>
      <w:r>
        <w:t>ļu satiksmes dalībnieku kontroli, tāpat būtiska ir arī informācijas apmaiņas nodrošināšana</w:t>
      </w:r>
      <w:r w:rsidRPr="00997206">
        <w:t xml:space="preserve"> par pārkāpējiem starp ES dalībvalstīm.</w:t>
      </w:r>
    </w:p>
    <w:p w:rsidR="0058195F" w:rsidRPr="000F62DB" w:rsidRDefault="003B4D8C" w:rsidP="0058195F">
      <w:pPr>
        <w:pStyle w:val="NoSpacing"/>
        <w:ind w:firstLine="426"/>
        <w:jc w:val="both"/>
      </w:pPr>
      <w:r>
        <w:t xml:space="preserve">Laikā, kad </w:t>
      </w:r>
      <w:r w:rsidR="0058195F" w:rsidRPr="005A73E0">
        <w:t xml:space="preserve">Latvijā tika pārtraukta stacionāro </w:t>
      </w:r>
      <w:proofErr w:type="spellStart"/>
      <w:r w:rsidR="0058195F" w:rsidRPr="005A73E0">
        <w:t>fotoradaru</w:t>
      </w:r>
      <w:proofErr w:type="spellEnd"/>
      <w:r w:rsidR="0058195F" w:rsidRPr="005A73E0">
        <w:t xml:space="preserve"> darbība, c</w:t>
      </w:r>
      <w:r w:rsidR="0058195F">
        <w:t>eļu satiksmes drošība neuzlabojā</w:t>
      </w:r>
      <w:r>
        <w:t>s, tā pasliktinājā</w:t>
      </w:r>
      <w:r w:rsidR="0058195F" w:rsidRPr="005A73E0">
        <w:t xml:space="preserve">s. Proti, 2012.gadā, kad darbojās radari, no aprīļa līdz septembrim negadījumu skaits ar cietušajiem samazinājās par 3,6% (salīdzinot ar 2011.gada tādu pašu laika posmu, kad stacionārie radari faktiski nedarbojās). Taču jau 2013.gadā negadījumu skaits ar cietušajiem palielinājās par 5,3%. Līdzīgas </w:t>
      </w:r>
      <w:r w:rsidR="0058195F" w:rsidRPr="000F62DB">
        <w:t xml:space="preserve">tendences vērojamas arī bojāgājušo skaita ziņā. Proti, stacionāro radaru darbības laikā vasaras mēnešos bojāgājušo skaits samazinājās par 3,5%, bet pēc </w:t>
      </w:r>
      <w:r>
        <w:t>radaru darbības pārtraukšanas 2013.gadā</w:t>
      </w:r>
      <w:r w:rsidR="0058195F" w:rsidRPr="000F62DB">
        <w:t xml:space="preserve"> palielinājās par 14,6%.</w:t>
      </w:r>
    </w:p>
    <w:p w:rsidR="00BA0835" w:rsidRDefault="002D4928" w:rsidP="002D4928">
      <w:pPr>
        <w:pStyle w:val="NoSpacing"/>
        <w:ind w:firstLine="426"/>
        <w:jc w:val="both"/>
      </w:pPr>
      <w:r w:rsidRPr="000F62DB">
        <w:t>Līdz 20</w:t>
      </w:r>
      <w:r w:rsidR="000F62DB" w:rsidRPr="000F62DB">
        <w:t>18</w:t>
      </w:r>
      <w:r w:rsidRPr="000F62DB">
        <w:t>.gadam tiek realizēts plāns izveidot sta</w:t>
      </w:r>
      <w:r w:rsidR="003B4D8C">
        <w:t>cionāro ātruma mērierīču tīklu</w:t>
      </w:r>
      <w:r w:rsidRPr="000F62DB">
        <w:t xml:space="preserve"> ar 100 </w:t>
      </w:r>
      <w:proofErr w:type="spellStart"/>
      <w:r w:rsidRPr="000F62DB">
        <w:t>fotoradariem</w:t>
      </w:r>
      <w:proofErr w:type="spellEnd"/>
      <w:r w:rsidRPr="000F62DB">
        <w:t xml:space="preserve"> visā Latvijā, lai sekmētu satiksmes drošības situācijas uzlabošanos.</w:t>
      </w:r>
      <w:r w:rsidR="00BA0835">
        <w:t xml:space="preserve"> </w:t>
      </w:r>
      <w:r w:rsidR="00BA0835" w:rsidRPr="00BA0835">
        <w:t xml:space="preserve">Ministru kabineta 2016.gada 14.novembra rīkojums Nr.678 ”Par  konceptuālo ziņojumu  “Par valsts akciju sabiedrības “Ceļu satiksmes drošības  direkcija” uzstādīto stacionāro </w:t>
      </w:r>
      <w:proofErr w:type="spellStart"/>
      <w:r w:rsidR="00BA0835" w:rsidRPr="00BA0835">
        <w:t>fotoradaru</w:t>
      </w:r>
      <w:proofErr w:type="spellEnd"/>
      <w:r w:rsidR="00BA0835" w:rsidRPr="00BA0835">
        <w:t xml:space="preserve"> darbības rezultātiem, priekšlikumiem par tehnisko līdzekļu (</w:t>
      </w:r>
      <w:proofErr w:type="spellStart"/>
      <w:r w:rsidR="00BA0835" w:rsidRPr="00BA0835">
        <w:t>fotoiekārtu</w:t>
      </w:r>
      <w:proofErr w:type="spellEnd"/>
      <w:r w:rsidR="00BA0835" w:rsidRPr="00BA0835">
        <w:t xml:space="preserve"> vai videoiekārtu) turpmāko izmantošanu un </w:t>
      </w:r>
      <w:proofErr w:type="spellStart"/>
      <w:r w:rsidR="00BA0835" w:rsidRPr="00BA0835">
        <w:t>fotoradaru</w:t>
      </w:r>
      <w:proofErr w:type="spellEnd"/>
      <w:r w:rsidR="00BA0835" w:rsidRPr="00BA0835">
        <w:t xml:space="preserve"> iegādes, uzstādīšanas un darbības nodrošināšanas finansēšanu””</w:t>
      </w:r>
      <w:r w:rsidR="000C00F6">
        <w:t xml:space="preserve"> </w:t>
      </w:r>
      <w:r w:rsidR="00BA0835" w:rsidRPr="00BA0835">
        <w:t xml:space="preserve">paredz atbalstīt konceptuālajā ziņojumā ietverto turpmākās </w:t>
      </w:r>
      <w:proofErr w:type="spellStart"/>
      <w:r w:rsidR="00BA0835" w:rsidRPr="00BA0835">
        <w:t>fotoradaru</w:t>
      </w:r>
      <w:proofErr w:type="spellEnd"/>
      <w:r w:rsidR="00BA0835" w:rsidRPr="00BA0835">
        <w:t xml:space="preserve"> ieviešanas risinājuma variantu, kas paredz ieviest 100 </w:t>
      </w:r>
      <w:proofErr w:type="spellStart"/>
      <w:r w:rsidR="00BA0835" w:rsidRPr="00BA0835">
        <w:t>fotoradarus</w:t>
      </w:r>
      <w:proofErr w:type="spellEnd"/>
      <w:r w:rsidR="00BA0835" w:rsidRPr="00BA0835">
        <w:t xml:space="preserve"> 4 kārtās šādos termiņos: 1.kārta – 16 (realizē</w:t>
      </w:r>
      <w:r w:rsidR="003B4D8C">
        <w:t>ta 2015.gadā), 2.kārta – 24 (ti</w:t>
      </w:r>
      <w:r w:rsidR="00BA0835" w:rsidRPr="00BA0835">
        <w:t>k</w:t>
      </w:r>
      <w:r w:rsidR="003B4D8C">
        <w:t>a</w:t>
      </w:r>
      <w:r w:rsidR="00BA0835" w:rsidRPr="00BA0835">
        <w:t xml:space="preserve"> realizēta 2016.gada  laikā), 3.kārta – 20 (2017.gadā), 4.kārta – 40 (2018.gadā), paredzot izdevumus segt tikai no CSDD valstij izmaksājamo dividenžu daļas</w:t>
      </w:r>
    </w:p>
    <w:p w:rsidR="002D4928" w:rsidRPr="000F62DB" w:rsidRDefault="002D4928" w:rsidP="002D4928">
      <w:pPr>
        <w:pStyle w:val="NoSpacing"/>
        <w:ind w:firstLine="426"/>
        <w:jc w:val="both"/>
      </w:pPr>
      <w:r w:rsidRPr="000F62DB">
        <w:t xml:space="preserve"> </w:t>
      </w:r>
      <w:r w:rsidR="000C00F6">
        <w:t>Sākot no 2016.gada 6.decembra</w:t>
      </w:r>
      <w:r w:rsidR="003B4D8C">
        <w:t>,</w:t>
      </w:r>
      <w:r w:rsidRPr="000F62DB">
        <w:t xml:space="preserve"> ceļu satiksmē ātruma kontrolei tiek izmantoti 40 stacionārie radari, tāpat t</w:t>
      </w:r>
      <w:r w:rsidR="003B4D8C">
        <w:t xml:space="preserve">iek veikti sagatavošanas darbi </w:t>
      </w:r>
      <w:r w:rsidRPr="000F62DB">
        <w:t xml:space="preserve">vēl 20 </w:t>
      </w:r>
      <w:proofErr w:type="spellStart"/>
      <w:r w:rsidRPr="000F62DB">
        <w:t>fotoradaru</w:t>
      </w:r>
      <w:proofErr w:type="spellEnd"/>
      <w:r w:rsidRPr="000F62DB">
        <w:t xml:space="preserve"> potenciālajās uzstādīšanas vietās. Stacionāro </w:t>
      </w:r>
      <w:proofErr w:type="spellStart"/>
      <w:r w:rsidRPr="000F62DB">
        <w:t>fotoradaru</w:t>
      </w:r>
      <w:proofErr w:type="spellEnd"/>
      <w:r w:rsidRPr="000F62DB">
        <w:t xml:space="preserve"> vietas ir izvēlētas</w:t>
      </w:r>
      <w:r w:rsidR="003B4D8C">
        <w:t>,</w:t>
      </w:r>
      <w:r w:rsidRPr="000F62DB">
        <w:t xml:space="preserve"> </w:t>
      </w:r>
      <w:r w:rsidR="003D1DEA">
        <w:t>SM</w:t>
      </w:r>
      <w:r w:rsidRPr="000F62DB">
        <w:t xml:space="preserve"> sadarbojoties ar CSDD, VP, LVC, LPS un RD SD.</w:t>
      </w:r>
      <w:r w:rsidR="00BA0835">
        <w:t xml:space="preserve"> </w:t>
      </w:r>
    </w:p>
    <w:p w:rsidR="000212C9" w:rsidRPr="00C13729" w:rsidRDefault="00C13729" w:rsidP="00C13729">
      <w:pPr>
        <w:pStyle w:val="NoSpacing"/>
        <w:ind w:firstLine="426"/>
        <w:jc w:val="both"/>
      </w:pPr>
      <w:r>
        <w:rPr>
          <w:color w:val="000000" w:themeColor="text1"/>
        </w:rPr>
        <w:t xml:space="preserve">Stacionāro </w:t>
      </w:r>
      <w:proofErr w:type="spellStart"/>
      <w:r>
        <w:rPr>
          <w:color w:val="000000" w:themeColor="text1"/>
        </w:rPr>
        <w:t>fotoradaru</w:t>
      </w:r>
      <w:proofErr w:type="spellEnd"/>
      <w:r>
        <w:rPr>
          <w:color w:val="000000" w:themeColor="text1"/>
        </w:rPr>
        <w:t xml:space="preserve"> kartes aktuālā versija ir pieejama CSDD tīmekļa vietnē </w:t>
      </w:r>
      <w:hyperlink r:id="rId18" w:history="1">
        <w:r w:rsidRPr="00A7439F">
          <w:rPr>
            <w:rStyle w:val="Hyperlink"/>
          </w:rPr>
          <w:t>www.csdd.lv</w:t>
        </w:r>
      </w:hyperlink>
      <w:r>
        <w:rPr>
          <w:color w:val="000000" w:themeColor="text1"/>
        </w:rPr>
        <w:t xml:space="preserve">. Līdz 2016.gada novembrim </w:t>
      </w:r>
      <w:r>
        <w:t xml:space="preserve">visvairāk radaru ir izvietoti Rīgas reģionā, jo </w:t>
      </w:r>
      <w:r w:rsidR="002D4928" w:rsidRPr="000F62DB">
        <w:t>Rīgas reģionā ir arī lielākā satiksmes intensitāte un līdz ar to arī vairāk bīstamo vietu. Radari tiek izvietoti pēc noteiktas metodikas, kuras pamatā ir ceļu satiksmes negadījumu un negadījumos cietušo skaits. Pirms katra radara tiek uzst</w:t>
      </w:r>
      <w:r>
        <w:t>ādītas atgādinošas ceļa zīmes.</w:t>
      </w:r>
    </w:p>
    <w:p w:rsidR="000212C9" w:rsidRPr="005A73E0" w:rsidRDefault="000212C9" w:rsidP="000212C9">
      <w:pPr>
        <w:pStyle w:val="NoSpacing"/>
        <w:ind w:firstLine="426"/>
        <w:jc w:val="both"/>
      </w:pPr>
      <w:r w:rsidRPr="005A73E0">
        <w:t>Izstrādājot</w:t>
      </w:r>
      <w:r>
        <w:t xml:space="preserve"> plānu par </w:t>
      </w:r>
      <w:r w:rsidRPr="005A73E0">
        <w:t>radaru atrašanās v</w:t>
      </w:r>
      <w:r>
        <w:t>ietām</w:t>
      </w:r>
      <w:r w:rsidRPr="005A73E0">
        <w:t>,</w:t>
      </w:r>
      <w:r>
        <w:t xml:space="preserve"> tika</w:t>
      </w:r>
      <w:r w:rsidRPr="005A73E0">
        <w:t xml:space="preserve"> analizēta un ņemta vērā gan citu valstu pieredze, gan līdzšinējie ceļu satiksmes dati un faktori Latvijā. </w:t>
      </w:r>
      <w:r>
        <w:t xml:space="preserve">Šie faktori ir </w:t>
      </w:r>
      <w:r w:rsidRPr="005A73E0">
        <w:t xml:space="preserve">ceļu satiksmes negadījumu analīze (negadījumu, cietušo un bojāgājušo skaits konkrētajā vietā), ceļa posma funkcionālā nozīme satiksmē, potenciālā braukšanas ātruma pārsniegšanas rezultātā radītais apdraudējums citiem satiksmes dalībniekiem, satiksmes intensitāte un raksturīgās braukšanas tendences. Jāpiebilst, ka vairākos aktuālajos ceļa posmos stacionāro </w:t>
      </w:r>
      <w:proofErr w:type="spellStart"/>
      <w:r w:rsidRPr="005A73E0">
        <w:t>fotoradaru</w:t>
      </w:r>
      <w:proofErr w:type="spellEnd"/>
      <w:r w:rsidRPr="005A73E0">
        <w:t xml:space="preserve"> uzstādīšana atlikta līdz nākamajam periodam, jo šajās vietās tuvākajā laikā plānoti ceļa rem</w:t>
      </w:r>
      <w:r>
        <w:t>onta vai rekonstrukcijas darbi.</w:t>
      </w:r>
    </w:p>
    <w:p w:rsidR="000212C9" w:rsidRPr="000F62DB" w:rsidRDefault="000212C9" w:rsidP="000212C9">
      <w:pPr>
        <w:pStyle w:val="NoSpacing"/>
        <w:ind w:firstLine="426"/>
        <w:jc w:val="both"/>
      </w:pPr>
      <w:r w:rsidRPr="005A73E0">
        <w:t xml:space="preserve">Savukārt ārvalstu pieredze liecina, ka radaru darbībai un izvietošanai ir jābūt līdzsvarotai – stacionārajiem un pārvietojamajiem radariem jādarbojas pamīšus, uz ceļiem neiztikt arī bez policijas. Būtiski, lai radaru ieviešana ir caurskatāma, lai to darbības un atrašanās vietas ir rūpīgi izsvērtas. Radariem jābūt sabiedrībai saprotamam instrumentam, kas darbojas, lai uzlabotu ceļu satiksmes drošību, </w:t>
      </w:r>
      <w:r w:rsidRPr="000F62DB">
        <w:t>nodrošinātu atļautā braukšanas ātruma ievērošanu.</w:t>
      </w:r>
    </w:p>
    <w:p w:rsidR="000212C9" w:rsidRPr="000F62DB" w:rsidRDefault="000212C9" w:rsidP="000212C9">
      <w:pPr>
        <w:rPr>
          <w:lang w:eastAsia="lv-LV"/>
        </w:rPr>
      </w:pPr>
    </w:p>
    <w:p w:rsidR="000212C9" w:rsidRPr="000F62DB" w:rsidRDefault="000212C9" w:rsidP="00563841">
      <w:pPr>
        <w:ind w:firstLine="426"/>
        <w:rPr>
          <w:rFonts w:cs="Times New Roman"/>
          <w:b/>
        </w:rPr>
      </w:pPr>
      <w:r w:rsidRPr="000F62DB">
        <w:rPr>
          <w:rFonts w:cs="Times New Roman"/>
          <w:b/>
        </w:rPr>
        <w:t>TL uzstādīto drošības jostu nel</w:t>
      </w:r>
      <w:r w:rsidR="003B4D8C">
        <w:rPr>
          <w:rFonts w:cs="Times New Roman"/>
          <w:b/>
        </w:rPr>
        <w:t xml:space="preserve">ietošanas ietekme uz </w:t>
      </w:r>
      <w:proofErr w:type="spellStart"/>
      <w:r w:rsidR="003B4D8C">
        <w:rPr>
          <w:rFonts w:cs="Times New Roman"/>
          <w:b/>
        </w:rPr>
        <w:t>CSNg</w:t>
      </w:r>
      <w:proofErr w:type="spellEnd"/>
      <w:r w:rsidR="003B4D8C">
        <w:rPr>
          <w:rFonts w:cs="Times New Roman"/>
          <w:b/>
        </w:rPr>
        <w:t xml:space="preserve"> sekām</w:t>
      </w:r>
    </w:p>
    <w:p w:rsidR="00563841" w:rsidRPr="000F62DB" w:rsidRDefault="00563841" w:rsidP="00234725">
      <w:pPr>
        <w:ind w:firstLine="426"/>
        <w:jc w:val="both"/>
        <w:rPr>
          <w:rFonts w:cs="Times New Roman"/>
        </w:rPr>
      </w:pPr>
      <w:r w:rsidRPr="000F62DB">
        <w:rPr>
          <w:rFonts w:cs="Times New Roman"/>
        </w:rPr>
        <w:t>TL uzstādītās drošības jostas ir visvienkāršākais un vislētākais paņēmiens</w:t>
      </w:r>
      <w:r w:rsidR="003B4D8C">
        <w:rPr>
          <w:rFonts w:cs="Times New Roman"/>
        </w:rPr>
        <w:t>,</w:t>
      </w:r>
      <w:r w:rsidRPr="000F62DB">
        <w:rPr>
          <w:rFonts w:cs="Times New Roman"/>
        </w:rPr>
        <w:t xml:space="preserve"> kā novērst vai samazināt </w:t>
      </w:r>
      <w:proofErr w:type="spellStart"/>
      <w:r w:rsidRPr="000F62DB">
        <w:rPr>
          <w:rFonts w:cs="Times New Roman"/>
        </w:rPr>
        <w:t>CSNg</w:t>
      </w:r>
      <w:proofErr w:type="spellEnd"/>
      <w:r w:rsidRPr="000F62DB">
        <w:rPr>
          <w:rFonts w:cs="Times New Roman"/>
        </w:rPr>
        <w:t xml:space="preserve"> traumas. Būtiski, ka šobrīd ar drošības jostām ir aprīkotas praktiski visas vieglās automašīnas, tāpat drošības jostu lietošana jau labu laiku ir obligāta visās ES dalībvalstīs. Jāpiemin, ka ES tiesību normas paredz, ka gan autovadītājiem, gan pasažieriem jāpiesprādzējas ar drošības jostu, ja sēdeklim tāda paredzēta.</w:t>
      </w:r>
      <w:r w:rsidR="00234725" w:rsidRPr="000F62DB">
        <w:rPr>
          <w:rFonts w:cs="Times New Roman"/>
        </w:rPr>
        <w:t xml:space="preserve"> Tāpat ne mazāk svarīgi par drošības jostas atvilkšanas un piesprādzēšanas faktu ir to izdarīt pareizi, jo tikai tā var izvairīties no dzīvībai bīstamām traumām, ja notiek </w:t>
      </w:r>
      <w:proofErr w:type="spellStart"/>
      <w:r w:rsidR="00234725" w:rsidRPr="000F62DB">
        <w:rPr>
          <w:rFonts w:cs="Times New Roman"/>
        </w:rPr>
        <w:t>CSNg</w:t>
      </w:r>
      <w:proofErr w:type="spellEnd"/>
      <w:r w:rsidR="00234725" w:rsidRPr="000F62DB">
        <w:rPr>
          <w:rFonts w:cs="Times New Roman"/>
        </w:rPr>
        <w:t>.</w:t>
      </w:r>
    </w:p>
    <w:p w:rsidR="00563841" w:rsidRPr="000F62DB" w:rsidRDefault="00AA0110" w:rsidP="00AA0110">
      <w:pPr>
        <w:ind w:firstLine="426"/>
        <w:jc w:val="both"/>
        <w:rPr>
          <w:rFonts w:cs="Times New Roman"/>
        </w:rPr>
      </w:pPr>
      <w:r w:rsidRPr="000F62DB">
        <w:rPr>
          <w:rFonts w:cs="Times New Roman"/>
        </w:rPr>
        <w:t>Tomēr jāņem vērā, ka ES dalībvalstīs n</w:t>
      </w:r>
      <w:r w:rsidR="00563841" w:rsidRPr="000F62DB">
        <w:rPr>
          <w:rFonts w:cs="Times New Roman"/>
        </w:rPr>
        <w:t xml:space="preserve">epiesprādzēšanās ir otrais biežākais </w:t>
      </w:r>
      <w:r w:rsidRPr="000F62DB">
        <w:rPr>
          <w:rFonts w:cs="Times New Roman"/>
        </w:rPr>
        <w:t xml:space="preserve">letālu </w:t>
      </w:r>
      <w:proofErr w:type="spellStart"/>
      <w:r w:rsidRPr="000F62DB">
        <w:rPr>
          <w:rFonts w:cs="Times New Roman"/>
        </w:rPr>
        <w:t>CSNg</w:t>
      </w:r>
      <w:proofErr w:type="spellEnd"/>
      <w:r w:rsidRPr="000F62DB">
        <w:rPr>
          <w:rFonts w:cs="Times New Roman"/>
        </w:rPr>
        <w:t xml:space="preserve"> iemesls (otrajā vietā ir atļautā braukšanas ātruma pārsniegšana, bet t</w:t>
      </w:r>
      <w:r w:rsidR="00563841" w:rsidRPr="000F62DB">
        <w:rPr>
          <w:rFonts w:cs="Times New Roman"/>
        </w:rPr>
        <w:t>rešo vietu ieņem braukšana reibumā</w:t>
      </w:r>
      <w:r w:rsidRPr="000F62DB">
        <w:rPr>
          <w:rFonts w:cs="Times New Roman"/>
        </w:rPr>
        <w:t>)</w:t>
      </w:r>
      <w:r w:rsidR="00563841" w:rsidRPr="000F62DB">
        <w:rPr>
          <w:rFonts w:cs="Times New Roman"/>
        </w:rPr>
        <w:t xml:space="preserve">. </w:t>
      </w:r>
      <w:r w:rsidRPr="000F62DB">
        <w:rPr>
          <w:rFonts w:cs="Times New Roman"/>
        </w:rPr>
        <w:t xml:space="preserve">Zīmīgi </w:t>
      </w:r>
      <w:r w:rsidRPr="000F62DB">
        <w:rPr>
          <w:rFonts w:cs="Times New Roman"/>
        </w:rPr>
        <w:lastRenderedPageBreak/>
        <w:t xml:space="preserve">arī, ka </w:t>
      </w:r>
      <w:r w:rsidR="003D1DEA">
        <w:rPr>
          <w:rFonts w:cs="Times New Roman"/>
        </w:rPr>
        <w:t>TL</w:t>
      </w:r>
      <w:r w:rsidR="003D1DEA" w:rsidRPr="000F62DB">
        <w:rPr>
          <w:rFonts w:cs="Times New Roman"/>
        </w:rPr>
        <w:t xml:space="preserve"> </w:t>
      </w:r>
      <w:r w:rsidRPr="000F62DB">
        <w:rPr>
          <w:rFonts w:cs="Times New Roman"/>
        </w:rPr>
        <w:t xml:space="preserve">uzstādītie gaisa drošības spilveni spēj veikt savu funkciju (samazināt </w:t>
      </w:r>
      <w:proofErr w:type="spellStart"/>
      <w:r w:rsidRPr="000F62DB">
        <w:rPr>
          <w:rFonts w:cs="Times New Roman"/>
        </w:rPr>
        <w:t>CSNg</w:t>
      </w:r>
      <w:proofErr w:type="spellEnd"/>
      <w:r w:rsidRPr="000F62DB">
        <w:rPr>
          <w:rFonts w:cs="Times New Roman"/>
        </w:rPr>
        <w:t xml:space="preserve"> traumas) tikai kopā ar drošības jostām, tādēļ ir būtiski vienmēr piesprādzē</w:t>
      </w:r>
      <w:r w:rsidR="00563841" w:rsidRPr="000F62DB">
        <w:rPr>
          <w:rFonts w:cs="Times New Roman"/>
        </w:rPr>
        <w:t xml:space="preserve">ties, </w:t>
      </w:r>
      <w:r w:rsidRPr="000F62DB">
        <w:rPr>
          <w:rFonts w:cs="Times New Roman"/>
        </w:rPr>
        <w:t xml:space="preserve">it īpaši, </w:t>
      </w:r>
      <w:r w:rsidR="00563841" w:rsidRPr="000F62DB">
        <w:rPr>
          <w:rFonts w:cs="Times New Roman"/>
        </w:rPr>
        <w:t>ja automašīnai ir drošības spilveni.</w:t>
      </w:r>
    </w:p>
    <w:p w:rsidR="008964F6" w:rsidRDefault="00AA0110" w:rsidP="008964F6">
      <w:pPr>
        <w:ind w:firstLine="426"/>
        <w:jc w:val="both"/>
        <w:rPr>
          <w:rFonts w:cs="Times New Roman"/>
        </w:rPr>
      </w:pPr>
      <w:r w:rsidRPr="000F62DB">
        <w:rPr>
          <w:rFonts w:cs="Times New Roman"/>
        </w:rPr>
        <w:t>2015.gadā veicot aptauju</w:t>
      </w:r>
      <w:r w:rsidR="008964F6" w:rsidRPr="000F62DB">
        <w:rPr>
          <w:rFonts w:cs="Times New Roman"/>
        </w:rPr>
        <w:t xml:space="preserve"> un īstenojot pētījumu</w:t>
      </w:r>
      <w:r w:rsidRPr="000F62DB">
        <w:rPr>
          <w:rStyle w:val="FootnoteReference"/>
          <w:rFonts w:cs="Times New Roman"/>
        </w:rPr>
        <w:footnoteReference w:id="11"/>
      </w:r>
      <w:r w:rsidRPr="000F62DB">
        <w:rPr>
          <w:rFonts w:cs="Times New Roman"/>
        </w:rPr>
        <w:t xml:space="preserve"> par drošības jostu lietošanu Latvijā</w:t>
      </w:r>
      <w:r w:rsidR="003B4D8C">
        <w:rPr>
          <w:rFonts w:cs="Times New Roman"/>
        </w:rPr>
        <w:t>,</w:t>
      </w:r>
      <w:r w:rsidRPr="000F62DB">
        <w:rPr>
          <w:rFonts w:cs="Times New Roman"/>
        </w:rPr>
        <w:t xml:space="preserve"> tika secināts, ka</w:t>
      </w:r>
      <w:r w:rsidR="003B4D8C">
        <w:rPr>
          <w:rFonts w:cs="Times New Roman"/>
        </w:rPr>
        <w:t>,</w:t>
      </w:r>
      <w:r w:rsidRPr="000F62DB">
        <w:rPr>
          <w:rFonts w:cs="Times New Roman"/>
        </w:rPr>
        <w:t xml:space="preserve"> atrodoties automašīnas priekšējos sēdekļos, drošības jostas lieto lielākā daļa jeb 81% autovadītāju un pasažieru, </w:t>
      </w:r>
      <w:r w:rsidR="008964F6" w:rsidRPr="000F62DB">
        <w:rPr>
          <w:rFonts w:cs="Times New Roman"/>
        </w:rPr>
        <w:t>savukārt</w:t>
      </w:r>
      <w:r w:rsidR="003B4D8C">
        <w:rPr>
          <w:rFonts w:cs="Times New Roman"/>
        </w:rPr>
        <w:t>,</w:t>
      </w:r>
      <w:r w:rsidR="008964F6" w:rsidRPr="000F62DB">
        <w:rPr>
          <w:rFonts w:cs="Times New Roman"/>
        </w:rPr>
        <w:t xml:space="preserve"> </w:t>
      </w:r>
      <w:r w:rsidRPr="000F62DB">
        <w:rPr>
          <w:rFonts w:cs="Times New Roman"/>
        </w:rPr>
        <w:t>sēžot aizmugurē</w:t>
      </w:r>
      <w:r w:rsidR="003B4D8C">
        <w:rPr>
          <w:rFonts w:cs="Times New Roman"/>
        </w:rPr>
        <w:t>,</w:t>
      </w:r>
      <w:r w:rsidRPr="000F62DB">
        <w:rPr>
          <w:rFonts w:cs="Times New Roman"/>
        </w:rPr>
        <w:t xml:space="preserve"> sprādzējas vien aptuveni trešā daļa</w:t>
      </w:r>
      <w:r w:rsidR="008964F6" w:rsidRPr="000F62DB">
        <w:rPr>
          <w:rFonts w:cs="Times New Roman"/>
        </w:rPr>
        <w:t xml:space="preserve"> (aptuveni</w:t>
      </w:r>
      <w:r w:rsidR="008964F6">
        <w:rPr>
          <w:rFonts w:cs="Times New Roman"/>
        </w:rPr>
        <w:t xml:space="preserve"> 30%). Jānorāda, ka aizmugurējā sēdekļu rindā</w:t>
      </w:r>
      <w:r w:rsidRPr="00AA0110">
        <w:rPr>
          <w:rFonts w:cs="Times New Roman"/>
        </w:rPr>
        <w:t xml:space="preserve"> Latvijā </w:t>
      </w:r>
      <w:r w:rsidR="008964F6">
        <w:rPr>
          <w:rFonts w:cs="Times New Roman"/>
        </w:rPr>
        <w:t>drošības jostas lieto ievērojami retāk</w:t>
      </w:r>
      <w:r w:rsidRPr="00AA0110">
        <w:rPr>
          <w:rFonts w:cs="Times New Roman"/>
        </w:rPr>
        <w:t xml:space="preserve"> </w:t>
      </w:r>
      <w:r w:rsidR="008964F6">
        <w:rPr>
          <w:rFonts w:cs="Times New Roman"/>
        </w:rPr>
        <w:t xml:space="preserve">(aptuveni </w:t>
      </w:r>
      <w:r w:rsidRPr="00AA0110">
        <w:rPr>
          <w:rFonts w:cs="Times New Roman"/>
        </w:rPr>
        <w:t>2,5 reizes</w:t>
      </w:r>
      <w:r w:rsidR="008964F6">
        <w:rPr>
          <w:rFonts w:cs="Times New Roman"/>
        </w:rPr>
        <w:t>) nekā citur ES</w:t>
      </w:r>
      <w:r w:rsidRPr="00AA0110">
        <w:rPr>
          <w:rFonts w:cs="Times New Roman"/>
        </w:rPr>
        <w:t xml:space="preserve">. </w:t>
      </w:r>
      <w:r w:rsidR="008964F6">
        <w:rPr>
          <w:rFonts w:cs="Times New Roman"/>
        </w:rPr>
        <w:t>Lai arī</w:t>
      </w:r>
      <w:r w:rsidRPr="00AA0110">
        <w:rPr>
          <w:rFonts w:cs="Times New Roman"/>
        </w:rPr>
        <w:t xml:space="preserve"> statistikas dati</w:t>
      </w:r>
      <w:r w:rsidR="008964F6">
        <w:rPr>
          <w:rFonts w:cs="Times New Roman"/>
        </w:rPr>
        <w:t xml:space="preserve"> liecina</w:t>
      </w:r>
      <w:r w:rsidRPr="00AA0110">
        <w:rPr>
          <w:rFonts w:cs="Times New Roman"/>
        </w:rPr>
        <w:t>,</w:t>
      </w:r>
      <w:r w:rsidR="008964F6">
        <w:rPr>
          <w:rFonts w:cs="Times New Roman"/>
        </w:rPr>
        <w:t xml:space="preserve"> ka</w:t>
      </w:r>
      <w:r w:rsidRPr="00AA0110">
        <w:rPr>
          <w:rFonts w:cs="Times New Roman"/>
        </w:rPr>
        <w:t xml:space="preserve"> kopumā situācija</w:t>
      </w:r>
      <w:r w:rsidR="008964F6">
        <w:rPr>
          <w:rFonts w:cs="Times New Roman"/>
        </w:rPr>
        <w:t xml:space="preserve"> ar drošības jostu lietošanu </w:t>
      </w:r>
      <w:r w:rsidR="004928B4" w:rsidRPr="004928B4">
        <w:rPr>
          <w:rFonts w:cs="Times New Roman"/>
        </w:rPr>
        <w:t>TL</w:t>
      </w:r>
      <w:r w:rsidR="004928B4" w:rsidRPr="004928B4" w:rsidDel="004928B4">
        <w:rPr>
          <w:rFonts w:cs="Times New Roman"/>
        </w:rPr>
        <w:t xml:space="preserve"> </w:t>
      </w:r>
      <w:r w:rsidRPr="00AA0110">
        <w:rPr>
          <w:rFonts w:cs="Times New Roman"/>
        </w:rPr>
        <w:t>pēdējos</w:t>
      </w:r>
      <w:r w:rsidR="008964F6">
        <w:rPr>
          <w:rFonts w:cs="Times New Roman"/>
        </w:rPr>
        <w:t xml:space="preserve"> gados Latvijā ir uzlabojusies</w:t>
      </w:r>
      <w:r w:rsidRPr="00AA0110">
        <w:rPr>
          <w:rFonts w:cs="Times New Roman"/>
        </w:rPr>
        <w:t>, tomēr</w:t>
      </w:r>
      <w:r w:rsidR="008964F6">
        <w:rPr>
          <w:rFonts w:cs="Times New Roman"/>
        </w:rPr>
        <w:t>, kā liecina šī aptauja,</w:t>
      </w:r>
      <w:r w:rsidRPr="00AA0110">
        <w:rPr>
          <w:rFonts w:cs="Times New Roman"/>
        </w:rPr>
        <w:t xml:space="preserve"> 17% auto</w:t>
      </w:r>
      <w:r w:rsidR="008964F6">
        <w:rPr>
          <w:rFonts w:cs="Times New Roman"/>
        </w:rPr>
        <w:t>vadītāju joprojām uzskata, ka drošības jostu lietošana</w:t>
      </w:r>
      <w:r w:rsidRPr="00AA0110">
        <w:rPr>
          <w:rFonts w:cs="Times New Roman"/>
        </w:rPr>
        <w:t xml:space="preserve"> vispār nav nepieciešama. </w:t>
      </w:r>
    </w:p>
    <w:p w:rsidR="00AA0110" w:rsidRPr="00DC57D4" w:rsidRDefault="00AA0110" w:rsidP="00AA0110">
      <w:pPr>
        <w:ind w:firstLine="426"/>
        <w:jc w:val="both"/>
        <w:rPr>
          <w:rFonts w:cs="Times New Roman"/>
        </w:rPr>
      </w:pPr>
      <w:r w:rsidRPr="00AA0110">
        <w:rPr>
          <w:rFonts w:cs="Times New Roman"/>
        </w:rPr>
        <w:t>Tāpat pētījum</w:t>
      </w:r>
      <w:r w:rsidR="006256FB">
        <w:rPr>
          <w:rFonts w:cs="Times New Roman"/>
        </w:rPr>
        <w:t>ā</w:t>
      </w:r>
      <w:r w:rsidRPr="00AA0110">
        <w:rPr>
          <w:rFonts w:cs="Times New Roman"/>
        </w:rPr>
        <w:t xml:space="preserve"> </w:t>
      </w:r>
      <w:r w:rsidR="008964F6">
        <w:rPr>
          <w:rFonts w:cs="Times New Roman"/>
        </w:rPr>
        <w:t xml:space="preserve">tika secināts, ka </w:t>
      </w:r>
      <w:r w:rsidRPr="00AA0110">
        <w:rPr>
          <w:rFonts w:cs="Times New Roman"/>
        </w:rPr>
        <w:t xml:space="preserve">drošības jostu lietošanas </w:t>
      </w:r>
      <w:r w:rsidR="008964F6">
        <w:rPr>
          <w:rFonts w:cs="Times New Roman"/>
        </w:rPr>
        <w:t xml:space="preserve">popularitāte atšķiras starp dažādiem Latvijas </w:t>
      </w:r>
      <w:r w:rsidR="008964F6" w:rsidRPr="00320E52">
        <w:rPr>
          <w:rFonts w:cs="Times New Roman"/>
        </w:rPr>
        <w:t>reģioniem un pilsēt</w:t>
      </w:r>
      <w:r w:rsidR="000A4EF4" w:rsidRPr="00320E52">
        <w:rPr>
          <w:rFonts w:cs="Times New Roman"/>
        </w:rPr>
        <w:t>ām, jo Rīgā drošības jostas aizmugurējā sēdekļu rindā</w:t>
      </w:r>
      <w:r w:rsidRPr="00320E52">
        <w:rPr>
          <w:rFonts w:cs="Times New Roman"/>
        </w:rPr>
        <w:t xml:space="preserve"> lieto</w:t>
      </w:r>
      <w:r w:rsidR="000A4EF4" w:rsidRPr="00320E52">
        <w:rPr>
          <w:rFonts w:cs="Times New Roman"/>
        </w:rPr>
        <w:t xml:space="preserve"> aptuveni</w:t>
      </w:r>
      <w:r w:rsidRPr="00320E52">
        <w:rPr>
          <w:rFonts w:cs="Times New Roman"/>
        </w:rPr>
        <w:t xml:space="preserve"> 58% </w:t>
      </w:r>
      <w:r w:rsidR="000A4EF4" w:rsidRPr="00320E52">
        <w:rPr>
          <w:rFonts w:cs="Times New Roman"/>
        </w:rPr>
        <w:t>satiksmes dalībnieku</w:t>
      </w:r>
      <w:r w:rsidRPr="00BA28A2">
        <w:rPr>
          <w:rFonts w:cs="Times New Roman"/>
        </w:rPr>
        <w:t xml:space="preserve">, taču ārpus Rīgas </w:t>
      </w:r>
      <w:r w:rsidR="000A4EF4" w:rsidRPr="00BA28A2">
        <w:rPr>
          <w:rFonts w:cs="Times New Roman"/>
        </w:rPr>
        <w:t xml:space="preserve">situācija atšķiras, </w:t>
      </w:r>
      <w:r w:rsidRPr="00680E32">
        <w:rPr>
          <w:rFonts w:cs="Times New Roman"/>
        </w:rPr>
        <w:t xml:space="preserve">piemēram, Rēzeknē </w:t>
      </w:r>
      <w:r w:rsidR="00234725" w:rsidRPr="00680E32">
        <w:rPr>
          <w:rFonts w:cs="Times New Roman"/>
        </w:rPr>
        <w:t xml:space="preserve">aizmugurējā sēdekļu rindā </w:t>
      </w:r>
      <w:r w:rsidRPr="00DC57D4">
        <w:rPr>
          <w:rFonts w:cs="Times New Roman"/>
        </w:rPr>
        <w:t xml:space="preserve">piesprādzējas vien 14% aizmugurē </w:t>
      </w:r>
      <w:r w:rsidR="00234725" w:rsidRPr="00DC57D4">
        <w:rPr>
          <w:rFonts w:cs="Times New Roman"/>
        </w:rPr>
        <w:t xml:space="preserve">sēdošo pasažieru, turklāt </w:t>
      </w:r>
      <w:r w:rsidRPr="00DC57D4">
        <w:rPr>
          <w:rFonts w:cs="Times New Roman"/>
        </w:rPr>
        <w:t xml:space="preserve">tikai puse no visiem bērniem tiek pārvadāti atbilstoši </w:t>
      </w:r>
      <w:r w:rsidR="00234725" w:rsidRPr="00DC57D4">
        <w:rPr>
          <w:rFonts w:cs="Times New Roman"/>
        </w:rPr>
        <w:t>CSN prasībām (</w:t>
      </w:r>
      <w:r w:rsidR="003B4D8C">
        <w:rPr>
          <w:rFonts w:cs="Times New Roman"/>
        </w:rPr>
        <w:t xml:space="preserve">lietojot </w:t>
      </w:r>
      <w:r w:rsidR="00234725" w:rsidRPr="00DC57D4">
        <w:rPr>
          <w:rFonts w:cs="Times New Roman"/>
        </w:rPr>
        <w:t>bērnu sēdeklīšu</w:t>
      </w:r>
      <w:r w:rsidR="003B4D8C">
        <w:rPr>
          <w:rFonts w:cs="Times New Roman"/>
        </w:rPr>
        <w:t>s</w:t>
      </w:r>
      <w:r w:rsidR="00234725" w:rsidRPr="00DC57D4">
        <w:rPr>
          <w:rFonts w:cs="Times New Roman"/>
        </w:rPr>
        <w:t>)</w:t>
      </w:r>
      <w:r w:rsidRPr="00DC57D4">
        <w:rPr>
          <w:rFonts w:cs="Times New Roman"/>
        </w:rPr>
        <w:t>.</w:t>
      </w:r>
    </w:p>
    <w:p w:rsidR="00360C6E" w:rsidRPr="00320E52" w:rsidRDefault="00234725" w:rsidP="007F6212">
      <w:pPr>
        <w:ind w:firstLine="426"/>
        <w:jc w:val="both"/>
        <w:rPr>
          <w:rFonts w:eastAsia="Times New Roman" w:cs="Times New Roman"/>
          <w:bCs/>
          <w:lang w:eastAsia="lv-LV"/>
        </w:rPr>
      </w:pPr>
      <w:r w:rsidRPr="00320E52">
        <w:rPr>
          <w:rFonts w:cs="Times New Roman"/>
        </w:rPr>
        <w:t xml:space="preserve">Ņemot vērā statistiku par </w:t>
      </w:r>
      <w:proofErr w:type="spellStart"/>
      <w:r w:rsidRPr="00320E52">
        <w:rPr>
          <w:rFonts w:cs="Times New Roman"/>
        </w:rPr>
        <w:t>CSNg</w:t>
      </w:r>
      <w:proofErr w:type="spellEnd"/>
      <w:r w:rsidRPr="00320E52">
        <w:rPr>
          <w:rFonts w:cs="Times New Roman"/>
        </w:rPr>
        <w:t xml:space="preserve"> cietušo un bojāgājušo (</w:t>
      </w:r>
      <w:r w:rsidRPr="00320E52">
        <w:rPr>
          <w:rFonts w:eastAsia="Times New Roman" w:cs="Times New Roman"/>
          <w:bCs/>
          <w:lang w:eastAsia="lv-LV"/>
        </w:rPr>
        <w:t>2015.gadā bojā</w:t>
      </w:r>
      <w:r w:rsidR="006256FB">
        <w:rPr>
          <w:rFonts w:eastAsia="Times New Roman" w:cs="Times New Roman"/>
          <w:bCs/>
          <w:lang w:eastAsia="lv-LV"/>
        </w:rPr>
        <w:t xml:space="preserve"> </w:t>
      </w:r>
      <w:r w:rsidRPr="00320E52">
        <w:rPr>
          <w:rFonts w:eastAsia="Times New Roman" w:cs="Times New Roman"/>
          <w:bCs/>
          <w:lang w:eastAsia="lv-LV"/>
        </w:rPr>
        <w:t>gājuši 12 bērni</w:t>
      </w:r>
      <w:r w:rsidR="007F6212" w:rsidRPr="00320E52">
        <w:rPr>
          <w:rFonts w:eastAsia="Times New Roman" w:cs="Times New Roman"/>
          <w:bCs/>
          <w:lang w:eastAsia="lv-LV"/>
        </w:rPr>
        <w:t xml:space="preserve">, </w:t>
      </w:r>
      <w:r w:rsidRPr="00320E52">
        <w:rPr>
          <w:rFonts w:eastAsia="Times New Roman" w:cs="Times New Roman"/>
          <w:bCs/>
          <w:lang w:eastAsia="lv-LV"/>
        </w:rPr>
        <w:t xml:space="preserve">2014.gadā </w:t>
      </w:r>
      <w:r w:rsidR="006256FB">
        <w:rPr>
          <w:rFonts w:eastAsia="Times New Roman" w:cs="Times New Roman"/>
          <w:bCs/>
          <w:lang w:eastAsia="lv-LV"/>
        </w:rPr>
        <w:t xml:space="preserve">- </w:t>
      </w:r>
      <w:r w:rsidRPr="00320E52">
        <w:rPr>
          <w:rFonts w:eastAsia="Times New Roman" w:cs="Times New Roman"/>
          <w:bCs/>
          <w:lang w:eastAsia="lv-LV"/>
        </w:rPr>
        <w:t xml:space="preserve">7 </w:t>
      </w:r>
      <w:r w:rsidR="007F6212" w:rsidRPr="00320E52">
        <w:rPr>
          <w:rFonts w:eastAsia="Times New Roman" w:cs="Times New Roman"/>
          <w:bCs/>
          <w:lang w:eastAsia="lv-LV"/>
        </w:rPr>
        <w:t>bērni)</w:t>
      </w:r>
      <w:r w:rsidR="003B4D8C">
        <w:rPr>
          <w:rFonts w:eastAsia="Times New Roman" w:cs="Times New Roman"/>
          <w:bCs/>
          <w:lang w:eastAsia="lv-LV"/>
        </w:rPr>
        <w:t xml:space="preserve"> bērnu skaitu,</w:t>
      </w:r>
      <w:r w:rsidR="007F6212" w:rsidRPr="00320E52">
        <w:rPr>
          <w:rFonts w:eastAsia="Times New Roman" w:cs="Times New Roman"/>
          <w:bCs/>
          <w:lang w:eastAsia="lv-LV"/>
        </w:rPr>
        <w:t xml:space="preserve"> jāatceras, ka bērnu drošība, ja tas ir </w:t>
      </w:r>
      <w:r w:rsidR="004928B4" w:rsidRPr="004928B4">
        <w:rPr>
          <w:rFonts w:eastAsia="Times New Roman" w:cs="Times New Roman"/>
          <w:bCs/>
          <w:lang w:eastAsia="lv-LV"/>
        </w:rPr>
        <w:t>TL</w:t>
      </w:r>
      <w:r w:rsidR="007F6212" w:rsidRPr="00320E52">
        <w:rPr>
          <w:rFonts w:eastAsia="Times New Roman" w:cs="Times New Roman"/>
          <w:bCs/>
          <w:lang w:eastAsia="lv-LV"/>
        </w:rPr>
        <w:t xml:space="preserve"> pasažieris, ir atkarīga no papildus faktoriem, ka</w:t>
      </w:r>
      <w:r w:rsidR="003B4D8C">
        <w:rPr>
          <w:rFonts w:eastAsia="Times New Roman" w:cs="Times New Roman"/>
          <w:bCs/>
          <w:lang w:eastAsia="lv-LV"/>
        </w:rPr>
        <w:t xml:space="preserve">s ietekmē </w:t>
      </w:r>
      <w:proofErr w:type="spellStart"/>
      <w:r w:rsidR="003B4D8C">
        <w:rPr>
          <w:rFonts w:eastAsia="Times New Roman" w:cs="Times New Roman"/>
          <w:bCs/>
          <w:lang w:eastAsia="lv-LV"/>
        </w:rPr>
        <w:t>CSNg</w:t>
      </w:r>
      <w:proofErr w:type="spellEnd"/>
      <w:r w:rsidR="003B4D8C">
        <w:rPr>
          <w:rFonts w:eastAsia="Times New Roman" w:cs="Times New Roman"/>
          <w:bCs/>
          <w:lang w:eastAsia="lv-LV"/>
        </w:rPr>
        <w:t xml:space="preserve"> sekas. Saskaņā ar CSN,</w:t>
      </w:r>
      <w:r w:rsidR="007F6212" w:rsidRPr="00320E52">
        <w:rPr>
          <w:rFonts w:eastAsia="Times New Roman" w:cs="Times New Roman"/>
          <w:bCs/>
          <w:lang w:eastAsia="lv-LV"/>
        </w:rPr>
        <w:t xml:space="preserve"> bērniem, kura augums nepārsniedz 150 cm, ir jāatrodas viņa vecumam un svaram piemērotā bērnu sēdeklītī vai uz paliktņa, kas uzstādīts atbilstoši tā izgatavotāja norādījumiem, un jābūt </w:t>
      </w:r>
      <w:r w:rsidR="003B4D8C">
        <w:rPr>
          <w:rFonts w:eastAsia="Times New Roman" w:cs="Times New Roman"/>
          <w:bCs/>
          <w:lang w:eastAsia="lv-LV"/>
        </w:rPr>
        <w:t>piesprādzētam ar drošības jostu.</w:t>
      </w:r>
    </w:p>
    <w:p w:rsidR="00234725" w:rsidRPr="007F6212" w:rsidRDefault="007F6212" w:rsidP="007F6212">
      <w:pPr>
        <w:ind w:firstLine="426"/>
        <w:jc w:val="both"/>
        <w:rPr>
          <w:rFonts w:eastAsia="Times New Roman" w:cs="Times New Roman"/>
          <w:bCs/>
          <w:lang w:eastAsia="lv-LV"/>
        </w:rPr>
      </w:pPr>
      <w:r w:rsidRPr="00320E52">
        <w:rPr>
          <w:rFonts w:eastAsia="Times New Roman" w:cs="Times New Roman"/>
          <w:bCs/>
          <w:lang w:eastAsia="lv-LV"/>
        </w:rPr>
        <w:t xml:space="preserve"> Ir jāpatur prātā, ka garākiem bērniem ir obligāti jālieto pieaugušo drošības josta. Bērnu drošībai ir arī svarīgi, lai priekšējā sēdekļu rindā netiktu lietots bērnu krēsliņš, kur bērns sēž ar seju pret braukšanas virzienu, izņemot, ja atslēgts </w:t>
      </w:r>
      <w:r w:rsidR="00F31680" w:rsidRPr="00320E52">
        <w:rPr>
          <w:rFonts w:eastAsia="Times New Roman" w:cs="Times New Roman"/>
          <w:bCs/>
          <w:lang w:eastAsia="lv-LV"/>
        </w:rPr>
        <w:t xml:space="preserve">gaisa </w:t>
      </w:r>
      <w:r w:rsidRPr="00320E52">
        <w:rPr>
          <w:rFonts w:eastAsia="Times New Roman" w:cs="Times New Roman"/>
          <w:bCs/>
          <w:lang w:eastAsia="lv-LV"/>
        </w:rPr>
        <w:t>drošības spilvens.</w:t>
      </w:r>
    </w:p>
    <w:p w:rsidR="000212C9" w:rsidRPr="000212C9" w:rsidRDefault="000212C9" w:rsidP="000212C9">
      <w:pPr>
        <w:rPr>
          <w:lang w:eastAsia="lv-LV"/>
        </w:rPr>
      </w:pPr>
    </w:p>
    <w:p w:rsidR="00324A2B" w:rsidRPr="00D5051B" w:rsidRDefault="004F7CD8" w:rsidP="00A70D56">
      <w:pPr>
        <w:pStyle w:val="NoSpacing"/>
        <w:ind w:firstLine="426"/>
        <w:rPr>
          <w:rFonts w:cs="Times New Roman"/>
          <w:b/>
        </w:rPr>
      </w:pPr>
      <w:r w:rsidRPr="00D5051B">
        <w:rPr>
          <w:rFonts w:cs="Times New Roman"/>
          <w:b/>
        </w:rPr>
        <w:t>TL vadīšana alkohola reibumā vai narkotisko vai citu apreibinošu vielu ietekmē</w:t>
      </w:r>
    </w:p>
    <w:p w:rsidR="0073194F" w:rsidRDefault="00324A2B" w:rsidP="00003992">
      <w:pPr>
        <w:pStyle w:val="NoSpacing"/>
        <w:ind w:firstLine="426"/>
        <w:jc w:val="both"/>
        <w:rPr>
          <w:color w:val="000000" w:themeColor="text1"/>
        </w:rPr>
      </w:pPr>
      <w:r w:rsidRPr="00D5051B">
        <w:rPr>
          <w:rFonts w:cs="Times New Roman"/>
          <w:color w:val="000000" w:themeColor="text1"/>
        </w:rPr>
        <w:t>Lai arī Latvijā</w:t>
      </w:r>
      <w:r w:rsidR="00D5051B" w:rsidRPr="00D5051B">
        <w:rPr>
          <w:rFonts w:cs="Times New Roman"/>
          <w:color w:val="000000" w:themeColor="text1"/>
        </w:rPr>
        <w:t xml:space="preserve"> par šādu pārkāpumu ceļu satiksmē</w:t>
      </w:r>
      <w:r w:rsidRPr="00D5051B">
        <w:rPr>
          <w:rFonts w:cs="Times New Roman"/>
          <w:color w:val="000000" w:themeColor="text1"/>
        </w:rPr>
        <w:t xml:space="preserve"> ir noteikti lieli sodi, joprojām daļa TL vadītāju piedalās ceļu sat</w:t>
      </w:r>
      <w:r>
        <w:rPr>
          <w:color w:val="000000" w:themeColor="text1"/>
        </w:rPr>
        <w:t>iksmē alkohola reibumā vai narkotisko vielu iespaidā. Par šādu faktu liecina VP statistika par pārbaudēm ceļu satiksmē, atklājot ik dienas vairākus TL vadītājus, kas atrodas alkohola reibumā un sēžas pie stūres. Tāpat a</w:t>
      </w:r>
      <w:r w:rsidR="00830418" w:rsidRPr="00830418">
        <w:rPr>
          <w:color w:val="000000" w:themeColor="text1"/>
        </w:rPr>
        <w:t xml:space="preserve">lkohola vai narkotisko vielu reibumā notiek arī </w:t>
      </w:r>
      <w:proofErr w:type="spellStart"/>
      <w:r>
        <w:rPr>
          <w:color w:val="000000" w:themeColor="text1"/>
        </w:rPr>
        <w:t>CSNg</w:t>
      </w:r>
      <w:proofErr w:type="spellEnd"/>
      <w:r>
        <w:rPr>
          <w:color w:val="000000" w:themeColor="text1"/>
        </w:rPr>
        <w:t xml:space="preserve"> ar</w:t>
      </w:r>
      <w:r w:rsidR="00830418" w:rsidRPr="00830418">
        <w:rPr>
          <w:color w:val="000000" w:themeColor="text1"/>
        </w:rPr>
        <w:t xml:space="preserve"> cietušajiem, </w:t>
      </w:r>
      <w:r w:rsidR="00D5051B">
        <w:rPr>
          <w:color w:val="000000" w:themeColor="text1"/>
        </w:rPr>
        <w:t xml:space="preserve">tajos </w:t>
      </w:r>
      <w:r w:rsidR="00830418" w:rsidRPr="00830418">
        <w:rPr>
          <w:color w:val="000000" w:themeColor="text1"/>
        </w:rPr>
        <w:t xml:space="preserve">vainīgie šoferi </w:t>
      </w:r>
      <w:r>
        <w:rPr>
          <w:color w:val="000000" w:themeColor="text1"/>
        </w:rPr>
        <w:t xml:space="preserve">arī </w:t>
      </w:r>
      <w:r w:rsidR="00830418" w:rsidRPr="00830418">
        <w:rPr>
          <w:color w:val="000000" w:themeColor="text1"/>
        </w:rPr>
        <w:t xml:space="preserve">saņem Krimināllikumā noteikto sodu. </w:t>
      </w:r>
    </w:p>
    <w:p w:rsidR="00233DD0" w:rsidRDefault="00233DD0" w:rsidP="00003992">
      <w:pPr>
        <w:pStyle w:val="NoSpacing"/>
        <w:ind w:firstLine="426"/>
        <w:jc w:val="both"/>
        <w:rPr>
          <w:color w:val="000000" w:themeColor="text1"/>
        </w:rPr>
      </w:pPr>
    </w:p>
    <w:p w:rsidR="0073194F" w:rsidRDefault="00FA561E" w:rsidP="00A70D56">
      <w:pPr>
        <w:pStyle w:val="NoSpacing"/>
        <w:ind w:firstLine="426"/>
        <w:jc w:val="center"/>
        <w:rPr>
          <w:color w:val="000000" w:themeColor="text1"/>
        </w:rPr>
      </w:pPr>
      <w:r>
        <w:rPr>
          <w:noProof/>
          <w:lang w:eastAsia="lv-LV"/>
        </w:rPr>
        <w:drawing>
          <wp:inline distT="0" distB="0" distL="0" distR="0" wp14:anchorId="63987FCE" wp14:editId="3BD4822F">
            <wp:extent cx="5105400" cy="2381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561E" w:rsidRDefault="00FA561E" w:rsidP="00A70D56">
      <w:pPr>
        <w:pStyle w:val="NoSpacing"/>
        <w:ind w:firstLine="426"/>
        <w:jc w:val="center"/>
        <w:rPr>
          <w:color w:val="000000" w:themeColor="text1"/>
        </w:rPr>
      </w:pPr>
    </w:p>
    <w:p w:rsidR="00FA561E" w:rsidRPr="00FA561E" w:rsidRDefault="00003992" w:rsidP="00A70D56">
      <w:pPr>
        <w:pStyle w:val="NoSpacing"/>
        <w:ind w:firstLine="426"/>
        <w:jc w:val="center"/>
        <w:rPr>
          <w:b/>
          <w:color w:val="000000" w:themeColor="text1"/>
        </w:rPr>
      </w:pPr>
      <w:r>
        <w:rPr>
          <w:b/>
          <w:color w:val="000000" w:themeColor="text1"/>
        </w:rPr>
        <w:t>7</w:t>
      </w:r>
      <w:r w:rsidR="00FA561E" w:rsidRPr="00D5051B">
        <w:rPr>
          <w:b/>
          <w:color w:val="000000" w:themeColor="text1"/>
        </w:rPr>
        <w:t>. attēls</w:t>
      </w:r>
      <w:r w:rsidR="00FA561E">
        <w:rPr>
          <w:b/>
          <w:color w:val="000000" w:themeColor="text1"/>
        </w:rPr>
        <w:t xml:space="preserve">. Statistika par alkohola reibumā izraisīto </w:t>
      </w:r>
      <w:proofErr w:type="spellStart"/>
      <w:r w:rsidR="00FA561E">
        <w:rPr>
          <w:b/>
          <w:color w:val="000000" w:themeColor="text1"/>
        </w:rPr>
        <w:t>CSNg</w:t>
      </w:r>
      <w:proofErr w:type="spellEnd"/>
      <w:r w:rsidR="00FA561E">
        <w:rPr>
          <w:b/>
          <w:color w:val="000000" w:themeColor="text1"/>
        </w:rPr>
        <w:t xml:space="preserve"> procentuālo daudzumu no kopējā </w:t>
      </w:r>
      <w:proofErr w:type="spellStart"/>
      <w:r w:rsidR="00FA561E">
        <w:rPr>
          <w:b/>
          <w:color w:val="000000" w:themeColor="text1"/>
        </w:rPr>
        <w:t>CSNg</w:t>
      </w:r>
      <w:proofErr w:type="spellEnd"/>
      <w:r w:rsidR="00FA561E">
        <w:rPr>
          <w:b/>
          <w:color w:val="000000" w:themeColor="text1"/>
        </w:rPr>
        <w:t xml:space="preserve"> </w:t>
      </w:r>
      <w:r w:rsidR="00002BCB">
        <w:rPr>
          <w:b/>
          <w:color w:val="000000" w:themeColor="text1"/>
        </w:rPr>
        <w:t>skaita no 2001. līdz 2015.gadam</w:t>
      </w:r>
    </w:p>
    <w:p w:rsidR="00FA561E" w:rsidRDefault="00FA561E" w:rsidP="00A70D56">
      <w:pPr>
        <w:pStyle w:val="NoSpacing"/>
        <w:ind w:firstLine="426"/>
        <w:rPr>
          <w:color w:val="000000" w:themeColor="text1"/>
        </w:rPr>
      </w:pPr>
    </w:p>
    <w:p w:rsidR="00127D28" w:rsidRDefault="006D15BE" w:rsidP="00233DD0">
      <w:pPr>
        <w:pStyle w:val="NoSpacing"/>
        <w:ind w:firstLine="426"/>
        <w:jc w:val="both"/>
        <w:rPr>
          <w:color w:val="000000" w:themeColor="text1"/>
        </w:rPr>
      </w:pPr>
      <w:r w:rsidRPr="006D15BE">
        <w:rPr>
          <w:color w:val="000000" w:themeColor="text1"/>
        </w:rPr>
        <w:t xml:space="preserve">Pēdējo </w:t>
      </w:r>
      <w:r>
        <w:rPr>
          <w:color w:val="000000" w:themeColor="text1"/>
        </w:rPr>
        <w:t>trīs</w:t>
      </w:r>
      <w:r w:rsidRPr="006D15BE">
        <w:rPr>
          <w:color w:val="000000" w:themeColor="text1"/>
        </w:rPr>
        <w:t xml:space="preserve"> gadu laikā uz Latvijas ceļiem </w:t>
      </w:r>
      <w:r>
        <w:rPr>
          <w:color w:val="000000" w:themeColor="text1"/>
        </w:rPr>
        <w:t>ir sastādīti vairāk kā 12 000 administratīvo pārkāpumu protokoli  TL vadītājiem</w:t>
      </w:r>
      <w:r w:rsidRPr="006D15BE">
        <w:rPr>
          <w:color w:val="000000" w:themeColor="text1"/>
        </w:rPr>
        <w:t>, kuri pie stūres sēdušies</w:t>
      </w:r>
      <w:r w:rsidR="00002BCB">
        <w:rPr>
          <w:color w:val="000000" w:themeColor="text1"/>
        </w:rPr>
        <w:t xml:space="preserve"> alkohola, narkotisko vai citu apreibinošo vielu</w:t>
      </w:r>
      <w:r w:rsidRPr="006D15BE">
        <w:rPr>
          <w:color w:val="000000" w:themeColor="text1"/>
        </w:rPr>
        <w:t xml:space="preserve"> reibumā. Turklāt 1</w:t>
      </w:r>
      <w:r w:rsidR="0073194F">
        <w:rPr>
          <w:color w:val="000000" w:themeColor="text1"/>
        </w:rPr>
        <w:t>0% no 2015.gadā</w:t>
      </w:r>
      <w:r w:rsidRPr="006D15BE">
        <w:rPr>
          <w:color w:val="000000" w:themeColor="text1"/>
        </w:rPr>
        <w:t xml:space="preserve"> izraisītiem </w:t>
      </w:r>
      <w:proofErr w:type="spellStart"/>
      <w:r w:rsidR="0073194F">
        <w:rPr>
          <w:color w:val="000000" w:themeColor="text1"/>
        </w:rPr>
        <w:t>CSNg</w:t>
      </w:r>
      <w:proofErr w:type="spellEnd"/>
      <w:r w:rsidR="0073194F">
        <w:rPr>
          <w:color w:val="000000" w:themeColor="text1"/>
        </w:rPr>
        <w:t xml:space="preserve"> </w:t>
      </w:r>
      <w:r w:rsidRPr="006D15BE">
        <w:rPr>
          <w:color w:val="000000" w:themeColor="text1"/>
        </w:rPr>
        <w:t xml:space="preserve">ar letālām sekām iemesls ir bijis </w:t>
      </w:r>
      <w:r w:rsidR="004928B4" w:rsidRPr="004928B4">
        <w:rPr>
          <w:color w:val="000000" w:themeColor="text1"/>
        </w:rPr>
        <w:t>TL</w:t>
      </w:r>
      <w:r w:rsidRPr="006D15BE">
        <w:rPr>
          <w:color w:val="000000" w:themeColor="text1"/>
        </w:rPr>
        <w:t xml:space="preserve"> vadīšana alkohola </w:t>
      </w:r>
      <w:r w:rsidR="006256FB">
        <w:rPr>
          <w:color w:val="000000" w:themeColor="text1"/>
        </w:rPr>
        <w:t>vai</w:t>
      </w:r>
      <w:r w:rsidR="006256FB" w:rsidRPr="006D15BE">
        <w:rPr>
          <w:color w:val="000000" w:themeColor="text1"/>
        </w:rPr>
        <w:t xml:space="preserve"> </w:t>
      </w:r>
      <w:r w:rsidRPr="006D15BE">
        <w:rPr>
          <w:color w:val="000000" w:themeColor="text1"/>
        </w:rPr>
        <w:t>citu apreibinošo vielu ietekmē. Šajos negadījumos</w:t>
      </w:r>
      <w:r w:rsidR="0073194F">
        <w:rPr>
          <w:color w:val="000000" w:themeColor="text1"/>
        </w:rPr>
        <w:t xml:space="preserve"> dzīvību zaudējuši 18 </w:t>
      </w:r>
      <w:r>
        <w:rPr>
          <w:color w:val="000000" w:themeColor="text1"/>
        </w:rPr>
        <w:t>cilvēki.</w:t>
      </w:r>
      <w:r w:rsidR="0073194F">
        <w:rPr>
          <w:color w:val="000000" w:themeColor="text1"/>
        </w:rPr>
        <w:t xml:space="preserve"> Tāpat alkohola reibumā </w:t>
      </w:r>
      <w:r w:rsidR="0073194F">
        <w:rPr>
          <w:color w:val="000000" w:themeColor="text1"/>
        </w:rPr>
        <w:lastRenderedPageBreak/>
        <w:t xml:space="preserve">izraisītos </w:t>
      </w:r>
      <w:proofErr w:type="spellStart"/>
      <w:r w:rsidR="0073194F">
        <w:rPr>
          <w:color w:val="000000" w:themeColor="text1"/>
        </w:rPr>
        <w:t>CSNg</w:t>
      </w:r>
      <w:proofErr w:type="spellEnd"/>
      <w:r w:rsidR="0073194F">
        <w:rPr>
          <w:color w:val="000000" w:themeColor="text1"/>
        </w:rPr>
        <w:t xml:space="preserve"> 2015.gadā ir cietuši 280 cilvēki, kas kopumā veido 6 % no visiem </w:t>
      </w:r>
      <w:proofErr w:type="spellStart"/>
      <w:r w:rsidR="0073194F">
        <w:rPr>
          <w:color w:val="000000" w:themeColor="text1"/>
        </w:rPr>
        <w:t>CSNg</w:t>
      </w:r>
      <w:proofErr w:type="spellEnd"/>
      <w:r w:rsidR="0073194F">
        <w:rPr>
          <w:color w:val="000000" w:themeColor="text1"/>
        </w:rPr>
        <w:t xml:space="preserve"> cietušajiem. Kopumā reibumā izraisīto </w:t>
      </w:r>
      <w:proofErr w:type="spellStart"/>
      <w:r w:rsidR="0073194F">
        <w:rPr>
          <w:color w:val="000000" w:themeColor="text1"/>
        </w:rPr>
        <w:t>CSNg</w:t>
      </w:r>
      <w:proofErr w:type="spellEnd"/>
      <w:r w:rsidR="0073194F">
        <w:rPr>
          <w:color w:val="000000" w:themeColor="text1"/>
        </w:rPr>
        <w:t xml:space="preserve"> bojāgājušo skaits ir samazinājies, lai gan tas vēl</w:t>
      </w:r>
      <w:r w:rsidR="006256FB">
        <w:rPr>
          <w:color w:val="000000" w:themeColor="text1"/>
        </w:rPr>
        <w:t xml:space="preserve"> </w:t>
      </w:r>
      <w:r w:rsidR="0073194F">
        <w:rPr>
          <w:color w:val="000000" w:themeColor="text1"/>
        </w:rPr>
        <w:t>joprojām atstāj lielu ietekmi uz kopējo statistiku par</w:t>
      </w:r>
      <w:r w:rsidR="00003992">
        <w:rPr>
          <w:color w:val="000000" w:themeColor="text1"/>
        </w:rPr>
        <w:t xml:space="preserve"> bojāgājušajiem un cietušajiem.</w:t>
      </w:r>
    </w:p>
    <w:p w:rsidR="00233DD0" w:rsidRDefault="00233DD0" w:rsidP="00B02243">
      <w:pPr>
        <w:pStyle w:val="NoSpacing"/>
        <w:ind w:firstLine="426"/>
        <w:jc w:val="both"/>
        <w:rPr>
          <w:color w:val="000000" w:themeColor="text1"/>
        </w:rPr>
      </w:pPr>
      <w:r>
        <w:rPr>
          <w:color w:val="000000" w:themeColor="text1"/>
        </w:rPr>
        <w:t xml:space="preserve">TL </w:t>
      </w:r>
      <w:r w:rsidRPr="00324A2B">
        <w:rPr>
          <w:color w:val="000000" w:themeColor="text1"/>
        </w:rPr>
        <w:t xml:space="preserve">vadīšana alkohola reibumā </w:t>
      </w:r>
      <w:r>
        <w:rPr>
          <w:color w:val="000000" w:themeColor="text1"/>
        </w:rPr>
        <w:t>vai</w:t>
      </w:r>
      <w:r w:rsidRPr="00324A2B">
        <w:rPr>
          <w:color w:val="000000" w:themeColor="text1"/>
        </w:rPr>
        <w:t xml:space="preserve"> narkotisko vielu ietekmē palielina </w:t>
      </w:r>
      <w:proofErr w:type="spellStart"/>
      <w:r w:rsidRPr="00324A2B">
        <w:rPr>
          <w:color w:val="000000" w:themeColor="text1"/>
        </w:rPr>
        <w:t>CSNg</w:t>
      </w:r>
      <w:proofErr w:type="spellEnd"/>
      <w:r w:rsidRPr="00324A2B">
        <w:rPr>
          <w:color w:val="000000" w:themeColor="text1"/>
        </w:rPr>
        <w:t xml:space="preserve"> risku, jo vadītājs nav gatavs kritiskā situācijā pietiekami ātri reaģēt, lai pieņemtu pareizu lē</w:t>
      </w:r>
      <w:r>
        <w:rPr>
          <w:color w:val="000000" w:themeColor="text1"/>
        </w:rPr>
        <w:t xml:space="preserve">mumu un izpildītu drošu manevru, kas varētu novērst </w:t>
      </w:r>
      <w:proofErr w:type="spellStart"/>
      <w:r>
        <w:rPr>
          <w:color w:val="000000" w:themeColor="text1"/>
        </w:rPr>
        <w:t>CSNg</w:t>
      </w:r>
      <w:proofErr w:type="spellEnd"/>
      <w:r>
        <w:rPr>
          <w:color w:val="000000" w:themeColor="text1"/>
        </w:rPr>
        <w:t xml:space="preserve">. Tāpat jāatceras, ka TL </w:t>
      </w:r>
      <w:r w:rsidRPr="00324A2B">
        <w:rPr>
          <w:color w:val="000000" w:themeColor="text1"/>
        </w:rPr>
        <w:t xml:space="preserve">vadīšana alkohola reibumā </w:t>
      </w:r>
      <w:r>
        <w:rPr>
          <w:color w:val="000000" w:themeColor="text1"/>
        </w:rPr>
        <w:t>vai</w:t>
      </w:r>
      <w:r w:rsidRPr="00324A2B">
        <w:rPr>
          <w:color w:val="000000" w:themeColor="text1"/>
        </w:rPr>
        <w:t xml:space="preserve"> narkotisko vielu iete</w:t>
      </w:r>
      <w:r>
        <w:rPr>
          <w:color w:val="000000" w:themeColor="text1"/>
        </w:rPr>
        <w:t xml:space="preserve">kmē palielina </w:t>
      </w:r>
      <w:proofErr w:type="spellStart"/>
      <w:r>
        <w:rPr>
          <w:color w:val="000000" w:themeColor="text1"/>
        </w:rPr>
        <w:t>CSNg</w:t>
      </w:r>
      <w:proofErr w:type="spellEnd"/>
      <w:r>
        <w:rPr>
          <w:color w:val="000000" w:themeColor="text1"/>
        </w:rPr>
        <w:t xml:space="preserve"> seku smagumu. Šādu faktu pierāda arī statistika, jo </w:t>
      </w:r>
      <w:proofErr w:type="spellStart"/>
      <w:r>
        <w:rPr>
          <w:color w:val="000000" w:themeColor="text1"/>
        </w:rPr>
        <w:t>CSNg</w:t>
      </w:r>
      <w:proofErr w:type="spellEnd"/>
      <w:r>
        <w:rPr>
          <w:color w:val="000000" w:themeColor="text1"/>
        </w:rPr>
        <w:t xml:space="preserve">, kur viens no vadītājiem vai abi vadītāji ir bijuši alkohola reibumā vai narkotisko vielu ietekmē, sekas parasti ir ļoti smagas un ir bojāgājušie. </w:t>
      </w:r>
      <w:r w:rsidR="00002BCB">
        <w:rPr>
          <w:color w:val="000000" w:themeColor="text1"/>
        </w:rPr>
        <w:t>Lielākoties</w:t>
      </w:r>
      <w:r>
        <w:rPr>
          <w:color w:val="000000" w:themeColor="text1"/>
        </w:rPr>
        <w:t xml:space="preserve"> tam par iemeslu ir fakts, ka alkohola reibumā (tāpat arī narkotisko vielu iespaidā) parasti tiek pārsniegts arī ātrums, netiek ievēroti arī citas CSN prasības, iestājas ignorance pret satiksmes drošību.</w:t>
      </w:r>
    </w:p>
    <w:tbl>
      <w:tblPr>
        <w:tblW w:w="10280" w:type="dxa"/>
        <w:tblLook w:val="04A0" w:firstRow="1" w:lastRow="0" w:firstColumn="1" w:lastColumn="0" w:noHBand="0" w:noVBand="1"/>
      </w:tblPr>
      <w:tblGrid>
        <w:gridCol w:w="548"/>
        <w:gridCol w:w="219"/>
        <w:gridCol w:w="346"/>
        <w:gridCol w:w="24"/>
        <w:gridCol w:w="219"/>
        <w:gridCol w:w="346"/>
        <w:gridCol w:w="216"/>
        <w:gridCol w:w="342"/>
        <w:gridCol w:w="216"/>
        <w:gridCol w:w="394"/>
        <w:gridCol w:w="216"/>
        <w:gridCol w:w="342"/>
        <w:gridCol w:w="216"/>
        <w:gridCol w:w="342"/>
        <w:gridCol w:w="216"/>
        <w:gridCol w:w="342"/>
        <w:gridCol w:w="216"/>
        <w:gridCol w:w="342"/>
        <w:gridCol w:w="216"/>
        <w:gridCol w:w="342"/>
        <w:gridCol w:w="216"/>
        <w:gridCol w:w="394"/>
        <w:gridCol w:w="216"/>
        <w:gridCol w:w="342"/>
        <w:gridCol w:w="216"/>
        <w:gridCol w:w="342"/>
        <w:gridCol w:w="168"/>
        <w:gridCol w:w="538"/>
        <w:gridCol w:w="538"/>
        <w:gridCol w:w="590"/>
        <w:gridCol w:w="538"/>
        <w:gridCol w:w="538"/>
      </w:tblGrid>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sz w:val="20"/>
                <w:szCs w:val="20"/>
                <w:lang w:eastAsia="lv-LV"/>
              </w:rPr>
            </w:pPr>
          </w:p>
        </w:tc>
      </w:tr>
      <w:tr w:rsidR="00233DD0" w:rsidRPr="0073194F" w:rsidTr="00233DD0">
        <w:trPr>
          <w:trHeight w:val="255"/>
        </w:trPr>
        <w:tc>
          <w:tcPr>
            <w:tcW w:w="542" w:type="dxa"/>
            <w:tcBorders>
              <w:top w:val="nil"/>
              <w:left w:val="nil"/>
              <w:bottom w:val="nil"/>
              <w:right w:val="nil"/>
            </w:tcBorders>
          </w:tcPr>
          <w:p w:rsidR="00233DD0" w:rsidRPr="0073194F" w:rsidRDefault="00233DD0" w:rsidP="00A70D56">
            <w:pPr>
              <w:ind w:firstLine="426"/>
              <w:jc w:val="center"/>
              <w:rPr>
                <w:rFonts w:eastAsia="Times New Roman" w:cs="Times New Roman"/>
                <w:b/>
                <w:bCs/>
                <w:sz w:val="20"/>
                <w:szCs w:val="20"/>
                <w:lang w:eastAsia="lv-LV"/>
              </w:rPr>
            </w:pPr>
          </w:p>
        </w:tc>
        <w:tc>
          <w:tcPr>
            <w:tcW w:w="4760" w:type="dxa"/>
            <w:gridSpan w:val="18"/>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b/>
                <w:bCs/>
                <w:sz w:val="20"/>
                <w:szCs w:val="20"/>
                <w:lang w:eastAsia="lv-LV"/>
              </w:rPr>
            </w:pPr>
            <w:proofErr w:type="spellStart"/>
            <w:r w:rsidRPr="0073194F">
              <w:rPr>
                <w:rFonts w:eastAsia="Times New Roman" w:cs="Times New Roman"/>
                <w:b/>
                <w:bCs/>
                <w:sz w:val="20"/>
                <w:szCs w:val="20"/>
                <w:lang w:eastAsia="lv-LV"/>
              </w:rPr>
              <w:t>CSNg</w:t>
            </w:r>
            <w:proofErr w:type="spellEnd"/>
            <w:r w:rsidRPr="0073194F">
              <w:rPr>
                <w:rFonts w:eastAsia="Times New Roman" w:cs="Times New Roman"/>
                <w:b/>
                <w:bCs/>
                <w:sz w:val="20"/>
                <w:szCs w:val="20"/>
                <w:lang w:eastAsia="lv-LV"/>
              </w:rPr>
              <w:t xml:space="preserve"> ar cietušajiem</w:t>
            </w: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b/>
                <w:bCs/>
                <w:sz w:val="20"/>
                <w:szCs w:val="20"/>
                <w:lang w:eastAsia="lv-LV"/>
              </w:rPr>
            </w:pPr>
          </w:p>
        </w:tc>
        <w:tc>
          <w:tcPr>
            <w:tcW w:w="4420" w:type="dxa"/>
            <w:gridSpan w:val="11"/>
            <w:tcBorders>
              <w:top w:val="nil"/>
              <w:left w:val="nil"/>
              <w:bottom w:val="nil"/>
              <w:right w:val="nil"/>
            </w:tcBorders>
            <w:shd w:val="clear" w:color="auto" w:fill="auto"/>
            <w:noWrap/>
            <w:vAlign w:val="bottom"/>
            <w:hideMark/>
          </w:tcPr>
          <w:p w:rsidR="00233DD0" w:rsidRPr="0073194F" w:rsidRDefault="00233DD0" w:rsidP="00A70D56">
            <w:pPr>
              <w:ind w:firstLine="426"/>
              <w:jc w:val="center"/>
              <w:rPr>
                <w:rFonts w:eastAsia="Times New Roman" w:cs="Times New Roman"/>
                <w:b/>
                <w:bCs/>
                <w:sz w:val="20"/>
                <w:szCs w:val="20"/>
                <w:lang w:eastAsia="lv-LV"/>
              </w:rPr>
            </w:pPr>
            <w:r w:rsidRPr="0073194F">
              <w:rPr>
                <w:rFonts w:eastAsia="Times New Roman" w:cs="Times New Roman"/>
                <w:b/>
                <w:bCs/>
                <w:sz w:val="20"/>
                <w:szCs w:val="20"/>
                <w:lang w:eastAsia="lv-LV"/>
              </w:rPr>
              <w:t>Bojā gājušie</w:t>
            </w: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ascii="Arial" w:eastAsia="Times New Roman" w:hAnsi="Arial" w:cs="Arial"/>
                <w:sz w:val="20"/>
                <w:szCs w:val="20"/>
                <w:lang w:eastAsia="lv-LV"/>
              </w:rPr>
            </w:pPr>
            <w:r w:rsidRPr="0073194F">
              <w:rPr>
                <w:rFonts w:ascii="Arial" w:eastAsia="Times New Roman" w:hAnsi="Arial" w:cs="Arial"/>
                <w:noProof/>
                <w:sz w:val="20"/>
                <w:szCs w:val="20"/>
                <w:lang w:eastAsia="lv-LV"/>
              </w:rPr>
              <w:drawing>
                <wp:anchor distT="0" distB="0" distL="114300" distR="114300" simplePos="0" relativeHeight="251660288" behindDoc="0" locked="0" layoutInCell="1" allowOverlap="1" wp14:anchorId="1758C3A5" wp14:editId="43565C8B">
                  <wp:simplePos x="0" y="0"/>
                  <wp:positionH relativeFrom="column">
                    <wp:posOffset>3339465</wp:posOffset>
                  </wp:positionH>
                  <wp:positionV relativeFrom="paragraph">
                    <wp:posOffset>-635</wp:posOffset>
                  </wp:positionV>
                  <wp:extent cx="2514600" cy="2486025"/>
                  <wp:effectExtent l="0" t="0" r="0" b="0"/>
                  <wp:wrapNone/>
                  <wp:docPr id="12292" name="Chart 122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73194F">
              <w:rPr>
                <w:rFonts w:ascii="Arial" w:eastAsia="Times New Roman" w:hAnsi="Arial" w:cs="Arial"/>
                <w:noProof/>
                <w:sz w:val="20"/>
                <w:szCs w:val="20"/>
                <w:lang w:eastAsia="lv-LV"/>
              </w:rPr>
              <w:drawing>
                <wp:anchor distT="0" distB="0" distL="114300" distR="114300" simplePos="0" relativeHeight="251658240" behindDoc="0" locked="0" layoutInCell="1" allowOverlap="1" wp14:anchorId="632924E6" wp14:editId="3C7974AE">
                  <wp:simplePos x="0" y="0"/>
                  <wp:positionH relativeFrom="column">
                    <wp:posOffset>-3810</wp:posOffset>
                  </wp:positionH>
                  <wp:positionV relativeFrom="paragraph">
                    <wp:posOffset>0</wp:posOffset>
                  </wp:positionV>
                  <wp:extent cx="2695575" cy="2486025"/>
                  <wp:effectExtent l="0" t="0" r="0" b="0"/>
                  <wp:wrapNone/>
                  <wp:docPr id="12291" name="Chart 122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233DD0" w:rsidRPr="0073194F">
              <w:trPr>
                <w:trHeight w:val="255"/>
                <w:tblCellSpacing w:w="0" w:type="dxa"/>
              </w:trPr>
              <w:tc>
                <w:tcPr>
                  <w:tcW w:w="114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ascii="Arial" w:eastAsia="Times New Roman" w:hAnsi="Arial" w:cs="Arial"/>
                      <w:sz w:val="20"/>
                      <w:szCs w:val="20"/>
                      <w:lang w:eastAsia="lv-LV"/>
                    </w:rPr>
                  </w:pPr>
                </w:p>
              </w:tc>
            </w:tr>
          </w:tbl>
          <w:p w:rsidR="00233DD0" w:rsidRPr="0073194F" w:rsidRDefault="00233DD0" w:rsidP="00A70D56">
            <w:pPr>
              <w:ind w:firstLine="426"/>
              <w:rPr>
                <w:rFonts w:ascii="Arial" w:eastAsia="Times New Roman" w:hAnsi="Arial" w:cs="Arial"/>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trHeight w:val="255"/>
        </w:trPr>
        <w:tc>
          <w:tcPr>
            <w:tcW w:w="1340" w:type="dxa"/>
            <w:gridSpan w:val="5"/>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90"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38"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gridAfter w:val="6"/>
          <w:wAfter w:w="2910" w:type="dxa"/>
          <w:trHeight w:val="255"/>
        </w:trPr>
        <w:tc>
          <w:tcPr>
            <w:tcW w:w="7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366"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62"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r>
      <w:tr w:rsidR="00233DD0" w:rsidRPr="0073194F" w:rsidTr="00233DD0">
        <w:trPr>
          <w:gridAfter w:val="29"/>
          <w:wAfter w:w="9180" w:type="dxa"/>
          <w:trHeight w:val="255"/>
        </w:trPr>
        <w:tc>
          <w:tcPr>
            <w:tcW w:w="542" w:type="dxa"/>
            <w:tcBorders>
              <w:top w:val="nil"/>
              <w:left w:val="nil"/>
              <w:bottom w:val="nil"/>
              <w:right w:val="nil"/>
            </w:tcBorders>
            <w:shd w:val="clear" w:color="auto" w:fill="auto"/>
            <w:noWrap/>
            <w:vAlign w:val="bottom"/>
            <w:hideMark/>
          </w:tcPr>
          <w:p w:rsidR="00233DD0" w:rsidRPr="0073194F" w:rsidRDefault="00233DD0" w:rsidP="00A70D56">
            <w:pPr>
              <w:ind w:firstLine="426"/>
              <w:rPr>
                <w:rFonts w:eastAsia="Times New Roman" w:cs="Times New Roman"/>
                <w:sz w:val="20"/>
                <w:szCs w:val="20"/>
                <w:lang w:eastAsia="lv-LV"/>
              </w:rPr>
            </w:pPr>
          </w:p>
        </w:tc>
        <w:tc>
          <w:tcPr>
            <w:tcW w:w="558" w:type="dxa"/>
            <w:gridSpan w:val="2"/>
            <w:tcBorders>
              <w:top w:val="nil"/>
              <w:left w:val="nil"/>
              <w:bottom w:val="nil"/>
              <w:right w:val="nil"/>
            </w:tcBorders>
          </w:tcPr>
          <w:p w:rsidR="00233DD0" w:rsidRPr="0073194F" w:rsidRDefault="00233DD0" w:rsidP="00A70D56">
            <w:pPr>
              <w:ind w:firstLine="426"/>
              <w:rPr>
                <w:rFonts w:eastAsia="Times New Roman" w:cs="Times New Roman"/>
                <w:sz w:val="20"/>
                <w:szCs w:val="20"/>
                <w:lang w:eastAsia="lv-LV"/>
              </w:rPr>
            </w:pPr>
          </w:p>
        </w:tc>
      </w:tr>
    </w:tbl>
    <w:p w:rsidR="0073194F" w:rsidRDefault="00003992" w:rsidP="00A70D56">
      <w:pPr>
        <w:pStyle w:val="NoSpacing"/>
        <w:ind w:firstLine="426"/>
        <w:jc w:val="center"/>
        <w:rPr>
          <w:b/>
          <w:color w:val="FF0000"/>
        </w:rPr>
      </w:pPr>
      <w:r>
        <w:rPr>
          <w:b/>
          <w:color w:val="000000" w:themeColor="text1"/>
        </w:rPr>
        <w:t>8</w:t>
      </w:r>
      <w:r w:rsidR="0073194F" w:rsidRPr="00D5051B">
        <w:rPr>
          <w:b/>
          <w:color w:val="000000" w:themeColor="text1"/>
        </w:rPr>
        <w:t>.attēls</w:t>
      </w:r>
      <w:r w:rsidR="0073194F" w:rsidRPr="0073194F">
        <w:rPr>
          <w:b/>
          <w:color w:val="000000" w:themeColor="text1"/>
        </w:rPr>
        <w:t xml:space="preserve">. Statistika par alkohola reibumā izraisīto </w:t>
      </w:r>
      <w:proofErr w:type="spellStart"/>
      <w:r w:rsidR="0073194F" w:rsidRPr="0073194F">
        <w:rPr>
          <w:b/>
          <w:color w:val="000000" w:themeColor="text1"/>
        </w:rPr>
        <w:t>CSNg</w:t>
      </w:r>
      <w:proofErr w:type="spellEnd"/>
      <w:r w:rsidR="0073194F" w:rsidRPr="0073194F">
        <w:rPr>
          <w:b/>
          <w:color w:val="000000" w:themeColor="text1"/>
        </w:rPr>
        <w:t xml:space="preserve"> cietušo un bojāgājušo s</w:t>
      </w:r>
      <w:r w:rsidR="00002BCB">
        <w:rPr>
          <w:b/>
          <w:color w:val="000000" w:themeColor="text1"/>
        </w:rPr>
        <w:t>kaitu no 2001. līdz 2015.gadam</w:t>
      </w:r>
    </w:p>
    <w:p w:rsidR="0073194F" w:rsidRPr="0073194F" w:rsidRDefault="0073194F" w:rsidP="00A70D56">
      <w:pPr>
        <w:pStyle w:val="NoSpacing"/>
        <w:ind w:firstLine="426"/>
        <w:jc w:val="center"/>
        <w:rPr>
          <w:b/>
          <w:color w:val="FF0000"/>
        </w:rPr>
      </w:pPr>
    </w:p>
    <w:p w:rsidR="00514F01" w:rsidRPr="00FA561E" w:rsidRDefault="00324A2B" w:rsidP="00A70D56">
      <w:pPr>
        <w:pStyle w:val="NoSpacing"/>
        <w:ind w:firstLine="426"/>
        <w:jc w:val="both"/>
        <w:rPr>
          <w:color w:val="000000" w:themeColor="text1"/>
        </w:rPr>
      </w:pPr>
      <w:r>
        <w:rPr>
          <w:color w:val="000000" w:themeColor="text1"/>
        </w:rPr>
        <w:t>Lai samazinātu un novērstu TL vadīšanu alkohola reibumā vai narkotisko vielu ietekmē, ir nepieciešams mainīt sabiedrības attieksmi pret</w:t>
      </w:r>
      <w:r w:rsidRPr="00324A2B">
        <w:rPr>
          <w:color w:val="000000" w:themeColor="text1"/>
        </w:rPr>
        <w:t xml:space="preserve"> alkohola un narkotisko vielu ietekmi uz ceļu satiksmes drošību</w:t>
      </w:r>
      <w:r w:rsidR="006D15BE">
        <w:rPr>
          <w:color w:val="000000" w:themeColor="text1"/>
        </w:rPr>
        <w:t>. Viens no veidiem</w:t>
      </w:r>
      <w:r w:rsidR="00002BCB">
        <w:rPr>
          <w:color w:val="000000" w:themeColor="text1"/>
        </w:rPr>
        <w:t>,</w:t>
      </w:r>
      <w:r w:rsidR="006D15BE">
        <w:rPr>
          <w:color w:val="000000" w:themeColor="text1"/>
        </w:rPr>
        <w:t xml:space="preserve"> kā panākt sabiedrības attieksmes maiņu</w:t>
      </w:r>
      <w:r w:rsidR="00002BCB">
        <w:rPr>
          <w:color w:val="000000" w:themeColor="text1"/>
        </w:rPr>
        <w:t>,</w:t>
      </w:r>
      <w:r w:rsidR="006D15BE">
        <w:rPr>
          <w:color w:val="000000" w:themeColor="text1"/>
        </w:rPr>
        <w:t xml:space="preserve"> ir dažādu kampaņu īstenošana, tomēr jāuzsver arī sodu nozīmīgums</w:t>
      </w:r>
      <w:r w:rsidR="006256FB">
        <w:rPr>
          <w:color w:val="000000" w:themeColor="text1"/>
        </w:rPr>
        <w:t>.</w:t>
      </w:r>
      <w:r w:rsidR="006D15BE">
        <w:rPr>
          <w:color w:val="000000" w:themeColor="text1"/>
        </w:rPr>
        <w:t xml:space="preserve"> </w:t>
      </w:r>
    </w:p>
    <w:p w:rsidR="004F7CD8" w:rsidRDefault="004F7CD8" w:rsidP="00003992">
      <w:pPr>
        <w:pStyle w:val="NoSpacing"/>
        <w:rPr>
          <w:b/>
        </w:rPr>
      </w:pPr>
    </w:p>
    <w:p w:rsidR="00302156" w:rsidRDefault="00302156" w:rsidP="00A70D56">
      <w:pPr>
        <w:pStyle w:val="NoSpacing"/>
        <w:ind w:firstLine="426"/>
        <w:rPr>
          <w:b/>
        </w:rPr>
      </w:pPr>
      <w:r w:rsidRPr="00302156">
        <w:rPr>
          <w:b/>
        </w:rPr>
        <w:t>TL vadīšana nogurumā</w:t>
      </w:r>
    </w:p>
    <w:p w:rsidR="00302156" w:rsidRPr="001167A7" w:rsidRDefault="00FA7C2A" w:rsidP="00BA7171">
      <w:pPr>
        <w:pStyle w:val="NoSpacing"/>
        <w:ind w:firstLine="426"/>
        <w:jc w:val="both"/>
        <w:rPr>
          <w:b/>
        </w:rPr>
      </w:pPr>
      <w:r>
        <w:t xml:space="preserve">2014.gadā tika publicēts </w:t>
      </w:r>
      <w:r w:rsidRPr="001167A7">
        <w:t>p</w:t>
      </w:r>
      <w:r w:rsidR="00302156" w:rsidRPr="001167A7">
        <w:t>ētījums</w:t>
      </w:r>
      <w:r w:rsidR="001167A7" w:rsidRPr="001167A7">
        <w:rPr>
          <w:rStyle w:val="FootnoteReference"/>
        </w:rPr>
        <w:footnoteReference w:id="12"/>
      </w:r>
      <w:r w:rsidRPr="001167A7">
        <w:t xml:space="preserve"> par</w:t>
      </w:r>
      <w:r w:rsidR="00302156">
        <w:t xml:space="preserve"> </w:t>
      </w:r>
      <w:r>
        <w:t>miegainības sastopamības biežumu</w:t>
      </w:r>
      <w:r w:rsidRPr="00FA7C2A">
        <w:t xml:space="preserve"> Latvijas </w:t>
      </w:r>
      <w:r w:rsidR="00002BCB">
        <w:t xml:space="preserve">TL </w:t>
      </w:r>
      <w:r w:rsidRPr="00FA7C2A">
        <w:t>vadītāju vidū</w:t>
      </w:r>
      <w:r>
        <w:t xml:space="preserve">, kas tika veikts </w:t>
      </w:r>
      <w:r w:rsidR="00302156">
        <w:t xml:space="preserve">vairākos posmos laika periodā no 2010. gada līdz 2013. gada septembrim vairākās vietās Latvijā. Pētījumā tika uzaicināti piedalīties garāmbraucošo </w:t>
      </w:r>
      <w:r w:rsidR="006256FB">
        <w:t>TL</w:t>
      </w:r>
      <w:r w:rsidR="00302156">
        <w:t xml:space="preserve"> vadītāji. Izmeklējamo personu piesaiste notika pēc brīvprātības princip</w:t>
      </w:r>
      <w:r>
        <w:t>iem. Visi dati par respondentiem</w:t>
      </w:r>
      <w:r w:rsidR="00302156">
        <w:t xml:space="preserve"> tika fiksēti anonīmi.</w:t>
      </w:r>
    </w:p>
    <w:p w:rsidR="00FA7C2A" w:rsidRDefault="00FA7C2A" w:rsidP="00D829C1">
      <w:pPr>
        <w:pStyle w:val="NoSpacing"/>
        <w:ind w:firstLine="426"/>
      </w:pPr>
      <w:r>
        <w:t xml:space="preserve">Pētījumā </w:t>
      </w:r>
      <w:r w:rsidR="00675D8B">
        <w:t>būtiskākie secinājumi</w:t>
      </w:r>
      <w:r>
        <w:t>:</w:t>
      </w:r>
    </w:p>
    <w:p w:rsidR="00302156" w:rsidRPr="00575F1E" w:rsidRDefault="00302156" w:rsidP="00BA7171">
      <w:pPr>
        <w:pStyle w:val="NoSpacing"/>
        <w:numPr>
          <w:ilvl w:val="0"/>
          <w:numId w:val="44"/>
        </w:numPr>
        <w:jc w:val="both"/>
      </w:pPr>
      <w:r w:rsidRPr="00575F1E">
        <w:t xml:space="preserve">Latvijas </w:t>
      </w:r>
      <w:r w:rsidR="006256FB">
        <w:t>TL</w:t>
      </w:r>
      <w:r w:rsidR="00056485">
        <w:t xml:space="preserve"> vadītāju vidū samērā bieži </w:t>
      </w:r>
      <w:r w:rsidRPr="00675D8B">
        <w:rPr>
          <w:b/>
        </w:rPr>
        <w:t>konstatēts augsts (11,7 %) iemigšanas risks</w:t>
      </w:r>
      <w:r w:rsidRPr="00575F1E">
        <w:t xml:space="preserve">. Šādi rezultāti liecina par to, ka palielināta </w:t>
      </w:r>
      <w:r w:rsidR="006256FB">
        <w:t>TL</w:t>
      </w:r>
      <w:r w:rsidRPr="00575F1E">
        <w:t xml:space="preserve"> vadītāju miegainība ir nopietna</w:t>
      </w:r>
      <w:r w:rsidR="00056485">
        <w:t>,</w:t>
      </w:r>
      <w:r w:rsidRPr="00575F1E">
        <w:t xml:space="preserve"> ceļu satiksmes drošību apdraudoša problēma Latvijā.</w:t>
      </w:r>
    </w:p>
    <w:p w:rsidR="00675D8B" w:rsidRDefault="00302156" w:rsidP="00BA7171">
      <w:pPr>
        <w:pStyle w:val="NoSpacing"/>
        <w:numPr>
          <w:ilvl w:val="0"/>
          <w:numId w:val="44"/>
        </w:numPr>
        <w:jc w:val="both"/>
      </w:pPr>
      <w:r w:rsidRPr="00575F1E">
        <w:t xml:space="preserve">Biežāk nekā citiem </w:t>
      </w:r>
      <w:r w:rsidR="006256FB">
        <w:t>TL</w:t>
      </w:r>
      <w:r w:rsidRPr="00575F1E">
        <w:t xml:space="preserve"> vadītājiem augsts iemigšanas risks tika konstatēts vec</w:t>
      </w:r>
      <w:r w:rsidR="00675D8B">
        <w:t>uma grupā no 18 līdz 40 gadiem.</w:t>
      </w:r>
    </w:p>
    <w:p w:rsidR="00675D8B" w:rsidRDefault="00302156" w:rsidP="00BA7171">
      <w:pPr>
        <w:pStyle w:val="NoSpacing"/>
        <w:numPr>
          <w:ilvl w:val="0"/>
          <w:numId w:val="44"/>
        </w:numPr>
        <w:jc w:val="both"/>
      </w:pPr>
      <w:r w:rsidRPr="00675D8B">
        <w:rPr>
          <w:b/>
        </w:rPr>
        <w:t>Kravas automašīnu</w:t>
      </w:r>
      <w:r w:rsidRPr="00575F1E">
        <w:t xml:space="preserve"> vadītājiem augsts iemigšanas risks tika konstatēts ievērojami biežāk  (20,5 %) nekā vieglo automašīnu vadītājiem (11,2 %).</w:t>
      </w:r>
    </w:p>
    <w:p w:rsidR="00302156" w:rsidRPr="00575F1E" w:rsidRDefault="00302156" w:rsidP="00BA7171">
      <w:pPr>
        <w:pStyle w:val="NoSpacing"/>
        <w:numPr>
          <w:ilvl w:val="0"/>
          <w:numId w:val="44"/>
        </w:numPr>
        <w:jc w:val="both"/>
      </w:pPr>
      <w:r w:rsidRPr="00575F1E">
        <w:lastRenderedPageBreak/>
        <w:t xml:space="preserve">Pētījumā </w:t>
      </w:r>
      <w:r w:rsidR="006256FB" w:rsidRPr="00575F1E">
        <w:t>konstatētas</w:t>
      </w:r>
      <w:r w:rsidRPr="00575F1E">
        <w:t xml:space="preserve"> būtiskas augsta iemigšanas riska sastopamības biežuma atšķirības dažādās diennakts stundās. Laikā starp 15:00 un 18:00 augsts iemigšanas risks </w:t>
      </w:r>
      <w:r w:rsidR="006256FB">
        <w:t>TL</w:t>
      </w:r>
      <w:r w:rsidRPr="00575F1E">
        <w:t xml:space="preserve"> vadītāju vidū sastopams 1,7 reizes biežāk nekā laika periodā starp 9:00 un 15:00.</w:t>
      </w:r>
    </w:p>
    <w:p w:rsidR="00302156" w:rsidRPr="00575F1E" w:rsidRDefault="00302156" w:rsidP="00BA7171">
      <w:pPr>
        <w:pStyle w:val="NoSpacing"/>
        <w:numPr>
          <w:ilvl w:val="0"/>
          <w:numId w:val="44"/>
        </w:numPr>
        <w:jc w:val="both"/>
      </w:pPr>
      <w:r w:rsidRPr="00575F1E">
        <w:t>Bieži sastopamu miegainību autovadītāju vidū apliecina arī aptaujas rezultāti. Ievērojami paaugstinātu risku iemigt pie stūres pēdējā gada laikā vismaz vienu reizi piedzīvojuši 63,5 % autovadītāju, 22,5 % paaugstinātu iemigšanas risku piedzīvojuši vismaz vienu reizi mēnesī, bet 6,9 % paaugstinātu iemigšanas risku piedzīvojuši katru nedēļu. Starp vīriešiem šādu personu bija vairāk, nekā starp sievietēm.</w:t>
      </w:r>
    </w:p>
    <w:p w:rsidR="00675D8B" w:rsidRDefault="005E6027" w:rsidP="00BA7171">
      <w:pPr>
        <w:pStyle w:val="NoSpacing"/>
        <w:numPr>
          <w:ilvl w:val="0"/>
          <w:numId w:val="44"/>
        </w:numPr>
        <w:jc w:val="both"/>
      </w:pPr>
      <w:r>
        <w:t>S</w:t>
      </w:r>
      <w:r w:rsidR="00302156" w:rsidRPr="00575F1E">
        <w:t xml:space="preserve">ekundes miegu pie stūres </w:t>
      </w:r>
      <w:proofErr w:type="spellStart"/>
      <w:r w:rsidR="00302156" w:rsidRPr="00575F1E">
        <w:t>pēdēja</w:t>
      </w:r>
      <w:proofErr w:type="spellEnd"/>
      <w:r w:rsidR="00302156" w:rsidRPr="00575F1E">
        <w:t xml:space="preserve"> gada laikā piedzīvojuši 34,6 % autovadītāju. Vīrieši (īpaši vecumā no 18 līdz 40 gadiem) piedzīvojuši sekundes miegu pie stūres ievērojami biežāk, nekā sievietes (īpaši vecumā no 18 līdz 40 gadiem). Atšķirības starp jaunākiem un vecākiem autovadītājiem nav būtiskas.</w:t>
      </w:r>
    </w:p>
    <w:p w:rsidR="00302156" w:rsidRPr="00575F1E" w:rsidRDefault="00302156" w:rsidP="00BA7171">
      <w:pPr>
        <w:pStyle w:val="NoSpacing"/>
        <w:numPr>
          <w:ilvl w:val="0"/>
          <w:numId w:val="44"/>
        </w:numPr>
        <w:jc w:val="both"/>
      </w:pPr>
      <w:r w:rsidRPr="00575F1E">
        <w:t>Pētījumā nav konstatēta ļoti cieša saistība starp autovadītāju miegainības pašvērtējumu un objektīvā miegainības mērījuma rezultātiem, tātad autovadītāji nespēj pietiekami precīzi paši novērtēt savu miegainību, vismaz daļa autovadītāju miegainību nespēj atšķirt no noguruma.</w:t>
      </w:r>
    </w:p>
    <w:p w:rsidR="00302156" w:rsidRPr="00575F1E" w:rsidRDefault="00302156" w:rsidP="00BA7171">
      <w:pPr>
        <w:pStyle w:val="NoSpacing"/>
        <w:numPr>
          <w:ilvl w:val="0"/>
          <w:numId w:val="44"/>
        </w:numPr>
        <w:jc w:val="both"/>
      </w:pPr>
      <w:r w:rsidRPr="00575F1E">
        <w:t>Būtiskākais pētījumā konstatētais faktors, kurš radikāli samazina augsta iemigšanas riska sastopamības biežumu, ir atvaļinājums (strādājošiem) vai mācību brīvlaiks (tiem, kuri mācās). Atvaļinājuma laikā /mācību brīvlaikā  ļoti</w:t>
      </w:r>
      <w:r w:rsidR="005E6027">
        <w:t xml:space="preserve"> būtiski (vairāk nekā 7 reizes</w:t>
      </w:r>
      <w:r w:rsidRPr="00575F1E">
        <w:t>) samazinās iemigš</w:t>
      </w:r>
      <w:r w:rsidR="005E6027">
        <w:t>anas riska sastopamības biežums.</w:t>
      </w:r>
    </w:p>
    <w:p w:rsidR="00302156" w:rsidRPr="00575F1E" w:rsidRDefault="00302156" w:rsidP="00BA7171">
      <w:pPr>
        <w:pStyle w:val="NoSpacing"/>
        <w:numPr>
          <w:ilvl w:val="0"/>
          <w:numId w:val="44"/>
        </w:numPr>
        <w:jc w:val="both"/>
      </w:pPr>
      <w:r w:rsidRPr="00575F1E">
        <w:t>Autovadītāji, kuri nebija pietiekami izgulējušies pēdējā naktī/nedēļā pirms pētījuma, ievērojami biežāk piedzīvojuši miegainību/sekundes miegu pie stūres iepriekšējā gada laikā. Tas apstiprina pieņēmumu, ka nepietiekama izgulēšanās nereti nav gadījuma rakstura, bet gan attiecīgās personas dzīvesveids - tie, kuri hroniski neizguļas, neizdara secinājumus (vai arī nespēj mainīt savu dzīvesveidu, ieradumus, darba vai mācību grafiku) un turpina dzīvot neizgulējušies.</w:t>
      </w:r>
    </w:p>
    <w:p w:rsidR="00302156" w:rsidRPr="00575F1E" w:rsidRDefault="00302156" w:rsidP="00BA7171">
      <w:pPr>
        <w:pStyle w:val="NoSpacing"/>
        <w:numPr>
          <w:ilvl w:val="0"/>
          <w:numId w:val="44"/>
        </w:numPr>
        <w:jc w:val="both"/>
      </w:pPr>
      <w:r w:rsidRPr="00575F1E">
        <w:t xml:space="preserve">Kofeīnu saturošu dzērienu pozitīvā ietekme uz iemigšanas riska samazināšanu šajā pētījumā nav apstiprinājusies. </w:t>
      </w:r>
    </w:p>
    <w:p w:rsidR="00302156" w:rsidRPr="00575F1E" w:rsidRDefault="00302156" w:rsidP="00BA7171">
      <w:pPr>
        <w:pStyle w:val="NoSpacing"/>
        <w:numPr>
          <w:ilvl w:val="0"/>
          <w:numId w:val="44"/>
        </w:numPr>
        <w:jc w:val="both"/>
      </w:pPr>
      <w:r w:rsidRPr="00575F1E">
        <w:t>Kā biežākos cēloņus nepietiekami ilgam un kvalitatīvam miegam respondenti norādījuši:</w:t>
      </w:r>
      <w:r w:rsidRPr="00575F1E">
        <w:rPr>
          <w:rFonts w:cs="Arial"/>
        </w:rPr>
        <w:t xml:space="preserve"> pārmērīgu mācību slodzi, stresu, nespēju atslēgties no darba vai personīgām problēmām un pārmērīgu darba slodzi. </w:t>
      </w:r>
    </w:p>
    <w:p w:rsidR="00302156" w:rsidRPr="00575F1E" w:rsidRDefault="00302156" w:rsidP="00BA7171">
      <w:pPr>
        <w:pStyle w:val="NoSpacing"/>
        <w:numPr>
          <w:ilvl w:val="0"/>
          <w:numId w:val="44"/>
        </w:numPr>
        <w:jc w:val="both"/>
      </w:pPr>
      <w:r w:rsidRPr="00575F1E">
        <w:t>Darbs maiņās dažādos laikos būtiski paaugstina miegainību, salīdzinot ar standarta darba laiku. Respondenti, kuriem ir darbs maiņās dažādos laikos, pēdējā gada laikā biežāk nekā citi izjutuši miegainību pie stūres.</w:t>
      </w:r>
    </w:p>
    <w:p w:rsidR="00302156" w:rsidRPr="00320E52" w:rsidRDefault="00302156" w:rsidP="00BA7171">
      <w:pPr>
        <w:pStyle w:val="NoSpacing"/>
        <w:numPr>
          <w:ilvl w:val="0"/>
          <w:numId w:val="44"/>
        </w:numPr>
        <w:jc w:val="both"/>
      </w:pPr>
      <w:r w:rsidRPr="00575F1E">
        <w:t xml:space="preserve">Darba slodze salīdzinājumā ar mācību slodzi, daudz biežāk izraisa augstu iemigšanas risku </w:t>
      </w:r>
      <w:r w:rsidRPr="00320E52">
        <w:t>(objektīvi).</w:t>
      </w:r>
    </w:p>
    <w:p w:rsidR="00F22A97" w:rsidRPr="00DC57D4" w:rsidRDefault="00302156" w:rsidP="005E6027">
      <w:pPr>
        <w:pStyle w:val="NoSpacing"/>
        <w:numPr>
          <w:ilvl w:val="0"/>
          <w:numId w:val="44"/>
        </w:numPr>
        <w:jc w:val="both"/>
      </w:pPr>
      <w:r w:rsidRPr="00BA28A2">
        <w:t>Sekundes miegu pie stūres pēdējā gada laikā ievērojami biežāk piedzīvojuši strādājošie autovadītāji (salīdzinājumā ar nestrādājošiem).</w:t>
      </w:r>
    </w:p>
    <w:p w:rsidR="00067F26" w:rsidRPr="00320E52" w:rsidRDefault="006F033C" w:rsidP="00D829C1">
      <w:pPr>
        <w:pStyle w:val="NoSpacing"/>
        <w:ind w:firstLine="567"/>
        <w:jc w:val="both"/>
      </w:pPr>
      <w:r w:rsidRPr="00320E52">
        <w:t>Par miegainību pie stūres un tā nozīmīgumu ceļu satiksmes drošības risku izv</w:t>
      </w:r>
      <w:r w:rsidR="004B3880" w:rsidRPr="00320E52">
        <w:t>ērtēšanā var liecināt arī šāds</w:t>
      </w:r>
      <w:r w:rsidR="00067F26" w:rsidRPr="00320E52">
        <w:t xml:space="preserve"> </w:t>
      </w:r>
      <w:proofErr w:type="spellStart"/>
      <w:r w:rsidR="00067F26" w:rsidRPr="00320E52">
        <w:t>CSNg</w:t>
      </w:r>
      <w:proofErr w:type="spellEnd"/>
      <w:r w:rsidR="00067F26" w:rsidRPr="00320E52">
        <w:t xml:space="preserve"> izmeklēšanas scenārija piemērs</w:t>
      </w:r>
      <w:r w:rsidR="00067F26" w:rsidRPr="00320E52">
        <w:rPr>
          <w:rStyle w:val="FootnoteReference"/>
        </w:rPr>
        <w:footnoteReference w:id="13"/>
      </w:r>
      <w:r w:rsidRPr="00320E52">
        <w:t>:</w:t>
      </w:r>
      <w:r w:rsidR="00067F26" w:rsidRPr="00320E52">
        <w:t xml:space="preserve"> </w:t>
      </w:r>
      <w:proofErr w:type="spellStart"/>
      <w:r w:rsidR="00067F26" w:rsidRPr="00320E52">
        <w:rPr>
          <w:b/>
        </w:rPr>
        <w:t>CSNg</w:t>
      </w:r>
      <w:proofErr w:type="spellEnd"/>
      <w:r w:rsidR="00067F26" w:rsidRPr="00320E52">
        <w:rPr>
          <w:b/>
        </w:rPr>
        <w:t xml:space="preserve"> scenārijs</w:t>
      </w:r>
      <w:r w:rsidR="00067F26" w:rsidRPr="00320E52">
        <w:t xml:space="preserve"> -  profesionāls kravas auto vadītājs iemieg pie stūres un nobrauc no ceļa ar ātrumu 70 km/h, tālāk kravas auto ietriecas ceļa apgaismes stabā. Negadījuma rezultātā kravas auto vadītājs iet bojā. Lai analizētu šo </w:t>
      </w:r>
      <w:proofErr w:type="spellStart"/>
      <w:r w:rsidR="00067F26" w:rsidRPr="00320E52">
        <w:t>CSNg</w:t>
      </w:r>
      <w:proofErr w:type="spellEnd"/>
      <w:r w:rsidR="00067F26" w:rsidRPr="00320E52">
        <w:t>, būtu jāpievērš uzmanība šādiem jautājumiem:</w:t>
      </w:r>
    </w:p>
    <w:p w:rsidR="00067F26" w:rsidRPr="00320E52" w:rsidRDefault="00067F26" w:rsidP="00F22A97">
      <w:pPr>
        <w:pStyle w:val="NoSpacing"/>
        <w:ind w:firstLine="426"/>
        <w:jc w:val="both"/>
      </w:pPr>
      <w:r w:rsidRPr="00320E52">
        <w:t>•</w:t>
      </w:r>
      <w:r w:rsidRPr="00320E52">
        <w:tab/>
        <w:t xml:space="preserve">Kāpēc kravas auto vadītājs nobrauca no ceļa? Jo tas iemiga pie stūres (lielāka daļa no </w:t>
      </w:r>
      <w:proofErr w:type="spellStart"/>
      <w:r w:rsidRPr="00320E52">
        <w:t>CSNg</w:t>
      </w:r>
      <w:proofErr w:type="spellEnd"/>
      <w:r w:rsidRPr="00320E52">
        <w:t xml:space="preserve"> izmeklēšanām ar šī fakta konstatāciju arī beidzas</w:t>
      </w:r>
      <w:r w:rsidR="005E6027">
        <w:t>,</w:t>
      </w:r>
      <w:r w:rsidRPr="00320E52">
        <w:t xml:space="preserve"> kā iemesls tiek noteikts iemigšana pie stūres).</w:t>
      </w:r>
    </w:p>
    <w:p w:rsidR="00067F26" w:rsidRPr="00320E52" w:rsidRDefault="00067F26" w:rsidP="00D829C1">
      <w:pPr>
        <w:pStyle w:val="NoSpacing"/>
        <w:ind w:firstLine="426"/>
        <w:jc w:val="both"/>
      </w:pPr>
      <w:r w:rsidRPr="00320E52">
        <w:t>•</w:t>
      </w:r>
      <w:r w:rsidRPr="00320E52">
        <w:tab/>
        <w:t>Kāpēc kravas auto vadītājs iemiga pie stūres? Tāpēc, ka viņš bija piekritis strādāt papildu darba maiņu, pat ņemot vērā, ka viņš bija manāmi noguris (viņam bija nepieciešams nopelnīt vairāk naudas).</w:t>
      </w:r>
    </w:p>
    <w:p w:rsidR="00067F26" w:rsidRPr="00320E52" w:rsidRDefault="00067F26" w:rsidP="00D829C1">
      <w:pPr>
        <w:pStyle w:val="NoSpacing"/>
        <w:ind w:firstLine="426"/>
        <w:jc w:val="both"/>
      </w:pPr>
      <w:r w:rsidRPr="00320E52">
        <w:t>•</w:t>
      </w:r>
      <w:r w:rsidRPr="00320E52">
        <w:tab/>
        <w:t>Kāpēc kravas auto vadītājs varēja strādāt papildu darba maiņā? Tāpēc, ka darba vietā nebija ieviesta pareiza sistēma, kas kontrolē darbiniekus, lai tie nestrādātu pārslodzē.</w:t>
      </w:r>
    </w:p>
    <w:p w:rsidR="00067F26" w:rsidRPr="00320E52" w:rsidRDefault="00067F26" w:rsidP="00D829C1">
      <w:pPr>
        <w:pStyle w:val="NoSpacing"/>
        <w:ind w:firstLine="426"/>
        <w:jc w:val="both"/>
      </w:pPr>
      <w:r w:rsidRPr="00320E52">
        <w:t>•</w:t>
      </w:r>
      <w:r w:rsidRPr="00320E52">
        <w:tab/>
        <w:t>Kāpēc darba vietā nebija ieviesta darbinieku kontroles sistēma? Tāpēc, ka tā nav normatīvajos aktos noteikta kā obligāta un uzņēmuma vadībai nav motivācijas tādu ieviest.</w:t>
      </w:r>
    </w:p>
    <w:p w:rsidR="00067F26" w:rsidRPr="00320E52" w:rsidRDefault="00067F26" w:rsidP="00D829C1">
      <w:pPr>
        <w:pStyle w:val="NoSpacing"/>
        <w:ind w:firstLine="426"/>
        <w:jc w:val="both"/>
      </w:pPr>
      <w:r w:rsidRPr="00320E52">
        <w:lastRenderedPageBreak/>
        <w:t>•</w:t>
      </w:r>
      <w:r w:rsidRPr="00320E52">
        <w:tab/>
        <w:t>Kāpēc ceļa apgaismes stabs atradās tiešā ceļa tuvumā? Tādēļ, ka normatīvajos aktos šāda veida risinājums tiek pieļauts.</w:t>
      </w:r>
    </w:p>
    <w:p w:rsidR="00067F26" w:rsidRPr="00320E52" w:rsidRDefault="00067F26" w:rsidP="00D829C1">
      <w:pPr>
        <w:pStyle w:val="NoSpacing"/>
        <w:ind w:firstLine="426"/>
        <w:jc w:val="both"/>
      </w:pPr>
      <w:r w:rsidRPr="00320E52">
        <w:t>•</w:t>
      </w:r>
      <w:r w:rsidRPr="00320E52">
        <w:tab/>
        <w:t xml:space="preserve">Kāpēc normatīvajos aktos šāds risinājums tiek pieļauts? Tāpēc, ka atbildīgajām institūcijām par ceļu infrastruktūru nav sistemātiska pieeja ceļu projektēšanai – balstoties uz </w:t>
      </w:r>
      <w:proofErr w:type="spellStart"/>
      <w:r w:rsidRPr="00320E52">
        <w:t>CSNg</w:t>
      </w:r>
      <w:proofErr w:type="spellEnd"/>
      <w:r w:rsidRPr="00320E52">
        <w:t xml:space="preserve"> izmeklēšanu.</w:t>
      </w:r>
    </w:p>
    <w:p w:rsidR="00067F26" w:rsidRPr="00320E52" w:rsidRDefault="00067F26" w:rsidP="00D829C1">
      <w:pPr>
        <w:pStyle w:val="NoSpacing"/>
        <w:ind w:firstLine="426"/>
        <w:jc w:val="both"/>
      </w:pPr>
      <w:r w:rsidRPr="00320E52">
        <w:t>•</w:t>
      </w:r>
      <w:r w:rsidRPr="00320E52">
        <w:tab/>
        <w:t>Kāpēc atbildīgajām institūcijām par ceļu infrastruktūru nav sistemātiska pieeja ceļu projektēšanai? Tāpēc, ka augstāk stāvošām valsts institūcijām nav vēlmes palielināt ceļu projektēšanas un izbūves izmaksas, lai tos padarītu drošākus.</w:t>
      </w:r>
    </w:p>
    <w:p w:rsidR="00067F26" w:rsidRDefault="00067F26" w:rsidP="00D829C1">
      <w:pPr>
        <w:pStyle w:val="NoSpacing"/>
        <w:ind w:firstLine="426"/>
        <w:jc w:val="both"/>
      </w:pPr>
      <w:r w:rsidRPr="00320E52">
        <w:t>Ta</w:t>
      </w:r>
      <w:r w:rsidR="000137E8">
        <w:t>jā</w:t>
      </w:r>
      <w:r w:rsidRPr="00320E52">
        <w:t xml:space="preserve"> pat laikā atbilde uz jautājumu “kāpēc kravas auto vadītājs iemiga pie stūres?” varētu būt arī šāda: kravas auto nebija aprīkots ar vadītāja brīdināšanas sistēmu, kad tas ir noguris un sāk iemigt pie stūres. Tālākā izmeklēšanā jau tiktu secināts, ka kravas auto ražotājam nav bijis iemesls uzstādīt vadītāja brīdināšanas sistēmu, jo tā pārdevējs (lokālais dīleris) nav pietiekoši pilnvērtīgi informējis par šādu papildu aprīkojumu, kā arī kravas auto pircējs nav radis ekonomisko pamatojumu šādu sistēmu iegādāties kopā ar kravas auto. Papildus tiktu secināts arī, ka atbildīgās valsts institūcijas nav radušas nepieciešamību šādas sistēmas ieviest kā obligātas jauniem kravas auto, jo auto ražotāji tās uzstāda tikai kā papildu aprīkojumu par noteiktu samaksu.</w:t>
      </w:r>
    </w:p>
    <w:p w:rsidR="00DA7186" w:rsidRDefault="00DA7186" w:rsidP="00067F26">
      <w:pPr>
        <w:spacing w:after="200" w:line="276" w:lineRule="auto"/>
        <w:jc w:val="both"/>
      </w:pPr>
    </w:p>
    <w:p w:rsidR="00DD117F" w:rsidRPr="00003992" w:rsidRDefault="00DD117F" w:rsidP="00003992">
      <w:pPr>
        <w:pStyle w:val="NoSpacing"/>
        <w:ind w:firstLine="567"/>
        <w:rPr>
          <w:b/>
        </w:rPr>
      </w:pPr>
      <w:r w:rsidRPr="00003992">
        <w:rPr>
          <w:b/>
        </w:rPr>
        <w:t>TL vadītāju uzmanības novēršana no ceļa un mobilo ierīču lietošana pie stūres</w:t>
      </w:r>
    </w:p>
    <w:p w:rsidR="00E60E5A" w:rsidRDefault="00E60E5A" w:rsidP="00BA7171">
      <w:pPr>
        <w:pStyle w:val="NoSpacing"/>
        <w:ind w:firstLine="567"/>
        <w:jc w:val="both"/>
      </w:pPr>
      <w:r>
        <w:t>Autovadītāju uzmanības novēršana no ceļa ir pieaugoša parādība pēdējos gados, un t</w:t>
      </w:r>
      <w:r w:rsidR="000137E8">
        <w:t>ā</w:t>
      </w:r>
      <w:r>
        <w:t xml:space="preserve"> kļūst  par vienu no galvenajiem faktoriem </w:t>
      </w:r>
      <w:proofErr w:type="spellStart"/>
      <w:r>
        <w:t>CSNg</w:t>
      </w:r>
      <w:proofErr w:type="spellEnd"/>
      <w:r>
        <w:t xml:space="preserve">. TL arvien vairāk tiek uzstādītas dažādas komforta un izklaides sistēmas, kas var novērst </w:t>
      </w:r>
      <w:r w:rsidR="000137E8">
        <w:t xml:space="preserve">vadītāja </w:t>
      </w:r>
      <w:r>
        <w:t>uzmanību no ceļa</w:t>
      </w:r>
      <w:r w:rsidR="000137E8">
        <w:t>.</w:t>
      </w:r>
      <w:r>
        <w:t xml:space="preserve"> </w:t>
      </w:r>
      <w:r w:rsidR="000137E8">
        <w:t>T</w:t>
      </w:r>
      <w:r>
        <w:t xml:space="preserve">āpat joprojām augsts risks iekļūt </w:t>
      </w:r>
      <w:proofErr w:type="spellStart"/>
      <w:r>
        <w:t>CSNg</w:t>
      </w:r>
      <w:proofErr w:type="spellEnd"/>
      <w:r>
        <w:t xml:space="preserve"> ir vadītājiem, kas pie stūres izmanto dažādas mobilās ierīces, piemēram, mobilos telefonus, navigācijas iekārtas un planšetdatorus. Būtiski, ka tuvākajā laikā arvien pieaugs šo ierīču popularitāte, tātad pieaugs arī risks šādiem TL vadītājiem iekļūt </w:t>
      </w:r>
      <w:proofErr w:type="spellStart"/>
      <w:r>
        <w:t>CSNg</w:t>
      </w:r>
      <w:proofErr w:type="spellEnd"/>
      <w:r>
        <w:t>.</w:t>
      </w:r>
    </w:p>
    <w:p w:rsidR="00E60E5A" w:rsidRDefault="000137E8" w:rsidP="00BA7171">
      <w:pPr>
        <w:pStyle w:val="NoSpacing"/>
        <w:ind w:firstLine="567"/>
        <w:jc w:val="both"/>
      </w:pPr>
      <w:r>
        <w:t>Ņ</w:t>
      </w:r>
      <w:r w:rsidR="00E60E5A">
        <w:t>emot vērā, ka iemesli, kas var novērst autovadītāja uzmanību</w:t>
      </w:r>
      <w:r w:rsidR="005E6027">
        <w:t>,</w:t>
      </w:r>
      <w:r w:rsidR="00E60E5A">
        <w:t xml:space="preserve"> var būt ļoti dažādi, tiek identificēti četri galvenie: </w:t>
      </w:r>
    </w:p>
    <w:p w:rsidR="00E60E5A" w:rsidRDefault="00E60E5A" w:rsidP="00BA7171">
      <w:pPr>
        <w:pStyle w:val="NoSpacing"/>
        <w:ind w:firstLine="567"/>
        <w:jc w:val="both"/>
      </w:pPr>
      <w:r>
        <w:t>- vizuāli izraisīta uzmanības novēršana (piemēram, autovadītājam skatoties prom no ceļa, uz apkārtni, uz</w:t>
      </w:r>
      <w:r w:rsidR="00D5051B">
        <w:t xml:space="preserve"> </w:t>
      </w:r>
      <w:r>
        <w:t>pasažieriem</w:t>
      </w:r>
      <w:r w:rsidR="008A0A1A">
        <w:t xml:space="preserve"> u.c.</w:t>
      </w:r>
      <w:r>
        <w:t xml:space="preserve">), </w:t>
      </w:r>
    </w:p>
    <w:p w:rsidR="00E60E5A" w:rsidRDefault="00E60E5A" w:rsidP="00BA7171">
      <w:pPr>
        <w:pStyle w:val="NoSpacing"/>
        <w:ind w:firstLine="567"/>
        <w:jc w:val="both"/>
      </w:pPr>
      <w:r>
        <w:t xml:space="preserve">- akustiski izraisīta uzmanības novēršana (piemēram, tālruņa zvans, </w:t>
      </w:r>
      <w:r w:rsidR="008A0A1A">
        <w:t>mūzika u.c.</w:t>
      </w:r>
      <w:r>
        <w:t xml:space="preserve">), </w:t>
      </w:r>
    </w:p>
    <w:p w:rsidR="00E60E5A" w:rsidRDefault="00E60E5A" w:rsidP="00BA7171">
      <w:pPr>
        <w:pStyle w:val="NoSpacing"/>
        <w:ind w:firstLine="567"/>
        <w:jc w:val="both"/>
      </w:pPr>
      <w:r>
        <w:t xml:space="preserve">- </w:t>
      </w:r>
      <w:proofErr w:type="spellStart"/>
      <w:r w:rsidR="008A0A1A">
        <w:t>biomehāniskā</w:t>
      </w:r>
      <w:proofErr w:type="spellEnd"/>
      <w:r w:rsidR="008A0A1A">
        <w:t xml:space="preserve"> uzmanības novēršana</w:t>
      </w:r>
      <w:r>
        <w:t xml:space="preserve"> (piemēram, </w:t>
      </w:r>
      <w:r w:rsidR="00D5051B">
        <w:t xml:space="preserve">vadītājam </w:t>
      </w:r>
      <w:r w:rsidR="008A0A1A">
        <w:t>regulējot radiostaciju u.c.</w:t>
      </w:r>
      <w:r>
        <w:t xml:space="preserve">), </w:t>
      </w:r>
    </w:p>
    <w:p w:rsidR="00E60E5A" w:rsidRDefault="00E60E5A" w:rsidP="00BA7171">
      <w:pPr>
        <w:pStyle w:val="NoSpacing"/>
        <w:ind w:firstLine="567"/>
        <w:jc w:val="both"/>
      </w:pPr>
      <w:r>
        <w:t xml:space="preserve">- </w:t>
      </w:r>
      <w:r w:rsidR="008A0A1A">
        <w:t>kognitīvā</w:t>
      </w:r>
      <w:r w:rsidR="008A0A1A">
        <w:rPr>
          <w:rStyle w:val="FootnoteReference"/>
        </w:rPr>
        <w:footnoteReference w:id="14"/>
      </w:r>
      <w:r w:rsidR="008A0A1A">
        <w:t xml:space="preserve"> uzmanības novēršana</w:t>
      </w:r>
      <w:r>
        <w:t xml:space="preserve"> (piem</w:t>
      </w:r>
      <w:r w:rsidR="008A0A1A">
        <w:t>ēram, aizsapņošanās u.c.).</w:t>
      </w:r>
    </w:p>
    <w:p w:rsidR="008A0A1A" w:rsidRDefault="008A0A1A" w:rsidP="00003992">
      <w:pPr>
        <w:pStyle w:val="NoSpacing"/>
        <w:ind w:firstLine="567"/>
      </w:pPr>
    </w:p>
    <w:p w:rsidR="000C4B31" w:rsidRDefault="009550D8" w:rsidP="00BA7171">
      <w:pPr>
        <w:pStyle w:val="NoSpacing"/>
        <w:ind w:firstLine="567"/>
        <w:jc w:val="both"/>
      </w:pPr>
      <w:r>
        <w:t>Pasākumi, lai risinātu šo jautājumu</w:t>
      </w:r>
      <w:r w:rsidR="005E6027">
        <w:t>,</w:t>
      </w:r>
      <w:r>
        <w:t xml:space="preserve"> parasti tiek iedalīti piecās kategorijās: nodrošinot atbilstošas prasības normatīvajos aktos un kontrolējot to izpildi, papildinot autovadītāju apmācību procesu, īstenojot dažādas reklāmas kampaņas, </w:t>
      </w:r>
      <w:r w:rsidR="000C4B31">
        <w:t>ieviešot dažādus</w:t>
      </w:r>
      <w:r>
        <w:t xml:space="preserve"> pasākumus un darbības, kas saistītas ar ceļu infrastruktūra</w:t>
      </w:r>
      <w:r w:rsidR="000C4B31">
        <w:t xml:space="preserve">s tehnoloģijām, lai tās palīdzētu samazināt uzmanības novēršanu (piemēram, </w:t>
      </w:r>
      <w:proofErr w:type="spellStart"/>
      <w:r w:rsidR="000C4B31">
        <w:t>ribjoslas</w:t>
      </w:r>
      <w:proofErr w:type="spellEnd"/>
      <w:r w:rsidR="000C4B31">
        <w:t>)</w:t>
      </w:r>
      <w:r>
        <w:t xml:space="preserve">. </w:t>
      </w:r>
      <w:r w:rsidR="000C4B31">
        <w:t xml:space="preserve"> Jāatceras, ka šo pasākumu īstenošanā tiek iesaistīti autovadītāji, transporta uzņēmumi</w:t>
      </w:r>
      <w:r>
        <w:t xml:space="preserve">, </w:t>
      </w:r>
      <w:r w:rsidR="000C4B31">
        <w:t xml:space="preserve">ceļu </w:t>
      </w:r>
      <w:proofErr w:type="spellStart"/>
      <w:r w:rsidR="000C4B31">
        <w:t>apsaimniekotāji</w:t>
      </w:r>
      <w:proofErr w:type="spellEnd"/>
      <w:r w:rsidR="000C4B31">
        <w:t xml:space="preserve"> un uzturētāji un </w:t>
      </w:r>
      <w:r w:rsidR="004928B4" w:rsidRPr="004928B4">
        <w:t>TL</w:t>
      </w:r>
      <w:r w:rsidR="000C4B31">
        <w:t xml:space="preserve"> izgatavotāji</w:t>
      </w:r>
      <w:r>
        <w:t>.</w:t>
      </w:r>
      <w:r w:rsidR="000C4B31">
        <w:t xml:space="preserve"> </w:t>
      </w:r>
    </w:p>
    <w:p w:rsidR="008A0A1A" w:rsidRPr="00320E52" w:rsidRDefault="000C4B31" w:rsidP="00BA7171">
      <w:pPr>
        <w:pStyle w:val="NoSpacing"/>
        <w:ind w:firstLine="567"/>
        <w:jc w:val="both"/>
        <w:rPr>
          <w:rFonts w:cs="Times New Roman"/>
        </w:rPr>
      </w:pPr>
      <w:r>
        <w:t xml:space="preserve">Visbiežāk uzmanības novēršana no ceļa ir sastopama tieši </w:t>
      </w:r>
      <w:r w:rsidR="000137E8">
        <w:t xml:space="preserve">TL </w:t>
      </w:r>
      <w:r>
        <w:t>vadītāju vidū, t</w:t>
      </w:r>
      <w:r w:rsidR="009550D8">
        <w:t>omēr</w:t>
      </w:r>
      <w:r>
        <w:t xml:space="preserve"> liels</w:t>
      </w:r>
      <w:r w:rsidR="009550D8">
        <w:t xml:space="preserve"> risks </w:t>
      </w:r>
      <w:r>
        <w:t xml:space="preserve">iekļūt </w:t>
      </w:r>
      <w:proofErr w:type="spellStart"/>
      <w:r>
        <w:t>CSNg</w:t>
      </w:r>
      <w:proofErr w:type="spellEnd"/>
      <w:r>
        <w:t>, kas izraisīta</w:t>
      </w:r>
      <w:r w:rsidR="005E6027">
        <w:t>,</w:t>
      </w:r>
      <w:r>
        <w:t xml:space="preserve"> novēršot uzmanību no ceļa</w:t>
      </w:r>
      <w:r w:rsidR="005E6027">
        <w:t>,</w:t>
      </w:r>
      <w:r>
        <w:t xml:space="preserve"> pastāv arī gājējiem, velosipēdistiem un motociklistiem</w:t>
      </w:r>
      <w:r w:rsidRPr="00D5051B">
        <w:rPr>
          <w:rFonts w:cs="Times New Roman"/>
        </w:rPr>
        <w:t xml:space="preserve">, jo mobilās ierīces tiek lietotas arvien plašāk, turklāt to lietošanas popularitāte tikai </w:t>
      </w:r>
      <w:r w:rsidRPr="00320E52">
        <w:rPr>
          <w:rFonts w:cs="Times New Roman"/>
        </w:rPr>
        <w:t xml:space="preserve">palielinās. </w:t>
      </w:r>
    </w:p>
    <w:p w:rsidR="00F22A97" w:rsidRPr="00320E52" w:rsidRDefault="00F22A97" w:rsidP="00A70D56">
      <w:pPr>
        <w:pStyle w:val="ListParagraph"/>
        <w:spacing w:after="200" w:line="276" w:lineRule="auto"/>
        <w:ind w:left="142" w:firstLine="426"/>
        <w:jc w:val="both"/>
        <w:rPr>
          <w:rFonts w:cs="Times New Roman"/>
        </w:rPr>
      </w:pPr>
    </w:p>
    <w:p w:rsidR="00067F26" w:rsidRPr="00320E52" w:rsidRDefault="00003992" w:rsidP="00067F26">
      <w:pPr>
        <w:pStyle w:val="ListParagraph"/>
        <w:spacing w:after="200" w:line="276" w:lineRule="auto"/>
        <w:ind w:left="142" w:firstLine="426"/>
        <w:jc w:val="both"/>
        <w:rPr>
          <w:rFonts w:cs="Times New Roman"/>
          <w:b/>
        </w:rPr>
      </w:pPr>
      <w:r>
        <w:rPr>
          <w:rFonts w:cs="Times New Roman"/>
          <w:b/>
        </w:rPr>
        <w:t>Satiksmes dalībnieku pieļauto kļūdu ietekme uz ceļu satiksmes drošību</w:t>
      </w:r>
    </w:p>
    <w:p w:rsidR="00067F26" w:rsidRPr="00320E52" w:rsidRDefault="00067F26" w:rsidP="00067F26">
      <w:pPr>
        <w:pStyle w:val="ListParagraph"/>
        <w:spacing w:after="200" w:line="276" w:lineRule="auto"/>
        <w:ind w:left="142" w:firstLine="426"/>
        <w:jc w:val="both"/>
        <w:rPr>
          <w:rFonts w:cs="Times New Roman"/>
          <w:b/>
        </w:rPr>
      </w:pPr>
      <w:r w:rsidRPr="00320E52">
        <w:rPr>
          <w:rFonts w:cs="Times New Roman"/>
        </w:rPr>
        <w:t>Cilvēki pieļauj kļūdas, tas ir pašsaprotami, turklāt šādas kļūdas tiek pieļautas arī piedaloties ceļu satiksmē gan kā autovadītājam, gan kā velosipēda vadītājam, gan arī kā gājējam. Lai noteiktu potenciālos riskus un paaugstinātu ceļu satiksmes drošību, būtiski ir apzināties, kāda veida kļūdas cilvēki pieļauj. Galvenokārt kļūdas</w:t>
      </w:r>
      <w:r w:rsidRPr="00320E52">
        <w:rPr>
          <w:rStyle w:val="FootnoteReference"/>
          <w:rFonts w:cs="Times New Roman"/>
        </w:rPr>
        <w:footnoteReference w:id="15"/>
      </w:r>
      <w:r w:rsidRPr="00320E52">
        <w:rPr>
          <w:rFonts w:cs="Times New Roman"/>
        </w:rPr>
        <w:t xml:space="preserve"> ceļu satiksmē var iedalīt šādi:</w:t>
      </w:r>
    </w:p>
    <w:p w:rsidR="00067F26" w:rsidRPr="00320E52" w:rsidRDefault="00067F26" w:rsidP="00067F26">
      <w:pPr>
        <w:pStyle w:val="ListParagraph"/>
        <w:numPr>
          <w:ilvl w:val="0"/>
          <w:numId w:val="42"/>
        </w:numPr>
        <w:tabs>
          <w:tab w:val="left" w:pos="9120"/>
        </w:tabs>
        <w:ind w:left="1134"/>
        <w:jc w:val="both"/>
        <w:rPr>
          <w:rFonts w:cs="Times New Roman"/>
          <w:b/>
        </w:rPr>
      </w:pPr>
      <w:r w:rsidRPr="00320E52">
        <w:rPr>
          <w:rFonts w:cs="Times New Roman"/>
          <w:b/>
        </w:rPr>
        <w:t xml:space="preserve">Pārprašana. </w:t>
      </w:r>
      <w:r w:rsidRPr="00320E52">
        <w:rPr>
          <w:rFonts w:cs="Times New Roman"/>
        </w:rPr>
        <w:t>Šajā gadījumā rīcība iziet no neplānotas darbības – tiek pārprastas ceļa zīmes, ceļa konfigurācija, vai arī notiek cita ceļu satiksmes dalībnieka rīcības pārprašana.</w:t>
      </w:r>
    </w:p>
    <w:p w:rsidR="00067F26" w:rsidRPr="00320E52" w:rsidRDefault="00067F26" w:rsidP="00067F26">
      <w:pPr>
        <w:pStyle w:val="ListParagraph"/>
        <w:numPr>
          <w:ilvl w:val="0"/>
          <w:numId w:val="42"/>
        </w:numPr>
        <w:tabs>
          <w:tab w:val="left" w:pos="9120"/>
        </w:tabs>
        <w:ind w:left="1134"/>
        <w:jc w:val="both"/>
        <w:rPr>
          <w:rFonts w:cs="Times New Roman"/>
          <w:b/>
        </w:rPr>
      </w:pPr>
      <w:r w:rsidRPr="00320E52">
        <w:rPr>
          <w:rFonts w:cs="Times New Roman"/>
          <w:b/>
        </w:rPr>
        <w:lastRenderedPageBreak/>
        <w:t xml:space="preserve">Neuzmanība. </w:t>
      </w:r>
      <w:r w:rsidRPr="00320E52">
        <w:rPr>
          <w:rFonts w:cs="Times New Roman"/>
        </w:rPr>
        <w:t>Neuzmanība ir sekas tam, ka noteiktā brīdī cilvēks ir bijis pārāk maz pievērsts uzmanībai uz ceļa, ir aizdomājies vai arī aizmirsis, kā jārīkojas konkrētā situācijā (aizmirsis, ko nozīmē noteikta ceļa zīme, kāds ir atļautais kustības ātrums noteiktā ceļa posmā u.c.).</w:t>
      </w:r>
    </w:p>
    <w:p w:rsidR="00067F26" w:rsidRPr="00320E52" w:rsidRDefault="00067F26" w:rsidP="00067F26">
      <w:pPr>
        <w:pStyle w:val="ListParagraph"/>
        <w:numPr>
          <w:ilvl w:val="0"/>
          <w:numId w:val="42"/>
        </w:numPr>
        <w:tabs>
          <w:tab w:val="left" w:pos="9120"/>
        </w:tabs>
        <w:ind w:left="1134"/>
        <w:jc w:val="both"/>
        <w:rPr>
          <w:rFonts w:cs="Times New Roman"/>
          <w:b/>
        </w:rPr>
      </w:pPr>
      <w:r w:rsidRPr="00320E52">
        <w:rPr>
          <w:rFonts w:cs="Times New Roman"/>
          <w:b/>
        </w:rPr>
        <w:t>Kļūdīšanās.</w:t>
      </w:r>
      <w:r w:rsidRPr="00320E52">
        <w:rPr>
          <w:rFonts w:cs="Times New Roman"/>
        </w:rPr>
        <w:t xml:space="preserve"> Cilvēks rīkojas nepareizi, jo ir pieņēmis kļūdainu lēmumu, vai arī tam liekas, ka rīkojas pareizi, taču patiesībā viņš kļūdās.</w:t>
      </w:r>
    </w:p>
    <w:p w:rsidR="00233DD0" w:rsidRPr="005E6027" w:rsidRDefault="00067F26" w:rsidP="00233DD0">
      <w:pPr>
        <w:pStyle w:val="ListParagraph"/>
        <w:numPr>
          <w:ilvl w:val="0"/>
          <w:numId w:val="42"/>
        </w:numPr>
        <w:tabs>
          <w:tab w:val="left" w:pos="9120"/>
        </w:tabs>
        <w:ind w:left="1134"/>
        <w:jc w:val="both"/>
        <w:rPr>
          <w:rFonts w:cs="Times New Roman"/>
          <w:b/>
        </w:rPr>
      </w:pPr>
      <w:r w:rsidRPr="00320E52">
        <w:rPr>
          <w:rFonts w:cs="Times New Roman"/>
          <w:b/>
        </w:rPr>
        <w:t>Apzināta rīcība.</w:t>
      </w:r>
      <w:r w:rsidRPr="00320E52">
        <w:rPr>
          <w:rFonts w:cs="Times New Roman"/>
        </w:rPr>
        <w:t xml:space="preserve"> Cilvēks apzināti</w:t>
      </w:r>
      <w:r w:rsidR="005E6027">
        <w:rPr>
          <w:rFonts w:cs="Times New Roman"/>
        </w:rPr>
        <w:t xml:space="preserve"> </w:t>
      </w:r>
      <w:r w:rsidR="005E6027" w:rsidRPr="00320E52">
        <w:rPr>
          <w:rFonts w:cs="Times New Roman"/>
        </w:rPr>
        <w:t>rīkojas</w:t>
      </w:r>
      <w:r w:rsidRPr="00320E52">
        <w:rPr>
          <w:rFonts w:cs="Times New Roman"/>
        </w:rPr>
        <w:t xml:space="preserve"> pretēji pieņemtajai kārtībai (pārkāpj ātrumu, neievēro aizliegumu apdzīt u.c.).</w:t>
      </w:r>
    </w:p>
    <w:p w:rsidR="000807B7" w:rsidRPr="000807B7" w:rsidRDefault="000807B7" w:rsidP="000807B7">
      <w:pPr>
        <w:pStyle w:val="ListParagraph"/>
        <w:tabs>
          <w:tab w:val="left" w:pos="9120"/>
        </w:tabs>
        <w:ind w:left="1134"/>
        <w:jc w:val="both"/>
        <w:rPr>
          <w:rFonts w:cs="Times New Roman"/>
          <w:b/>
        </w:rPr>
      </w:pPr>
    </w:p>
    <w:p w:rsidR="008037A8" w:rsidRPr="004151FF" w:rsidRDefault="008037A8" w:rsidP="004151FF">
      <w:pPr>
        <w:pStyle w:val="NoSpacing"/>
        <w:ind w:firstLine="426"/>
        <w:rPr>
          <w:b/>
        </w:rPr>
      </w:pPr>
      <w:r w:rsidRPr="004151FF">
        <w:rPr>
          <w:b/>
        </w:rPr>
        <w:t xml:space="preserve">Datubāzes un to nozīme </w:t>
      </w:r>
      <w:proofErr w:type="spellStart"/>
      <w:r w:rsidRPr="004151FF">
        <w:rPr>
          <w:b/>
        </w:rPr>
        <w:t>CSNg</w:t>
      </w:r>
      <w:proofErr w:type="spellEnd"/>
      <w:r w:rsidRPr="004151FF">
        <w:rPr>
          <w:b/>
        </w:rPr>
        <w:t xml:space="preserve"> risku novērtēšanā</w:t>
      </w:r>
    </w:p>
    <w:p w:rsidR="008037A8" w:rsidRPr="00320E52" w:rsidRDefault="008037A8" w:rsidP="00BA7171">
      <w:pPr>
        <w:pStyle w:val="NoSpacing"/>
        <w:ind w:firstLine="426"/>
        <w:jc w:val="both"/>
        <w:rPr>
          <w:b/>
        </w:rPr>
      </w:pPr>
      <w:r w:rsidRPr="00320E52">
        <w:t>Pasaules prakse liecina, ka pēdējos gados ir būtiski pieaugusi dažādu ar ceļu satiksmi un ceļu satiksmes drošību saistītu datubāžu nozīme un to savstarpējā integritāte. Lai iegūtie statistikas dati par ceļu satiksmi un ceļu satiksmes drošību būtu lietderīgi, būtu svarīgi integrēt vienotā sistēmā šāda veida statistikas datus</w:t>
      </w:r>
      <w:r w:rsidRPr="00320E52">
        <w:rPr>
          <w:vertAlign w:val="superscript"/>
        </w:rPr>
        <w:t>15</w:t>
      </w:r>
      <w:r w:rsidRPr="00320E52">
        <w:t>:</w:t>
      </w:r>
    </w:p>
    <w:p w:rsidR="008037A8" w:rsidRPr="00320E52" w:rsidRDefault="008037A8" w:rsidP="00BA7171">
      <w:pPr>
        <w:pStyle w:val="NoSpacing"/>
        <w:numPr>
          <w:ilvl w:val="0"/>
          <w:numId w:val="45"/>
        </w:numPr>
        <w:ind w:left="709" w:hanging="283"/>
        <w:jc w:val="both"/>
      </w:pPr>
      <w:r w:rsidRPr="00320E52">
        <w:t>pamatinformācija (valsts iedzīvotāju skaits, sociālekonomiskie indikatori, ģeogrāfiskie indikatori u.c.);</w:t>
      </w:r>
    </w:p>
    <w:p w:rsidR="008037A8" w:rsidRPr="00320E52" w:rsidRDefault="008037A8" w:rsidP="00BA7171">
      <w:pPr>
        <w:pStyle w:val="NoSpacing"/>
        <w:numPr>
          <w:ilvl w:val="0"/>
          <w:numId w:val="45"/>
        </w:numPr>
        <w:ind w:left="709" w:hanging="283"/>
        <w:jc w:val="both"/>
      </w:pPr>
      <w:r w:rsidRPr="00320E52">
        <w:t>dati par ceļu infrastruktūru (ceļu garums, tehniskais stāvoklis, ceļu aprīkojums, ceļa zīmes, ceļu kategorijas u.c.);</w:t>
      </w:r>
    </w:p>
    <w:p w:rsidR="008037A8" w:rsidRPr="00320E52" w:rsidRDefault="008037A8" w:rsidP="00BA7171">
      <w:pPr>
        <w:pStyle w:val="NoSpacing"/>
        <w:numPr>
          <w:ilvl w:val="0"/>
          <w:numId w:val="45"/>
        </w:numPr>
        <w:ind w:left="709" w:hanging="283"/>
        <w:jc w:val="both"/>
      </w:pPr>
      <w:r w:rsidRPr="00320E52">
        <w:t xml:space="preserve">dati par satiksmi (vidējie ikdienas/gada/mēneša nobraukumi, satiksmes plūsmas, turklāt arī dati par </w:t>
      </w:r>
      <w:proofErr w:type="spellStart"/>
      <w:r w:rsidRPr="00320E52">
        <w:t>mazaizsargātākajiem</w:t>
      </w:r>
      <w:proofErr w:type="spellEnd"/>
      <w:r w:rsidRPr="00320E52">
        <w:t xml:space="preserve"> ceļu satiksmes dalībniekiem);</w:t>
      </w:r>
    </w:p>
    <w:p w:rsidR="008037A8" w:rsidRPr="00320E52" w:rsidRDefault="008037A8" w:rsidP="00BA7171">
      <w:pPr>
        <w:pStyle w:val="NoSpacing"/>
        <w:numPr>
          <w:ilvl w:val="0"/>
          <w:numId w:val="45"/>
        </w:numPr>
        <w:ind w:left="709" w:hanging="283"/>
        <w:jc w:val="both"/>
      </w:pPr>
      <w:r w:rsidRPr="00320E52">
        <w:t xml:space="preserve">dati par </w:t>
      </w:r>
      <w:proofErr w:type="spellStart"/>
      <w:r w:rsidRPr="00320E52">
        <w:t>CSNg</w:t>
      </w:r>
      <w:proofErr w:type="spellEnd"/>
      <w:r w:rsidRPr="00320E52">
        <w:t xml:space="preserve"> (</w:t>
      </w:r>
      <w:proofErr w:type="spellStart"/>
      <w:r w:rsidRPr="00320E52">
        <w:t>CSNg</w:t>
      </w:r>
      <w:proofErr w:type="spellEnd"/>
      <w:r w:rsidRPr="00320E52">
        <w:t xml:space="preserve"> skaits, bojāgājušie, cietušie u.c.);</w:t>
      </w:r>
    </w:p>
    <w:p w:rsidR="008037A8" w:rsidRPr="00320E52" w:rsidRDefault="008037A8" w:rsidP="00BA7171">
      <w:pPr>
        <w:pStyle w:val="NoSpacing"/>
        <w:numPr>
          <w:ilvl w:val="0"/>
          <w:numId w:val="45"/>
        </w:numPr>
        <w:ind w:left="709" w:hanging="283"/>
        <w:jc w:val="both"/>
      </w:pPr>
      <w:r w:rsidRPr="00320E52">
        <w:t xml:space="preserve">dati par </w:t>
      </w:r>
      <w:proofErr w:type="spellStart"/>
      <w:r w:rsidRPr="00320E52">
        <w:t>CSNg</w:t>
      </w:r>
      <w:proofErr w:type="spellEnd"/>
      <w:r w:rsidRPr="00320E52">
        <w:t xml:space="preserve"> gūtajiem </w:t>
      </w:r>
      <w:r w:rsidRPr="004151FF">
        <w:t>ievainojumiem (</w:t>
      </w:r>
      <w:proofErr w:type="spellStart"/>
      <w:r w:rsidRPr="004151FF">
        <w:t>Maximum</w:t>
      </w:r>
      <w:proofErr w:type="spellEnd"/>
      <w:r w:rsidRPr="004151FF">
        <w:t xml:space="preserve"> </w:t>
      </w:r>
      <w:proofErr w:type="spellStart"/>
      <w:r w:rsidRPr="004151FF">
        <w:t>Abbreviated</w:t>
      </w:r>
      <w:proofErr w:type="spellEnd"/>
      <w:r w:rsidRPr="004151FF">
        <w:t xml:space="preserve"> </w:t>
      </w:r>
      <w:proofErr w:type="spellStart"/>
      <w:r w:rsidRPr="004151FF">
        <w:t>Injury</w:t>
      </w:r>
      <w:proofErr w:type="spellEnd"/>
      <w:r w:rsidRPr="004151FF">
        <w:t xml:space="preserve"> </w:t>
      </w:r>
      <w:proofErr w:type="spellStart"/>
      <w:r w:rsidRPr="004151FF">
        <w:t>scale</w:t>
      </w:r>
      <w:proofErr w:type="spellEnd"/>
      <w:r w:rsidRPr="004151FF">
        <w:t xml:space="preserve"> – MAIS);</w:t>
      </w:r>
    </w:p>
    <w:p w:rsidR="008037A8" w:rsidRPr="00320E52" w:rsidRDefault="008037A8" w:rsidP="00BA7171">
      <w:pPr>
        <w:pStyle w:val="NoSpacing"/>
        <w:numPr>
          <w:ilvl w:val="0"/>
          <w:numId w:val="45"/>
        </w:numPr>
        <w:ind w:left="709" w:hanging="283"/>
        <w:jc w:val="both"/>
      </w:pPr>
      <w:r w:rsidRPr="00320E52">
        <w:t>dati par satiksmes dalībniekiem (sodi, pārkāpumi u.c.);</w:t>
      </w:r>
    </w:p>
    <w:p w:rsidR="008037A8" w:rsidRPr="00320E52" w:rsidRDefault="008037A8" w:rsidP="00BA7171">
      <w:pPr>
        <w:pStyle w:val="NoSpacing"/>
        <w:numPr>
          <w:ilvl w:val="0"/>
          <w:numId w:val="45"/>
        </w:numPr>
        <w:ind w:left="709" w:hanging="283"/>
        <w:jc w:val="both"/>
      </w:pPr>
      <w:r w:rsidRPr="00320E52">
        <w:t xml:space="preserve">dati par </w:t>
      </w:r>
      <w:proofErr w:type="spellStart"/>
      <w:r w:rsidRPr="00320E52">
        <w:t>CSNg</w:t>
      </w:r>
      <w:proofErr w:type="spellEnd"/>
      <w:r w:rsidRPr="00320E52">
        <w:t xml:space="preserve"> zaudējumiem.</w:t>
      </w:r>
    </w:p>
    <w:p w:rsidR="004151FF" w:rsidRPr="000807B7" w:rsidRDefault="008037A8" w:rsidP="000807B7">
      <w:pPr>
        <w:pStyle w:val="NoSpacing"/>
        <w:ind w:firstLine="426"/>
        <w:jc w:val="both"/>
      </w:pPr>
      <w:r w:rsidRPr="00320E52">
        <w:t>Parasti līdzīgas datubāzes sastāv no liela apjoma informācijas, taču bieži vien šī informācija tiek nepietiekoši strukturēta, analizēta. Būtiski, ka analīze būtu jāveic</w:t>
      </w:r>
      <w:r w:rsidR="005E6027">
        <w:t>,</w:t>
      </w:r>
      <w:r w:rsidRPr="00320E52">
        <w:t xml:space="preserve"> sasaistot dažādus faktorus no katras atsevišķās datubāzes. Tas ir svarīgi tādēļ, ka šādā veidā var tālāk noteikt potenciālos riskus, tos modelēt un tālāk jau arī novērst vai samazināt.</w:t>
      </w:r>
    </w:p>
    <w:p w:rsidR="00092D68" w:rsidRPr="00320E52" w:rsidRDefault="00CD12A0" w:rsidP="00D1125E">
      <w:pPr>
        <w:pStyle w:val="Heading3"/>
      </w:pPr>
      <w:bookmarkStart w:id="28" w:name="_Toc477177760"/>
      <w:r w:rsidRPr="00320E52">
        <w:t>1</w:t>
      </w:r>
      <w:r w:rsidR="002844B9" w:rsidRPr="00320E52">
        <w:t>.3</w:t>
      </w:r>
      <w:r w:rsidR="00600E43" w:rsidRPr="00320E52">
        <w:t>.8</w:t>
      </w:r>
      <w:r w:rsidR="00606C22" w:rsidRPr="00320E52">
        <w:t xml:space="preserve">. </w:t>
      </w:r>
      <w:r w:rsidR="00606C22" w:rsidRPr="00320E52">
        <w:rPr>
          <w:rStyle w:val="Heading4Char"/>
          <w:rFonts w:ascii="Times New Roman" w:hAnsi="Times New Roman" w:cs="Arial"/>
          <w:i/>
          <w:iCs w:val="0"/>
          <w:color w:val="auto"/>
        </w:rPr>
        <w:t>Esoš</w:t>
      </w:r>
      <w:r w:rsidR="005D4D4D" w:rsidRPr="00320E52">
        <w:rPr>
          <w:rStyle w:val="Heading4Char"/>
          <w:rFonts w:ascii="Times New Roman" w:hAnsi="Times New Roman" w:cs="Arial"/>
          <w:i/>
          <w:iCs w:val="0"/>
          <w:color w:val="auto"/>
        </w:rPr>
        <w:t>ā</w:t>
      </w:r>
      <w:r w:rsidR="00606C22" w:rsidRPr="00320E52">
        <w:rPr>
          <w:rStyle w:val="Heading4Char"/>
          <w:rFonts w:ascii="Times New Roman" w:hAnsi="Times New Roman" w:cs="Arial"/>
          <w:i/>
          <w:iCs w:val="0"/>
          <w:color w:val="auto"/>
        </w:rPr>
        <w:t xml:space="preserve"> ceļu infrastruktūr</w:t>
      </w:r>
      <w:r w:rsidR="005D4D4D" w:rsidRPr="00320E52">
        <w:rPr>
          <w:rStyle w:val="Heading4Char"/>
          <w:rFonts w:ascii="Times New Roman" w:hAnsi="Times New Roman" w:cs="Arial"/>
          <w:i/>
          <w:iCs w:val="0"/>
          <w:color w:val="auto"/>
        </w:rPr>
        <w:t>a</w:t>
      </w:r>
      <w:bookmarkEnd w:id="28"/>
    </w:p>
    <w:p w:rsidR="002B7B5E" w:rsidRPr="00320E52" w:rsidRDefault="005A05D2" w:rsidP="00A70D56">
      <w:pPr>
        <w:ind w:firstLine="426"/>
        <w:rPr>
          <w:rFonts w:cs="Times New Roman"/>
          <w:b/>
        </w:rPr>
      </w:pPr>
      <w:r w:rsidRPr="00320E52">
        <w:rPr>
          <w:rFonts w:cs="Times New Roman"/>
          <w:b/>
        </w:rPr>
        <w:t>Valsts autoceļu infrastruktūra</w:t>
      </w:r>
    </w:p>
    <w:p w:rsidR="00F22A97" w:rsidRDefault="008037A8" w:rsidP="004151FF">
      <w:pPr>
        <w:tabs>
          <w:tab w:val="left" w:pos="9120"/>
        </w:tabs>
        <w:ind w:firstLine="426"/>
        <w:jc w:val="both"/>
        <w:rPr>
          <w:rFonts w:cs="Times New Roman"/>
        </w:rPr>
      </w:pPr>
      <w:r w:rsidRPr="00320E52">
        <w:rPr>
          <w:rFonts w:cs="Times New Roman"/>
        </w:rPr>
        <w:t>Lai arī nav iespējams pārbūvēt visus ceļus, ietves, brauktuves vai velosipēdu ceļus, ņemot vērā, ka izmaksas šādā gadījumā pārsniegtu jebkādus ekonomiskos ieguvumus, ceļu satiksmes drošību var uzlabot</w:t>
      </w:r>
      <w:r w:rsidR="005E6027">
        <w:rPr>
          <w:rFonts w:cs="Times New Roman"/>
        </w:rPr>
        <w:t>,</w:t>
      </w:r>
      <w:r w:rsidRPr="00320E52">
        <w:rPr>
          <w:rFonts w:cs="Times New Roman"/>
        </w:rPr>
        <w:t xml:space="preserve"> pilnveidojot ceļu satiksmes drošību esošajā ceļu tīklā. Šajā gadījumā ceļus var, piemēram, aprīkot ar ātrumu samazinošiem vaļņiem, var izveidot ceļu sašaurinājumus, izveidot apļveida krustojumus, kā arī citādi ierobežot iespēju pārsniegt ātrumu, kas ir galvenais riska faktors. Tabulā nr. </w:t>
      </w:r>
      <w:r w:rsidR="00BA7171">
        <w:rPr>
          <w:rFonts w:cs="Times New Roman"/>
        </w:rPr>
        <w:t>2</w:t>
      </w:r>
      <w:r w:rsidR="003D6783" w:rsidRPr="00320E52">
        <w:rPr>
          <w:rFonts w:cs="Times New Roman"/>
        </w:rPr>
        <w:t xml:space="preserve"> </w:t>
      </w:r>
      <w:r w:rsidRPr="00320E52">
        <w:rPr>
          <w:rFonts w:cs="Times New Roman"/>
        </w:rPr>
        <w:t>ir attēlota dažādu ceļu infrastrukt</w:t>
      </w:r>
      <w:r w:rsidR="004151FF">
        <w:rPr>
          <w:rFonts w:cs="Times New Roman"/>
        </w:rPr>
        <w:t>ūras īpašību ietekme uz ātrumu.</w:t>
      </w:r>
    </w:p>
    <w:p w:rsidR="004151FF" w:rsidRPr="00320E52" w:rsidRDefault="004151FF" w:rsidP="004151FF">
      <w:pPr>
        <w:tabs>
          <w:tab w:val="left" w:pos="9120"/>
        </w:tabs>
        <w:ind w:firstLine="426"/>
        <w:jc w:val="both"/>
        <w:rPr>
          <w:rFonts w:cs="Times New Roman"/>
        </w:rPr>
      </w:pPr>
    </w:p>
    <w:p w:rsidR="00233DD0" w:rsidRPr="00233DD0" w:rsidRDefault="00BA7171" w:rsidP="008037A8">
      <w:pPr>
        <w:tabs>
          <w:tab w:val="left" w:pos="9120"/>
        </w:tabs>
        <w:jc w:val="both"/>
        <w:rPr>
          <w:rFonts w:cs="Times New Roman"/>
          <w:b/>
        </w:rPr>
      </w:pPr>
      <w:r w:rsidRPr="00BA7171">
        <w:rPr>
          <w:rFonts w:cs="Times New Roman"/>
          <w:b/>
        </w:rPr>
        <w:t>2.tabula</w:t>
      </w:r>
      <w:r w:rsidR="008037A8" w:rsidRPr="00BA7171">
        <w:rPr>
          <w:rFonts w:cs="Times New Roman"/>
          <w:b/>
        </w:rPr>
        <w:t xml:space="preserve">  </w:t>
      </w:r>
      <w:r w:rsidR="008037A8" w:rsidRPr="00320E52">
        <w:rPr>
          <w:rFonts w:cs="Times New Roman"/>
          <w:b/>
        </w:rPr>
        <w:t>Ceļu infrastruktūras īpašības un to ietekme uz ātrumu</w:t>
      </w:r>
      <w:r w:rsidR="008037A8" w:rsidRPr="00320E52">
        <w:rPr>
          <w:rStyle w:val="FootnoteReference"/>
          <w:rFonts w:cs="Times New Roman"/>
          <w:b/>
        </w:rPr>
        <w:footnoteReference w:id="16"/>
      </w:r>
      <w:r w:rsidR="008037A8" w:rsidRPr="00320E52">
        <w:rPr>
          <w:rFonts w:cs="Times New Roman"/>
          <w:b/>
        </w:rPr>
        <w:t>.</w:t>
      </w:r>
    </w:p>
    <w:tbl>
      <w:tblPr>
        <w:tblStyle w:val="TableGrid"/>
        <w:tblW w:w="0" w:type="auto"/>
        <w:tblLook w:val="04A0" w:firstRow="1" w:lastRow="0" w:firstColumn="1" w:lastColumn="0" w:noHBand="0" w:noVBand="1"/>
      </w:tblPr>
      <w:tblGrid>
        <w:gridCol w:w="3350"/>
        <w:gridCol w:w="3352"/>
        <w:gridCol w:w="3352"/>
      </w:tblGrid>
      <w:tr w:rsidR="008037A8" w:rsidTr="009E0054">
        <w:tc>
          <w:tcPr>
            <w:tcW w:w="3351" w:type="dxa"/>
            <w:shd w:val="clear" w:color="auto" w:fill="D4D9CF" w:themeFill="accent6" w:themeFillTint="66"/>
          </w:tcPr>
          <w:p w:rsidR="008037A8" w:rsidRPr="008C2DFF" w:rsidRDefault="008037A8" w:rsidP="009E0054">
            <w:pPr>
              <w:tabs>
                <w:tab w:val="left" w:pos="9120"/>
              </w:tabs>
              <w:jc w:val="center"/>
              <w:rPr>
                <w:rFonts w:ascii="Arial" w:hAnsi="Arial" w:cs="Arial"/>
                <w:b/>
                <w:sz w:val="22"/>
              </w:rPr>
            </w:pPr>
            <w:r w:rsidRPr="008C2DFF">
              <w:rPr>
                <w:rFonts w:ascii="Arial" w:hAnsi="Arial" w:cs="Arial"/>
                <w:b/>
                <w:sz w:val="22"/>
              </w:rPr>
              <w:t>Ceļu infrastruktūras īpašība</w:t>
            </w:r>
          </w:p>
          <w:p w:rsidR="008037A8" w:rsidRPr="008C2DFF" w:rsidRDefault="008037A8" w:rsidP="009E0054">
            <w:pPr>
              <w:tabs>
                <w:tab w:val="left" w:pos="9120"/>
              </w:tabs>
              <w:jc w:val="center"/>
              <w:rPr>
                <w:rFonts w:ascii="Arial" w:hAnsi="Arial" w:cs="Arial"/>
                <w:b/>
                <w:sz w:val="22"/>
              </w:rPr>
            </w:pPr>
          </w:p>
        </w:tc>
        <w:tc>
          <w:tcPr>
            <w:tcW w:w="3352" w:type="dxa"/>
            <w:shd w:val="clear" w:color="auto" w:fill="D4D9CF" w:themeFill="accent6" w:themeFillTint="66"/>
          </w:tcPr>
          <w:p w:rsidR="008037A8" w:rsidRPr="008C2DFF" w:rsidRDefault="008037A8" w:rsidP="009E0054">
            <w:pPr>
              <w:tabs>
                <w:tab w:val="left" w:pos="9120"/>
              </w:tabs>
              <w:jc w:val="center"/>
              <w:rPr>
                <w:rFonts w:ascii="Arial" w:hAnsi="Arial" w:cs="Arial"/>
                <w:b/>
                <w:sz w:val="22"/>
              </w:rPr>
            </w:pPr>
            <w:r w:rsidRPr="008C2DFF">
              <w:rPr>
                <w:rFonts w:ascii="Arial" w:hAnsi="Arial" w:cs="Arial"/>
                <w:b/>
                <w:sz w:val="22"/>
              </w:rPr>
              <w:t>Paātrinošs efekts</w:t>
            </w:r>
          </w:p>
          <w:p w:rsidR="008037A8" w:rsidRPr="008C2DFF" w:rsidRDefault="008037A8" w:rsidP="009E0054">
            <w:pPr>
              <w:tabs>
                <w:tab w:val="left" w:pos="9120"/>
              </w:tabs>
              <w:jc w:val="center"/>
              <w:rPr>
                <w:rFonts w:ascii="Arial" w:hAnsi="Arial" w:cs="Arial"/>
                <w:b/>
                <w:sz w:val="22"/>
              </w:rPr>
            </w:pPr>
            <w:r w:rsidRPr="008C2DFF">
              <w:rPr>
                <w:rFonts w:ascii="Arial" w:hAnsi="Arial" w:cs="Arial"/>
                <w:b/>
                <w:sz w:val="22"/>
              </w:rPr>
              <w:t>(vēlme pārsniegt ātrumu)</w:t>
            </w:r>
          </w:p>
        </w:tc>
        <w:tc>
          <w:tcPr>
            <w:tcW w:w="3352" w:type="dxa"/>
            <w:shd w:val="clear" w:color="auto" w:fill="D4D9CF" w:themeFill="accent6" w:themeFillTint="66"/>
          </w:tcPr>
          <w:p w:rsidR="008037A8" w:rsidRPr="008C2DFF" w:rsidRDefault="008037A8" w:rsidP="009E0054">
            <w:pPr>
              <w:tabs>
                <w:tab w:val="left" w:pos="9120"/>
              </w:tabs>
              <w:jc w:val="center"/>
              <w:rPr>
                <w:rFonts w:ascii="Arial" w:hAnsi="Arial" w:cs="Arial"/>
                <w:b/>
                <w:sz w:val="22"/>
              </w:rPr>
            </w:pPr>
            <w:r w:rsidRPr="008C2DFF">
              <w:rPr>
                <w:rFonts w:ascii="Arial" w:hAnsi="Arial" w:cs="Arial"/>
                <w:b/>
                <w:sz w:val="22"/>
              </w:rPr>
              <w:t>Palēninošs efekts</w:t>
            </w:r>
          </w:p>
          <w:p w:rsidR="008037A8" w:rsidRPr="008C2DFF" w:rsidRDefault="008037A8" w:rsidP="009E0054">
            <w:pPr>
              <w:tabs>
                <w:tab w:val="left" w:pos="9120"/>
              </w:tabs>
              <w:jc w:val="center"/>
              <w:rPr>
                <w:rFonts w:ascii="Arial" w:hAnsi="Arial" w:cs="Arial"/>
                <w:b/>
                <w:sz w:val="22"/>
              </w:rPr>
            </w:pPr>
            <w:r w:rsidRPr="008C2DFF">
              <w:rPr>
                <w:rFonts w:ascii="Arial" w:hAnsi="Arial" w:cs="Arial"/>
                <w:b/>
                <w:sz w:val="22"/>
              </w:rPr>
              <w:t>(vēlme ātrumu samazināt)</w:t>
            </w:r>
          </w:p>
          <w:p w:rsidR="008037A8" w:rsidRPr="008C2DFF" w:rsidRDefault="008037A8" w:rsidP="009E0054">
            <w:pPr>
              <w:tabs>
                <w:tab w:val="left" w:pos="9120"/>
              </w:tabs>
              <w:jc w:val="center"/>
              <w:rPr>
                <w:rFonts w:ascii="Arial" w:hAnsi="Arial" w:cs="Arial"/>
                <w:b/>
                <w:sz w:val="22"/>
              </w:rPr>
            </w:pPr>
          </w:p>
        </w:tc>
      </w:tr>
      <w:tr w:rsidR="008037A8" w:rsidTr="009E0054">
        <w:tc>
          <w:tcPr>
            <w:tcW w:w="3351"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Taisns ceļa posms</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Garš taisna ceļa posms</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Īss taisna ceļa posms</w:t>
            </w:r>
          </w:p>
        </w:tc>
      </w:tr>
      <w:tr w:rsidR="008037A8" w:rsidTr="009E0054">
        <w:tc>
          <w:tcPr>
            <w:tcW w:w="3351"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Ātruma ierobežotāji</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Nav uzstādīti</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Ir uzstādīti</w:t>
            </w:r>
          </w:p>
        </w:tc>
      </w:tr>
      <w:tr w:rsidR="008037A8" w:rsidTr="009E0054">
        <w:tc>
          <w:tcPr>
            <w:tcW w:w="3351"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Ceļa apkārtne</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Plata un pārskatāma ceļa apkārtne</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Šaura un nepārskatāma ceļa apkārtne</w:t>
            </w:r>
          </w:p>
        </w:tc>
      </w:tr>
      <w:tr w:rsidR="008037A8" w:rsidTr="009E0054">
        <w:tc>
          <w:tcPr>
            <w:tcW w:w="3351"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Ceļa platums</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Plats ceļš</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Šaurs ceļš</w:t>
            </w:r>
          </w:p>
        </w:tc>
      </w:tr>
      <w:tr w:rsidR="008037A8" w:rsidTr="009E0054">
        <w:tc>
          <w:tcPr>
            <w:tcW w:w="3351"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Ceļa virsma</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Gluda ceļa virsma</w:t>
            </w:r>
          </w:p>
        </w:tc>
        <w:tc>
          <w:tcPr>
            <w:tcW w:w="3352" w:type="dxa"/>
            <w:shd w:val="clear" w:color="auto" w:fill="CCDDEA" w:themeFill="background2"/>
          </w:tcPr>
          <w:p w:rsidR="008037A8" w:rsidRPr="008C2DFF" w:rsidRDefault="008037A8" w:rsidP="009E0054">
            <w:pPr>
              <w:tabs>
                <w:tab w:val="left" w:pos="9120"/>
              </w:tabs>
              <w:jc w:val="center"/>
              <w:rPr>
                <w:rFonts w:ascii="Arial" w:hAnsi="Arial" w:cs="Arial"/>
                <w:sz w:val="22"/>
              </w:rPr>
            </w:pPr>
            <w:r w:rsidRPr="008C2DFF">
              <w:rPr>
                <w:rFonts w:ascii="Arial" w:hAnsi="Arial" w:cs="Arial"/>
                <w:sz w:val="22"/>
              </w:rPr>
              <w:t>Nelīdzena ceļa virsma</w:t>
            </w:r>
          </w:p>
        </w:tc>
      </w:tr>
    </w:tbl>
    <w:p w:rsidR="008037A8" w:rsidRDefault="008037A8" w:rsidP="008E30B4">
      <w:pPr>
        <w:jc w:val="both"/>
        <w:rPr>
          <w:rFonts w:cs="Times New Roman"/>
        </w:rPr>
      </w:pPr>
    </w:p>
    <w:p w:rsidR="005A05D2" w:rsidRDefault="008037A8" w:rsidP="006E783F">
      <w:pPr>
        <w:ind w:firstLine="426"/>
        <w:jc w:val="both"/>
        <w:rPr>
          <w:rFonts w:cs="Times New Roman"/>
        </w:rPr>
      </w:pPr>
      <w:r>
        <w:rPr>
          <w:rFonts w:cs="Times New Roman"/>
        </w:rPr>
        <w:t>Jānorāda, ka v</w:t>
      </w:r>
      <w:r w:rsidR="002B7B5E" w:rsidRPr="00D5051B">
        <w:rPr>
          <w:rFonts w:cs="Times New Roman"/>
        </w:rPr>
        <w:t>alsts autoceļi</w:t>
      </w:r>
      <w:r w:rsidR="002B7B5E">
        <w:rPr>
          <w:rFonts w:cs="Times New Roman"/>
        </w:rPr>
        <w:t xml:space="preserve"> tiek pakāpeniski rekonstruēti visos galvenos savienojumus veidojošos maršrutos, taču joprojām saglabājas satiksmes drošību pazeminošas iezīmes ceļie</w:t>
      </w:r>
      <w:r w:rsidR="002B7B5E" w:rsidRPr="006E783F">
        <w:rPr>
          <w:rFonts w:cs="Times New Roman"/>
        </w:rPr>
        <w:t xml:space="preserve">m. </w:t>
      </w:r>
      <w:r w:rsidR="002B7B5E" w:rsidRPr="006E783F">
        <w:rPr>
          <w:rFonts w:cs="Times New Roman"/>
          <w:u w:val="single"/>
        </w:rPr>
        <w:t xml:space="preserve">Būtiskākās problēmas, kas pazemina satiksmes </w:t>
      </w:r>
      <w:r w:rsidR="006E783F" w:rsidRPr="006E783F">
        <w:rPr>
          <w:rFonts w:cs="Times New Roman"/>
          <w:u w:val="single"/>
        </w:rPr>
        <w:t>drošību uz Latvijas autoceļiem</w:t>
      </w:r>
      <w:r w:rsidR="006E783F">
        <w:rPr>
          <w:rFonts w:cs="Times New Roman"/>
        </w:rPr>
        <w:t>:</w:t>
      </w:r>
    </w:p>
    <w:p w:rsidR="008E2E48" w:rsidRDefault="008E2E48" w:rsidP="006E783F">
      <w:pPr>
        <w:ind w:firstLine="426"/>
        <w:jc w:val="both"/>
        <w:rPr>
          <w:rFonts w:cs="Times New Roman"/>
        </w:rPr>
      </w:pPr>
    </w:p>
    <w:p w:rsidR="006E783F" w:rsidRPr="006E783F" w:rsidRDefault="006E783F" w:rsidP="006E783F">
      <w:pPr>
        <w:pStyle w:val="NoSpacing"/>
        <w:ind w:firstLine="567"/>
        <w:jc w:val="both"/>
        <w:rPr>
          <w:b/>
        </w:rPr>
      </w:pPr>
      <w:r w:rsidRPr="006E783F">
        <w:rPr>
          <w:b/>
        </w:rPr>
        <w:t>1)    Satiksmes intensitātei nepiem</w:t>
      </w:r>
      <w:r w:rsidR="005E6027">
        <w:rPr>
          <w:b/>
        </w:rPr>
        <w:t>ērots bīstams ceļa šķērsprofils</w:t>
      </w:r>
    </w:p>
    <w:p w:rsidR="006E783F" w:rsidRPr="006E783F" w:rsidRDefault="006E783F" w:rsidP="006E783F">
      <w:pPr>
        <w:pStyle w:val="NoSpacing"/>
        <w:ind w:firstLine="567"/>
        <w:jc w:val="both"/>
      </w:pPr>
      <w:r w:rsidRPr="006E783F">
        <w:t>Uz augstākās satiksmes intensitātes ceļu posmiem saglabāts šķērsprofils ar paplašinātām asfaltētām nomalēm, kas rada bīstamus apdzīšanas precedentus, par ko vairākkārtīgi sniegta informācija, veicot esošo ceļu auditus tādiem ceļu posmiem kā A1 posmā no Baltezera līdz Skultei, A7 v</w:t>
      </w:r>
      <w:r>
        <w:t xml:space="preserve">airākos posmos Ķekava – Bauska. </w:t>
      </w:r>
      <w:r w:rsidRPr="006E783F">
        <w:t xml:space="preserve">Netiek izmantota iespēja bīstamos ceļa posmos veidot apdzīšanas aizliegumus ar marķētu un segumā iefrēzētu </w:t>
      </w:r>
      <w:proofErr w:type="spellStart"/>
      <w:r w:rsidRPr="006E783F">
        <w:t>rievjoslu</w:t>
      </w:r>
      <w:proofErr w:type="spellEnd"/>
      <w:r>
        <w:t>.</w:t>
      </w:r>
      <w:r w:rsidRPr="006E783F">
        <w:t xml:space="preserve"> </w:t>
      </w:r>
      <w:r w:rsidR="005E6027">
        <w:t>Turklāt pastāv iespēja</w:t>
      </w:r>
      <w:r w:rsidRPr="006E783F">
        <w:t xml:space="preserve"> ceļu</w:t>
      </w:r>
      <w:r w:rsidR="005E6027">
        <w:t>s</w:t>
      </w:r>
      <w:r w:rsidRPr="006E783F">
        <w:t xml:space="preserve"> bez centrālās sadalošās joslas ar daļēji </w:t>
      </w:r>
      <w:r w:rsidR="005E6027">
        <w:t>asfaltētu nomali (NP14) pārveidot par ceļiem, kur tiek izmantots</w:t>
      </w:r>
      <w:r w:rsidRPr="006E783F">
        <w:t xml:space="preserve"> </w:t>
      </w:r>
      <w:r w:rsidR="005E6027">
        <w:t>“</w:t>
      </w:r>
      <w:r w:rsidRPr="006E783F">
        <w:t>2+1 joslas pr</w:t>
      </w:r>
      <w:r w:rsidR="005E6027">
        <w:t>incips”</w:t>
      </w:r>
      <w:r w:rsidRPr="006E783F">
        <w:t xml:space="preserve">, </w:t>
      </w:r>
      <w:r w:rsidR="005E6027">
        <w:t>tādējādi radot drošas apsteigšanas zonas. Šajā gadījumā</w:t>
      </w:r>
      <w:r w:rsidRPr="006E783F">
        <w:t xml:space="preserve"> vienlaikus</w:t>
      </w:r>
      <w:r w:rsidR="005E6027">
        <w:t xml:space="preserve"> būtu</w:t>
      </w:r>
      <w:r w:rsidRPr="006E783F">
        <w:t xml:space="preserve"> </w:t>
      </w:r>
      <w:r w:rsidR="005E6027">
        <w:t>jārisina jautājum</w:t>
      </w:r>
      <w:r w:rsidRPr="006E783F">
        <w:t>s par paralēlajiem viensētu un uzņēmumu transportu savācošajiem ceļiem, kas spēj uzņem</w:t>
      </w:r>
      <w:r>
        <w:t>t arī lauksaimniecības tehniku.</w:t>
      </w:r>
    </w:p>
    <w:p w:rsidR="006E783F" w:rsidRPr="006E783F" w:rsidRDefault="006E783F" w:rsidP="006E783F">
      <w:pPr>
        <w:pStyle w:val="NoSpacing"/>
        <w:ind w:firstLine="567"/>
        <w:jc w:val="both"/>
        <w:rPr>
          <w:b/>
        </w:rPr>
      </w:pPr>
      <w:r w:rsidRPr="006E783F">
        <w:rPr>
          <w:b/>
        </w:rPr>
        <w:t>2)    Infrastrukt</w:t>
      </w:r>
      <w:r w:rsidR="00AB0313">
        <w:rPr>
          <w:b/>
        </w:rPr>
        <w:t>ūra gājējiem un velosipēdistiem</w:t>
      </w:r>
    </w:p>
    <w:p w:rsidR="006E783F" w:rsidRPr="006E783F" w:rsidRDefault="006E783F" w:rsidP="006E783F">
      <w:pPr>
        <w:pStyle w:val="NoSpacing"/>
        <w:ind w:firstLine="567"/>
        <w:jc w:val="both"/>
      </w:pPr>
      <w:r w:rsidRPr="006E783F">
        <w:t>Ir nepieciešama infrastruktūras gājējiem un velosipēdistiem (galvenokārt atdalot abas ceļa lietotāju kategorijas) izveide.</w:t>
      </w:r>
    </w:p>
    <w:p w:rsidR="006E783F" w:rsidRPr="006E783F" w:rsidRDefault="006E783F" w:rsidP="006E783F">
      <w:pPr>
        <w:pStyle w:val="NoSpacing"/>
        <w:ind w:firstLine="567"/>
        <w:jc w:val="both"/>
      </w:pPr>
      <w:r w:rsidRPr="006E783F">
        <w:t>-        visās apdzīvotās vietās vismaz uz caurejošiem valsts autoceļu posmiem;</w:t>
      </w:r>
    </w:p>
    <w:p w:rsidR="006E783F" w:rsidRPr="006E783F" w:rsidRDefault="006E783F" w:rsidP="006E783F">
      <w:pPr>
        <w:pStyle w:val="NoSpacing"/>
        <w:ind w:firstLine="567"/>
        <w:jc w:val="both"/>
      </w:pPr>
      <w:r w:rsidRPr="006E783F">
        <w:t>-        uz apdzīvotas vietas iekšējiem maģistrālas nozīmes ceļiem;</w:t>
      </w:r>
    </w:p>
    <w:p w:rsidR="006E783F" w:rsidRPr="006E783F" w:rsidRDefault="006E783F" w:rsidP="006E783F">
      <w:pPr>
        <w:pStyle w:val="NoSpacing"/>
        <w:ind w:firstLine="567"/>
        <w:jc w:val="both"/>
      </w:pPr>
      <w:r w:rsidRPr="006E783F">
        <w:t>-        uz valsts un pašvaldību ceļiem posmos starp pilsētām un to tiešā tuvumā esošiem ciemiem;</w:t>
      </w:r>
    </w:p>
    <w:p w:rsidR="006E783F" w:rsidRPr="006E783F" w:rsidRDefault="006E783F" w:rsidP="006E783F">
      <w:pPr>
        <w:pStyle w:val="NoSpacing"/>
        <w:ind w:firstLine="567"/>
        <w:jc w:val="both"/>
      </w:pPr>
      <w:r w:rsidRPr="006E783F">
        <w:t xml:space="preserve">-        starptautiskos un nacionālajos </w:t>
      </w:r>
      <w:proofErr w:type="spellStart"/>
      <w:r w:rsidRPr="006E783F">
        <w:t>velomaršrutos</w:t>
      </w:r>
      <w:proofErr w:type="spellEnd"/>
      <w:r w:rsidRPr="006E783F">
        <w:t xml:space="preserve"> starp apdzīvotām vietām. </w:t>
      </w:r>
    </w:p>
    <w:p w:rsidR="006E783F" w:rsidRPr="006E783F" w:rsidRDefault="006E783F" w:rsidP="008E2E48">
      <w:pPr>
        <w:pStyle w:val="NoSpacing"/>
        <w:ind w:firstLine="567"/>
        <w:jc w:val="both"/>
      </w:pPr>
      <w:r w:rsidRPr="006E783F">
        <w:t xml:space="preserve">Gājēju un </w:t>
      </w:r>
      <w:proofErr w:type="spellStart"/>
      <w:r w:rsidRPr="006E783F">
        <w:t>velosatiskmes</w:t>
      </w:r>
      <w:proofErr w:type="spellEnd"/>
      <w:r w:rsidRPr="006E783F">
        <w:t xml:space="preserve"> infrastruktūras neesamība starp tuvu izvietotām apdzīvotām vietām, jo īpaši starp lielajām apdzīvotajām vietām ir nepieciešami gājēju un velosipēdu ceļi, lai velosipēdistiem nebūtu jābrauc vienotā augstas satiksmes intensitātes plūsmā ar citiem </w:t>
      </w:r>
      <w:r w:rsidR="004928B4" w:rsidRPr="004928B4">
        <w:t>TL</w:t>
      </w:r>
      <w:r w:rsidRPr="006E783F">
        <w:t xml:space="preserve">. Piemēram Rīga – Ķekava, Liepāja – Grobiņa, Rīga </w:t>
      </w:r>
      <w:r w:rsidR="008E2E48">
        <w:t xml:space="preserve">– </w:t>
      </w:r>
      <w:proofErr w:type="spellStart"/>
      <w:r w:rsidR="008E2E48">
        <w:t>Garciems</w:t>
      </w:r>
      <w:proofErr w:type="spellEnd"/>
      <w:r w:rsidR="008E2E48">
        <w:t xml:space="preserve">, Ogre – Ikšķile u.c. </w:t>
      </w:r>
      <w:r w:rsidRPr="006E783F">
        <w:t>Līdz 10 km attālums ir tāds, ko cilvēki labprāt veic ar velosipēdu, dodoties uz darbu, ja nav</w:t>
      </w:r>
      <w:r>
        <w:t xml:space="preserve"> apvidus reljefa apgrūtinājumu.</w:t>
      </w:r>
    </w:p>
    <w:p w:rsidR="006E783F" w:rsidRPr="006E783F" w:rsidRDefault="00AB0313" w:rsidP="006E783F">
      <w:pPr>
        <w:pStyle w:val="NoSpacing"/>
        <w:ind w:firstLine="567"/>
        <w:jc w:val="both"/>
        <w:rPr>
          <w:b/>
        </w:rPr>
      </w:pPr>
      <w:r>
        <w:rPr>
          <w:b/>
        </w:rPr>
        <w:t>3)    Rotācijas apļi</w:t>
      </w:r>
    </w:p>
    <w:p w:rsidR="006E783F" w:rsidRPr="006E783F" w:rsidRDefault="006E783F" w:rsidP="006E783F">
      <w:pPr>
        <w:pStyle w:val="NoSpacing"/>
        <w:ind w:firstLine="567"/>
        <w:jc w:val="both"/>
      </w:pPr>
      <w:r w:rsidRPr="006E783F">
        <w:t>Ir nepieciešama rotācijas apļu vēl plašāka pielietošana apdzīvotās vietās un ārpus tām, respektējot katras konkrētas vietas uzdevumus satiksmes norisei krustojumā (maksimāla caurlaides spēja, ātruma samazināšana, negadījumu ar smagām</w:t>
      </w:r>
      <w:r>
        <w:t xml:space="preserve"> sekām skaita reducēšana u.c.).</w:t>
      </w:r>
    </w:p>
    <w:p w:rsidR="006E783F" w:rsidRPr="006E783F" w:rsidRDefault="006E783F" w:rsidP="006E783F">
      <w:pPr>
        <w:pStyle w:val="NoSpacing"/>
        <w:ind w:firstLine="567"/>
        <w:jc w:val="both"/>
        <w:rPr>
          <w:b/>
        </w:rPr>
      </w:pPr>
      <w:r w:rsidRPr="006E783F">
        <w:rPr>
          <w:b/>
        </w:rPr>
        <w:t>4)    Optiskā</w:t>
      </w:r>
      <w:r w:rsidR="00AB0313">
        <w:rPr>
          <w:b/>
        </w:rPr>
        <w:t xml:space="preserve"> vadāmība un </w:t>
      </w:r>
      <w:proofErr w:type="spellStart"/>
      <w:r w:rsidR="00AB0313">
        <w:rPr>
          <w:b/>
        </w:rPr>
        <w:t>pašizskaidrojamība</w:t>
      </w:r>
      <w:proofErr w:type="spellEnd"/>
    </w:p>
    <w:p w:rsidR="006E783F" w:rsidRPr="00AB0313" w:rsidRDefault="006E783F" w:rsidP="00AB0313">
      <w:pPr>
        <w:pStyle w:val="NoSpacing"/>
        <w:jc w:val="both"/>
      </w:pPr>
      <w:r w:rsidRPr="00AB0313">
        <w:t>Ir nepieciešama jebkura ceļa kā kompleksas inženierbūves tuvināšana “</w:t>
      </w:r>
      <w:proofErr w:type="spellStart"/>
      <w:r w:rsidRPr="00AB0313">
        <w:t>pašizskaidrojoša</w:t>
      </w:r>
      <w:proofErr w:type="spellEnd"/>
      <w:r w:rsidRPr="00AB0313">
        <w:t xml:space="preserve">, piedodoša” ceļa koncepcijai. Nepietiekama ceļa vizuālā uztveramība diennakts tumšajā laikā (būtiski sliktāka kā tuvāko Eiropas valstu autoceļiem). Viens no būtiskākajiem ceļa drošības faktoriem ir tā </w:t>
      </w:r>
      <w:proofErr w:type="spellStart"/>
      <w:r w:rsidRPr="00AB0313">
        <w:t>saskatāmība</w:t>
      </w:r>
      <w:proofErr w:type="spellEnd"/>
      <w:r w:rsidRPr="00AB0313">
        <w:t xml:space="preserve"> tumšajā diennakts laikā. Ceļam un tā turpinājumam jābūt viegli vizuāli uztveramam tumsā, lai nerastos nepieciešamība veikt straujus manevrus tikai tādēļ, ka tumsā nav redzams ceļa turpinājums apvidū. Galvenās problēmas:</w:t>
      </w:r>
    </w:p>
    <w:p w:rsidR="006E783F" w:rsidRPr="006E783F" w:rsidRDefault="00FB0051" w:rsidP="006E783F">
      <w:pPr>
        <w:pStyle w:val="NoSpacing"/>
        <w:ind w:firstLine="567"/>
        <w:jc w:val="both"/>
      </w:pPr>
      <w:r>
        <w:t xml:space="preserve">-      </w:t>
      </w:r>
      <w:r w:rsidR="006E783F" w:rsidRPr="006E783F">
        <w:t>Ceļa apzīmējumu trūkums – sevišķi atzīmējams, ka nepietiekamā apjomā tiek atjaunotas ceļa malu līnijas, kas ekspluatācijas laikā nodilst un kļūst vāji saskatāmas.</w:t>
      </w:r>
    </w:p>
    <w:p w:rsidR="006E783F" w:rsidRPr="006E783F" w:rsidRDefault="00FB0051" w:rsidP="006E783F">
      <w:pPr>
        <w:pStyle w:val="NoSpacing"/>
        <w:ind w:firstLine="567"/>
        <w:jc w:val="both"/>
      </w:pPr>
      <w:r>
        <w:t xml:space="preserve">-      </w:t>
      </w:r>
      <w:r w:rsidR="006E783F" w:rsidRPr="006E783F">
        <w:t xml:space="preserve">Nepietiekams ceļa apzīmējumu platums un atstarošanas spēja. Daudziem valsts galvenajiem autoceļiem joprojām ir 100 mm plati </w:t>
      </w:r>
      <w:proofErr w:type="spellStart"/>
      <w:r w:rsidR="006E783F" w:rsidRPr="006E783F">
        <w:t>garenapzīmējumi</w:t>
      </w:r>
      <w:proofErr w:type="spellEnd"/>
      <w:r w:rsidR="006E783F" w:rsidRPr="006E783F">
        <w:t>.</w:t>
      </w:r>
    </w:p>
    <w:p w:rsidR="006E783F" w:rsidRPr="006E783F" w:rsidRDefault="00FB0051" w:rsidP="006E783F">
      <w:pPr>
        <w:pStyle w:val="NoSpacing"/>
        <w:ind w:firstLine="567"/>
        <w:jc w:val="both"/>
      </w:pPr>
      <w:r>
        <w:t xml:space="preserve">-       </w:t>
      </w:r>
      <w:r w:rsidR="006E783F" w:rsidRPr="006E783F">
        <w:t>Signālstabiņu nepietiekams blīvums. Vairumā tuvāko valstu maģistrālo autoceļu signālstabiņi ir izvietoti ik pēc 50 m.</w:t>
      </w:r>
    </w:p>
    <w:p w:rsidR="006E783F" w:rsidRPr="006E783F" w:rsidRDefault="00FB0051" w:rsidP="006E783F">
      <w:pPr>
        <w:pStyle w:val="NoSpacing"/>
        <w:ind w:firstLine="567"/>
        <w:jc w:val="both"/>
      </w:pPr>
      <w:r>
        <w:t xml:space="preserve">-       </w:t>
      </w:r>
      <w:r w:rsidR="006E783F" w:rsidRPr="006E783F">
        <w:t>Signālstabiņu atstarotāju iznīcināšana paviršas ceļa uzturēšanas veikšanas rezultātā. Ar nomaļu pļāvēja asmens izlici tiek noskrāpēta stabiņu virsma un iznīcināti atstarotāji. Rezultātā tumsā tiek apgrūtināta ceļa trases uztveramība.</w:t>
      </w:r>
    </w:p>
    <w:p w:rsidR="006E783F" w:rsidRPr="006E783F" w:rsidRDefault="00FB0051" w:rsidP="006E783F">
      <w:pPr>
        <w:pStyle w:val="NoSpacing"/>
        <w:ind w:firstLine="567"/>
        <w:jc w:val="both"/>
      </w:pPr>
      <w:r>
        <w:t xml:space="preserve">-      </w:t>
      </w:r>
      <w:proofErr w:type="spellStart"/>
      <w:r w:rsidR="006E783F" w:rsidRPr="006E783F">
        <w:t>Atvairbarjeras</w:t>
      </w:r>
      <w:proofErr w:type="spellEnd"/>
      <w:r w:rsidR="006E783F" w:rsidRPr="006E783F">
        <w:t xml:space="preserve"> ne vienmēr tiek aprīkotas ar atstarotājiem.</w:t>
      </w:r>
    </w:p>
    <w:p w:rsidR="006E783F" w:rsidRPr="006E783F" w:rsidRDefault="00473A17" w:rsidP="00BA7171">
      <w:pPr>
        <w:pStyle w:val="NoSpacing"/>
        <w:tabs>
          <w:tab w:val="left" w:pos="567"/>
        </w:tabs>
        <w:ind w:firstLine="426"/>
        <w:jc w:val="both"/>
      </w:pPr>
      <w:r>
        <w:t xml:space="preserve">  </w:t>
      </w:r>
      <w:r w:rsidR="00FB0051">
        <w:t xml:space="preserve">-    </w:t>
      </w:r>
      <w:r>
        <w:t xml:space="preserve"> </w:t>
      </w:r>
      <w:r w:rsidR="006E783F" w:rsidRPr="006E783F">
        <w:t xml:space="preserve">Ceļa zīmes nereti (konstatēts inspekcijās) ir tik senas un saplaisājušas, ka tumsā atsevišķi zīmju segmenti neatstaro gaismu </w:t>
      </w:r>
      <w:r w:rsidR="006E783F">
        <w:t>un neļauj uztvert zīmes attēlu.</w:t>
      </w:r>
    </w:p>
    <w:p w:rsidR="006E783F" w:rsidRPr="006E783F" w:rsidRDefault="00AB0313" w:rsidP="006E783F">
      <w:pPr>
        <w:pStyle w:val="NoSpacing"/>
        <w:ind w:firstLine="567"/>
        <w:jc w:val="both"/>
        <w:rPr>
          <w:b/>
        </w:rPr>
      </w:pPr>
      <w:r>
        <w:rPr>
          <w:b/>
        </w:rPr>
        <w:t>5) Ceļa šķērsgriezuma uzbūve</w:t>
      </w:r>
    </w:p>
    <w:p w:rsidR="006E783F" w:rsidRPr="006E783F" w:rsidRDefault="006E783F" w:rsidP="006E783F">
      <w:pPr>
        <w:pStyle w:val="NoSpacing"/>
        <w:ind w:firstLine="567"/>
        <w:jc w:val="both"/>
      </w:pPr>
      <w:r w:rsidRPr="006E783F">
        <w:t>Ceļa uzbēruma nogāžu slīpums, ja tas ir pārāk stāvs (Lundas universitātes Zviedrijā – stāvāks par 1:4, LVS – 1:3)</w:t>
      </w:r>
      <w:r w:rsidR="00AB0313">
        <w:t>,</w:t>
      </w:r>
      <w:r w:rsidRPr="006E783F">
        <w:t xml:space="preserve"> veicina automašīnas apgāšanos, ja tā zaudē kontrolētu kustības trajektoriju un nobrauc pa uzbēruma nogāzi. Galvenās problēmas:</w:t>
      </w:r>
    </w:p>
    <w:p w:rsidR="006E783F" w:rsidRPr="006E783F" w:rsidRDefault="006E783F" w:rsidP="008E2E48">
      <w:pPr>
        <w:pStyle w:val="NoSpacing"/>
        <w:ind w:firstLine="709"/>
        <w:jc w:val="both"/>
      </w:pPr>
      <w:r w:rsidRPr="006E783F">
        <w:t xml:space="preserve">-       Ceļi pat jaunos projektos tiek būvēti ar uzbēruma nogāzēm 1:1,5, kas ir kritiski bīstams un izraisa automašīnas apgāšanos, nobraucot no ceļa. Apgāžoties automašīnai, pieaug </w:t>
      </w:r>
      <w:proofErr w:type="spellStart"/>
      <w:r w:rsidRPr="006E783F">
        <w:t>CSNg</w:t>
      </w:r>
      <w:proofErr w:type="spellEnd"/>
      <w:r w:rsidRPr="006E783F">
        <w:t xml:space="preserve"> seku smagums.</w:t>
      </w:r>
    </w:p>
    <w:p w:rsidR="006E783F" w:rsidRPr="006E783F" w:rsidRDefault="008E2E48" w:rsidP="006E783F">
      <w:pPr>
        <w:pStyle w:val="NoSpacing"/>
        <w:ind w:firstLine="567"/>
        <w:jc w:val="both"/>
      </w:pPr>
      <w:r>
        <w:t xml:space="preserve">-    </w:t>
      </w:r>
      <w:r w:rsidR="006E783F" w:rsidRPr="006E783F">
        <w:t xml:space="preserve">Neraugoties un standartā LVS 190-2 noteikto, stāvās nogāzes netiek aizsargātas ar </w:t>
      </w:r>
      <w:proofErr w:type="spellStart"/>
      <w:r w:rsidR="006E783F" w:rsidRPr="006E783F">
        <w:t>atvairbarjerām</w:t>
      </w:r>
      <w:proofErr w:type="spellEnd"/>
      <w:r w:rsidR="006E783F" w:rsidRPr="006E783F">
        <w:t>.</w:t>
      </w:r>
    </w:p>
    <w:p w:rsidR="006E783F" w:rsidRPr="006E783F" w:rsidRDefault="00AB0313" w:rsidP="006E783F">
      <w:pPr>
        <w:pStyle w:val="NoSpacing"/>
        <w:ind w:firstLine="567"/>
        <w:jc w:val="both"/>
      </w:pPr>
      <w:r>
        <w:lastRenderedPageBreak/>
        <w:t>Visa veida ceļu zonas</w:t>
      </w:r>
      <w:r w:rsidR="006E783F" w:rsidRPr="006E783F">
        <w:t xml:space="preserve"> blakus ceļam atbrīvošana no liekiem un bīstamiem objektiem un uzbērumu ārējo nogāžu risinājumu, kas neveicina </w:t>
      </w:r>
      <w:r w:rsidR="004928B4" w:rsidRPr="004928B4">
        <w:t>TL</w:t>
      </w:r>
      <w:r w:rsidR="006E783F" w:rsidRPr="006E783F">
        <w:t>, kas nobraukuši no ceļa, apgāšanos un kūleņošanu, izvēle, nepieļaut jaunos un rekonstrukcijas projektos, ka tiek izveidotas nog</w:t>
      </w:r>
      <w:r w:rsidR="006E783F">
        <w:t>āzes ar slīpumu, mazāku kā 1:3.</w:t>
      </w:r>
    </w:p>
    <w:p w:rsidR="006E783F" w:rsidRPr="006E783F" w:rsidRDefault="006E783F" w:rsidP="006E783F">
      <w:pPr>
        <w:pStyle w:val="NoSpacing"/>
        <w:ind w:firstLine="567"/>
        <w:jc w:val="both"/>
        <w:rPr>
          <w:b/>
        </w:rPr>
      </w:pPr>
      <w:r w:rsidRPr="006E783F">
        <w:rPr>
          <w:b/>
        </w:rPr>
        <w:t xml:space="preserve"> 6)  Tieši </w:t>
      </w:r>
      <w:proofErr w:type="spellStart"/>
      <w:r w:rsidRPr="006E783F">
        <w:rPr>
          <w:b/>
        </w:rPr>
        <w:t>blakusteritoriju</w:t>
      </w:r>
      <w:proofErr w:type="spellEnd"/>
      <w:r w:rsidRPr="006E783F">
        <w:rPr>
          <w:b/>
        </w:rPr>
        <w:t xml:space="preserve"> </w:t>
      </w:r>
      <w:proofErr w:type="spellStart"/>
      <w:r w:rsidRPr="006E783F">
        <w:rPr>
          <w:b/>
        </w:rPr>
        <w:t>pieslēgumi</w:t>
      </w:r>
      <w:proofErr w:type="spellEnd"/>
      <w:r w:rsidRPr="006E783F">
        <w:rPr>
          <w:b/>
        </w:rPr>
        <w:t xml:space="preserve"> </w:t>
      </w:r>
      <w:r w:rsidR="00AB0313">
        <w:rPr>
          <w:b/>
        </w:rPr>
        <w:t>autoceļiem</w:t>
      </w:r>
    </w:p>
    <w:p w:rsidR="006E783F" w:rsidRPr="006E783F" w:rsidRDefault="006E783F" w:rsidP="008E2E48">
      <w:pPr>
        <w:pStyle w:val="NoSpacing"/>
        <w:ind w:firstLine="567"/>
        <w:jc w:val="both"/>
      </w:pPr>
      <w:proofErr w:type="spellStart"/>
      <w:r w:rsidRPr="006E783F">
        <w:t>Pieslēgumu</w:t>
      </w:r>
      <w:proofErr w:type="spellEnd"/>
      <w:r w:rsidRPr="006E783F">
        <w:t xml:space="preserve"> hierarhiska pakārtotība liedz māju un citu vietēju ceļu pieslēgšanu valsts galvenajiem autoceļiem, kas pilda galvenā savienojuma funkciju (AI kategorija). Neraugoties uz to, vietējo ceļu un māju </w:t>
      </w:r>
      <w:proofErr w:type="spellStart"/>
      <w:r w:rsidRPr="006E783F">
        <w:t>pieslēgumu</w:t>
      </w:r>
      <w:proofErr w:type="spellEnd"/>
      <w:r w:rsidRPr="006E783F">
        <w:t xml:space="preserve"> blīvums ir ļoti augsts, kas rada būtiskus satiksmes draudus, vadītājiem apstājoties uz ceļa ārpus apdzīvotām vietām, lai veiktu manevru</w:t>
      </w:r>
      <w:r w:rsidR="008E2E48">
        <w:t xml:space="preserve"> (it īpaši kreiso pagriezienu). </w:t>
      </w:r>
      <w:r w:rsidRPr="006E783F">
        <w:t>Nepieciešams valsts mērogā risināt jautājumu par paralēlo ceļu izveidi – sākotnēji vismaz tajos autoceļu posmos, kur satiksmes intensitāte pārsniedz n</w:t>
      </w:r>
      <w:r>
        <w:t xml:space="preserve">oteiktu līmeni (10 000 A/24h). </w:t>
      </w:r>
    </w:p>
    <w:p w:rsidR="006E783F" w:rsidRPr="006E783F" w:rsidRDefault="00AB0313" w:rsidP="006E783F">
      <w:pPr>
        <w:pStyle w:val="NoSpacing"/>
        <w:ind w:firstLine="567"/>
        <w:jc w:val="both"/>
        <w:rPr>
          <w:b/>
        </w:rPr>
      </w:pPr>
      <w:r>
        <w:rPr>
          <w:b/>
        </w:rPr>
        <w:t>7)    Grants ceļi</w:t>
      </w:r>
    </w:p>
    <w:p w:rsidR="006E783F" w:rsidRPr="006E783F" w:rsidRDefault="006E783F" w:rsidP="006E783F">
      <w:pPr>
        <w:pStyle w:val="NoSpacing"/>
        <w:ind w:firstLine="567"/>
        <w:jc w:val="both"/>
      </w:pPr>
      <w:r w:rsidRPr="006E783F">
        <w:t>Grants ceļu plaša pārveide par ceļiem ar cieto segumu, ietverot transporta dinamikai un drošībai atbilstošu p</w:t>
      </w:r>
      <w:r>
        <w:t>lāna un profila korekciju kopu.</w:t>
      </w:r>
    </w:p>
    <w:p w:rsidR="006E783F" w:rsidRPr="006E783F" w:rsidRDefault="00AB0313" w:rsidP="006E783F">
      <w:pPr>
        <w:pStyle w:val="NoSpacing"/>
        <w:ind w:firstLine="567"/>
        <w:jc w:val="both"/>
        <w:rPr>
          <w:b/>
        </w:rPr>
      </w:pPr>
      <w:r>
        <w:rPr>
          <w:b/>
        </w:rPr>
        <w:t>8)    Stāvlaukumi</w:t>
      </w:r>
    </w:p>
    <w:p w:rsidR="0007317C" w:rsidRPr="006E783F" w:rsidRDefault="006E783F" w:rsidP="00AB0313">
      <w:pPr>
        <w:pStyle w:val="NoSpacing"/>
        <w:ind w:firstLine="567"/>
        <w:jc w:val="both"/>
      </w:pPr>
      <w:r w:rsidRPr="006E783F">
        <w:t>Pie ceļiem nav izveidoti atpūtai piemēroti laukumi. Esošie, pirms vairākiem gadu desmitiem veidotie, laukumi tiek fiziski norobežoti ar barjerām, tie netiek rekonstruēti un iebraukšana tajos netiek atļauta. Eiropas un valsts nozīmes transporta tīkla ceļos stāvvietu, kas ļauj kravas transporta vadītājiem ievērot darba un atpūtas laika s</w:t>
      </w:r>
      <w:r w:rsidR="008E2E48">
        <w:t>adalījuma prasības, ierīkošana.</w:t>
      </w:r>
    </w:p>
    <w:p w:rsidR="00E60992" w:rsidRDefault="00CD12A0" w:rsidP="00D1125E">
      <w:pPr>
        <w:pStyle w:val="Heading3"/>
        <w:rPr>
          <w:rStyle w:val="Heading4Char"/>
          <w:rFonts w:ascii="Times New Roman" w:hAnsi="Times New Roman" w:cs="Arial"/>
          <w:i/>
          <w:iCs w:val="0"/>
          <w:color w:val="auto"/>
        </w:rPr>
      </w:pPr>
      <w:bookmarkStart w:id="29" w:name="_Toc477177761"/>
      <w:r>
        <w:t>1</w:t>
      </w:r>
      <w:r w:rsidR="002844B9" w:rsidRPr="00D1125E">
        <w:t>.3</w:t>
      </w:r>
      <w:r w:rsidR="00600E43" w:rsidRPr="00D1125E">
        <w:t>.9</w:t>
      </w:r>
      <w:r w:rsidR="00606C22" w:rsidRPr="00D1125E">
        <w:t xml:space="preserve">. </w:t>
      </w:r>
      <w:r w:rsidR="00CD7918" w:rsidRPr="00D1125E">
        <w:rPr>
          <w:rStyle w:val="Heading4Char"/>
          <w:rFonts w:ascii="Times New Roman" w:hAnsi="Times New Roman" w:cs="Arial"/>
          <w:i/>
          <w:iCs w:val="0"/>
          <w:color w:val="auto"/>
        </w:rPr>
        <w:t>TL</w:t>
      </w:r>
      <w:r w:rsidR="00606C22" w:rsidRPr="00D1125E">
        <w:rPr>
          <w:rStyle w:val="Heading4Char"/>
          <w:rFonts w:ascii="Times New Roman" w:hAnsi="Times New Roman" w:cs="Arial"/>
          <w:i/>
          <w:iCs w:val="0"/>
          <w:color w:val="auto"/>
        </w:rPr>
        <w:t xml:space="preserve"> tehniskā stāvokļa ie</w:t>
      </w:r>
      <w:r w:rsidR="00A91EE6" w:rsidRPr="00D1125E">
        <w:rPr>
          <w:rStyle w:val="Heading4Char"/>
          <w:rFonts w:ascii="Times New Roman" w:hAnsi="Times New Roman" w:cs="Arial"/>
          <w:i/>
          <w:iCs w:val="0"/>
          <w:color w:val="auto"/>
        </w:rPr>
        <w:t>tekme uz ceļu satiksmes drošību</w:t>
      </w:r>
      <w:bookmarkEnd w:id="29"/>
    </w:p>
    <w:p w:rsidR="00233DD0" w:rsidRPr="00AB0313" w:rsidRDefault="00233DD0" w:rsidP="00233DD0">
      <w:pPr>
        <w:rPr>
          <w:sz w:val="20"/>
          <w:szCs w:val="20"/>
          <w:lang w:eastAsia="lv-LV"/>
        </w:rPr>
      </w:pPr>
    </w:p>
    <w:p w:rsidR="00D05A7D" w:rsidRPr="00D5051B" w:rsidRDefault="00AB0313" w:rsidP="00A70D56">
      <w:pPr>
        <w:pStyle w:val="NoSpacing"/>
        <w:ind w:firstLine="426"/>
        <w:jc w:val="both"/>
        <w:rPr>
          <w:rFonts w:cs="Times New Roman"/>
          <w:b/>
        </w:rPr>
      </w:pPr>
      <w:r>
        <w:rPr>
          <w:rFonts w:cs="Times New Roman"/>
          <w:b/>
        </w:rPr>
        <w:t>Pasīvā un aktīvā drošība</w:t>
      </w:r>
    </w:p>
    <w:p w:rsidR="006524EF" w:rsidRDefault="000843F2" w:rsidP="00A70D56">
      <w:pPr>
        <w:pStyle w:val="NoSpacing"/>
        <w:ind w:firstLine="426"/>
        <w:jc w:val="both"/>
      </w:pPr>
      <w:r w:rsidRPr="00D5051B">
        <w:rPr>
          <w:rFonts w:cs="Times New Roman"/>
        </w:rPr>
        <w:t xml:space="preserve">Jaunu </w:t>
      </w:r>
      <w:r w:rsidR="00473A17">
        <w:rPr>
          <w:rFonts w:cs="Times New Roman"/>
        </w:rPr>
        <w:t>TL</w:t>
      </w:r>
      <w:r w:rsidR="00473A17" w:rsidRPr="00D5051B">
        <w:rPr>
          <w:rFonts w:cs="Times New Roman"/>
        </w:rPr>
        <w:t xml:space="preserve"> </w:t>
      </w:r>
      <w:r w:rsidRPr="00D5051B">
        <w:rPr>
          <w:rFonts w:cs="Times New Roman"/>
        </w:rPr>
        <w:t>pasīvās</w:t>
      </w:r>
      <w:r w:rsidR="00327CAA" w:rsidRPr="00D5051B">
        <w:rPr>
          <w:rFonts w:cs="Times New Roman"/>
        </w:rPr>
        <w:t xml:space="preserve"> un aktīvās</w:t>
      </w:r>
      <w:r w:rsidRPr="00D5051B">
        <w:rPr>
          <w:rFonts w:cs="Times New Roman"/>
        </w:rPr>
        <w:t xml:space="preserve"> drošības risinājumu ietekme uz satiksmes drošību ir tiešā mērā saistīta ar </w:t>
      </w:r>
      <w:r w:rsidRPr="00D5051B">
        <w:rPr>
          <w:rFonts w:cs="Times New Roman"/>
          <w:b/>
        </w:rPr>
        <w:t>Latvijas autoparka vecumu</w:t>
      </w:r>
      <w:r w:rsidRPr="00D5051B">
        <w:rPr>
          <w:rFonts w:cs="Times New Roman"/>
        </w:rPr>
        <w:t xml:space="preserve"> un tā spēju tikt atjaunotam ar jaunākām automašīnām, kuru pasīvās</w:t>
      </w:r>
      <w:r w:rsidR="00327CAA" w:rsidRPr="00D5051B">
        <w:rPr>
          <w:rFonts w:cs="Times New Roman"/>
        </w:rPr>
        <w:t xml:space="preserve"> un aktīvās</w:t>
      </w:r>
      <w:r w:rsidRPr="00D5051B">
        <w:rPr>
          <w:rFonts w:cs="Times New Roman"/>
        </w:rPr>
        <w:t xml:space="preserve"> drošības līmenis ir ievērojami lielāks. </w:t>
      </w:r>
      <w:r w:rsidR="002B107F" w:rsidRPr="00D5051B">
        <w:rPr>
          <w:rFonts w:cs="Times New Roman"/>
        </w:rPr>
        <w:t>Izpētot c</w:t>
      </w:r>
      <w:r w:rsidRPr="00D5051B">
        <w:rPr>
          <w:rFonts w:cs="Times New Roman"/>
        </w:rPr>
        <w:t xml:space="preserve">eļu satiksmes negadījumā starp diviem </w:t>
      </w:r>
      <w:r w:rsidR="00473A17">
        <w:rPr>
          <w:rFonts w:cs="Times New Roman"/>
        </w:rPr>
        <w:t>TL</w:t>
      </w:r>
      <w:r w:rsidR="00473A17" w:rsidRPr="00D5051B">
        <w:rPr>
          <w:rFonts w:cs="Times New Roman"/>
        </w:rPr>
        <w:t xml:space="preserve"> </w:t>
      </w:r>
      <w:r w:rsidR="002B107F" w:rsidRPr="00D5051B">
        <w:rPr>
          <w:rFonts w:cs="Times New Roman"/>
        </w:rPr>
        <w:t>radušās deformācijas</w:t>
      </w:r>
      <w:r w:rsidRPr="00D5051B">
        <w:rPr>
          <w:rFonts w:cs="Times New Roman"/>
        </w:rPr>
        <w:t>, kur viens no tiem ir izgatavots pirms aptuveni 20 gadiem, savukārt otrs pirms pāris gadiem</w:t>
      </w:r>
      <w:r>
        <w:t xml:space="preserve">, </w:t>
      </w:r>
      <w:r w:rsidR="00473A17">
        <w:t xml:space="preserve">TL </w:t>
      </w:r>
      <w:r w:rsidR="002B107F">
        <w:t>deformācija pēc</w:t>
      </w:r>
      <w:r>
        <w:t xml:space="preserve"> sadursmes jaunākajai</w:t>
      </w:r>
      <w:r w:rsidRPr="000843F2">
        <w:t xml:space="preserve"> automašīnai ir </w:t>
      </w:r>
      <w:r>
        <w:t>ievērojami mazāk</w:t>
      </w:r>
      <w:r w:rsidR="002B107F">
        <w:t>a</w:t>
      </w:r>
      <w:r w:rsidR="00327CAA">
        <w:t xml:space="preserve"> – ir saglabāta</w:t>
      </w:r>
      <w:r w:rsidRPr="000843F2">
        <w:t xml:space="preserve"> braucēju dzīvības telpa,</w:t>
      </w:r>
      <w:r w:rsidR="00327CAA">
        <w:t xml:space="preserve"> savukārt vecākās automašīnas konstrukcija bieži vien nespēj </w:t>
      </w:r>
      <w:r w:rsidRPr="000843F2">
        <w:t>paglā</w:t>
      </w:r>
      <w:r w:rsidR="002B107F">
        <w:t>bt braucējus no smagām traumām.</w:t>
      </w:r>
    </w:p>
    <w:p w:rsidR="006524EF" w:rsidRDefault="006524EF" w:rsidP="003351E5">
      <w:pPr>
        <w:pStyle w:val="NoSpacing"/>
        <w:ind w:firstLine="426"/>
        <w:jc w:val="both"/>
      </w:pPr>
      <w:r>
        <w:t xml:space="preserve">Jāpiemin arī fakts, ka dažādi jauno </w:t>
      </w:r>
      <w:r w:rsidR="00473A17">
        <w:t xml:space="preserve">TL </w:t>
      </w:r>
      <w:r>
        <w:t xml:space="preserve">aktīvās drošības līdzekļi un risinājumi palīdz novērst sadursmes, pievēršot </w:t>
      </w:r>
      <w:r w:rsidR="007F0F2D">
        <w:t xml:space="preserve"> </w:t>
      </w:r>
      <w:r>
        <w:t>uzmanību</w:t>
      </w:r>
      <w:r w:rsidR="00D32BB2">
        <w:t xml:space="preserve"> </w:t>
      </w:r>
      <w:r>
        <w:t>autovadītāja kļūd</w:t>
      </w:r>
      <w:r w:rsidR="00D32BB2">
        <w:t>ām un izlabojot tās</w:t>
      </w:r>
      <w:r w:rsidR="007F0F2D">
        <w:t>.</w:t>
      </w:r>
    </w:p>
    <w:p w:rsidR="006524EF" w:rsidRPr="00D32BB2" w:rsidRDefault="006524EF" w:rsidP="00A70D56">
      <w:pPr>
        <w:pStyle w:val="NoSpacing"/>
        <w:ind w:firstLine="426"/>
        <w:jc w:val="both"/>
      </w:pPr>
      <w:r w:rsidRPr="007A4E5A">
        <w:t>Par vienu no svarīgākajām nākotnes tehnoloģijām tuvākajā nākotnē var</w:t>
      </w:r>
      <w:r>
        <w:t>ētu</w:t>
      </w:r>
      <w:r w:rsidRPr="007A4E5A">
        <w:t xml:space="preserve"> kļūt </w:t>
      </w:r>
      <w:r w:rsidRPr="00A70B10">
        <w:rPr>
          <w:b/>
        </w:rPr>
        <w:t xml:space="preserve">automatizētu un savienotu </w:t>
      </w:r>
      <w:r w:rsidR="00473A17">
        <w:rPr>
          <w:b/>
        </w:rPr>
        <w:t xml:space="preserve">TL </w:t>
      </w:r>
      <w:r w:rsidRPr="00A70B10">
        <w:rPr>
          <w:b/>
        </w:rPr>
        <w:t>tehnoloģijas</w:t>
      </w:r>
      <w:r w:rsidRPr="007A4E5A">
        <w:t xml:space="preserve">. </w:t>
      </w:r>
      <w:r>
        <w:t>Jāņem vērā, ka</w:t>
      </w:r>
      <w:r w:rsidRPr="007A4E5A">
        <w:t xml:space="preserve"> lielākā daļa ceļu satiksmes negadījumu tiek izraisīti nepareiza </w:t>
      </w:r>
      <w:r w:rsidR="00473A17">
        <w:t>TL</w:t>
      </w:r>
      <w:r w:rsidR="00473A17" w:rsidRPr="007A4E5A">
        <w:t xml:space="preserve"> </w:t>
      </w:r>
      <w:r w:rsidRPr="007A4E5A">
        <w:t xml:space="preserve">vadītāja rīcības vai lēmuma dēļ. </w:t>
      </w:r>
      <w:r w:rsidR="00473A17">
        <w:t>TL</w:t>
      </w:r>
      <w:r w:rsidRPr="007A4E5A">
        <w:t xml:space="preserve">, kurš tiek vadīts automatizēti, </w:t>
      </w:r>
      <w:r>
        <w:t>tiek samazināta vadītāja kļūdas vai kļūdaina lēmuma ietekme uz ceļu satiksmes drošību. Vērts pieminēt, ka g</w:t>
      </w:r>
      <w:r w:rsidRPr="007A4E5A">
        <w:t xml:space="preserve">alvenais ieguvums no automatizētiem un savienotiem </w:t>
      </w:r>
      <w:r w:rsidR="00473A17">
        <w:t>TL</w:t>
      </w:r>
      <w:r w:rsidR="00473A17" w:rsidRPr="007A4E5A">
        <w:t xml:space="preserve"> </w:t>
      </w:r>
      <w:r w:rsidRPr="007A4E5A">
        <w:t xml:space="preserve">ir to potenciālais devums ceļu satiksmes drošības uzlabošanā: pielietojot šādus </w:t>
      </w:r>
      <w:r w:rsidR="00473A17">
        <w:t>TL</w:t>
      </w:r>
      <w:r w:rsidRPr="007A4E5A">
        <w:t xml:space="preserve">, var samazināt ceļu satiksmes negadījumu skaitu un glābt cilvēku dzīvības. Šajos </w:t>
      </w:r>
      <w:r w:rsidR="00473A17">
        <w:t xml:space="preserve">TL </w:t>
      </w:r>
      <w:r>
        <w:t>izmantotā</w:t>
      </w:r>
      <w:r w:rsidR="002B107F">
        <w:t>s</w:t>
      </w:r>
      <w:r>
        <w:t xml:space="preserve"> tehnoloģija</w:t>
      </w:r>
      <w:r w:rsidR="002B107F">
        <w:t>s</w:t>
      </w:r>
      <w:r w:rsidRPr="007A4E5A">
        <w:t xml:space="preserve"> varētu </w:t>
      </w:r>
      <w:r>
        <w:t>padarīt autotransportu</w:t>
      </w:r>
      <w:r w:rsidR="002B107F">
        <w:t xml:space="preserve"> </w:t>
      </w:r>
      <w:r w:rsidRPr="007A4E5A">
        <w:t>drošu un uzticamu.</w:t>
      </w:r>
      <w:r w:rsidR="00461F66">
        <w:t xml:space="preserve"> </w:t>
      </w:r>
      <w:r w:rsidR="00461F66">
        <w:rPr>
          <w:color w:val="000000" w:themeColor="text1"/>
        </w:rPr>
        <w:t>I</w:t>
      </w:r>
      <w:r w:rsidRPr="00461F66">
        <w:rPr>
          <w:color w:val="000000" w:themeColor="text1"/>
        </w:rPr>
        <w:t xml:space="preserve">lgtspējīga </w:t>
      </w:r>
      <w:r w:rsidR="00473A17">
        <w:rPr>
          <w:color w:val="000000" w:themeColor="text1"/>
        </w:rPr>
        <w:t>ES</w:t>
      </w:r>
      <w:r w:rsidRPr="00461F66">
        <w:rPr>
          <w:color w:val="000000" w:themeColor="text1"/>
        </w:rPr>
        <w:t xml:space="preserve"> transporta  sistēmas </w:t>
      </w:r>
      <w:r w:rsidR="00461F66">
        <w:rPr>
          <w:color w:val="000000" w:themeColor="text1"/>
        </w:rPr>
        <w:t>attīstība ir ļoti nozīmīga</w:t>
      </w:r>
      <w:r w:rsidRPr="00461F66">
        <w:rPr>
          <w:color w:val="000000" w:themeColor="text1"/>
        </w:rPr>
        <w:t>, jo īpaši, lai u</w:t>
      </w:r>
      <w:r w:rsidR="00461F66">
        <w:rPr>
          <w:color w:val="000000" w:themeColor="text1"/>
        </w:rPr>
        <w:t xml:space="preserve">zlabotu ceļu satiksmes drošību, </w:t>
      </w:r>
      <w:r w:rsidR="00461F66">
        <w:t>tomēr saistībā ar automatizētu un savienotu autotransportu būtu jāpievērš uzmanība datu aizsardzībai</w:t>
      </w:r>
      <w:r w:rsidRPr="007A4E5A">
        <w:t xml:space="preserve">, lietotāja datu </w:t>
      </w:r>
      <w:r w:rsidRPr="00D32BB2">
        <w:t>konfidencialitāt</w:t>
      </w:r>
      <w:r w:rsidR="00461F66" w:rsidRPr="00D32BB2">
        <w:t>e</w:t>
      </w:r>
      <w:r w:rsidRPr="00D32BB2">
        <w:t xml:space="preserve">i, </w:t>
      </w:r>
      <w:r w:rsidR="00461F66" w:rsidRPr="00D32BB2">
        <w:t>tāpat savietojamība</w:t>
      </w:r>
      <w:r w:rsidRPr="00D32BB2">
        <w:t xml:space="preserve"> ar pārējiem satiksmes dalībniekiem </w:t>
      </w:r>
      <w:r w:rsidR="00461F66" w:rsidRPr="00D32BB2">
        <w:t>ir īpaši būtiska</w:t>
      </w:r>
      <w:r w:rsidRPr="00D32BB2">
        <w:t>. Gadījumā, ja notiek negadījums, lielāka uzmanība būtu jāpievērš pārējiem ceļu satiksmes dalībniekiem, lai ceļu satiksmes drošība tiktu uzlabota kopumā.</w:t>
      </w:r>
    </w:p>
    <w:p w:rsidR="000843F2" w:rsidRDefault="006524EF" w:rsidP="00A70D56">
      <w:pPr>
        <w:pStyle w:val="NoSpacing"/>
        <w:ind w:firstLine="426"/>
        <w:jc w:val="both"/>
      </w:pPr>
      <w:r w:rsidRPr="00D32BB2">
        <w:t xml:space="preserve">Automatizēto </w:t>
      </w:r>
      <w:r w:rsidR="00473A17">
        <w:t>TL</w:t>
      </w:r>
      <w:r w:rsidR="00473A17" w:rsidRPr="00D32BB2">
        <w:t xml:space="preserve"> </w:t>
      </w:r>
      <w:r w:rsidRPr="00D32BB2">
        <w:t xml:space="preserve">ieviešanas pamatā ir inteliģentā transporta sistēma (ITS). </w:t>
      </w:r>
      <w:r w:rsidR="00473A17">
        <w:t>ES</w:t>
      </w:r>
      <w:r w:rsidRPr="00D32BB2">
        <w:t xml:space="preserve"> līmenī ITS ieviešanu regulē Eiropas Parlamenta un Padomes 2010.gada 7.jūlija Direktīva 2010/40</w:t>
      </w:r>
      <w:r w:rsidRPr="007A4E5A">
        <w:t xml:space="preserve">/ES par pamatu inteliģento transporta sistēmu ieviešanai autotransporta jomā un </w:t>
      </w:r>
      <w:proofErr w:type="spellStart"/>
      <w:r w:rsidRPr="007A4E5A">
        <w:t>saskar</w:t>
      </w:r>
      <w:r w:rsidR="00473A17">
        <w:t>n</w:t>
      </w:r>
      <w:r w:rsidRPr="007A4E5A">
        <w:t>ē</w:t>
      </w:r>
      <w:r w:rsidR="00473A17">
        <w:t>m</w:t>
      </w:r>
      <w:proofErr w:type="spellEnd"/>
      <w:r w:rsidRPr="007A4E5A">
        <w:t xml:space="preserve"> ar citiem transporta veidiem</w:t>
      </w:r>
      <w:r w:rsidR="00473A17">
        <w:t xml:space="preserve"> īstenošana (turpmāk - </w:t>
      </w:r>
      <w:r w:rsidR="00473A17" w:rsidRPr="00473A17">
        <w:t>Direktīvas 2010/40/ES</w:t>
      </w:r>
      <w:r w:rsidR="00473A17">
        <w:t>)</w:t>
      </w:r>
      <w:r w:rsidRPr="007A4E5A">
        <w:t xml:space="preserve">, ar kuru izveido pamatu, lai atbalstītu inteliģento transporta sistēmu (ITS) koordinētu un saskaņotu ieviešanu un izmantošanu </w:t>
      </w:r>
      <w:r w:rsidR="00473A17">
        <w:t>ES</w:t>
      </w:r>
      <w:r w:rsidRPr="007A4E5A">
        <w:t>, jo īpaši pāri robežām starp dalībvalstīm, un nosaka vispārējus nosacījumus šim nolūkam.</w:t>
      </w:r>
      <w:r w:rsidR="00D32BB2">
        <w:t xml:space="preserve"> </w:t>
      </w:r>
      <w:r w:rsidRPr="007A4E5A">
        <w:t>Vienlaikus Direktīvas 2010/40</w:t>
      </w:r>
      <w:r w:rsidR="00461F66">
        <w:t xml:space="preserve">/ES ieviešana ir brīvprātīga, bet </w:t>
      </w:r>
      <w:r w:rsidRPr="007A4E5A">
        <w:t>Latvijā tā</w:t>
      </w:r>
      <w:r w:rsidR="00461F66">
        <w:t>s ieviešana vēl nav īstenota pilnībā.</w:t>
      </w:r>
    </w:p>
    <w:p w:rsidR="00D05A7D" w:rsidRDefault="00D05A7D" w:rsidP="00A70D56">
      <w:pPr>
        <w:pStyle w:val="NoSpacing"/>
        <w:ind w:firstLine="426"/>
      </w:pPr>
    </w:p>
    <w:p w:rsidR="00AB0313" w:rsidRDefault="00AB0313" w:rsidP="00A70D56">
      <w:pPr>
        <w:pStyle w:val="NoSpacing"/>
        <w:ind w:firstLine="426"/>
      </w:pPr>
    </w:p>
    <w:p w:rsidR="00AB0313" w:rsidRDefault="00AB0313" w:rsidP="00A70D56">
      <w:pPr>
        <w:pStyle w:val="NoSpacing"/>
        <w:ind w:firstLine="426"/>
      </w:pPr>
    </w:p>
    <w:p w:rsidR="00AB0313" w:rsidRDefault="00AB0313" w:rsidP="00A70D56">
      <w:pPr>
        <w:pStyle w:val="NoSpacing"/>
        <w:ind w:firstLine="426"/>
      </w:pPr>
    </w:p>
    <w:p w:rsidR="00D05A7D" w:rsidRPr="00D05A7D" w:rsidRDefault="00CD7918" w:rsidP="00A70D56">
      <w:pPr>
        <w:pStyle w:val="NoSpacing"/>
        <w:ind w:firstLine="426"/>
        <w:rPr>
          <w:b/>
        </w:rPr>
      </w:pPr>
      <w:r>
        <w:rPr>
          <w:b/>
        </w:rPr>
        <w:lastRenderedPageBreak/>
        <w:t>TL</w:t>
      </w:r>
      <w:r w:rsidR="00AB0313">
        <w:rPr>
          <w:b/>
        </w:rPr>
        <w:t xml:space="preserve"> tehniskais stāvoklis</w:t>
      </w:r>
    </w:p>
    <w:p w:rsidR="0058195F" w:rsidRDefault="00F61878" w:rsidP="0058195F">
      <w:pPr>
        <w:pStyle w:val="NoSpacing"/>
        <w:ind w:firstLine="426"/>
        <w:jc w:val="both"/>
      </w:pPr>
      <w:r>
        <w:t xml:space="preserve">TL </w:t>
      </w:r>
      <w:r w:rsidR="0058195F">
        <w:t xml:space="preserve">tehnisko stāvokli kontrolē TA. TA Latvijā tiek veikta visiem vieglajiem </w:t>
      </w:r>
      <w:r w:rsidR="000A740A">
        <w:t>TL</w:t>
      </w:r>
      <w:r w:rsidR="0058195F">
        <w:t xml:space="preserve">, autobusiem, kravas automobiļiem un to piekabēm, kas piedalās ceļu satiksmē un kas reģistrēti Latvijā, kā arī motocikliem. TA netiek veikta mopēdiem, sniega motocikliem un </w:t>
      </w:r>
      <w:proofErr w:type="spellStart"/>
      <w:r w:rsidR="0058195F">
        <w:t>mazizmēra</w:t>
      </w:r>
      <w:proofErr w:type="spellEnd"/>
      <w:r w:rsidR="0058195F">
        <w:t xml:space="preserve"> kuģošanas līdzekļiem. </w:t>
      </w:r>
    </w:p>
    <w:p w:rsidR="0058195F" w:rsidRPr="009E4F04" w:rsidRDefault="0058195F" w:rsidP="0058195F">
      <w:pPr>
        <w:pStyle w:val="NoSpacing"/>
        <w:ind w:firstLine="426"/>
        <w:jc w:val="both"/>
      </w:pPr>
      <w:r>
        <w:t xml:space="preserve">Jānorāda, ka </w:t>
      </w:r>
      <w:r w:rsidR="000A740A">
        <w:t xml:space="preserve">TL </w:t>
      </w:r>
      <w:r w:rsidRPr="009E4F04">
        <w:t>Latvijā ir pakļauti</w:t>
      </w:r>
      <w:r>
        <w:t xml:space="preserve"> ne tikai krasām temperatūras svārstībām, bet arī</w:t>
      </w:r>
      <w:r w:rsidRPr="009E4F04">
        <w:t xml:space="preserve"> ļoti agresīvas vides iedarbībai, jo brauktuves tiek apstrādātas ar </w:t>
      </w:r>
      <w:proofErr w:type="spellStart"/>
      <w:r w:rsidRPr="009E4F04">
        <w:t>pretslīdes</w:t>
      </w:r>
      <w:proofErr w:type="spellEnd"/>
      <w:r w:rsidRPr="009E4F04">
        <w:t xml:space="preserve"> materiāliem, kas ietekmē </w:t>
      </w:r>
      <w:r w:rsidR="000A740A">
        <w:t xml:space="preserve">TL </w:t>
      </w:r>
      <w:r>
        <w:t>tehnisko stāvokli.</w:t>
      </w:r>
    </w:p>
    <w:p w:rsidR="005F2CE4" w:rsidRDefault="009E4F04" w:rsidP="00A70D56">
      <w:pPr>
        <w:pStyle w:val="NoSpacing"/>
        <w:ind w:firstLine="426"/>
        <w:jc w:val="both"/>
      </w:pPr>
      <w:r w:rsidRPr="009E4F04">
        <w:t xml:space="preserve">Eiropas Komisijas sagatavotājā ietekmes novērtējumā saistībā ar Eiropas Parlamenta un Padomes 2014.gada 3.aprīļa Direktīvas 2014/45/ES par mehānisko </w:t>
      </w:r>
      <w:r w:rsidR="004928B4" w:rsidRPr="004928B4">
        <w:t>TL</w:t>
      </w:r>
      <w:r w:rsidRPr="009E4F04">
        <w:t xml:space="preserve"> un to piekabju peri</w:t>
      </w:r>
      <w:r w:rsidR="005F2CE4">
        <w:t xml:space="preserve">odiskajām tehniskajām apskatēm </w:t>
      </w:r>
      <w:r w:rsidRPr="009E4F04">
        <w:t xml:space="preserve">izstrādi un pieņemšanu ir norādīts, ka neatbilstošs </w:t>
      </w:r>
      <w:r w:rsidR="004928B4" w:rsidRPr="004928B4">
        <w:t>TL</w:t>
      </w:r>
      <w:r w:rsidRPr="009E4F04">
        <w:t xml:space="preserve"> tehniskais stāvoklis ir bijis par iemeslu 3 līdz 19% ceļu satiksmes negadījumu.</w:t>
      </w:r>
    </w:p>
    <w:p w:rsidR="00CD7918" w:rsidRPr="0058195F" w:rsidRDefault="00CD7918" w:rsidP="003377BF">
      <w:pPr>
        <w:pStyle w:val="NoSpacing"/>
        <w:jc w:val="both"/>
        <w:rPr>
          <w:b/>
        </w:rPr>
      </w:pPr>
    </w:p>
    <w:p w:rsidR="00CD7918" w:rsidRDefault="003377BF" w:rsidP="0048289C">
      <w:pPr>
        <w:pStyle w:val="NoSpacing"/>
        <w:ind w:firstLine="142"/>
        <w:rPr>
          <w:b/>
        </w:rPr>
      </w:pPr>
      <w:r>
        <w:rPr>
          <w:b/>
        </w:rPr>
        <w:t>3</w:t>
      </w:r>
      <w:r w:rsidR="00950714" w:rsidRPr="0058195F">
        <w:rPr>
          <w:b/>
        </w:rPr>
        <w:t>. tabula. Statistikas dati par veiktajām tehn</w:t>
      </w:r>
      <w:r>
        <w:rPr>
          <w:b/>
        </w:rPr>
        <w:t>iskajām kontrolēm uz ceļiem</w:t>
      </w:r>
      <w:r w:rsidR="0048289C">
        <w:rPr>
          <w:b/>
        </w:rPr>
        <w:t xml:space="preserve"> 2015. un 2016</w:t>
      </w:r>
      <w:r>
        <w:rPr>
          <w:b/>
        </w:rPr>
        <w:t>.</w:t>
      </w:r>
      <w:r w:rsidR="0048289C">
        <w:rPr>
          <w:b/>
        </w:rPr>
        <w:t>gadā</w:t>
      </w:r>
    </w:p>
    <w:p w:rsidR="0048289C" w:rsidRPr="00233DD0" w:rsidRDefault="0048289C" w:rsidP="0058195F">
      <w:pPr>
        <w:pStyle w:val="NoSpacing"/>
        <w:ind w:firstLine="426"/>
        <w:rPr>
          <w:b/>
          <w:sz w:val="16"/>
          <w:szCs w:val="16"/>
        </w:rPr>
      </w:pPr>
    </w:p>
    <w:tbl>
      <w:tblPr>
        <w:tblStyle w:val="TableGrid"/>
        <w:tblW w:w="0" w:type="auto"/>
        <w:tblLook w:val="04A0" w:firstRow="1" w:lastRow="0" w:firstColumn="1" w:lastColumn="0" w:noHBand="0" w:noVBand="1"/>
      </w:tblPr>
      <w:tblGrid>
        <w:gridCol w:w="1234"/>
        <w:gridCol w:w="493"/>
        <w:gridCol w:w="176"/>
        <w:gridCol w:w="565"/>
        <w:gridCol w:w="966"/>
        <w:gridCol w:w="67"/>
        <w:gridCol w:w="137"/>
        <w:gridCol w:w="1229"/>
        <w:gridCol w:w="238"/>
        <w:gridCol w:w="81"/>
        <w:gridCol w:w="1188"/>
        <w:gridCol w:w="576"/>
        <w:gridCol w:w="725"/>
        <w:gridCol w:w="142"/>
        <w:gridCol w:w="384"/>
        <w:gridCol w:w="506"/>
        <w:gridCol w:w="1347"/>
      </w:tblGrid>
      <w:tr w:rsidR="003377BF" w:rsidTr="0080748A">
        <w:trPr>
          <w:trHeight w:val="416"/>
        </w:trPr>
        <w:tc>
          <w:tcPr>
            <w:tcW w:w="10627" w:type="dxa"/>
            <w:gridSpan w:val="17"/>
            <w:shd w:val="clear" w:color="auto" w:fill="F7CD9D" w:themeFill="accent1" w:themeFillTint="66"/>
          </w:tcPr>
          <w:p w:rsidR="003377BF" w:rsidRPr="00866DBD" w:rsidRDefault="003377BF" w:rsidP="0080748A">
            <w:pPr>
              <w:jc w:val="center"/>
              <w:rPr>
                <w:rFonts w:asciiTheme="minorHAnsi" w:hAnsiTheme="minorHAnsi"/>
              </w:rPr>
            </w:pPr>
            <w:r>
              <w:rPr>
                <w:rFonts w:asciiTheme="minorHAnsi" w:hAnsiTheme="minorHAnsi"/>
                <w:b/>
              </w:rPr>
              <w:t>2015.gads</w:t>
            </w:r>
          </w:p>
        </w:tc>
      </w:tr>
      <w:tr w:rsidR="003377BF" w:rsidTr="0080748A">
        <w:trPr>
          <w:trHeight w:val="426"/>
        </w:trPr>
        <w:tc>
          <w:tcPr>
            <w:tcW w:w="10627" w:type="dxa"/>
            <w:gridSpan w:val="17"/>
            <w:shd w:val="clear" w:color="auto" w:fill="FBE6CD" w:themeFill="accent1" w:themeFillTint="33"/>
          </w:tcPr>
          <w:p w:rsidR="003377BF" w:rsidRPr="00866DBD" w:rsidRDefault="003377BF" w:rsidP="0080748A">
            <w:pPr>
              <w:pStyle w:val="NormalWeb"/>
              <w:jc w:val="center"/>
              <w:rPr>
                <w:rFonts w:asciiTheme="minorHAnsi" w:hAnsiTheme="minorHAnsi"/>
              </w:rPr>
            </w:pPr>
            <w:r w:rsidRPr="00866DBD">
              <w:rPr>
                <w:rFonts w:asciiTheme="minorHAnsi" w:hAnsiTheme="minorHAnsi"/>
                <w:b/>
                <w:bCs/>
                <w:color w:val="000000"/>
              </w:rPr>
              <w:t>Kravas automobiļi, piekabes (puspiekabes), autobusi</w:t>
            </w:r>
          </w:p>
        </w:tc>
      </w:tr>
      <w:tr w:rsidR="003377BF" w:rsidTr="0080748A">
        <w:tc>
          <w:tcPr>
            <w:tcW w:w="1292" w:type="dxa"/>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Kopējais pārbaudīto kravas TL skaits</w:t>
            </w:r>
          </w:p>
        </w:tc>
        <w:tc>
          <w:tcPr>
            <w:tcW w:w="1292" w:type="dxa"/>
            <w:gridSpan w:val="3"/>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ārvalstu kravas TL skaits</w:t>
            </w:r>
          </w:p>
        </w:tc>
        <w:tc>
          <w:tcPr>
            <w:tcW w:w="1047" w:type="dxa"/>
            <w:gridSpan w:val="2"/>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Ārvalstu kravas TL skaits %</w:t>
            </w:r>
          </w:p>
        </w:tc>
        <w:tc>
          <w:tcPr>
            <w:tcW w:w="1873" w:type="dxa"/>
            <w:gridSpan w:val="4"/>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kravas TL skaits ar 2. vērtējumu (būtisks trūkums vai bojājums)</w:t>
            </w:r>
          </w:p>
        </w:tc>
        <w:tc>
          <w:tcPr>
            <w:tcW w:w="1270" w:type="dxa"/>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2. vērtējumu</w:t>
            </w:r>
          </w:p>
        </w:tc>
        <w:tc>
          <w:tcPr>
            <w:tcW w:w="1410" w:type="dxa"/>
            <w:gridSpan w:val="2"/>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kravas TL skaits ar 3. vērtējumu (bīstams trūkums vai bojājums)</w:t>
            </w:r>
          </w:p>
        </w:tc>
        <w:tc>
          <w:tcPr>
            <w:tcW w:w="1032" w:type="dxa"/>
            <w:gridSpan w:val="3"/>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3. vērtējumi</w:t>
            </w:r>
          </w:p>
        </w:tc>
        <w:tc>
          <w:tcPr>
            <w:tcW w:w="1411" w:type="dxa"/>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TL skaits ar būtiskiem vai bīstamiem defektiem % kopā</w:t>
            </w:r>
          </w:p>
        </w:tc>
      </w:tr>
      <w:tr w:rsidR="003377BF" w:rsidTr="0080748A">
        <w:tc>
          <w:tcPr>
            <w:tcW w:w="1292" w:type="dxa"/>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4488</w:t>
            </w:r>
          </w:p>
        </w:tc>
        <w:tc>
          <w:tcPr>
            <w:tcW w:w="1292" w:type="dxa"/>
            <w:gridSpan w:val="3"/>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1652</w:t>
            </w:r>
          </w:p>
        </w:tc>
        <w:tc>
          <w:tcPr>
            <w:tcW w:w="1047" w:type="dxa"/>
            <w:gridSpan w:val="2"/>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37%</w:t>
            </w:r>
          </w:p>
        </w:tc>
        <w:tc>
          <w:tcPr>
            <w:tcW w:w="1873" w:type="dxa"/>
            <w:gridSpan w:val="4"/>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382</w:t>
            </w:r>
          </w:p>
        </w:tc>
        <w:tc>
          <w:tcPr>
            <w:tcW w:w="1270" w:type="dxa"/>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9%</w:t>
            </w:r>
          </w:p>
        </w:tc>
        <w:tc>
          <w:tcPr>
            <w:tcW w:w="1410" w:type="dxa"/>
            <w:gridSpan w:val="2"/>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30</w:t>
            </w:r>
          </w:p>
        </w:tc>
        <w:tc>
          <w:tcPr>
            <w:tcW w:w="1032" w:type="dxa"/>
            <w:gridSpan w:val="3"/>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1%</w:t>
            </w:r>
          </w:p>
        </w:tc>
        <w:tc>
          <w:tcPr>
            <w:tcW w:w="1411" w:type="dxa"/>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10%</w:t>
            </w:r>
          </w:p>
        </w:tc>
      </w:tr>
      <w:tr w:rsidR="003377BF" w:rsidTr="0080748A">
        <w:tc>
          <w:tcPr>
            <w:tcW w:w="10627" w:type="dxa"/>
            <w:gridSpan w:val="17"/>
            <w:shd w:val="clear" w:color="auto" w:fill="FBE6CD" w:themeFill="accent1" w:themeFillTint="33"/>
          </w:tcPr>
          <w:p w:rsidR="003377BF" w:rsidRPr="00866DBD" w:rsidRDefault="003377BF" w:rsidP="0080748A">
            <w:pPr>
              <w:pStyle w:val="NormalWeb"/>
              <w:jc w:val="center"/>
              <w:rPr>
                <w:rFonts w:asciiTheme="minorHAnsi" w:hAnsiTheme="minorHAnsi"/>
                <w:b/>
              </w:rPr>
            </w:pPr>
            <w:r w:rsidRPr="00866DBD">
              <w:rPr>
                <w:rFonts w:asciiTheme="minorHAnsi" w:hAnsiTheme="minorHAnsi"/>
                <w:b/>
              </w:rPr>
              <w:t>Vieglie automobiļi</w:t>
            </w:r>
          </w:p>
        </w:tc>
      </w:tr>
      <w:tr w:rsidR="003377BF" w:rsidTr="0080748A">
        <w:tc>
          <w:tcPr>
            <w:tcW w:w="1961" w:type="dxa"/>
            <w:gridSpan w:val="3"/>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Kopējais pārbaudīto vieglo automobiļu skaits</w:t>
            </w:r>
          </w:p>
        </w:tc>
        <w:tc>
          <w:tcPr>
            <w:tcW w:w="1811" w:type="dxa"/>
            <w:gridSpan w:val="4"/>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TL skaits ar  Riepu defektiem</w:t>
            </w:r>
          </w:p>
        </w:tc>
        <w:tc>
          <w:tcPr>
            <w:tcW w:w="1646" w:type="dxa"/>
            <w:gridSpan w:val="2"/>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riepu defektiem</w:t>
            </w:r>
          </w:p>
        </w:tc>
        <w:tc>
          <w:tcPr>
            <w:tcW w:w="1950" w:type="dxa"/>
            <w:gridSpan w:val="3"/>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TL skaits ar  gaismas ierīču defektiem</w:t>
            </w:r>
          </w:p>
        </w:tc>
        <w:tc>
          <w:tcPr>
            <w:tcW w:w="1342" w:type="dxa"/>
            <w:gridSpan w:val="3"/>
            <w:shd w:val="clear" w:color="auto" w:fill="ADC8DD" w:themeFill="background2" w:themeFillShade="E6"/>
            <w:vAlign w:val="bottom"/>
          </w:tcPr>
          <w:p w:rsidR="003377BF" w:rsidRPr="00866DBD" w:rsidRDefault="003377BF" w:rsidP="0080748A">
            <w:pPr>
              <w:jc w:val="cente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gaismas ierīču defektiem</w:t>
            </w:r>
          </w:p>
        </w:tc>
        <w:tc>
          <w:tcPr>
            <w:tcW w:w="1917" w:type="dxa"/>
            <w:gridSpan w:val="2"/>
            <w:shd w:val="clear" w:color="auto" w:fill="ADC8DD" w:themeFill="background2" w:themeFillShade="E6"/>
          </w:tcPr>
          <w:p w:rsidR="003377BF" w:rsidRPr="00866DBD" w:rsidRDefault="003377BF" w:rsidP="0080748A">
            <w:pPr>
              <w:ind w:left="122"/>
              <w:rPr>
                <w:rFonts w:asciiTheme="minorHAnsi" w:hAnsiTheme="minorHAnsi"/>
              </w:rPr>
            </w:pPr>
            <w:r w:rsidRPr="00866DBD">
              <w:rPr>
                <w:rFonts w:asciiTheme="minorHAnsi" w:hAnsiTheme="minorHAnsi"/>
                <w:b/>
                <w:color w:val="000000"/>
                <w:sz w:val="16"/>
                <w:szCs w:val="16"/>
                <w:lang w:eastAsia="lv-LV"/>
              </w:rPr>
              <w:t>Pārbaudīto TL skaits ar riepu vai gaismas ierīču defektiem % kopā</w:t>
            </w:r>
          </w:p>
        </w:tc>
      </w:tr>
      <w:tr w:rsidR="003377BF" w:rsidTr="0080748A">
        <w:tc>
          <w:tcPr>
            <w:tcW w:w="1961" w:type="dxa"/>
            <w:gridSpan w:val="3"/>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4659</w:t>
            </w:r>
          </w:p>
        </w:tc>
        <w:tc>
          <w:tcPr>
            <w:tcW w:w="1811" w:type="dxa"/>
            <w:gridSpan w:val="4"/>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118</w:t>
            </w:r>
          </w:p>
        </w:tc>
        <w:tc>
          <w:tcPr>
            <w:tcW w:w="1646" w:type="dxa"/>
            <w:gridSpan w:val="2"/>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3%</w:t>
            </w:r>
          </w:p>
        </w:tc>
        <w:tc>
          <w:tcPr>
            <w:tcW w:w="1950" w:type="dxa"/>
            <w:gridSpan w:val="3"/>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385</w:t>
            </w:r>
          </w:p>
        </w:tc>
        <w:tc>
          <w:tcPr>
            <w:tcW w:w="1342" w:type="dxa"/>
            <w:gridSpan w:val="3"/>
            <w:shd w:val="clear" w:color="auto" w:fill="EAB9A4" w:themeFill="accent2" w:themeFillTint="66"/>
            <w:vAlign w:val="bottom"/>
          </w:tcPr>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color w:val="000000"/>
                <w:sz w:val="20"/>
                <w:szCs w:val="20"/>
                <w:lang w:eastAsia="lv-LV"/>
              </w:rPr>
              <w:t>8%</w:t>
            </w:r>
          </w:p>
        </w:tc>
        <w:tc>
          <w:tcPr>
            <w:tcW w:w="1917" w:type="dxa"/>
            <w:gridSpan w:val="2"/>
            <w:shd w:val="clear" w:color="auto" w:fill="EAB9A4" w:themeFill="accent2" w:themeFillTint="66"/>
          </w:tcPr>
          <w:p w:rsidR="003377BF" w:rsidRPr="00866DBD" w:rsidRDefault="003377BF" w:rsidP="0080748A">
            <w:pPr>
              <w:ind w:left="1028"/>
              <w:rPr>
                <w:rFonts w:asciiTheme="minorHAnsi" w:hAnsiTheme="minorHAnsi"/>
              </w:rPr>
            </w:pPr>
            <w:r w:rsidRPr="00866DBD">
              <w:rPr>
                <w:rFonts w:asciiTheme="minorHAnsi" w:hAnsiTheme="minorHAnsi"/>
                <w:b/>
                <w:color w:val="000000"/>
                <w:sz w:val="20"/>
                <w:szCs w:val="20"/>
                <w:lang w:eastAsia="lv-LV"/>
              </w:rPr>
              <w:t>11%</w:t>
            </w:r>
          </w:p>
        </w:tc>
      </w:tr>
      <w:tr w:rsidR="003377BF" w:rsidTr="0080748A">
        <w:tc>
          <w:tcPr>
            <w:tcW w:w="10627" w:type="dxa"/>
            <w:gridSpan w:val="17"/>
            <w:shd w:val="clear" w:color="auto" w:fill="F7CD9D" w:themeFill="accent1" w:themeFillTint="66"/>
          </w:tcPr>
          <w:p w:rsidR="003377BF" w:rsidRPr="00866DBD" w:rsidRDefault="003377BF" w:rsidP="0080748A">
            <w:pPr>
              <w:jc w:val="center"/>
              <w:rPr>
                <w:rFonts w:asciiTheme="minorHAnsi" w:hAnsiTheme="minorHAnsi"/>
              </w:rPr>
            </w:pPr>
            <w:r>
              <w:rPr>
                <w:rFonts w:asciiTheme="minorHAnsi" w:hAnsiTheme="minorHAnsi"/>
                <w:b/>
                <w:shd w:val="clear" w:color="auto" w:fill="F7CD9D" w:themeFill="accent1" w:themeFillTint="66"/>
              </w:rPr>
              <w:t>2016.gads (līdz 01.11.)</w:t>
            </w:r>
          </w:p>
        </w:tc>
      </w:tr>
      <w:tr w:rsidR="003377BF" w:rsidTr="0080748A">
        <w:trPr>
          <w:trHeight w:val="468"/>
        </w:trPr>
        <w:tc>
          <w:tcPr>
            <w:tcW w:w="10627" w:type="dxa"/>
            <w:gridSpan w:val="17"/>
            <w:shd w:val="clear" w:color="auto" w:fill="FBE6CD" w:themeFill="accent1" w:themeFillTint="33"/>
          </w:tcPr>
          <w:p w:rsidR="003377BF" w:rsidRPr="00866DBD" w:rsidRDefault="003377BF" w:rsidP="0080748A">
            <w:pPr>
              <w:pStyle w:val="NormalWeb"/>
              <w:jc w:val="center"/>
              <w:rPr>
                <w:rFonts w:asciiTheme="minorHAnsi" w:hAnsiTheme="minorHAnsi"/>
              </w:rPr>
            </w:pPr>
            <w:r w:rsidRPr="00866DBD">
              <w:rPr>
                <w:rFonts w:asciiTheme="minorHAnsi" w:hAnsiTheme="minorHAnsi"/>
                <w:b/>
                <w:bCs/>
                <w:color w:val="000000"/>
              </w:rPr>
              <w:t>Kravas automobiļi, piekabes (puspiekabes), autobusi</w:t>
            </w:r>
          </w:p>
        </w:tc>
      </w:tr>
      <w:tr w:rsidR="003377BF" w:rsidTr="0080748A">
        <w:tc>
          <w:tcPr>
            <w:tcW w:w="1292" w:type="dxa"/>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Kopējais pārbaudīto kravas TL skaits</w:t>
            </w:r>
          </w:p>
        </w:tc>
        <w:tc>
          <w:tcPr>
            <w:tcW w:w="1292" w:type="dxa"/>
            <w:gridSpan w:val="3"/>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ārvalstu kravas TL skaits</w:t>
            </w:r>
          </w:p>
        </w:tc>
        <w:tc>
          <w:tcPr>
            <w:tcW w:w="1047" w:type="dxa"/>
            <w:gridSpan w:val="2"/>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 xml:space="preserve">Ārvalstu kravas TL skaits % </w:t>
            </w:r>
          </w:p>
        </w:tc>
        <w:tc>
          <w:tcPr>
            <w:tcW w:w="1787" w:type="dxa"/>
            <w:gridSpan w:val="3"/>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kravas TL skaits ar 2. vērtējumu (būtisks trūkums vai bojājums)</w:t>
            </w:r>
          </w:p>
        </w:tc>
        <w:tc>
          <w:tcPr>
            <w:tcW w:w="1356" w:type="dxa"/>
            <w:gridSpan w:val="2"/>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2. vērtējumu</w:t>
            </w:r>
          </w:p>
        </w:tc>
        <w:tc>
          <w:tcPr>
            <w:tcW w:w="1552" w:type="dxa"/>
            <w:gridSpan w:val="3"/>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kravas TL skaits ar 3. vērtējumu (bīstams trūkums vai bojājums)</w:t>
            </w:r>
          </w:p>
        </w:tc>
        <w:tc>
          <w:tcPr>
            <w:tcW w:w="890" w:type="dxa"/>
            <w:gridSpan w:val="2"/>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3. vērtējumi</w:t>
            </w:r>
          </w:p>
        </w:tc>
        <w:tc>
          <w:tcPr>
            <w:tcW w:w="1411" w:type="dxa"/>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TL skaits ar būtiskiem vai bīstamiem defektiem % kopā</w:t>
            </w:r>
          </w:p>
        </w:tc>
      </w:tr>
      <w:tr w:rsidR="003377BF" w:rsidTr="0080748A">
        <w:tc>
          <w:tcPr>
            <w:tcW w:w="1292" w:type="dxa"/>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4555</w:t>
            </w:r>
          </w:p>
        </w:tc>
        <w:tc>
          <w:tcPr>
            <w:tcW w:w="1292" w:type="dxa"/>
            <w:gridSpan w:val="3"/>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1592</w:t>
            </w:r>
          </w:p>
        </w:tc>
        <w:tc>
          <w:tcPr>
            <w:tcW w:w="1047" w:type="dxa"/>
            <w:gridSpan w:val="2"/>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35%</w:t>
            </w:r>
          </w:p>
        </w:tc>
        <w:tc>
          <w:tcPr>
            <w:tcW w:w="1787" w:type="dxa"/>
            <w:gridSpan w:val="3"/>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451</w:t>
            </w:r>
          </w:p>
        </w:tc>
        <w:tc>
          <w:tcPr>
            <w:tcW w:w="1356" w:type="dxa"/>
            <w:gridSpan w:val="2"/>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10%</w:t>
            </w:r>
          </w:p>
        </w:tc>
        <w:tc>
          <w:tcPr>
            <w:tcW w:w="1552" w:type="dxa"/>
            <w:gridSpan w:val="3"/>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32</w:t>
            </w:r>
          </w:p>
        </w:tc>
        <w:tc>
          <w:tcPr>
            <w:tcW w:w="890" w:type="dxa"/>
            <w:gridSpan w:val="2"/>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1%</w:t>
            </w:r>
          </w:p>
        </w:tc>
        <w:tc>
          <w:tcPr>
            <w:tcW w:w="1411" w:type="dxa"/>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11%</w:t>
            </w:r>
          </w:p>
        </w:tc>
      </w:tr>
      <w:tr w:rsidR="003377BF" w:rsidTr="0080748A">
        <w:tc>
          <w:tcPr>
            <w:tcW w:w="10627" w:type="dxa"/>
            <w:gridSpan w:val="17"/>
            <w:shd w:val="clear" w:color="auto" w:fill="FBE6CD" w:themeFill="accent1" w:themeFillTint="33"/>
          </w:tcPr>
          <w:p w:rsidR="003377BF" w:rsidRPr="00866DBD" w:rsidRDefault="003377BF" w:rsidP="0080748A">
            <w:pPr>
              <w:pStyle w:val="NormalWeb"/>
              <w:ind w:left="426" w:firstLine="426"/>
              <w:jc w:val="center"/>
              <w:rPr>
                <w:rFonts w:asciiTheme="minorHAnsi" w:hAnsiTheme="minorHAnsi"/>
                <w:b/>
              </w:rPr>
            </w:pPr>
            <w:r w:rsidRPr="00866DBD">
              <w:rPr>
                <w:rFonts w:asciiTheme="minorHAnsi" w:hAnsiTheme="minorHAnsi"/>
                <w:b/>
              </w:rPr>
              <w:t>Vieglie automobiļi</w:t>
            </w:r>
          </w:p>
        </w:tc>
      </w:tr>
      <w:tr w:rsidR="003377BF" w:rsidTr="0080748A">
        <w:tc>
          <w:tcPr>
            <w:tcW w:w="1785" w:type="dxa"/>
            <w:gridSpan w:val="2"/>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Kopējais pārbaudīto vieglo automobiļu skaits</w:t>
            </w:r>
          </w:p>
        </w:tc>
        <w:tc>
          <w:tcPr>
            <w:tcW w:w="1771" w:type="dxa"/>
            <w:gridSpan w:val="3"/>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TL skaits ar  Riepu defektiem</w:t>
            </w:r>
          </w:p>
        </w:tc>
        <w:tc>
          <w:tcPr>
            <w:tcW w:w="1581" w:type="dxa"/>
            <w:gridSpan w:val="3"/>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riepu defektiem</w:t>
            </w:r>
          </w:p>
        </w:tc>
        <w:tc>
          <w:tcPr>
            <w:tcW w:w="1637" w:type="dxa"/>
            <w:gridSpan w:val="3"/>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Pārbaudīto TL skaits ar  gaismas ierīču defektiem</w:t>
            </w:r>
          </w:p>
        </w:tc>
        <w:tc>
          <w:tcPr>
            <w:tcW w:w="1936" w:type="dxa"/>
            <w:gridSpan w:val="4"/>
            <w:shd w:val="clear" w:color="auto" w:fill="ADC8DD" w:themeFill="background2" w:themeFillShade="E6"/>
            <w:vAlign w:val="bottom"/>
          </w:tcPr>
          <w:p w:rsidR="003377BF" w:rsidRPr="00866DBD" w:rsidRDefault="003377BF" w:rsidP="0080748A">
            <w:pPr>
              <w:rPr>
                <w:rFonts w:asciiTheme="minorHAnsi" w:hAnsiTheme="minorHAnsi"/>
                <w:b/>
                <w:color w:val="000000"/>
                <w:sz w:val="16"/>
                <w:szCs w:val="16"/>
                <w:lang w:eastAsia="lv-LV"/>
              </w:rPr>
            </w:pPr>
            <w:r w:rsidRPr="00866DBD">
              <w:rPr>
                <w:rFonts w:asciiTheme="minorHAnsi" w:hAnsiTheme="minorHAnsi"/>
                <w:b/>
                <w:color w:val="000000"/>
                <w:sz w:val="16"/>
                <w:szCs w:val="16"/>
                <w:lang w:eastAsia="lv-LV"/>
              </w:rPr>
              <w:t>Skaits % ar gaismas ierīču defektiem</w:t>
            </w:r>
          </w:p>
        </w:tc>
        <w:tc>
          <w:tcPr>
            <w:tcW w:w="1917" w:type="dxa"/>
            <w:gridSpan w:val="2"/>
            <w:shd w:val="clear" w:color="auto" w:fill="ADC8DD" w:themeFill="background2" w:themeFillShade="E6"/>
          </w:tcPr>
          <w:p w:rsidR="003377BF" w:rsidRPr="00866DBD" w:rsidRDefault="003377BF" w:rsidP="0080748A">
            <w:pPr>
              <w:rPr>
                <w:rFonts w:asciiTheme="minorHAnsi" w:hAnsiTheme="minorHAnsi"/>
              </w:rPr>
            </w:pPr>
            <w:r w:rsidRPr="00866DBD">
              <w:rPr>
                <w:rFonts w:asciiTheme="minorHAnsi" w:hAnsiTheme="minorHAnsi"/>
                <w:b/>
                <w:color w:val="000000"/>
                <w:sz w:val="16"/>
                <w:szCs w:val="16"/>
                <w:lang w:eastAsia="lv-LV"/>
              </w:rPr>
              <w:t xml:space="preserve"> Pārbaudīto TL skaits ar riepu vai gaismas ierīču defektiem % kopā</w:t>
            </w:r>
          </w:p>
        </w:tc>
      </w:tr>
      <w:tr w:rsidR="003377BF" w:rsidTr="0080748A">
        <w:tc>
          <w:tcPr>
            <w:tcW w:w="1785" w:type="dxa"/>
            <w:gridSpan w:val="2"/>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4600</w:t>
            </w:r>
          </w:p>
        </w:tc>
        <w:tc>
          <w:tcPr>
            <w:tcW w:w="1771" w:type="dxa"/>
            <w:gridSpan w:val="3"/>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188</w:t>
            </w:r>
          </w:p>
        </w:tc>
        <w:tc>
          <w:tcPr>
            <w:tcW w:w="1581" w:type="dxa"/>
            <w:gridSpan w:val="3"/>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4%</w:t>
            </w:r>
          </w:p>
        </w:tc>
        <w:tc>
          <w:tcPr>
            <w:tcW w:w="1637" w:type="dxa"/>
            <w:gridSpan w:val="3"/>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432</w:t>
            </w:r>
          </w:p>
        </w:tc>
        <w:tc>
          <w:tcPr>
            <w:tcW w:w="1936" w:type="dxa"/>
            <w:gridSpan w:val="4"/>
            <w:shd w:val="clear" w:color="auto" w:fill="EAB9A4" w:themeFill="accent2" w:themeFillTint="66"/>
          </w:tcPr>
          <w:p w:rsidR="003377BF" w:rsidRPr="00866DBD" w:rsidRDefault="003377BF" w:rsidP="0080748A">
            <w:pPr>
              <w:ind w:firstLine="426"/>
              <w:jc w:val="center"/>
              <w:rPr>
                <w:rFonts w:asciiTheme="minorHAnsi" w:hAnsiTheme="minorHAnsi"/>
                <w:b/>
                <w:sz w:val="20"/>
                <w:szCs w:val="20"/>
              </w:rPr>
            </w:pPr>
          </w:p>
          <w:p w:rsidR="003377BF" w:rsidRPr="00866DBD" w:rsidRDefault="003377BF" w:rsidP="0080748A">
            <w:pPr>
              <w:ind w:firstLine="426"/>
              <w:jc w:val="center"/>
              <w:rPr>
                <w:rFonts w:asciiTheme="minorHAnsi" w:hAnsiTheme="minorHAnsi"/>
                <w:b/>
                <w:color w:val="000000"/>
                <w:sz w:val="20"/>
                <w:szCs w:val="20"/>
                <w:lang w:eastAsia="lv-LV"/>
              </w:rPr>
            </w:pPr>
            <w:r w:rsidRPr="00866DBD">
              <w:rPr>
                <w:rFonts w:asciiTheme="minorHAnsi" w:hAnsiTheme="minorHAnsi"/>
                <w:b/>
                <w:sz w:val="20"/>
                <w:szCs w:val="20"/>
              </w:rPr>
              <w:t>9%</w:t>
            </w:r>
          </w:p>
        </w:tc>
        <w:tc>
          <w:tcPr>
            <w:tcW w:w="1917" w:type="dxa"/>
            <w:gridSpan w:val="2"/>
            <w:shd w:val="clear" w:color="auto" w:fill="EAB9A4" w:themeFill="accent2" w:themeFillTint="66"/>
          </w:tcPr>
          <w:p w:rsidR="003377BF" w:rsidRPr="00866DBD" w:rsidRDefault="003377BF" w:rsidP="0080748A">
            <w:pPr>
              <w:ind w:firstLine="426"/>
              <w:jc w:val="center"/>
              <w:rPr>
                <w:rFonts w:asciiTheme="minorHAnsi" w:hAnsiTheme="minorHAnsi"/>
                <w:b/>
                <w:color w:val="000000"/>
                <w:sz w:val="20"/>
                <w:szCs w:val="20"/>
                <w:lang w:eastAsia="lv-LV"/>
              </w:rPr>
            </w:pPr>
          </w:p>
          <w:p w:rsidR="003377BF" w:rsidRPr="00866DBD" w:rsidRDefault="003377BF" w:rsidP="0080748A">
            <w:pPr>
              <w:rPr>
                <w:rFonts w:asciiTheme="minorHAnsi" w:hAnsiTheme="minorHAnsi"/>
              </w:rPr>
            </w:pPr>
            <w:r w:rsidRPr="00866DBD">
              <w:rPr>
                <w:rFonts w:asciiTheme="minorHAnsi" w:hAnsiTheme="minorHAnsi"/>
                <w:b/>
                <w:color w:val="000000"/>
                <w:sz w:val="20"/>
                <w:szCs w:val="20"/>
                <w:lang w:eastAsia="lv-LV"/>
              </w:rPr>
              <w:t>13%</w:t>
            </w:r>
          </w:p>
        </w:tc>
      </w:tr>
    </w:tbl>
    <w:p w:rsidR="003377BF" w:rsidRPr="0058195F" w:rsidRDefault="003377BF" w:rsidP="0058195F">
      <w:pPr>
        <w:pStyle w:val="NoSpacing"/>
        <w:ind w:firstLine="426"/>
        <w:rPr>
          <w:b/>
        </w:rPr>
      </w:pPr>
    </w:p>
    <w:p w:rsidR="0058195F" w:rsidRDefault="0058195F" w:rsidP="00A70D56">
      <w:pPr>
        <w:pStyle w:val="NoSpacing"/>
        <w:ind w:firstLine="426"/>
        <w:jc w:val="both"/>
      </w:pPr>
    </w:p>
    <w:p w:rsidR="005F2CE4" w:rsidRDefault="009904EC" w:rsidP="00A70D56">
      <w:pPr>
        <w:pStyle w:val="NoSpacing"/>
        <w:ind w:firstLine="426"/>
        <w:jc w:val="both"/>
      </w:pPr>
      <w:r>
        <w:t>TA</w:t>
      </w:r>
      <w:r w:rsidR="005F2CE4">
        <w:t xml:space="preserve"> mērķis ir panākt, lai lietošanas laikā </w:t>
      </w:r>
      <w:r w:rsidR="000A740A">
        <w:t xml:space="preserve">TL </w:t>
      </w:r>
      <w:r w:rsidR="005F2CE4">
        <w:t xml:space="preserve">būtu droši dalībai ceļu satiksmē un neradītu kaitējumu apkārtējai videi. </w:t>
      </w:r>
      <w:r w:rsidR="000A740A">
        <w:t>TL TA</w:t>
      </w:r>
      <w:r w:rsidR="005F2CE4">
        <w:t xml:space="preserve"> defektu trūkumu (defektu) savlaicīga nekonstatēšana veicinātu šo defektu pastiprināšanos un papildus tam citu defektu kaskādi, t.i., viens esošs defekts izraisa atsevišķu citu mezglu vai iekārtu defektus, tādējādi radot negatīvu ietekmi</w:t>
      </w:r>
      <w:r w:rsidR="00AB0313">
        <w:t xml:space="preserve"> ceļu</w:t>
      </w:r>
      <w:r w:rsidR="005F2CE4">
        <w:t xml:space="preserve"> satiksmes drošībai. Ceļu satiksmes drošības un tās ietekmes uz sabiedrību kontekstā ir svarīgi, lai </w:t>
      </w:r>
      <w:r w:rsidR="000A740A">
        <w:t>TL</w:t>
      </w:r>
      <w:r w:rsidR="005F2CE4">
        <w:t xml:space="preserve">, kas tiek izmantoti ceļu satiksmē, būtu pienācīgā tehniskā stāvoklī. Lai šo mērķi sasniegtu, nepieciešams balstīties ne tikai uz </w:t>
      </w:r>
      <w:r w:rsidR="000A740A">
        <w:t>ES</w:t>
      </w:r>
      <w:r w:rsidR="005F2CE4">
        <w:t xml:space="preserve"> mēroga normatīvajos aktos noteiktajām minimālajām prasībām, kas sniedz dalībvalstīm zināmu rīcības brīvību, bet arī ņemt vērā vietēja rakstura īpatnības, lai, izmantojot sniegtās iespējas, adekvāti veidotu nacionālos tiesību aktus, sasniedzot maksimālo satiksmes drošības efektu. </w:t>
      </w:r>
    </w:p>
    <w:p w:rsidR="005F2CE4" w:rsidRDefault="00273950" w:rsidP="00A70D56">
      <w:pPr>
        <w:pStyle w:val="NoSpacing"/>
        <w:ind w:firstLine="426"/>
        <w:jc w:val="both"/>
      </w:pPr>
      <w:r>
        <w:t>Daži no b</w:t>
      </w:r>
      <w:r w:rsidR="005F2CE4">
        <w:t>ūtisk</w:t>
      </w:r>
      <w:r>
        <w:t>ākajiem</w:t>
      </w:r>
      <w:r w:rsidR="005F2CE4">
        <w:t xml:space="preserve"> faktori</w:t>
      </w:r>
      <w:r>
        <w:t>em</w:t>
      </w:r>
      <w:r w:rsidR="005F2CE4">
        <w:t xml:space="preserve">, kas tieši ietekmē </w:t>
      </w:r>
      <w:r>
        <w:t xml:space="preserve">saistību </w:t>
      </w:r>
      <w:r w:rsidR="000A740A">
        <w:t xml:space="preserve">TL </w:t>
      </w:r>
      <w:r>
        <w:t xml:space="preserve">tehniskajam </w:t>
      </w:r>
      <w:r w:rsidR="005F2CE4">
        <w:t xml:space="preserve"> stāvokli</w:t>
      </w:r>
      <w:r>
        <w:t>m ar</w:t>
      </w:r>
      <w:r w:rsidR="005F2CE4">
        <w:t xml:space="preserve"> </w:t>
      </w:r>
      <w:r>
        <w:t xml:space="preserve">ceļu </w:t>
      </w:r>
      <w:r w:rsidR="005F2CE4">
        <w:t>satiksmes drošību:</w:t>
      </w:r>
    </w:p>
    <w:p w:rsidR="005F2CE4" w:rsidRDefault="00691AFC" w:rsidP="00A70D56">
      <w:pPr>
        <w:pStyle w:val="NoSpacing"/>
        <w:ind w:firstLine="426"/>
        <w:jc w:val="both"/>
      </w:pPr>
      <w:r>
        <w:lastRenderedPageBreak/>
        <w:t xml:space="preserve">- </w:t>
      </w:r>
      <w:r w:rsidR="00273950">
        <w:t>Sākotnējā a</w:t>
      </w:r>
      <w:r w:rsidR="005F2CE4">
        <w:t xml:space="preserve">pskatē 2015.gadā </w:t>
      </w:r>
      <w:r w:rsidR="00273950">
        <w:t xml:space="preserve">41% </w:t>
      </w:r>
      <w:r w:rsidR="000A740A">
        <w:t xml:space="preserve">TL </w:t>
      </w:r>
      <w:r w:rsidR="00273950">
        <w:t>tika</w:t>
      </w:r>
      <w:r w:rsidR="005F2CE4">
        <w:t xml:space="preserve"> konstatēti būtiski tehniskā stāvokļa un aprīkojuma trūkumi vai bojājumi. No šī skaita 17,5% </w:t>
      </w:r>
      <w:r w:rsidR="000A740A">
        <w:t xml:space="preserve">TL </w:t>
      </w:r>
      <w:r w:rsidR="005F2CE4">
        <w:t>ir būtiski trūkumi vai bojājumi balstiekārtā, 7,4% - tuvās gaismas regulējumā, 6,4% - korozijas bojājumi un 4,6% - nevienmērīga bremžu iekārtas darbība;</w:t>
      </w:r>
    </w:p>
    <w:p w:rsidR="005F2CE4" w:rsidRDefault="00691AFC" w:rsidP="00A70D56">
      <w:pPr>
        <w:pStyle w:val="NoSpacing"/>
        <w:ind w:firstLine="426"/>
        <w:jc w:val="both"/>
      </w:pPr>
      <w:r>
        <w:t xml:space="preserve">- </w:t>
      </w:r>
      <w:r w:rsidR="005F2CE4">
        <w:t xml:space="preserve"> katru dienu </w:t>
      </w:r>
      <w:r w:rsidR="000A740A">
        <w:t>TA</w:t>
      </w:r>
      <w:r w:rsidR="005F2CE4">
        <w:t xml:space="preserve"> vidēji 13 </w:t>
      </w:r>
      <w:r w:rsidR="000A740A">
        <w:t xml:space="preserve">TL </w:t>
      </w:r>
      <w:r w:rsidR="005F2CE4">
        <w:t xml:space="preserve">tiek konstatēti bīstami trūkumi vai bojājumi, no kuriem 8 </w:t>
      </w:r>
      <w:r w:rsidR="000A740A">
        <w:t xml:space="preserve">TL </w:t>
      </w:r>
      <w:r w:rsidR="005F2CE4">
        <w:t>bremžu iekārta ir nepieļaujami bojāta, tādējādi radot tiešus un nepārprotamus draudus satiksmes drošībai un cilvēku dzīvībām;</w:t>
      </w:r>
    </w:p>
    <w:p w:rsidR="005F2CE4" w:rsidRDefault="00691AFC" w:rsidP="00A70D56">
      <w:pPr>
        <w:pStyle w:val="NoSpacing"/>
        <w:ind w:firstLine="426"/>
        <w:jc w:val="both"/>
      </w:pPr>
      <w:r>
        <w:t xml:space="preserve">- </w:t>
      </w:r>
      <w:r w:rsidR="005F2CE4">
        <w:t xml:space="preserve"> </w:t>
      </w:r>
      <w:r w:rsidR="00273950">
        <w:t>CSDD rīkotās a</w:t>
      </w:r>
      <w:r w:rsidR="005F2CE4">
        <w:t xml:space="preserve">kcijas “Tehniskās apskates nakts” ietvaros pārbaudīto </w:t>
      </w:r>
      <w:r w:rsidR="000A740A">
        <w:t xml:space="preserve">TL </w:t>
      </w:r>
      <w:r w:rsidR="005F2CE4">
        <w:t xml:space="preserve">un to aprīkojuma tehniskā stāvokļa statistika ir ievērojami negatīvāka, proti, 80% </w:t>
      </w:r>
      <w:r w:rsidR="000A740A">
        <w:t xml:space="preserve">TL </w:t>
      </w:r>
      <w:r w:rsidR="005F2CE4">
        <w:t xml:space="preserve">tiek konstatēti būtiski vai bīstami trūkumi vai bojājumi. Šāda bezmaksas diagnostikas akcija, kas nav saistīta ar juridiski saistošām sekām, </w:t>
      </w:r>
      <w:r w:rsidR="00273950">
        <w:t>norāda to, kāds ir</w:t>
      </w:r>
      <w:r w:rsidR="005F2CE4">
        <w:t xml:space="preserve"> </w:t>
      </w:r>
      <w:r w:rsidR="000A740A">
        <w:t xml:space="preserve">TL </w:t>
      </w:r>
      <w:r w:rsidR="00273950">
        <w:t>reālais tehniskais</w:t>
      </w:r>
      <w:r w:rsidR="005F2CE4">
        <w:t xml:space="preserve"> stāvokli</w:t>
      </w:r>
      <w:r w:rsidR="00273950">
        <w:t>s ikdienas ceļu satiksmē</w:t>
      </w:r>
      <w:r w:rsidR="005F2CE4">
        <w:t>;</w:t>
      </w:r>
    </w:p>
    <w:p w:rsidR="005F2CE4" w:rsidRDefault="00691AFC" w:rsidP="00A70D56">
      <w:pPr>
        <w:pStyle w:val="NoSpacing"/>
        <w:ind w:firstLine="426"/>
        <w:jc w:val="both"/>
      </w:pPr>
      <w:r>
        <w:t xml:space="preserve">- </w:t>
      </w:r>
      <w:r w:rsidR="005F2CE4">
        <w:t xml:space="preserve"> 3 gadu laikā veicot vieglo automobiļu tehniskā stāvokļa pārbaudes uz ceļiem, kontrolējot vieglo automobiļu gaismas ierīču un riepu tehnisko stāvokli</w:t>
      </w:r>
      <w:r w:rsidR="00273950">
        <w:t>,</w:t>
      </w:r>
      <w:r w:rsidR="005F2CE4">
        <w:t xml:space="preserve"> 10% tika</w:t>
      </w:r>
      <w:r w:rsidR="00AB0313">
        <w:t xml:space="preserve"> TL</w:t>
      </w:r>
      <w:r w:rsidR="005F2CE4">
        <w:t xml:space="preserve"> konstatēti defekti, kas </w:t>
      </w:r>
      <w:r w:rsidR="00273950">
        <w:t>liedz tiem dalību ceļu satiksmē</w:t>
      </w:r>
      <w:r w:rsidR="005F2CE4">
        <w:t>;</w:t>
      </w:r>
    </w:p>
    <w:p w:rsidR="00081839" w:rsidRDefault="00DF3B37" w:rsidP="009554BD">
      <w:pPr>
        <w:pStyle w:val="NoSpacing"/>
        <w:ind w:firstLine="567"/>
        <w:jc w:val="both"/>
        <w:rPr>
          <w:rFonts w:cs="Times New Roman"/>
        </w:rPr>
      </w:pPr>
      <w:r w:rsidRPr="00DF3B37">
        <w:t>2015.gadā</w:t>
      </w:r>
      <w:r>
        <w:t xml:space="preserve"> ir</w:t>
      </w:r>
      <w:r w:rsidRPr="00DF3B37">
        <w:t xml:space="preserve"> ieviesta iespēja </w:t>
      </w:r>
      <w:r w:rsidRPr="00C96CF2">
        <w:rPr>
          <w:b/>
        </w:rPr>
        <w:t xml:space="preserve">anulēt atļauju piedalīties ceļu satiksmē </w:t>
      </w:r>
      <w:r w:rsidR="000A740A">
        <w:rPr>
          <w:rFonts w:cs="Times New Roman"/>
          <w:b/>
        </w:rPr>
        <w:t>TL</w:t>
      </w:r>
      <w:r w:rsidRPr="00D5051B">
        <w:rPr>
          <w:rFonts w:cs="Times New Roman"/>
          <w:b/>
        </w:rPr>
        <w:t xml:space="preserve">, kas bijis iesaistīts </w:t>
      </w:r>
      <w:proofErr w:type="spellStart"/>
      <w:r w:rsidRPr="00D5051B">
        <w:rPr>
          <w:rFonts w:cs="Times New Roman"/>
          <w:b/>
        </w:rPr>
        <w:t>CSNg</w:t>
      </w:r>
      <w:proofErr w:type="spellEnd"/>
      <w:r w:rsidR="000A740A">
        <w:rPr>
          <w:rFonts w:cs="Times New Roman"/>
          <w:b/>
        </w:rPr>
        <w:t xml:space="preserve"> atbilstoši</w:t>
      </w:r>
      <w:r w:rsidRPr="00D5051B">
        <w:rPr>
          <w:rFonts w:cs="Times New Roman"/>
          <w:b/>
        </w:rPr>
        <w:t xml:space="preserve"> </w:t>
      </w:r>
      <w:r w:rsidRPr="00D5051B">
        <w:rPr>
          <w:rFonts w:cs="Times New Roman"/>
        </w:rPr>
        <w:t>grozījum</w:t>
      </w:r>
      <w:r w:rsidR="000A740A">
        <w:rPr>
          <w:rFonts w:cs="Times New Roman"/>
        </w:rPr>
        <w:t>iem</w:t>
      </w:r>
      <w:r w:rsidRPr="00D5051B">
        <w:rPr>
          <w:rFonts w:cs="Times New Roman"/>
        </w:rPr>
        <w:t xml:space="preserve"> Ministru kabineta 2015.gada 13.oktobra noteikumos Nr.583 “Kārtība, kādā Valsts policija ceļu satiksmes negadījumā iesaistītam </w:t>
      </w:r>
      <w:r w:rsidR="004928B4" w:rsidRPr="004928B4">
        <w:rPr>
          <w:rFonts w:cs="Times New Roman"/>
        </w:rPr>
        <w:t>TL</w:t>
      </w:r>
      <w:r w:rsidRPr="00D5051B">
        <w:rPr>
          <w:rFonts w:cs="Times New Roman"/>
        </w:rPr>
        <w:t xml:space="preserve"> anulē atļauju piedalīties ceļu satiksmē”. 201</w:t>
      </w:r>
      <w:r w:rsidR="004E3F06">
        <w:rPr>
          <w:rFonts w:cs="Times New Roman"/>
        </w:rPr>
        <w:t>5.gadā ir anulētas 169 atļaujas, savukārt 2016.gadā ir anulētas 932 atļaujas</w:t>
      </w:r>
      <w:r w:rsidRPr="00D5051B">
        <w:rPr>
          <w:rFonts w:cs="Times New Roman"/>
        </w:rPr>
        <w:t>.</w:t>
      </w:r>
    </w:p>
    <w:p w:rsidR="009554BD" w:rsidRPr="009554BD" w:rsidRDefault="009554BD" w:rsidP="009554BD">
      <w:pPr>
        <w:pStyle w:val="NoSpacing"/>
        <w:ind w:firstLine="567"/>
        <w:jc w:val="both"/>
        <w:rPr>
          <w:rFonts w:cs="Times New Roman"/>
        </w:rPr>
      </w:pPr>
    </w:p>
    <w:p w:rsidR="00E528F8" w:rsidRPr="00D1125E" w:rsidRDefault="00CD12A0" w:rsidP="00D1125E">
      <w:pPr>
        <w:pStyle w:val="Heading2"/>
      </w:pPr>
      <w:bookmarkStart w:id="30" w:name="_Toc457824714"/>
      <w:bookmarkStart w:id="31" w:name="_Toc457824868"/>
      <w:bookmarkStart w:id="32" w:name="_Toc457986546"/>
      <w:bookmarkStart w:id="33" w:name="_Toc457989652"/>
      <w:bookmarkStart w:id="34" w:name="_Toc477177762"/>
      <w:r>
        <w:t>1</w:t>
      </w:r>
      <w:r w:rsidR="00D1125E">
        <w:t xml:space="preserve">.4. </w:t>
      </w:r>
      <w:r w:rsidR="002B7B5E" w:rsidRPr="00D1125E">
        <w:t xml:space="preserve">Secinājumi </w:t>
      </w:r>
      <w:r w:rsidR="008700D3" w:rsidRPr="00D1125E">
        <w:t xml:space="preserve">par </w:t>
      </w:r>
      <w:r w:rsidR="007F600A" w:rsidRPr="00D1125E">
        <w:t>ceļu satiksmes drošības līmeni</w:t>
      </w:r>
      <w:bookmarkEnd w:id="30"/>
      <w:bookmarkEnd w:id="31"/>
      <w:bookmarkEnd w:id="32"/>
      <w:bookmarkEnd w:id="33"/>
      <w:bookmarkEnd w:id="34"/>
    </w:p>
    <w:p w:rsidR="00302156" w:rsidRDefault="00302156" w:rsidP="00A70D56">
      <w:pPr>
        <w:pStyle w:val="NoSpacing"/>
        <w:ind w:firstLine="426"/>
        <w:jc w:val="both"/>
        <w:rPr>
          <w:rFonts w:cs="Times New Roman"/>
        </w:rPr>
      </w:pPr>
    </w:p>
    <w:p w:rsidR="008037A8" w:rsidRPr="00320E52" w:rsidRDefault="008037A8" w:rsidP="008037A8">
      <w:pPr>
        <w:pStyle w:val="NoSpacing"/>
        <w:ind w:firstLine="426"/>
        <w:jc w:val="both"/>
        <w:rPr>
          <w:rFonts w:cs="Times New Roman"/>
          <w:vertAlign w:val="superscript"/>
        </w:rPr>
      </w:pPr>
      <w:r w:rsidRPr="00320E52">
        <w:rPr>
          <w:rFonts w:cs="Times New Roman"/>
        </w:rPr>
        <w:t>Dažādu valstu nacionālajos politikas plānošanas dokumentos un pētījumos tiek pieminēti dažādi modeļi, kas būtu pielietojami ceļu satiksmes drošības uzlabošanā. Viens no tiem ir “Drošas Sistēmas”</w:t>
      </w:r>
      <w:r w:rsidR="002A7939" w:rsidRPr="00320E52">
        <w:rPr>
          <w:rStyle w:val="FootnoteReference"/>
          <w:rFonts w:cs="Times New Roman"/>
        </w:rPr>
        <w:footnoteReference w:id="17"/>
      </w:r>
      <w:r w:rsidRPr="00320E52">
        <w:rPr>
          <w:rFonts w:cs="Times New Roman"/>
        </w:rPr>
        <w:t xml:space="preserve"> pieeja</w:t>
      </w:r>
      <w:r w:rsidR="004B3880" w:rsidRPr="00320E52">
        <w:rPr>
          <w:rFonts w:cs="Times New Roman"/>
        </w:rPr>
        <w:t xml:space="preserve">, kas tiek minēta pētījumā </w:t>
      </w:r>
      <w:r w:rsidR="004B3880" w:rsidRPr="00320E52">
        <w:rPr>
          <w:rFonts w:cs="Times New Roman"/>
          <w:i/>
        </w:rPr>
        <w:t>“</w:t>
      </w:r>
      <w:proofErr w:type="spellStart"/>
      <w:r w:rsidR="004B3880" w:rsidRPr="00320E52">
        <w:rPr>
          <w:rFonts w:cs="Times New Roman"/>
          <w:i/>
        </w:rPr>
        <w:t>Zero</w:t>
      </w:r>
      <w:proofErr w:type="spellEnd"/>
      <w:r w:rsidR="004B3880" w:rsidRPr="00320E52">
        <w:rPr>
          <w:rFonts w:cs="Times New Roman"/>
          <w:i/>
        </w:rPr>
        <w:t xml:space="preserve"> </w:t>
      </w:r>
      <w:proofErr w:type="spellStart"/>
      <w:r w:rsidR="004B3880" w:rsidRPr="00320E52">
        <w:rPr>
          <w:rFonts w:cs="Times New Roman"/>
          <w:i/>
        </w:rPr>
        <w:t>Road</w:t>
      </w:r>
      <w:proofErr w:type="spellEnd"/>
      <w:r w:rsidR="004B3880" w:rsidRPr="00320E52">
        <w:rPr>
          <w:rFonts w:cs="Times New Roman"/>
          <w:i/>
        </w:rPr>
        <w:t xml:space="preserve"> </w:t>
      </w:r>
      <w:proofErr w:type="spellStart"/>
      <w:r w:rsidR="004B3880" w:rsidRPr="00320E52">
        <w:rPr>
          <w:rFonts w:cs="Times New Roman"/>
          <w:i/>
        </w:rPr>
        <w:t>Deaths</w:t>
      </w:r>
      <w:proofErr w:type="spellEnd"/>
      <w:r w:rsidR="004B3880" w:rsidRPr="00320E52">
        <w:rPr>
          <w:rFonts w:cs="Times New Roman"/>
          <w:i/>
        </w:rPr>
        <w:t xml:space="preserve"> </w:t>
      </w:r>
      <w:proofErr w:type="spellStart"/>
      <w:r w:rsidR="004B3880" w:rsidRPr="00320E52">
        <w:rPr>
          <w:rFonts w:cs="Times New Roman"/>
          <w:i/>
        </w:rPr>
        <w:t>and</w:t>
      </w:r>
      <w:proofErr w:type="spellEnd"/>
      <w:r w:rsidR="004B3880" w:rsidRPr="00320E52">
        <w:rPr>
          <w:rFonts w:cs="Times New Roman"/>
          <w:i/>
        </w:rPr>
        <w:t xml:space="preserve"> </w:t>
      </w:r>
      <w:proofErr w:type="spellStart"/>
      <w:r w:rsidR="004B3880" w:rsidRPr="00320E52">
        <w:rPr>
          <w:rFonts w:cs="Times New Roman"/>
          <w:i/>
        </w:rPr>
        <w:t>Serious</w:t>
      </w:r>
      <w:proofErr w:type="spellEnd"/>
      <w:r w:rsidR="004B3880" w:rsidRPr="00320E52">
        <w:rPr>
          <w:rFonts w:cs="Times New Roman"/>
          <w:i/>
        </w:rPr>
        <w:t xml:space="preserve"> </w:t>
      </w:r>
      <w:proofErr w:type="spellStart"/>
      <w:r w:rsidR="004B3880" w:rsidRPr="00320E52">
        <w:rPr>
          <w:rFonts w:cs="Times New Roman"/>
          <w:i/>
        </w:rPr>
        <w:t>Injuries</w:t>
      </w:r>
      <w:proofErr w:type="spellEnd"/>
      <w:r w:rsidR="004B3880" w:rsidRPr="00320E52">
        <w:rPr>
          <w:rFonts w:cs="Times New Roman"/>
          <w:i/>
        </w:rPr>
        <w:t xml:space="preserve">: </w:t>
      </w:r>
      <w:proofErr w:type="spellStart"/>
      <w:r w:rsidR="004B3880" w:rsidRPr="00320E52">
        <w:rPr>
          <w:rFonts w:cs="Times New Roman"/>
          <w:i/>
        </w:rPr>
        <w:t>Leading</w:t>
      </w:r>
      <w:proofErr w:type="spellEnd"/>
      <w:r w:rsidR="004B3880" w:rsidRPr="00320E52">
        <w:rPr>
          <w:rFonts w:cs="Times New Roman"/>
          <w:i/>
        </w:rPr>
        <w:t xml:space="preserve"> a </w:t>
      </w:r>
      <w:proofErr w:type="spellStart"/>
      <w:r w:rsidR="004B3880" w:rsidRPr="00320E52">
        <w:rPr>
          <w:rFonts w:cs="Times New Roman"/>
          <w:i/>
        </w:rPr>
        <w:t>Paradigm</w:t>
      </w:r>
      <w:proofErr w:type="spellEnd"/>
      <w:r w:rsidR="004B3880" w:rsidRPr="00320E52">
        <w:rPr>
          <w:rFonts w:cs="Times New Roman"/>
          <w:i/>
        </w:rPr>
        <w:t xml:space="preserve"> </w:t>
      </w:r>
      <w:proofErr w:type="spellStart"/>
      <w:r w:rsidR="004B3880" w:rsidRPr="00320E52">
        <w:rPr>
          <w:rFonts w:cs="Times New Roman"/>
          <w:i/>
        </w:rPr>
        <w:t>Shift</w:t>
      </w:r>
      <w:proofErr w:type="spellEnd"/>
      <w:r w:rsidR="004B3880" w:rsidRPr="00320E52">
        <w:rPr>
          <w:rFonts w:cs="Times New Roman"/>
          <w:i/>
        </w:rPr>
        <w:t xml:space="preserve"> to a </w:t>
      </w:r>
      <w:proofErr w:type="spellStart"/>
      <w:r w:rsidR="004B3880" w:rsidRPr="00320E52">
        <w:rPr>
          <w:rFonts w:cs="Times New Roman"/>
          <w:i/>
        </w:rPr>
        <w:t>Safe</w:t>
      </w:r>
      <w:proofErr w:type="spellEnd"/>
      <w:r w:rsidR="004B3880" w:rsidRPr="00320E52">
        <w:rPr>
          <w:rFonts w:cs="Times New Roman"/>
          <w:i/>
        </w:rPr>
        <w:t xml:space="preserve"> System”</w:t>
      </w:r>
      <w:r w:rsidRPr="00320E52">
        <w:rPr>
          <w:rFonts w:cs="Times New Roman"/>
          <w:i/>
        </w:rPr>
        <w:t>.</w:t>
      </w:r>
      <w:r w:rsidR="004B3880" w:rsidRPr="00320E52">
        <w:rPr>
          <w:rFonts w:cs="Times New Roman"/>
          <w:i/>
          <w:vertAlign w:val="superscript"/>
        </w:rPr>
        <w:t>17</w:t>
      </w:r>
    </w:p>
    <w:p w:rsidR="008037A8" w:rsidRPr="00320E52" w:rsidRDefault="008037A8" w:rsidP="008037A8">
      <w:pPr>
        <w:pStyle w:val="NoSpacing"/>
        <w:ind w:firstLine="426"/>
        <w:jc w:val="both"/>
        <w:rPr>
          <w:rFonts w:cs="Times New Roman"/>
        </w:rPr>
      </w:pPr>
      <w:r w:rsidRPr="00320E52">
        <w:rPr>
          <w:rFonts w:cs="Times New Roman"/>
        </w:rPr>
        <w:t>“Droša Sistēmas”</w:t>
      </w:r>
      <w:r w:rsidR="002A7939" w:rsidRPr="00320E52">
        <w:rPr>
          <w:rFonts w:cs="Times New Roman"/>
          <w:vertAlign w:val="superscript"/>
        </w:rPr>
        <w:t>17</w:t>
      </w:r>
      <w:r w:rsidRPr="00320E52">
        <w:rPr>
          <w:rFonts w:cs="Times New Roman"/>
        </w:rPr>
        <w:t xml:space="preserve"> pieeja (“</w:t>
      </w:r>
      <w:proofErr w:type="spellStart"/>
      <w:r w:rsidRPr="00320E52">
        <w:rPr>
          <w:rFonts w:cs="Times New Roman"/>
        </w:rPr>
        <w:t>Safe</w:t>
      </w:r>
      <w:proofErr w:type="spellEnd"/>
      <w:r w:rsidRPr="00320E52">
        <w:rPr>
          <w:rFonts w:cs="Times New Roman"/>
        </w:rPr>
        <w:t xml:space="preserve"> </w:t>
      </w:r>
      <w:proofErr w:type="spellStart"/>
      <w:r w:rsidRPr="00320E52">
        <w:rPr>
          <w:rFonts w:cs="Times New Roman"/>
        </w:rPr>
        <w:t>System</w:t>
      </w:r>
      <w:proofErr w:type="spellEnd"/>
      <w:r w:rsidRPr="00320E52">
        <w:rPr>
          <w:rFonts w:cs="Times New Roman"/>
        </w:rPr>
        <w:t xml:space="preserve">” – angļu val.) ir balstīta uz holistisku (visaptverošs) un aktīvu rīcības modeli. Tās būtība </w:t>
      </w:r>
      <w:r w:rsidR="00091D49">
        <w:rPr>
          <w:rFonts w:cs="Times New Roman"/>
        </w:rPr>
        <w:t>izpaužas</w:t>
      </w:r>
      <w:r w:rsidRPr="00320E52">
        <w:rPr>
          <w:rFonts w:cs="Times New Roman"/>
        </w:rPr>
        <w:t xml:space="preserve"> tajā, ka katrs sistēmas elements spēlē ļoti būtisku lomu kopējā vērtējumā, taču viena elementa atteikuma gadījumā sistēma netiek būtiski bojāta, tā turpina strādāt. Pēc šīs pieejas galvenais uzsvars tiek likts uz to, lai pilnībā novērstu letālus </w:t>
      </w:r>
      <w:proofErr w:type="spellStart"/>
      <w:r w:rsidRPr="00320E52">
        <w:rPr>
          <w:rFonts w:cs="Times New Roman"/>
        </w:rPr>
        <w:t>CSNg</w:t>
      </w:r>
      <w:proofErr w:type="spellEnd"/>
      <w:r w:rsidRPr="00320E52">
        <w:rPr>
          <w:rFonts w:cs="Times New Roman"/>
        </w:rPr>
        <w:t xml:space="preserve"> un tādus, kuros rodas smagas traumas. “Drošajā Sistēmā” tiek ietverta ceļu satiksmes dalībnieku kontrole, izglītība, informētība, droša ceļu infrastruktūra, satiksmes plūsmas un ātruma kontrole, droši </w:t>
      </w:r>
      <w:r w:rsidR="004928B4" w:rsidRPr="004928B4">
        <w:rPr>
          <w:rFonts w:cs="Times New Roman"/>
        </w:rPr>
        <w:t>TL</w:t>
      </w:r>
      <w:r w:rsidRPr="00320E52">
        <w:rPr>
          <w:rFonts w:cs="Times New Roman"/>
        </w:rPr>
        <w:t xml:space="preserve"> un atbilstoša reaģēšana uz </w:t>
      </w:r>
      <w:proofErr w:type="spellStart"/>
      <w:r w:rsidRPr="00320E52">
        <w:rPr>
          <w:rFonts w:cs="Times New Roman"/>
        </w:rPr>
        <w:t>CSNg</w:t>
      </w:r>
      <w:proofErr w:type="spellEnd"/>
      <w:r w:rsidRPr="00320E52">
        <w:rPr>
          <w:rFonts w:cs="Times New Roman"/>
        </w:rPr>
        <w:t>.</w:t>
      </w:r>
    </w:p>
    <w:p w:rsidR="008037A8" w:rsidRPr="00320E52" w:rsidRDefault="008037A8" w:rsidP="008037A8">
      <w:pPr>
        <w:pStyle w:val="NoSpacing"/>
        <w:ind w:firstLine="426"/>
        <w:jc w:val="both"/>
        <w:rPr>
          <w:rFonts w:cs="Times New Roman"/>
        </w:rPr>
      </w:pPr>
      <w:r w:rsidRPr="00320E52">
        <w:rPr>
          <w:rFonts w:cs="Times New Roman"/>
        </w:rPr>
        <w:t>Šīs sistēmas</w:t>
      </w:r>
      <w:r w:rsidR="002A7939" w:rsidRPr="00320E52">
        <w:rPr>
          <w:rFonts w:cs="Times New Roman"/>
        </w:rPr>
        <w:t xml:space="preserve"> (“Droša</w:t>
      </w:r>
      <w:r w:rsidR="004B3880" w:rsidRPr="00320E52">
        <w:rPr>
          <w:rFonts w:cs="Times New Roman"/>
        </w:rPr>
        <w:t>s</w:t>
      </w:r>
      <w:r w:rsidR="002A7939" w:rsidRPr="00320E52">
        <w:rPr>
          <w:rFonts w:cs="Times New Roman"/>
        </w:rPr>
        <w:t xml:space="preserve"> sistēma</w:t>
      </w:r>
      <w:r w:rsidR="00CA6840" w:rsidRPr="00320E52">
        <w:rPr>
          <w:rFonts w:cs="Times New Roman"/>
        </w:rPr>
        <w:t>s</w:t>
      </w:r>
      <w:r w:rsidR="002A7939" w:rsidRPr="00320E52">
        <w:rPr>
          <w:rFonts w:cs="Times New Roman"/>
        </w:rPr>
        <w:t>”)</w:t>
      </w:r>
      <w:r w:rsidRPr="00320E52">
        <w:rPr>
          <w:rFonts w:cs="Times New Roman"/>
        </w:rPr>
        <w:t xml:space="preserve"> četri pamata principi ir sekojoši:</w:t>
      </w:r>
    </w:p>
    <w:p w:rsidR="008037A8" w:rsidRPr="00320E52" w:rsidRDefault="008037A8" w:rsidP="008037A8">
      <w:pPr>
        <w:pStyle w:val="NoSpacing"/>
        <w:ind w:firstLine="426"/>
        <w:jc w:val="both"/>
        <w:rPr>
          <w:rFonts w:cs="Times New Roman"/>
        </w:rPr>
      </w:pPr>
      <w:r w:rsidRPr="00320E52">
        <w:rPr>
          <w:rFonts w:cs="Times New Roman"/>
        </w:rPr>
        <w:t xml:space="preserve">1. Cilvēki pieļauj kļūdas, kas noved pie </w:t>
      </w:r>
      <w:proofErr w:type="spellStart"/>
      <w:r w:rsidRPr="00320E52">
        <w:rPr>
          <w:rFonts w:cs="Times New Roman"/>
        </w:rPr>
        <w:t>CSNg</w:t>
      </w:r>
      <w:proofErr w:type="spellEnd"/>
      <w:r w:rsidRPr="00320E52">
        <w:rPr>
          <w:rFonts w:cs="Times New Roman"/>
        </w:rPr>
        <w:t>.</w:t>
      </w:r>
    </w:p>
    <w:p w:rsidR="008037A8" w:rsidRPr="00320E52" w:rsidRDefault="008037A8" w:rsidP="008037A8">
      <w:pPr>
        <w:pStyle w:val="NoSpacing"/>
        <w:ind w:firstLine="426"/>
        <w:jc w:val="both"/>
        <w:rPr>
          <w:rFonts w:cs="Times New Roman"/>
        </w:rPr>
      </w:pPr>
      <w:r w:rsidRPr="00320E52">
        <w:rPr>
          <w:rFonts w:cs="Times New Roman"/>
        </w:rPr>
        <w:t xml:space="preserve">2.  Cilvēka ķermenim ir ierobežota fiziskā spēja izturēt </w:t>
      </w:r>
      <w:proofErr w:type="spellStart"/>
      <w:r w:rsidRPr="00320E52">
        <w:rPr>
          <w:rFonts w:cs="Times New Roman"/>
        </w:rPr>
        <w:t>CSNg</w:t>
      </w:r>
      <w:proofErr w:type="spellEnd"/>
      <w:r w:rsidRPr="00320E52">
        <w:rPr>
          <w:rFonts w:cs="Times New Roman"/>
        </w:rPr>
        <w:t xml:space="preserve"> brīdī radušās pārslodzes.</w:t>
      </w:r>
    </w:p>
    <w:p w:rsidR="008037A8" w:rsidRPr="00320E52" w:rsidRDefault="008037A8" w:rsidP="008037A8">
      <w:pPr>
        <w:pStyle w:val="NoSpacing"/>
        <w:ind w:firstLine="426"/>
        <w:jc w:val="both"/>
        <w:rPr>
          <w:rFonts w:cs="Times New Roman"/>
        </w:rPr>
      </w:pPr>
      <w:r w:rsidRPr="00320E52">
        <w:rPr>
          <w:rFonts w:cs="Times New Roman"/>
        </w:rPr>
        <w:t xml:space="preserve">3. Starp ceļu satiksmes drošības nodrošināšanā iesaistītajām institūcijām ir jānodrošina dalīta atbildība – atbildīgā institūcija par drošu ceļu infrastruktūru, atbildīgā institūcija par </w:t>
      </w:r>
      <w:r w:rsidR="004928B4" w:rsidRPr="004928B4">
        <w:rPr>
          <w:rFonts w:cs="Times New Roman"/>
        </w:rPr>
        <w:t>TL</w:t>
      </w:r>
      <w:r w:rsidR="004928B4" w:rsidRPr="004928B4" w:rsidDel="004928B4">
        <w:rPr>
          <w:rFonts w:cs="Times New Roman"/>
        </w:rPr>
        <w:t xml:space="preserve"> </w:t>
      </w:r>
      <w:r w:rsidRPr="00320E52">
        <w:rPr>
          <w:rFonts w:cs="Times New Roman"/>
        </w:rPr>
        <w:t xml:space="preserve">tehnisko stāvokli, atbildīgā institūcija par glābšanas darbiem pēc </w:t>
      </w:r>
      <w:proofErr w:type="spellStart"/>
      <w:r w:rsidRPr="00320E52">
        <w:rPr>
          <w:rFonts w:cs="Times New Roman"/>
        </w:rPr>
        <w:t>CSNg</w:t>
      </w:r>
      <w:proofErr w:type="spellEnd"/>
      <w:r w:rsidRPr="00320E52">
        <w:rPr>
          <w:rFonts w:cs="Times New Roman"/>
        </w:rPr>
        <w:t xml:space="preserve"> u.t.t.</w:t>
      </w:r>
    </w:p>
    <w:p w:rsidR="008037A8" w:rsidRPr="00320E52" w:rsidRDefault="008037A8" w:rsidP="008037A8">
      <w:pPr>
        <w:pStyle w:val="NoSpacing"/>
        <w:ind w:firstLine="426"/>
        <w:jc w:val="both"/>
        <w:rPr>
          <w:rFonts w:cs="Times New Roman"/>
        </w:rPr>
      </w:pPr>
      <w:r w:rsidRPr="00320E52">
        <w:rPr>
          <w:rFonts w:cs="Times New Roman"/>
        </w:rPr>
        <w:t>4. Visas sistēmas daļas ir jāstiprina vienoti un savstarpēji saistīti, tai pat laikā jānodrošina, lai vienas daļas kļūdas nerada būtiskus riskus pārējās daļās.</w:t>
      </w:r>
    </w:p>
    <w:p w:rsidR="002A7939" w:rsidRPr="00320E52" w:rsidRDefault="002A7939" w:rsidP="008037A8">
      <w:pPr>
        <w:pStyle w:val="NoSpacing"/>
        <w:ind w:firstLine="426"/>
        <w:jc w:val="both"/>
        <w:rPr>
          <w:rFonts w:cs="Times New Roman"/>
        </w:rPr>
      </w:pPr>
    </w:p>
    <w:p w:rsidR="002A7939" w:rsidRPr="00320E52" w:rsidRDefault="00CA6840" w:rsidP="002A7939">
      <w:pPr>
        <w:ind w:firstLine="426"/>
        <w:jc w:val="both"/>
        <w:rPr>
          <w:rFonts w:cs="Times New Roman"/>
        </w:rPr>
      </w:pPr>
      <w:r w:rsidRPr="00320E52">
        <w:rPr>
          <w:rFonts w:cs="Times New Roman"/>
        </w:rPr>
        <w:t>2008.gadā Starptautiskais</w:t>
      </w:r>
      <w:r w:rsidR="002A7939" w:rsidRPr="00320E52">
        <w:rPr>
          <w:rFonts w:cs="Times New Roman"/>
        </w:rPr>
        <w:t xml:space="preserve"> Transporta F</w:t>
      </w:r>
      <w:r w:rsidRPr="00320E52">
        <w:rPr>
          <w:rFonts w:cs="Times New Roman"/>
        </w:rPr>
        <w:t>orums</w:t>
      </w:r>
      <w:r w:rsidR="002A7939" w:rsidRPr="00320E52">
        <w:rPr>
          <w:rFonts w:cs="Times New Roman"/>
        </w:rPr>
        <w:t xml:space="preserve"> (</w:t>
      </w:r>
      <w:proofErr w:type="spellStart"/>
      <w:r w:rsidR="002A7939" w:rsidRPr="00320E52">
        <w:rPr>
          <w:rFonts w:cs="Times New Roman"/>
        </w:rPr>
        <w:t>International</w:t>
      </w:r>
      <w:proofErr w:type="spellEnd"/>
      <w:r w:rsidR="002A7939" w:rsidRPr="00320E52">
        <w:rPr>
          <w:rFonts w:cs="Times New Roman"/>
        </w:rPr>
        <w:t xml:space="preserve"> Transport F</w:t>
      </w:r>
      <w:r w:rsidRPr="00320E52">
        <w:rPr>
          <w:rFonts w:cs="Times New Roman"/>
        </w:rPr>
        <w:t>orum</w:t>
      </w:r>
      <w:r w:rsidR="002A7939" w:rsidRPr="00320E52">
        <w:rPr>
          <w:rFonts w:cs="Times New Roman"/>
        </w:rPr>
        <w:t xml:space="preserve"> – ITF) publicēja ziņojumu </w:t>
      </w:r>
      <w:proofErr w:type="spellStart"/>
      <w:r w:rsidR="002A7939" w:rsidRPr="00320E52">
        <w:rPr>
          <w:rFonts w:cs="Times New Roman"/>
          <w:i/>
        </w:rPr>
        <w:t>Towards</w:t>
      </w:r>
      <w:proofErr w:type="spellEnd"/>
      <w:r w:rsidR="002A7939" w:rsidRPr="00320E52">
        <w:rPr>
          <w:rFonts w:cs="Times New Roman"/>
          <w:i/>
        </w:rPr>
        <w:t xml:space="preserve"> </w:t>
      </w:r>
      <w:proofErr w:type="spellStart"/>
      <w:r w:rsidR="002A7939" w:rsidRPr="00320E52">
        <w:rPr>
          <w:rFonts w:cs="Times New Roman"/>
          <w:i/>
        </w:rPr>
        <w:t>Zero</w:t>
      </w:r>
      <w:proofErr w:type="spellEnd"/>
      <w:r w:rsidR="002A7939" w:rsidRPr="00320E52">
        <w:rPr>
          <w:rFonts w:cs="Times New Roman"/>
          <w:i/>
        </w:rPr>
        <w:t xml:space="preserve"> </w:t>
      </w:r>
      <w:proofErr w:type="spellStart"/>
      <w:r w:rsidR="002A7939" w:rsidRPr="00320E52">
        <w:rPr>
          <w:rFonts w:cs="Times New Roman"/>
          <w:i/>
        </w:rPr>
        <w:t>Ambitious</w:t>
      </w:r>
      <w:proofErr w:type="spellEnd"/>
      <w:r w:rsidR="002A7939" w:rsidRPr="00320E52">
        <w:rPr>
          <w:rFonts w:cs="Times New Roman"/>
          <w:i/>
        </w:rPr>
        <w:t xml:space="preserve">, </w:t>
      </w:r>
      <w:proofErr w:type="spellStart"/>
      <w:r w:rsidR="002A7939" w:rsidRPr="00320E52">
        <w:rPr>
          <w:rFonts w:cs="Times New Roman"/>
          <w:i/>
        </w:rPr>
        <w:t>Road</w:t>
      </w:r>
      <w:proofErr w:type="spellEnd"/>
      <w:r w:rsidR="002A7939" w:rsidRPr="00320E52">
        <w:rPr>
          <w:rFonts w:cs="Times New Roman"/>
          <w:i/>
        </w:rPr>
        <w:t xml:space="preserve"> </w:t>
      </w:r>
      <w:proofErr w:type="spellStart"/>
      <w:r w:rsidR="002A7939" w:rsidRPr="00320E52">
        <w:rPr>
          <w:rFonts w:cs="Times New Roman"/>
          <w:i/>
        </w:rPr>
        <w:t>Safety</w:t>
      </w:r>
      <w:proofErr w:type="spellEnd"/>
      <w:r w:rsidR="002A7939" w:rsidRPr="00320E52">
        <w:rPr>
          <w:rFonts w:cs="Times New Roman"/>
          <w:i/>
        </w:rPr>
        <w:t xml:space="preserve"> </w:t>
      </w:r>
      <w:proofErr w:type="spellStart"/>
      <w:r w:rsidR="002A7939" w:rsidRPr="00320E52">
        <w:rPr>
          <w:rFonts w:cs="Times New Roman"/>
          <w:i/>
        </w:rPr>
        <w:t>Targets</w:t>
      </w:r>
      <w:proofErr w:type="spellEnd"/>
      <w:r w:rsidR="002A7939" w:rsidRPr="00320E52">
        <w:rPr>
          <w:rFonts w:cs="Times New Roman"/>
          <w:i/>
        </w:rPr>
        <w:t xml:space="preserve"> </w:t>
      </w:r>
      <w:proofErr w:type="spellStart"/>
      <w:r w:rsidR="002A7939" w:rsidRPr="00320E52">
        <w:rPr>
          <w:rFonts w:cs="Times New Roman"/>
          <w:i/>
        </w:rPr>
        <w:t>and</w:t>
      </w:r>
      <w:proofErr w:type="spellEnd"/>
      <w:r w:rsidR="002A7939" w:rsidRPr="00320E52">
        <w:rPr>
          <w:rFonts w:cs="Times New Roman"/>
          <w:i/>
        </w:rPr>
        <w:t xml:space="preserve"> </w:t>
      </w:r>
      <w:proofErr w:type="spellStart"/>
      <w:r w:rsidR="002A7939" w:rsidRPr="00320E52">
        <w:rPr>
          <w:rFonts w:cs="Times New Roman"/>
          <w:i/>
        </w:rPr>
        <w:t>the</w:t>
      </w:r>
      <w:proofErr w:type="spellEnd"/>
      <w:r w:rsidR="002A7939" w:rsidRPr="00320E52">
        <w:rPr>
          <w:rFonts w:cs="Times New Roman"/>
          <w:i/>
        </w:rPr>
        <w:t xml:space="preserve"> </w:t>
      </w:r>
      <w:proofErr w:type="spellStart"/>
      <w:r w:rsidR="002A7939" w:rsidRPr="00320E52">
        <w:rPr>
          <w:rFonts w:cs="Times New Roman"/>
          <w:i/>
        </w:rPr>
        <w:t>Safe</w:t>
      </w:r>
      <w:proofErr w:type="spellEnd"/>
      <w:r w:rsidR="002A7939" w:rsidRPr="00320E52">
        <w:rPr>
          <w:rFonts w:cs="Times New Roman"/>
          <w:i/>
        </w:rPr>
        <w:t xml:space="preserve"> </w:t>
      </w:r>
      <w:proofErr w:type="spellStart"/>
      <w:r w:rsidR="002A7939" w:rsidRPr="00320E52">
        <w:rPr>
          <w:rFonts w:cs="Times New Roman"/>
          <w:i/>
        </w:rPr>
        <w:t>System</w:t>
      </w:r>
      <w:proofErr w:type="spellEnd"/>
      <w:r w:rsidR="002A7939" w:rsidRPr="00320E52">
        <w:rPr>
          <w:rFonts w:cs="Times New Roman"/>
          <w:i/>
        </w:rPr>
        <w:t xml:space="preserve"> </w:t>
      </w:r>
      <w:proofErr w:type="spellStart"/>
      <w:r w:rsidR="002A7939" w:rsidRPr="00320E52">
        <w:rPr>
          <w:rFonts w:cs="Times New Roman"/>
          <w:i/>
        </w:rPr>
        <w:t>Approach</w:t>
      </w:r>
      <w:proofErr w:type="spellEnd"/>
      <w:r w:rsidR="002A7939" w:rsidRPr="00320E52">
        <w:rPr>
          <w:rFonts w:cs="Times New Roman"/>
          <w:i/>
        </w:rPr>
        <w:t xml:space="preserve"> (ITF/OECD, 2008). </w:t>
      </w:r>
      <w:r w:rsidR="002A7939" w:rsidRPr="00320E52">
        <w:rPr>
          <w:rFonts w:cs="Times New Roman"/>
        </w:rPr>
        <w:t xml:space="preserve">Šajā ziņojumā tika norādīts uz būtisku nepieciešamību mainīt līdzšinējo nacionālo politiku ceļu satiksmes drošības jomā. Jaunā pieeja nosaka, ka jebkādas nopietnas traumas </w:t>
      </w:r>
      <w:proofErr w:type="spellStart"/>
      <w:r w:rsidR="002A7939" w:rsidRPr="00320E52">
        <w:rPr>
          <w:rFonts w:cs="Times New Roman"/>
        </w:rPr>
        <w:t>CSNg</w:t>
      </w:r>
      <w:proofErr w:type="spellEnd"/>
      <w:r w:rsidR="002A7939" w:rsidRPr="00320E52">
        <w:rPr>
          <w:rFonts w:cs="Times New Roman"/>
        </w:rPr>
        <w:t xml:space="preserve"> rezultātā un letāli </w:t>
      </w:r>
      <w:proofErr w:type="spellStart"/>
      <w:r w:rsidR="002A7939" w:rsidRPr="00320E52">
        <w:rPr>
          <w:rFonts w:cs="Times New Roman"/>
        </w:rPr>
        <w:t>CSNg</w:t>
      </w:r>
      <w:proofErr w:type="spellEnd"/>
      <w:r w:rsidR="002A7939" w:rsidRPr="00320E52">
        <w:rPr>
          <w:rFonts w:cs="Times New Roman"/>
        </w:rPr>
        <w:t xml:space="preserve"> nav pieņemami, tādēļ jāvirzās turpmāk uz nākotnes vīziju – pilnībā novēršot </w:t>
      </w:r>
      <w:proofErr w:type="spellStart"/>
      <w:r w:rsidR="002A7939" w:rsidRPr="00320E52">
        <w:rPr>
          <w:rFonts w:cs="Times New Roman"/>
        </w:rPr>
        <w:t>CSNg</w:t>
      </w:r>
      <w:proofErr w:type="spellEnd"/>
      <w:r w:rsidR="002A7939" w:rsidRPr="00320E52">
        <w:rPr>
          <w:rFonts w:cs="Times New Roman"/>
        </w:rPr>
        <w:t xml:space="preserve"> ar cietušiem un bojāgājušiem. </w:t>
      </w:r>
    </w:p>
    <w:p w:rsidR="002A7939" w:rsidRPr="00320E52" w:rsidRDefault="002A7939" w:rsidP="002A7939">
      <w:pPr>
        <w:ind w:firstLine="426"/>
        <w:jc w:val="both"/>
        <w:rPr>
          <w:rFonts w:cs="Times New Roman"/>
        </w:rPr>
      </w:pPr>
      <w:r w:rsidRPr="00320E52">
        <w:rPr>
          <w:rFonts w:cs="Times New Roman"/>
        </w:rPr>
        <w:t xml:space="preserve">Pēc šādas pieejams ir jāsaprot, ka ceļu satiksmē iesaistītajiem risinājumiem, arī ceļu infrastruktūrai, ir jābūt pilnībā drošai – “piedodošai”. Tas nozīmē, ka šajā gadījumā cilvēku kļūdas ir un paliks pieņemamas, taču bojāgājušie un cietušie </w:t>
      </w:r>
      <w:proofErr w:type="spellStart"/>
      <w:r w:rsidRPr="00320E52">
        <w:rPr>
          <w:rFonts w:cs="Times New Roman"/>
        </w:rPr>
        <w:t>CSNg</w:t>
      </w:r>
      <w:proofErr w:type="spellEnd"/>
      <w:r w:rsidRPr="00320E52">
        <w:rPr>
          <w:rFonts w:cs="Times New Roman"/>
        </w:rPr>
        <w:t xml:space="preserve"> nav pieņemami. Lai šādu sistēmu izveidotu, pieejai ir jābūt pilnīgai un visaptverošai, tāpat atbildībai ir jābūt dalītai</w:t>
      </w:r>
      <w:r w:rsidR="00AB0313">
        <w:rPr>
          <w:rFonts w:cs="Times New Roman"/>
        </w:rPr>
        <w:t>,</w:t>
      </w:r>
      <w:r w:rsidRPr="00320E52">
        <w:rPr>
          <w:rFonts w:cs="Times New Roman"/>
        </w:rPr>
        <w:t xml:space="preserve"> katrai iesaistītajai institūcijai pilnībā </w:t>
      </w:r>
      <w:r w:rsidRPr="00320E52">
        <w:rPr>
          <w:rFonts w:cs="Times New Roman"/>
        </w:rPr>
        <w:lastRenderedPageBreak/>
        <w:t>uzņemoties atbildību par savu jomu. Drošas ceļu satiksmes sistēmas mērķis ir panākt, lai cilvēku kļūdas, neuzmanība vai apzināta rīcība neradītu letālas vai traumējošas sekas ceļu satiksmē.</w:t>
      </w:r>
    </w:p>
    <w:p w:rsidR="00233DD0" w:rsidRPr="00602FE9" w:rsidRDefault="00233DD0" w:rsidP="00B43F54">
      <w:pPr>
        <w:jc w:val="both"/>
        <w:rPr>
          <w:rFonts w:cs="Times New Roman"/>
        </w:rPr>
      </w:pPr>
    </w:p>
    <w:p w:rsidR="002A7939" w:rsidRDefault="009554BD" w:rsidP="002A7939">
      <w:pPr>
        <w:ind w:firstLine="426"/>
        <w:jc w:val="both"/>
        <w:rPr>
          <w:rFonts w:cs="Times New Roman"/>
        </w:rPr>
      </w:pPr>
      <w:r w:rsidRPr="009554BD">
        <w:rPr>
          <w:rFonts w:cs="Times New Roman"/>
          <w:b/>
        </w:rPr>
        <w:t>4. Tabula.</w:t>
      </w:r>
      <w:r w:rsidR="002A7939" w:rsidRPr="00320E52">
        <w:rPr>
          <w:rFonts w:cs="Times New Roman"/>
        </w:rPr>
        <w:t xml:space="preserve">  </w:t>
      </w:r>
      <w:r w:rsidR="002A7939" w:rsidRPr="00602FE9">
        <w:rPr>
          <w:rFonts w:cs="Times New Roman"/>
          <w:b/>
        </w:rPr>
        <w:t>“Drošas sistēmas” un tradicionālā pieeja</w:t>
      </w:r>
      <w:r w:rsidR="002A7939" w:rsidRPr="00602FE9">
        <w:rPr>
          <w:rStyle w:val="FootnoteReference"/>
          <w:rFonts w:cs="Times New Roman"/>
        </w:rPr>
        <w:footnoteReference w:id="18"/>
      </w:r>
    </w:p>
    <w:p w:rsidR="002A7939" w:rsidRPr="00233DD0" w:rsidRDefault="002A7939" w:rsidP="00680E32">
      <w:pPr>
        <w:jc w:val="center"/>
        <w:rPr>
          <w:rFonts w:cs="Times New Roman"/>
          <w:sz w:val="16"/>
          <w:szCs w:val="16"/>
        </w:rPr>
      </w:pPr>
    </w:p>
    <w:tbl>
      <w:tblPr>
        <w:tblStyle w:val="TableGrid"/>
        <w:tblW w:w="0" w:type="auto"/>
        <w:tblLook w:val="04A0" w:firstRow="1" w:lastRow="0" w:firstColumn="1" w:lastColumn="0" w:noHBand="0" w:noVBand="1"/>
      </w:tblPr>
      <w:tblGrid>
        <w:gridCol w:w="3125"/>
        <w:gridCol w:w="3127"/>
        <w:gridCol w:w="3127"/>
      </w:tblGrid>
      <w:tr w:rsidR="002A7939" w:rsidTr="002A7939">
        <w:trPr>
          <w:trHeight w:val="344"/>
        </w:trPr>
        <w:tc>
          <w:tcPr>
            <w:tcW w:w="3125" w:type="dxa"/>
            <w:shd w:val="clear" w:color="auto" w:fill="EAB9A4" w:themeFill="accent2" w:themeFillTint="66"/>
          </w:tcPr>
          <w:p w:rsidR="002A7939" w:rsidRPr="002A7939" w:rsidRDefault="002A7939" w:rsidP="00680E32">
            <w:pPr>
              <w:jc w:val="center"/>
              <w:rPr>
                <w:rFonts w:ascii="Arial" w:hAnsi="Arial" w:cs="Arial"/>
                <w:b/>
                <w:color w:val="313829" w:themeColor="text2" w:themeShade="80"/>
                <w:sz w:val="18"/>
                <w:szCs w:val="18"/>
              </w:rPr>
            </w:pPr>
            <w:r w:rsidRPr="002A7939">
              <w:rPr>
                <w:rFonts w:ascii="Arial" w:hAnsi="Arial" w:cs="Arial"/>
                <w:b/>
                <w:color w:val="313829" w:themeColor="text2" w:themeShade="80"/>
                <w:sz w:val="18"/>
                <w:szCs w:val="18"/>
              </w:rPr>
              <w:t>Virzieni</w:t>
            </w:r>
          </w:p>
        </w:tc>
        <w:tc>
          <w:tcPr>
            <w:tcW w:w="3127" w:type="dxa"/>
            <w:shd w:val="clear" w:color="auto" w:fill="EAB9A4" w:themeFill="accent2" w:themeFillTint="66"/>
          </w:tcPr>
          <w:p w:rsidR="002A7939" w:rsidRPr="002A7939" w:rsidRDefault="002A7939" w:rsidP="00680E32">
            <w:pPr>
              <w:jc w:val="center"/>
              <w:rPr>
                <w:rFonts w:ascii="Arial" w:hAnsi="Arial" w:cs="Arial"/>
                <w:b/>
                <w:color w:val="313829" w:themeColor="text2" w:themeShade="80"/>
                <w:sz w:val="18"/>
                <w:szCs w:val="18"/>
              </w:rPr>
            </w:pPr>
            <w:r w:rsidRPr="002A7939">
              <w:rPr>
                <w:rFonts w:ascii="Arial" w:hAnsi="Arial" w:cs="Arial"/>
                <w:b/>
                <w:color w:val="313829" w:themeColor="text2" w:themeShade="80"/>
                <w:sz w:val="18"/>
                <w:szCs w:val="18"/>
              </w:rPr>
              <w:t>Tradicionālā pieeja</w:t>
            </w:r>
          </w:p>
        </w:tc>
        <w:tc>
          <w:tcPr>
            <w:tcW w:w="3127" w:type="dxa"/>
            <w:shd w:val="clear" w:color="auto" w:fill="EAB9A4" w:themeFill="accent2" w:themeFillTint="66"/>
          </w:tcPr>
          <w:p w:rsidR="002A7939" w:rsidRPr="002A7939" w:rsidRDefault="002A7939" w:rsidP="00680E32">
            <w:pPr>
              <w:jc w:val="center"/>
              <w:rPr>
                <w:rFonts w:ascii="Arial" w:hAnsi="Arial" w:cs="Arial"/>
                <w:b/>
                <w:color w:val="313829" w:themeColor="text2" w:themeShade="80"/>
                <w:sz w:val="18"/>
                <w:szCs w:val="18"/>
              </w:rPr>
            </w:pPr>
            <w:r w:rsidRPr="002A7939">
              <w:rPr>
                <w:rFonts w:ascii="Arial" w:hAnsi="Arial" w:cs="Arial"/>
                <w:b/>
                <w:color w:val="313829" w:themeColor="text2" w:themeShade="80"/>
                <w:sz w:val="18"/>
                <w:szCs w:val="18"/>
              </w:rPr>
              <w:t>Drošas sistēmas pieeja</w:t>
            </w:r>
          </w:p>
          <w:p w:rsidR="002A7939" w:rsidRPr="002A7939" w:rsidRDefault="002A7939" w:rsidP="00680E32">
            <w:pPr>
              <w:jc w:val="center"/>
              <w:rPr>
                <w:rFonts w:ascii="Arial" w:hAnsi="Arial" w:cs="Arial"/>
                <w:b/>
                <w:color w:val="313829" w:themeColor="text2" w:themeShade="80"/>
                <w:sz w:val="18"/>
                <w:szCs w:val="18"/>
              </w:rPr>
            </w:pPr>
          </w:p>
        </w:tc>
      </w:tr>
      <w:tr w:rsidR="002A7939" w:rsidTr="002A7939">
        <w:trPr>
          <w:trHeight w:val="532"/>
        </w:trPr>
        <w:tc>
          <w:tcPr>
            <w:tcW w:w="3125"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Kāda ir problēma?</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Jānovērš visi </w:t>
            </w:r>
            <w:proofErr w:type="spellStart"/>
            <w:r w:rsidRPr="002A7939">
              <w:rPr>
                <w:rFonts w:ascii="Arial" w:hAnsi="Arial" w:cs="Arial"/>
                <w:sz w:val="18"/>
                <w:szCs w:val="18"/>
              </w:rPr>
              <w:t>CSNg</w:t>
            </w:r>
            <w:proofErr w:type="spellEnd"/>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Jānovērš tie </w:t>
            </w:r>
            <w:proofErr w:type="spellStart"/>
            <w:r w:rsidRPr="002A7939">
              <w:rPr>
                <w:rFonts w:ascii="Arial" w:hAnsi="Arial" w:cs="Arial"/>
                <w:sz w:val="18"/>
                <w:szCs w:val="18"/>
              </w:rPr>
              <w:t>CSNg</w:t>
            </w:r>
            <w:proofErr w:type="spellEnd"/>
            <w:r w:rsidRPr="002A7939">
              <w:rPr>
                <w:rFonts w:ascii="Arial" w:hAnsi="Arial" w:cs="Arial"/>
                <w:sz w:val="18"/>
                <w:szCs w:val="18"/>
              </w:rPr>
              <w:t>, kas izraisa letālas sekas vai smagas traumas</w:t>
            </w:r>
          </w:p>
        </w:tc>
      </w:tr>
      <w:tr w:rsidR="002A7939" w:rsidTr="002A7939">
        <w:trPr>
          <w:trHeight w:val="344"/>
        </w:trPr>
        <w:tc>
          <w:tcPr>
            <w:tcW w:w="3125"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Kāds mērķis tiek piemērots?</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Samazināt bojāgājušo un cietušo skaitu</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Novērst letālus </w:t>
            </w:r>
            <w:proofErr w:type="spellStart"/>
            <w:r w:rsidRPr="002A7939">
              <w:rPr>
                <w:rFonts w:ascii="Arial" w:hAnsi="Arial" w:cs="Arial"/>
                <w:sz w:val="18"/>
                <w:szCs w:val="18"/>
              </w:rPr>
              <w:t>CSNg</w:t>
            </w:r>
            <w:proofErr w:type="spellEnd"/>
            <w:r w:rsidRPr="002A7939">
              <w:rPr>
                <w:rFonts w:ascii="Arial" w:hAnsi="Arial" w:cs="Arial"/>
                <w:sz w:val="18"/>
                <w:szCs w:val="18"/>
              </w:rPr>
              <w:t xml:space="preserve"> un ar smagām traumām</w:t>
            </w:r>
          </w:p>
        </w:tc>
      </w:tr>
      <w:tr w:rsidR="002A7939" w:rsidTr="002A7939">
        <w:trPr>
          <w:trHeight w:val="698"/>
        </w:trPr>
        <w:tc>
          <w:tcPr>
            <w:tcW w:w="3125"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Kādi ir galvenie virzieni plānojot pasākumus?</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Aktīva rīcība pēc </w:t>
            </w:r>
            <w:proofErr w:type="spellStart"/>
            <w:r w:rsidRPr="002A7939">
              <w:rPr>
                <w:rFonts w:ascii="Arial" w:hAnsi="Arial" w:cs="Arial"/>
                <w:sz w:val="18"/>
                <w:szCs w:val="18"/>
              </w:rPr>
              <w:t>CSNg</w:t>
            </w:r>
            <w:proofErr w:type="spellEnd"/>
            <w:r w:rsidRPr="002A7939">
              <w:rPr>
                <w:rFonts w:ascii="Arial" w:hAnsi="Arial" w:cs="Arial"/>
                <w:sz w:val="18"/>
                <w:szCs w:val="18"/>
              </w:rPr>
              <w:t>.</w:t>
            </w:r>
          </w:p>
          <w:p w:rsidR="002A7939" w:rsidRPr="002A7939" w:rsidRDefault="002A7939" w:rsidP="00680E32">
            <w:pPr>
              <w:jc w:val="center"/>
              <w:rPr>
                <w:rFonts w:ascii="Arial" w:hAnsi="Arial" w:cs="Arial"/>
                <w:sz w:val="18"/>
                <w:szCs w:val="18"/>
              </w:rPr>
            </w:pPr>
            <w:r w:rsidRPr="002A7939">
              <w:rPr>
                <w:rFonts w:ascii="Arial" w:hAnsi="Arial" w:cs="Arial"/>
                <w:sz w:val="18"/>
                <w:szCs w:val="18"/>
              </w:rPr>
              <w:t>Pakāpeniska pieeja, lai novērstu problēmu.</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Aktīva pieeja un risku modelēšana, neatkarīgi no </w:t>
            </w:r>
            <w:proofErr w:type="spellStart"/>
            <w:r w:rsidRPr="002A7939">
              <w:rPr>
                <w:rFonts w:ascii="Arial" w:hAnsi="Arial" w:cs="Arial"/>
                <w:sz w:val="18"/>
                <w:szCs w:val="18"/>
              </w:rPr>
              <w:t>CSNg</w:t>
            </w:r>
            <w:proofErr w:type="spellEnd"/>
            <w:r w:rsidRPr="002A7939">
              <w:rPr>
                <w:rFonts w:ascii="Arial" w:hAnsi="Arial" w:cs="Arial"/>
                <w:sz w:val="18"/>
                <w:szCs w:val="18"/>
              </w:rPr>
              <w:t>. Sistemātiska pieeja, lai izveidotu drošu sistēmu.</w:t>
            </w:r>
          </w:p>
        </w:tc>
      </w:tr>
      <w:tr w:rsidR="002A7939" w:rsidTr="002A7939">
        <w:trPr>
          <w:trHeight w:val="521"/>
        </w:trPr>
        <w:tc>
          <w:tcPr>
            <w:tcW w:w="3125"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Kas izraisa </w:t>
            </w:r>
            <w:proofErr w:type="spellStart"/>
            <w:r w:rsidRPr="002A7939">
              <w:rPr>
                <w:rFonts w:ascii="Arial" w:hAnsi="Arial" w:cs="Arial"/>
                <w:sz w:val="18"/>
                <w:szCs w:val="18"/>
              </w:rPr>
              <w:t>CSNg</w:t>
            </w:r>
            <w:proofErr w:type="spellEnd"/>
            <w:r w:rsidRPr="002A7939">
              <w:rPr>
                <w:rFonts w:ascii="Arial" w:hAnsi="Arial" w:cs="Arial"/>
                <w:sz w:val="18"/>
                <w:szCs w:val="18"/>
              </w:rPr>
              <w:t>?</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Neatbilstoša </w:t>
            </w:r>
            <w:proofErr w:type="spellStart"/>
            <w:r w:rsidRPr="002A7939">
              <w:rPr>
                <w:rFonts w:ascii="Arial" w:hAnsi="Arial" w:cs="Arial"/>
                <w:sz w:val="18"/>
                <w:szCs w:val="18"/>
              </w:rPr>
              <w:t>CSNg</w:t>
            </w:r>
            <w:proofErr w:type="spellEnd"/>
            <w:r w:rsidRPr="002A7939">
              <w:rPr>
                <w:rFonts w:ascii="Arial" w:hAnsi="Arial" w:cs="Arial"/>
                <w:sz w:val="18"/>
                <w:szCs w:val="18"/>
              </w:rPr>
              <w:t xml:space="preserve"> dalībnieku rīcība</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Cilvēki pieļauj kļūdas un cilvēki tiek pakļauti traumām </w:t>
            </w:r>
            <w:proofErr w:type="spellStart"/>
            <w:r w:rsidRPr="002A7939">
              <w:rPr>
                <w:rFonts w:ascii="Arial" w:hAnsi="Arial" w:cs="Arial"/>
                <w:sz w:val="18"/>
                <w:szCs w:val="18"/>
              </w:rPr>
              <w:t>CSNg</w:t>
            </w:r>
            <w:proofErr w:type="spellEnd"/>
            <w:r w:rsidRPr="002A7939">
              <w:rPr>
                <w:rFonts w:ascii="Arial" w:hAnsi="Arial" w:cs="Arial"/>
                <w:sz w:val="18"/>
                <w:szCs w:val="18"/>
              </w:rPr>
              <w:t>. Sistēma jāveido ‘’kļūdu droša”.</w:t>
            </w:r>
          </w:p>
        </w:tc>
      </w:tr>
      <w:tr w:rsidR="002A7939" w:rsidTr="002A7939">
        <w:trPr>
          <w:trHeight w:val="532"/>
        </w:trPr>
        <w:tc>
          <w:tcPr>
            <w:tcW w:w="3125"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 xml:space="preserve">Kas ir atbildīgs par </w:t>
            </w:r>
            <w:proofErr w:type="spellStart"/>
            <w:r w:rsidRPr="002A7939">
              <w:rPr>
                <w:rFonts w:ascii="Arial" w:hAnsi="Arial" w:cs="Arial"/>
                <w:sz w:val="18"/>
                <w:szCs w:val="18"/>
              </w:rPr>
              <w:t>CSNg</w:t>
            </w:r>
            <w:proofErr w:type="spellEnd"/>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Atsevišķs ceļu satiksmes dalībnieks</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Visas ceļu satiksmes drošības nodrošināšanā iesaistītās institūcijas ar dalītu atbildību.</w:t>
            </w:r>
          </w:p>
        </w:tc>
      </w:tr>
      <w:tr w:rsidR="002A7939" w:rsidTr="002A7939">
        <w:trPr>
          <w:trHeight w:val="1220"/>
        </w:trPr>
        <w:tc>
          <w:tcPr>
            <w:tcW w:w="3125"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Kā darbojas sistēma?</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Sistēma sastāv no neatkarīgiem pasākumiem.</w:t>
            </w:r>
          </w:p>
        </w:tc>
        <w:tc>
          <w:tcPr>
            <w:tcW w:w="3127" w:type="dxa"/>
            <w:shd w:val="clear" w:color="auto" w:fill="D9D9D9" w:themeFill="background1" w:themeFillShade="D9"/>
          </w:tcPr>
          <w:p w:rsidR="002A7939" w:rsidRPr="002A7939" w:rsidRDefault="002A7939" w:rsidP="00680E32">
            <w:pPr>
              <w:jc w:val="center"/>
              <w:rPr>
                <w:rFonts w:ascii="Arial" w:hAnsi="Arial" w:cs="Arial"/>
                <w:sz w:val="18"/>
                <w:szCs w:val="18"/>
              </w:rPr>
            </w:pPr>
            <w:r w:rsidRPr="002A7939">
              <w:rPr>
                <w:rFonts w:ascii="Arial" w:hAnsi="Arial" w:cs="Arial"/>
                <w:sz w:val="18"/>
                <w:szCs w:val="18"/>
              </w:rPr>
              <w:t>Katrs atsevišķs elements iekļaujas vienotā sistēmā, lai panāktu lielāku kopējo efektu. Sistēmā vienlaicīgi tiek nodrošināts, ka vienam elementam atsakot, pārējie nodrošina sistēmas darbību.</w:t>
            </w:r>
          </w:p>
        </w:tc>
      </w:tr>
    </w:tbl>
    <w:p w:rsidR="002A7939" w:rsidRDefault="002A7939" w:rsidP="00680E32">
      <w:pPr>
        <w:jc w:val="center"/>
        <w:rPr>
          <w:rFonts w:cs="Times New Roman"/>
        </w:rPr>
      </w:pPr>
    </w:p>
    <w:p w:rsidR="002A7939" w:rsidRDefault="002A7939" w:rsidP="002A7939">
      <w:pPr>
        <w:jc w:val="both"/>
        <w:rPr>
          <w:rFonts w:cs="Times New Roman"/>
        </w:rPr>
      </w:pPr>
    </w:p>
    <w:p w:rsidR="002A7939" w:rsidRDefault="002A7939" w:rsidP="002A7939">
      <w:pPr>
        <w:ind w:firstLine="284"/>
        <w:jc w:val="both"/>
        <w:rPr>
          <w:rFonts w:cs="Times New Roman"/>
        </w:rPr>
      </w:pPr>
      <w:r w:rsidRPr="00602FE9">
        <w:rPr>
          <w:rFonts w:cs="Times New Roman"/>
        </w:rPr>
        <w:t xml:space="preserve">Svarīgi, ka ceļu satiksmes drošības sistēmas darbībai ir jānodrošina, lai līdz minimumam tiek samazināta un novērsta iespēja cilvēkam kļūdoties iegūt traumas </w:t>
      </w:r>
      <w:proofErr w:type="spellStart"/>
      <w:r w:rsidRPr="00602FE9">
        <w:rPr>
          <w:rFonts w:cs="Times New Roman"/>
        </w:rPr>
        <w:t>CSNg</w:t>
      </w:r>
      <w:proofErr w:type="spellEnd"/>
      <w:r w:rsidRPr="00602FE9">
        <w:rPr>
          <w:rFonts w:cs="Times New Roman"/>
        </w:rPr>
        <w:t xml:space="preserve"> vai iet bojā. Būtiski arī ņemts vērā “integrētās drošības ķēdes” (skat. </w:t>
      </w:r>
      <w:r w:rsidR="007E56B9">
        <w:rPr>
          <w:rFonts w:cs="Times New Roman"/>
        </w:rPr>
        <w:t>9</w:t>
      </w:r>
      <w:r w:rsidRPr="00602FE9">
        <w:rPr>
          <w:rFonts w:cs="Times New Roman"/>
        </w:rPr>
        <w:t xml:space="preserve"> att.) posmos noteiktos principus – katrā no tiem var tikt noteikti konkrēti pasākumi un arī noteiktas atbildīgās institūcijas.</w:t>
      </w:r>
    </w:p>
    <w:p w:rsidR="002A7939" w:rsidRDefault="002A7939" w:rsidP="002A7939">
      <w:pPr>
        <w:ind w:firstLine="284"/>
        <w:jc w:val="both"/>
        <w:rPr>
          <w:rFonts w:cs="Times New Roman"/>
        </w:rPr>
      </w:pPr>
    </w:p>
    <w:p w:rsidR="002A7939" w:rsidRDefault="002A7939" w:rsidP="00233DD0">
      <w:pPr>
        <w:ind w:hanging="284"/>
        <w:jc w:val="center"/>
        <w:rPr>
          <w:rFonts w:cs="Times New Roman"/>
        </w:rPr>
      </w:pPr>
      <w:r>
        <w:rPr>
          <w:rFonts w:cs="Times New Roman"/>
          <w:noProof/>
          <w:lang w:eastAsia="lv-LV"/>
        </w:rPr>
        <w:drawing>
          <wp:inline distT="0" distB="0" distL="0" distR="0" wp14:anchorId="540E7736" wp14:editId="0AD1AF9B">
            <wp:extent cx="6248400" cy="2533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6253" cy="2544944"/>
                    </a:xfrm>
                    <a:prstGeom prst="rect">
                      <a:avLst/>
                    </a:prstGeom>
                    <a:noFill/>
                    <a:ln>
                      <a:noFill/>
                    </a:ln>
                  </pic:spPr>
                </pic:pic>
              </a:graphicData>
            </a:graphic>
          </wp:inline>
        </w:drawing>
      </w:r>
    </w:p>
    <w:p w:rsidR="002A7939" w:rsidRPr="002A7939" w:rsidRDefault="009554BD" w:rsidP="002A7939">
      <w:pPr>
        <w:ind w:firstLine="284"/>
        <w:jc w:val="center"/>
        <w:rPr>
          <w:rFonts w:cs="Times New Roman"/>
          <w:b/>
          <w:vertAlign w:val="superscript"/>
        </w:rPr>
      </w:pPr>
      <w:r>
        <w:rPr>
          <w:rFonts w:cs="Times New Roman"/>
          <w:b/>
        </w:rPr>
        <w:t>9</w:t>
      </w:r>
      <w:r w:rsidR="00AB0313">
        <w:rPr>
          <w:rFonts w:cs="Times New Roman"/>
          <w:b/>
        </w:rPr>
        <w:t>. att.  Integrētā drošības ķēde</w:t>
      </w:r>
      <w:r w:rsidR="002A7939" w:rsidRPr="00602FE9">
        <w:rPr>
          <w:rFonts w:cs="Times New Roman"/>
          <w:b/>
          <w:vertAlign w:val="superscript"/>
        </w:rPr>
        <w:t>18</w:t>
      </w:r>
    </w:p>
    <w:p w:rsidR="002A7939" w:rsidRPr="000A01E6" w:rsidRDefault="002A7939" w:rsidP="007E56B9">
      <w:pPr>
        <w:pStyle w:val="NoSpacing"/>
        <w:jc w:val="both"/>
        <w:rPr>
          <w:rFonts w:cs="Times New Roman"/>
          <w:sz w:val="20"/>
          <w:szCs w:val="20"/>
        </w:rPr>
      </w:pPr>
    </w:p>
    <w:p w:rsidR="00566A32" w:rsidRPr="00602FE9" w:rsidRDefault="00566A32" w:rsidP="00566A32">
      <w:pPr>
        <w:tabs>
          <w:tab w:val="left" w:pos="9120"/>
        </w:tabs>
        <w:jc w:val="both"/>
        <w:rPr>
          <w:rFonts w:cs="Times New Roman"/>
        </w:rPr>
      </w:pPr>
      <w:r w:rsidRPr="00602FE9">
        <w:rPr>
          <w:rFonts w:cs="Times New Roman"/>
        </w:rPr>
        <w:t xml:space="preserve">“Drošas sistēmas” ceļu satiksmes drošības sistēmas modelis sevī ietver vairākus elementus, kas savā starpā ir </w:t>
      </w:r>
      <w:r w:rsidR="00AB0313">
        <w:rPr>
          <w:rFonts w:cs="Times New Roman"/>
        </w:rPr>
        <w:t>cieši</w:t>
      </w:r>
      <w:r w:rsidRPr="00602FE9">
        <w:rPr>
          <w:rFonts w:cs="Times New Roman"/>
        </w:rPr>
        <w:t xml:space="preserve"> saistīti. Jānorāda, ka ātrums un tā ietekme ir būtiskākais risks, kas jāņem vērā attiecībā uz pārējiem elementiem (skat. attēlu nr. </w:t>
      </w:r>
      <w:r w:rsidR="007E56B9">
        <w:rPr>
          <w:rFonts w:cs="Times New Roman"/>
        </w:rPr>
        <w:t>10</w:t>
      </w:r>
      <w:r w:rsidR="003D6783" w:rsidRPr="00602FE9">
        <w:rPr>
          <w:rFonts w:cs="Times New Roman"/>
        </w:rPr>
        <w:t>)</w:t>
      </w:r>
      <w:r w:rsidRPr="00602FE9">
        <w:rPr>
          <w:rFonts w:cs="Times New Roman"/>
        </w:rPr>
        <w:t xml:space="preserve">. </w:t>
      </w:r>
      <w:r w:rsidR="00AB0313">
        <w:rPr>
          <w:rFonts w:cs="Times New Roman"/>
        </w:rPr>
        <w:t>Par</w:t>
      </w:r>
      <w:r w:rsidRPr="00602FE9">
        <w:rPr>
          <w:rFonts w:cs="Times New Roman"/>
        </w:rPr>
        <w:t xml:space="preserve"> drošu </w:t>
      </w:r>
      <w:r w:rsidR="004928B4" w:rsidRPr="004928B4">
        <w:rPr>
          <w:rFonts w:cs="Times New Roman"/>
        </w:rPr>
        <w:t>TL</w:t>
      </w:r>
      <w:r w:rsidRPr="00602FE9">
        <w:rPr>
          <w:rFonts w:cs="Times New Roman"/>
        </w:rPr>
        <w:t xml:space="preserve"> ir uzskatāms tāds </w:t>
      </w:r>
      <w:r w:rsidR="004928B4" w:rsidRPr="004928B4">
        <w:rPr>
          <w:rFonts w:cs="Times New Roman"/>
        </w:rPr>
        <w:t>TL</w:t>
      </w:r>
      <w:r w:rsidRPr="00602FE9">
        <w:rPr>
          <w:rFonts w:cs="Times New Roman"/>
        </w:rPr>
        <w:t xml:space="preserve">, kuram ir vismaz 5 zvaigžņu </w:t>
      </w:r>
      <w:r w:rsidRPr="00602FE9">
        <w:rPr>
          <w:rFonts w:cs="Times New Roman"/>
        </w:rPr>
        <w:lastRenderedPageBreak/>
        <w:t xml:space="preserve">novērtējums </w:t>
      </w:r>
      <w:proofErr w:type="spellStart"/>
      <w:r w:rsidRPr="00602FE9">
        <w:rPr>
          <w:rFonts w:cs="Times New Roman"/>
          <w:i/>
        </w:rPr>
        <w:t>Euro</w:t>
      </w:r>
      <w:proofErr w:type="spellEnd"/>
      <w:r w:rsidRPr="00602FE9">
        <w:rPr>
          <w:rFonts w:cs="Times New Roman"/>
          <w:i/>
        </w:rPr>
        <w:t xml:space="preserve"> NCAP</w:t>
      </w:r>
      <w:r w:rsidRPr="00602FE9">
        <w:rPr>
          <w:rStyle w:val="FootnoteReference"/>
          <w:rFonts w:cs="Times New Roman"/>
        </w:rPr>
        <w:footnoteReference w:id="19"/>
      </w:r>
      <w:r w:rsidRPr="00602FE9">
        <w:rPr>
          <w:rFonts w:cs="Times New Roman"/>
        </w:rPr>
        <w:t xml:space="preserve"> sadursmju testos, kā arī </w:t>
      </w:r>
      <w:r w:rsidR="00AB0313">
        <w:rPr>
          <w:rFonts w:cs="Times New Roman"/>
        </w:rPr>
        <w:t>tas ir aprīkots</w:t>
      </w:r>
      <w:r w:rsidRPr="00602FE9">
        <w:rPr>
          <w:rFonts w:cs="Times New Roman"/>
        </w:rPr>
        <w:t xml:space="preserve"> ar elektronisko stabilitātes programmu, kā arī citiem jaunākajiem pasīvās un aktīvās drošības risinājumiem automobiļu industrijā. </w:t>
      </w:r>
    </w:p>
    <w:p w:rsidR="00566A32" w:rsidRDefault="00566A32" w:rsidP="004667FB">
      <w:pPr>
        <w:tabs>
          <w:tab w:val="left" w:pos="9120"/>
        </w:tabs>
        <w:jc w:val="both"/>
        <w:rPr>
          <w:rFonts w:cs="Times New Roman"/>
        </w:rPr>
      </w:pPr>
      <w:r w:rsidRPr="00602FE9">
        <w:rPr>
          <w:rFonts w:cs="Times New Roman"/>
        </w:rPr>
        <w:t xml:space="preserve">Par drošu ceļu tiek uzskatīts tāds ceļš, kas atbilst 4 zvaigžņu novērtējumam pēc </w:t>
      </w:r>
      <w:proofErr w:type="spellStart"/>
      <w:r w:rsidRPr="00602FE9">
        <w:rPr>
          <w:rFonts w:cs="Times New Roman"/>
          <w:i/>
        </w:rPr>
        <w:t>Euro</w:t>
      </w:r>
      <w:proofErr w:type="spellEnd"/>
      <w:r w:rsidRPr="00602FE9">
        <w:rPr>
          <w:rFonts w:cs="Times New Roman"/>
          <w:i/>
        </w:rPr>
        <w:t xml:space="preserve"> RAP</w:t>
      </w:r>
      <w:r w:rsidRPr="00602FE9">
        <w:rPr>
          <w:rStyle w:val="FootnoteReference"/>
          <w:rFonts w:cs="Times New Roman"/>
          <w:i/>
        </w:rPr>
        <w:footnoteReference w:id="20"/>
      </w:r>
      <w:r w:rsidRPr="00602FE9">
        <w:rPr>
          <w:rFonts w:cs="Times New Roman"/>
        </w:rPr>
        <w:t xml:space="preserve"> vērtēšanas kritērijiem, savukārt drošs ceļu satiksmes dalībnieks lieto drošības jostu, ievēro atļauto braukšanas ātrumu, nelieto apreibinošas vielas pirms vadīšanas un vadīšanas laikā, ir saprātīgs un pārzin CSN prasības.</w:t>
      </w:r>
    </w:p>
    <w:p w:rsidR="002A7939" w:rsidRDefault="00566A32" w:rsidP="00566A32">
      <w:pPr>
        <w:pStyle w:val="NoSpacing"/>
        <w:ind w:firstLine="426"/>
        <w:jc w:val="center"/>
        <w:rPr>
          <w:rFonts w:cs="Times New Roman"/>
        </w:rPr>
      </w:pPr>
      <w:r>
        <w:rPr>
          <w:rFonts w:cs="Times New Roman"/>
          <w:noProof/>
          <w:lang w:eastAsia="lv-LV"/>
        </w:rPr>
        <w:drawing>
          <wp:inline distT="0" distB="0" distL="0" distR="0" wp14:anchorId="6C2A253B" wp14:editId="150FA732">
            <wp:extent cx="5191125" cy="340104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7231" cy="3405047"/>
                    </a:xfrm>
                    <a:prstGeom prst="rect">
                      <a:avLst/>
                    </a:prstGeom>
                    <a:noFill/>
                    <a:ln>
                      <a:noFill/>
                    </a:ln>
                  </pic:spPr>
                </pic:pic>
              </a:graphicData>
            </a:graphic>
          </wp:inline>
        </w:drawing>
      </w:r>
    </w:p>
    <w:p w:rsidR="00566A32" w:rsidRDefault="007E56B9" w:rsidP="00127D28">
      <w:pPr>
        <w:pStyle w:val="NoSpacing"/>
        <w:ind w:firstLine="426"/>
        <w:jc w:val="center"/>
        <w:rPr>
          <w:rFonts w:cs="Times New Roman"/>
          <w:b/>
        </w:rPr>
      </w:pPr>
      <w:r>
        <w:rPr>
          <w:rFonts w:cs="Times New Roman"/>
          <w:b/>
        </w:rPr>
        <w:t>10</w:t>
      </w:r>
      <w:r w:rsidR="00566A32" w:rsidRPr="00602FE9">
        <w:rPr>
          <w:rFonts w:cs="Times New Roman"/>
          <w:b/>
        </w:rPr>
        <w:t>.</w:t>
      </w:r>
      <w:r w:rsidR="00566A32" w:rsidRPr="00602FE9">
        <w:rPr>
          <w:rFonts w:cs="Times New Roman"/>
        </w:rPr>
        <w:t xml:space="preserve"> </w:t>
      </w:r>
      <w:r w:rsidR="00566A32" w:rsidRPr="00602FE9">
        <w:rPr>
          <w:rFonts w:cs="Times New Roman"/>
          <w:b/>
        </w:rPr>
        <w:t>att. Drošs ceļu satiksmes sistēmas modelis</w:t>
      </w:r>
      <w:r w:rsidR="00566A32" w:rsidRPr="00602FE9">
        <w:rPr>
          <w:rStyle w:val="FootnoteReference"/>
          <w:rFonts w:cs="Times New Roman"/>
          <w:b/>
        </w:rPr>
        <w:footnoteReference w:id="21"/>
      </w:r>
    </w:p>
    <w:p w:rsidR="00233DD0" w:rsidRPr="00BA28A2" w:rsidRDefault="00233DD0" w:rsidP="00127D28">
      <w:pPr>
        <w:pStyle w:val="NoSpacing"/>
        <w:ind w:firstLine="426"/>
        <w:jc w:val="center"/>
        <w:rPr>
          <w:rFonts w:cs="Times New Roman"/>
          <w:b/>
        </w:rPr>
      </w:pPr>
    </w:p>
    <w:p w:rsidR="00566A32" w:rsidRPr="00602FE9" w:rsidRDefault="00566A32" w:rsidP="00401C83">
      <w:pPr>
        <w:pStyle w:val="NoSpacing"/>
        <w:ind w:firstLine="426"/>
        <w:jc w:val="both"/>
        <w:rPr>
          <w:rFonts w:cs="Times New Roman"/>
          <w:vertAlign w:val="superscript"/>
        </w:rPr>
      </w:pPr>
      <w:r w:rsidRPr="00602FE9">
        <w:rPr>
          <w:rFonts w:cs="Times New Roman"/>
        </w:rPr>
        <w:t>Lai panāktu ievērojamu ceļu satiksmes drošības uzlabošanos</w:t>
      </w:r>
      <w:r w:rsidR="00AB0313">
        <w:rPr>
          <w:rFonts w:cs="Times New Roman"/>
        </w:rPr>
        <w:t>,</w:t>
      </w:r>
      <w:r w:rsidRPr="00602FE9">
        <w:rPr>
          <w:rFonts w:cs="Times New Roman"/>
        </w:rPr>
        <w:t xml:space="preserve"> ir jāapzinās, ka būtiski ir veidot drošus, nevis drošākus ceļus, tāpat svarīgi ir nodrošināt spēcīgu un ilgtspējīgu pārvaldību pār ceļu satiksmes drošību. Kā liecina pasaule prakse, svarīgi ir arī izveidot dalītu atbildību par ceļu satiksmes drošību, nosakot atbildīgās institūcijas par konkrētiem rīcības virzieniem. Ņemot vērā arvien pieaugošo velosipēdu popularitāti, kā arī pilsētu attīstību, svarīgi ir izveidot pilnībā drošu satiksmi </w:t>
      </w:r>
      <w:proofErr w:type="spellStart"/>
      <w:r w:rsidRPr="00602FE9">
        <w:rPr>
          <w:rFonts w:cs="Times New Roman"/>
        </w:rPr>
        <w:t>mazaizsargātākajiem</w:t>
      </w:r>
      <w:proofErr w:type="spellEnd"/>
      <w:r w:rsidRPr="00602FE9">
        <w:rPr>
          <w:rFonts w:cs="Times New Roman"/>
        </w:rPr>
        <w:t xml:space="preserve"> ceļu satiksmes dalībniekiem pilsētās. Tāpat nedrīkst aizmirst arī, ka ir jānodrošina pilnvērtīgu datu ieguvi, to analīzi un pētījumu norisi par ceļu satiksmi, kā arī sekot līdzi jaunākajām tendencēm datu iegūšanā un analīzē.</w:t>
      </w:r>
      <w:r w:rsidRPr="00602FE9">
        <w:rPr>
          <w:rFonts w:cs="Times New Roman"/>
          <w:vertAlign w:val="superscript"/>
        </w:rPr>
        <w:t>21</w:t>
      </w:r>
    </w:p>
    <w:p w:rsidR="00A83439" w:rsidRPr="007E56B9" w:rsidRDefault="007E56B9" w:rsidP="00A70D56">
      <w:pPr>
        <w:pStyle w:val="NoSpacing"/>
        <w:ind w:firstLine="426"/>
        <w:jc w:val="both"/>
        <w:rPr>
          <w:rFonts w:cs="Times New Roman"/>
        </w:rPr>
      </w:pPr>
      <w:r>
        <w:rPr>
          <w:rFonts w:cs="Times New Roman"/>
        </w:rPr>
        <w:t xml:space="preserve">Kā liecina vairāki pētījumi un pasaules prakse, tad </w:t>
      </w:r>
      <w:r w:rsidR="00401C83" w:rsidRPr="00BA28A2">
        <w:rPr>
          <w:rFonts w:cs="Times New Roman"/>
        </w:rPr>
        <w:t xml:space="preserve">būtiskākie un </w:t>
      </w:r>
      <w:r w:rsidR="00A83439" w:rsidRPr="00982C61">
        <w:rPr>
          <w:rFonts w:cs="Times New Roman"/>
        </w:rPr>
        <w:t>galvenie</w:t>
      </w:r>
      <w:r w:rsidR="00A83439">
        <w:rPr>
          <w:rFonts w:cs="Times New Roman"/>
        </w:rPr>
        <w:t xml:space="preserve"> ceļu satiksmes drošību ietekmē</w:t>
      </w:r>
      <w:r>
        <w:rPr>
          <w:rFonts w:cs="Times New Roman"/>
        </w:rPr>
        <w:t>jošie faktori ir</w:t>
      </w:r>
      <w:r w:rsidR="00A83439">
        <w:rPr>
          <w:rFonts w:cs="Times New Roman"/>
        </w:rPr>
        <w:t xml:space="preserve">: </w:t>
      </w:r>
      <w:r w:rsidR="00A83439" w:rsidRPr="0058436D">
        <w:rPr>
          <w:rFonts w:cs="Times New Roman"/>
          <w:u w:val="single"/>
        </w:rPr>
        <w:t>cilvēciskais faktors</w:t>
      </w:r>
      <w:r w:rsidR="005A600E">
        <w:rPr>
          <w:rFonts w:cs="Times New Roman"/>
          <w:u w:val="single"/>
        </w:rPr>
        <w:t xml:space="preserve"> (satiksmes dalībnieks)</w:t>
      </w:r>
      <w:r w:rsidR="00A83439" w:rsidRPr="0058436D">
        <w:rPr>
          <w:rFonts w:cs="Times New Roman"/>
          <w:u w:val="single"/>
        </w:rPr>
        <w:t xml:space="preserve">, </w:t>
      </w:r>
      <w:r w:rsidR="004928B4" w:rsidRPr="004928B4">
        <w:rPr>
          <w:rFonts w:cs="Times New Roman"/>
          <w:u w:val="single"/>
        </w:rPr>
        <w:t>TL</w:t>
      </w:r>
      <w:r w:rsidR="004928B4" w:rsidRPr="004928B4" w:rsidDel="004928B4">
        <w:rPr>
          <w:rFonts w:cs="Times New Roman"/>
          <w:u w:val="single"/>
        </w:rPr>
        <w:t xml:space="preserve"> </w:t>
      </w:r>
      <w:r w:rsidR="00A83439" w:rsidRPr="0058436D">
        <w:rPr>
          <w:rFonts w:cs="Times New Roman"/>
          <w:u w:val="single"/>
        </w:rPr>
        <w:t>un tā aprīkojuma tehniskais stāvoklis un apkārtējā vide (ceļu infrastruktūra).</w:t>
      </w:r>
      <w:r w:rsidRPr="007E56B9">
        <w:rPr>
          <w:rFonts w:cs="Times New Roman"/>
        </w:rPr>
        <w:t xml:space="preserve"> </w:t>
      </w:r>
      <w:r w:rsidR="00AB0313">
        <w:rPr>
          <w:rFonts w:cs="Times New Roman"/>
        </w:rPr>
        <w:t>V</w:t>
      </w:r>
      <w:r>
        <w:rPr>
          <w:rFonts w:cs="Times New Roman"/>
        </w:rPr>
        <w:t>islielākā ietekme pēc nozīmes tomēr ir cilvēciskajam faktoram, savukārt pārējo ietekme ir mazāka.</w:t>
      </w:r>
    </w:p>
    <w:p w:rsidR="00A83439" w:rsidRDefault="005A600E" w:rsidP="00A70D56">
      <w:pPr>
        <w:pStyle w:val="NoSpacing"/>
        <w:ind w:firstLine="426"/>
        <w:jc w:val="both"/>
        <w:rPr>
          <w:rFonts w:cs="Times New Roman"/>
        </w:rPr>
      </w:pPr>
      <w:r>
        <w:rPr>
          <w:rFonts w:cs="Times New Roman"/>
        </w:rPr>
        <w:t>Jāatceras</w:t>
      </w:r>
      <w:r w:rsidR="00A83439">
        <w:rPr>
          <w:rFonts w:cs="Times New Roman"/>
        </w:rPr>
        <w:t xml:space="preserve">, ka </w:t>
      </w:r>
      <w:r w:rsidR="0058436D">
        <w:rPr>
          <w:rFonts w:cs="Times New Roman"/>
        </w:rPr>
        <w:t>visi trīs faktori ir cieši savstarpēji saist</w:t>
      </w:r>
      <w:r>
        <w:rPr>
          <w:rFonts w:cs="Times New Roman"/>
        </w:rPr>
        <w:t>īti, tādejādi izvirzīto mērķu sasniegšanai  par ceļu satiksmes drošības līmeņa uzlabošanu tie visi ir jāapzinās un jāņem vēr</w:t>
      </w:r>
      <w:r w:rsidR="00C03A91">
        <w:rPr>
          <w:rFonts w:cs="Times New Roman"/>
        </w:rPr>
        <w:t>ā. Tomēr nedrīkst aizmirst arī</w:t>
      </w:r>
      <w:r w:rsidR="00CB5371">
        <w:rPr>
          <w:rFonts w:cs="Times New Roman"/>
        </w:rPr>
        <w:t xml:space="preserve"> vēl kādu faktoru, jo</w:t>
      </w:r>
      <w:r w:rsidR="00C03A91">
        <w:rPr>
          <w:rFonts w:cs="Times New Roman"/>
        </w:rPr>
        <w:t xml:space="preserve"> būtiska ir </w:t>
      </w:r>
      <w:r w:rsidR="00CB5371">
        <w:rPr>
          <w:rFonts w:cs="Times New Roman"/>
        </w:rPr>
        <w:t xml:space="preserve">arī </w:t>
      </w:r>
      <w:r w:rsidR="00C03A91">
        <w:rPr>
          <w:rFonts w:cs="Times New Roman"/>
        </w:rPr>
        <w:t xml:space="preserve">glābšanas dienestu rīcība pēc </w:t>
      </w:r>
      <w:proofErr w:type="spellStart"/>
      <w:r w:rsidR="00C03A91">
        <w:rPr>
          <w:rFonts w:cs="Times New Roman"/>
        </w:rPr>
        <w:t>CSNg</w:t>
      </w:r>
      <w:proofErr w:type="spellEnd"/>
      <w:r w:rsidR="00C03A91">
        <w:rPr>
          <w:rFonts w:cs="Times New Roman"/>
        </w:rPr>
        <w:t xml:space="preserve"> – ir jānodrošina efek</w:t>
      </w:r>
      <w:r w:rsidR="00AB0313">
        <w:rPr>
          <w:rFonts w:cs="Times New Roman"/>
        </w:rPr>
        <w:t>tīva glābšanas dienestu darbība</w:t>
      </w:r>
      <w:r w:rsidR="00C03A91">
        <w:rPr>
          <w:rFonts w:cs="Times New Roman"/>
        </w:rPr>
        <w:t xml:space="preserve">. </w:t>
      </w:r>
    </w:p>
    <w:p w:rsidR="00A83439" w:rsidRDefault="00A83439" w:rsidP="00A70D56">
      <w:pPr>
        <w:pStyle w:val="NoSpacing"/>
        <w:ind w:firstLine="426"/>
        <w:jc w:val="both"/>
        <w:rPr>
          <w:rFonts w:cs="Times New Roman"/>
        </w:rPr>
      </w:pPr>
    </w:p>
    <w:p w:rsidR="00D92834" w:rsidRDefault="00D92834" w:rsidP="00A70D56">
      <w:pPr>
        <w:pStyle w:val="NoSpacing"/>
        <w:ind w:firstLine="426"/>
        <w:jc w:val="both"/>
        <w:rPr>
          <w:rFonts w:cs="Times New Roman"/>
          <w:b/>
          <w:color w:val="000000" w:themeColor="text1"/>
        </w:rPr>
      </w:pPr>
    </w:p>
    <w:p w:rsidR="00233DD0" w:rsidRDefault="00233DD0" w:rsidP="00B43F54">
      <w:pPr>
        <w:pStyle w:val="NoSpacing"/>
        <w:jc w:val="both"/>
        <w:rPr>
          <w:rFonts w:cs="Times New Roman"/>
          <w:b/>
          <w:color w:val="000000" w:themeColor="text1"/>
        </w:rPr>
      </w:pPr>
    </w:p>
    <w:p w:rsidR="00233DD0" w:rsidRDefault="00233DD0" w:rsidP="00A70D56">
      <w:pPr>
        <w:pStyle w:val="NoSpacing"/>
        <w:ind w:firstLine="426"/>
        <w:jc w:val="both"/>
        <w:rPr>
          <w:rFonts w:cs="Times New Roman"/>
          <w:b/>
          <w:color w:val="000000" w:themeColor="text1"/>
        </w:rPr>
      </w:pPr>
    </w:p>
    <w:p w:rsidR="00E528F8" w:rsidRPr="00D92834" w:rsidRDefault="00401C83" w:rsidP="00A70D56">
      <w:pPr>
        <w:pStyle w:val="NoSpacing"/>
        <w:ind w:firstLine="426"/>
        <w:jc w:val="both"/>
        <w:rPr>
          <w:rFonts w:cs="Times New Roman"/>
          <w:b/>
          <w:color w:val="000000" w:themeColor="text1"/>
          <w:u w:val="single"/>
        </w:rPr>
      </w:pPr>
      <w:r>
        <w:rPr>
          <w:rFonts w:cs="Times New Roman"/>
          <w:b/>
          <w:color w:val="000000" w:themeColor="text1"/>
        </w:rPr>
        <w:lastRenderedPageBreak/>
        <w:t xml:space="preserve">Ņemot vērā </w:t>
      </w:r>
      <w:proofErr w:type="spellStart"/>
      <w:r>
        <w:rPr>
          <w:rFonts w:cs="Times New Roman"/>
          <w:b/>
          <w:color w:val="000000" w:themeColor="text1"/>
        </w:rPr>
        <w:t>CSNg</w:t>
      </w:r>
      <w:proofErr w:type="spellEnd"/>
      <w:r>
        <w:rPr>
          <w:rFonts w:cs="Times New Roman"/>
          <w:b/>
          <w:color w:val="000000" w:themeColor="text1"/>
        </w:rPr>
        <w:t xml:space="preserve"> statistiku, plānā ietverto </w:t>
      </w:r>
      <w:proofErr w:type="spellStart"/>
      <w:r>
        <w:rPr>
          <w:rFonts w:cs="Times New Roman"/>
          <w:b/>
          <w:color w:val="000000" w:themeColor="text1"/>
        </w:rPr>
        <w:t>izvērtējumu</w:t>
      </w:r>
      <w:proofErr w:type="spellEnd"/>
      <w:r>
        <w:rPr>
          <w:rFonts w:cs="Times New Roman"/>
          <w:b/>
          <w:color w:val="000000" w:themeColor="text1"/>
        </w:rPr>
        <w:t>, kā arī</w:t>
      </w:r>
      <w:r w:rsidR="00D92834" w:rsidRPr="00D92834">
        <w:rPr>
          <w:rFonts w:cs="Times New Roman"/>
          <w:b/>
          <w:color w:val="000000" w:themeColor="text1"/>
        </w:rPr>
        <w:t xml:space="preserve"> citu ar ceļu satiksmes drošību saistīto faktoru analīzi, tiek noteiktas šādas</w:t>
      </w:r>
      <w:r w:rsidR="00D92834" w:rsidRPr="00D92834">
        <w:rPr>
          <w:rFonts w:cs="Times New Roman"/>
          <w:b/>
          <w:color w:val="000000" w:themeColor="text1"/>
          <w:u w:val="single"/>
        </w:rPr>
        <w:t xml:space="preserve"> būtiskākās ceļu </w:t>
      </w:r>
      <w:r w:rsidR="00D92834" w:rsidRPr="00602FE9">
        <w:rPr>
          <w:rFonts w:cs="Times New Roman"/>
          <w:b/>
          <w:color w:val="000000" w:themeColor="text1"/>
          <w:u w:val="single"/>
        </w:rPr>
        <w:t>satiksmes drošības problēmas Latvijā</w:t>
      </w:r>
      <w:r w:rsidR="00D92834">
        <w:rPr>
          <w:rStyle w:val="FootnoteReference"/>
          <w:rFonts w:cs="Times New Roman"/>
          <w:b/>
          <w:color w:val="000000" w:themeColor="text1"/>
          <w:u w:val="single"/>
        </w:rPr>
        <w:footnoteReference w:id="22"/>
      </w:r>
      <w:r w:rsidR="00D92834" w:rsidRPr="00D92834">
        <w:rPr>
          <w:rFonts w:cs="Times New Roman"/>
          <w:b/>
          <w:color w:val="000000" w:themeColor="text1"/>
          <w:u w:val="single"/>
        </w:rPr>
        <w:t>:</w:t>
      </w:r>
    </w:p>
    <w:p w:rsidR="007D2837" w:rsidRPr="00D92834" w:rsidRDefault="007D2837" w:rsidP="00A70D56">
      <w:pPr>
        <w:pStyle w:val="NoSpacing"/>
        <w:ind w:firstLine="426"/>
        <w:jc w:val="both"/>
        <w:rPr>
          <w:rFonts w:cs="Times New Roman"/>
          <w:color w:val="000000" w:themeColor="text1"/>
        </w:rPr>
      </w:pPr>
    </w:p>
    <w:p w:rsidR="00221E92" w:rsidRPr="00D92834" w:rsidRDefault="00221E92" w:rsidP="00D92834">
      <w:pPr>
        <w:pStyle w:val="NoSpacing"/>
        <w:numPr>
          <w:ilvl w:val="0"/>
          <w:numId w:val="40"/>
        </w:numPr>
        <w:jc w:val="both"/>
        <w:rPr>
          <w:color w:val="000000" w:themeColor="text1"/>
        </w:rPr>
      </w:pPr>
      <w:r w:rsidRPr="00D92834">
        <w:rPr>
          <w:rFonts w:cs="Times New Roman"/>
          <w:color w:val="000000" w:themeColor="text1"/>
        </w:rPr>
        <w:t xml:space="preserve">Būtisku un </w:t>
      </w:r>
      <w:r w:rsidR="007A4DD2">
        <w:rPr>
          <w:rFonts w:cs="Times New Roman"/>
          <w:color w:val="000000" w:themeColor="text1"/>
        </w:rPr>
        <w:t xml:space="preserve">satiksmes </w:t>
      </w:r>
      <w:r w:rsidRPr="00D92834">
        <w:rPr>
          <w:rFonts w:cs="Times New Roman"/>
          <w:color w:val="000000" w:themeColor="text1"/>
        </w:rPr>
        <w:t xml:space="preserve">drošību tiešā mērā ietekmējošu CSN neievērošana – </w:t>
      </w:r>
      <w:r w:rsidRPr="00602FE9">
        <w:rPr>
          <w:rFonts w:cs="Times New Roman"/>
          <w:color w:val="000000" w:themeColor="text1"/>
        </w:rPr>
        <w:t>atļautā braukšana</w:t>
      </w:r>
      <w:r w:rsidR="00067E2C" w:rsidRPr="00602FE9">
        <w:rPr>
          <w:rFonts w:cs="Times New Roman"/>
          <w:color w:val="000000" w:themeColor="text1"/>
        </w:rPr>
        <w:t>s</w:t>
      </w:r>
      <w:r w:rsidRPr="00602FE9">
        <w:rPr>
          <w:rFonts w:cs="Times New Roman"/>
          <w:color w:val="000000" w:themeColor="text1"/>
        </w:rPr>
        <w:t xml:space="preserve"> ātruma pārsniegšana</w:t>
      </w:r>
      <w:r w:rsidRPr="00602FE9">
        <w:rPr>
          <w:color w:val="000000" w:themeColor="text1"/>
        </w:rPr>
        <w:t>, priekšrocības ceļa zīmju neievērošana, luksofora signālu neievērošana</w:t>
      </w:r>
      <w:r w:rsidR="000E5481" w:rsidRPr="00602FE9">
        <w:rPr>
          <w:color w:val="000000" w:themeColor="text1"/>
        </w:rPr>
        <w:t>, vadīšana</w:t>
      </w:r>
      <w:r w:rsidR="000E5481" w:rsidRPr="00D92834">
        <w:rPr>
          <w:color w:val="000000" w:themeColor="text1"/>
        </w:rPr>
        <w:t xml:space="preserve"> reibumā</w:t>
      </w:r>
      <w:r w:rsidRPr="00D92834">
        <w:rPr>
          <w:color w:val="000000" w:themeColor="text1"/>
        </w:rPr>
        <w:t xml:space="preserve"> u.c.</w:t>
      </w:r>
    </w:p>
    <w:p w:rsidR="00221E92" w:rsidRPr="00D92834" w:rsidRDefault="00221E92" w:rsidP="00D92834">
      <w:pPr>
        <w:pStyle w:val="NoSpacing"/>
        <w:numPr>
          <w:ilvl w:val="0"/>
          <w:numId w:val="40"/>
        </w:numPr>
        <w:jc w:val="both"/>
        <w:rPr>
          <w:color w:val="000000" w:themeColor="text1"/>
        </w:rPr>
      </w:pPr>
      <w:r w:rsidRPr="00D92834">
        <w:rPr>
          <w:color w:val="000000" w:themeColor="text1"/>
        </w:rPr>
        <w:t>Nevienmērīgs dažādu TL braukšanas ātrums ceļu satiksmē – apdzīšanas manevru veikšana bīstamās situācij</w:t>
      </w:r>
      <w:r w:rsidR="009F2B2E" w:rsidRPr="00D92834">
        <w:rPr>
          <w:color w:val="000000" w:themeColor="text1"/>
        </w:rPr>
        <w:t>ās.</w:t>
      </w:r>
    </w:p>
    <w:p w:rsidR="00221E92" w:rsidRPr="00D92834" w:rsidRDefault="00DC1655" w:rsidP="00D92834">
      <w:pPr>
        <w:pStyle w:val="NoSpacing"/>
        <w:numPr>
          <w:ilvl w:val="0"/>
          <w:numId w:val="40"/>
        </w:numPr>
        <w:jc w:val="both"/>
        <w:rPr>
          <w:color w:val="000000" w:themeColor="text1"/>
        </w:rPr>
      </w:pPr>
      <w:r>
        <w:rPr>
          <w:color w:val="000000" w:themeColor="text1"/>
        </w:rPr>
        <w:t xml:space="preserve">Nav veikta padziļināta izpētīte smagiem </w:t>
      </w:r>
      <w:proofErr w:type="spellStart"/>
      <w:r>
        <w:rPr>
          <w:color w:val="000000" w:themeColor="text1"/>
        </w:rPr>
        <w:t>CSNg</w:t>
      </w:r>
      <w:proofErr w:type="spellEnd"/>
      <w:r>
        <w:rPr>
          <w:color w:val="000000" w:themeColor="text1"/>
        </w:rPr>
        <w:t xml:space="preserve"> iemesliem </w:t>
      </w:r>
      <w:r w:rsidR="00221E92" w:rsidRPr="00D92834">
        <w:rPr>
          <w:color w:val="000000" w:themeColor="text1"/>
        </w:rPr>
        <w:t xml:space="preserve">vasaras periodā uz sausa un tīra ceļa seguma </w:t>
      </w:r>
      <w:r w:rsidR="009F2B2E" w:rsidRPr="00D92834">
        <w:rPr>
          <w:color w:val="000000" w:themeColor="text1"/>
        </w:rPr>
        <w:t>–</w:t>
      </w:r>
      <w:r w:rsidR="00221E92" w:rsidRPr="00D92834">
        <w:rPr>
          <w:color w:val="000000" w:themeColor="text1"/>
        </w:rPr>
        <w:t xml:space="preserve"> </w:t>
      </w:r>
      <w:r w:rsidR="009F2B2E" w:rsidRPr="00D92834">
        <w:rPr>
          <w:color w:val="000000" w:themeColor="text1"/>
        </w:rPr>
        <w:t>negadījumu iemeslu izpēte.</w:t>
      </w:r>
    </w:p>
    <w:p w:rsidR="009F2B2E" w:rsidRPr="00D92834" w:rsidRDefault="009F2B2E" w:rsidP="00D92834">
      <w:pPr>
        <w:pStyle w:val="NoSpacing"/>
        <w:numPr>
          <w:ilvl w:val="0"/>
          <w:numId w:val="40"/>
        </w:numPr>
        <w:jc w:val="both"/>
        <w:rPr>
          <w:color w:val="000000" w:themeColor="text1"/>
        </w:rPr>
      </w:pPr>
      <w:r w:rsidRPr="00D92834">
        <w:rPr>
          <w:color w:val="000000" w:themeColor="text1"/>
        </w:rPr>
        <w:t>TL vadītāju un pasažieru drošība</w:t>
      </w:r>
      <w:r w:rsidR="001F194E">
        <w:rPr>
          <w:color w:val="000000" w:themeColor="text1"/>
        </w:rPr>
        <w:t>s prasību neievērošana</w:t>
      </w:r>
      <w:r w:rsidRPr="00D92834">
        <w:rPr>
          <w:color w:val="000000" w:themeColor="text1"/>
        </w:rPr>
        <w:t xml:space="preserve"> – drošības jostu nelietošana (it īpaši aizmugurē sēdošajiem).</w:t>
      </w:r>
    </w:p>
    <w:p w:rsidR="001173EF" w:rsidRPr="00D92834" w:rsidRDefault="00DC1655" w:rsidP="00D92834">
      <w:pPr>
        <w:pStyle w:val="NoSpacing"/>
        <w:numPr>
          <w:ilvl w:val="0"/>
          <w:numId w:val="40"/>
        </w:numPr>
        <w:jc w:val="both"/>
        <w:rPr>
          <w:color w:val="000000" w:themeColor="text1"/>
        </w:rPr>
      </w:pPr>
      <w:r>
        <w:rPr>
          <w:color w:val="000000" w:themeColor="text1"/>
        </w:rPr>
        <w:t xml:space="preserve">Procentuāli liels no kopējā skaita </w:t>
      </w:r>
      <w:proofErr w:type="spellStart"/>
      <w:r w:rsidR="009F2B2E" w:rsidRPr="00D92834">
        <w:rPr>
          <w:color w:val="000000" w:themeColor="text1"/>
        </w:rPr>
        <w:t>CSNg</w:t>
      </w:r>
      <w:proofErr w:type="spellEnd"/>
      <w:r w:rsidR="009F2B2E" w:rsidRPr="00D92834">
        <w:rPr>
          <w:color w:val="000000" w:themeColor="text1"/>
        </w:rPr>
        <w:t xml:space="preserve"> bojāgājušo un cietušo gājēju skaits – ietvju trūkums, atstarojošo elementu nelietošana, brauktuves šķērsošana neatļautās vietās, </w:t>
      </w:r>
      <w:r w:rsidR="001173EF" w:rsidRPr="00D92834">
        <w:rPr>
          <w:color w:val="000000" w:themeColor="text1"/>
        </w:rPr>
        <w:t>nepietiekama redzamība, apgais</w:t>
      </w:r>
      <w:r w:rsidR="0058195F" w:rsidRPr="00D92834">
        <w:rPr>
          <w:color w:val="000000" w:themeColor="text1"/>
        </w:rPr>
        <w:t>mojums pieturās, uz gājēju pā</w:t>
      </w:r>
      <w:r w:rsidR="001173EF" w:rsidRPr="00D92834">
        <w:rPr>
          <w:color w:val="000000" w:themeColor="text1"/>
        </w:rPr>
        <w:t>r</w:t>
      </w:r>
      <w:r w:rsidR="0058195F" w:rsidRPr="00D92834">
        <w:rPr>
          <w:color w:val="000000" w:themeColor="text1"/>
        </w:rPr>
        <w:t>ej</w:t>
      </w:r>
      <w:r w:rsidR="001173EF" w:rsidRPr="00D92834">
        <w:rPr>
          <w:color w:val="000000" w:themeColor="text1"/>
        </w:rPr>
        <w:t>ām, satiksmes drošības prasībām neatbilstošas gājēju pārejas u.c.</w:t>
      </w:r>
      <w:r w:rsidR="009F2B2E" w:rsidRPr="00D92834">
        <w:rPr>
          <w:color w:val="000000" w:themeColor="text1"/>
        </w:rPr>
        <w:t xml:space="preserve"> </w:t>
      </w:r>
    </w:p>
    <w:p w:rsidR="001173EF" w:rsidRPr="00D92834" w:rsidRDefault="00DC1655" w:rsidP="00D92834">
      <w:pPr>
        <w:pStyle w:val="NoSpacing"/>
        <w:numPr>
          <w:ilvl w:val="0"/>
          <w:numId w:val="40"/>
        </w:numPr>
        <w:jc w:val="both"/>
        <w:rPr>
          <w:color w:val="000000" w:themeColor="text1"/>
        </w:rPr>
      </w:pPr>
      <w:r>
        <w:rPr>
          <w:color w:val="000000" w:themeColor="text1"/>
        </w:rPr>
        <w:t>Procentuāli liels no</w:t>
      </w:r>
      <w:r w:rsidR="004667FB">
        <w:rPr>
          <w:color w:val="000000" w:themeColor="text1"/>
        </w:rPr>
        <w:t xml:space="preserve"> kopējā skaita</w:t>
      </w:r>
      <w:r w:rsidR="001173EF" w:rsidRPr="00D92834">
        <w:rPr>
          <w:color w:val="000000" w:themeColor="text1"/>
        </w:rPr>
        <w:t xml:space="preserve"> </w:t>
      </w:r>
      <w:proofErr w:type="spellStart"/>
      <w:r w:rsidR="001173EF" w:rsidRPr="00D92834">
        <w:rPr>
          <w:color w:val="000000" w:themeColor="text1"/>
        </w:rPr>
        <w:t>CSNg</w:t>
      </w:r>
      <w:proofErr w:type="spellEnd"/>
      <w:r w:rsidR="001173EF" w:rsidRPr="00D92834">
        <w:rPr>
          <w:color w:val="000000" w:themeColor="text1"/>
        </w:rPr>
        <w:t xml:space="preserve"> cietušo un bojāgājušo velosipēd</w:t>
      </w:r>
      <w:r w:rsidR="00AB6E16">
        <w:rPr>
          <w:color w:val="000000" w:themeColor="text1"/>
        </w:rPr>
        <w:t>ist</w:t>
      </w:r>
      <w:r w:rsidR="001173EF" w:rsidRPr="00D92834">
        <w:rPr>
          <w:color w:val="000000" w:themeColor="text1"/>
        </w:rPr>
        <w:t>u skaits – velosipēdu ceļu trūkums, velosipēdu</w:t>
      </w:r>
      <w:r w:rsidR="00AB6E16">
        <w:rPr>
          <w:color w:val="000000" w:themeColor="text1"/>
        </w:rPr>
        <w:t xml:space="preserve"> un to vadītāju</w:t>
      </w:r>
      <w:r w:rsidR="001F194E">
        <w:rPr>
          <w:color w:val="000000" w:themeColor="text1"/>
        </w:rPr>
        <w:t xml:space="preserve"> redzamība (atstarojošo</w:t>
      </w:r>
      <w:r w:rsidR="001173EF" w:rsidRPr="00D92834">
        <w:rPr>
          <w:color w:val="000000" w:themeColor="text1"/>
        </w:rPr>
        <w:t xml:space="preserve"> elementu, apgaismes ierīču, atstarojošo vestu nelietošana</w:t>
      </w:r>
      <w:r w:rsidR="001F194E">
        <w:rPr>
          <w:color w:val="000000" w:themeColor="text1"/>
        </w:rPr>
        <w:t>)</w:t>
      </w:r>
      <w:r w:rsidR="001173EF" w:rsidRPr="00D92834">
        <w:rPr>
          <w:color w:val="000000" w:themeColor="text1"/>
        </w:rPr>
        <w:t xml:space="preserve">, velosipēdu vadītāju CSN </w:t>
      </w:r>
      <w:r w:rsidR="007637EB" w:rsidRPr="00D92834">
        <w:rPr>
          <w:color w:val="000000" w:themeColor="text1"/>
        </w:rPr>
        <w:t>zināšanu trūkums</w:t>
      </w:r>
      <w:r w:rsidR="001F194E">
        <w:rPr>
          <w:color w:val="000000" w:themeColor="text1"/>
        </w:rPr>
        <w:t>,</w:t>
      </w:r>
      <w:r w:rsidR="001173EF" w:rsidRPr="00D92834">
        <w:rPr>
          <w:color w:val="000000" w:themeColor="text1"/>
        </w:rPr>
        <w:t xml:space="preserve"> savstarpējās (autovadītājs – velosipēdists) iecietības tr</w:t>
      </w:r>
      <w:r w:rsidR="004E3B50" w:rsidRPr="00D92834">
        <w:rPr>
          <w:color w:val="000000" w:themeColor="text1"/>
        </w:rPr>
        <w:t>ūkums.</w:t>
      </w:r>
    </w:p>
    <w:p w:rsidR="004E3B50" w:rsidRPr="00D92834" w:rsidRDefault="004667FB" w:rsidP="00D92834">
      <w:pPr>
        <w:pStyle w:val="NoSpacing"/>
        <w:numPr>
          <w:ilvl w:val="0"/>
          <w:numId w:val="40"/>
        </w:numPr>
        <w:jc w:val="both"/>
        <w:rPr>
          <w:color w:val="000000" w:themeColor="text1"/>
        </w:rPr>
      </w:pPr>
      <w:r>
        <w:rPr>
          <w:color w:val="000000" w:themeColor="text1"/>
        </w:rPr>
        <w:t xml:space="preserve">Nav izstrādāta vienota metodika bīstamo posmu un vietu </w:t>
      </w:r>
      <w:r w:rsidR="001F194E">
        <w:rPr>
          <w:color w:val="000000" w:themeColor="text1"/>
        </w:rPr>
        <w:t>(“m</w:t>
      </w:r>
      <w:r>
        <w:rPr>
          <w:color w:val="000000" w:themeColor="text1"/>
        </w:rPr>
        <w:t>elnie punkti”)</w:t>
      </w:r>
      <w:r w:rsidR="001F194E">
        <w:rPr>
          <w:color w:val="000000" w:themeColor="text1"/>
        </w:rPr>
        <w:t xml:space="preserve"> noteikšanai</w:t>
      </w:r>
      <w:r w:rsidR="00602FE9">
        <w:rPr>
          <w:color w:val="000000" w:themeColor="text1"/>
        </w:rPr>
        <w:t xml:space="preserve"> apdzīvotās vietās</w:t>
      </w:r>
      <w:r>
        <w:rPr>
          <w:color w:val="000000" w:themeColor="text1"/>
        </w:rPr>
        <w:t>.</w:t>
      </w:r>
    </w:p>
    <w:p w:rsidR="004E3B50" w:rsidRPr="00D92834" w:rsidRDefault="004E3B50" w:rsidP="00D92834">
      <w:pPr>
        <w:pStyle w:val="NoSpacing"/>
        <w:numPr>
          <w:ilvl w:val="0"/>
          <w:numId w:val="40"/>
        </w:numPr>
        <w:jc w:val="both"/>
        <w:rPr>
          <w:color w:val="000000" w:themeColor="text1"/>
        </w:rPr>
      </w:pPr>
      <w:r w:rsidRPr="00D92834">
        <w:rPr>
          <w:color w:val="000000" w:themeColor="text1"/>
        </w:rPr>
        <w:t>Atļautā braukšanas ātruma pārsniegšana – nepietiekošs</w:t>
      </w:r>
      <w:r w:rsidR="000E5481" w:rsidRPr="00D92834">
        <w:rPr>
          <w:color w:val="000000" w:themeColor="text1"/>
        </w:rPr>
        <w:t xml:space="preserve"> stacionāro</w:t>
      </w:r>
      <w:r w:rsidRPr="00D92834">
        <w:rPr>
          <w:color w:val="000000" w:themeColor="text1"/>
        </w:rPr>
        <w:t xml:space="preserve"> </w:t>
      </w:r>
      <w:proofErr w:type="spellStart"/>
      <w:r w:rsidRPr="00D92834">
        <w:rPr>
          <w:color w:val="000000" w:themeColor="text1"/>
        </w:rPr>
        <w:t>fotoradaru</w:t>
      </w:r>
      <w:proofErr w:type="spellEnd"/>
      <w:r w:rsidRPr="00D92834">
        <w:rPr>
          <w:color w:val="000000" w:themeColor="text1"/>
        </w:rPr>
        <w:t xml:space="preserve"> skaits, vidējā kustības ātruma radaru neesamība, </w:t>
      </w:r>
      <w:r w:rsidR="001F194E">
        <w:rPr>
          <w:color w:val="000000" w:themeColor="text1"/>
        </w:rPr>
        <w:t xml:space="preserve">nepietiekams </w:t>
      </w:r>
      <w:r w:rsidRPr="00D92834">
        <w:rPr>
          <w:color w:val="000000" w:themeColor="text1"/>
        </w:rPr>
        <w:t xml:space="preserve">VP pārvietojamo </w:t>
      </w:r>
      <w:proofErr w:type="spellStart"/>
      <w:r w:rsidRPr="00D92834">
        <w:rPr>
          <w:color w:val="000000" w:themeColor="text1"/>
        </w:rPr>
        <w:t>fotoradaru</w:t>
      </w:r>
      <w:proofErr w:type="spellEnd"/>
      <w:r w:rsidRPr="00D92834">
        <w:rPr>
          <w:color w:val="000000" w:themeColor="text1"/>
        </w:rPr>
        <w:t xml:space="preserve"> skaits.</w:t>
      </w:r>
    </w:p>
    <w:p w:rsidR="000E5481" w:rsidRPr="00D92834" w:rsidRDefault="000E5481" w:rsidP="00D92834">
      <w:pPr>
        <w:pStyle w:val="NoSpacing"/>
        <w:numPr>
          <w:ilvl w:val="0"/>
          <w:numId w:val="40"/>
        </w:numPr>
        <w:jc w:val="both"/>
        <w:rPr>
          <w:color w:val="000000" w:themeColor="text1"/>
        </w:rPr>
      </w:pPr>
      <w:r w:rsidRPr="00D92834">
        <w:rPr>
          <w:color w:val="000000" w:themeColor="text1"/>
        </w:rPr>
        <w:t>Zināšanu līmenis un attieksme pret CSN bērnu un jauniešu vidū – vienotu izglītības programmu trūkums, vecāku attieksme pret CSN, ignorējot tos.</w:t>
      </w:r>
    </w:p>
    <w:p w:rsidR="008A6F96" w:rsidRPr="004667FB" w:rsidRDefault="000E5481" w:rsidP="004667FB">
      <w:pPr>
        <w:pStyle w:val="NoSpacing"/>
        <w:numPr>
          <w:ilvl w:val="0"/>
          <w:numId w:val="40"/>
        </w:numPr>
        <w:jc w:val="both"/>
        <w:rPr>
          <w:color w:val="000000" w:themeColor="text1"/>
        </w:rPr>
      </w:pPr>
      <w:r w:rsidRPr="00D92834">
        <w:rPr>
          <w:color w:val="000000" w:themeColor="text1"/>
        </w:rPr>
        <w:t>TL vadīšana nogurumā un uzmanības novēršana no ceļa (</w:t>
      </w:r>
      <w:proofErr w:type="spellStart"/>
      <w:r w:rsidRPr="00D92834">
        <w:rPr>
          <w:color w:val="000000" w:themeColor="text1"/>
        </w:rPr>
        <w:t>viedierīces</w:t>
      </w:r>
      <w:proofErr w:type="spellEnd"/>
      <w:r w:rsidRPr="00D92834">
        <w:rPr>
          <w:color w:val="000000" w:themeColor="text1"/>
        </w:rPr>
        <w:t xml:space="preserve"> u.c.) – nepietiekoša </w:t>
      </w:r>
      <w:r w:rsidR="008A6F96" w:rsidRPr="00D92834">
        <w:rPr>
          <w:color w:val="000000" w:themeColor="text1"/>
        </w:rPr>
        <w:t xml:space="preserve">prasību ievērošanas </w:t>
      </w:r>
      <w:r w:rsidRPr="00D92834">
        <w:rPr>
          <w:color w:val="000000" w:themeColor="text1"/>
        </w:rPr>
        <w:t>kontrole, nepietiekošs sodu apmērs</w:t>
      </w:r>
      <w:r w:rsidR="008A6F96" w:rsidRPr="00D92834">
        <w:rPr>
          <w:color w:val="000000" w:themeColor="text1"/>
        </w:rPr>
        <w:t>.</w:t>
      </w:r>
    </w:p>
    <w:p w:rsidR="004E3B50" w:rsidRPr="003351E5" w:rsidRDefault="008A6F96" w:rsidP="00D92834">
      <w:pPr>
        <w:pStyle w:val="NoSpacing"/>
        <w:numPr>
          <w:ilvl w:val="0"/>
          <w:numId w:val="40"/>
        </w:numPr>
        <w:jc w:val="both"/>
        <w:rPr>
          <w:color w:val="000000" w:themeColor="text1"/>
        </w:rPr>
      </w:pPr>
      <w:r w:rsidRPr="00D92834">
        <w:rPr>
          <w:color w:val="000000" w:themeColor="text1"/>
        </w:rPr>
        <w:t xml:space="preserve">Nepietiekoša ceļa apzīmējumu, ceļa zīmju uztveramība </w:t>
      </w:r>
      <w:r w:rsidR="000E5481" w:rsidRPr="00D92834">
        <w:rPr>
          <w:color w:val="000000" w:themeColor="text1"/>
        </w:rPr>
        <w:t xml:space="preserve"> </w:t>
      </w:r>
      <w:r w:rsidRPr="00D92834">
        <w:rPr>
          <w:color w:val="000000" w:themeColor="text1"/>
        </w:rPr>
        <w:t xml:space="preserve">- daudzviet neesoši horizontālie ceļu </w:t>
      </w:r>
      <w:r w:rsidRPr="003351E5">
        <w:rPr>
          <w:color w:val="000000" w:themeColor="text1"/>
        </w:rPr>
        <w:t>apzīmējumi, horizontālo ceļa apzīmējumu nepietiekoša lietošana (kustības ātrums, joslas u.c.).</w:t>
      </w:r>
    </w:p>
    <w:p w:rsidR="008A6F96" w:rsidRPr="00602FE9" w:rsidRDefault="003B10BA" w:rsidP="00D92834">
      <w:pPr>
        <w:pStyle w:val="NoSpacing"/>
        <w:numPr>
          <w:ilvl w:val="0"/>
          <w:numId w:val="40"/>
        </w:numPr>
        <w:jc w:val="both"/>
        <w:rPr>
          <w:color w:val="000000" w:themeColor="text1"/>
        </w:rPr>
      </w:pPr>
      <w:r w:rsidRPr="003351E5">
        <w:rPr>
          <w:color w:val="000000" w:themeColor="text1"/>
        </w:rPr>
        <w:t>Drošība</w:t>
      </w:r>
      <w:r w:rsidR="008A6F96" w:rsidRPr="003351E5">
        <w:rPr>
          <w:color w:val="000000" w:themeColor="text1"/>
        </w:rPr>
        <w:t xml:space="preserve"> ceļu krustojumos</w:t>
      </w:r>
      <w:r w:rsidR="008A6F96" w:rsidRPr="00602FE9">
        <w:rPr>
          <w:color w:val="000000" w:themeColor="text1"/>
        </w:rPr>
        <w:t xml:space="preserve"> – rotācijas apļu neesamība, krustojumi neatbilstoši drošības prasībām, nav</w:t>
      </w:r>
      <w:r w:rsidR="0058195F" w:rsidRPr="00602FE9">
        <w:rPr>
          <w:color w:val="000000" w:themeColor="text1"/>
        </w:rPr>
        <w:t xml:space="preserve"> fiziski</w:t>
      </w:r>
      <w:r w:rsidR="008A6F96" w:rsidRPr="00602FE9">
        <w:rPr>
          <w:color w:val="000000" w:themeColor="text1"/>
        </w:rPr>
        <w:t xml:space="preserve"> ierobežots apdzīšanas manevrs.</w:t>
      </w:r>
    </w:p>
    <w:p w:rsidR="00A2467F" w:rsidRPr="00602FE9" w:rsidRDefault="008A6F96" w:rsidP="00D92834">
      <w:pPr>
        <w:pStyle w:val="NoSpacing"/>
        <w:numPr>
          <w:ilvl w:val="0"/>
          <w:numId w:val="40"/>
        </w:numPr>
        <w:jc w:val="both"/>
        <w:rPr>
          <w:color w:val="000000" w:themeColor="text1"/>
        </w:rPr>
      </w:pPr>
      <w:r w:rsidRPr="00602FE9">
        <w:rPr>
          <w:color w:val="000000" w:themeColor="text1"/>
        </w:rPr>
        <w:t>TL vadītāju attieksme pret ceļu satiksmes drošību – agresīva braukšana, savstarpējā neiecietība, drošības līdzekļu nelietošana (drošības jostas), TL neatbilstošs tehniskais stāvoklis (riepas, apgaismes ier</w:t>
      </w:r>
      <w:r w:rsidR="00B732BD" w:rsidRPr="00602FE9">
        <w:rPr>
          <w:color w:val="000000" w:themeColor="text1"/>
        </w:rPr>
        <w:t>īces u.c.).</w:t>
      </w:r>
    </w:p>
    <w:p w:rsidR="0058195F" w:rsidRPr="003351E5" w:rsidRDefault="0058195F" w:rsidP="00D92834">
      <w:pPr>
        <w:pStyle w:val="NoSpacing"/>
        <w:numPr>
          <w:ilvl w:val="0"/>
          <w:numId w:val="40"/>
        </w:numPr>
        <w:jc w:val="both"/>
        <w:rPr>
          <w:color w:val="000000" w:themeColor="text1"/>
        </w:rPr>
      </w:pPr>
      <w:r w:rsidRPr="00602FE9">
        <w:rPr>
          <w:color w:val="000000" w:themeColor="text1"/>
        </w:rPr>
        <w:t>automobiļu vidējais vecums (Latvijā 13gadi), kas ir lielāks 2 reizes nekā vidēji Eiropā – Eiropā 6-8 gadi (ražošanas brīdī a</w:t>
      </w:r>
      <w:r w:rsidRPr="003351E5">
        <w:rPr>
          <w:color w:val="000000" w:themeColor="text1"/>
        </w:rPr>
        <w:t>/m drošības aprīkojums, ekoloģija u.tml. ir mazākas nekā jaunākām a/m);</w:t>
      </w:r>
    </w:p>
    <w:p w:rsidR="0058195F" w:rsidRPr="00602FE9" w:rsidRDefault="0058195F" w:rsidP="00D92834">
      <w:pPr>
        <w:pStyle w:val="NoSpacing"/>
        <w:numPr>
          <w:ilvl w:val="0"/>
          <w:numId w:val="40"/>
        </w:numPr>
        <w:jc w:val="both"/>
        <w:rPr>
          <w:color w:val="000000" w:themeColor="text1"/>
        </w:rPr>
      </w:pPr>
      <w:r w:rsidRPr="003351E5">
        <w:rPr>
          <w:color w:val="000000" w:themeColor="text1"/>
        </w:rPr>
        <w:t>Sliktais autoparka tehniskais stāvoklis</w:t>
      </w:r>
      <w:r w:rsidR="001F4010" w:rsidRPr="003351E5">
        <w:rPr>
          <w:color w:val="000000" w:themeColor="text1"/>
        </w:rPr>
        <w:t xml:space="preserve"> -</w:t>
      </w:r>
      <w:r w:rsidRPr="003351E5">
        <w:rPr>
          <w:color w:val="000000" w:themeColor="text1"/>
        </w:rPr>
        <w:t xml:space="preserve"> 45% automobiļu</w:t>
      </w:r>
      <w:r w:rsidRPr="00602FE9">
        <w:rPr>
          <w:color w:val="000000" w:themeColor="text1"/>
        </w:rPr>
        <w:t xml:space="preserve"> tehnisko apskati neiziet ar pirmo reizi;</w:t>
      </w:r>
    </w:p>
    <w:p w:rsidR="004667FB" w:rsidRPr="00D81869" w:rsidRDefault="004667FB" w:rsidP="004667FB">
      <w:pPr>
        <w:pStyle w:val="NoSpacing"/>
        <w:jc w:val="both"/>
        <w:rPr>
          <w:b/>
          <w:sz w:val="28"/>
          <w:szCs w:val="28"/>
        </w:rPr>
      </w:pPr>
    </w:p>
    <w:p w:rsidR="00F77380" w:rsidRPr="00FE4F1C" w:rsidRDefault="00CD12A0" w:rsidP="00FE4F1C">
      <w:pPr>
        <w:pStyle w:val="Heading2"/>
      </w:pPr>
      <w:bookmarkStart w:id="35" w:name="_Toc457824715"/>
      <w:bookmarkStart w:id="36" w:name="_Toc457824869"/>
      <w:bookmarkStart w:id="37" w:name="_Toc457986547"/>
      <w:bookmarkStart w:id="38" w:name="_Toc457989653"/>
      <w:bookmarkStart w:id="39" w:name="_Toc477177763"/>
      <w:r>
        <w:t>1</w:t>
      </w:r>
      <w:r w:rsidR="00FE4F1C">
        <w:t xml:space="preserve">.5. </w:t>
      </w:r>
      <w:r w:rsidR="00DF2084" w:rsidRPr="00FE4F1C">
        <w:t>Tiešie darbības rezultāti un to novērtējums</w:t>
      </w:r>
      <w:bookmarkEnd w:id="35"/>
      <w:bookmarkEnd w:id="36"/>
      <w:bookmarkEnd w:id="37"/>
      <w:bookmarkEnd w:id="38"/>
      <w:bookmarkEnd w:id="39"/>
    </w:p>
    <w:p w:rsidR="00F77380" w:rsidRPr="00D81869" w:rsidRDefault="00F77380" w:rsidP="004667FB">
      <w:pPr>
        <w:pStyle w:val="NoSpacing"/>
        <w:jc w:val="both"/>
        <w:rPr>
          <w:rFonts w:cs="Times New Roman"/>
        </w:rPr>
      </w:pPr>
    </w:p>
    <w:p w:rsidR="00F77380" w:rsidRPr="00D81869" w:rsidRDefault="00D81869" w:rsidP="00A70D56">
      <w:pPr>
        <w:pStyle w:val="NoSpacing"/>
        <w:ind w:firstLine="426"/>
        <w:jc w:val="both"/>
        <w:rPr>
          <w:rFonts w:cs="Times New Roman"/>
        </w:rPr>
      </w:pPr>
      <w:r w:rsidRPr="00D81869">
        <w:rPr>
          <w:rFonts w:cs="Times New Roman"/>
        </w:rPr>
        <w:t>2020. gadā sasniedzamie tiešie darbības rezultāti definēti</w:t>
      </w:r>
      <w:r>
        <w:rPr>
          <w:rFonts w:cs="Times New Roman"/>
        </w:rPr>
        <w:t xml:space="preserve"> Ceļu satiksmes drošības plānā 2014.-2016.gadam</w:t>
      </w:r>
      <w:r w:rsidRPr="00D81869">
        <w:rPr>
          <w:rFonts w:cs="Times New Roman"/>
        </w:rPr>
        <w:t>, ņemot vērā Eiropas Komisij</w:t>
      </w:r>
      <w:r w:rsidR="00451B99">
        <w:rPr>
          <w:rFonts w:cs="Times New Roman"/>
        </w:rPr>
        <w:t>as izvirzīto mērķi – līdz 2020.g</w:t>
      </w:r>
      <w:r w:rsidRPr="00D81869">
        <w:rPr>
          <w:rFonts w:cs="Times New Roman"/>
        </w:rPr>
        <w:t xml:space="preserve">adam divkārt samazināt </w:t>
      </w:r>
      <w:proofErr w:type="spellStart"/>
      <w:r w:rsidR="00451B99">
        <w:rPr>
          <w:rFonts w:cs="Times New Roman"/>
        </w:rPr>
        <w:t>CSNg</w:t>
      </w:r>
      <w:proofErr w:type="spellEnd"/>
      <w:r w:rsidRPr="00D81869">
        <w:rPr>
          <w:rFonts w:cs="Times New Roman"/>
        </w:rPr>
        <w:t xml:space="preserve"> bojāgājušo un smagi ievainoto skaitu. Saskaņā ar Transporta attīstības pamatnostādnēm 2014.  – 2020. </w:t>
      </w:r>
      <w:r w:rsidR="00CC3ADF">
        <w:rPr>
          <w:rFonts w:cs="Times New Roman"/>
        </w:rPr>
        <w:t>g</w:t>
      </w:r>
      <w:r w:rsidR="001F194E">
        <w:rPr>
          <w:rFonts w:cs="Times New Roman"/>
        </w:rPr>
        <w:t>adam</w:t>
      </w:r>
      <w:r w:rsidRPr="00D81869">
        <w:rPr>
          <w:rFonts w:cs="Times New Roman"/>
        </w:rPr>
        <w:t xml:space="preserve"> bojāgāj</w:t>
      </w:r>
      <w:r w:rsidR="002C6A17">
        <w:rPr>
          <w:rFonts w:cs="Times New Roman"/>
        </w:rPr>
        <w:t>ušo skaits, salīdzinot ar 2010.g</w:t>
      </w:r>
      <w:r w:rsidRPr="00D81869">
        <w:rPr>
          <w:rFonts w:cs="Times New Roman"/>
        </w:rPr>
        <w:t>adu, jāsamazina par</w:t>
      </w:r>
      <w:r w:rsidR="002C6A17">
        <w:rPr>
          <w:rFonts w:cs="Times New Roman"/>
        </w:rPr>
        <w:t xml:space="preserve"> 50%. Tas nozīmē, ka līdz 2020.</w:t>
      </w:r>
      <w:r w:rsidR="00CC3ADF">
        <w:rPr>
          <w:rFonts w:cs="Times New Roman"/>
        </w:rPr>
        <w:t>g</w:t>
      </w:r>
      <w:r w:rsidRPr="00D81869">
        <w:rPr>
          <w:rFonts w:cs="Times New Roman"/>
        </w:rPr>
        <w:t xml:space="preserve">adam bojāgājušo skaitam </w:t>
      </w:r>
      <w:r w:rsidR="00451B99">
        <w:rPr>
          <w:rFonts w:cs="Times New Roman"/>
        </w:rPr>
        <w:t>ik gadu, salīdzinājumā ar 2010.g</w:t>
      </w:r>
      <w:r w:rsidRPr="00D81869">
        <w:rPr>
          <w:rFonts w:cs="Times New Roman"/>
        </w:rPr>
        <w:t xml:space="preserve">adu, jāsamazinās par  7 </w:t>
      </w:r>
      <w:r w:rsidR="00FE4F1C">
        <w:rPr>
          <w:rFonts w:cs="Times New Roman"/>
        </w:rPr>
        <w:t>–</w:t>
      </w:r>
      <w:r w:rsidRPr="00D81869">
        <w:rPr>
          <w:rFonts w:cs="Times New Roman"/>
        </w:rPr>
        <w:t xml:space="preserve"> 10%. Zinot gala mērķi, ar lineārās interpolācijas metodes palīdzību </w:t>
      </w:r>
      <w:r>
        <w:rPr>
          <w:rFonts w:cs="Times New Roman"/>
        </w:rPr>
        <w:t xml:space="preserve">tika </w:t>
      </w:r>
      <w:r w:rsidRPr="00D81869">
        <w:rPr>
          <w:rFonts w:cs="Times New Roman"/>
        </w:rPr>
        <w:t xml:space="preserve">plānots, par cik katru gadu vajadzētu samazināties bojāgājušo un cietušo skaitam, ņemot vērā Ceļu satiksmes drošības programmas 2007. </w:t>
      </w:r>
      <w:r w:rsidR="00FE4F1C">
        <w:rPr>
          <w:rFonts w:cs="Times New Roman"/>
        </w:rPr>
        <w:t>–</w:t>
      </w:r>
      <w:r w:rsidR="00451B99">
        <w:rPr>
          <w:rFonts w:cs="Times New Roman"/>
        </w:rPr>
        <w:t xml:space="preserve"> 2013.g</w:t>
      </w:r>
      <w:r w:rsidRPr="00D81869">
        <w:rPr>
          <w:rFonts w:cs="Times New Roman"/>
        </w:rPr>
        <w:t>adam izvirzītos sasniedzamos tiešos darbības rezultātus.</w:t>
      </w:r>
    </w:p>
    <w:p w:rsidR="00D470DA" w:rsidRDefault="00D470DA" w:rsidP="004667FB">
      <w:pPr>
        <w:pStyle w:val="NormalWeb"/>
        <w:spacing w:before="0" w:beforeAutospacing="0" w:after="0" w:afterAutospacing="0"/>
        <w:rPr>
          <w:rFonts w:asciiTheme="minorHAnsi" w:hAnsiTheme="minorHAnsi"/>
        </w:rPr>
        <w:sectPr w:rsidR="00D470DA" w:rsidSect="004C5A8F">
          <w:headerReference w:type="default" r:id="rId24"/>
          <w:footerReference w:type="default" r:id="rId25"/>
          <w:pgSz w:w="11906" w:h="16838"/>
          <w:pgMar w:top="142" w:right="849" w:bottom="284" w:left="993" w:header="426" w:footer="178" w:gutter="0"/>
          <w:cols w:space="708"/>
          <w:titlePg/>
          <w:docGrid w:linePitch="360"/>
        </w:sectPr>
      </w:pPr>
    </w:p>
    <w:p w:rsidR="001A1B49" w:rsidRPr="00D470DA" w:rsidRDefault="007F63D3" w:rsidP="00D470DA">
      <w:pPr>
        <w:tabs>
          <w:tab w:val="left" w:pos="1215"/>
        </w:tabs>
        <w:rPr>
          <w:lang w:eastAsia="lv-LV"/>
        </w:rPr>
        <w:sectPr w:rsidR="001A1B49" w:rsidRPr="00D470DA" w:rsidSect="007F63D3">
          <w:pgSz w:w="16838" w:h="11906" w:orient="landscape"/>
          <w:pgMar w:top="568" w:right="536" w:bottom="568" w:left="284" w:header="708" w:footer="708" w:gutter="0"/>
          <w:cols w:space="708"/>
          <w:titlePg/>
          <w:docGrid w:linePitch="360"/>
        </w:sectPr>
      </w:pPr>
      <w:r w:rsidRPr="007F63D3">
        <w:rPr>
          <w:noProof/>
          <w:lang w:eastAsia="lv-LV"/>
        </w:rPr>
        <w:lastRenderedPageBreak/>
        <w:drawing>
          <wp:inline distT="0" distB="0" distL="0" distR="0">
            <wp:extent cx="10171430" cy="659306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71430" cy="6593068"/>
                    </a:xfrm>
                    <a:prstGeom prst="rect">
                      <a:avLst/>
                    </a:prstGeom>
                    <a:noFill/>
                    <a:ln>
                      <a:noFill/>
                    </a:ln>
                  </pic:spPr>
                </pic:pic>
              </a:graphicData>
            </a:graphic>
          </wp:inline>
        </w:drawing>
      </w:r>
    </w:p>
    <w:p w:rsidR="00626110" w:rsidRPr="00FE4F1C" w:rsidRDefault="00E54951" w:rsidP="00CD12A0">
      <w:pPr>
        <w:pStyle w:val="Heading1"/>
        <w:numPr>
          <w:ilvl w:val="0"/>
          <w:numId w:val="33"/>
        </w:numPr>
      </w:pPr>
      <w:bookmarkStart w:id="40" w:name="_Toc457824716"/>
      <w:bookmarkStart w:id="41" w:name="_Toc457824870"/>
      <w:bookmarkStart w:id="42" w:name="_Toc457986548"/>
      <w:bookmarkStart w:id="43" w:name="_Toc457989654"/>
      <w:bookmarkStart w:id="44" w:name="_Toc477177764"/>
      <w:r w:rsidRPr="00FE4F1C">
        <w:lastRenderedPageBreak/>
        <w:t xml:space="preserve">Plāna mērķis un </w:t>
      </w:r>
      <w:bookmarkEnd w:id="40"/>
      <w:bookmarkEnd w:id="41"/>
      <w:bookmarkEnd w:id="42"/>
      <w:bookmarkEnd w:id="43"/>
      <w:r w:rsidR="00A5737B" w:rsidRPr="00FE4F1C">
        <w:t>rīcības virzieni</w:t>
      </w:r>
      <w:bookmarkEnd w:id="44"/>
    </w:p>
    <w:p w:rsidR="005867F1" w:rsidRPr="005867F1" w:rsidRDefault="00626110" w:rsidP="005867F1">
      <w:pPr>
        <w:pStyle w:val="NormalWeb"/>
        <w:ind w:firstLine="426"/>
        <w:rPr>
          <w:b/>
          <w:u w:val="single"/>
        </w:rPr>
      </w:pPr>
      <w:r w:rsidRPr="0067229D">
        <w:rPr>
          <w:b/>
          <w:u w:val="single"/>
        </w:rPr>
        <w:t>Mērķis:</w:t>
      </w:r>
      <w:r w:rsidR="007D09D1">
        <w:rPr>
          <w:b/>
          <w:u w:val="single"/>
        </w:rPr>
        <w:t xml:space="preserve"> 2020.gadā c</w:t>
      </w:r>
      <w:r w:rsidR="00A5737B">
        <w:rPr>
          <w:b/>
          <w:u w:val="single"/>
        </w:rPr>
        <w:t>eļu satiksmes negadījumos</w:t>
      </w:r>
      <w:r w:rsidRPr="0067229D">
        <w:rPr>
          <w:b/>
          <w:u w:val="single"/>
        </w:rPr>
        <w:t xml:space="preserve"> bojāgājušo un cietušo skaita samaz</w:t>
      </w:r>
      <w:r w:rsidR="005867F1">
        <w:rPr>
          <w:b/>
          <w:u w:val="single"/>
        </w:rPr>
        <w:t>inājums par 50%</w:t>
      </w:r>
      <w:r w:rsidR="00A5737B">
        <w:rPr>
          <w:b/>
          <w:u w:val="single"/>
        </w:rPr>
        <w:t>, salīdzinot ar</w:t>
      </w:r>
      <w:r w:rsidR="005867F1">
        <w:rPr>
          <w:b/>
          <w:u w:val="single"/>
        </w:rPr>
        <w:t xml:space="preserve"> 2010.gadu.</w:t>
      </w:r>
    </w:p>
    <w:p w:rsidR="00626110" w:rsidRPr="00150A31" w:rsidRDefault="009C4F11" w:rsidP="00626110">
      <w:pPr>
        <w:pStyle w:val="NormalWeb"/>
        <w:spacing w:before="0" w:beforeAutospacing="0" w:after="0" w:afterAutospacing="0"/>
        <w:ind w:firstLine="426"/>
        <w:jc w:val="both"/>
        <w:rPr>
          <w:b/>
          <w:i/>
        </w:rPr>
      </w:pPr>
      <w:r w:rsidRPr="00150A31">
        <w:t>Plāna rīcības virzienos tiek n</w:t>
      </w:r>
      <w:r w:rsidR="00626110" w:rsidRPr="00150A31">
        <w:t>oteikt</w:t>
      </w:r>
      <w:r w:rsidRPr="00150A31">
        <w:t>i</w:t>
      </w:r>
      <w:r w:rsidR="00626110" w:rsidRPr="00150A31">
        <w:t xml:space="preserve"> katras k</w:t>
      </w:r>
      <w:r w:rsidRPr="00150A31">
        <w:t>ompetentās institūcijas veicamie pasākumi</w:t>
      </w:r>
      <w:r w:rsidR="00626110" w:rsidRPr="00150A31">
        <w:t xml:space="preserve"> ceļu satiksmes drošības situācijas uzlabošanai.</w:t>
      </w:r>
    </w:p>
    <w:p w:rsidR="00626110" w:rsidRDefault="00626110" w:rsidP="001A1B49">
      <w:pPr>
        <w:pStyle w:val="NormalWeb"/>
        <w:spacing w:before="0" w:beforeAutospacing="0" w:after="0" w:afterAutospacing="0"/>
        <w:rPr>
          <w:rFonts w:asciiTheme="minorHAnsi" w:hAnsiTheme="minorHAnsi"/>
        </w:rPr>
      </w:pPr>
    </w:p>
    <w:p w:rsidR="001F00B1" w:rsidRDefault="00A5737B" w:rsidP="00A70D56">
      <w:pPr>
        <w:pStyle w:val="NoSpacing"/>
        <w:rPr>
          <w:rFonts w:cs="Times New Roman"/>
          <w:b/>
          <w:u w:val="single"/>
        </w:rPr>
      </w:pPr>
      <w:r>
        <w:rPr>
          <w:rFonts w:cs="Times New Roman"/>
          <w:b/>
          <w:u w:val="single"/>
        </w:rPr>
        <w:t>R</w:t>
      </w:r>
      <w:r w:rsidR="009C4F11">
        <w:rPr>
          <w:rFonts w:cs="Times New Roman"/>
          <w:b/>
          <w:u w:val="single"/>
        </w:rPr>
        <w:t>īcības virzieni:</w:t>
      </w:r>
    </w:p>
    <w:p w:rsidR="009C4F11" w:rsidRDefault="009C4F11" w:rsidP="00A70D56">
      <w:pPr>
        <w:pStyle w:val="NoSpacing"/>
        <w:rPr>
          <w:rFonts w:cs="Times New Roman"/>
          <w:b/>
          <w:u w:val="single"/>
        </w:rPr>
      </w:pPr>
    </w:p>
    <w:p w:rsidR="001C7831" w:rsidRDefault="001C7831" w:rsidP="00A70D56">
      <w:pPr>
        <w:pStyle w:val="NoSpacing"/>
        <w:rPr>
          <w:rFonts w:cs="Times New Roman"/>
          <w:b/>
          <w:u w:val="single"/>
        </w:rPr>
      </w:pPr>
    </w:p>
    <w:p w:rsidR="00E95BBF" w:rsidRDefault="00E95BBF" w:rsidP="00E95BBF">
      <w:pPr>
        <w:pStyle w:val="ListParagraph"/>
        <w:numPr>
          <w:ilvl w:val="2"/>
          <w:numId w:val="7"/>
        </w:numPr>
        <w:ind w:left="567" w:hanging="425"/>
      </w:pPr>
      <w:r w:rsidRPr="00E95BBF">
        <w:rPr>
          <w:rFonts w:cs="Times New Roman"/>
          <w:b/>
          <w:bCs/>
          <w:sz w:val="28"/>
          <w:szCs w:val="28"/>
          <w:u w:val="single"/>
        </w:rPr>
        <w:t>Preventīvie c</w:t>
      </w:r>
      <w:r w:rsidR="001F194E">
        <w:rPr>
          <w:rFonts w:cs="Times New Roman"/>
          <w:b/>
          <w:bCs/>
          <w:sz w:val="28"/>
          <w:szCs w:val="28"/>
          <w:u w:val="single"/>
        </w:rPr>
        <w:t>eļu satiksmes drošības pasākumi:</w:t>
      </w:r>
    </w:p>
    <w:p w:rsidR="002E1E44" w:rsidRPr="002E1E44" w:rsidRDefault="002E1E44" w:rsidP="002E1E44">
      <w:pPr>
        <w:pStyle w:val="ListParagraph"/>
        <w:numPr>
          <w:ilvl w:val="0"/>
          <w:numId w:val="46"/>
        </w:numPr>
        <w:rPr>
          <w:rFonts w:eastAsia="Times New Roman" w:cs="Times New Roman"/>
          <w:i/>
          <w:color w:val="000000"/>
          <w:lang w:eastAsia="lv-LV"/>
        </w:rPr>
      </w:pPr>
      <w:r w:rsidRPr="002E1E44">
        <w:rPr>
          <w:rFonts w:eastAsia="Times New Roman" w:cs="Times New Roman"/>
          <w:i/>
          <w:color w:val="000000"/>
          <w:lang w:eastAsia="lv-LV"/>
        </w:rPr>
        <w:t>Pētnieciskie pasākumi par</w:t>
      </w:r>
      <w:r w:rsidR="001F194E">
        <w:rPr>
          <w:rFonts w:eastAsia="Times New Roman" w:cs="Times New Roman"/>
          <w:i/>
          <w:color w:val="000000"/>
          <w:lang w:eastAsia="lv-LV"/>
        </w:rPr>
        <w:t xml:space="preserve"> ceļu satiksmes drošību Latvijā;</w:t>
      </w:r>
    </w:p>
    <w:p w:rsidR="002E1E44" w:rsidRPr="002E1E44" w:rsidRDefault="002E1E44" w:rsidP="002E1E44">
      <w:pPr>
        <w:pStyle w:val="ListParagraph"/>
        <w:numPr>
          <w:ilvl w:val="0"/>
          <w:numId w:val="46"/>
        </w:numPr>
        <w:rPr>
          <w:rFonts w:eastAsia="Times New Roman" w:cs="Times New Roman"/>
          <w:i/>
          <w:color w:val="000000"/>
          <w:lang w:eastAsia="lv-LV"/>
        </w:rPr>
      </w:pPr>
      <w:r w:rsidRPr="002E1E44">
        <w:rPr>
          <w:rFonts w:eastAsia="Times New Roman" w:cs="Times New Roman"/>
          <w:i/>
          <w:color w:val="000000"/>
          <w:lang w:eastAsia="lv-LV"/>
        </w:rPr>
        <w:t xml:space="preserve">Kopējā </w:t>
      </w:r>
      <w:r w:rsidR="005A6F6A">
        <w:rPr>
          <w:rFonts w:eastAsia="Times New Roman" w:cs="Times New Roman"/>
          <w:i/>
          <w:color w:val="000000"/>
          <w:lang w:eastAsia="lv-LV"/>
        </w:rPr>
        <w:t>TL</w:t>
      </w:r>
      <w:r w:rsidR="005A6F6A" w:rsidRPr="002E1E44">
        <w:rPr>
          <w:rFonts w:eastAsia="Times New Roman" w:cs="Times New Roman"/>
          <w:i/>
          <w:color w:val="000000"/>
          <w:lang w:eastAsia="lv-LV"/>
        </w:rPr>
        <w:t xml:space="preserve"> </w:t>
      </w:r>
      <w:r w:rsidR="001F194E">
        <w:rPr>
          <w:rFonts w:eastAsia="Times New Roman" w:cs="Times New Roman"/>
          <w:i/>
          <w:color w:val="000000"/>
          <w:lang w:eastAsia="lv-LV"/>
        </w:rPr>
        <w:t>tehniskā stāvokļa uzlabošana;</w:t>
      </w:r>
    </w:p>
    <w:p w:rsidR="002E1E44" w:rsidRPr="002E1E44" w:rsidRDefault="002E1E44" w:rsidP="002E1E44">
      <w:pPr>
        <w:pStyle w:val="ListParagraph"/>
        <w:numPr>
          <w:ilvl w:val="0"/>
          <w:numId w:val="46"/>
        </w:numPr>
        <w:rPr>
          <w:rFonts w:eastAsia="Times New Roman" w:cs="Times New Roman"/>
          <w:i/>
          <w:color w:val="000000"/>
          <w:lang w:eastAsia="lv-LV"/>
        </w:rPr>
      </w:pPr>
      <w:r w:rsidRPr="002E1E44">
        <w:rPr>
          <w:rFonts w:eastAsia="Times New Roman" w:cs="Times New Roman"/>
          <w:i/>
          <w:color w:val="000000"/>
          <w:lang w:eastAsia="lv-LV"/>
        </w:rPr>
        <w:t xml:space="preserve">Informācijas apmaiņas par </w:t>
      </w:r>
      <w:proofErr w:type="spellStart"/>
      <w:r w:rsidRPr="002E1E44">
        <w:rPr>
          <w:rFonts w:eastAsia="Times New Roman" w:cs="Times New Roman"/>
          <w:i/>
          <w:color w:val="000000"/>
          <w:lang w:eastAsia="lv-LV"/>
        </w:rPr>
        <w:t>CSNg</w:t>
      </w:r>
      <w:proofErr w:type="spellEnd"/>
      <w:r w:rsidRPr="002E1E44">
        <w:rPr>
          <w:rFonts w:eastAsia="Times New Roman" w:cs="Times New Roman"/>
          <w:i/>
          <w:color w:val="000000"/>
          <w:lang w:eastAsia="lv-LV"/>
        </w:rPr>
        <w:t xml:space="preserve"> </w:t>
      </w:r>
      <w:r w:rsidR="001F194E">
        <w:rPr>
          <w:rFonts w:eastAsia="Times New Roman" w:cs="Times New Roman"/>
          <w:i/>
          <w:color w:val="000000"/>
          <w:lang w:eastAsia="lv-LV"/>
        </w:rPr>
        <w:t>uzlabošana;</w:t>
      </w:r>
    </w:p>
    <w:p w:rsidR="002E1E44" w:rsidRPr="002E1E44" w:rsidRDefault="002E1E44" w:rsidP="002E1E44">
      <w:pPr>
        <w:pStyle w:val="ListParagraph"/>
        <w:numPr>
          <w:ilvl w:val="0"/>
          <w:numId w:val="46"/>
        </w:numPr>
        <w:rPr>
          <w:rFonts w:eastAsia="Times New Roman" w:cs="Times New Roman"/>
          <w:i/>
          <w:color w:val="000000"/>
          <w:lang w:eastAsia="lv-LV"/>
        </w:rPr>
      </w:pPr>
      <w:r w:rsidRPr="002E1E44">
        <w:rPr>
          <w:rFonts w:eastAsia="Times New Roman" w:cs="Times New Roman"/>
          <w:i/>
          <w:color w:val="000000"/>
          <w:lang w:eastAsia="lv-LV"/>
        </w:rPr>
        <w:t>Preventīvie pasākumi ceļu</w:t>
      </w:r>
      <w:r w:rsidR="001F194E">
        <w:rPr>
          <w:rFonts w:eastAsia="Times New Roman" w:cs="Times New Roman"/>
          <w:i/>
          <w:color w:val="000000"/>
          <w:lang w:eastAsia="lv-LV"/>
        </w:rPr>
        <w:t xml:space="preserve"> satiksmes dalībnieku kontrolei;</w:t>
      </w:r>
    </w:p>
    <w:p w:rsidR="002E1E44" w:rsidRPr="002E1E44" w:rsidRDefault="002E1E44" w:rsidP="002E1E44">
      <w:pPr>
        <w:pStyle w:val="ListParagraph"/>
        <w:numPr>
          <w:ilvl w:val="0"/>
          <w:numId w:val="46"/>
        </w:numPr>
        <w:rPr>
          <w:rFonts w:eastAsia="Times New Roman" w:cs="Times New Roman"/>
          <w:i/>
          <w:color w:val="000000"/>
          <w:lang w:eastAsia="lv-LV"/>
        </w:rPr>
      </w:pPr>
      <w:r w:rsidRPr="002E1E44">
        <w:rPr>
          <w:rFonts w:eastAsia="Times New Roman" w:cs="Times New Roman"/>
          <w:i/>
          <w:color w:val="000000"/>
          <w:lang w:eastAsia="lv-LV"/>
        </w:rPr>
        <w:t>Grozījumi normatīvajos aktos, lai no</w:t>
      </w:r>
      <w:r w:rsidR="001F194E">
        <w:rPr>
          <w:rFonts w:eastAsia="Times New Roman" w:cs="Times New Roman"/>
          <w:i/>
          <w:color w:val="000000"/>
          <w:lang w:eastAsia="lv-LV"/>
        </w:rPr>
        <w:t>vērstu pārkāpumus ceļu satiksmē;</w:t>
      </w:r>
    </w:p>
    <w:p w:rsidR="001C7831" w:rsidRDefault="002E1E44" w:rsidP="002E1E44">
      <w:pPr>
        <w:pStyle w:val="ListParagraph"/>
        <w:numPr>
          <w:ilvl w:val="0"/>
          <w:numId w:val="46"/>
        </w:numPr>
        <w:rPr>
          <w:rFonts w:eastAsia="Times New Roman" w:cs="Times New Roman"/>
          <w:i/>
          <w:color w:val="000000"/>
          <w:lang w:eastAsia="lv-LV"/>
        </w:rPr>
      </w:pPr>
      <w:r w:rsidRPr="002E1E44">
        <w:rPr>
          <w:rFonts w:eastAsia="Times New Roman" w:cs="Times New Roman"/>
          <w:i/>
          <w:color w:val="000000"/>
          <w:lang w:eastAsia="lv-LV"/>
        </w:rPr>
        <w:t xml:space="preserve">Grozījumi normatīvajos aktos, lai pilnveidotu </w:t>
      </w:r>
      <w:r w:rsidR="005A6F6A">
        <w:rPr>
          <w:rFonts w:eastAsia="Times New Roman" w:cs="Times New Roman"/>
          <w:i/>
          <w:color w:val="000000"/>
          <w:lang w:eastAsia="lv-LV"/>
        </w:rPr>
        <w:t>TL</w:t>
      </w:r>
      <w:r w:rsidR="005A6F6A" w:rsidRPr="002E1E44">
        <w:rPr>
          <w:rFonts w:eastAsia="Times New Roman" w:cs="Times New Roman"/>
          <w:i/>
          <w:color w:val="000000"/>
          <w:lang w:eastAsia="lv-LV"/>
        </w:rPr>
        <w:t xml:space="preserve"> </w:t>
      </w:r>
      <w:r w:rsidRPr="002E1E44">
        <w:rPr>
          <w:rFonts w:eastAsia="Times New Roman" w:cs="Times New Roman"/>
          <w:i/>
          <w:color w:val="000000"/>
          <w:lang w:eastAsia="lv-LV"/>
        </w:rPr>
        <w:t>vadītāju veselības pārbaužu kārtību.</w:t>
      </w:r>
    </w:p>
    <w:p w:rsidR="001C7831" w:rsidRPr="001C7831" w:rsidRDefault="001C7831" w:rsidP="001C7831">
      <w:pPr>
        <w:pStyle w:val="ListParagraph"/>
        <w:ind w:left="426"/>
        <w:rPr>
          <w:rFonts w:eastAsia="Times New Roman" w:cs="Times New Roman"/>
          <w:i/>
          <w:color w:val="000000"/>
          <w:lang w:eastAsia="lv-LV"/>
        </w:rPr>
      </w:pPr>
    </w:p>
    <w:p w:rsidR="00E95BBF" w:rsidRPr="002E1E44" w:rsidRDefault="00E95BBF" w:rsidP="00E95BBF">
      <w:pPr>
        <w:pStyle w:val="ListParagraph"/>
        <w:numPr>
          <w:ilvl w:val="2"/>
          <w:numId w:val="7"/>
        </w:numPr>
        <w:ind w:left="426"/>
      </w:pPr>
      <w:r w:rsidRPr="00E95BBF">
        <w:rPr>
          <w:b/>
          <w:sz w:val="28"/>
          <w:szCs w:val="28"/>
          <w:u w:val="single"/>
        </w:rPr>
        <w:t>Satiksmes dalībnieku izglītoša</w:t>
      </w:r>
      <w:r w:rsidR="001F194E">
        <w:rPr>
          <w:b/>
          <w:sz w:val="28"/>
          <w:szCs w:val="28"/>
          <w:u w:val="single"/>
        </w:rPr>
        <w:t>na un informēšana:</w:t>
      </w:r>
    </w:p>
    <w:p w:rsidR="002E1E44" w:rsidRPr="002E1E44" w:rsidRDefault="002E1E44" w:rsidP="002E1E44">
      <w:pPr>
        <w:pStyle w:val="ListParagraph"/>
        <w:numPr>
          <w:ilvl w:val="0"/>
          <w:numId w:val="47"/>
        </w:numPr>
        <w:rPr>
          <w:i/>
        </w:rPr>
      </w:pPr>
      <w:r w:rsidRPr="002E1E44">
        <w:rPr>
          <w:i/>
        </w:rPr>
        <w:t>Satiksmes dalībnieku izglītošanas pasākumi</w:t>
      </w:r>
      <w:r w:rsidR="001F194E">
        <w:rPr>
          <w:i/>
        </w:rPr>
        <w:t>;</w:t>
      </w:r>
    </w:p>
    <w:p w:rsidR="002E1E44" w:rsidRPr="002E1E44" w:rsidRDefault="002E1E44" w:rsidP="002E1E44">
      <w:pPr>
        <w:pStyle w:val="ListParagraph"/>
        <w:numPr>
          <w:ilvl w:val="0"/>
          <w:numId w:val="47"/>
        </w:numPr>
        <w:rPr>
          <w:i/>
        </w:rPr>
      </w:pPr>
      <w:r w:rsidRPr="002E1E44">
        <w:rPr>
          <w:i/>
        </w:rPr>
        <w:t>Informatīvās kampaņas par ceļu satiksmes drošību.</w:t>
      </w:r>
    </w:p>
    <w:p w:rsidR="009C4F11" w:rsidRDefault="009C4F11" w:rsidP="00A70D56">
      <w:pPr>
        <w:pStyle w:val="NoSpacing"/>
        <w:rPr>
          <w:rFonts w:cs="Times New Roman"/>
        </w:rPr>
      </w:pPr>
    </w:p>
    <w:p w:rsidR="00405886" w:rsidRDefault="00405886" w:rsidP="00405886">
      <w:pPr>
        <w:pStyle w:val="ListParagraph"/>
        <w:numPr>
          <w:ilvl w:val="2"/>
          <w:numId w:val="7"/>
        </w:numPr>
        <w:ind w:left="426"/>
        <w:jc w:val="both"/>
        <w:rPr>
          <w:b/>
          <w:sz w:val="28"/>
          <w:szCs w:val="28"/>
          <w:u w:val="single"/>
        </w:rPr>
      </w:pPr>
      <w:r w:rsidRPr="00405886">
        <w:rPr>
          <w:b/>
          <w:sz w:val="28"/>
          <w:szCs w:val="28"/>
          <w:u w:val="single"/>
        </w:rPr>
        <w:t>Satiksmes drošības risinājumu i</w:t>
      </w:r>
      <w:r w:rsidR="001F194E">
        <w:rPr>
          <w:b/>
          <w:sz w:val="28"/>
          <w:szCs w:val="28"/>
          <w:u w:val="single"/>
        </w:rPr>
        <w:t>eviešana autoceļu un ielu tīklā:</w:t>
      </w:r>
    </w:p>
    <w:p w:rsidR="002E1E44" w:rsidRPr="002E1E44" w:rsidRDefault="002E1E44" w:rsidP="002E1E44">
      <w:pPr>
        <w:pStyle w:val="ListParagraph"/>
        <w:numPr>
          <w:ilvl w:val="0"/>
          <w:numId w:val="48"/>
        </w:numPr>
        <w:jc w:val="both"/>
        <w:rPr>
          <w:i/>
        </w:rPr>
      </w:pPr>
      <w:r w:rsidRPr="002E1E44">
        <w:rPr>
          <w:i/>
        </w:rPr>
        <w:t>Valsts auto</w:t>
      </w:r>
      <w:r w:rsidR="001F194E">
        <w:rPr>
          <w:i/>
        </w:rPr>
        <w:t>ceļu infrastruktūras uzlabošana;</w:t>
      </w:r>
    </w:p>
    <w:p w:rsidR="002E1E44" w:rsidRPr="002E1E44" w:rsidRDefault="002E1E44" w:rsidP="002E1E44">
      <w:pPr>
        <w:pStyle w:val="ListParagraph"/>
        <w:numPr>
          <w:ilvl w:val="0"/>
          <w:numId w:val="48"/>
        </w:numPr>
        <w:jc w:val="both"/>
        <w:rPr>
          <w:i/>
        </w:rPr>
      </w:pPr>
      <w:proofErr w:type="spellStart"/>
      <w:r w:rsidRPr="002E1E44">
        <w:rPr>
          <w:i/>
        </w:rPr>
        <w:t>Veloinfrastruktūras</w:t>
      </w:r>
      <w:proofErr w:type="spellEnd"/>
      <w:r w:rsidRPr="002E1E44">
        <w:rPr>
          <w:i/>
        </w:rPr>
        <w:t xml:space="preserve"> un gājēju infrastruktūras uzlabošanas pasākumi</w:t>
      </w:r>
      <w:r w:rsidR="001F194E">
        <w:rPr>
          <w:i/>
        </w:rPr>
        <w:t>;</w:t>
      </w:r>
    </w:p>
    <w:p w:rsidR="002E1E44" w:rsidRPr="002E1E44" w:rsidRDefault="002E1E44" w:rsidP="002E1E44">
      <w:pPr>
        <w:pStyle w:val="ListParagraph"/>
        <w:numPr>
          <w:ilvl w:val="0"/>
          <w:numId w:val="48"/>
        </w:numPr>
        <w:jc w:val="both"/>
        <w:rPr>
          <w:i/>
        </w:rPr>
      </w:pPr>
      <w:r w:rsidRPr="002E1E44">
        <w:rPr>
          <w:i/>
        </w:rPr>
        <w:t>Pilsētu un pašvaldības autoceļu infrastruktūras uzlabošana.</w:t>
      </w:r>
    </w:p>
    <w:p w:rsidR="00405886" w:rsidRDefault="00405886" w:rsidP="00405886"/>
    <w:p w:rsidR="001C7831" w:rsidRPr="00405886" w:rsidRDefault="001C7831" w:rsidP="00405886"/>
    <w:p w:rsidR="009451F5" w:rsidRDefault="009451F5" w:rsidP="009451F5">
      <w:pPr>
        <w:pStyle w:val="ListParagraph"/>
        <w:numPr>
          <w:ilvl w:val="2"/>
          <w:numId w:val="7"/>
        </w:numPr>
        <w:ind w:left="426"/>
      </w:pPr>
      <w:r w:rsidRPr="009451F5">
        <w:rPr>
          <w:rFonts w:cs="Times New Roman"/>
          <w:b/>
          <w:sz w:val="28"/>
          <w:szCs w:val="28"/>
          <w:u w:val="single"/>
        </w:rPr>
        <w:t xml:space="preserve">Reaģēšana uz ceļu satiksmes negadījumiem un </w:t>
      </w:r>
      <w:r w:rsidR="001F194E">
        <w:rPr>
          <w:rFonts w:cs="Times New Roman"/>
          <w:b/>
          <w:sz w:val="28"/>
          <w:szCs w:val="28"/>
          <w:u w:val="single"/>
        </w:rPr>
        <w:t>to seku mazināšana un novēršana:</w:t>
      </w:r>
    </w:p>
    <w:p w:rsidR="002E1E44" w:rsidRPr="002E1E44" w:rsidRDefault="002E1E44" w:rsidP="00B91A9F">
      <w:pPr>
        <w:pStyle w:val="NoSpacing"/>
        <w:numPr>
          <w:ilvl w:val="0"/>
          <w:numId w:val="49"/>
        </w:numPr>
        <w:ind w:left="1134" w:hanging="283"/>
        <w:rPr>
          <w:rFonts w:cs="Times New Roman"/>
          <w:i/>
        </w:rPr>
      </w:pPr>
      <w:r w:rsidRPr="002E1E44">
        <w:rPr>
          <w:rFonts w:cs="Times New Roman"/>
          <w:i/>
        </w:rPr>
        <w:t>Glābšanas dienestu nodrošinā</w:t>
      </w:r>
      <w:r w:rsidR="001F194E">
        <w:rPr>
          <w:rFonts w:cs="Times New Roman"/>
          <w:i/>
        </w:rPr>
        <w:t>šana ar nepieciešamo aprīkojumu;</w:t>
      </w:r>
    </w:p>
    <w:p w:rsidR="002E1E44" w:rsidRPr="002E1E44" w:rsidRDefault="002E1E44" w:rsidP="00B91A9F">
      <w:pPr>
        <w:pStyle w:val="NoSpacing"/>
        <w:numPr>
          <w:ilvl w:val="0"/>
          <w:numId w:val="49"/>
        </w:numPr>
        <w:ind w:left="1134" w:hanging="283"/>
        <w:rPr>
          <w:rFonts w:cs="Times New Roman"/>
          <w:i/>
        </w:rPr>
      </w:pPr>
      <w:r w:rsidRPr="002E1E44">
        <w:rPr>
          <w:rFonts w:cs="Times New Roman"/>
          <w:i/>
        </w:rPr>
        <w:t>Informācijas izziņošanas</w:t>
      </w:r>
      <w:r w:rsidR="001F194E">
        <w:rPr>
          <w:rFonts w:cs="Times New Roman"/>
          <w:i/>
        </w:rPr>
        <w:t xml:space="preserve"> sistēmas par </w:t>
      </w:r>
      <w:proofErr w:type="spellStart"/>
      <w:r w:rsidR="001F194E">
        <w:rPr>
          <w:rFonts w:cs="Times New Roman"/>
          <w:i/>
        </w:rPr>
        <w:t>CSNg</w:t>
      </w:r>
      <w:proofErr w:type="spellEnd"/>
      <w:r w:rsidR="001F194E">
        <w:rPr>
          <w:rFonts w:cs="Times New Roman"/>
          <w:i/>
        </w:rPr>
        <w:t xml:space="preserve"> uzlabošana;</w:t>
      </w:r>
    </w:p>
    <w:p w:rsidR="00E95BBF" w:rsidRPr="002E1E44" w:rsidRDefault="002E1E44" w:rsidP="00B91A9F">
      <w:pPr>
        <w:pStyle w:val="NoSpacing"/>
        <w:numPr>
          <w:ilvl w:val="0"/>
          <w:numId w:val="49"/>
        </w:numPr>
        <w:ind w:left="1134" w:hanging="283"/>
        <w:rPr>
          <w:rFonts w:cs="Times New Roman"/>
          <w:i/>
        </w:rPr>
      </w:pPr>
      <w:r w:rsidRPr="002E1E44">
        <w:rPr>
          <w:rFonts w:cs="Times New Roman"/>
          <w:i/>
        </w:rPr>
        <w:t>Zaudējumu noregulēšanas procesa uzlabošana</w:t>
      </w:r>
      <w:r w:rsidR="00B91A9F">
        <w:rPr>
          <w:rFonts w:cs="Times New Roman"/>
          <w:i/>
        </w:rPr>
        <w:t>.</w:t>
      </w:r>
    </w:p>
    <w:p w:rsidR="00DC57D4" w:rsidRDefault="00DC57D4" w:rsidP="00A70D56">
      <w:pPr>
        <w:pStyle w:val="NoSpacing"/>
        <w:rPr>
          <w:rFonts w:asciiTheme="minorHAnsi" w:hAnsiTheme="minorHAnsi"/>
          <w:b/>
          <w:u w:val="single"/>
        </w:rPr>
        <w:sectPr w:rsidR="00DC57D4" w:rsidSect="004C5A8F">
          <w:pgSz w:w="11906" w:h="16838"/>
          <w:pgMar w:top="851" w:right="849" w:bottom="284" w:left="993" w:header="708" w:footer="178" w:gutter="0"/>
          <w:cols w:space="708"/>
          <w:titlePg/>
          <w:docGrid w:linePitch="360"/>
        </w:sectPr>
      </w:pPr>
    </w:p>
    <w:p w:rsidR="00E95BBF" w:rsidRPr="001F00B1" w:rsidRDefault="00E95BBF" w:rsidP="00A70D56">
      <w:pPr>
        <w:pStyle w:val="NoSpacing"/>
        <w:rPr>
          <w:rFonts w:asciiTheme="minorHAnsi" w:hAnsiTheme="minorHAnsi"/>
          <w:b/>
          <w:u w:val="single"/>
        </w:rPr>
      </w:pPr>
    </w:p>
    <w:p w:rsidR="00E528F8" w:rsidRPr="00FE4F1C" w:rsidRDefault="0048441F" w:rsidP="00FE4F1C">
      <w:pPr>
        <w:pStyle w:val="Heading1"/>
        <w:numPr>
          <w:ilvl w:val="0"/>
          <w:numId w:val="35"/>
        </w:numPr>
      </w:pPr>
      <w:bookmarkStart w:id="45" w:name="_Toc457824717"/>
      <w:bookmarkStart w:id="46" w:name="_Toc457824871"/>
      <w:bookmarkStart w:id="47" w:name="_Toc457986549"/>
      <w:bookmarkStart w:id="48" w:name="_Toc477177765"/>
      <w:r w:rsidRPr="00FE4F1C">
        <w:t>R</w:t>
      </w:r>
      <w:r w:rsidR="00CD12A0">
        <w:t>īcības virzienu apraksts</w:t>
      </w:r>
      <w:bookmarkEnd w:id="45"/>
      <w:bookmarkEnd w:id="46"/>
      <w:bookmarkEnd w:id="47"/>
      <w:bookmarkEnd w:id="48"/>
    </w:p>
    <w:p w:rsidR="009A2B91" w:rsidRPr="00056F91" w:rsidRDefault="009A2B91" w:rsidP="00A70D56">
      <w:pPr>
        <w:pStyle w:val="ListParagraph"/>
        <w:ind w:firstLine="426"/>
        <w:rPr>
          <w:rFonts w:cs="Times New Roman"/>
          <w:b/>
          <w:sz w:val="28"/>
          <w:szCs w:val="28"/>
          <w:u w:val="single"/>
        </w:rPr>
      </w:pPr>
    </w:p>
    <w:p w:rsidR="00AA2DF5" w:rsidRPr="0006712D" w:rsidRDefault="00CD12A0" w:rsidP="0006712D">
      <w:pPr>
        <w:pStyle w:val="Heading2"/>
        <w:ind w:left="284"/>
      </w:pPr>
      <w:bookmarkStart w:id="49" w:name="_Toc477177766"/>
      <w:r>
        <w:t>3</w:t>
      </w:r>
      <w:r w:rsidR="00AA2DF5" w:rsidRPr="00FE4F1C">
        <w:t xml:space="preserve">.1.  </w:t>
      </w:r>
      <w:r w:rsidR="00174C24" w:rsidRPr="00FE4F1C">
        <w:rPr>
          <w:rStyle w:val="Heading2Char"/>
          <w:b/>
        </w:rPr>
        <w:t>Preventīvie ceļu satiksmes drošības pasākumi</w:t>
      </w:r>
      <w:r w:rsidR="005867F1" w:rsidRPr="00FE4F1C">
        <w:rPr>
          <w:rStyle w:val="Heading2Char"/>
          <w:b/>
        </w:rPr>
        <w:t>.</w:t>
      </w:r>
      <w:bookmarkEnd w:id="49"/>
    </w:p>
    <w:p w:rsidR="00AA2DF5" w:rsidRDefault="00AA2DF5" w:rsidP="00A70D56">
      <w:pPr>
        <w:ind w:firstLine="426"/>
        <w:jc w:val="both"/>
        <w:rPr>
          <w:rFonts w:eastAsia="Calibri" w:cs="Times New Roman"/>
        </w:rPr>
      </w:pPr>
      <w:r>
        <w:rPr>
          <w:rFonts w:eastAsia="Calibri" w:cs="Times New Roman"/>
        </w:rPr>
        <w:t xml:space="preserve">  </w:t>
      </w:r>
    </w:p>
    <w:p w:rsidR="00B65DF9" w:rsidRPr="00B65DF9" w:rsidRDefault="00B65DF9" w:rsidP="00B65DF9">
      <w:pPr>
        <w:ind w:firstLine="426"/>
        <w:jc w:val="both"/>
        <w:rPr>
          <w:rFonts w:eastAsia="Calibri" w:cs="Times New Roman"/>
          <w:b/>
        </w:rPr>
      </w:pPr>
      <w:r w:rsidRPr="00B65DF9">
        <w:rPr>
          <w:rFonts w:eastAsia="Calibri" w:cs="Times New Roman"/>
          <w:b/>
        </w:rPr>
        <w:t>6.</w:t>
      </w:r>
      <w:r>
        <w:rPr>
          <w:rFonts w:eastAsia="Calibri" w:cs="Times New Roman"/>
          <w:b/>
        </w:rPr>
        <w:t xml:space="preserve"> T</w:t>
      </w:r>
      <w:r w:rsidRPr="00B65DF9">
        <w:rPr>
          <w:rFonts w:eastAsia="Calibri" w:cs="Times New Roman"/>
          <w:b/>
        </w:rPr>
        <w:t>abula. Plānā iekļautie rīcības virzieni un pas</w:t>
      </w:r>
      <w:r>
        <w:rPr>
          <w:rFonts w:eastAsia="Calibri" w:cs="Times New Roman"/>
          <w:b/>
        </w:rPr>
        <w:t>ākumi.</w:t>
      </w:r>
    </w:p>
    <w:tbl>
      <w:tblPr>
        <w:tblStyle w:val="PlainTable11"/>
        <w:tblW w:w="15861"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gridCol w:w="3275"/>
        <w:gridCol w:w="2977"/>
        <w:gridCol w:w="2678"/>
        <w:gridCol w:w="1134"/>
        <w:gridCol w:w="1418"/>
        <w:gridCol w:w="1559"/>
        <w:gridCol w:w="2126"/>
      </w:tblGrid>
      <w:tr w:rsidR="00E53821" w:rsidTr="00DC57D4">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969" w:type="dxa"/>
            <w:gridSpan w:val="2"/>
            <w:shd w:val="clear" w:color="auto" w:fill="D9D9D9" w:themeFill="background1" w:themeFillShade="D9"/>
            <w:hideMark/>
          </w:tcPr>
          <w:p w:rsidR="00E53821" w:rsidRPr="00E53821" w:rsidRDefault="00E53821" w:rsidP="00A70D56">
            <w:pPr>
              <w:rPr>
                <w:rFonts w:eastAsia="Times New Roman" w:cs="Times New Roman"/>
                <w:color w:val="000000" w:themeColor="text1"/>
                <w:sz w:val="20"/>
                <w:szCs w:val="20"/>
                <w:lang w:eastAsia="lv-LV"/>
              </w:rPr>
            </w:pPr>
            <w:r w:rsidRPr="00E53821">
              <w:rPr>
                <w:rFonts w:eastAsia="Times New Roman" w:cs="Times New Roman"/>
                <w:b w:val="0"/>
                <w:bCs w:val="0"/>
                <w:color w:val="000000" w:themeColor="text1"/>
                <w:kern w:val="24"/>
                <w:sz w:val="20"/>
                <w:szCs w:val="20"/>
                <w:lang w:eastAsia="lv-LV"/>
              </w:rPr>
              <w:t>Politikas rezultāti un rezultatīvie rādītāji</w:t>
            </w:r>
          </w:p>
        </w:tc>
        <w:tc>
          <w:tcPr>
            <w:tcW w:w="11892" w:type="dxa"/>
            <w:gridSpan w:val="6"/>
            <w:shd w:val="clear" w:color="auto" w:fill="D9D9D9" w:themeFill="background1" w:themeFillShade="D9"/>
            <w:hideMark/>
          </w:tcPr>
          <w:p w:rsidR="00E53821" w:rsidRPr="00E53821" w:rsidRDefault="007D09D1" w:rsidP="00A70D56">
            <w:pPr>
              <w:cnfStyle w:val="100000000000" w:firstRow="1" w:lastRow="0" w:firstColumn="0" w:lastColumn="0" w:oddVBand="0" w:evenVBand="0" w:oddHBand="0" w:evenHBand="0" w:firstRowFirstColumn="0" w:firstRowLastColumn="0" w:lastRowFirstColumn="0" w:lastRowLastColumn="0"/>
              <w:rPr>
                <w:rFonts w:eastAsia="Times New Roman" w:cs="Times New Roman"/>
                <w:i/>
                <w:color w:val="000000" w:themeColor="text1"/>
                <w:sz w:val="20"/>
                <w:szCs w:val="20"/>
                <w:lang w:eastAsia="lv-LV"/>
              </w:rPr>
            </w:pPr>
            <w:r>
              <w:rPr>
                <w:rFonts w:eastAsia="Times New Roman" w:cs="Times New Roman"/>
                <w:i/>
                <w:color w:val="000000" w:themeColor="text1"/>
                <w:sz w:val="20"/>
                <w:szCs w:val="20"/>
                <w:lang w:eastAsia="lv-LV"/>
              </w:rPr>
              <w:t>Uzlabota ceļu satiksmes drošība, 2020.gadā panākot ceļu satiksmes negadījumos bojāgājušo un cietušo skaita samazinājumu 50% apmērā, salīdzinot ar 2010.gadu.</w:t>
            </w:r>
          </w:p>
        </w:tc>
      </w:tr>
      <w:tr w:rsidR="00E53821" w:rsidTr="00DC57D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69" w:type="dxa"/>
            <w:gridSpan w:val="2"/>
            <w:shd w:val="clear" w:color="auto" w:fill="D9D9D9" w:themeFill="background1" w:themeFillShade="D9"/>
            <w:hideMark/>
          </w:tcPr>
          <w:p w:rsidR="00E53821" w:rsidRPr="00E53821" w:rsidRDefault="00E53821" w:rsidP="00A70D56">
            <w:pPr>
              <w:rPr>
                <w:rFonts w:eastAsia="Times New Roman" w:cs="Times New Roman"/>
                <w:color w:val="000000" w:themeColor="text1"/>
                <w:sz w:val="20"/>
                <w:szCs w:val="20"/>
                <w:u w:val="single"/>
                <w:lang w:eastAsia="lv-LV"/>
              </w:rPr>
            </w:pPr>
            <w:r w:rsidRPr="00E53821">
              <w:rPr>
                <w:rFonts w:eastAsia="Times New Roman" w:cs="Times New Roman"/>
                <w:b w:val="0"/>
                <w:bCs w:val="0"/>
                <w:color w:val="000000" w:themeColor="text1"/>
                <w:kern w:val="24"/>
                <w:sz w:val="20"/>
                <w:szCs w:val="20"/>
                <w:u w:val="single"/>
                <w:lang w:eastAsia="lv-LV"/>
              </w:rPr>
              <w:t>Rīcības virziens</w:t>
            </w:r>
          </w:p>
        </w:tc>
        <w:tc>
          <w:tcPr>
            <w:tcW w:w="11892" w:type="dxa"/>
            <w:gridSpan w:val="6"/>
            <w:shd w:val="clear" w:color="auto" w:fill="D9D9D9" w:themeFill="background1" w:themeFillShade="D9"/>
            <w:hideMark/>
          </w:tcPr>
          <w:p w:rsidR="00E53821" w:rsidRPr="00174C24" w:rsidRDefault="002E7A79" w:rsidP="002E7A79">
            <w:pP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u w:val="single"/>
              </w:rPr>
            </w:pPr>
            <w:r>
              <w:rPr>
                <w:rFonts w:cs="Times New Roman"/>
                <w:b/>
                <w:bCs/>
                <w:color w:val="000000" w:themeColor="text1"/>
                <w:u w:val="single"/>
              </w:rPr>
              <w:t>3</w:t>
            </w:r>
            <w:r w:rsidR="00174C24" w:rsidRPr="00174C24">
              <w:rPr>
                <w:rFonts w:cs="Times New Roman"/>
                <w:b/>
                <w:bCs/>
                <w:color w:val="000000" w:themeColor="text1"/>
                <w:u w:val="single"/>
              </w:rPr>
              <w:t>.1. Preventīvie ceļu satiksmes drošības pasākumi.</w:t>
            </w:r>
          </w:p>
        </w:tc>
      </w:tr>
      <w:tr w:rsidR="00A70D56" w:rsidTr="00DC57D4">
        <w:trPr>
          <w:trHeight w:val="646"/>
        </w:trPr>
        <w:tc>
          <w:tcPr>
            <w:cnfStyle w:val="001000000000" w:firstRow="0" w:lastRow="0" w:firstColumn="1" w:lastColumn="0" w:oddVBand="0" w:evenVBand="0" w:oddHBand="0" w:evenHBand="0" w:firstRowFirstColumn="0" w:firstRowLastColumn="0" w:lastRowFirstColumn="0" w:lastRowLastColumn="0"/>
            <w:tcW w:w="694" w:type="dxa"/>
            <w:shd w:val="clear" w:color="auto" w:fill="D9D9D9" w:themeFill="background1" w:themeFillShade="D9"/>
            <w:hideMark/>
          </w:tcPr>
          <w:p w:rsidR="00E53821" w:rsidRPr="00E53821" w:rsidRDefault="00961C9D" w:rsidP="00A70D56">
            <w:pPr>
              <w:rPr>
                <w:rFonts w:eastAsia="Times New Roman" w:cs="Times New Roman"/>
                <w:sz w:val="20"/>
                <w:szCs w:val="20"/>
                <w:lang w:eastAsia="lv-LV"/>
              </w:rPr>
            </w:pPr>
            <w:r w:rsidRPr="00961C9D">
              <w:rPr>
                <w:rFonts w:eastAsia="Times New Roman" w:cs="Times New Roman"/>
                <w:b w:val="0"/>
                <w:bCs w:val="0"/>
                <w:color w:val="000000" w:themeColor="text1"/>
                <w:kern w:val="24"/>
                <w:sz w:val="20"/>
                <w:szCs w:val="20"/>
                <w:lang w:eastAsia="lv-LV"/>
              </w:rPr>
              <w:t>Nr.</w:t>
            </w:r>
          </w:p>
        </w:tc>
        <w:tc>
          <w:tcPr>
            <w:tcW w:w="3275" w:type="dxa"/>
            <w:shd w:val="clear" w:color="auto" w:fill="D9D9D9" w:themeFill="background1" w:themeFillShade="D9"/>
            <w:hideMark/>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E53821">
              <w:rPr>
                <w:rFonts w:eastAsia="Times New Roman" w:cs="Times New Roman"/>
                <w:color w:val="000000"/>
                <w:kern w:val="24"/>
                <w:sz w:val="20"/>
                <w:szCs w:val="20"/>
                <w:lang w:eastAsia="lv-LV"/>
              </w:rPr>
              <w:t>Pasākums</w:t>
            </w:r>
          </w:p>
        </w:tc>
        <w:tc>
          <w:tcPr>
            <w:tcW w:w="2977" w:type="dxa"/>
            <w:shd w:val="clear" w:color="auto" w:fill="D9D9D9" w:themeFill="background1" w:themeFillShade="D9"/>
            <w:hideMark/>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E53821">
              <w:rPr>
                <w:rFonts w:eastAsia="Times New Roman" w:cs="Times New Roman"/>
                <w:color w:val="000000"/>
                <w:kern w:val="24"/>
                <w:sz w:val="20"/>
                <w:szCs w:val="20"/>
                <w:lang w:eastAsia="lv-LV"/>
              </w:rPr>
              <w:t>Darbības rezultāts</w:t>
            </w:r>
          </w:p>
        </w:tc>
        <w:tc>
          <w:tcPr>
            <w:tcW w:w="2678" w:type="dxa"/>
            <w:shd w:val="clear" w:color="auto" w:fill="D9D9D9" w:themeFill="background1" w:themeFillShade="D9"/>
            <w:hideMark/>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E53821">
              <w:rPr>
                <w:rFonts w:eastAsia="Times New Roman" w:cs="Times New Roman"/>
                <w:color w:val="000000"/>
                <w:kern w:val="24"/>
                <w:sz w:val="20"/>
                <w:szCs w:val="20"/>
                <w:lang w:eastAsia="lv-LV"/>
              </w:rPr>
              <w:t>Rezultatīvais rādītājs</w:t>
            </w:r>
          </w:p>
        </w:tc>
        <w:tc>
          <w:tcPr>
            <w:tcW w:w="1134" w:type="dxa"/>
            <w:shd w:val="clear" w:color="auto" w:fill="D9D9D9" w:themeFill="background1" w:themeFillShade="D9"/>
            <w:hideMark/>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E53821">
              <w:rPr>
                <w:rFonts w:eastAsia="Times New Roman" w:cs="Times New Roman"/>
                <w:color w:val="000000"/>
                <w:kern w:val="24"/>
                <w:sz w:val="20"/>
                <w:szCs w:val="20"/>
                <w:lang w:eastAsia="lv-LV"/>
              </w:rPr>
              <w:t>Atbildīgā institūcija</w:t>
            </w:r>
          </w:p>
        </w:tc>
        <w:tc>
          <w:tcPr>
            <w:tcW w:w="1418" w:type="dxa"/>
            <w:shd w:val="clear" w:color="auto" w:fill="D9D9D9" w:themeFill="background1" w:themeFillShade="D9"/>
            <w:hideMark/>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E53821">
              <w:rPr>
                <w:rFonts w:eastAsia="Times New Roman" w:cs="Times New Roman"/>
                <w:color w:val="000000"/>
                <w:kern w:val="24"/>
                <w:sz w:val="20"/>
                <w:szCs w:val="20"/>
                <w:lang w:eastAsia="lv-LV"/>
              </w:rPr>
              <w:t>Līdzatbildīgās institūcijas</w:t>
            </w:r>
          </w:p>
        </w:tc>
        <w:tc>
          <w:tcPr>
            <w:tcW w:w="1559" w:type="dxa"/>
            <w:shd w:val="clear" w:color="auto" w:fill="D9D9D9" w:themeFill="background1" w:themeFillShade="D9"/>
            <w:hideMark/>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E53821">
              <w:rPr>
                <w:rFonts w:eastAsia="Times New Roman" w:cs="Times New Roman"/>
                <w:color w:val="000000"/>
                <w:kern w:val="24"/>
                <w:sz w:val="20"/>
                <w:szCs w:val="20"/>
                <w:lang w:eastAsia="lv-LV"/>
              </w:rPr>
              <w:t>Izpildes termiņš</w:t>
            </w:r>
          </w:p>
        </w:tc>
        <w:tc>
          <w:tcPr>
            <w:tcW w:w="2126" w:type="dxa"/>
            <w:shd w:val="clear" w:color="auto" w:fill="D9D9D9" w:themeFill="background1" w:themeFillShade="D9"/>
          </w:tcPr>
          <w:p w:rsidR="00E53821" w:rsidRPr="00E53821"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Pr>
                <w:rFonts w:eastAsia="Times New Roman" w:cs="Times New Roman"/>
                <w:color w:val="000000"/>
                <w:kern w:val="24"/>
                <w:sz w:val="20"/>
                <w:szCs w:val="20"/>
                <w:lang w:eastAsia="lv-LV"/>
              </w:rPr>
              <w:t xml:space="preserve">Nepieciešamais finansējums </w:t>
            </w:r>
            <w:r w:rsidR="009E3114">
              <w:rPr>
                <w:rFonts w:eastAsia="Times New Roman" w:cs="Times New Roman"/>
                <w:color w:val="000000"/>
                <w:kern w:val="24"/>
                <w:sz w:val="20"/>
                <w:szCs w:val="20"/>
                <w:lang w:eastAsia="lv-LV"/>
              </w:rPr>
              <w:t xml:space="preserve"> (</w:t>
            </w:r>
            <w:proofErr w:type="spellStart"/>
            <w:r w:rsidR="009E3114" w:rsidRPr="009E3114">
              <w:rPr>
                <w:rFonts w:eastAsia="Times New Roman" w:cs="Times New Roman"/>
                <w:i/>
                <w:color w:val="000000"/>
                <w:kern w:val="24"/>
                <w:sz w:val="20"/>
                <w:szCs w:val="20"/>
                <w:lang w:eastAsia="lv-LV"/>
              </w:rPr>
              <w:t>euro</w:t>
            </w:r>
            <w:proofErr w:type="spellEnd"/>
            <w:r w:rsidR="009E3114">
              <w:rPr>
                <w:rFonts w:eastAsia="Times New Roman" w:cs="Times New Roman"/>
                <w:color w:val="000000"/>
                <w:kern w:val="24"/>
                <w:sz w:val="20"/>
                <w:szCs w:val="20"/>
                <w:lang w:eastAsia="lv-LV"/>
              </w:rPr>
              <w:t xml:space="preserve">) </w:t>
            </w:r>
            <w:r>
              <w:rPr>
                <w:rFonts w:eastAsia="Times New Roman" w:cs="Times New Roman"/>
                <w:color w:val="000000"/>
                <w:kern w:val="24"/>
                <w:sz w:val="20"/>
                <w:szCs w:val="20"/>
                <w:lang w:eastAsia="lv-LV"/>
              </w:rPr>
              <w:t>un tā avoti</w:t>
            </w:r>
          </w:p>
        </w:tc>
      </w:tr>
      <w:tr w:rsidR="00174C24" w:rsidTr="00DC57D4">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5861" w:type="dxa"/>
            <w:gridSpan w:val="8"/>
          </w:tcPr>
          <w:p w:rsidR="00DC4C94" w:rsidRDefault="00DC4C94" w:rsidP="00174C24">
            <w:pPr>
              <w:rPr>
                <w:rFonts w:eastAsia="Times New Roman" w:cs="Times New Roman"/>
                <w:i/>
                <w:color w:val="000000"/>
                <w:u w:val="single"/>
                <w:lang w:eastAsia="lv-LV"/>
              </w:rPr>
            </w:pPr>
          </w:p>
          <w:p w:rsidR="00174C24" w:rsidRPr="00174C24" w:rsidRDefault="00CD12A0" w:rsidP="00174C24">
            <w:pPr>
              <w:rPr>
                <w:rFonts w:eastAsia="Times New Roman" w:cs="Times New Roman"/>
                <w:i/>
                <w:color w:val="000000"/>
                <w:u w:val="single"/>
                <w:lang w:eastAsia="lv-LV"/>
              </w:rPr>
            </w:pPr>
            <w:r>
              <w:rPr>
                <w:rFonts w:eastAsia="Times New Roman" w:cs="Times New Roman"/>
                <w:i/>
                <w:color w:val="000000"/>
                <w:u w:val="single"/>
                <w:lang w:eastAsia="lv-LV"/>
              </w:rPr>
              <w:t>3</w:t>
            </w:r>
            <w:r w:rsidR="00DC4C94">
              <w:rPr>
                <w:rFonts w:eastAsia="Times New Roman" w:cs="Times New Roman"/>
                <w:i/>
                <w:color w:val="000000"/>
                <w:u w:val="single"/>
                <w:lang w:eastAsia="lv-LV"/>
              </w:rPr>
              <w:t>.1.1. Pētnieciskie</w:t>
            </w:r>
            <w:r w:rsidR="00174C24" w:rsidRPr="00174C24">
              <w:rPr>
                <w:rFonts w:eastAsia="Times New Roman" w:cs="Times New Roman"/>
                <w:i/>
                <w:color w:val="000000"/>
                <w:u w:val="single"/>
                <w:lang w:eastAsia="lv-LV"/>
              </w:rPr>
              <w:t xml:space="preserve"> pasākumi par ceļu satiksmes drošību Latvijā</w:t>
            </w:r>
          </w:p>
        </w:tc>
      </w:tr>
      <w:tr w:rsidR="00A70D56" w:rsidTr="009D1429">
        <w:trPr>
          <w:trHeight w:val="387"/>
        </w:trPr>
        <w:tc>
          <w:tcPr>
            <w:cnfStyle w:val="001000000000" w:firstRow="0" w:lastRow="0" w:firstColumn="1" w:lastColumn="0" w:oddVBand="0" w:evenVBand="0" w:oddHBand="0" w:evenHBand="0" w:firstRowFirstColumn="0" w:firstRowLastColumn="0" w:lastRowFirstColumn="0" w:lastRowLastColumn="0"/>
            <w:tcW w:w="694" w:type="dxa"/>
            <w:hideMark/>
          </w:tcPr>
          <w:p w:rsidR="00E53821" w:rsidRPr="005867F1" w:rsidRDefault="00E53821" w:rsidP="00A70D56">
            <w:pPr>
              <w:ind w:left="24"/>
              <w:contextualSpacing/>
              <w:rPr>
                <w:rFonts w:eastAsia="Times New Roman" w:cs="Times New Roman"/>
                <w:b w:val="0"/>
                <w:color w:val="000000"/>
                <w:sz w:val="20"/>
                <w:szCs w:val="20"/>
                <w:lang w:eastAsia="lv-LV"/>
              </w:rPr>
            </w:pPr>
            <w:r w:rsidRPr="005867F1">
              <w:rPr>
                <w:rFonts w:eastAsia="Times New Roman" w:cs="Times New Roman"/>
                <w:b w:val="0"/>
                <w:color w:val="000000"/>
                <w:sz w:val="20"/>
                <w:szCs w:val="20"/>
                <w:lang w:eastAsia="lv-LV"/>
              </w:rPr>
              <w:t>1.</w:t>
            </w:r>
          </w:p>
        </w:tc>
        <w:tc>
          <w:tcPr>
            <w:tcW w:w="3275" w:type="dxa"/>
          </w:tcPr>
          <w:p w:rsidR="00E53821" w:rsidRPr="00EC7F26" w:rsidRDefault="00A5737B" w:rsidP="00A5737B">
            <w:pPr>
              <w:spacing w:after="20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C7F26">
              <w:rPr>
                <w:rFonts w:eastAsia="Times New Roman" w:cs="Times New Roman"/>
                <w:color w:val="000000"/>
                <w:sz w:val="20"/>
                <w:szCs w:val="20"/>
                <w:lang w:eastAsia="lv-LV"/>
              </w:rPr>
              <w:t xml:space="preserve">Veikt </w:t>
            </w:r>
            <w:r w:rsidR="00492482" w:rsidRPr="00EC7F26">
              <w:rPr>
                <w:rFonts w:eastAsia="Times New Roman" w:cs="Times New Roman"/>
                <w:color w:val="000000"/>
                <w:sz w:val="20"/>
                <w:szCs w:val="20"/>
                <w:lang w:eastAsia="lv-LV"/>
              </w:rPr>
              <w:t xml:space="preserve">visaptverošu </w:t>
            </w:r>
            <w:r w:rsidRPr="00EC7F26">
              <w:rPr>
                <w:rFonts w:eastAsia="Times New Roman" w:cs="Times New Roman"/>
                <w:color w:val="000000"/>
                <w:sz w:val="20"/>
                <w:szCs w:val="20"/>
                <w:lang w:eastAsia="lv-LV"/>
              </w:rPr>
              <w:t>p</w:t>
            </w:r>
            <w:r w:rsidR="00E53821" w:rsidRPr="00EC7F26">
              <w:rPr>
                <w:rFonts w:eastAsia="Times New Roman" w:cs="Times New Roman"/>
                <w:color w:val="000000"/>
                <w:sz w:val="20"/>
                <w:szCs w:val="20"/>
                <w:lang w:eastAsia="lv-LV"/>
              </w:rPr>
              <w:t>ētī</w:t>
            </w:r>
            <w:r w:rsidR="003F1D65" w:rsidRPr="00EC7F26">
              <w:rPr>
                <w:rFonts w:eastAsia="Times New Roman" w:cs="Times New Roman"/>
                <w:color w:val="000000"/>
                <w:sz w:val="20"/>
                <w:szCs w:val="20"/>
                <w:lang w:eastAsia="lv-LV"/>
              </w:rPr>
              <w:t>jum</w:t>
            </w:r>
            <w:r w:rsidRPr="00EC7F26">
              <w:rPr>
                <w:rFonts w:eastAsia="Times New Roman" w:cs="Times New Roman"/>
                <w:color w:val="000000"/>
                <w:sz w:val="20"/>
                <w:szCs w:val="20"/>
                <w:lang w:eastAsia="lv-LV"/>
              </w:rPr>
              <w:t>u</w:t>
            </w:r>
            <w:r w:rsidR="003F1D65" w:rsidRPr="00EC7F26">
              <w:rPr>
                <w:rFonts w:eastAsia="Times New Roman" w:cs="Times New Roman"/>
                <w:color w:val="000000"/>
                <w:sz w:val="20"/>
                <w:szCs w:val="20"/>
                <w:lang w:eastAsia="lv-LV"/>
              </w:rPr>
              <w:t xml:space="preserve"> par ceļu satiksmes drošību ietekmējošiem riska faktoriem</w:t>
            </w:r>
            <w:r w:rsidR="00492482" w:rsidRPr="00BA28A2">
              <w:rPr>
                <w:rFonts w:eastAsia="Times New Roman" w:cs="Times New Roman"/>
                <w:color w:val="000000"/>
                <w:sz w:val="20"/>
                <w:szCs w:val="20"/>
                <w:lang w:eastAsia="lv-LV"/>
              </w:rPr>
              <w:t xml:space="preserve"> Latvijā</w:t>
            </w:r>
            <w:r w:rsidR="000267D6" w:rsidRPr="00BA28A2">
              <w:rPr>
                <w:rFonts w:eastAsia="Times New Roman" w:cs="Times New Roman"/>
                <w:color w:val="000000"/>
                <w:sz w:val="20"/>
                <w:szCs w:val="20"/>
                <w:lang w:eastAsia="lv-LV"/>
              </w:rPr>
              <w:t xml:space="preserve">, </w:t>
            </w:r>
            <w:r w:rsidR="000267D6" w:rsidRPr="00EC7F26">
              <w:rPr>
                <w:rFonts w:eastAsia="Times New Roman" w:cs="Times New Roman"/>
                <w:color w:val="000000"/>
                <w:sz w:val="20"/>
                <w:szCs w:val="20"/>
                <w:lang w:eastAsia="lv-LV"/>
              </w:rPr>
              <w:t>kā arī informēt atbildīgās institūcijas par pētījuma rezultātiem (semināri, konferences, tematiska apmācība).</w:t>
            </w:r>
          </w:p>
          <w:p w:rsidR="000267D6" w:rsidRPr="00EC7F26" w:rsidRDefault="000267D6" w:rsidP="00A5737B">
            <w:pPr>
              <w:spacing w:after="20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tc>
        <w:tc>
          <w:tcPr>
            <w:tcW w:w="2977" w:type="dxa"/>
          </w:tcPr>
          <w:p w:rsidR="00E53821" w:rsidRPr="00EC7F26" w:rsidRDefault="00495025" w:rsidP="00300E7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C7F26">
              <w:rPr>
                <w:rFonts w:eastAsia="Times New Roman" w:cs="Times New Roman"/>
                <w:color w:val="000000"/>
                <w:sz w:val="20"/>
                <w:szCs w:val="20"/>
                <w:lang w:eastAsia="lv-LV"/>
              </w:rPr>
              <w:t xml:space="preserve">Izstrādāts </w:t>
            </w:r>
            <w:r w:rsidR="00492482" w:rsidRPr="00EC7F26">
              <w:rPr>
                <w:rFonts w:eastAsia="Times New Roman" w:cs="Times New Roman"/>
                <w:color w:val="000000"/>
                <w:sz w:val="20"/>
                <w:szCs w:val="20"/>
                <w:lang w:eastAsia="lv-LV"/>
              </w:rPr>
              <w:t xml:space="preserve">visaptverošs </w:t>
            </w:r>
            <w:r w:rsidRPr="00EC7F26">
              <w:rPr>
                <w:rFonts w:eastAsia="Times New Roman" w:cs="Times New Roman"/>
                <w:color w:val="000000"/>
                <w:sz w:val="20"/>
                <w:szCs w:val="20"/>
                <w:lang w:eastAsia="lv-LV"/>
              </w:rPr>
              <w:t>pētījums, kurā a</w:t>
            </w:r>
            <w:r w:rsidR="003A6DFD" w:rsidRPr="00EC7F26">
              <w:rPr>
                <w:rFonts w:eastAsia="Times New Roman" w:cs="Times New Roman"/>
                <w:color w:val="000000"/>
                <w:sz w:val="20"/>
                <w:szCs w:val="20"/>
                <w:lang w:eastAsia="lv-LV"/>
              </w:rPr>
              <w:t>pzināti riski, kas palielina risku</w:t>
            </w:r>
            <w:r w:rsidR="00492482" w:rsidRPr="00EC7F26">
              <w:rPr>
                <w:rFonts w:eastAsia="Times New Roman" w:cs="Times New Roman"/>
                <w:color w:val="000000"/>
                <w:sz w:val="20"/>
                <w:szCs w:val="20"/>
                <w:lang w:eastAsia="lv-LV"/>
              </w:rPr>
              <w:t xml:space="preserve"> Latvijā</w:t>
            </w:r>
            <w:r w:rsidR="003A6DFD" w:rsidRPr="00EC7F26">
              <w:rPr>
                <w:rFonts w:eastAsia="Times New Roman" w:cs="Times New Roman"/>
                <w:color w:val="000000"/>
                <w:sz w:val="20"/>
                <w:szCs w:val="20"/>
                <w:lang w:eastAsia="lv-LV"/>
              </w:rPr>
              <w:t xml:space="preserve">  iekļūt </w:t>
            </w:r>
            <w:proofErr w:type="spellStart"/>
            <w:r w:rsidR="003A6DFD" w:rsidRPr="00EC7F26">
              <w:rPr>
                <w:rFonts w:eastAsia="Times New Roman" w:cs="Times New Roman"/>
                <w:color w:val="000000"/>
                <w:sz w:val="20"/>
                <w:szCs w:val="20"/>
                <w:lang w:eastAsia="lv-LV"/>
              </w:rPr>
              <w:t>CSNg</w:t>
            </w:r>
            <w:proofErr w:type="spellEnd"/>
            <w:r w:rsidR="003A6DFD" w:rsidRPr="00EC7F26">
              <w:rPr>
                <w:rFonts w:eastAsia="Times New Roman" w:cs="Times New Roman"/>
                <w:color w:val="000000"/>
                <w:sz w:val="20"/>
                <w:szCs w:val="20"/>
                <w:lang w:eastAsia="lv-LV"/>
              </w:rPr>
              <w:t xml:space="preserve"> un ciest vai iet bojā </w:t>
            </w:r>
            <w:proofErr w:type="spellStart"/>
            <w:r w:rsidR="003A6DFD" w:rsidRPr="00EC7F26">
              <w:rPr>
                <w:rFonts w:eastAsia="Times New Roman" w:cs="Times New Roman"/>
                <w:color w:val="000000"/>
                <w:sz w:val="20"/>
                <w:szCs w:val="20"/>
                <w:lang w:eastAsia="lv-LV"/>
              </w:rPr>
              <w:t>CSNg</w:t>
            </w:r>
            <w:proofErr w:type="spellEnd"/>
            <w:r w:rsidRPr="00EC7F26">
              <w:rPr>
                <w:rFonts w:eastAsia="Times New Roman" w:cs="Times New Roman"/>
                <w:color w:val="000000"/>
                <w:sz w:val="20"/>
                <w:szCs w:val="20"/>
                <w:lang w:eastAsia="lv-LV"/>
              </w:rPr>
              <w:t>, kā arī ti</w:t>
            </w:r>
            <w:r w:rsidR="003A6DFD" w:rsidRPr="00EC7F26">
              <w:rPr>
                <w:rFonts w:eastAsia="Times New Roman" w:cs="Times New Roman"/>
                <w:color w:val="000000"/>
                <w:sz w:val="20"/>
                <w:szCs w:val="20"/>
                <w:lang w:eastAsia="lv-LV"/>
              </w:rPr>
              <w:t>k</w:t>
            </w:r>
            <w:r w:rsidRPr="00EC7F26">
              <w:rPr>
                <w:rFonts w:eastAsia="Times New Roman" w:cs="Times New Roman"/>
                <w:color w:val="000000"/>
                <w:sz w:val="20"/>
                <w:szCs w:val="20"/>
                <w:lang w:eastAsia="lv-LV"/>
              </w:rPr>
              <w:t>s</w:t>
            </w:r>
            <w:r w:rsidR="003A6DFD" w:rsidRPr="00EC7F26">
              <w:rPr>
                <w:rFonts w:eastAsia="Times New Roman" w:cs="Times New Roman"/>
                <w:color w:val="000000"/>
                <w:sz w:val="20"/>
                <w:szCs w:val="20"/>
                <w:lang w:eastAsia="lv-LV"/>
              </w:rPr>
              <w:t xml:space="preserve"> gatavoti priekšlikumi risku </w:t>
            </w:r>
            <w:r w:rsidR="00300E71" w:rsidRPr="00EC7F26">
              <w:rPr>
                <w:rFonts w:eastAsia="Times New Roman" w:cs="Times New Roman"/>
                <w:color w:val="000000"/>
                <w:sz w:val="20"/>
                <w:szCs w:val="20"/>
                <w:lang w:eastAsia="lv-LV"/>
              </w:rPr>
              <w:t>ievērojamai samazināšanai</w:t>
            </w:r>
            <w:r w:rsidR="003A6DFD" w:rsidRPr="00EC7F26">
              <w:rPr>
                <w:rFonts w:eastAsia="Times New Roman" w:cs="Times New Roman"/>
                <w:color w:val="000000"/>
                <w:sz w:val="20"/>
                <w:szCs w:val="20"/>
                <w:lang w:eastAsia="lv-LV"/>
              </w:rPr>
              <w:t>.</w:t>
            </w:r>
            <w:r w:rsidR="000267D6" w:rsidRPr="00EC7F26">
              <w:rPr>
                <w:rFonts w:eastAsia="Times New Roman" w:cs="Times New Roman"/>
                <w:color w:val="000000"/>
                <w:sz w:val="20"/>
                <w:szCs w:val="20"/>
                <w:lang w:eastAsia="lv-LV"/>
              </w:rPr>
              <w:t xml:space="preserve"> Par pētījuma rezultātiem informētas atbildīgās institūcijas.</w:t>
            </w:r>
          </w:p>
        </w:tc>
        <w:tc>
          <w:tcPr>
            <w:tcW w:w="2678" w:type="dxa"/>
          </w:tcPr>
          <w:p w:rsidR="00E53821" w:rsidRPr="00EC7F26" w:rsidRDefault="00174C24" w:rsidP="003A6DF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C7F26">
              <w:rPr>
                <w:rFonts w:eastAsia="Times New Roman" w:cs="Times New Roman"/>
                <w:sz w:val="20"/>
                <w:szCs w:val="20"/>
              </w:rPr>
              <w:t xml:space="preserve">Īstenots </w:t>
            </w:r>
            <w:r w:rsidR="00A5737B" w:rsidRPr="00EC7F26">
              <w:rPr>
                <w:rFonts w:eastAsia="Times New Roman" w:cs="Times New Roman"/>
                <w:sz w:val="20"/>
                <w:szCs w:val="20"/>
              </w:rPr>
              <w:t xml:space="preserve">1 </w:t>
            </w:r>
            <w:r w:rsidRPr="00EC7F26">
              <w:rPr>
                <w:rFonts w:eastAsia="Times New Roman" w:cs="Times New Roman"/>
                <w:sz w:val="20"/>
                <w:szCs w:val="20"/>
              </w:rPr>
              <w:t xml:space="preserve">pētījums </w:t>
            </w:r>
            <w:r w:rsidRPr="00EC7F26">
              <w:rPr>
                <w:rFonts w:eastAsia="Times New Roman" w:cs="Times New Roman"/>
                <w:color w:val="000000"/>
                <w:sz w:val="20"/>
                <w:szCs w:val="20"/>
                <w:lang w:eastAsia="lv-LV"/>
              </w:rPr>
              <w:t>par ceļu satiksmes drošību ietekmējošiem riska faktoriem</w:t>
            </w:r>
            <w:r w:rsidR="000267D6" w:rsidRPr="00EC7F26">
              <w:rPr>
                <w:rFonts w:eastAsia="Times New Roman" w:cs="Times New Roman"/>
                <w:color w:val="000000"/>
                <w:sz w:val="20"/>
                <w:szCs w:val="20"/>
                <w:lang w:eastAsia="lv-LV"/>
              </w:rPr>
              <w:t>, notikuši 5 semināri par pētījumu.</w:t>
            </w:r>
          </w:p>
        </w:tc>
        <w:tc>
          <w:tcPr>
            <w:tcW w:w="1134" w:type="dxa"/>
          </w:tcPr>
          <w:p w:rsidR="00E53821" w:rsidRPr="00EC7F26" w:rsidRDefault="005E285F" w:rsidP="005E285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SM</w:t>
            </w:r>
          </w:p>
        </w:tc>
        <w:tc>
          <w:tcPr>
            <w:tcW w:w="1418" w:type="dxa"/>
          </w:tcPr>
          <w:p w:rsidR="00E53821" w:rsidRPr="00EC7F26" w:rsidRDefault="005E285F" w:rsidP="00312B2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5E285F">
              <w:rPr>
                <w:rFonts w:eastAsia="Times New Roman" w:cs="Times New Roman"/>
                <w:color w:val="000000"/>
                <w:sz w:val="20"/>
                <w:szCs w:val="20"/>
                <w:lang w:eastAsia="lv-LV"/>
              </w:rPr>
              <w:t>CSDD, FM (LTAB), IeM (VP), IZM, TM (VTEB), VM</w:t>
            </w:r>
          </w:p>
        </w:tc>
        <w:tc>
          <w:tcPr>
            <w:tcW w:w="1559" w:type="dxa"/>
          </w:tcPr>
          <w:p w:rsidR="00E53821" w:rsidRPr="00EC7F26" w:rsidRDefault="00E53821"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C7F26">
              <w:rPr>
                <w:rFonts w:eastAsia="Times New Roman" w:cs="Times New Roman"/>
                <w:color w:val="000000"/>
                <w:sz w:val="20"/>
                <w:szCs w:val="20"/>
                <w:lang w:eastAsia="lv-LV"/>
              </w:rPr>
              <w:t>31.12.2018.</w:t>
            </w:r>
          </w:p>
        </w:tc>
        <w:tc>
          <w:tcPr>
            <w:tcW w:w="2126" w:type="dxa"/>
            <w:shd w:val="clear" w:color="auto" w:fill="auto"/>
          </w:tcPr>
          <w:p w:rsidR="00E53821" w:rsidRPr="00EC7F26" w:rsidRDefault="009E3114" w:rsidP="00A70D5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C7F26">
              <w:rPr>
                <w:rFonts w:eastAsia="Times New Roman" w:cs="Times New Roman"/>
                <w:color w:val="000000"/>
                <w:sz w:val="20"/>
                <w:szCs w:val="20"/>
                <w:lang w:eastAsia="lv-LV"/>
              </w:rPr>
              <w:t>100</w:t>
            </w:r>
            <w:r w:rsidR="004F7CD8" w:rsidRPr="00EC7F26">
              <w:rPr>
                <w:rFonts w:eastAsia="Times New Roman" w:cs="Times New Roman"/>
                <w:color w:val="000000"/>
                <w:sz w:val="20"/>
                <w:szCs w:val="20"/>
                <w:lang w:eastAsia="lv-LV"/>
              </w:rPr>
              <w:t> </w:t>
            </w:r>
            <w:r w:rsidRPr="00EC7F26">
              <w:rPr>
                <w:rFonts w:eastAsia="Times New Roman" w:cs="Times New Roman"/>
                <w:color w:val="000000"/>
                <w:sz w:val="20"/>
                <w:szCs w:val="20"/>
                <w:lang w:eastAsia="lv-LV"/>
              </w:rPr>
              <w:t>000</w:t>
            </w:r>
            <w:r w:rsidR="004F7CD8" w:rsidRPr="00EC7F26">
              <w:rPr>
                <w:rFonts w:eastAsia="Times New Roman" w:cs="Times New Roman"/>
                <w:color w:val="000000"/>
                <w:sz w:val="20"/>
                <w:szCs w:val="20"/>
                <w:lang w:eastAsia="lv-LV"/>
              </w:rPr>
              <w:t>, OCTA līdzekļi</w:t>
            </w:r>
            <w:r w:rsidR="00492482" w:rsidRPr="00EC7F26">
              <w:rPr>
                <w:rFonts w:eastAsia="Times New Roman" w:cs="Times New Roman"/>
                <w:color w:val="000000"/>
                <w:sz w:val="20"/>
                <w:szCs w:val="20"/>
                <w:lang w:eastAsia="lv-LV"/>
              </w:rPr>
              <w:t xml:space="preserve"> </w:t>
            </w:r>
          </w:p>
        </w:tc>
      </w:tr>
      <w:tr w:rsidR="006E0406" w:rsidTr="00DC57D4">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5861" w:type="dxa"/>
            <w:gridSpan w:val="8"/>
          </w:tcPr>
          <w:p w:rsidR="006E0406" w:rsidRDefault="006E0406" w:rsidP="006E0406">
            <w:pPr>
              <w:rPr>
                <w:rFonts w:eastAsia="Times New Roman" w:cs="Times New Roman"/>
                <w:i/>
                <w:color w:val="000000"/>
                <w:u w:val="single"/>
                <w:lang w:eastAsia="lv-LV"/>
              </w:rPr>
            </w:pPr>
          </w:p>
          <w:p w:rsidR="006E0406" w:rsidRPr="00174C24" w:rsidRDefault="00CD12A0" w:rsidP="005A6F6A">
            <w:pPr>
              <w:rPr>
                <w:rFonts w:eastAsia="Times New Roman" w:cs="Times New Roman"/>
                <w:i/>
                <w:color w:val="000000"/>
                <w:u w:val="single"/>
                <w:lang w:eastAsia="lv-LV"/>
              </w:rPr>
            </w:pPr>
            <w:r>
              <w:rPr>
                <w:rFonts w:eastAsia="Times New Roman" w:cs="Times New Roman"/>
                <w:i/>
                <w:color w:val="000000"/>
                <w:u w:val="single"/>
                <w:lang w:eastAsia="lv-LV"/>
              </w:rPr>
              <w:t>3</w:t>
            </w:r>
            <w:r w:rsidR="006E0406" w:rsidRPr="00174C24">
              <w:rPr>
                <w:rFonts w:eastAsia="Times New Roman" w:cs="Times New Roman"/>
                <w:i/>
                <w:color w:val="000000"/>
                <w:u w:val="single"/>
                <w:lang w:eastAsia="lv-LV"/>
              </w:rPr>
              <w:t xml:space="preserve">.1.2. </w:t>
            </w:r>
            <w:r w:rsidR="006E0406" w:rsidRPr="00174C24">
              <w:rPr>
                <w:i/>
                <w:u w:val="single"/>
              </w:rPr>
              <w:t xml:space="preserve">Kopējā </w:t>
            </w:r>
            <w:r w:rsidR="005A6F6A">
              <w:rPr>
                <w:i/>
                <w:u w:val="single"/>
              </w:rPr>
              <w:t>TL</w:t>
            </w:r>
            <w:r w:rsidR="005A6F6A" w:rsidRPr="00174C24">
              <w:rPr>
                <w:i/>
                <w:u w:val="single"/>
              </w:rPr>
              <w:t xml:space="preserve"> </w:t>
            </w:r>
            <w:r w:rsidR="001F194E">
              <w:rPr>
                <w:i/>
                <w:u w:val="single"/>
              </w:rPr>
              <w:t>tehniskā stāvokļa uzlabošana</w:t>
            </w:r>
          </w:p>
        </w:tc>
      </w:tr>
      <w:tr w:rsidR="00DC57D4"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6E0406" w:rsidRPr="00DC4C94" w:rsidRDefault="00341A33" w:rsidP="006E0406">
            <w:pPr>
              <w:rPr>
                <w:rFonts w:eastAsia="Times New Roman" w:cs="Times New Roman"/>
                <w:b w:val="0"/>
                <w:color w:val="000000"/>
                <w:sz w:val="20"/>
                <w:szCs w:val="20"/>
                <w:lang w:eastAsia="lv-LV"/>
              </w:rPr>
            </w:pPr>
            <w:r>
              <w:rPr>
                <w:rFonts w:eastAsia="Times New Roman" w:cs="Times New Roman"/>
                <w:b w:val="0"/>
                <w:color w:val="000000"/>
                <w:sz w:val="20"/>
                <w:szCs w:val="20"/>
                <w:lang w:eastAsia="lv-LV"/>
              </w:rPr>
              <w:t>2</w:t>
            </w:r>
            <w:r w:rsidR="006E0406" w:rsidRPr="00DC4C94">
              <w:rPr>
                <w:rFonts w:eastAsia="Times New Roman" w:cs="Times New Roman"/>
                <w:b w:val="0"/>
                <w:color w:val="000000"/>
                <w:sz w:val="20"/>
                <w:szCs w:val="20"/>
                <w:lang w:eastAsia="lv-LV"/>
              </w:rPr>
              <w:t>.</w:t>
            </w:r>
          </w:p>
        </w:tc>
        <w:tc>
          <w:tcPr>
            <w:tcW w:w="3275" w:type="dxa"/>
          </w:tcPr>
          <w:p w:rsidR="006E0406" w:rsidRPr="00174C24" w:rsidRDefault="00924536" w:rsidP="005A6F6A">
            <w:pPr>
              <w:spacing w:after="20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cs="Times New Roman"/>
                <w:color w:val="000000" w:themeColor="text1"/>
                <w:sz w:val="20"/>
                <w:szCs w:val="20"/>
              </w:rPr>
              <w:t xml:space="preserve">Paplašināt </w:t>
            </w:r>
            <w:r w:rsidR="005A6F6A">
              <w:rPr>
                <w:rFonts w:cs="Times New Roman"/>
                <w:color w:val="000000" w:themeColor="text1"/>
                <w:sz w:val="20"/>
                <w:szCs w:val="20"/>
              </w:rPr>
              <w:t xml:space="preserve">TL </w:t>
            </w:r>
            <w:r>
              <w:rPr>
                <w:rFonts w:cs="Times New Roman"/>
                <w:color w:val="000000" w:themeColor="text1"/>
                <w:sz w:val="20"/>
                <w:szCs w:val="20"/>
              </w:rPr>
              <w:t>tehnisko kontroli</w:t>
            </w:r>
            <w:r w:rsidR="006E0406" w:rsidRPr="00F877FC">
              <w:rPr>
                <w:rFonts w:cs="Times New Roman"/>
                <w:color w:val="000000" w:themeColor="text1"/>
                <w:sz w:val="20"/>
                <w:szCs w:val="20"/>
              </w:rPr>
              <w:t xml:space="preserve"> </w:t>
            </w:r>
            <w:r w:rsidR="006E0406">
              <w:rPr>
                <w:rFonts w:cs="Times New Roman"/>
                <w:color w:val="000000" w:themeColor="text1"/>
                <w:sz w:val="20"/>
                <w:szCs w:val="20"/>
              </w:rPr>
              <w:t xml:space="preserve">kontrolēs </w:t>
            </w:r>
            <w:r w:rsidR="006E0406" w:rsidRPr="00F877FC">
              <w:rPr>
                <w:rFonts w:cs="Times New Roman"/>
                <w:color w:val="000000" w:themeColor="text1"/>
                <w:sz w:val="20"/>
                <w:szCs w:val="20"/>
              </w:rPr>
              <w:t>uz ceļiem</w:t>
            </w:r>
          </w:p>
        </w:tc>
        <w:tc>
          <w:tcPr>
            <w:tcW w:w="2977" w:type="dxa"/>
          </w:tcPr>
          <w:p w:rsidR="006E0406" w:rsidRPr="00174C24" w:rsidRDefault="006E0406" w:rsidP="0049248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F877FC">
              <w:rPr>
                <w:rFonts w:cs="Times New Roman"/>
                <w:color w:val="000000" w:themeColor="text1"/>
                <w:sz w:val="20"/>
                <w:szCs w:val="20"/>
              </w:rPr>
              <w:t xml:space="preserve">Ieviesta plašāka </w:t>
            </w:r>
            <w:r>
              <w:rPr>
                <w:rFonts w:cs="Times New Roman"/>
                <w:color w:val="000000" w:themeColor="text1"/>
                <w:sz w:val="20"/>
                <w:szCs w:val="20"/>
              </w:rPr>
              <w:t xml:space="preserve">TL </w:t>
            </w:r>
            <w:r w:rsidRPr="00F877FC">
              <w:rPr>
                <w:rFonts w:cs="Times New Roman"/>
                <w:color w:val="000000" w:themeColor="text1"/>
                <w:sz w:val="20"/>
                <w:szCs w:val="20"/>
              </w:rPr>
              <w:t>kontrole</w:t>
            </w:r>
            <w:r>
              <w:rPr>
                <w:rFonts w:cs="Times New Roman"/>
                <w:color w:val="000000" w:themeColor="text1"/>
                <w:sz w:val="20"/>
                <w:szCs w:val="20"/>
              </w:rPr>
              <w:t xml:space="preserve"> tehniskajās </w:t>
            </w:r>
            <w:r w:rsidR="00492482">
              <w:rPr>
                <w:rFonts w:cs="Times New Roman"/>
                <w:color w:val="000000" w:themeColor="text1"/>
                <w:sz w:val="20"/>
                <w:szCs w:val="20"/>
              </w:rPr>
              <w:t>kontrolēs</w:t>
            </w:r>
            <w:r w:rsidRPr="00F877FC">
              <w:rPr>
                <w:rFonts w:cs="Times New Roman"/>
                <w:color w:val="000000" w:themeColor="text1"/>
                <w:sz w:val="20"/>
                <w:szCs w:val="20"/>
              </w:rPr>
              <w:t xml:space="preserve"> uz ceļiem </w:t>
            </w:r>
            <w:r>
              <w:rPr>
                <w:rFonts w:cs="Times New Roman"/>
                <w:color w:val="000000" w:themeColor="text1"/>
                <w:sz w:val="20"/>
                <w:szCs w:val="20"/>
              </w:rPr>
              <w:t xml:space="preserve">kravas automašīnām, autobusiem, taksometriem, </w:t>
            </w:r>
            <w:r w:rsidRPr="00F877FC">
              <w:rPr>
                <w:rFonts w:cs="Times New Roman"/>
                <w:color w:val="000000" w:themeColor="text1"/>
                <w:sz w:val="20"/>
                <w:szCs w:val="20"/>
              </w:rPr>
              <w:t>vieglajām automašīnām</w:t>
            </w:r>
            <w:r>
              <w:rPr>
                <w:rFonts w:cs="Times New Roman"/>
                <w:color w:val="000000" w:themeColor="text1"/>
                <w:sz w:val="20"/>
                <w:szCs w:val="20"/>
              </w:rPr>
              <w:t>, motocikliem u.c.</w:t>
            </w:r>
          </w:p>
        </w:tc>
        <w:tc>
          <w:tcPr>
            <w:tcW w:w="2678" w:type="dxa"/>
          </w:tcPr>
          <w:p w:rsidR="006E0406" w:rsidRPr="00174C24" w:rsidRDefault="002D4928" w:rsidP="0007317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EC7F26">
              <w:rPr>
                <w:rFonts w:cs="Times New Roman"/>
                <w:color w:val="000000" w:themeColor="text1"/>
                <w:sz w:val="20"/>
                <w:szCs w:val="20"/>
              </w:rPr>
              <w:t>P</w:t>
            </w:r>
            <w:r w:rsidR="00E624B4" w:rsidRPr="00EC7F26">
              <w:rPr>
                <w:rFonts w:cs="Times New Roman"/>
                <w:color w:val="000000" w:themeColor="text1"/>
                <w:sz w:val="20"/>
                <w:szCs w:val="20"/>
              </w:rPr>
              <w:t xml:space="preserve">ārbaudīti </w:t>
            </w:r>
            <w:r w:rsidRPr="00EC7F26">
              <w:rPr>
                <w:rFonts w:cs="Times New Roman"/>
                <w:color w:val="000000" w:themeColor="text1"/>
                <w:sz w:val="20"/>
                <w:szCs w:val="20"/>
              </w:rPr>
              <w:t>4300</w:t>
            </w:r>
            <w:r w:rsidR="00E624B4" w:rsidRPr="00EC7F26">
              <w:rPr>
                <w:rFonts w:cs="Times New Roman"/>
                <w:color w:val="000000" w:themeColor="text1"/>
                <w:sz w:val="20"/>
                <w:szCs w:val="20"/>
              </w:rPr>
              <w:t xml:space="preserve"> TL katru gadu.</w:t>
            </w:r>
            <w:r w:rsidR="009851E0">
              <w:rPr>
                <w:rFonts w:cs="Times New Roman"/>
                <w:color w:val="000000" w:themeColor="text1"/>
                <w:sz w:val="20"/>
                <w:szCs w:val="20"/>
              </w:rPr>
              <w:t xml:space="preserve"> </w:t>
            </w:r>
          </w:p>
        </w:tc>
        <w:tc>
          <w:tcPr>
            <w:tcW w:w="1134" w:type="dxa"/>
          </w:tcPr>
          <w:p w:rsidR="006E0406" w:rsidRPr="00DC4C94" w:rsidRDefault="006E0406" w:rsidP="006E040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0"/>
                <w:szCs w:val="20"/>
                <w:highlight w:val="yellow"/>
                <w:lang w:eastAsia="lv-LV"/>
              </w:rPr>
            </w:pPr>
            <w:r w:rsidRPr="00924536">
              <w:rPr>
                <w:rFonts w:cs="Times New Roman"/>
                <w:color w:val="000000" w:themeColor="text1"/>
                <w:sz w:val="20"/>
                <w:szCs w:val="20"/>
              </w:rPr>
              <w:t>CSDD</w:t>
            </w:r>
          </w:p>
        </w:tc>
        <w:tc>
          <w:tcPr>
            <w:tcW w:w="1418" w:type="dxa"/>
          </w:tcPr>
          <w:p w:rsidR="006E0406" w:rsidRPr="00174C24" w:rsidRDefault="006E0406" w:rsidP="006E040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F877FC">
              <w:rPr>
                <w:rFonts w:cs="Times New Roman"/>
                <w:color w:val="000000" w:themeColor="text1"/>
                <w:sz w:val="20"/>
                <w:szCs w:val="20"/>
              </w:rPr>
              <w:t>VP</w:t>
            </w:r>
          </w:p>
        </w:tc>
        <w:tc>
          <w:tcPr>
            <w:tcW w:w="1559" w:type="dxa"/>
          </w:tcPr>
          <w:p w:rsidR="006E0406" w:rsidRPr="00174C24" w:rsidRDefault="006E0406" w:rsidP="006E040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cs="Times New Roman"/>
                <w:color w:val="000000" w:themeColor="text1"/>
                <w:sz w:val="20"/>
                <w:szCs w:val="20"/>
              </w:rPr>
              <w:t>31.12.2020.</w:t>
            </w:r>
          </w:p>
        </w:tc>
        <w:tc>
          <w:tcPr>
            <w:tcW w:w="2126" w:type="dxa"/>
          </w:tcPr>
          <w:p w:rsidR="006E0406" w:rsidRPr="002D4928" w:rsidRDefault="002D4928" w:rsidP="002D492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C7F26">
              <w:rPr>
                <w:rFonts w:cs="Times New Roman"/>
                <w:sz w:val="20"/>
                <w:szCs w:val="20"/>
              </w:rPr>
              <w:t>Esošā CSDD budžeta ietvaros, papildus finansējums nav nepieciešams.</w:t>
            </w:r>
          </w:p>
        </w:tc>
      </w:tr>
      <w:tr w:rsidR="00DC57D4" w:rsidRPr="00174C24" w:rsidTr="00DC5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492482" w:rsidRPr="00341A33" w:rsidRDefault="00341A33" w:rsidP="00492482">
            <w:pPr>
              <w:rPr>
                <w:rFonts w:cs="Times New Roman"/>
                <w:b w:val="0"/>
                <w:color w:val="000000" w:themeColor="text1"/>
                <w:sz w:val="20"/>
                <w:szCs w:val="20"/>
                <w:highlight w:val="yellow"/>
              </w:rPr>
            </w:pPr>
            <w:r w:rsidRPr="00341A33">
              <w:rPr>
                <w:rFonts w:cs="Times New Roman"/>
                <w:b w:val="0"/>
                <w:color w:val="000000" w:themeColor="text1"/>
                <w:sz w:val="20"/>
                <w:szCs w:val="20"/>
              </w:rPr>
              <w:t>3.</w:t>
            </w:r>
          </w:p>
        </w:tc>
        <w:tc>
          <w:tcPr>
            <w:tcW w:w="3275" w:type="dxa"/>
          </w:tcPr>
          <w:p w:rsidR="00492482" w:rsidRPr="00AA3AC8" w:rsidRDefault="0007317C" w:rsidP="005A6F6A">
            <w:pPr>
              <w:spacing w:after="20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highlight w:val="yellow"/>
              </w:rPr>
            </w:pPr>
            <w:r w:rsidRPr="0007317C">
              <w:rPr>
                <w:rFonts w:cs="Times New Roman"/>
                <w:color w:val="000000" w:themeColor="text1"/>
                <w:sz w:val="20"/>
                <w:szCs w:val="20"/>
              </w:rPr>
              <w:t xml:space="preserve">Pilnveidot </w:t>
            </w:r>
            <w:r w:rsidR="005A6F6A">
              <w:rPr>
                <w:rFonts w:cs="Times New Roman"/>
                <w:color w:val="000000" w:themeColor="text1"/>
                <w:sz w:val="20"/>
                <w:szCs w:val="20"/>
              </w:rPr>
              <w:t>TL</w:t>
            </w:r>
            <w:r w:rsidR="005A6F6A" w:rsidRPr="0007317C">
              <w:rPr>
                <w:rFonts w:cs="Times New Roman"/>
                <w:color w:val="000000" w:themeColor="text1"/>
                <w:sz w:val="20"/>
                <w:szCs w:val="20"/>
              </w:rPr>
              <w:t xml:space="preserve">  </w:t>
            </w:r>
            <w:r w:rsidRPr="0007317C">
              <w:rPr>
                <w:rFonts w:cs="Times New Roman"/>
                <w:color w:val="000000" w:themeColor="text1"/>
                <w:sz w:val="20"/>
                <w:szCs w:val="20"/>
              </w:rPr>
              <w:t>tehnisko kontroli ikgadējā tehniskajā apskatē atbilstoši ES Direktīvas prasībām.</w:t>
            </w:r>
          </w:p>
        </w:tc>
        <w:tc>
          <w:tcPr>
            <w:tcW w:w="2977" w:type="dxa"/>
          </w:tcPr>
          <w:p w:rsidR="00492482" w:rsidRPr="00EC7F26" w:rsidRDefault="0007317C" w:rsidP="0049248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7317C">
              <w:rPr>
                <w:rFonts w:cs="Times New Roman"/>
                <w:color w:val="000000" w:themeColor="text1"/>
                <w:sz w:val="20"/>
                <w:szCs w:val="20"/>
              </w:rPr>
              <w:t xml:space="preserve">Atbilstoši ES Direktīvas prasībām harmonizētas ikgadējo tehnisko apskašu vērtējuma prasības, </w:t>
            </w:r>
            <w:r w:rsidRPr="0007317C">
              <w:rPr>
                <w:rFonts w:cs="Times New Roman"/>
                <w:color w:val="000000" w:themeColor="text1"/>
                <w:sz w:val="20"/>
                <w:szCs w:val="20"/>
              </w:rPr>
              <w:lastRenderedPageBreak/>
              <w:t>noteiktos parametros ieviešot stingrāku vērtējumu</w:t>
            </w:r>
            <w:r>
              <w:rPr>
                <w:rFonts w:cs="Times New Roman"/>
                <w:color w:val="000000" w:themeColor="text1"/>
                <w:sz w:val="20"/>
                <w:szCs w:val="20"/>
              </w:rPr>
              <w:t>.</w:t>
            </w:r>
          </w:p>
        </w:tc>
        <w:tc>
          <w:tcPr>
            <w:tcW w:w="2678" w:type="dxa"/>
          </w:tcPr>
          <w:p w:rsidR="00492482" w:rsidRPr="00EC7F26" w:rsidRDefault="0007317C" w:rsidP="005A6F6A">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7317C">
              <w:rPr>
                <w:rFonts w:cs="Times New Roman"/>
                <w:color w:val="000000" w:themeColor="text1"/>
                <w:sz w:val="20"/>
                <w:szCs w:val="20"/>
              </w:rPr>
              <w:lastRenderedPageBreak/>
              <w:t xml:space="preserve">Sagatavoti jauni MK noteikumi par </w:t>
            </w:r>
            <w:r w:rsidR="005A6F6A">
              <w:rPr>
                <w:rFonts w:cs="Times New Roman"/>
                <w:color w:val="000000" w:themeColor="text1"/>
                <w:sz w:val="20"/>
                <w:szCs w:val="20"/>
              </w:rPr>
              <w:t xml:space="preserve">TL </w:t>
            </w:r>
            <w:r w:rsidRPr="0007317C">
              <w:rPr>
                <w:rFonts w:cs="Times New Roman"/>
                <w:color w:val="000000" w:themeColor="text1"/>
                <w:sz w:val="20"/>
                <w:szCs w:val="20"/>
              </w:rPr>
              <w:t>valsts tehnisko apskati un tehnisko kontroli uz ceļiem</w:t>
            </w:r>
            <w:r w:rsidR="00E548DF">
              <w:rPr>
                <w:rFonts w:cs="Times New Roman"/>
                <w:color w:val="000000" w:themeColor="text1"/>
                <w:sz w:val="20"/>
                <w:szCs w:val="20"/>
              </w:rPr>
              <w:t>.</w:t>
            </w:r>
          </w:p>
        </w:tc>
        <w:tc>
          <w:tcPr>
            <w:tcW w:w="1134" w:type="dxa"/>
          </w:tcPr>
          <w:p w:rsidR="00492482" w:rsidRPr="00EC7F26" w:rsidRDefault="00AA3AC8"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C7F26">
              <w:rPr>
                <w:rFonts w:cs="Times New Roman"/>
                <w:color w:val="000000" w:themeColor="text1"/>
                <w:sz w:val="20"/>
                <w:szCs w:val="20"/>
              </w:rPr>
              <w:t>CSDD</w:t>
            </w:r>
          </w:p>
        </w:tc>
        <w:tc>
          <w:tcPr>
            <w:tcW w:w="1418" w:type="dxa"/>
          </w:tcPr>
          <w:p w:rsidR="00492482" w:rsidRPr="00EC7F26" w:rsidRDefault="00AA3AC8"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C7F26">
              <w:rPr>
                <w:rFonts w:cs="Times New Roman"/>
                <w:color w:val="000000" w:themeColor="text1"/>
                <w:sz w:val="20"/>
                <w:szCs w:val="20"/>
              </w:rPr>
              <w:t>SM</w:t>
            </w:r>
          </w:p>
        </w:tc>
        <w:tc>
          <w:tcPr>
            <w:tcW w:w="1559" w:type="dxa"/>
          </w:tcPr>
          <w:p w:rsidR="00492482" w:rsidRPr="00EC7F26" w:rsidRDefault="00AA3AC8"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C7F26">
              <w:rPr>
                <w:rFonts w:cs="Times New Roman"/>
                <w:color w:val="000000" w:themeColor="text1"/>
                <w:sz w:val="20"/>
                <w:szCs w:val="20"/>
              </w:rPr>
              <w:t>31.12.2017.</w:t>
            </w:r>
          </w:p>
        </w:tc>
        <w:tc>
          <w:tcPr>
            <w:tcW w:w="2126" w:type="dxa"/>
          </w:tcPr>
          <w:p w:rsidR="00492482" w:rsidRPr="00EC7F26" w:rsidRDefault="00AA3AC8" w:rsidP="006E040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7F26">
              <w:rPr>
                <w:rFonts w:cs="Times New Roman"/>
                <w:sz w:val="20"/>
                <w:szCs w:val="20"/>
              </w:rPr>
              <w:t>Nav nepieciešams.</w:t>
            </w:r>
          </w:p>
        </w:tc>
      </w:tr>
      <w:tr w:rsidR="006E0406"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15861" w:type="dxa"/>
            <w:gridSpan w:val="8"/>
          </w:tcPr>
          <w:p w:rsidR="006E0406" w:rsidRDefault="006E0406" w:rsidP="006E0406">
            <w:pPr>
              <w:rPr>
                <w:rFonts w:cs="Times New Roman"/>
                <w:b w:val="0"/>
                <w:sz w:val="20"/>
                <w:szCs w:val="20"/>
                <w:highlight w:val="yellow"/>
              </w:rPr>
            </w:pPr>
          </w:p>
          <w:p w:rsidR="006E0406" w:rsidRPr="00DC4C94" w:rsidRDefault="00CD12A0" w:rsidP="006E0406">
            <w:pPr>
              <w:rPr>
                <w:rFonts w:cs="Times New Roman"/>
                <w:i/>
                <w:highlight w:val="yellow"/>
                <w:u w:val="single"/>
              </w:rPr>
            </w:pPr>
            <w:r>
              <w:rPr>
                <w:rFonts w:cs="Times New Roman"/>
                <w:i/>
                <w:u w:val="single"/>
              </w:rPr>
              <w:t>3</w:t>
            </w:r>
            <w:r w:rsidR="006E0406">
              <w:rPr>
                <w:rFonts w:cs="Times New Roman"/>
                <w:i/>
                <w:u w:val="single"/>
              </w:rPr>
              <w:t xml:space="preserve">.1.3. </w:t>
            </w:r>
            <w:r w:rsidR="006E0406" w:rsidRPr="00DC4C94">
              <w:rPr>
                <w:rFonts w:cs="Times New Roman"/>
                <w:i/>
                <w:u w:val="single"/>
              </w:rPr>
              <w:t xml:space="preserve">Informācijas apmaiņas par </w:t>
            </w:r>
            <w:proofErr w:type="spellStart"/>
            <w:r w:rsidR="006E0406">
              <w:rPr>
                <w:rFonts w:cs="Times New Roman"/>
                <w:i/>
                <w:u w:val="single"/>
              </w:rPr>
              <w:t>CSNg</w:t>
            </w:r>
            <w:proofErr w:type="spellEnd"/>
            <w:r w:rsidR="001F194E">
              <w:rPr>
                <w:rFonts w:cs="Times New Roman"/>
                <w:i/>
                <w:u w:val="single"/>
              </w:rPr>
              <w:t xml:space="preserve"> uzlabošana</w:t>
            </w:r>
          </w:p>
          <w:p w:rsidR="006E0406" w:rsidRPr="00DC4C94" w:rsidRDefault="006E0406" w:rsidP="006E0406">
            <w:pPr>
              <w:rPr>
                <w:rFonts w:cs="Times New Roman"/>
                <w:b w:val="0"/>
                <w:sz w:val="20"/>
                <w:szCs w:val="20"/>
                <w:highlight w:val="yellow"/>
              </w:rPr>
            </w:pPr>
          </w:p>
        </w:tc>
      </w:tr>
      <w:tr w:rsidR="00DC57D4"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6E0406" w:rsidRPr="009D7E17" w:rsidRDefault="00341A33" w:rsidP="006E0406">
            <w:pPr>
              <w:rPr>
                <w:rFonts w:cs="Times New Roman"/>
                <w:b w:val="0"/>
                <w:color w:val="000000" w:themeColor="text1"/>
                <w:sz w:val="20"/>
                <w:szCs w:val="20"/>
              </w:rPr>
            </w:pPr>
            <w:r>
              <w:rPr>
                <w:rFonts w:cs="Times New Roman"/>
                <w:b w:val="0"/>
                <w:bCs w:val="0"/>
                <w:color w:val="000000" w:themeColor="text1"/>
                <w:sz w:val="20"/>
                <w:szCs w:val="20"/>
              </w:rPr>
              <w:t>4.</w:t>
            </w:r>
            <w:r w:rsidR="006E0406" w:rsidRPr="009D7E17">
              <w:rPr>
                <w:rFonts w:cs="Times New Roman"/>
                <w:b w:val="0"/>
                <w:bCs w:val="0"/>
                <w:color w:val="000000" w:themeColor="text1"/>
                <w:sz w:val="20"/>
                <w:szCs w:val="20"/>
              </w:rPr>
              <w:t xml:space="preserve"> </w:t>
            </w:r>
          </w:p>
        </w:tc>
        <w:tc>
          <w:tcPr>
            <w:tcW w:w="3275" w:type="dxa"/>
          </w:tcPr>
          <w:p w:rsidR="006E0406" w:rsidRPr="00DC4C94" w:rsidRDefault="00473386" w:rsidP="00473386">
            <w:pPr>
              <w:spacing w:after="20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 xml:space="preserve">Izstrādāt </w:t>
            </w:r>
            <w:proofErr w:type="spellStart"/>
            <w:r>
              <w:rPr>
                <w:rFonts w:cs="Times New Roman"/>
                <w:color w:val="000000" w:themeColor="text1"/>
                <w:sz w:val="20"/>
                <w:szCs w:val="20"/>
              </w:rPr>
              <w:t>CSNg</w:t>
            </w:r>
            <w:proofErr w:type="spellEnd"/>
            <w:r>
              <w:rPr>
                <w:rFonts w:cs="Times New Roman"/>
                <w:color w:val="000000" w:themeColor="text1"/>
                <w:sz w:val="20"/>
                <w:szCs w:val="20"/>
              </w:rPr>
              <w:t xml:space="preserve"> un pārkāpumu notikuma vietu analīzes informācijas sistēmu (CAIS) </w:t>
            </w:r>
          </w:p>
        </w:tc>
        <w:tc>
          <w:tcPr>
            <w:tcW w:w="2977" w:type="dxa"/>
          </w:tcPr>
          <w:p w:rsidR="00473386" w:rsidRPr="00DC4C94" w:rsidRDefault="006E0406" w:rsidP="0047338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862149">
              <w:rPr>
                <w:rFonts w:cs="Times New Roman"/>
                <w:color w:val="000000" w:themeColor="text1"/>
                <w:sz w:val="20"/>
                <w:szCs w:val="20"/>
              </w:rPr>
              <w:t>Izstrādāta informācijas sistēma CAIS</w:t>
            </w:r>
            <w:r w:rsidR="00473386">
              <w:rPr>
                <w:rFonts w:cs="Times New Roman"/>
                <w:color w:val="000000" w:themeColor="text1"/>
                <w:sz w:val="20"/>
                <w:szCs w:val="20"/>
              </w:rPr>
              <w:t xml:space="preserve">, kas pētniecības institūcijām nodrošina pieeju IeM datiem par </w:t>
            </w:r>
            <w:proofErr w:type="spellStart"/>
            <w:r w:rsidR="00473386">
              <w:rPr>
                <w:rFonts w:cs="Times New Roman"/>
                <w:color w:val="000000" w:themeColor="text1"/>
                <w:sz w:val="20"/>
                <w:szCs w:val="20"/>
              </w:rPr>
              <w:t>CSNg</w:t>
            </w:r>
            <w:proofErr w:type="spellEnd"/>
          </w:p>
        </w:tc>
        <w:tc>
          <w:tcPr>
            <w:tcW w:w="2678" w:type="dxa"/>
          </w:tcPr>
          <w:p w:rsidR="006E0406" w:rsidRPr="00DC4C94" w:rsidRDefault="00B37459" w:rsidP="00B3745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B37459">
              <w:rPr>
                <w:rFonts w:cs="Times New Roman"/>
                <w:color w:val="000000" w:themeColor="text1"/>
                <w:sz w:val="20"/>
                <w:szCs w:val="20"/>
              </w:rPr>
              <w:t xml:space="preserve">Informācija par </w:t>
            </w:r>
            <w:proofErr w:type="spellStart"/>
            <w:r w:rsidRPr="00B37459">
              <w:rPr>
                <w:rFonts w:cs="Times New Roman"/>
                <w:color w:val="000000" w:themeColor="text1"/>
                <w:sz w:val="20"/>
                <w:szCs w:val="20"/>
              </w:rPr>
              <w:t>CSNg</w:t>
            </w:r>
            <w:proofErr w:type="spellEnd"/>
            <w:r w:rsidRPr="00B37459">
              <w:rPr>
                <w:rFonts w:cs="Times New Roman"/>
                <w:color w:val="000000" w:themeColor="text1"/>
                <w:sz w:val="20"/>
                <w:szCs w:val="20"/>
              </w:rPr>
              <w:t>, administratīvo pārkāpumu un noziegumu ceļu satiksmes jomā notikumu vietām pie</w:t>
            </w:r>
            <w:r>
              <w:rPr>
                <w:rFonts w:cs="Times New Roman"/>
                <w:color w:val="000000" w:themeColor="text1"/>
                <w:sz w:val="20"/>
                <w:szCs w:val="20"/>
              </w:rPr>
              <w:t>e</w:t>
            </w:r>
            <w:r w:rsidRPr="00B37459">
              <w:rPr>
                <w:rFonts w:cs="Times New Roman"/>
                <w:color w:val="000000" w:themeColor="text1"/>
                <w:sz w:val="20"/>
                <w:szCs w:val="20"/>
              </w:rPr>
              <w:t>jama tiešsaistes režīmā bez maksas un autorizācijas jebkuram interesentam pēc noteiktiem atlases kritērijiem.</w:t>
            </w:r>
          </w:p>
        </w:tc>
        <w:tc>
          <w:tcPr>
            <w:tcW w:w="1134" w:type="dxa"/>
          </w:tcPr>
          <w:p w:rsidR="006E0406" w:rsidRPr="00DC4C94" w:rsidRDefault="006E0406"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862149">
              <w:rPr>
                <w:rFonts w:cs="Times New Roman"/>
                <w:color w:val="000000" w:themeColor="text1"/>
                <w:sz w:val="20"/>
                <w:szCs w:val="20"/>
              </w:rPr>
              <w:t>IeM IC</w:t>
            </w:r>
          </w:p>
        </w:tc>
        <w:tc>
          <w:tcPr>
            <w:tcW w:w="1418" w:type="dxa"/>
          </w:tcPr>
          <w:p w:rsidR="006E0406" w:rsidRPr="00DC4C94" w:rsidRDefault="006E0406"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862149">
              <w:rPr>
                <w:rFonts w:cs="Times New Roman"/>
                <w:color w:val="000000" w:themeColor="text1"/>
                <w:sz w:val="20"/>
                <w:szCs w:val="20"/>
              </w:rPr>
              <w:t>VP</w:t>
            </w:r>
          </w:p>
        </w:tc>
        <w:tc>
          <w:tcPr>
            <w:tcW w:w="1559" w:type="dxa"/>
          </w:tcPr>
          <w:p w:rsidR="006E0406" w:rsidRPr="00BA28A2" w:rsidRDefault="0029602A"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t>31.12.20</w:t>
            </w:r>
            <w:r w:rsidR="00312B28" w:rsidRPr="00BA28A2">
              <w:rPr>
                <w:rFonts w:cs="Times New Roman"/>
                <w:color w:val="000000" w:themeColor="text1"/>
                <w:sz w:val="20"/>
                <w:szCs w:val="20"/>
              </w:rPr>
              <w:t>20</w:t>
            </w:r>
            <w:r w:rsidR="006E0406" w:rsidRPr="00BA28A2">
              <w:rPr>
                <w:rFonts w:cs="Times New Roman"/>
                <w:color w:val="000000" w:themeColor="text1"/>
                <w:sz w:val="20"/>
                <w:szCs w:val="20"/>
              </w:rPr>
              <w:t>.</w:t>
            </w:r>
            <w:r w:rsidRPr="00BA28A2">
              <w:rPr>
                <w:rFonts w:cs="Times New Roman"/>
                <w:color w:val="000000" w:themeColor="text1"/>
                <w:sz w:val="20"/>
                <w:szCs w:val="20"/>
              </w:rPr>
              <w:t xml:space="preserve"> </w:t>
            </w:r>
          </w:p>
          <w:p w:rsidR="0029602A" w:rsidRPr="00BA28A2" w:rsidRDefault="0029602A" w:rsidP="006E040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t>(paredzamais izstrādes termiņš 14 mēneši no finansējuma saņemšanas.)</w:t>
            </w:r>
          </w:p>
        </w:tc>
        <w:tc>
          <w:tcPr>
            <w:tcW w:w="2126" w:type="dxa"/>
            <w:shd w:val="clear" w:color="auto" w:fill="auto"/>
          </w:tcPr>
          <w:p w:rsidR="006E0406" w:rsidRPr="00BA28A2" w:rsidRDefault="0029602A" w:rsidP="006E0406">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A28A2">
              <w:rPr>
                <w:sz w:val="20"/>
                <w:szCs w:val="20"/>
              </w:rPr>
              <w:t xml:space="preserve">140 000, </w:t>
            </w:r>
            <w:r w:rsidRPr="00BA28A2">
              <w:rPr>
                <w:rFonts w:eastAsia="Times New Roman" w:cs="Times New Roman"/>
                <w:color w:val="000000"/>
                <w:sz w:val="20"/>
                <w:szCs w:val="20"/>
                <w:lang w:eastAsia="lv-LV"/>
              </w:rPr>
              <w:t>OCTA līdzekļi vai valsts budžets</w:t>
            </w:r>
          </w:p>
        </w:tc>
      </w:tr>
      <w:tr w:rsidR="008F151B" w:rsidRPr="00174C24" w:rsidTr="008F151B">
        <w:trPr>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8F151B" w:rsidRPr="00341A33" w:rsidRDefault="008F151B" w:rsidP="008F151B">
            <w:pPr>
              <w:rPr>
                <w:rFonts w:cs="Times New Roman"/>
                <w:b w:val="0"/>
                <w:color w:val="000000" w:themeColor="text1"/>
                <w:sz w:val="20"/>
                <w:szCs w:val="20"/>
              </w:rPr>
            </w:pPr>
            <w:r w:rsidRPr="00341A33">
              <w:rPr>
                <w:rFonts w:cs="Times New Roman"/>
                <w:b w:val="0"/>
                <w:bCs w:val="0"/>
                <w:color w:val="000000" w:themeColor="text1"/>
                <w:sz w:val="20"/>
                <w:szCs w:val="20"/>
              </w:rPr>
              <w:t xml:space="preserve">5. </w:t>
            </w:r>
          </w:p>
        </w:tc>
        <w:tc>
          <w:tcPr>
            <w:tcW w:w="3275" w:type="dxa"/>
            <w:shd w:val="clear" w:color="auto" w:fill="auto"/>
          </w:tcPr>
          <w:p w:rsidR="008F151B" w:rsidRPr="00BA28A2" w:rsidRDefault="008F151B" w:rsidP="008F151B">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41A2D">
              <w:rPr>
                <w:rFonts w:eastAsia="Times New Roman" w:cs="Times New Roman"/>
                <w:color w:val="000000" w:themeColor="text1"/>
                <w:sz w:val="20"/>
                <w:szCs w:val="20"/>
                <w:lang w:eastAsia="lv-LV"/>
              </w:rPr>
              <w:t xml:space="preserve">Pilnveidot apdrošinātāju, LTAB, valsts institūciju un </w:t>
            </w:r>
            <w:proofErr w:type="spellStart"/>
            <w:r w:rsidRPr="00E41A2D">
              <w:rPr>
                <w:rFonts w:eastAsia="Times New Roman" w:cs="Times New Roman"/>
                <w:color w:val="000000" w:themeColor="text1"/>
                <w:sz w:val="20"/>
                <w:szCs w:val="20"/>
                <w:lang w:eastAsia="lv-LV"/>
              </w:rPr>
              <w:t>tiesībsargājošo</w:t>
            </w:r>
            <w:proofErr w:type="spellEnd"/>
            <w:r w:rsidRPr="00E41A2D">
              <w:rPr>
                <w:rFonts w:eastAsia="Times New Roman" w:cs="Times New Roman"/>
                <w:color w:val="000000" w:themeColor="text1"/>
                <w:sz w:val="20"/>
                <w:szCs w:val="20"/>
                <w:lang w:eastAsia="lv-LV"/>
              </w:rPr>
              <w:t xml:space="preserve"> institūciju informācijas apmaiņu kriminālprocesa gadījumā</w:t>
            </w:r>
          </w:p>
          <w:p w:rsidR="008F151B" w:rsidRPr="00BA28A2" w:rsidRDefault="008F151B" w:rsidP="008F151B">
            <w:pPr>
              <w:spacing w:after="20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2977" w:type="dxa"/>
            <w:shd w:val="clear" w:color="auto" w:fill="auto"/>
          </w:tcPr>
          <w:p w:rsidR="008F151B" w:rsidRPr="00BA28A2" w:rsidRDefault="008F151B" w:rsidP="001221E6">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41A2D">
              <w:rPr>
                <w:rFonts w:cs="Times New Roman"/>
                <w:color w:val="000000" w:themeColor="text1"/>
                <w:sz w:val="20"/>
                <w:szCs w:val="20"/>
              </w:rPr>
              <w:t>Veikti grozījumi attiecīgajos normatīvajos akto</w:t>
            </w:r>
            <w:r w:rsidR="001221E6">
              <w:rPr>
                <w:rFonts w:cs="Times New Roman"/>
                <w:color w:val="000000" w:themeColor="text1"/>
                <w:sz w:val="20"/>
                <w:szCs w:val="20"/>
              </w:rPr>
              <w:t>s (OCTA likums, Kriminālprocesa likums</w:t>
            </w:r>
            <w:r w:rsidRPr="00E41A2D">
              <w:rPr>
                <w:rFonts w:cs="Times New Roman"/>
                <w:color w:val="000000" w:themeColor="text1"/>
                <w:sz w:val="20"/>
                <w:szCs w:val="20"/>
              </w:rPr>
              <w:t>,</w:t>
            </w:r>
            <w:r w:rsidR="001221E6">
              <w:rPr>
                <w:rFonts w:cs="Times New Roman"/>
                <w:color w:val="000000" w:themeColor="text1"/>
                <w:sz w:val="20"/>
                <w:szCs w:val="20"/>
              </w:rPr>
              <w:t xml:space="preserve"> </w:t>
            </w:r>
            <w:r w:rsidR="001221E6" w:rsidRPr="001221E6">
              <w:rPr>
                <w:rFonts w:cs="Times New Roman"/>
                <w:color w:val="000000" w:themeColor="text1"/>
                <w:sz w:val="20"/>
                <w:szCs w:val="20"/>
              </w:rPr>
              <w:t xml:space="preserve">Kriminālprocesa informācijas sistēmas </w:t>
            </w:r>
            <w:r w:rsidR="001221E6">
              <w:rPr>
                <w:rFonts w:cs="Times New Roman"/>
                <w:color w:val="000000" w:themeColor="text1"/>
                <w:sz w:val="20"/>
                <w:szCs w:val="20"/>
              </w:rPr>
              <w:t xml:space="preserve">MK </w:t>
            </w:r>
            <w:r w:rsidR="001221E6" w:rsidRPr="001221E6">
              <w:rPr>
                <w:rFonts w:cs="Times New Roman"/>
                <w:color w:val="000000" w:themeColor="text1"/>
                <w:sz w:val="20"/>
                <w:szCs w:val="20"/>
              </w:rPr>
              <w:t>noteikumi</w:t>
            </w:r>
            <w:r w:rsidR="001221E6">
              <w:rPr>
                <w:rFonts w:cs="Times New Roman"/>
                <w:color w:val="000000" w:themeColor="text1"/>
                <w:sz w:val="20"/>
                <w:szCs w:val="20"/>
              </w:rPr>
              <w:t xml:space="preserve"> </w:t>
            </w:r>
            <w:r w:rsidRPr="00E41A2D">
              <w:rPr>
                <w:rFonts w:cs="Times New Roman"/>
                <w:color w:val="000000" w:themeColor="text1"/>
                <w:sz w:val="20"/>
                <w:szCs w:val="20"/>
              </w:rPr>
              <w:t xml:space="preserve">u.c.) lai ieviestu elektronisku informācijas  apmaiņu tiešsaistē starp apdrošinātājiem, LTAB, valsts institūcijām un </w:t>
            </w:r>
            <w:proofErr w:type="spellStart"/>
            <w:r w:rsidRPr="00E41A2D">
              <w:rPr>
                <w:rFonts w:cs="Times New Roman"/>
                <w:color w:val="000000" w:themeColor="text1"/>
                <w:sz w:val="20"/>
                <w:szCs w:val="20"/>
              </w:rPr>
              <w:t>tiesībsargājošajām</w:t>
            </w:r>
            <w:proofErr w:type="spellEnd"/>
            <w:r w:rsidRPr="00E41A2D">
              <w:rPr>
                <w:rFonts w:cs="Times New Roman"/>
                <w:color w:val="000000" w:themeColor="text1"/>
                <w:sz w:val="20"/>
                <w:szCs w:val="20"/>
              </w:rPr>
              <w:t xml:space="preserve"> iestādēm kriminālprocesā.</w:t>
            </w:r>
          </w:p>
        </w:tc>
        <w:tc>
          <w:tcPr>
            <w:tcW w:w="2678" w:type="dxa"/>
            <w:shd w:val="clear" w:color="auto" w:fill="auto"/>
          </w:tcPr>
          <w:p w:rsidR="008F151B" w:rsidRPr="00BA28A2" w:rsidRDefault="008F151B" w:rsidP="008F151B">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41A2D">
              <w:rPr>
                <w:rFonts w:cs="Times New Roman"/>
                <w:color w:val="000000" w:themeColor="text1"/>
                <w:sz w:val="20"/>
                <w:szCs w:val="20"/>
              </w:rPr>
              <w:t xml:space="preserve">Ieviesta Elektroniska </w:t>
            </w:r>
            <w:r w:rsidR="00A528CE">
              <w:rPr>
                <w:rFonts w:cs="Times New Roman"/>
                <w:color w:val="000000" w:themeColor="text1"/>
                <w:sz w:val="20"/>
                <w:szCs w:val="20"/>
              </w:rPr>
              <w:t>informācijas apmaiņa tiešsaistē</w:t>
            </w:r>
            <w:r w:rsidRPr="00E41A2D">
              <w:rPr>
                <w:rFonts w:cs="Times New Roman"/>
                <w:color w:val="000000" w:themeColor="text1"/>
                <w:sz w:val="20"/>
                <w:szCs w:val="20"/>
              </w:rPr>
              <w:t xml:space="preserve"> starp apdrošinātājiem, LTAB, valsts institūcijām un </w:t>
            </w:r>
            <w:proofErr w:type="spellStart"/>
            <w:r w:rsidRPr="00E41A2D">
              <w:rPr>
                <w:rFonts w:cs="Times New Roman"/>
                <w:color w:val="000000" w:themeColor="text1"/>
                <w:sz w:val="20"/>
                <w:szCs w:val="20"/>
              </w:rPr>
              <w:t>tiesībsargājošajām</w:t>
            </w:r>
            <w:proofErr w:type="spellEnd"/>
            <w:r w:rsidRPr="00E41A2D">
              <w:rPr>
                <w:rFonts w:cs="Times New Roman"/>
                <w:color w:val="000000" w:themeColor="text1"/>
                <w:sz w:val="20"/>
                <w:szCs w:val="20"/>
              </w:rPr>
              <w:t xml:space="preserve"> iestādēm par </w:t>
            </w:r>
            <w:proofErr w:type="spellStart"/>
            <w:r w:rsidRPr="00E41A2D">
              <w:rPr>
                <w:rFonts w:cs="Times New Roman"/>
                <w:color w:val="000000" w:themeColor="text1"/>
                <w:sz w:val="20"/>
                <w:szCs w:val="20"/>
              </w:rPr>
              <w:t>CSNg</w:t>
            </w:r>
            <w:proofErr w:type="spellEnd"/>
            <w:r w:rsidRPr="00E41A2D">
              <w:rPr>
                <w:rFonts w:cs="Times New Roman"/>
                <w:color w:val="000000" w:themeColor="text1"/>
                <w:sz w:val="20"/>
                <w:szCs w:val="20"/>
              </w:rPr>
              <w:t xml:space="preserve"> apstākļiem, cietušajām un atbildīgajām personām, kā arī kriminālprocesā pieņemtajiem lēmumiem, lai nodrošinātu apdrošināšanas atlīdzības izmaksu cietušajām personām negaidot gala nolēmumu kriminālprocesā.</w:t>
            </w:r>
          </w:p>
        </w:tc>
        <w:tc>
          <w:tcPr>
            <w:tcW w:w="1134" w:type="dxa"/>
            <w:shd w:val="clear" w:color="auto" w:fill="auto"/>
          </w:tcPr>
          <w:p w:rsidR="008F151B" w:rsidRPr="00BA28A2" w:rsidRDefault="008F151B" w:rsidP="008F151B">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t>FM</w:t>
            </w:r>
          </w:p>
        </w:tc>
        <w:tc>
          <w:tcPr>
            <w:tcW w:w="1418" w:type="dxa"/>
            <w:shd w:val="clear" w:color="auto" w:fill="auto"/>
          </w:tcPr>
          <w:p w:rsidR="008F151B" w:rsidRPr="00BA28A2" w:rsidRDefault="008F151B" w:rsidP="008F151B">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t xml:space="preserve"> </w:t>
            </w:r>
            <w:r w:rsidRPr="00F33C8B">
              <w:rPr>
                <w:rFonts w:cs="Times New Roman"/>
                <w:color w:val="000000" w:themeColor="text1"/>
                <w:sz w:val="20"/>
                <w:szCs w:val="20"/>
              </w:rPr>
              <w:t>IeM (VP), Ģenerālprokuratūra, LTAB;</w:t>
            </w:r>
          </w:p>
        </w:tc>
        <w:tc>
          <w:tcPr>
            <w:tcW w:w="1559" w:type="dxa"/>
            <w:shd w:val="clear" w:color="auto" w:fill="auto"/>
          </w:tcPr>
          <w:p w:rsidR="008F151B" w:rsidRPr="00BA28A2" w:rsidRDefault="008F151B" w:rsidP="008F151B">
            <w:pP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sz w:val="20"/>
                <w:szCs w:val="20"/>
              </w:rPr>
            </w:pPr>
            <w:r w:rsidRPr="00BA28A2">
              <w:rPr>
                <w:rFonts w:cs="Times New Roman"/>
                <w:color w:val="000000" w:themeColor="text1"/>
                <w:sz w:val="20"/>
                <w:szCs w:val="20"/>
              </w:rPr>
              <w:t>3</w:t>
            </w:r>
            <w:r>
              <w:rPr>
                <w:rFonts w:cs="Times New Roman"/>
                <w:color w:val="000000" w:themeColor="text1"/>
                <w:sz w:val="20"/>
                <w:szCs w:val="20"/>
              </w:rPr>
              <w:t>1.12.2020</w:t>
            </w:r>
            <w:r w:rsidRPr="00BA28A2">
              <w:rPr>
                <w:rFonts w:cs="Times New Roman"/>
                <w:color w:val="000000" w:themeColor="text1"/>
                <w:sz w:val="20"/>
                <w:szCs w:val="20"/>
              </w:rPr>
              <w:t>.</w:t>
            </w:r>
          </w:p>
        </w:tc>
        <w:tc>
          <w:tcPr>
            <w:tcW w:w="2126" w:type="dxa"/>
            <w:shd w:val="clear" w:color="auto" w:fill="auto"/>
          </w:tcPr>
          <w:p w:rsidR="008F151B" w:rsidRPr="00BA28A2" w:rsidRDefault="008F151B" w:rsidP="008F151B">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33C8B">
              <w:rPr>
                <w:rFonts w:cs="Times New Roman"/>
                <w:sz w:val="20"/>
                <w:szCs w:val="20"/>
              </w:rPr>
              <w:t>Tiks noteikts pēc izpētes.</w:t>
            </w:r>
          </w:p>
        </w:tc>
      </w:tr>
      <w:tr w:rsidR="006E0406" w:rsidRPr="00174C24" w:rsidTr="00DC5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861" w:type="dxa"/>
            <w:gridSpan w:val="8"/>
          </w:tcPr>
          <w:p w:rsidR="006E0406" w:rsidRDefault="006E0406" w:rsidP="006E0406">
            <w:pPr>
              <w:rPr>
                <w:rFonts w:cs="Times New Roman"/>
                <w:b w:val="0"/>
                <w:sz w:val="20"/>
                <w:szCs w:val="20"/>
                <w:highlight w:val="yellow"/>
              </w:rPr>
            </w:pPr>
          </w:p>
          <w:p w:rsidR="006E0406" w:rsidRDefault="00CD12A0" w:rsidP="006E0406">
            <w:pPr>
              <w:rPr>
                <w:rFonts w:eastAsia="Times New Roman" w:cs="Times New Roman"/>
                <w:i/>
                <w:noProof/>
                <w:color w:val="000000" w:themeColor="text1"/>
                <w:u w:val="single"/>
                <w:lang w:eastAsia="lv-LV"/>
              </w:rPr>
            </w:pPr>
            <w:r>
              <w:rPr>
                <w:rFonts w:cs="Times New Roman"/>
                <w:i/>
                <w:u w:val="single"/>
              </w:rPr>
              <w:t>3</w:t>
            </w:r>
            <w:r w:rsidR="0073504A" w:rsidRPr="0073504A">
              <w:rPr>
                <w:rFonts w:cs="Times New Roman"/>
                <w:i/>
                <w:u w:val="single"/>
              </w:rPr>
              <w:t xml:space="preserve">.1.4. Preventīvie pasākumi </w:t>
            </w:r>
            <w:r w:rsidR="0073504A" w:rsidRPr="0073504A">
              <w:rPr>
                <w:rFonts w:eastAsia="Times New Roman" w:cs="Times New Roman"/>
                <w:i/>
                <w:noProof/>
                <w:color w:val="000000" w:themeColor="text1"/>
                <w:u w:val="single"/>
                <w:lang w:eastAsia="lv-LV"/>
              </w:rPr>
              <w:t>ceļu</w:t>
            </w:r>
            <w:r w:rsidR="001F194E">
              <w:rPr>
                <w:rFonts w:eastAsia="Times New Roman" w:cs="Times New Roman"/>
                <w:i/>
                <w:noProof/>
                <w:color w:val="000000" w:themeColor="text1"/>
                <w:u w:val="single"/>
                <w:lang w:eastAsia="lv-LV"/>
              </w:rPr>
              <w:t xml:space="preserve"> satiksmes dalībnieku kontrolei</w:t>
            </w:r>
          </w:p>
          <w:p w:rsidR="004C5A8F" w:rsidRPr="0073504A" w:rsidRDefault="004C5A8F" w:rsidP="006E0406">
            <w:pPr>
              <w:rPr>
                <w:rFonts w:cs="Times New Roman"/>
                <w:i/>
                <w:u w:val="single"/>
              </w:rPr>
            </w:pPr>
          </w:p>
          <w:p w:rsidR="006E0406" w:rsidRPr="00E10811" w:rsidRDefault="006E0406" w:rsidP="006E0406">
            <w:pPr>
              <w:rPr>
                <w:rFonts w:cs="Times New Roman"/>
                <w:b w:val="0"/>
                <w:sz w:val="20"/>
                <w:szCs w:val="20"/>
                <w:highlight w:val="yellow"/>
              </w:rPr>
            </w:pPr>
          </w:p>
        </w:tc>
      </w:tr>
      <w:tr w:rsidR="00BA28A2" w:rsidRPr="00174C24" w:rsidTr="009D1429">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Default="00341A33" w:rsidP="004C5A8F">
            <w:pPr>
              <w:rPr>
                <w:rFonts w:cs="Times New Roman"/>
                <w:bCs w:val="0"/>
                <w:color w:val="000000" w:themeColor="text1"/>
                <w:sz w:val="20"/>
                <w:szCs w:val="20"/>
                <w:u w:val="single"/>
              </w:rPr>
            </w:pPr>
            <w:r>
              <w:rPr>
                <w:rFonts w:eastAsia="Times New Roman" w:cs="Times New Roman"/>
                <w:b w:val="0"/>
                <w:bCs w:val="0"/>
                <w:color w:val="000000" w:themeColor="text1"/>
                <w:kern w:val="24"/>
                <w:sz w:val="20"/>
                <w:szCs w:val="20"/>
                <w:lang w:eastAsia="lv-LV"/>
              </w:rPr>
              <w:t>6.</w:t>
            </w:r>
          </w:p>
        </w:tc>
        <w:tc>
          <w:tcPr>
            <w:tcW w:w="3275" w:type="dxa"/>
          </w:tcPr>
          <w:p w:rsidR="004C5A8F" w:rsidRPr="00862149" w:rsidRDefault="00DE732E" w:rsidP="005A6F6A">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DE732E">
              <w:rPr>
                <w:rFonts w:eastAsia="Times New Roman" w:cs="Times New Roman"/>
                <w:color w:val="000000" w:themeColor="text1"/>
                <w:sz w:val="20"/>
                <w:szCs w:val="20"/>
                <w:lang w:eastAsia="lv-LV"/>
              </w:rPr>
              <w:t>Veikt stacionāro tehnisko līdzekļu (</w:t>
            </w:r>
            <w:proofErr w:type="spellStart"/>
            <w:r w:rsidRPr="00DE732E">
              <w:rPr>
                <w:rFonts w:eastAsia="Times New Roman" w:cs="Times New Roman"/>
                <w:color w:val="000000" w:themeColor="text1"/>
                <w:sz w:val="20"/>
                <w:szCs w:val="20"/>
                <w:lang w:eastAsia="lv-LV"/>
              </w:rPr>
              <w:t>fotoiekārtu</w:t>
            </w:r>
            <w:proofErr w:type="spellEnd"/>
            <w:r w:rsidRPr="00DE732E">
              <w:rPr>
                <w:rFonts w:eastAsia="Times New Roman" w:cs="Times New Roman"/>
                <w:color w:val="000000" w:themeColor="text1"/>
                <w:sz w:val="20"/>
                <w:szCs w:val="20"/>
                <w:lang w:eastAsia="lv-LV"/>
              </w:rPr>
              <w:t xml:space="preserve"> vai videoiekārtu) iegādi un uzstādīšanu</w:t>
            </w:r>
            <w:r>
              <w:rPr>
                <w:rFonts w:eastAsia="Times New Roman" w:cs="Times New Roman"/>
                <w:color w:val="000000" w:themeColor="text1"/>
                <w:sz w:val="20"/>
                <w:szCs w:val="20"/>
                <w:lang w:eastAsia="lv-LV"/>
              </w:rPr>
              <w:t>.</w:t>
            </w:r>
          </w:p>
        </w:tc>
        <w:tc>
          <w:tcPr>
            <w:tcW w:w="2977" w:type="dxa"/>
          </w:tcPr>
          <w:p w:rsidR="004C5A8F" w:rsidRPr="00AA3AC8" w:rsidRDefault="009D2BB2" w:rsidP="009D2BB2">
            <w:pPr>
              <w:spacing w:before="100" w:beforeAutospacing="1"/>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A3AC8">
              <w:rPr>
                <w:rFonts w:eastAsia="Times New Roman" w:cs="Times New Roman"/>
                <w:color w:val="000000" w:themeColor="text1"/>
                <w:sz w:val="20"/>
                <w:szCs w:val="20"/>
              </w:rPr>
              <w:t xml:space="preserve">Papildināta </w:t>
            </w:r>
            <w:r w:rsidR="004C5A8F" w:rsidRPr="00AA3AC8">
              <w:rPr>
                <w:rFonts w:eastAsia="Times New Roman" w:cs="Times New Roman"/>
                <w:color w:val="000000" w:themeColor="text1"/>
                <w:sz w:val="20"/>
                <w:szCs w:val="20"/>
              </w:rPr>
              <w:t xml:space="preserve">ceļu satiksmes </w:t>
            </w:r>
            <w:r w:rsidRPr="00AA3AC8">
              <w:rPr>
                <w:rFonts w:eastAsia="Times New Roman" w:cs="Times New Roman"/>
                <w:color w:val="000000" w:themeColor="text1"/>
                <w:sz w:val="20"/>
                <w:szCs w:val="20"/>
              </w:rPr>
              <w:t xml:space="preserve">dalībnieku uzraudzība ar </w:t>
            </w:r>
            <w:r w:rsidR="003A15EC" w:rsidRPr="00AA3AC8">
              <w:rPr>
                <w:rFonts w:eastAsia="Times New Roman" w:cs="Times New Roman"/>
                <w:color w:val="000000" w:themeColor="text1"/>
                <w:sz w:val="20"/>
                <w:szCs w:val="20"/>
              </w:rPr>
              <w:t>stacionārajiem radariem.</w:t>
            </w:r>
          </w:p>
        </w:tc>
        <w:tc>
          <w:tcPr>
            <w:tcW w:w="2678" w:type="dxa"/>
          </w:tcPr>
          <w:p w:rsidR="004C5A8F" w:rsidRPr="00BA28A2" w:rsidRDefault="00DE732E" w:rsidP="004C5A8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DE732E">
              <w:rPr>
                <w:rFonts w:cs="Times New Roman"/>
                <w:color w:val="000000" w:themeColor="text1"/>
                <w:sz w:val="20"/>
                <w:szCs w:val="20"/>
              </w:rPr>
              <w:t>Iegādāti un uzstādīti 60 (2017.gadā – 20, 2018.gadā – 40) stacionārie foto un video radari</w:t>
            </w:r>
            <w:r>
              <w:rPr>
                <w:rFonts w:cs="Times New Roman"/>
                <w:color w:val="000000" w:themeColor="text1"/>
                <w:sz w:val="20"/>
                <w:szCs w:val="20"/>
              </w:rPr>
              <w:t>.</w:t>
            </w:r>
          </w:p>
        </w:tc>
        <w:tc>
          <w:tcPr>
            <w:tcW w:w="1134" w:type="dxa"/>
          </w:tcPr>
          <w:p w:rsidR="004C5A8F" w:rsidRPr="00BA28A2" w:rsidRDefault="00DE732E" w:rsidP="004C5A8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eastAsia="Times New Roman" w:cs="Times New Roman"/>
                <w:color w:val="000000" w:themeColor="text1"/>
                <w:sz w:val="20"/>
                <w:szCs w:val="20"/>
                <w:lang w:eastAsia="lv-LV"/>
              </w:rPr>
              <w:t>SM (CSDD)</w:t>
            </w:r>
          </w:p>
        </w:tc>
        <w:tc>
          <w:tcPr>
            <w:tcW w:w="1418" w:type="dxa"/>
          </w:tcPr>
          <w:p w:rsidR="004C5A8F" w:rsidRPr="00BA28A2" w:rsidRDefault="00DE732E" w:rsidP="004C5A8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eastAsia="Times New Roman" w:cs="Times New Roman"/>
                <w:color w:val="000000" w:themeColor="text1"/>
                <w:sz w:val="20"/>
                <w:szCs w:val="20"/>
                <w:lang w:eastAsia="lv-LV"/>
              </w:rPr>
              <w:t>IeM (VP)</w:t>
            </w:r>
          </w:p>
        </w:tc>
        <w:tc>
          <w:tcPr>
            <w:tcW w:w="1559" w:type="dxa"/>
          </w:tcPr>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A28A2">
              <w:rPr>
                <w:rFonts w:eastAsia="Times New Roman" w:cs="Times New Roman"/>
                <w:color w:val="000000" w:themeColor="text1"/>
                <w:sz w:val="20"/>
                <w:szCs w:val="20"/>
                <w:lang w:eastAsia="lv-LV"/>
              </w:rPr>
              <w:t>31.12.2017.</w:t>
            </w:r>
          </w:p>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p w:rsidR="000014AE" w:rsidRPr="00BA28A2" w:rsidRDefault="000014A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p w:rsidR="004C5A8F" w:rsidRPr="00BA28A2" w:rsidRDefault="00AA3AC8" w:rsidP="004C5A8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BA28A2">
              <w:rPr>
                <w:rFonts w:eastAsia="Times New Roman" w:cs="Times New Roman"/>
                <w:color w:val="000000" w:themeColor="text1"/>
                <w:sz w:val="20"/>
                <w:szCs w:val="20"/>
                <w:lang w:eastAsia="lv-LV"/>
              </w:rPr>
              <w:t>31.12.2018.</w:t>
            </w:r>
          </w:p>
        </w:tc>
        <w:tc>
          <w:tcPr>
            <w:tcW w:w="2126" w:type="dxa"/>
            <w:shd w:val="clear" w:color="auto" w:fill="auto"/>
          </w:tcPr>
          <w:p w:rsidR="000014AE" w:rsidRPr="00BA28A2" w:rsidRDefault="00DC57D4"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CSDD dividendes</w:t>
            </w:r>
          </w:p>
          <w:p w:rsidR="000014AE" w:rsidRPr="00BA28A2" w:rsidRDefault="000014AE"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0014AE" w:rsidRPr="00BA28A2" w:rsidRDefault="000014AE"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A28A2">
              <w:rPr>
                <w:rFonts w:cs="Times New Roman"/>
                <w:sz w:val="20"/>
                <w:szCs w:val="20"/>
              </w:rPr>
              <w:t>1 440 878</w:t>
            </w:r>
          </w:p>
          <w:p w:rsidR="000014AE" w:rsidRPr="00BA28A2" w:rsidRDefault="000014AE"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0014AE" w:rsidRPr="00BA28A2" w:rsidRDefault="000014AE"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0014AE" w:rsidRPr="00BA28A2" w:rsidRDefault="000014AE"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0014AE" w:rsidRPr="00BA28A2" w:rsidRDefault="000014AE" w:rsidP="000014AE">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p w:rsidR="004C5A8F" w:rsidRPr="00BA28A2" w:rsidRDefault="000014AE" w:rsidP="000014A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A28A2">
              <w:rPr>
                <w:rFonts w:cs="Times New Roman"/>
                <w:sz w:val="20"/>
                <w:szCs w:val="20"/>
              </w:rPr>
              <w:t xml:space="preserve">2 881 757  </w:t>
            </w:r>
          </w:p>
        </w:tc>
      </w:tr>
      <w:tr w:rsidR="00DC57D4"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BA28A2"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bCs w:val="0"/>
                <w:color w:val="000000" w:themeColor="text1"/>
                <w:kern w:val="24"/>
                <w:sz w:val="20"/>
                <w:szCs w:val="20"/>
                <w:lang w:eastAsia="lv-LV"/>
              </w:rPr>
              <w:lastRenderedPageBreak/>
              <w:t>7.</w:t>
            </w:r>
          </w:p>
        </w:tc>
        <w:tc>
          <w:tcPr>
            <w:tcW w:w="3275" w:type="dxa"/>
          </w:tcPr>
          <w:p w:rsidR="004C5A8F" w:rsidRPr="00DC57D4" w:rsidRDefault="00106328" w:rsidP="00106328">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lang w:eastAsia="ar-SA"/>
              </w:rPr>
            </w:pPr>
            <w:r w:rsidRPr="00DC57D4">
              <w:rPr>
                <w:rFonts w:eastAsia="Times New Roman" w:cs="Times New Roman"/>
                <w:sz w:val="20"/>
                <w:szCs w:val="20"/>
                <w:lang w:eastAsia="lv-LV"/>
              </w:rPr>
              <w:t>Veikt p</w:t>
            </w:r>
            <w:r w:rsidR="004C5A8F" w:rsidRPr="00DC57D4">
              <w:rPr>
                <w:rFonts w:eastAsia="Times New Roman" w:cs="Times New Roman"/>
                <w:sz w:val="20"/>
                <w:szCs w:val="20"/>
                <w:lang w:eastAsia="lv-LV"/>
              </w:rPr>
              <w:t>ortatīvo mērierīču alkohola koncentrācijas noteikšanai izelpojamā gaisā</w:t>
            </w:r>
            <w:r w:rsidRPr="00DC57D4">
              <w:rPr>
                <w:rFonts w:eastAsia="Times New Roman" w:cs="Times New Roman"/>
                <w:color w:val="000000"/>
                <w:sz w:val="20"/>
                <w:szCs w:val="20"/>
                <w:lang w:eastAsia="lv-LV"/>
              </w:rPr>
              <w:t xml:space="preserve"> iegādi</w:t>
            </w:r>
            <w:r w:rsidR="004C5A8F" w:rsidRPr="00DC57D4">
              <w:rPr>
                <w:rFonts w:eastAsia="Times New Roman" w:cs="Times New Roman"/>
                <w:color w:val="000000"/>
                <w:sz w:val="20"/>
                <w:szCs w:val="20"/>
                <w:lang w:eastAsia="lv-LV"/>
              </w:rPr>
              <w:t xml:space="preserve">. </w:t>
            </w:r>
          </w:p>
        </w:tc>
        <w:tc>
          <w:tcPr>
            <w:tcW w:w="2977" w:type="dxa"/>
          </w:tcPr>
          <w:p w:rsidR="004C5A8F" w:rsidRPr="00DC57D4" w:rsidRDefault="004C5A8F" w:rsidP="00106328">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DC57D4">
              <w:rPr>
                <w:rFonts w:eastAsia="Calibri" w:cs="Times New Roman"/>
                <w:sz w:val="20"/>
                <w:szCs w:val="20"/>
              </w:rPr>
              <w:t>Nodrošināta vadītāju, kas vada TL, būdami alkoholi</w:t>
            </w:r>
            <w:r w:rsidR="00106328" w:rsidRPr="00DC57D4">
              <w:rPr>
                <w:rFonts w:eastAsia="Calibri" w:cs="Times New Roman"/>
                <w:sz w:val="20"/>
                <w:szCs w:val="20"/>
              </w:rPr>
              <w:t>sko dzērienu iespaidā</w:t>
            </w:r>
            <w:r w:rsidR="001F194E">
              <w:rPr>
                <w:rFonts w:eastAsia="Calibri" w:cs="Times New Roman"/>
                <w:sz w:val="20"/>
                <w:szCs w:val="20"/>
              </w:rPr>
              <w:t>,</w:t>
            </w:r>
            <w:r w:rsidR="00106328" w:rsidRPr="00DC57D4">
              <w:rPr>
                <w:rFonts w:eastAsia="Calibri" w:cs="Times New Roman"/>
                <w:sz w:val="20"/>
                <w:szCs w:val="20"/>
              </w:rPr>
              <w:t xml:space="preserve"> kontrole.</w:t>
            </w:r>
          </w:p>
        </w:tc>
        <w:tc>
          <w:tcPr>
            <w:tcW w:w="2678" w:type="dxa"/>
          </w:tcPr>
          <w:p w:rsidR="004C5A8F" w:rsidRPr="00DC57D4" w:rsidRDefault="0019748E" w:rsidP="00117B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9748E">
              <w:rPr>
                <w:rFonts w:cs="Times New Roman"/>
                <w:sz w:val="20"/>
                <w:szCs w:val="20"/>
              </w:rPr>
              <w:t>Iegādātas 130 (2017.gadā - 30, 2018.gadā - 50, 2020.gadā - 50) portatīvās mērierīces alkohola koncentrācijas noteikšanai izelpojamā gaisā</w:t>
            </w:r>
            <w:r w:rsidR="00407708">
              <w:rPr>
                <w:rFonts w:cs="Times New Roman"/>
                <w:sz w:val="20"/>
                <w:szCs w:val="20"/>
              </w:rPr>
              <w:t>.</w:t>
            </w:r>
          </w:p>
        </w:tc>
        <w:tc>
          <w:tcPr>
            <w:tcW w:w="1134" w:type="dxa"/>
          </w:tcPr>
          <w:p w:rsidR="004C5A8F" w:rsidRPr="00DC57D4"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DC57D4">
              <w:rPr>
                <w:rFonts w:eastAsia="Times New Roman" w:cs="Times New Roman"/>
                <w:color w:val="000000"/>
                <w:kern w:val="24"/>
                <w:sz w:val="20"/>
                <w:szCs w:val="20"/>
                <w:lang w:eastAsia="lv-LV"/>
              </w:rPr>
              <w:t xml:space="preserve">IeM </w:t>
            </w:r>
            <w:r w:rsidR="00FD0C64">
              <w:rPr>
                <w:rFonts w:eastAsia="Times New Roman" w:cs="Times New Roman"/>
                <w:color w:val="000000"/>
                <w:kern w:val="24"/>
                <w:sz w:val="20"/>
                <w:szCs w:val="20"/>
                <w:lang w:eastAsia="lv-LV"/>
              </w:rPr>
              <w:t>(</w:t>
            </w:r>
            <w:r w:rsidRPr="00DC57D4">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tcPr>
          <w:p w:rsidR="004C5A8F" w:rsidRPr="00DC57D4"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DC57D4">
              <w:rPr>
                <w:rFonts w:eastAsia="Times New Roman" w:cs="Times New Roman"/>
                <w:color w:val="000000"/>
                <w:sz w:val="20"/>
                <w:szCs w:val="20"/>
                <w:lang w:eastAsia="lv-LV"/>
              </w:rPr>
              <w:t>SM</w:t>
            </w:r>
          </w:p>
        </w:tc>
        <w:tc>
          <w:tcPr>
            <w:tcW w:w="1559" w:type="dxa"/>
          </w:tcPr>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4D8B">
              <w:rPr>
                <w:rFonts w:eastAsia="Times New Roman" w:cs="Times New Roman"/>
                <w:color w:val="000000" w:themeColor="text1"/>
                <w:sz w:val="20"/>
                <w:szCs w:val="20"/>
                <w:lang w:eastAsia="lv-LV"/>
              </w:rPr>
              <w:t>31.12.2017.</w:t>
            </w: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4C5A8F"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4D8B">
              <w:rPr>
                <w:rFonts w:eastAsia="Times New Roman" w:cs="Times New Roman"/>
                <w:color w:val="000000" w:themeColor="text1"/>
                <w:sz w:val="20"/>
                <w:szCs w:val="20"/>
                <w:lang w:eastAsia="lv-LV"/>
              </w:rPr>
              <w:t>31.12.2018.</w:t>
            </w: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4D8B">
              <w:rPr>
                <w:rFonts w:eastAsia="Times New Roman" w:cs="Times New Roman"/>
                <w:color w:val="000000" w:themeColor="text1"/>
                <w:sz w:val="20"/>
                <w:szCs w:val="20"/>
                <w:lang w:eastAsia="lv-LV"/>
              </w:rPr>
              <w:t>31.12.2020.</w:t>
            </w: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20"/>
                <w:szCs w:val="20"/>
                <w:lang w:eastAsia="lv-LV"/>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tc>
        <w:tc>
          <w:tcPr>
            <w:tcW w:w="2126" w:type="dxa"/>
            <w:shd w:val="clear" w:color="auto" w:fill="auto"/>
          </w:tcPr>
          <w:p w:rsidR="00117B36" w:rsidRPr="00E54D8B" w:rsidRDefault="00112FB2"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OCTA vai v</w:t>
            </w:r>
            <w:r w:rsidR="009E3B82" w:rsidRPr="00E54D8B">
              <w:rPr>
                <w:rFonts w:cs="Times New Roman"/>
                <w:color w:val="000000" w:themeColor="text1"/>
                <w:sz w:val="20"/>
                <w:szCs w:val="20"/>
              </w:rPr>
              <w:t xml:space="preserve">alsts budžeta </w:t>
            </w:r>
            <w:r w:rsidR="00117B36" w:rsidRPr="00E54D8B">
              <w:rPr>
                <w:rFonts w:cs="Times New Roman"/>
                <w:color w:val="000000" w:themeColor="text1"/>
                <w:sz w:val="20"/>
                <w:szCs w:val="20"/>
              </w:rPr>
              <w:t>līdzekļi</w:t>
            </w: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117B36" w:rsidRPr="00E54D8B" w:rsidRDefault="0019748E"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27 000</w:t>
            </w: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117B36" w:rsidRPr="00E54D8B" w:rsidRDefault="00117B36"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C5A8F" w:rsidRPr="00E54D8B" w:rsidRDefault="00117B36"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43</w:t>
            </w:r>
            <w:r w:rsidR="0019748E" w:rsidRPr="00E54D8B">
              <w:rPr>
                <w:rFonts w:cs="Times New Roman"/>
                <w:color w:val="000000" w:themeColor="text1"/>
                <w:sz w:val="20"/>
                <w:szCs w:val="20"/>
              </w:rPr>
              <w:t> </w:t>
            </w:r>
            <w:r w:rsidRPr="00E54D8B">
              <w:rPr>
                <w:rFonts w:cs="Times New Roman"/>
                <w:color w:val="000000" w:themeColor="text1"/>
                <w:sz w:val="20"/>
                <w:szCs w:val="20"/>
              </w:rPr>
              <w:t>000</w:t>
            </w: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19748E" w:rsidRPr="00E54D8B" w:rsidRDefault="0019748E"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43</w:t>
            </w:r>
            <w:r w:rsidR="008B1069" w:rsidRPr="00E54D8B">
              <w:rPr>
                <w:rFonts w:cs="Times New Roman"/>
                <w:color w:val="000000" w:themeColor="text1"/>
                <w:sz w:val="20"/>
                <w:szCs w:val="20"/>
              </w:rPr>
              <w:t> </w:t>
            </w:r>
            <w:r w:rsidRPr="00E54D8B">
              <w:rPr>
                <w:rFonts w:cs="Times New Roman"/>
                <w:color w:val="000000" w:themeColor="text1"/>
                <w:sz w:val="20"/>
                <w:szCs w:val="20"/>
              </w:rPr>
              <w:t>000</w:t>
            </w:r>
          </w:p>
          <w:p w:rsidR="008B1069" w:rsidRPr="00E54D8B" w:rsidRDefault="008B1069"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8B1069" w:rsidRPr="00E54D8B" w:rsidRDefault="008B1069" w:rsidP="00117B3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8B1069" w:rsidRPr="00E54D8B" w:rsidRDefault="008B1069" w:rsidP="00117B36">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54D8B">
              <w:rPr>
                <w:rFonts w:cs="Times New Roman"/>
                <w:color w:val="000000" w:themeColor="text1"/>
                <w:sz w:val="20"/>
                <w:szCs w:val="20"/>
              </w:rPr>
              <w:t>Kopā: 113 000</w:t>
            </w:r>
          </w:p>
        </w:tc>
      </w:tr>
      <w:tr w:rsidR="00DC57D4" w:rsidRPr="00174C24" w:rsidTr="009D1429">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341A33" w:rsidRDefault="00341A33" w:rsidP="004C5A8F">
            <w:pPr>
              <w:rPr>
                <w:rFonts w:eastAsia="Times New Roman" w:cs="Times New Roman"/>
                <w:b w:val="0"/>
                <w:bCs w:val="0"/>
                <w:color w:val="000000" w:themeColor="text1"/>
                <w:kern w:val="24"/>
                <w:sz w:val="20"/>
                <w:szCs w:val="20"/>
                <w:lang w:eastAsia="lv-LV"/>
              </w:rPr>
            </w:pPr>
            <w:r w:rsidRPr="00341A33">
              <w:rPr>
                <w:rFonts w:eastAsia="Times New Roman" w:cs="Times New Roman"/>
                <w:b w:val="0"/>
                <w:bCs w:val="0"/>
                <w:color w:val="000000" w:themeColor="text1"/>
                <w:kern w:val="24"/>
                <w:sz w:val="20"/>
                <w:szCs w:val="20"/>
                <w:lang w:eastAsia="lv-LV"/>
              </w:rPr>
              <w:t>8.</w:t>
            </w:r>
          </w:p>
        </w:tc>
        <w:tc>
          <w:tcPr>
            <w:tcW w:w="3275" w:type="dxa"/>
          </w:tcPr>
          <w:p w:rsidR="004C5A8F" w:rsidRPr="00DC57D4" w:rsidRDefault="00106328" w:rsidP="00106328">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DC57D4">
              <w:rPr>
                <w:rFonts w:eastAsia="Times New Roman" w:cs="Times New Roman"/>
                <w:sz w:val="20"/>
                <w:szCs w:val="20"/>
                <w:lang w:eastAsia="lv-LV"/>
              </w:rPr>
              <w:t>Veikt p</w:t>
            </w:r>
            <w:r w:rsidR="004C5A8F" w:rsidRPr="00DC57D4">
              <w:rPr>
                <w:rFonts w:eastAsia="Times New Roman" w:cs="Times New Roman"/>
                <w:sz w:val="20"/>
                <w:szCs w:val="20"/>
                <w:lang w:eastAsia="lv-LV"/>
              </w:rPr>
              <w:t>ortatīvo mērierīču alkohola koncentrācijas noteikšana</w:t>
            </w:r>
            <w:r w:rsidRPr="00DC57D4">
              <w:rPr>
                <w:rFonts w:eastAsia="Times New Roman" w:cs="Times New Roman"/>
                <w:sz w:val="20"/>
                <w:szCs w:val="20"/>
                <w:lang w:eastAsia="lv-LV"/>
              </w:rPr>
              <w:t>i izelpojamā gaisā iemušu iegādi.</w:t>
            </w:r>
            <w:r w:rsidR="004C5A8F" w:rsidRPr="00DC57D4">
              <w:rPr>
                <w:rFonts w:eastAsia="Times New Roman" w:cs="Times New Roman"/>
                <w:sz w:val="20"/>
                <w:szCs w:val="20"/>
                <w:lang w:eastAsia="lv-LV"/>
              </w:rPr>
              <w:t xml:space="preserve"> </w:t>
            </w:r>
          </w:p>
        </w:tc>
        <w:tc>
          <w:tcPr>
            <w:tcW w:w="2977" w:type="dxa"/>
          </w:tcPr>
          <w:p w:rsidR="004C5A8F" w:rsidRPr="00DC57D4" w:rsidRDefault="004C5A8F" w:rsidP="00106328">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57D4">
              <w:rPr>
                <w:rFonts w:eastAsia="Calibri" w:cs="Times New Roman"/>
                <w:sz w:val="20"/>
                <w:szCs w:val="20"/>
              </w:rPr>
              <w:t>Nodrošināta vadītāju, kas vada TL, būdami alkohol</w:t>
            </w:r>
            <w:r w:rsidR="00106328" w:rsidRPr="00DC57D4">
              <w:rPr>
                <w:rFonts w:eastAsia="Calibri" w:cs="Times New Roman"/>
                <w:sz w:val="20"/>
                <w:szCs w:val="20"/>
              </w:rPr>
              <w:t>isko dzērienu iespaidā</w:t>
            </w:r>
            <w:r w:rsidR="001F194E">
              <w:rPr>
                <w:rFonts w:eastAsia="Calibri" w:cs="Times New Roman"/>
                <w:sz w:val="20"/>
                <w:szCs w:val="20"/>
              </w:rPr>
              <w:t>,</w:t>
            </w:r>
            <w:r w:rsidR="00106328" w:rsidRPr="00DC57D4">
              <w:rPr>
                <w:rFonts w:eastAsia="Calibri" w:cs="Times New Roman"/>
                <w:sz w:val="20"/>
                <w:szCs w:val="20"/>
              </w:rPr>
              <w:t xml:space="preserve"> kontrole.</w:t>
            </w:r>
          </w:p>
        </w:tc>
        <w:tc>
          <w:tcPr>
            <w:tcW w:w="2678" w:type="dxa"/>
          </w:tcPr>
          <w:p w:rsidR="004C5A8F" w:rsidRPr="00BA28A2" w:rsidRDefault="00DC141B" w:rsidP="00AF66B9">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C141B">
              <w:rPr>
                <w:rFonts w:eastAsia="Times New Roman" w:cs="Times New Roman"/>
                <w:sz w:val="20"/>
                <w:szCs w:val="20"/>
              </w:rPr>
              <w:t>Katru gadu iegādāti 300 000 portatīvo mērierīču alkohola koncentrācijas noteikšanai izelpojamā gaisā iemuši</w:t>
            </w:r>
            <w:r w:rsidR="00407708">
              <w:rPr>
                <w:rFonts w:eastAsia="Times New Roman" w:cs="Times New Roman"/>
                <w:sz w:val="20"/>
                <w:szCs w:val="20"/>
              </w:rPr>
              <w:t>.</w:t>
            </w:r>
          </w:p>
        </w:tc>
        <w:tc>
          <w:tcPr>
            <w:tcW w:w="1134" w:type="dxa"/>
          </w:tcPr>
          <w:p w:rsidR="004C5A8F" w:rsidRPr="00BA28A2" w:rsidRDefault="004C5A8F"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color w:val="000000"/>
                <w:kern w:val="24"/>
                <w:sz w:val="20"/>
                <w:szCs w:val="20"/>
                <w:lang w:eastAsia="lv-LV"/>
              </w:rPr>
              <w:t xml:space="preserve">IeM </w:t>
            </w:r>
            <w:r w:rsidR="00FD0C64">
              <w:rPr>
                <w:rFonts w:eastAsia="Times New Roman" w:cs="Times New Roman"/>
                <w:color w:val="000000"/>
                <w:kern w:val="24"/>
                <w:sz w:val="20"/>
                <w:szCs w:val="20"/>
                <w:lang w:eastAsia="lv-LV"/>
              </w:rPr>
              <w:t>(</w:t>
            </w:r>
            <w:r w:rsidRPr="00BA28A2">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tcPr>
          <w:p w:rsidR="004C5A8F" w:rsidRPr="00BA28A2" w:rsidRDefault="004C5A8F"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SM</w:t>
            </w:r>
          </w:p>
        </w:tc>
        <w:tc>
          <w:tcPr>
            <w:tcW w:w="1559" w:type="dxa"/>
          </w:tcPr>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8B1069" w:rsidRPr="00E54D8B" w:rsidRDefault="008B1069"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31.12.2017.</w:t>
            </w:r>
          </w:p>
          <w:p w:rsidR="008B1069" w:rsidRPr="00E54D8B" w:rsidRDefault="008B1069"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4C5A8F"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31.12.2018.</w:t>
            </w:r>
          </w:p>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31.12.2019.</w:t>
            </w:r>
          </w:p>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DC141B" w:rsidRPr="00E54D8B" w:rsidRDefault="00DC141B"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31.12.2020.</w:t>
            </w:r>
          </w:p>
        </w:tc>
        <w:tc>
          <w:tcPr>
            <w:tcW w:w="2126" w:type="dxa"/>
            <w:shd w:val="clear" w:color="auto" w:fill="auto"/>
          </w:tcPr>
          <w:p w:rsidR="00AF66B9" w:rsidRPr="00E54D8B" w:rsidRDefault="00112FB2"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OCTA vai v</w:t>
            </w:r>
            <w:r w:rsidR="009E3B82" w:rsidRPr="00E54D8B">
              <w:rPr>
                <w:rFonts w:cs="Times New Roman"/>
                <w:color w:val="000000" w:themeColor="text1"/>
                <w:sz w:val="20"/>
                <w:szCs w:val="20"/>
              </w:rPr>
              <w:t xml:space="preserve">alsts budžeta </w:t>
            </w:r>
            <w:r w:rsidR="00AF66B9" w:rsidRPr="00E54D8B">
              <w:rPr>
                <w:rFonts w:cs="Times New Roman"/>
                <w:color w:val="000000" w:themeColor="text1"/>
                <w:sz w:val="20"/>
                <w:szCs w:val="20"/>
              </w:rPr>
              <w:t xml:space="preserve">līdzekļi </w:t>
            </w:r>
          </w:p>
          <w:p w:rsidR="00AF66B9" w:rsidRPr="00E54D8B" w:rsidRDefault="00AF66B9" w:rsidP="00AF66B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8B1069" w:rsidRPr="00E54D8B" w:rsidRDefault="008B1069"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40 000</w:t>
            </w:r>
          </w:p>
          <w:p w:rsidR="008B1069" w:rsidRPr="00E54D8B" w:rsidRDefault="008B1069"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DC141B" w:rsidRPr="00E54D8B" w:rsidRDefault="00DC141B"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40 000</w:t>
            </w:r>
          </w:p>
          <w:p w:rsidR="00DC141B" w:rsidRPr="00E54D8B" w:rsidRDefault="00DC141B"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DC141B" w:rsidRPr="00E54D8B" w:rsidRDefault="00DC141B"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40 000</w:t>
            </w:r>
          </w:p>
          <w:p w:rsidR="00DC141B" w:rsidRPr="00E54D8B" w:rsidRDefault="00DC141B"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 xml:space="preserve"> </w:t>
            </w:r>
          </w:p>
          <w:p w:rsidR="00DC141B" w:rsidRPr="00E54D8B" w:rsidRDefault="00DC141B"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40</w:t>
            </w:r>
            <w:r w:rsidR="008B1069" w:rsidRPr="00E54D8B">
              <w:rPr>
                <w:rFonts w:cs="Times New Roman"/>
                <w:color w:val="000000" w:themeColor="text1"/>
                <w:sz w:val="20"/>
                <w:szCs w:val="20"/>
              </w:rPr>
              <w:t> </w:t>
            </w:r>
            <w:r w:rsidRPr="00E54D8B">
              <w:rPr>
                <w:rFonts w:cs="Times New Roman"/>
                <w:color w:val="000000" w:themeColor="text1"/>
                <w:sz w:val="20"/>
                <w:szCs w:val="20"/>
              </w:rPr>
              <w:t>000</w:t>
            </w:r>
          </w:p>
          <w:p w:rsidR="008B1069" w:rsidRPr="00E54D8B" w:rsidRDefault="008B1069" w:rsidP="00AF66B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8B1069" w:rsidRPr="00E54D8B" w:rsidRDefault="008B1069" w:rsidP="00AF66B9">
            <w:pPr>
              <w:cnfStyle w:val="000000000000" w:firstRow="0" w:lastRow="0" w:firstColumn="0" w:lastColumn="0" w:oddVBand="0" w:evenVBand="0" w:oddHBand="0" w:evenHBand="0" w:firstRowFirstColumn="0" w:firstRowLastColumn="0" w:lastRowFirstColumn="0" w:lastRowLastColumn="0"/>
              <w:rPr>
                <w:rFonts w:cs="Times New Roman"/>
                <w:color w:val="FF0000"/>
                <w:sz w:val="20"/>
                <w:szCs w:val="20"/>
              </w:rPr>
            </w:pPr>
            <w:r w:rsidRPr="00E54D8B">
              <w:rPr>
                <w:rFonts w:cs="Times New Roman"/>
                <w:color w:val="000000" w:themeColor="text1"/>
                <w:sz w:val="20"/>
                <w:szCs w:val="20"/>
              </w:rPr>
              <w:t>Kopā: 160 000</w:t>
            </w:r>
          </w:p>
        </w:tc>
      </w:tr>
      <w:tr w:rsidR="00DC57D4"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BA28A2"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bCs w:val="0"/>
                <w:color w:val="000000" w:themeColor="text1"/>
                <w:kern w:val="24"/>
                <w:sz w:val="20"/>
                <w:szCs w:val="20"/>
                <w:lang w:eastAsia="lv-LV"/>
              </w:rPr>
              <w:t>9.</w:t>
            </w:r>
          </w:p>
        </w:tc>
        <w:tc>
          <w:tcPr>
            <w:tcW w:w="3275" w:type="dxa"/>
          </w:tcPr>
          <w:p w:rsidR="00AF66B9" w:rsidRPr="00BA28A2" w:rsidRDefault="00106328" w:rsidP="00AF66B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20"/>
                <w:szCs w:val="20"/>
                <w:lang w:eastAsia="lv-LV"/>
              </w:rPr>
            </w:pPr>
            <w:r w:rsidRPr="00BA28A2">
              <w:rPr>
                <w:rFonts w:eastAsia="Times New Roman" w:cs="Times New Roman"/>
                <w:sz w:val="20"/>
                <w:szCs w:val="20"/>
                <w:lang w:eastAsia="lv-LV"/>
              </w:rPr>
              <w:t xml:space="preserve">Veikt </w:t>
            </w:r>
            <w:r w:rsidR="00AF66B9" w:rsidRPr="00BA28A2">
              <w:rPr>
                <w:sz w:val="20"/>
                <w:szCs w:val="20"/>
              </w:rPr>
              <w:t>daudzfunkcionālo narkotiku testēšanas iekārtu iegādi.</w:t>
            </w:r>
          </w:p>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4C5A8F" w:rsidRPr="00BA28A2" w:rsidRDefault="004C5A8F" w:rsidP="004C5A8F">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tc>
        <w:tc>
          <w:tcPr>
            <w:tcW w:w="2977" w:type="dxa"/>
          </w:tcPr>
          <w:p w:rsidR="004C5A8F" w:rsidRPr="00BA28A2" w:rsidRDefault="004C5A8F" w:rsidP="00106328">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A28A2">
              <w:rPr>
                <w:rFonts w:eastAsia="Calibri" w:cs="Times New Roman"/>
                <w:sz w:val="20"/>
                <w:szCs w:val="20"/>
              </w:rPr>
              <w:t>Nodrošināta vadītāju, kas vada TL, būdami narkotisko vielu iespaidā</w:t>
            </w:r>
            <w:r w:rsidR="00E23D60">
              <w:rPr>
                <w:rFonts w:eastAsia="Calibri" w:cs="Times New Roman"/>
                <w:sz w:val="20"/>
                <w:szCs w:val="20"/>
              </w:rPr>
              <w:t>,</w:t>
            </w:r>
            <w:r w:rsidRPr="00BA28A2">
              <w:rPr>
                <w:rFonts w:eastAsia="Calibri" w:cs="Times New Roman"/>
                <w:sz w:val="20"/>
                <w:szCs w:val="20"/>
              </w:rPr>
              <w:t xml:space="preserve"> kontrole</w:t>
            </w:r>
            <w:r w:rsidR="00106328" w:rsidRPr="00BA28A2">
              <w:rPr>
                <w:rFonts w:eastAsia="Calibri" w:cs="Times New Roman"/>
                <w:sz w:val="20"/>
                <w:szCs w:val="20"/>
              </w:rPr>
              <w:t>.</w:t>
            </w:r>
          </w:p>
        </w:tc>
        <w:tc>
          <w:tcPr>
            <w:tcW w:w="2678" w:type="dxa"/>
          </w:tcPr>
          <w:p w:rsidR="004C5A8F" w:rsidRPr="00BA28A2" w:rsidRDefault="00E048AB" w:rsidP="00AF66B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048AB">
              <w:rPr>
                <w:rFonts w:cs="Times New Roman"/>
                <w:sz w:val="20"/>
                <w:szCs w:val="20"/>
              </w:rPr>
              <w:t>Iegādātas 6 (2018.gadā - 2, 2019.gadā - 2, 2020.gadā - 2) daudzfunkcionālās narkotiku testēšanas iekārtas</w:t>
            </w:r>
            <w:r w:rsidR="00407708">
              <w:rPr>
                <w:rFonts w:cs="Times New Roman"/>
                <w:sz w:val="20"/>
                <w:szCs w:val="20"/>
              </w:rPr>
              <w:t>.</w:t>
            </w:r>
          </w:p>
        </w:tc>
        <w:tc>
          <w:tcPr>
            <w:tcW w:w="1134" w:type="dxa"/>
          </w:tcPr>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color w:val="000000"/>
                <w:kern w:val="24"/>
                <w:sz w:val="20"/>
                <w:szCs w:val="20"/>
                <w:lang w:eastAsia="lv-LV"/>
              </w:rPr>
              <w:t xml:space="preserve">IeM </w:t>
            </w:r>
            <w:r w:rsidR="00FD0C64">
              <w:rPr>
                <w:rFonts w:eastAsia="Times New Roman" w:cs="Times New Roman"/>
                <w:color w:val="000000"/>
                <w:kern w:val="24"/>
                <w:sz w:val="20"/>
                <w:szCs w:val="20"/>
                <w:lang w:eastAsia="lv-LV"/>
              </w:rPr>
              <w:t>(</w:t>
            </w:r>
            <w:r w:rsidRPr="00BA28A2">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tcPr>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SM</w:t>
            </w:r>
          </w:p>
        </w:tc>
        <w:tc>
          <w:tcPr>
            <w:tcW w:w="1559" w:type="dxa"/>
          </w:tcPr>
          <w:p w:rsidR="004C5A8F" w:rsidRPr="00E54D8B"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31.12.2018.</w:t>
            </w: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31.12.2019.</w:t>
            </w: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31.12.2020.</w:t>
            </w:r>
          </w:p>
          <w:p w:rsidR="00E048AB" w:rsidRPr="00E54D8B" w:rsidRDefault="00E048AB"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tc>
        <w:tc>
          <w:tcPr>
            <w:tcW w:w="2126" w:type="dxa"/>
            <w:shd w:val="clear" w:color="auto" w:fill="auto"/>
          </w:tcPr>
          <w:p w:rsidR="00AF66B9" w:rsidRPr="00E54D8B" w:rsidRDefault="00112FB2"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OCTA vai v</w:t>
            </w:r>
            <w:r w:rsidR="009E3B82" w:rsidRPr="00E54D8B">
              <w:rPr>
                <w:rFonts w:cs="Times New Roman"/>
                <w:color w:val="000000" w:themeColor="text1"/>
                <w:sz w:val="20"/>
                <w:szCs w:val="20"/>
              </w:rPr>
              <w:t xml:space="preserve">alsts budžeta </w:t>
            </w:r>
            <w:r w:rsidR="00AF66B9" w:rsidRPr="00E54D8B">
              <w:rPr>
                <w:rFonts w:cs="Times New Roman"/>
                <w:color w:val="000000" w:themeColor="text1"/>
                <w:sz w:val="20"/>
                <w:szCs w:val="20"/>
              </w:rPr>
              <w:t>līdzekļi</w:t>
            </w:r>
          </w:p>
          <w:p w:rsidR="004C5A8F" w:rsidRPr="00E54D8B" w:rsidRDefault="004C5A8F" w:rsidP="009D1429">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p w:rsidR="00E048AB" w:rsidRPr="00E54D8B" w:rsidRDefault="00E048AB" w:rsidP="009D1429">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p w:rsidR="00E048AB" w:rsidRPr="00E54D8B" w:rsidRDefault="00E048AB" w:rsidP="009D14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54D8B">
              <w:rPr>
                <w:rFonts w:cs="Times New Roman"/>
                <w:sz w:val="20"/>
                <w:szCs w:val="20"/>
              </w:rPr>
              <w:t>50 000</w:t>
            </w:r>
          </w:p>
          <w:p w:rsidR="00E048AB" w:rsidRPr="00E54D8B" w:rsidRDefault="00E048AB" w:rsidP="009D14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E048AB" w:rsidRPr="00E54D8B" w:rsidRDefault="00E048AB" w:rsidP="009D14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54D8B">
              <w:rPr>
                <w:rFonts w:cs="Times New Roman"/>
                <w:sz w:val="20"/>
                <w:szCs w:val="20"/>
              </w:rPr>
              <w:t>50 000</w:t>
            </w:r>
          </w:p>
          <w:p w:rsidR="00E048AB" w:rsidRPr="00E54D8B" w:rsidRDefault="00E048AB" w:rsidP="009D14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E048AB" w:rsidRPr="00E54D8B" w:rsidRDefault="00E048AB" w:rsidP="009D14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54D8B">
              <w:rPr>
                <w:rFonts w:cs="Times New Roman"/>
                <w:sz w:val="20"/>
                <w:szCs w:val="20"/>
              </w:rPr>
              <w:t>50</w:t>
            </w:r>
            <w:r w:rsidR="008B1069" w:rsidRPr="00E54D8B">
              <w:rPr>
                <w:rFonts w:cs="Times New Roman"/>
                <w:sz w:val="20"/>
                <w:szCs w:val="20"/>
              </w:rPr>
              <w:t> </w:t>
            </w:r>
            <w:r w:rsidRPr="00E54D8B">
              <w:rPr>
                <w:rFonts w:cs="Times New Roman"/>
                <w:sz w:val="20"/>
                <w:szCs w:val="20"/>
              </w:rPr>
              <w:t>000</w:t>
            </w:r>
          </w:p>
          <w:p w:rsidR="008B1069" w:rsidRPr="00E54D8B" w:rsidRDefault="008B1069" w:rsidP="009D14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8B1069" w:rsidRPr="00E54D8B" w:rsidRDefault="008B1069" w:rsidP="009D1429">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54D8B">
              <w:rPr>
                <w:rFonts w:cs="Times New Roman"/>
                <w:sz w:val="20"/>
                <w:szCs w:val="20"/>
              </w:rPr>
              <w:t>Kopā: 150 000</w:t>
            </w:r>
          </w:p>
        </w:tc>
      </w:tr>
      <w:tr w:rsidR="00DC57D4" w:rsidRPr="00174C24" w:rsidTr="009D1429">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B31F68"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bCs w:val="0"/>
                <w:color w:val="000000" w:themeColor="text1"/>
                <w:kern w:val="24"/>
                <w:sz w:val="20"/>
                <w:szCs w:val="20"/>
                <w:lang w:eastAsia="lv-LV"/>
              </w:rPr>
              <w:t>10.</w:t>
            </w:r>
          </w:p>
        </w:tc>
        <w:tc>
          <w:tcPr>
            <w:tcW w:w="3275" w:type="dxa"/>
          </w:tcPr>
          <w:p w:rsidR="004C5A8F" w:rsidRPr="00BA28A2" w:rsidRDefault="005A2D27" w:rsidP="005A6F6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BA28A2">
              <w:rPr>
                <w:rFonts w:eastAsia="Calibri" w:cs="Times New Roman"/>
                <w:color w:val="000000"/>
                <w:sz w:val="20"/>
                <w:szCs w:val="20"/>
              </w:rPr>
              <w:t>Veikt ierīču (</w:t>
            </w:r>
            <w:proofErr w:type="spellStart"/>
            <w:r w:rsidRPr="00BA28A2">
              <w:rPr>
                <w:rFonts w:eastAsia="Calibri" w:cs="Times New Roman"/>
                <w:color w:val="000000"/>
                <w:sz w:val="20"/>
                <w:szCs w:val="20"/>
              </w:rPr>
              <w:t>antiradars</w:t>
            </w:r>
            <w:proofErr w:type="spellEnd"/>
            <w:r w:rsidRPr="00BA28A2">
              <w:rPr>
                <w:rFonts w:eastAsia="Calibri" w:cs="Times New Roman"/>
                <w:color w:val="000000"/>
                <w:sz w:val="20"/>
                <w:szCs w:val="20"/>
              </w:rPr>
              <w:t xml:space="preserve"> u.tml.), kas var uztvert </w:t>
            </w:r>
            <w:r w:rsidR="005A6F6A">
              <w:rPr>
                <w:rFonts w:eastAsia="Calibri" w:cs="Times New Roman"/>
                <w:color w:val="000000"/>
                <w:sz w:val="20"/>
                <w:szCs w:val="20"/>
              </w:rPr>
              <w:t>TL</w:t>
            </w:r>
            <w:r w:rsidR="004C4869">
              <w:rPr>
                <w:rFonts w:eastAsia="Calibri" w:cs="Times New Roman"/>
                <w:color w:val="000000"/>
                <w:sz w:val="20"/>
                <w:szCs w:val="20"/>
              </w:rPr>
              <w:t xml:space="preserve"> </w:t>
            </w:r>
            <w:r w:rsidRPr="00BA28A2">
              <w:rPr>
                <w:rFonts w:eastAsia="Calibri" w:cs="Times New Roman"/>
                <w:color w:val="000000"/>
                <w:sz w:val="20"/>
                <w:szCs w:val="20"/>
              </w:rPr>
              <w:t xml:space="preserve">braukšanas ātruma </w:t>
            </w:r>
            <w:r w:rsidRPr="00BA28A2">
              <w:rPr>
                <w:rFonts w:eastAsia="Calibri" w:cs="Times New Roman"/>
                <w:color w:val="000000"/>
                <w:sz w:val="20"/>
                <w:szCs w:val="20"/>
              </w:rPr>
              <w:lastRenderedPageBreak/>
              <w:t>kontroles mērierīču (radaru) raidītos signālus</w:t>
            </w:r>
            <w:r w:rsidR="00E23D60">
              <w:rPr>
                <w:rFonts w:eastAsia="Calibri" w:cs="Times New Roman"/>
                <w:color w:val="000000"/>
                <w:sz w:val="20"/>
                <w:szCs w:val="20"/>
              </w:rPr>
              <w:t>,</w:t>
            </w:r>
            <w:r w:rsidRPr="00BA28A2">
              <w:rPr>
                <w:rFonts w:eastAsia="Calibri" w:cs="Times New Roman"/>
                <w:color w:val="000000"/>
                <w:sz w:val="20"/>
                <w:szCs w:val="20"/>
              </w:rPr>
              <w:t xml:space="preserve"> detektēšanas ierīču iegādi.</w:t>
            </w:r>
          </w:p>
        </w:tc>
        <w:tc>
          <w:tcPr>
            <w:tcW w:w="2977" w:type="dxa"/>
          </w:tcPr>
          <w:p w:rsidR="004C5A8F" w:rsidRPr="00BA28A2" w:rsidRDefault="004C5A8F" w:rsidP="004C5A8F">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A28A2">
              <w:rPr>
                <w:rFonts w:eastAsia="Calibri" w:cs="Times New Roman"/>
                <w:color w:val="000000"/>
                <w:sz w:val="20"/>
                <w:szCs w:val="20"/>
              </w:rPr>
              <w:lastRenderedPageBreak/>
              <w:t xml:space="preserve">Pastiprināta atļautā braukšanas ātruma kontrole, vienlaicīgi radot </w:t>
            </w:r>
            <w:r w:rsidRPr="00BA28A2">
              <w:rPr>
                <w:rFonts w:eastAsia="Calibri" w:cs="Times New Roman"/>
                <w:color w:val="000000"/>
                <w:sz w:val="20"/>
                <w:szCs w:val="20"/>
              </w:rPr>
              <w:lastRenderedPageBreak/>
              <w:t>vadītājos soda neizbēgamības sajūtu.</w:t>
            </w:r>
          </w:p>
        </w:tc>
        <w:tc>
          <w:tcPr>
            <w:tcW w:w="2678" w:type="dxa"/>
          </w:tcPr>
          <w:p w:rsidR="004C5A8F" w:rsidRPr="00BA28A2" w:rsidRDefault="00407708" w:rsidP="005A6F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07708">
              <w:rPr>
                <w:rFonts w:cs="Times New Roman"/>
                <w:sz w:val="20"/>
                <w:szCs w:val="20"/>
              </w:rPr>
              <w:lastRenderedPageBreak/>
              <w:t>Iegādātas 63 (2018.gadā - 21, 2019.gadā - 21, 2020.gadā - 21) ierīces (</w:t>
            </w:r>
            <w:proofErr w:type="spellStart"/>
            <w:r w:rsidRPr="00407708">
              <w:rPr>
                <w:rFonts w:cs="Times New Roman"/>
                <w:sz w:val="20"/>
                <w:szCs w:val="20"/>
              </w:rPr>
              <w:t>antiradars</w:t>
            </w:r>
            <w:proofErr w:type="spellEnd"/>
            <w:r w:rsidRPr="00407708">
              <w:rPr>
                <w:rFonts w:cs="Times New Roman"/>
                <w:sz w:val="20"/>
                <w:szCs w:val="20"/>
              </w:rPr>
              <w:t xml:space="preserve"> u.tml.), </w:t>
            </w:r>
            <w:r w:rsidRPr="00407708">
              <w:rPr>
                <w:rFonts w:cs="Times New Roman"/>
                <w:sz w:val="20"/>
                <w:szCs w:val="20"/>
              </w:rPr>
              <w:lastRenderedPageBreak/>
              <w:t>kas var uztvert TL braukšanas ātruma kontroles mērierīču (radaru) detektēšanas ierīču raidītos signālus</w:t>
            </w:r>
            <w:r>
              <w:rPr>
                <w:rFonts w:cs="Times New Roman"/>
                <w:sz w:val="20"/>
                <w:szCs w:val="20"/>
              </w:rPr>
              <w:t>.</w:t>
            </w:r>
          </w:p>
        </w:tc>
        <w:tc>
          <w:tcPr>
            <w:tcW w:w="1134" w:type="dxa"/>
          </w:tcPr>
          <w:p w:rsidR="004C5A8F" w:rsidRPr="00BA28A2" w:rsidRDefault="004C5A8F"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color w:val="000000"/>
                <w:kern w:val="24"/>
                <w:sz w:val="20"/>
                <w:szCs w:val="20"/>
                <w:lang w:eastAsia="lv-LV"/>
              </w:rPr>
              <w:lastRenderedPageBreak/>
              <w:t xml:space="preserve">IeM </w:t>
            </w:r>
            <w:r w:rsidR="00FD0C64">
              <w:rPr>
                <w:rFonts w:eastAsia="Times New Roman" w:cs="Times New Roman"/>
                <w:color w:val="000000"/>
                <w:kern w:val="24"/>
                <w:sz w:val="20"/>
                <w:szCs w:val="20"/>
                <w:lang w:eastAsia="lv-LV"/>
              </w:rPr>
              <w:t>(</w:t>
            </w:r>
            <w:r w:rsidRPr="00BA28A2">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tcPr>
          <w:p w:rsidR="004C5A8F" w:rsidRPr="00BA28A2" w:rsidRDefault="004C5A8F"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SM</w:t>
            </w:r>
          </w:p>
        </w:tc>
        <w:tc>
          <w:tcPr>
            <w:tcW w:w="1559" w:type="dxa"/>
          </w:tcPr>
          <w:p w:rsidR="00007A26" w:rsidRPr="00BA28A2" w:rsidRDefault="00007A26"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5A2D27" w:rsidRPr="00BA28A2" w:rsidRDefault="005A2D27"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5A2D27" w:rsidRPr="00BA28A2" w:rsidRDefault="005A2D27"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4C5A8F" w:rsidRPr="00BA28A2" w:rsidRDefault="004D1587"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lastRenderedPageBreak/>
              <w:t>31.</w:t>
            </w:r>
            <w:r w:rsidR="00007A26" w:rsidRPr="00BA28A2">
              <w:rPr>
                <w:rFonts w:eastAsia="Times New Roman" w:cs="Times New Roman"/>
                <w:color w:val="000000"/>
                <w:sz w:val="20"/>
                <w:szCs w:val="20"/>
                <w:lang w:eastAsia="lv-LV"/>
              </w:rPr>
              <w:t>12.2018</w:t>
            </w:r>
            <w:r w:rsidR="004C5A8F" w:rsidRPr="00BA28A2">
              <w:rPr>
                <w:rFonts w:eastAsia="Times New Roman" w:cs="Times New Roman"/>
                <w:color w:val="000000"/>
                <w:sz w:val="20"/>
                <w:szCs w:val="20"/>
                <w:lang w:eastAsia="lv-LV"/>
              </w:rPr>
              <w:t>.</w:t>
            </w:r>
          </w:p>
          <w:p w:rsidR="00007A26" w:rsidRPr="00BA28A2" w:rsidRDefault="00007A26"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07A26" w:rsidRPr="00BA28A2" w:rsidRDefault="00007A26"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07A26" w:rsidRDefault="001B49A1"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31.12.2019</w:t>
            </w:r>
            <w:r w:rsidR="00007A26" w:rsidRPr="00BA28A2">
              <w:rPr>
                <w:rFonts w:eastAsia="Times New Roman" w:cs="Times New Roman"/>
                <w:color w:val="000000"/>
                <w:sz w:val="20"/>
                <w:szCs w:val="20"/>
                <w:lang w:eastAsia="lv-LV"/>
              </w:rPr>
              <w:t>.</w:t>
            </w:r>
          </w:p>
          <w:p w:rsidR="00407708" w:rsidRDefault="00407708"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407708" w:rsidRDefault="00407708"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407708" w:rsidRPr="00BA28A2" w:rsidRDefault="00407708"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31.12.2020.</w:t>
            </w:r>
          </w:p>
        </w:tc>
        <w:tc>
          <w:tcPr>
            <w:tcW w:w="2126" w:type="dxa"/>
            <w:shd w:val="clear" w:color="auto" w:fill="auto"/>
          </w:tcPr>
          <w:p w:rsidR="00007A26" w:rsidRPr="00BA28A2" w:rsidRDefault="00112FB2" w:rsidP="00007A26">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lastRenderedPageBreak/>
              <w:t>OCTA vai v</w:t>
            </w:r>
            <w:r w:rsidR="005A2D27" w:rsidRPr="00BA28A2">
              <w:rPr>
                <w:rFonts w:cs="Times New Roman"/>
                <w:color w:val="000000" w:themeColor="text1"/>
                <w:sz w:val="20"/>
                <w:szCs w:val="20"/>
              </w:rPr>
              <w:t xml:space="preserve">alsts budžeta </w:t>
            </w:r>
            <w:r w:rsidR="00007A26" w:rsidRPr="00BA28A2">
              <w:rPr>
                <w:rFonts w:cs="Times New Roman"/>
                <w:color w:val="000000" w:themeColor="text1"/>
                <w:sz w:val="20"/>
                <w:szCs w:val="20"/>
              </w:rPr>
              <w:t>līdzekļi</w:t>
            </w:r>
          </w:p>
          <w:p w:rsidR="00007A26" w:rsidRPr="00BA28A2" w:rsidRDefault="00007A26" w:rsidP="00007A26">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p>
          <w:p w:rsidR="005A2D27" w:rsidRPr="00A81DB4" w:rsidRDefault="005A2D27" w:rsidP="00007A26">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lastRenderedPageBreak/>
              <w:t>36</w:t>
            </w:r>
            <w:r w:rsidR="00A81DB4">
              <w:rPr>
                <w:rFonts w:cs="Times New Roman"/>
                <w:color w:val="000000" w:themeColor="text1"/>
                <w:sz w:val="20"/>
                <w:szCs w:val="20"/>
              </w:rPr>
              <w:t> </w:t>
            </w:r>
            <w:r w:rsidRPr="00BA28A2">
              <w:rPr>
                <w:rFonts w:cs="Times New Roman"/>
                <w:color w:val="000000" w:themeColor="text1"/>
                <w:sz w:val="20"/>
                <w:szCs w:val="20"/>
              </w:rPr>
              <w:t>000</w:t>
            </w:r>
            <w:r w:rsidR="00A81DB4">
              <w:rPr>
                <w:rFonts w:cs="Times New Roman"/>
                <w:color w:val="000000" w:themeColor="text1"/>
                <w:sz w:val="20"/>
                <w:szCs w:val="20"/>
              </w:rPr>
              <w:t xml:space="preserve"> (OCTA līdzekļi)</w:t>
            </w:r>
          </w:p>
          <w:p w:rsidR="005A2D27" w:rsidRPr="00BA28A2" w:rsidRDefault="005A2D27" w:rsidP="00007A26">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p>
          <w:p w:rsidR="00007A26" w:rsidRPr="00BA28A2" w:rsidRDefault="005A2D27" w:rsidP="00007A26">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t>36</w:t>
            </w:r>
            <w:r w:rsidR="00007A26" w:rsidRPr="00BA28A2">
              <w:rPr>
                <w:rFonts w:cs="Times New Roman"/>
                <w:color w:val="000000" w:themeColor="text1"/>
                <w:sz w:val="20"/>
                <w:szCs w:val="20"/>
              </w:rPr>
              <w:t> 000</w:t>
            </w:r>
          </w:p>
          <w:p w:rsidR="00007A26" w:rsidRPr="00BA28A2" w:rsidRDefault="00007A26" w:rsidP="00007A26">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07A26" w:rsidRPr="00BA28A2" w:rsidRDefault="00007A26" w:rsidP="00007A26">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5A2D27" w:rsidRPr="00BA28A2" w:rsidRDefault="005A2D27" w:rsidP="005A2D27">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BA28A2">
              <w:rPr>
                <w:rFonts w:cs="Times New Roman"/>
                <w:color w:val="000000" w:themeColor="text1"/>
                <w:sz w:val="20"/>
                <w:szCs w:val="20"/>
              </w:rPr>
              <w:t>36 000</w:t>
            </w:r>
          </w:p>
          <w:p w:rsidR="004C5A8F" w:rsidRPr="00BA28A2" w:rsidRDefault="004C5A8F" w:rsidP="00007A26">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p w:rsidR="005A2D27" w:rsidRPr="00BA28A2" w:rsidRDefault="005A2D27" w:rsidP="00007A26">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p w:rsidR="005A2D27" w:rsidRPr="00BA28A2" w:rsidRDefault="005A2D27" w:rsidP="00007A2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A28A2">
              <w:rPr>
                <w:rFonts w:cs="Times New Roman"/>
                <w:sz w:val="20"/>
                <w:szCs w:val="20"/>
              </w:rPr>
              <w:t>Kopā: 108 000</w:t>
            </w:r>
          </w:p>
        </w:tc>
      </w:tr>
      <w:tr w:rsidR="00DC57D4"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B31F68"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bCs w:val="0"/>
                <w:color w:val="000000" w:themeColor="text1"/>
                <w:kern w:val="24"/>
                <w:sz w:val="20"/>
                <w:szCs w:val="20"/>
                <w:lang w:eastAsia="lv-LV"/>
              </w:rPr>
              <w:lastRenderedPageBreak/>
              <w:t>11.</w:t>
            </w:r>
          </w:p>
        </w:tc>
        <w:tc>
          <w:tcPr>
            <w:tcW w:w="3275" w:type="dxa"/>
          </w:tcPr>
          <w:p w:rsidR="004C5A8F" w:rsidRPr="00BA28A2" w:rsidRDefault="00A200B2" w:rsidP="00A200B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BA28A2">
              <w:rPr>
                <w:rFonts w:eastAsia="Calibri" w:cs="Times New Roman"/>
                <w:color w:val="000000"/>
                <w:sz w:val="20"/>
                <w:szCs w:val="20"/>
              </w:rPr>
              <w:t>Nodrošināt tehniskā aprīkojuma iegādi ceļu satiksmes uzraudzībai -</w:t>
            </w:r>
            <w:r w:rsidR="004C5A8F" w:rsidRPr="00BA28A2">
              <w:rPr>
                <w:rFonts w:eastAsia="Calibri" w:cs="Times New Roman"/>
                <w:color w:val="000000"/>
                <w:sz w:val="20"/>
                <w:szCs w:val="20"/>
              </w:rPr>
              <w:t xml:space="preserve"> auto</w:t>
            </w:r>
            <w:r w:rsidRPr="00BA28A2">
              <w:rPr>
                <w:rFonts w:eastAsia="Calibri" w:cs="Times New Roman"/>
                <w:color w:val="000000"/>
                <w:sz w:val="20"/>
                <w:szCs w:val="20"/>
              </w:rPr>
              <w:t>pārvadājumu kontrolei un</w:t>
            </w:r>
            <w:r w:rsidR="004C5A8F" w:rsidRPr="00BA28A2">
              <w:rPr>
                <w:rFonts w:eastAsia="Calibri" w:cs="Times New Roman"/>
                <w:color w:val="000000"/>
                <w:sz w:val="20"/>
                <w:szCs w:val="20"/>
              </w:rPr>
              <w:t xml:space="preserve"> </w:t>
            </w:r>
            <w:proofErr w:type="spellStart"/>
            <w:r w:rsidR="004C5A8F" w:rsidRPr="00BA28A2">
              <w:rPr>
                <w:rFonts w:eastAsia="Calibri" w:cs="Times New Roman"/>
                <w:color w:val="000000"/>
                <w:sz w:val="20"/>
                <w:szCs w:val="20"/>
              </w:rPr>
              <w:t>CSNg</w:t>
            </w:r>
            <w:proofErr w:type="spellEnd"/>
            <w:r w:rsidR="004C5A8F" w:rsidRPr="00BA28A2">
              <w:rPr>
                <w:rFonts w:eastAsia="Calibri" w:cs="Times New Roman"/>
                <w:color w:val="000000"/>
                <w:sz w:val="20"/>
                <w:szCs w:val="20"/>
              </w:rPr>
              <w:t xml:space="preserve"> vietas noformēšanai (zižļi, svilpes, lukturi, </w:t>
            </w:r>
            <w:proofErr w:type="spellStart"/>
            <w:r w:rsidR="004C5A8F" w:rsidRPr="00BA28A2">
              <w:rPr>
                <w:rFonts w:eastAsia="Calibri" w:cs="Times New Roman"/>
                <w:color w:val="000000"/>
                <w:sz w:val="20"/>
                <w:szCs w:val="20"/>
              </w:rPr>
              <w:t>videolukturi</w:t>
            </w:r>
            <w:proofErr w:type="spellEnd"/>
            <w:r w:rsidR="004C5A8F" w:rsidRPr="00BA28A2">
              <w:rPr>
                <w:rFonts w:eastAsia="Calibri" w:cs="Times New Roman"/>
                <w:color w:val="000000"/>
                <w:sz w:val="20"/>
                <w:szCs w:val="20"/>
              </w:rPr>
              <w:t xml:space="preserve">, prožektori, fotoaparāti, </w:t>
            </w:r>
            <w:r w:rsidRPr="00BA28A2">
              <w:rPr>
                <w:rFonts w:eastAsia="Calibri" w:cs="Times New Roman"/>
                <w:color w:val="000000"/>
                <w:sz w:val="20"/>
                <w:szCs w:val="20"/>
              </w:rPr>
              <w:t>videokameras, “</w:t>
            </w:r>
            <w:proofErr w:type="spellStart"/>
            <w:r w:rsidRPr="00BA28A2">
              <w:rPr>
                <w:rFonts w:eastAsia="Calibri" w:cs="Times New Roman"/>
                <w:color w:val="000000"/>
                <w:sz w:val="20"/>
                <w:szCs w:val="20"/>
              </w:rPr>
              <w:t>droni</w:t>
            </w:r>
            <w:proofErr w:type="spellEnd"/>
            <w:r w:rsidRPr="00BA28A2">
              <w:rPr>
                <w:rFonts w:eastAsia="Calibri" w:cs="Times New Roman"/>
                <w:color w:val="000000"/>
                <w:sz w:val="20"/>
                <w:szCs w:val="20"/>
              </w:rPr>
              <w:t>” u.c.).</w:t>
            </w:r>
          </w:p>
        </w:tc>
        <w:tc>
          <w:tcPr>
            <w:tcW w:w="2977" w:type="dxa"/>
          </w:tcPr>
          <w:p w:rsidR="004C5A8F" w:rsidRPr="00BA28A2" w:rsidRDefault="004C5A8F" w:rsidP="00A200B2">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BA28A2">
              <w:rPr>
                <w:rFonts w:eastAsia="Times New Roman" w:cs="Times New Roman"/>
                <w:sz w:val="20"/>
                <w:szCs w:val="20"/>
              </w:rPr>
              <w:t>Nodroši</w:t>
            </w:r>
            <w:r w:rsidR="00A200B2" w:rsidRPr="00BA28A2">
              <w:rPr>
                <w:rFonts w:eastAsia="Times New Roman" w:cs="Times New Roman"/>
                <w:sz w:val="20"/>
                <w:szCs w:val="20"/>
              </w:rPr>
              <w:t>nāta ceļu satiksmes uzraudzība</w:t>
            </w:r>
            <w:r w:rsidRPr="00BA28A2">
              <w:rPr>
                <w:rFonts w:eastAsia="Calibri" w:cs="Times New Roman"/>
                <w:sz w:val="20"/>
                <w:szCs w:val="20"/>
                <w:lang w:eastAsia="lv-LV"/>
              </w:rPr>
              <w:t xml:space="preserve">, kā arī nodrošināta </w:t>
            </w:r>
            <w:r w:rsidR="00B4087E" w:rsidRPr="00B4087E">
              <w:rPr>
                <w:rFonts w:eastAsia="Calibri" w:cs="Times New Roman"/>
                <w:sz w:val="20"/>
                <w:szCs w:val="20"/>
                <w:lang w:eastAsia="lv-LV"/>
              </w:rPr>
              <w:t>ES</w:t>
            </w:r>
            <w:r w:rsidR="00B4087E">
              <w:rPr>
                <w:rFonts w:eastAsia="Calibri" w:cs="Times New Roman"/>
                <w:sz w:val="20"/>
                <w:szCs w:val="20"/>
                <w:lang w:eastAsia="lv-LV"/>
              </w:rPr>
              <w:t xml:space="preserve"> </w:t>
            </w:r>
            <w:r w:rsidRPr="00BA28A2">
              <w:rPr>
                <w:rFonts w:eastAsia="Calibri" w:cs="Times New Roman"/>
                <w:sz w:val="20"/>
                <w:szCs w:val="20"/>
                <w:lang w:eastAsia="lv-LV"/>
              </w:rPr>
              <w:t>un Latvijas normatīvajos aktos noteikto uzdevumu izpilde autopārvadājumu kontroles jomā.</w:t>
            </w:r>
          </w:p>
        </w:tc>
        <w:tc>
          <w:tcPr>
            <w:tcW w:w="2678" w:type="dxa"/>
          </w:tcPr>
          <w:p w:rsidR="004C5A8F" w:rsidRPr="00BA28A2" w:rsidRDefault="00407708" w:rsidP="0040770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07708">
              <w:rPr>
                <w:rFonts w:cs="Times New Roman"/>
                <w:sz w:val="20"/>
                <w:szCs w:val="20"/>
              </w:rPr>
              <w:t xml:space="preserve">Iegādāts tehniskais aprīkojums - zižļi, svilpes, lukturi, </w:t>
            </w:r>
            <w:proofErr w:type="spellStart"/>
            <w:r w:rsidRPr="00407708">
              <w:rPr>
                <w:rFonts w:cs="Times New Roman"/>
                <w:sz w:val="20"/>
                <w:szCs w:val="20"/>
              </w:rPr>
              <w:t>videolukturi</w:t>
            </w:r>
            <w:proofErr w:type="spellEnd"/>
            <w:r w:rsidRPr="00407708">
              <w:rPr>
                <w:rFonts w:cs="Times New Roman"/>
                <w:sz w:val="20"/>
                <w:szCs w:val="20"/>
              </w:rPr>
              <w:t>, prožektori, fotoaparāti, videokameras, “</w:t>
            </w:r>
            <w:proofErr w:type="spellStart"/>
            <w:r w:rsidRPr="00407708">
              <w:rPr>
                <w:rFonts w:cs="Times New Roman"/>
                <w:sz w:val="20"/>
                <w:szCs w:val="20"/>
              </w:rPr>
              <w:t>droni</w:t>
            </w:r>
            <w:proofErr w:type="spellEnd"/>
            <w:r w:rsidRPr="00407708">
              <w:rPr>
                <w:rFonts w:cs="Times New Roman"/>
                <w:sz w:val="20"/>
                <w:szCs w:val="20"/>
              </w:rPr>
              <w:t xml:space="preserve">” u.c. (Nepieciešamā tehniskā aprīkojuma skaitu un veidu </w:t>
            </w:r>
            <w:r>
              <w:rPr>
                <w:rFonts w:cs="Times New Roman"/>
                <w:sz w:val="20"/>
                <w:szCs w:val="20"/>
              </w:rPr>
              <w:t>katram gadam</w:t>
            </w:r>
            <w:r w:rsidR="001E5B87">
              <w:rPr>
                <w:rFonts w:cs="Times New Roman"/>
                <w:sz w:val="20"/>
                <w:szCs w:val="20"/>
              </w:rPr>
              <w:t xml:space="preserve"> nav iespējams noteikt, jo</w:t>
            </w:r>
            <w:r w:rsidRPr="00407708">
              <w:rPr>
                <w:rFonts w:cs="Times New Roman"/>
                <w:sz w:val="20"/>
                <w:szCs w:val="20"/>
              </w:rPr>
              <w:t xml:space="preserve"> tā iegāde un apjoms atkarīgi no nepieciešamības, izvērtējot konkrēto ceļu </w:t>
            </w:r>
            <w:r>
              <w:rPr>
                <w:rFonts w:cs="Times New Roman"/>
                <w:sz w:val="20"/>
                <w:szCs w:val="20"/>
              </w:rPr>
              <w:t>satiksmes drošības situāciju).</w:t>
            </w:r>
          </w:p>
        </w:tc>
        <w:tc>
          <w:tcPr>
            <w:tcW w:w="1134" w:type="dxa"/>
          </w:tcPr>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color w:val="000000"/>
                <w:kern w:val="24"/>
                <w:sz w:val="20"/>
                <w:szCs w:val="20"/>
                <w:lang w:eastAsia="lv-LV"/>
              </w:rPr>
              <w:t xml:space="preserve">IeM </w:t>
            </w:r>
            <w:r w:rsidR="00FD0C64">
              <w:rPr>
                <w:rFonts w:eastAsia="Times New Roman" w:cs="Times New Roman"/>
                <w:color w:val="000000"/>
                <w:kern w:val="24"/>
                <w:sz w:val="20"/>
                <w:szCs w:val="20"/>
                <w:lang w:eastAsia="lv-LV"/>
              </w:rPr>
              <w:t>(</w:t>
            </w:r>
            <w:r w:rsidRPr="00BA28A2">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tcPr>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SM</w:t>
            </w:r>
          </w:p>
        </w:tc>
        <w:tc>
          <w:tcPr>
            <w:tcW w:w="1559" w:type="dxa"/>
          </w:tcPr>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407708" w:rsidRPr="00E54D8B" w:rsidRDefault="00407708"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407708" w:rsidRPr="00E54D8B" w:rsidRDefault="00407708"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31.12.2017.</w:t>
            </w:r>
          </w:p>
          <w:p w:rsidR="00407708" w:rsidRPr="00E54D8B" w:rsidRDefault="00407708"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4C5A8F"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31.12.2018.</w:t>
            </w: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31.12.2019.</w:t>
            </w: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07A26" w:rsidRPr="00E54D8B" w:rsidRDefault="00007A26"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E54D8B">
              <w:rPr>
                <w:rFonts w:eastAsia="Times New Roman" w:cs="Times New Roman"/>
                <w:color w:val="000000"/>
                <w:sz w:val="20"/>
                <w:szCs w:val="20"/>
                <w:lang w:eastAsia="lv-LV"/>
              </w:rPr>
              <w:t>31.12.2020.</w:t>
            </w:r>
          </w:p>
        </w:tc>
        <w:tc>
          <w:tcPr>
            <w:tcW w:w="2126" w:type="dxa"/>
            <w:shd w:val="clear" w:color="auto" w:fill="auto"/>
          </w:tcPr>
          <w:p w:rsidR="00895F0E" w:rsidRPr="00E54D8B" w:rsidRDefault="00112FB2"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OCTA vai v</w:t>
            </w:r>
            <w:r w:rsidR="00895F0E" w:rsidRPr="00E54D8B">
              <w:rPr>
                <w:rFonts w:cs="Times New Roman"/>
                <w:color w:val="000000" w:themeColor="text1"/>
                <w:sz w:val="20"/>
                <w:szCs w:val="20"/>
              </w:rPr>
              <w:t xml:space="preserve">alsts budžeta </w:t>
            </w:r>
            <w:r w:rsidR="00007A26" w:rsidRPr="00E54D8B">
              <w:rPr>
                <w:rFonts w:cs="Times New Roman"/>
                <w:color w:val="000000" w:themeColor="text1"/>
                <w:sz w:val="20"/>
                <w:szCs w:val="20"/>
              </w:rPr>
              <w:t>līdzekļi</w:t>
            </w:r>
          </w:p>
          <w:p w:rsidR="006B3C20" w:rsidRPr="00E54D8B" w:rsidRDefault="006B3C20"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07708" w:rsidRPr="00E54D8B" w:rsidRDefault="00407708"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07708" w:rsidRPr="00E54D8B" w:rsidRDefault="00832A17"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5</w:t>
            </w:r>
            <w:r w:rsidR="00407708" w:rsidRPr="00E54D8B">
              <w:rPr>
                <w:rFonts w:cs="Times New Roman"/>
                <w:color w:val="000000" w:themeColor="text1"/>
                <w:sz w:val="20"/>
                <w:szCs w:val="20"/>
              </w:rPr>
              <w:t>9 500</w:t>
            </w: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07708" w:rsidRPr="00E54D8B" w:rsidRDefault="00407708"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007A26" w:rsidRPr="00E54D8B" w:rsidRDefault="00330FCF"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40 000</w:t>
            </w: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07708" w:rsidRPr="00E54D8B" w:rsidRDefault="00407708"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007A26" w:rsidRPr="00E54D8B" w:rsidRDefault="00330FCF"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40 000</w:t>
            </w: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30 000</w:t>
            </w: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007A26" w:rsidRPr="00E54D8B" w:rsidRDefault="00007A26" w:rsidP="00007A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E54D8B">
              <w:rPr>
                <w:rFonts w:cs="Times New Roman"/>
                <w:color w:val="000000" w:themeColor="text1"/>
                <w:sz w:val="20"/>
                <w:szCs w:val="20"/>
              </w:rPr>
              <w:t xml:space="preserve">Kopā: </w:t>
            </w:r>
            <w:r w:rsidR="00832A17">
              <w:rPr>
                <w:rFonts w:cs="Times New Roman"/>
                <w:color w:val="000000" w:themeColor="text1"/>
                <w:sz w:val="20"/>
                <w:szCs w:val="20"/>
              </w:rPr>
              <w:t>17</w:t>
            </w:r>
            <w:r w:rsidR="00330FCF" w:rsidRPr="00E54D8B">
              <w:rPr>
                <w:rFonts w:cs="Times New Roman"/>
                <w:color w:val="000000" w:themeColor="text1"/>
                <w:sz w:val="20"/>
                <w:szCs w:val="20"/>
              </w:rPr>
              <w:t>9 500</w:t>
            </w:r>
          </w:p>
          <w:p w:rsidR="004C5A8F" w:rsidRPr="00E54D8B" w:rsidRDefault="004C5A8F" w:rsidP="004C5A8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r>
      <w:tr w:rsidR="00DC57D4" w:rsidRPr="00174C24" w:rsidTr="009D1429">
        <w:trPr>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4C5A8F" w:rsidRPr="00B31F68"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bCs w:val="0"/>
                <w:color w:val="000000" w:themeColor="text1"/>
                <w:kern w:val="24"/>
                <w:sz w:val="20"/>
                <w:szCs w:val="20"/>
                <w:lang w:eastAsia="lv-LV"/>
              </w:rPr>
              <w:t>12.</w:t>
            </w:r>
          </w:p>
        </w:tc>
        <w:tc>
          <w:tcPr>
            <w:tcW w:w="3275" w:type="dxa"/>
            <w:shd w:val="clear" w:color="auto" w:fill="auto"/>
          </w:tcPr>
          <w:p w:rsidR="004C5A8F" w:rsidRPr="00BA28A2" w:rsidRDefault="00A200B2" w:rsidP="00A200B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r w:rsidRPr="00BA28A2">
              <w:rPr>
                <w:rFonts w:eastAsia="Calibri" w:cs="Times New Roman"/>
                <w:color w:val="000000"/>
                <w:sz w:val="20"/>
                <w:szCs w:val="20"/>
              </w:rPr>
              <w:t xml:space="preserve">Nodrošināt nepieciešamo </w:t>
            </w:r>
            <w:r w:rsidRPr="00BA28A2">
              <w:rPr>
                <w:rFonts w:eastAsia="Calibri" w:cs="Times New Roman"/>
                <w:b/>
                <w:color w:val="000000"/>
                <w:sz w:val="20"/>
                <w:szCs w:val="20"/>
              </w:rPr>
              <w:t xml:space="preserve">mērinstrumentu </w:t>
            </w:r>
            <w:r w:rsidRPr="00BA28A2">
              <w:rPr>
                <w:rFonts w:eastAsia="Calibri" w:cs="Times New Roman"/>
                <w:color w:val="000000"/>
                <w:sz w:val="20"/>
                <w:szCs w:val="20"/>
              </w:rPr>
              <w:t>iegādi ceļu  satiksmes uzraudzībai -</w:t>
            </w:r>
            <w:r w:rsidR="004C5A8F" w:rsidRPr="00BA28A2">
              <w:rPr>
                <w:rFonts w:eastAsia="Calibri" w:cs="Times New Roman"/>
                <w:color w:val="000000"/>
                <w:sz w:val="20"/>
                <w:szCs w:val="20"/>
              </w:rPr>
              <w:t xml:space="preserve"> autopārvadājumu </w:t>
            </w:r>
            <w:r w:rsidRPr="00BA28A2">
              <w:rPr>
                <w:rFonts w:eastAsia="Calibri" w:cs="Times New Roman"/>
                <w:color w:val="000000"/>
                <w:sz w:val="20"/>
                <w:szCs w:val="20"/>
              </w:rPr>
              <w:t xml:space="preserve">kontrolei un </w:t>
            </w:r>
            <w:proofErr w:type="spellStart"/>
            <w:r w:rsidR="004C5A8F" w:rsidRPr="00BA28A2">
              <w:rPr>
                <w:rFonts w:eastAsia="Calibri" w:cs="Times New Roman"/>
                <w:color w:val="000000"/>
                <w:sz w:val="20"/>
                <w:szCs w:val="20"/>
              </w:rPr>
              <w:t>CSNg</w:t>
            </w:r>
            <w:proofErr w:type="spellEnd"/>
            <w:r w:rsidR="004C5A8F" w:rsidRPr="00BA28A2">
              <w:rPr>
                <w:rFonts w:eastAsia="Calibri" w:cs="Times New Roman"/>
                <w:color w:val="000000"/>
                <w:sz w:val="20"/>
                <w:szCs w:val="20"/>
              </w:rPr>
              <w:t xml:space="preserve"> vietas noformēšanai (</w:t>
            </w:r>
            <w:r w:rsidR="004C5A8F" w:rsidRPr="00BA28A2">
              <w:rPr>
                <w:rFonts w:eastAsia="Times New Roman" w:cs="Times New Roman"/>
                <w:bCs/>
                <w:color w:val="000000"/>
                <w:kern w:val="36"/>
                <w:sz w:val="20"/>
                <w:szCs w:val="20"/>
                <w:lang w:eastAsia="lv-LV"/>
              </w:rPr>
              <w:t>riepu protektora dziļuma mērītāji,</w:t>
            </w:r>
            <w:r w:rsidR="004C5A8F" w:rsidRPr="00BA28A2">
              <w:rPr>
                <w:rFonts w:eastAsia="Calibri" w:cs="Times New Roman"/>
                <w:color w:val="000000"/>
                <w:sz w:val="20"/>
                <w:szCs w:val="20"/>
              </w:rPr>
              <w:t xml:space="preserve"> mērlatas, mērlentes, </w:t>
            </w:r>
            <w:proofErr w:type="spellStart"/>
            <w:r w:rsidR="004C5A8F" w:rsidRPr="00BA28A2">
              <w:rPr>
                <w:rFonts w:eastAsia="Calibri" w:cs="Times New Roman"/>
                <w:color w:val="000000"/>
                <w:sz w:val="20"/>
                <w:szCs w:val="20"/>
              </w:rPr>
              <w:t>mērriteņi</w:t>
            </w:r>
            <w:proofErr w:type="spellEnd"/>
            <w:r w:rsidR="004C5A8F" w:rsidRPr="00BA28A2">
              <w:rPr>
                <w:rFonts w:eastAsia="Calibri" w:cs="Times New Roman"/>
                <w:color w:val="000000"/>
                <w:sz w:val="20"/>
                <w:szCs w:val="20"/>
              </w:rPr>
              <w:t xml:space="preserve">, </w:t>
            </w:r>
            <w:r w:rsidR="004C5A8F" w:rsidRPr="00BA28A2">
              <w:rPr>
                <w:rFonts w:eastAsia="Calibri" w:cs="Times New Roman"/>
                <w:sz w:val="20"/>
                <w:szCs w:val="20"/>
                <w:lang w:eastAsia="lv-LV"/>
              </w:rPr>
              <w:t>automašīnu logu stiklu gaismas caurlaidības noteikšanas mērierīces</w:t>
            </w:r>
            <w:r w:rsidR="00784A40">
              <w:rPr>
                <w:rFonts w:eastAsia="Calibri" w:cs="Times New Roman"/>
                <w:color w:val="000000"/>
                <w:sz w:val="20"/>
                <w:szCs w:val="20"/>
              </w:rPr>
              <w:t xml:space="preserve"> u.c.).</w:t>
            </w:r>
          </w:p>
        </w:tc>
        <w:tc>
          <w:tcPr>
            <w:tcW w:w="2977" w:type="dxa"/>
            <w:shd w:val="clear" w:color="auto" w:fill="auto"/>
          </w:tcPr>
          <w:p w:rsidR="004C5A8F" w:rsidRPr="00BA28A2" w:rsidRDefault="004C5A8F" w:rsidP="00A200B2">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28A2">
              <w:rPr>
                <w:rFonts w:eastAsia="Times New Roman" w:cs="Times New Roman"/>
                <w:sz w:val="20"/>
                <w:szCs w:val="20"/>
              </w:rPr>
              <w:t>Nodroši</w:t>
            </w:r>
            <w:r w:rsidR="00A200B2" w:rsidRPr="00BA28A2">
              <w:rPr>
                <w:rFonts w:eastAsia="Times New Roman" w:cs="Times New Roman"/>
                <w:sz w:val="20"/>
                <w:szCs w:val="20"/>
              </w:rPr>
              <w:t>nāta ceļu satiksmes uzraudzība</w:t>
            </w:r>
            <w:r w:rsidRPr="00BA28A2">
              <w:rPr>
                <w:rFonts w:eastAsia="Calibri" w:cs="Times New Roman"/>
                <w:sz w:val="20"/>
                <w:szCs w:val="20"/>
                <w:lang w:eastAsia="lv-LV"/>
              </w:rPr>
              <w:t xml:space="preserve">, kā arī nodrošināta </w:t>
            </w:r>
            <w:r w:rsidR="00B4087E" w:rsidRPr="00B4087E">
              <w:rPr>
                <w:rFonts w:eastAsia="Calibri" w:cs="Times New Roman"/>
                <w:sz w:val="20"/>
                <w:szCs w:val="20"/>
                <w:lang w:eastAsia="lv-LV"/>
              </w:rPr>
              <w:t>ES</w:t>
            </w:r>
            <w:r w:rsidR="00B4087E">
              <w:rPr>
                <w:rFonts w:eastAsia="Calibri" w:cs="Times New Roman"/>
                <w:sz w:val="20"/>
                <w:szCs w:val="20"/>
                <w:lang w:eastAsia="lv-LV"/>
              </w:rPr>
              <w:t xml:space="preserve"> </w:t>
            </w:r>
            <w:r w:rsidRPr="00BA28A2">
              <w:rPr>
                <w:rFonts w:eastAsia="Calibri" w:cs="Times New Roman"/>
                <w:sz w:val="20"/>
                <w:szCs w:val="20"/>
                <w:lang w:eastAsia="lv-LV"/>
              </w:rPr>
              <w:t>un Latvijas normatīvajos aktos noteikto uzdevumu izpilde autopārvadājumu kontroles jomā.</w:t>
            </w:r>
          </w:p>
        </w:tc>
        <w:tc>
          <w:tcPr>
            <w:tcW w:w="2678" w:type="dxa"/>
            <w:shd w:val="clear" w:color="auto" w:fill="auto"/>
          </w:tcPr>
          <w:p w:rsidR="004C5A8F" w:rsidRPr="00BA28A2" w:rsidRDefault="001E5B87" w:rsidP="001E5B8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1E5B87">
              <w:rPr>
                <w:rFonts w:eastAsia="Times New Roman" w:cs="Times New Roman"/>
                <w:sz w:val="20"/>
                <w:szCs w:val="20"/>
              </w:rPr>
              <w:t xml:space="preserve">Iegādāti mērinstrumenti (Nepieciešamā tehniskā aprīkojuma skaitu un veidu </w:t>
            </w:r>
            <w:r>
              <w:rPr>
                <w:rFonts w:eastAsia="Times New Roman" w:cs="Times New Roman"/>
                <w:sz w:val="20"/>
                <w:szCs w:val="20"/>
              </w:rPr>
              <w:t>katram gadam nav iespējams noteikt, jo</w:t>
            </w:r>
            <w:r w:rsidRPr="001E5B87">
              <w:rPr>
                <w:rFonts w:eastAsia="Times New Roman" w:cs="Times New Roman"/>
                <w:sz w:val="20"/>
                <w:szCs w:val="20"/>
              </w:rPr>
              <w:t xml:space="preserve"> tā iegāde un apjoms atkarīgi no nepieciešamības, izvērtējot konkrēto ceļu s</w:t>
            </w:r>
            <w:r>
              <w:rPr>
                <w:rFonts w:eastAsia="Times New Roman" w:cs="Times New Roman"/>
                <w:sz w:val="20"/>
                <w:szCs w:val="20"/>
              </w:rPr>
              <w:t>atiksmes drošības situāciju).</w:t>
            </w:r>
          </w:p>
        </w:tc>
        <w:tc>
          <w:tcPr>
            <w:tcW w:w="1134" w:type="dxa"/>
            <w:shd w:val="clear" w:color="auto" w:fill="auto"/>
          </w:tcPr>
          <w:p w:rsidR="004C5A8F" w:rsidRPr="00BA28A2" w:rsidRDefault="004C5A8F"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color w:val="000000"/>
                <w:kern w:val="24"/>
                <w:sz w:val="20"/>
                <w:szCs w:val="20"/>
                <w:lang w:eastAsia="lv-LV"/>
              </w:rPr>
              <w:t xml:space="preserve">IeM </w:t>
            </w:r>
            <w:r w:rsidR="00FD0C64">
              <w:rPr>
                <w:rFonts w:eastAsia="Times New Roman" w:cs="Times New Roman"/>
                <w:color w:val="000000"/>
                <w:kern w:val="24"/>
                <w:sz w:val="20"/>
                <w:szCs w:val="20"/>
                <w:lang w:eastAsia="lv-LV"/>
              </w:rPr>
              <w:t>(</w:t>
            </w:r>
            <w:r w:rsidRPr="00BA28A2">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shd w:val="clear" w:color="auto" w:fill="auto"/>
          </w:tcPr>
          <w:p w:rsidR="004C5A8F" w:rsidRPr="00BA28A2" w:rsidRDefault="004C5A8F"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SM</w:t>
            </w:r>
          </w:p>
        </w:tc>
        <w:tc>
          <w:tcPr>
            <w:tcW w:w="1559" w:type="dxa"/>
            <w:shd w:val="clear" w:color="auto" w:fill="auto"/>
          </w:tcPr>
          <w:p w:rsidR="00CD12BA" w:rsidRPr="00BA28A2"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CD12BA" w:rsidRPr="00BA28A2"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CD12BA"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4B691E" w:rsidRDefault="004B691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4B691E" w:rsidRDefault="004B691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31.12.2017.</w:t>
            </w:r>
          </w:p>
          <w:p w:rsidR="004B691E" w:rsidRPr="00BA28A2" w:rsidRDefault="004B691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CD12BA" w:rsidRPr="00BA28A2"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CD12BA" w:rsidRPr="00BA28A2" w:rsidRDefault="004B691E"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31.12.2019.</w:t>
            </w:r>
          </w:p>
          <w:p w:rsidR="00CD12BA" w:rsidRPr="00BA28A2"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CD12BA" w:rsidRPr="00BA28A2"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CD12BA" w:rsidRPr="00BA28A2" w:rsidRDefault="00CD12BA"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31.12.2020.</w:t>
            </w:r>
          </w:p>
        </w:tc>
        <w:tc>
          <w:tcPr>
            <w:tcW w:w="2126" w:type="dxa"/>
            <w:shd w:val="clear" w:color="auto" w:fill="auto"/>
          </w:tcPr>
          <w:p w:rsidR="00CD12BA" w:rsidRPr="00BA28A2" w:rsidRDefault="00112FB2"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color w:val="000000" w:themeColor="text1"/>
                <w:sz w:val="20"/>
                <w:szCs w:val="20"/>
              </w:rPr>
              <w:t>OCTA vai v</w:t>
            </w:r>
            <w:r w:rsidR="003F2DDD" w:rsidRPr="00BA28A2">
              <w:rPr>
                <w:rFonts w:cs="Times New Roman"/>
                <w:color w:val="000000" w:themeColor="text1"/>
                <w:sz w:val="20"/>
                <w:szCs w:val="20"/>
              </w:rPr>
              <w:t xml:space="preserve">alsts budžeta </w:t>
            </w:r>
            <w:r w:rsidR="00CD12BA" w:rsidRPr="00BA28A2">
              <w:rPr>
                <w:rFonts w:cs="Times New Roman"/>
                <w:sz w:val="20"/>
                <w:szCs w:val="20"/>
              </w:rPr>
              <w:t>līdzekļi</w:t>
            </w:r>
          </w:p>
          <w:p w:rsidR="00CD12BA" w:rsidRPr="00BA28A2" w:rsidRDefault="00CD12BA"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3F2DDD" w:rsidRDefault="003F2DDD"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4B691E" w:rsidRDefault="00832A17"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11 990</w:t>
            </w:r>
            <w:r w:rsidR="00330FCF">
              <w:rPr>
                <w:rFonts w:cs="Times New Roman"/>
                <w:sz w:val="20"/>
                <w:szCs w:val="20"/>
              </w:rPr>
              <w:t xml:space="preserve"> (OCTA līdzekļi)</w:t>
            </w:r>
          </w:p>
          <w:p w:rsidR="004B691E" w:rsidRDefault="004B691E"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4B691E" w:rsidRPr="00BA28A2" w:rsidRDefault="004B691E"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CD12BA" w:rsidRPr="00BA28A2" w:rsidRDefault="004B691E"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30 000</w:t>
            </w:r>
          </w:p>
          <w:p w:rsidR="00CD12BA" w:rsidRPr="00BA28A2" w:rsidRDefault="00CD12BA"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CD12BA" w:rsidRPr="00BA28A2" w:rsidRDefault="00CD12BA"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CD12BA" w:rsidRPr="00BA28A2" w:rsidRDefault="00CD12BA"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A28A2">
              <w:rPr>
                <w:rFonts w:cs="Times New Roman"/>
                <w:sz w:val="20"/>
                <w:szCs w:val="20"/>
              </w:rPr>
              <w:t>30 000</w:t>
            </w:r>
          </w:p>
          <w:p w:rsidR="00CD12BA" w:rsidRPr="00BA28A2" w:rsidRDefault="00CD12BA" w:rsidP="00CD12B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4C5A8F" w:rsidRPr="00832A17" w:rsidRDefault="004B691E" w:rsidP="00832A17">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lastRenderedPageBreak/>
              <w:t xml:space="preserve">Kopā: </w:t>
            </w:r>
            <w:r w:rsidR="00832A17">
              <w:rPr>
                <w:rFonts w:cs="Times New Roman"/>
                <w:sz w:val="20"/>
                <w:szCs w:val="20"/>
              </w:rPr>
              <w:t>71 990</w:t>
            </w:r>
          </w:p>
        </w:tc>
      </w:tr>
      <w:tr w:rsidR="00DC57D4"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B31F68"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bCs w:val="0"/>
                <w:color w:val="000000" w:themeColor="text1"/>
                <w:kern w:val="24"/>
                <w:sz w:val="20"/>
                <w:szCs w:val="20"/>
                <w:lang w:eastAsia="lv-LV"/>
              </w:rPr>
              <w:lastRenderedPageBreak/>
              <w:t>13.</w:t>
            </w:r>
          </w:p>
        </w:tc>
        <w:tc>
          <w:tcPr>
            <w:tcW w:w="3275" w:type="dxa"/>
          </w:tcPr>
          <w:p w:rsidR="004C5A8F" w:rsidRPr="00BA28A2" w:rsidRDefault="00A200B2" w:rsidP="004C5A8F">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BA28A2">
              <w:rPr>
                <w:rFonts w:eastAsia="Calibri" w:cs="Times New Roman"/>
                <w:sz w:val="20"/>
                <w:szCs w:val="20"/>
                <w:lang w:eastAsia="ar-SA"/>
              </w:rPr>
              <w:t>Nodrošināt p</w:t>
            </w:r>
            <w:r w:rsidR="004C5A8F" w:rsidRPr="00BA28A2">
              <w:rPr>
                <w:rFonts w:eastAsia="Calibri" w:cs="Times New Roman"/>
                <w:sz w:val="20"/>
                <w:szCs w:val="20"/>
                <w:lang w:eastAsia="ar-SA"/>
              </w:rPr>
              <w:t xml:space="preserve">ortatīvo autotransporta svaru </w:t>
            </w:r>
            <w:r w:rsidRPr="00BA28A2">
              <w:rPr>
                <w:rFonts w:eastAsia="Calibri" w:cs="Times New Roman"/>
                <w:color w:val="000000"/>
                <w:sz w:val="20"/>
                <w:szCs w:val="20"/>
                <w:lang w:eastAsia="ar-SA"/>
              </w:rPr>
              <w:t>un aprīkojuma iegādi</w:t>
            </w:r>
            <w:r w:rsidR="004C5A8F" w:rsidRPr="00BA28A2">
              <w:rPr>
                <w:rFonts w:eastAsia="Calibri" w:cs="Times New Roman"/>
                <w:color w:val="000000"/>
                <w:sz w:val="20"/>
                <w:szCs w:val="20"/>
                <w:lang w:eastAsia="ar-SA"/>
              </w:rPr>
              <w:t>.</w:t>
            </w:r>
          </w:p>
        </w:tc>
        <w:tc>
          <w:tcPr>
            <w:tcW w:w="2977" w:type="dxa"/>
          </w:tcPr>
          <w:p w:rsidR="004C5A8F" w:rsidRPr="00BA28A2" w:rsidRDefault="004C5A8F" w:rsidP="004C5A8F">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BA28A2">
              <w:rPr>
                <w:rFonts w:eastAsia="Calibri" w:cs="Times New Roman"/>
                <w:sz w:val="20"/>
                <w:szCs w:val="20"/>
                <w:lang w:eastAsia="lv-LV"/>
              </w:rPr>
              <w:t xml:space="preserve">Nodrošināta </w:t>
            </w:r>
            <w:r w:rsidR="00B4087E" w:rsidRPr="00B4087E">
              <w:rPr>
                <w:rFonts w:eastAsia="Calibri" w:cs="Times New Roman"/>
                <w:sz w:val="20"/>
                <w:szCs w:val="20"/>
                <w:lang w:eastAsia="lv-LV"/>
              </w:rPr>
              <w:t>ES</w:t>
            </w:r>
            <w:r w:rsidR="00B4087E">
              <w:rPr>
                <w:rFonts w:eastAsia="Calibri" w:cs="Times New Roman"/>
                <w:sz w:val="20"/>
                <w:szCs w:val="20"/>
                <w:lang w:eastAsia="lv-LV"/>
              </w:rPr>
              <w:t xml:space="preserve"> </w:t>
            </w:r>
            <w:r w:rsidRPr="00BA28A2">
              <w:rPr>
                <w:rFonts w:eastAsia="Calibri" w:cs="Times New Roman"/>
                <w:sz w:val="20"/>
                <w:szCs w:val="20"/>
                <w:lang w:eastAsia="lv-LV"/>
              </w:rPr>
              <w:t>un Latvijas normatīvajos aktos noteikto uzdevumu izpilde autopārvadājumu kontroles jomā.</w:t>
            </w:r>
          </w:p>
        </w:tc>
        <w:tc>
          <w:tcPr>
            <w:tcW w:w="2678" w:type="dxa"/>
          </w:tcPr>
          <w:p w:rsidR="004C5A8F" w:rsidRPr="00BA28A2" w:rsidRDefault="00F759E2"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F759E2">
              <w:rPr>
                <w:rFonts w:eastAsia="Times New Roman" w:cs="Times New Roman"/>
                <w:sz w:val="20"/>
                <w:szCs w:val="20"/>
              </w:rPr>
              <w:t>Iegādāti 3 (2018. - 1, 2019. - 1, 2020. - 1) portatīvie autotransporta svari un to aprīkojums</w:t>
            </w:r>
            <w:r>
              <w:rPr>
                <w:rFonts w:eastAsia="Times New Roman" w:cs="Times New Roman"/>
                <w:sz w:val="20"/>
                <w:szCs w:val="20"/>
              </w:rPr>
              <w:t>.</w:t>
            </w:r>
          </w:p>
        </w:tc>
        <w:tc>
          <w:tcPr>
            <w:tcW w:w="1134" w:type="dxa"/>
          </w:tcPr>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color w:val="000000"/>
                <w:kern w:val="24"/>
                <w:sz w:val="20"/>
                <w:szCs w:val="20"/>
                <w:lang w:eastAsia="lv-LV"/>
              </w:rPr>
              <w:t xml:space="preserve">IeM </w:t>
            </w:r>
            <w:r w:rsidR="00FD0C64">
              <w:rPr>
                <w:rFonts w:eastAsia="Times New Roman" w:cs="Times New Roman"/>
                <w:color w:val="000000"/>
                <w:kern w:val="24"/>
                <w:sz w:val="20"/>
                <w:szCs w:val="20"/>
                <w:lang w:eastAsia="lv-LV"/>
              </w:rPr>
              <w:t>(</w:t>
            </w:r>
            <w:r w:rsidRPr="00BA28A2">
              <w:rPr>
                <w:rFonts w:eastAsia="Times New Roman" w:cs="Times New Roman"/>
                <w:color w:val="000000"/>
                <w:kern w:val="24"/>
                <w:sz w:val="20"/>
                <w:szCs w:val="20"/>
                <w:lang w:eastAsia="lv-LV"/>
              </w:rPr>
              <w:t>VP</w:t>
            </w:r>
            <w:r w:rsidR="00FD0C64">
              <w:rPr>
                <w:rFonts w:eastAsia="Times New Roman" w:cs="Times New Roman"/>
                <w:color w:val="000000"/>
                <w:kern w:val="24"/>
                <w:sz w:val="20"/>
                <w:szCs w:val="20"/>
                <w:lang w:eastAsia="lv-LV"/>
              </w:rPr>
              <w:t>)</w:t>
            </w:r>
          </w:p>
        </w:tc>
        <w:tc>
          <w:tcPr>
            <w:tcW w:w="1418" w:type="dxa"/>
          </w:tcPr>
          <w:p w:rsidR="004C5A8F" w:rsidRPr="00BA28A2" w:rsidRDefault="004C5A8F" w:rsidP="004C5A8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SM</w:t>
            </w:r>
          </w:p>
        </w:tc>
        <w:tc>
          <w:tcPr>
            <w:tcW w:w="1559" w:type="dxa"/>
          </w:tcPr>
          <w:p w:rsidR="004C5A8F" w:rsidRPr="00BA28A2" w:rsidRDefault="004C5A8F"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F759E2" w:rsidRPr="00BA28A2" w:rsidRDefault="00F759E2"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31.12.2018.</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31.12.2019.</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color w:val="000000"/>
                <w:sz w:val="20"/>
                <w:szCs w:val="20"/>
                <w:lang w:eastAsia="lv-LV"/>
              </w:rPr>
              <w:t>31.12.2020.</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tc>
        <w:tc>
          <w:tcPr>
            <w:tcW w:w="2126" w:type="dxa"/>
            <w:shd w:val="clear" w:color="auto" w:fill="auto"/>
          </w:tcPr>
          <w:p w:rsidR="00067700" w:rsidRPr="00BA28A2" w:rsidRDefault="00112FB2"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color w:val="000000" w:themeColor="text1"/>
                <w:sz w:val="20"/>
                <w:szCs w:val="20"/>
              </w:rPr>
              <w:t>OCTA vai v</w:t>
            </w:r>
            <w:r w:rsidR="003F2DDD" w:rsidRPr="00BA28A2">
              <w:rPr>
                <w:rFonts w:cs="Times New Roman"/>
                <w:color w:val="000000" w:themeColor="text1"/>
                <w:sz w:val="20"/>
                <w:szCs w:val="20"/>
              </w:rPr>
              <w:t xml:space="preserve">alsts budžeta </w:t>
            </w:r>
            <w:r w:rsidR="00067700" w:rsidRPr="00BA28A2">
              <w:rPr>
                <w:rFonts w:cs="Times New Roman"/>
                <w:sz w:val="20"/>
                <w:szCs w:val="20"/>
              </w:rPr>
              <w:t xml:space="preserve">līdzekļi. </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3F2DDD" w:rsidRPr="00BA28A2" w:rsidRDefault="003F2DDD"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F759E2" w:rsidRDefault="00F759E2"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F759E2" w:rsidRPr="00BA28A2" w:rsidRDefault="00F759E2"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A28A2">
              <w:rPr>
                <w:rFonts w:cs="Times New Roman"/>
                <w:sz w:val="20"/>
                <w:szCs w:val="20"/>
              </w:rPr>
              <w:t>25 000</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A28A2">
              <w:rPr>
                <w:rFonts w:cs="Times New Roman"/>
                <w:sz w:val="20"/>
                <w:szCs w:val="20"/>
              </w:rPr>
              <w:t>25 000</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A28A2">
              <w:rPr>
                <w:rFonts w:cs="Times New Roman"/>
                <w:sz w:val="20"/>
                <w:szCs w:val="20"/>
              </w:rPr>
              <w:t>25 000</w:t>
            </w: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67700" w:rsidRPr="00BA28A2" w:rsidRDefault="00067700" w:rsidP="000677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4C5A8F" w:rsidRPr="00B91A9F" w:rsidRDefault="00F759E2" w:rsidP="004C5A8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Kopā: 75</w:t>
            </w:r>
            <w:r w:rsidR="00067700" w:rsidRPr="00BA28A2">
              <w:rPr>
                <w:rFonts w:cs="Times New Roman"/>
                <w:sz w:val="20"/>
                <w:szCs w:val="20"/>
              </w:rPr>
              <w:t> 000</w:t>
            </w:r>
          </w:p>
        </w:tc>
      </w:tr>
      <w:tr w:rsidR="00DC57D4"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4C5A8F" w:rsidRPr="00B31F68" w:rsidRDefault="00341A33" w:rsidP="004C5A8F">
            <w:pPr>
              <w:rPr>
                <w:rFonts w:eastAsia="Times New Roman" w:cs="Times New Roman"/>
                <w:b w:val="0"/>
                <w:bCs w:val="0"/>
                <w:color w:val="000000" w:themeColor="text1"/>
                <w:kern w:val="24"/>
                <w:sz w:val="20"/>
                <w:szCs w:val="20"/>
                <w:lang w:eastAsia="lv-LV"/>
              </w:rPr>
            </w:pPr>
            <w:r>
              <w:rPr>
                <w:rFonts w:eastAsia="Times New Roman" w:cs="Times New Roman"/>
                <w:b w:val="0"/>
                <w:color w:val="000000" w:themeColor="text1"/>
                <w:sz w:val="20"/>
                <w:szCs w:val="20"/>
                <w:lang w:eastAsia="lv-LV"/>
              </w:rPr>
              <w:t>14.</w:t>
            </w:r>
          </w:p>
        </w:tc>
        <w:tc>
          <w:tcPr>
            <w:tcW w:w="3275" w:type="dxa"/>
          </w:tcPr>
          <w:p w:rsidR="004C5A8F" w:rsidRPr="00BA28A2" w:rsidRDefault="007C1AA9" w:rsidP="007875C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7C1AA9">
              <w:rPr>
                <w:rFonts w:eastAsia="Times New Roman" w:cs="Times New Roman"/>
                <w:color w:val="000000" w:themeColor="text1"/>
                <w:sz w:val="20"/>
                <w:szCs w:val="20"/>
                <w:lang w:eastAsia="lv-LV"/>
              </w:rPr>
              <w:t>Pirms ceļu satiksmes dalībnieku kontrolei tiek izmantoti vidējā kustības ātruma radari, veikt izpēti par nepieciešamību grozīt un nepieciešamības gadījumā sagatavot grozījumus normatīvajos aktos, kā arī sagatavot priekšlikumus piemērotākajam vidējā kustības ātruma radaru finansēšanas modelim.</w:t>
            </w:r>
          </w:p>
        </w:tc>
        <w:tc>
          <w:tcPr>
            <w:tcW w:w="2977" w:type="dxa"/>
          </w:tcPr>
          <w:p w:rsidR="004C5A8F" w:rsidRPr="00BA28A2" w:rsidRDefault="007C1AA9" w:rsidP="00482B74">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rPr>
            </w:pPr>
            <w:r w:rsidRPr="007C1AA9">
              <w:rPr>
                <w:rFonts w:eastAsia="Times New Roman" w:cs="Times New Roman"/>
                <w:color w:val="000000" w:themeColor="text1"/>
                <w:sz w:val="20"/>
                <w:szCs w:val="20"/>
              </w:rPr>
              <w:t>Sagatavots 1 vai vairāki piemērotākie finansēšanas modeļi vidējā kustības ātruma radaru iegādei un kustības nodrošināšanai, nodrošināta normatīvo aktu atbilstība vidējā kustības ātruma radaru izmantošanai ceļu satiksmes dalībnieku kontrolē.</w:t>
            </w:r>
          </w:p>
        </w:tc>
        <w:tc>
          <w:tcPr>
            <w:tcW w:w="2678" w:type="dxa"/>
          </w:tcPr>
          <w:p w:rsidR="004C5A8F" w:rsidRPr="00BA28A2" w:rsidRDefault="007C1AA9"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rPr>
            </w:pPr>
            <w:r w:rsidRPr="007C1AA9">
              <w:rPr>
                <w:rFonts w:eastAsia="Times New Roman" w:cs="Times New Roman"/>
                <w:color w:val="000000" w:themeColor="text1"/>
                <w:sz w:val="20"/>
                <w:szCs w:val="20"/>
              </w:rPr>
              <w:t>Sagatavoti 1 vai vairāki finansēšanas modeļi, ieviesti grozījumi normatīvajos aktos.</w:t>
            </w:r>
          </w:p>
        </w:tc>
        <w:tc>
          <w:tcPr>
            <w:tcW w:w="1134" w:type="dxa"/>
          </w:tcPr>
          <w:p w:rsidR="00067700" w:rsidRPr="00BA28A2" w:rsidRDefault="000A4179" w:rsidP="00294C8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sz w:val="20"/>
                <w:szCs w:val="20"/>
                <w:lang w:eastAsia="lv-LV"/>
              </w:rPr>
              <w:t>IeM</w:t>
            </w:r>
            <w:r w:rsidR="00CD4D45" w:rsidRPr="00BA28A2">
              <w:rPr>
                <w:rFonts w:eastAsia="Times New Roman" w:cs="Times New Roman"/>
                <w:sz w:val="20"/>
                <w:szCs w:val="20"/>
                <w:lang w:eastAsia="lv-LV"/>
              </w:rPr>
              <w:t xml:space="preserve"> </w:t>
            </w:r>
            <w:r w:rsidR="00D67130">
              <w:rPr>
                <w:rFonts w:eastAsia="Times New Roman" w:cs="Times New Roman"/>
                <w:sz w:val="20"/>
                <w:szCs w:val="20"/>
                <w:lang w:eastAsia="lv-LV"/>
              </w:rPr>
              <w:t>(VP)</w:t>
            </w:r>
          </w:p>
          <w:p w:rsidR="004C5A8F" w:rsidRPr="00BA28A2" w:rsidRDefault="004C5A8F" w:rsidP="00294C8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p>
        </w:tc>
        <w:tc>
          <w:tcPr>
            <w:tcW w:w="1418" w:type="dxa"/>
          </w:tcPr>
          <w:p w:rsidR="004C5A8F" w:rsidRPr="00BA28A2" w:rsidRDefault="00D6713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kern w:val="24"/>
                <w:sz w:val="20"/>
                <w:szCs w:val="20"/>
                <w:lang w:eastAsia="lv-LV"/>
              </w:rPr>
              <w:t>SM (CSDD)</w:t>
            </w:r>
          </w:p>
        </w:tc>
        <w:tc>
          <w:tcPr>
            <w:tcW w:w="1559" w:type="dxa"/>
          </w:tcPr>
          <w:p w:rsidR="004C5A8F" w:rsidRPr="00BA28A2" w:rsidRDefault="00916B63" w:rsidP="004C5A8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BA28A2">
              <w:rPr>
                <w:rFonts w:eastAsia="Times New Roman" w:cs="Times New Roman"/>
                <w:sz w:val="20"/>
                <w:szCs w:val="20"/>
                <w:lang w:eastAsia="lv-LV"/>
              </w:rPr>
              <w:t>31.12.2018</w:t>
            </w:r>
            <w:r w:rsidR="004C5A8F" w:rsidRPr="00BA28A2">
              <w:rPr>
                <w:rFonts w:eastAsia="Times New Roman" w:cs="Times New Roman"/>
                <w:sz w:val="20"/>
                <w:szCs w:val="20"/>
                <w:lang w:eastAsia="lv-LV"/>
              </w:rPr>
              <w:t>.</w:t>
            </w:r>
          </w:p>
        </w:tc>
        <w:tc>
          <w:tcPr>
            <w:tcW w:w="2126" w:type="dxa"/>
          </w:tcPr>
          <w:p w:rsidR="004C5A8F" w:rsidRPr="00BA28A2" w:rsidRDefault="00916B63" w:rsidP="004C5A8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A28A2">
              <w:rPr>
                <w:rFonts w:cs="Times New Roman"/>
                <w:sz w:val="20"/>
                <w:szCs w:val="20"/>
              </w:rPr>
              <w:t>Nav nepieciešams</w:t>
            </w:r>
          </w:p>
        </w:tc>
      </w:tr>
      <w:tr w:rsidR="00DC57D4" w:rsidRPr="00174C24" w:rsidTr="00DC5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0A4179" w:rsidRPr="00B31F68" w:rsidRDefault="00341A33" w:rsidP="000A4179">
            <w:pPr>
              <w:rPr>
                <w:rFonts w:eastAsia="Times New Roman" w:cs="Times New Roman"/>
                <w:b w:val="0"/>
                <w:color w:val="000000" w:themeColor="text1"/>
                <w:sz w:val="20"/>
                <w:szCs w:val="20"/>
                <w:lang w:eastAsia="lv-LV"/>
              </w:rPr>
            </w:pPr>
            <w:r>
              <w:rPr>
                <w:rFonts w:eastAsia="Times New Roman" w:cs="Times New Roman"/>
                <w:b w:val="0"/>
                <w:bCs w:val="0"/>
                <w:color w:val="000000" w:themeColor="text1"/>
                <w:kern w:val="24"/>
                <w:sz w:val="20"/>
                <w:szCs w:val="20"/>
                <w:lang w:eastAsia="lv-LV"/>
              </w:rPr>
              <w:t>15.</w:t>
            </w:r>
          </w:p>
        </w:tc>
        <w:tc>
          <w:tcPr>
            <w:tcW w:w="3275" w:type="dxa"/>
          </w:tcPr>
          <w:p w:rsidR="000A4179" w:rsidRPr="00BA28A2" w:rsidRDefault="00FB6C9D" w:rsidP="000A417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FB6C9D">
              <w:rPr>
                <w:rFonts w:eastAsia="Times New Roman" w:cs="Times New Roman"/>
                <w:color w:val="000000" w:themeColor="text1"/>
                <w:kern w:val="24"/>
                <w:sz w:val="20"/>
                <w:szCs w:val="20"/>
                <w:lang w:eastAsia="lv-LV"/>
              </w:rPr>
              <w:t xml:space="preserve">Pirms ceļu satiksmes dalībnieku kontrolei tiek izmantotas automatizētas iekārtas, kas </w:t>
            </w:r>
            <w:proofErr w:type="spellStart"/>
            <w:r w:rsidRPr="00FB6C9D">
              <w:rPr>
                <w:rFonts w:eastAsia="Times New Roman" w:cs="Times New Roman"/>
                <w:color w:val="000000" w:themeColor="text1"/>
                <w:kern w:val="24"/>
                <w:sz w:val="20"/>
                <w:szCs w:val="20"/>
                <w:lang w:eastAsia="lv-LV"/>
              </w:rPr>
              <w:t>fiskē</w:t>
            </w:r>
            <w:proofErr w:type="spellEnd"/>
            <w:r w:rsidRPr="00FB6C9D">
              <w:rPr>
                <w:rFonts w:eastAsia="Times New Roman" w:cs="Times New Roman"/>
                <w:color w:val="000000" w:themeColor="text1"/>
                <w:kern w:val="24"/>
                <w:sz w:val="20"/>
                <w:szCs w:val="20"/>
                <w:lang w:eastAsia="lv-LV"/>
              </w:rPr>
              <w:t xml:space="preserve"> luksofora signālu neievērošanu, veikt izpēti par nepieciešamību grozīt un nepieciešamības gadījumā sagatavot grozījumus normatīvajos aktos, kā arī sagatavot priekšlikumus piemērotākajam automatizētu iekārtu, kas fiksē  luksofora signālu neievērošanu,  finansēšanas modelim.</w:t>
            </w:r>
          </w:p>
        </w:tc>
        <w:tc>
          <w:tcPr>
            <w:tcW w:w="2977" w:type="dxa"/>
          </w:tcPr>
          <w:p w:rsidR="000A4179" w:rsidRPr="00BA28A2" w:rsidRDefault="00FB6C9D" w:rsidP="000A4179">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FB6C9D">
              <w:rPr>
                <w:rFonts w:eastAsia="Times New Roman" w:cs="Times New Roman"/>
                <w:sz w:val="20"/>
                <w:szCs w:val="20"/>
              </w:rPr>
              <w:t>Sagatavots 1 vai vairāki piemērotākie finansēšanas modeļi automatizētu iekārtu, kas fiksē  luksofora signālu neievērošanu, iegādei un darbības nodrošināšanai, nodrošināta normatīvo aktu atbilstība automatizētu iekārtu, kas fiksē  luksofora signālu neievērošanu, izmantošanai ceļu satiksmes dalībnieku kontrolē.</w:t>
            </w:r>
          </w:p>
        </w:tc>
        <w:tc>
          <w:tcPr>
            <w:tcW w:w="2678" w:type="dxa"/>
          </w:tcPr>
          <w:p w:rsidR="000A4179" w:rsidRPr="00BA28A2" w:rsidRDefault="00FB6C9D" w:rsidP="000A417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C1AA9">
              <w:rPr>
                <w:rFonts w:eastAsia="Times New Roman" w:cs="Times New Roman"/>
                <w:color w:val="000000" w:themeColor="text1"/>
                <w:sz w:val="20"/>
                <w:szCs w:val="20"/>
              </w:rPr>
              <w:t>Sagatavoti 1 vai vairāki finansēšanas modeļi, ieviesti grozījumi normatīvajos aktos.</w:t>
            </w:r>
          </w:p>
        </w:tc>
        <w:tc>
          <w:tcPr>
            <w:tcW w:w="1134" w:type="dxa"/>
          </w:tcPr>
          <w:p w:rsidR="000A4179" w:rsidRPr="00BA28A2" w:rsidRDefault="000A4179" w:rsidP="000A417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BA28A2">
              <w:rPr>
                <w:rFonts w:eastAsia="Times New Roman" w:cs="Times New Roman"/>
                <w:sz w:val="20"/>
                <w:szCs w:val="20"/>
                <w:lang w:eastAsia="lv-LV"/>
              </w:rPr>
              <w:t>IeM</w:t>
            </w:r>
            <w:r w:rsidR="00B658B5">
              <w:rPr>
                <w:rFonts w:eastAsia="Times New Roman" w:cs="Times New Roman"/>
                <w:sz w:val="20"/>
                <w:szCs w:val="20"/>
                <w:lang w:eastAsia="lv-LV"/>
              </w:rPr>
              <w:t xml:space="preserve"> (VP)</w:t>
            </w:r>
          </w:p>
          <w:p w:rsidR="000A4179" w:rsidRPr="00BA28A2" w:rsidRDefault="000A4179" w:rsidP="000A417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tc>
        <w:tc>
          <w:tcPr>
            <w:tcW w:w="1418" w:type="dxa"/>
          </w:tcPr>
          <w:p w:rsidR="000A4179" w:rsidRPr="00BA28A2" w:rsidRDefault="00B658B5" w:rsidP="000A417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color w:val="000000"/>
                <w:kern w:val="24"/>
                <w:sz w:val="20"/>
                <w:szCs w:val="20"/>
                <w:lang w:eastAsia="lv-LV"/>
              </w:rPr>
              <w:t>SM (</w:t>
            </w:r>
            <w:r w:rsidR="000A4179" w:rsidRPr="00BA28A2">
              <w:rPr>
                <w:rFonts w:eastAsia="Times New Roman" w:cs="Times New Roman"/>
                <w:color w:val="000000"/>
                <w:kern w:val="24"/>
                <w:sz w:val="20"/>
                <w:szCs w:val="20"/>
                <w:lang w:eastAsia="lv-LV"/>
              </w:rPr>
              <w:t>CSDD</w:t>
            </w:r>
            <w:r>
              <w:rPr>
                <w:rFonts w:eastAsia="Times New Roman" w:cs="Times New Roman"/>
                <w:color w:val="000000"/>
                <w:kern w:val="24"/>
                <w:sz w:val="20"/>
                <w:szCs w:val="20"/>
                <w:lang w:eastAsia="lv-LV"/>
              </w:rPr>
              <w:t>)</w:t>
            </w:r>
          </w:p>
        </w:tc>
        <w:tc>
          <w:tcPr>
            <w:tcW w:w="1559" w:type="dxa"/>
          </w:tcPr>
          <w:p w:rsidR="000A4179" w:rsidRPr="00BA28A2" w:rsidRDefault="000A4179" w:rsidP="000A417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sidRPr="00BA28A2">
              <w:rPr>
                <w:rFonts w:eastAsia="Times New Roman" w:cs="Times New Roman"/>
                <w:sz w:val="20"/>
                <w:szCs w:val="20"/>
                <w:lang w:eastAsia="lv-LV"/>
              </w:rPr>
              <w:t>31.12.2018.</w:t>
            </w:r>
          </w:p>
        </w:tc>
        <w:tc>
          <w:tcPr>
            <w:tcW w:w="2126" w:type="dxa"/>
          </w:tcPr>
          <w:p w:rsidR="000A4179" w:rsidRPr="00BA28A2" w:rsidRDefault="000A4179" w:rsidP="000A417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A28A2">
              <w:rPr>
                <w:rFonts w:cs="Times New Roman"/>
                <w:sz w:val="20"/>
                <w:szCs w:val="20"/>
              </w:rPr>
              <w:t>Nav nepieciešams</w:t>
            </w:r>
          </w:p>
        </w:tc>
      </w:tr>
      <w:tr w:rsidR="00DC57D4"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916B63" w:rsidRPr="00B31F68" w:rsidRDefault="00341A33" w:rsidP="00916B63">
            <w:pPr>
              <w:rPr>
                <w:rFonts w:eastAsia="Times New Roman" w:cs="Times New Roman"/>
                <w:b w:val="0"/>
                <w:bCs w:val="0"/>
                <w:kern w:val="24"/>
                <w:sz w:val="20"/>
                <w:szCs w:val="20"/>
                <w:lang w:eastAsia="lv-LV"/>
              </w:rPr>
            </w:pPr>
            <w:r>
              <w:rPr>
                <w:rFonts w:eastAsia="Times New Roman" w:cs="Times New Roman"/>
                <w:b w:val="0"/>
                <w:bCs w:val="0"/>
                <w:kern w:val="24"/>
                <w:sz w:val="20"/>
                <w:szCs w:val="20"/>
                <w:lang w:eastAsia="lv-LV"/>
              </w:rPr>
              <w:lastRenderedPageBreak/>
              <w:t>16.</w:t>
            </w:r>
          </w:p>
        </w:tc>
        <w:tc>
          <w:tcPr>
            <w:tcW w:w="3275" w:type="dxa"/>
          </w:tcPr>
          <w:p w:rsidR="00916B63" w:rsidRPr="00BA28A2" w:rsidRDefault="00916B63">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BA28A2">
              <w:rPr>
                <w:rFonts w:eastAsia="Times New Roman" w:cs="Times New Roman"/>
                <w:sz w:val="20"/>
                <w:szCs w:val="20"/>
              </w:rPr>
              <w:t>Nodrošināt tehnisko līdzekļu, kas fiksē aizliedzošo luksofora signālu neievērošanu</w:t>
            </w:r>
            <w:r w:rsidR="00E23D60">
              <w:rPr>
                <w:rFonts w:eastAsia="Times New Roman" w:cs="Times New Roman"/>
                <w:sz w:val="20"/>
                <w:szCs w:val="20"/>
              </w:rPr>
              <w:t>,</w:t>
            </w:r>
            <w:r w:rsidRPr="00BA28A2">
              <w:rPr>
                <w:rFonts w:eastAsia="Times New Roman" w:cs="Times New Roman"/>
                <w:sz w:val="20"/>
                <w:szCs w:val="20"/>
              </w:rPr>
              <w:t xml:space="preserve"> </w:t>
            </w:r>
            <w:r w:rsidR="00CD4D45" w:rsidRPr="00BA28A2">
              <w:rPr>
                <w:rFonts w:eastAsia="Times New Roman" w:cs="Times New Roman"/>
                <w:sz w:val="20"/>
                <w:szCs w:val="20"/>
              </w:rPr>
              <w:t>ieviešanu</w:t>
            </w:r>
            <w:r w:rsidR="00BA28A2">
              <w:rPr>
                <w:rFonts w:eastAsia="Times New Roman" w:cs="Times New Roman"/>
                <w:sz w:val="20"/>
                <w:szCs w:val="20"/>
              </w:rPr>
              <w:t>.</w:t>
            </w:r>
          </w:p>
        </w:tc>
        <w:tc>
          <w:tcPr>
            <w:tcW w:w="2977" w:type="dxa"/>
          </w:tcPr>
          <w:p w:rsidR="00916B63" w:rsidRPr="00BA28A2" w:rsidRDefault="00916B63" w:rsidP="00916B63">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28A2">
              <w:rPr>
                <w:rFonts w:eastAsia="Times New Roman" w:cs="Times New Roman"/>
                <w:sz w:val="20"/>
                <w:szCs w:val="20"/>
              </w:rPr>
              <w:t xml:space="preserve">Nodrošināta automatizēta luksofora signāla ievērošanas kontrole </w:t>
            </w:r>
            <w:r w:rsidR="00BA28A2">
              <w:rPr>
                <w:rFonts w:eastAsia="Times New Roman" w:cs="Times New Roman"/>
                <w:sz w:val="20"/>
                <w:szCs w:val="20"/>
              </w:rPr>
              <w:t>bīstamos</w:t>
            </w:r>
            <w:r w:rsidRPr="00BA28A2">
              <w:rPr>
                <w:rFonts w:eastAsia="Times New Roman" w:cs="Times New Roman"/>
                <w:sz w:val="20"/>
                <w:szCs w:val="20"/>
              </w:rPr>
              <w:t xml:space="preserve"> krustojumos</w:t>
            </w:r>
          </w:p>
        </w:tc>
        <w:tc>
          <w:tcPr>
            <w:tcW w:w="2678" w:type="dxa"/>
          </w:tcPr>
          <w:p w:rsidR="00916B63" w:rsidRPr="00BA28A2" w:rsidRDefault="00916B63" w:rsidP="00E23D6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28A2">
              <w:rPr>
                <w:rFonts w:eastAsia="Times New Roman" w:cs="Times New Roman"/>
                <w:sz w:val="20"/>
                <w:szCs w:val="20"/>
              </w:rPr>
              <w:t xml:space="preserve"> </w:t>
            </w:r>
            <w:r w:rsidR="00BA28A2">
              <w:rPr>
                <w:rFonts w:eastAsia="Times New Roman" w:cs="Times New Roman"/>
                <w:sz w:val="20"/>
                <w:szCs w:val="20"/>
              </w:rPr>
              <w:t>U</w:t>
            </w:r>
            <w:r w:rsidRPr="00BA28A2">
              <w:rPr>
                <w:rFonts w:eastAsia="Times New Roman" w:cs="Times New Roman"/>
                <w:sz w:val="20"/>
                <w:szCs w:val="20"/>
              </w:rPr>
              <w:t>zstādīti tehniskie līdzekļi, kas fiksē aizliedzošo luksofora signālu neievērošanu</w:t>
            </w:r>
            <w:r w:rsidR="00BA28A2">
              <w:rPr>
                <w:rFonts w:eastAsia="Times New Roman" w:cs="Times New Roman"/>
                <w:sz w:val="20"/>
                <w:szCs w:val="20"/>
              </w:rPr>
              <w:t xml:space="preserve"> (skaits tiks noteikts pēc </w:t>
            </w:r>
            <w:proofErr w:type="spellStart"/>
            <w:r w:rsidR="00E23D60">
              <w:rPr>
                <w:rFonts w:eastAsia="Times New Roman" w:cs="Times New Roman"/>
                <w:sz w:val="20"/>
                <w:szCs w:val="20"/>
              </w:rPr>
              <w:t>izvērtējuma</w:t>
            </w:r>
            <w:proofErr w:type="spellEnd"/>
            <w:r w:rsidR="00BA28A2">
              <w:rPr>
                <w:rFonts w:eastAsia="Times New Roman" w:cs="Times New Roman"/>
                <w:sz w:val="20"/>
                <w:szCs w:val="20"/>
              </w:rPr>
              <w:t>).</w:t>
            </w:r>
          </w:p>
        </w:tc>
        <w:tc>
          <w:tcPr>
            <w:tcW w:w="1134" w:type="dxa"/>
          </w:tcPr>
          <w:p w:rsidR="00916B63" w:rsidRPr="00BA28A2" w:rsidRDefault="0068488F" w:rsidP="0045156C">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Pr>
                <w:rFonts w:eastAsia="Times New Roman" w:cs="Times New Roman"/>
                <w:kern w:val="24"/>
                <w:sz w:val="20"/>
                <w:szCs w:val="20"/>
                <w:lang w:eastAsia="lv-LV"/>
              </w:rPr>
              <w:t>IeM (VP)</w:t>
            </w:r>
          </w:p>
          <w:p w:rsidR="0045156C" w:rsidRPr="00BA28A2" w:rsidRDefault="0045156C" w:rsidP="0045156C">
            <w:pPr>
              <w:cnfStyle w:val="000000000000" w:firstRow="0" w:lastRow="0" w:firstColumn="0" w:lastColumn="0" w:oddVBand="0" w:evenVBand="0" w:oddHBand="0" w:evenHBand="0" w:firstRowFirstColumn="0" w:firstRowLastColumn="0" w:lastRowFirstColumn="0" w:lastRowLastColumn="0"/>
              <w:rPr>
                <w:rFonts w:eastAsia="Times New Roman" w:cs="Times New Roman"/>
                <w:strike/>
                <w:kern w:val="24"/>
                <w:sz w:val="20"/>
                <w:szCs w:val="20"/>
                <w:lang w:eastAsia="lv-LV"/>
              </w:rPr>
            </w:pPr>
          </w:p>
        </w:tc>
        <w:tc>
          <w:tcPr>
            <w:tcW w:w="1418" w:type="dxa"/>
          </w:tcPr>
          <w:p w:rsidR="00916B63" w:rsidRPr="00BA28A2" w:rsidRDefault="0068488F" w:rsidP="000A4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Pr>
                <w:rFonts w:eastAsia="Times New Roman" w:cs="Times New Roman"/>
                <w:kern w:val="24"/>
                <w:sz w:val="20"/>
                <w:szCs w:val="20"/>
                <w:lang w:eastAsia="lv-LV"/>
              </w:rPr>
              <w:t>SM (</w:t>
            </w:r>
            <w:r w:rsidR="004D3561" w:rsidRPr="00BA28A2">
              <w:rPr>
                <w:rFonts w:eastAsia="Times New Roman" w:cs="Times New Roman"/>
                <w:kern w:val="24"/>
                <w:sz w:val="20"/>
                <w:szCs w:val="20"/>
                <w:lang w:eastAsia="lv-LV"/>
              </w:rPr>
              <w:t>LVC</w:t>
            </w:r>
            <w:r>
              <w:rPr>
                <w:rFonts w:eastAsia="Times New Roman" w:cs="Times New Roman"/>
                <w:kern w:val="24"/>
                <w:sz w:val="20"/>
                <w:szCs w:val="20"/>
                <w:lang w:eastAsia="lv-LV"/>
              </w:rPr>
              <w:t>)</w:t>
            </w:r>
            <w:r w:rsidR="004D3561" w:rsidRPr="00BA28A2">
              <w:rPr>
                <w:rFonts w:eastAsia="Times New Roman" w:cs="Times New Roman"/>
                <w:kern w:val="24"/>
                <w:sz w:val="20"/>
                <w:szCs w:val="20"/>
                <w:lang w:eastAsia="lv-LV"/>
              </w:rPr>
              <w:t xml:space="preserve">, </w:t>
            </w:r>
          </w:p>
          <w:p w:rsidR="0045156C" w:rsidRPr="00BA28A2" w:rsidRDefault="0045156C" w:rsidP="000A4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BA28A2">
              <w:rPr>
                <w:rFonts w:eastAsia="Times New Roman" w:cs="Times New Roman"/>
                <w:kern w:val="24"/>
                <w:sz w:val="20"/>
                <w:szCs w:val="20"/>
                <w:lang w:eastAsia="lv-LV"/>
              </w:rPr>
              <w:t>RD SD</w:t>
            </w:r>
          </w:p>
          <w:p w:rsidR="0045156C" w:rsidRPr="00BA28A2" w:rsidRDefault="0045156C" w:rsidP="000A4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p>
        </w:tc>
        <w:tc>
          <w:tcPr>
            <w:tcW w:w="1559" w:type="dxa"/>
          </w:tcPr>
          <w:p w:rsidR="00916B63" w:rsidRPr="00BA28A2" w:rsidRDefault="00916B63" w:rsidP="00916B6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p>
          <w:p w:rsidR="00916B63" w:rsidRPr="00BA28A2" w:rsidRDefault="00916B63" w:rsidP="00916B6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p>
          <w:p w:rsidR="00916B63" w:rsidRPr="00BA28A2" w:rsidRDefault="00916B63" w:rsidP="00916B6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p>
          <w:p w:rsidR="00916B63" w:rsidRPr="00BA28A2" w:rsidRDefault="00916B63" w:rsidP="00916B6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BA28A2">
              <w:rPr>
                <w:rFonts w:eastAsia="Times New Roman" w:cs="Times New Roman"/>
                <w:sz w:val="20"/>
                <w:szCs w:val="20"/>
                <w:lang w:eastAsia="lv-LV"/>
              </w:rPr>
              <w:t>31.12.2020.</w:t>
            </w:r>
          </w:p>
          <w:p w:rsidR="00916B63" w:rsidRPr="00BA28A2" w:rsidRDefault="00916B63" w:rsidP="00916B6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p>
        </w:tc>
        <w:tc>
          <w:tcPr>
            <w:tcW w:w="2126" w:type="dxa"/>
          </w:tcPr>
          <w:p w:rsidR="00916B63" w:rsidRPr="00BA28A2" w:rsidRDefault="00916B63" w:rsidP="00BA28A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A28A2">
              <w:rPr>
                <w:rFonts w:cs="Times New Roman"/>
                <w:sz w:val="20"/>
                <w:szCs w:val="20"/>
              </w:rPr>
              <w:t xml:space="preserve"> </w:t>
            </w:r>
            <w:r w:rsidR="00BA28A2">
              <w:rPr>
                <w:rFonts w:cs="Times New Roman"/>
                <w:sz w:val="20"/>
                <w:szCs w:val="20"/>
              </w:rPr>
              <w:t>Tiks noteikts pēc izpētes</w:t>
            </w:r>
          </w:p>
          <w:p w:rsidR="00916B63" w:rsidRPr="00BA28A2" w:rsidRDefault="00916B63" w:rsidP="00916B63">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DC57D4"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916B63" w:rsidRPr="00B31F68" w:rsidRDefault="00341A33" w:rsidP="00916B63">
            <w:pPr>
              <w:rPr>
                <w:rFonts w:eastAsia="Times New Roman" w:cs="Times New Roman"/>
                <w:b w:val="0"/>
                <w:bCs w:val="0"/>
                <w:kern w:val="24"/>
                <w:sz w:val="20"/>
                <w:szCs w:val="20"/>
                <w:lang w:eastAsia="lv-LV"/>
              </w:rPr>
            </w:pPr>
            <w:r>
              <w:rPr>
                <w:rFonts w:eastAsia="Times New Roman" w:cs="Times New Roman"/>
                <w:b w:val="0"/>
                <w:bCs w:val="0"/>
                <w:kern w:val="24"/>
                <w:sz w:val="20"/>
                <w:szCs w:val="20"/>
                <w:lang w:eastAsia="lv-LV"/>
              </w:rPr>
              <w:t>17.</w:t>
            </w:r>
          </w:p>
        </w:tc>
        <w:tc>
          <w:tcPr>
            <w:tcW w:w="3275" w:type="dxa"/>
            <w:shd w:val="clear" w:color="auto" w:fill="auto"/>
          </w:tcPr>
          <w:p w:rsidR="00916B63" w:rsidRPr="00982C61" w:rsidRDefault="00916B63" w:rsidP="005A6F6A">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lv-LV"/>
              </w:rPr>
            </w:pPr>
            <w:r w:rsidRPr="00982C61">
              <w:rPr>
                <w:rFonts w:eastAsia="Times New Roman" w:cs="Times New Roman"/>
                <w:kern w:val="24"/>
                <w:sz w:val="20"/>
                <w:szCs w:val="20"/>
                <w:lang w:eastAsia="lv-LV"/>
              </w:rPr>
              <w:t xml:space="preserve">Nodrošināt ierīču, kas veic automātisku </w:t>
            </w:r>
            <w:r w:rsidR="005A6F6A">
              <w:rPr>
                <w:rFonts w:eastAsia="Times New Roman" w:cs="Times New Roman"/>
                <w:kern w:val="24"/>
                <w:sz w:val="20"/>
                <w:szCs w:val="20"/>
                <w:lang w:eastAsia="lv-LV"/>
              </w:rPr>
              <w:t xml:space="preserve">TL </w:t>
            </w:r>
            <w:r w:rsidRPr="00982C61">
              <w:rPr>
                <w:rFonts w:eastAsia="Times New Roman" w:cs="Times New Roman"/>
                <w:kern w:val="24"/>
                <w:sz w:val="20"/>
                <w:szCs w:val="20"/>
                <w:lang w:eastAsia="lv-LV"/>
              </w:rPr>
              <w:t>reģistrācijas numura zīmju nolasīšanu</w:t>
            </w:r>
            <w:r w:rsidR="00E23D60">
              <w:rPr>
                <w:rFonts w:eastAsia="Times New Roman" w:cs="Times New Roman"/>
                <w:kern w:val="24"/>
                <w:sz w:val="20"/>
                <w:szCs w:val="20"/>
                <w:lang w:eastAsia="lv-LV"/>
              </w:rPr>
              <w:t>,</w:t>
            </w:r>
            <w:r w:rsidRPr="00982C61">
              <w:rPr>
                <w:rFonts w:eastAsia="Times New Roman" w:cs="Times New Roman"/>
                <w:kern w:val="24"/>
                <w:sz w:val="20"/>
                <w:szCs w:val="20"/>
                <w:lang w:eastAsia="lv-LV"/>
              </w:rPr>
              <w:t xml:space="preserve"> iegādi.</w:t>
            </w:r>
          </w:p>
        </w:tc>
        <w:tc>
          <w:tcPr>
            <w:tcW w:w="2977" w:type="dxa"/>
            <w:shd w:val="clear" w:color="auto" w:fill="auto"/>
          </w:tcPr>
          <w:p w:rsidR="00916B63" w:rsidRPr="00982C61" w:rsidRDefault="00916B63" w:rsidP="005A6F6A">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82C61">
              <w:rPr>
                <w:rFonts w:eastAsia="Times New Roman" w:cs="Times New Roman"/>
                <w:sz w:val="20"/>
                <w:szCs w:val="20"/>
              </w:rPr>
              <w:t xml:space="preserve">Veicot ceļu satiksmes uzraudzību, nodrošināta iespēja automātiski konstatēt, vai </w:t>
            </w:r>
            <w:r w:rsidR="005A6F6A">
              <w:rPr>
                <w:rFonts w:eastAsia="Times New Roman" w:cs="Times New Roman"/>
                <w:sz w:val="20"/>
                <w:szCs w:val="20"/>
              </w:rPr>
              <w:t>TL</w:t>
            </w:r>
            <w:r w:rsidR="005A6F6A" w:rsidRPr="00982C61">
              <w:rPr>
                <w:rFonts w:eastAsia="Times New Roman" w:cs="Times New Roman"/>
                <w:sz w:val="20"/>
                <w:szCs w:val="20"/>
              </w:rPr>
              <w:t xml:space="preserve"> </w:t>
            </w:r>
            <w:r w:rsidRPr="00982C61">
              <w:rPr>
                <w:rFonts w:eastAsia="Times New Roman" w:cs="Times New Roman"/>
                <w:sz w:val="20"/>
                <w:szCs w:val="20"/>
              </w:rPr>
              <w:t>ir meklēšanā, vai tas ir apdrošināts un ir izieta tehniskā apskate, kā arī</w:t>
            </w:r>
            <w:r w:rsidR="00E23D60">
              <w:rPr>
                <w:rFonts w:eastAsia="Times New Roman" w:cs="Times New Roman"/>
                <w:sz w:val="20"/>
                <w:szCs w:val="20"/>
              </w:rPr>
              <w:t>,</w:t>
            </w:r>
            <w:r w:rsidRPr="00982C61">
              <w:rPr>
                <w:rFonts w:eastAsia="Times New Roman" w:cs="Times New Roman"/>
                <w:sz w:val="20"/>
                <w:szCs w:val="20"/>
              </w:rPr>
              <w:t xml:space="preserve"> iespējams, citu svarīgu informāciju</w:t>
            </w:r>
          </w:p>
        </w:tc>
        <w:tc>
          <w:tcPr>
            <w:tcW w:w="2678" w:type="dxa"/>
            <w:shd w:val="clear" w:color="auto" w:fill="auto"/>
          </w:tcPr>
          <w:p w:rsidR="00916B63" w:rsidRPr="00982C61" w:rsidRDefault="00F759E2" w:rsidP="005A6F6A">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F759E2">
              <w:rPr>
                <w:rFonts w:eastAsia="Times New Roman" w:cs="Times New Roman"/>
                <w:sz w:val="20"/>
                <w:szCs w:val="20"/>
              </w:rPr>
              <w:t>Iegādātas 3 (2018. - 1, 2019. - 1, 2020. - 1) ierīces automātiskai TL reģistrācijas numura zīmju nolasīšanai</w:t>
            </w:r>
            <w:r>
              <w:rPr>
                <w:rFonts w:eastAsia="Times New Roman" w:cs="Times New Roman"/>
                <w:sz w:val="20"/>
                <w:szCs w:val="20"/>
              </w:rPr>
              <w:t>.</w:t>
            </w:r>
          </w:p>
        </w:tc>
        <w:tc>
          <w:tcPr>
            <w:tcW w:w="1134" w:type="dxa"/>
            <w:shd w:val="clear" w:color="auto" w:fill="auto"/>
          </w:tcPr>
          <w:p w:rsidR="00916B63" w:rsidRPr="00982C61" w:rsidRDefault="00916B63"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lv-LV"/>
              </w:rPr>
            </w:pPr>
            <w:r w:rsidRPr="00982C61">
              <w:rPr>
                <w:rFonts w:eastAsia="Times New Roman" w:cs="Times New Roman"/>
                <w:kern w:val="24"/>
                <w:sz w:val="20"/>
                <w:szCs w:val="20"/>
                <w:lang w:eastAsia="lv-LV"/>
              </w:rPr>
              <w:t>I</w:t>
            </w:r>
            <w:r w:rsidR="00F41351">
              <w:rPr>
                <w:rFonts w:eastAsia="Times New Roman" w:cs="Times New Roman"/>
                <w:kern w:val="24"/>
                <w:sz w:val="20"/>
                <w:szCs w:val="20"/>
                <w:lang w:eastAsia="lv-LV"/>
              </w:rPr>
              <w:t>eM (</w:t>
            </w:r>
            <w:r w:rsidRPr="00982C61">
              <w:rPr>
                <w:rFonts w:eastAsia="Times New Roman" w:cs="Times New Roman"/>
                <w:kern w:val="24"/>
                <w:sz w:val="20"/>
                <w:szCs w:val="20"/>
                <w:lang w:eastAsia="lv-LV"/>
              </w:rPr>
              <w:t>VP</w:t>
            </w:r>
            <w:r w:rsidR="00F41351">
              <w:rPr>
                <w:rFonts w:eastAsia="Times New Roman" w:cs="Times New Roman"/>
                <w:kern w:val="24"/>
                <w:sz w:val="20"/>
                <w:szCs w:val="20"/>
                <w:lang w:eastAsia="lv-LV"/>
              </w:rPr>
              <w:t>)</w:t>
            </w:r>
          </w:p>
        </w:tc>
        <w:tc>
          <w:tcPr>
            <w:tcW w:w="1418" w:type="dxa"/>
            <w:shd w:val="clear" w:color="auto" w:fill="auto"/>
          </w:tcPr>
          <w:p w:rsidR="00916B63" w:rsidRPr="00982C61" w:rsidRDefault="00916B63" w:rsidP="000A4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lv-LV"/>
              </w:rPr>
            </w:pPr>
            <w:r w:rsidRPr="00982C61">
              <w:rPr>
                <w:rFonts w:eastAsia="Times New Roman" w:cs="Times New Roman"/>
                <w:kern w:val="24"/>
                <w:sz w:val="20"/>
                <w:szCs w:val="20"/>
                <w:lang w:eastAsia="lv-LV"/>
              </w:rPr>
              <w:t>SM</w:t>
            </w:r>
            <w:r w:rsidR="004D3561" w:rsidRPr="00982C61">
              <w:rPr>
                <w:rFonts w:eastAsia="Times New Roman" w:cs="Times New Roman"/>
                <w:kern w:val="24"/>
                <w:sz w:val="20"/>
                <w:szCs w:val="20"/>
                <w:lang w:eastAsia="lv-LV"/>
              </w:rPr>
              <w:t>, LVC</w:t>
            </w:r>
          </w:p>
        </w:tc>
        <w:tc>
          <w:tcPr>
            <w:tcW w:w="1559" w:type="dxa"/>
            <w:shd w:val="clear" w:color="auto" w:fill="auto"/>
          </w:tcPr>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sidRPr="00982C61">
              <w:rPr>
                <w:rFonts w:eastAsia="Times New Roman" w:cs="Times New Roman"/>
                <w:sz w:val="20"/>
                <w:szCs w:val="20"/>
                <w:lang w:eastAsia="lv-LV"/>
              </w:rPr>
              <w:t>31.12.2018.</w:t>
            </w: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sidRPr="00982C61">
              <w:rPr>
                <w:rFonts w:eastAsia="Times New Roman" w:cs="Times New Roman"/>
                <w:sz w:val="20"/>
                <w:szCs w:val="20"/>
                <w:lang w:eastAsia="lv-LV"/>
              </w:rPr>
              <w:t>31.12.2019.</w:t>
            </w: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4D3561"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916B63" w:rsidRPr="00982C61" w:rsidRDefault="004D3561"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sidRPr="00982C61">
              <w:rPr>
                <w:rFonts w:eastAsia="Times New Roman" w:cs="Times New Roman"/>
                <w:sz w:val="20"/>
                <w:szCs w:val="20"/>
                <w:lang w:eastAsia="lv-LV"/>
              </w:rPr>
              <w:t>31.12.2020.</w:t>
            </w:r>
            <w:r w:rsidR="00916B63" w:rsidRPr="00982C61">
              <w:rPr>
                <w:rFonts w:eastAsia="Times New Roman" w:cs="Times New Roman"/>
                <w:sz w:val="20"/>
                <w:szCs w:val="20"/>
                <w:lang w:eastAsia="lv-LV"/>
              </w:rPr>
              <w:t xml:space="preserve"> </w:t>
            </w:r>
          </w:p>
          <w:p w:rsidR="00916B63" w:rsidRPr="00982C61" w:rsidRDefault="00916B63" w:rsidP="00916B6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p w:rsidR="00916B63" w:rsidRPr="00982C61" w:rsidRDefault="00916B63" w:rsidP="004D3561">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tc>
        <w:tc>
          <w:tcPr>
            <w:tcW w:w="2126" w:type="dxa"/>
            <w:shd w:val="clear" w:color="auto" w:fill="auto"/>
          </w:tcPr>
          <w:p w:rsidR="004D3561" w:rsidRPr="000F1AB6" w:rsidRDefault="00916B63" w:rsidP="00916B63">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F1AB6">
              <w:rPr>
                <w:rFonts w:cs="Times New Roman"/>
                <w:color w:val="000000" w:themeColor="text1"/>
                <w:sz w:val="20"/>
                <w:szCs w:val="20"/>
              </w:rPr>
              <w:t xml:space="preserve">Valsts budžets vai OCTA līdzekļi. </w:t>
            </w: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A81DB4" w:rsidRPr="000F1AB6" w:rsidRDefault="00A81DB4"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F759E2" w:rsidRPr="000F1AB6" w:rsidRDefault="00F759E2"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F1AB6">
              <w:rPr>
                <w:rFonts w:cs="Times New Roman"/>
                <w:color w:val="000000" w:themeColor="text1"/>
                <w:sz w:val="20"/>
                <w:szCs w:val="20"/>
              </w:rPr>
              <w:t>50 000</w:t>
            </w: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F1AB6">
              <w:rPr>
                <w:rFonts w:cs="Times New Roman"/>
                <w:color w:val="000000" w:themeColor="text1"/>
                <w:sz w:val="20"/>
                <w:szCs w:val="20"/>
              </w:rPr>
              <w:t>50 000</w:t>
            </w: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F1AB6">
              <w:rPr>
                <w:rFonts w:cs="Times New Roman"/>
                <w:color w:val="000000" w:themeColor="text1"/>
                <w:sz w:val="20"/>
                <w:szCs w:val="20"/>
              </w:rPr>
              <w:t>50 000</w:t>
            </w:r>
          </w:p>
          <w:p w:rsidR="004D3561" w:rsidRPr="000F1AB6" w:rsidRDefault="004D3561"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00916B63" w:rsidRPr="000F1AB6" w:rsidRDefault="00F759E2" w:rsidP="009D142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F1AB6">
              <w:rPr>
                <w:rFonts w:cs="Times New Roman"/>
                <w:color w:val="000000" w:themeColor="text1"/>
                <w:sz w:val="20"/>
                <w:szCs w:val="20"/>
              </w:rPr>
              <w:t>Kopā: 150</w:t>
            </w:r>
            <w:r w:rsidR="00916B63" w:rsidRPr="000F1AB6">
              <w:rPr>
                <w:rFonts w:cs="Times New Roman"/>
                <w:color w:val="000000" w:themeColor="text1"/>
                <w:sz w:val="20"/>
                <w:szCs w:val="20"/>
              </w:rPr>
              <w:t xml:space="preserve"> 000</w:t>
            </w:r>
          </w:p>
          <w:p w:rsidR="00916B63" w:rsidRPr="00982C61" w:rsidRDefault="00916B63" w:rsidP="00916B63">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r>
      <w:tr w:rsidR="00DC0FE8"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DC0FE8" w:rsidRPr="00DC0FE8" w:rsidRDefault="00DC0FE8" w:rsidP="00DC0FE8">
            <w:pPr>
              <w:rPr>
                <w:rFonts w:eastAsia="Times New Roman" w:cs="Times New Roman"/>
                <w:b w:val="0"/>
                <w:bCs w:val="0"/>
                <w:kern w:val="24"/>
                <w:sz w:val="20"/>
                <w:szCs w:val="20"/>
                <w:lang w:eastAsia="lv-LV"/>
              </w:rPr>
            </w:pPr>
            <w:r w:rsidRPr="00DC0FE8">
              <w:rPr>
                <w:rFonts w:eastAsia="Times New Roman" w:cs="Times New Roman"/>
                <w:b w:val="0"/>
                <w:kern w:val="24"/>
                <w:sz w:val="20"/>
                <w:szCs w:val="20"/>
                <w:lang w:eastAsia="lv-LV"/>
              </w:rPr>
              <w:t>18.</w:t>
            </w:r>
          </w:p>
        </w:tc>
        <w:tc>
          <w:tcPr>
            <w:tcW w:w="3275" w:type="dxa"/>
          </w:tcPr>
          <w:p w:rsidR="00DC0FE8" w:rsidRPr="00DC0FE8" w:rsidRDefault="00DC0FE8" w:rsidP="00D031E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DC0FE8">
              <w:rPr>
                <w:rFonts w:eastAsia="Times New Roman"/>
                <w:color w:val="000000" w:themeColor="text1"/>
                <w:kern w:val="24"/>
                <w:sz w:val="20"/>
                <w:szCs w:val="20"/>
                <w:lang w:eastAsia="lv-LV"/>
              </w:rPr>
              <w:t xml:space="preserve">Nodrošināt dienesta velosipēdu (bez motora vai ar 250W elektromotoru) iegādi </w:t>
            </w:r>
            <w:r w:rsidR="00D031E0">
              <w:rPr>
                <w:rFonts w:eastAsia="Times New Roman"/>
                <w:color w:val="000000" w:themeColor="text1"/>
                <w:kern w:val="24"/>
                <w:sz w:val="20"/>
                <w:szCs w:val="20"/>
                <w:lang w:eastAsia="lv-LV"/>
              </w:rPr>
              <w:t>VP</w:t>
            </w:r>
            <w:r w:rsidRPr="00DC0FE8">
              <w:rPr>
                <w:rFonts w:eastAsia="Times New Roman"/>
                <w:color w:val="000000" w:themeColor="text1"/>
                <w:kern w:val="24"/>
                <w:sz w:val="20"/>
                <w:szCs w:val="20"/>
                <w:lang w:eastAsia="lv-LV"/>
              </w:rPr>
              <w:t>.</w:t>
            </w:r>
          </w:p>
        </w:tc>
        <w:tc>
          <w:tcPr>
            <w:tcW w:w="2977" w:type="dxa"/>
          </w:tcPr>
          <w:p w:rsidR="00DC0FE8" w:rsidRPr="00DC0FE8" w:rsidRDefault="00DC0FE8" w:rsidP="00DC0FE8">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DC0FE8">
              <w:rPr>
                <w:rFonts w:eastAsia="Times New Roman"/>
                <w:sz w:val="20"/>
                <w:szCs w:val="20"/>
              </w:rPr>
              <w:t>Veicot ceļu satiksmes uzraudzību apdzīvotās vietās, nodrošināta iespēja kontrolēt, vai citi satiksmes dalībnieki neapdraud velosipēdistus.</w:t>
            </w:r>
          </w:p>
        </w:tc>
        <w:tc>
          <w:tcPr>
            <w:tcW w:w="2678" w:type="dxa"/>
          </w:tcPr>
          <w:p w:rsidR="00DC0FE8" w:rsidRPr="00DC0FE8" w:rsidRDefault="00DC0FE8" w:rsidP="00DC0FE8">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DC0FE8">
              <w:rPr>
                <w:rFonts w:eastAsia="Times New Roman"/>
                <w:sz w:val="20"/>
                <w:szCs w:val="20"/>
              </w:rPr>
              <w:t>Iegādāti 200 velosipēdi, kas tiek izmantoti Valsts policijas darbā ceļu satiksmes dalībnieku kontrolei.</w:t>
            </w:r>
          </w:p>
        </w:tc>
        <w:tc>
          <w:tcPr>
            <w:tcW w:w="1134" w:type="dxa"/>
          </w:tcPr>
          <w:p w:rsidR="00DC0FE8" w:rsidRPr="00DC0FE8" w:rsidRDefault="00F41351" w:rsidP="00DC0FE8">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Pr>
                <w:rFonts w:eastAsia="Times New Roman" w:cs="Times New Roman"/>
                <w:kern w:val="24"/>
                <w:sz w:val="20"/>
                <w:szCs w:val="20"/>
                <w:lang w:eastAsia="lv-LV"/>
              </w:rPr>
              <w:t>IeM (</w:t>
            </w:r>
            <w:r w:rsidR="00DC0FE8" w:rsidRPr="00DC0FE8">
              <w:rPr>
                <w:rFonts w:eastAsia="Times New Roman" w:cs="Times New Roman"/>
                <w:kern w:val="24"/>
                <w:sz w:val="20"/>
                <w:szCs w:val="20"/>
                <w:lang w:eastAsia="lv-LV"/>
              </w:rPr>
              <w:t>VP</w:t>
            </w:r>
            <w:r>
              <w:rPr>
                <w:rFonts w:eastAsia="Times New Roman" w:cs="Times New Roman"/>
                <w:kern w:val="24"/>
                <w:sz w:val="20"/>
                <w:szCs w:val="20"/>
                <w:lang w:eastAsia="lv-LV"/>
              </w:rPr>
              <w:t>)</w:t>
            </w:r>
          </w:p>
        </w:tc>
        <w:tc>
          <w:tcPr>
            <w:tcW w:w="1418" w:type="dxa"/>
          </w:tcPr>
          <w:p w:rsidR="00DC0FE8" w:rsidRPr="00DC0FE8" w:rsidRDefault="00DC0FE8" w:rsidP="00DC0FE8">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DC0FE8">
              <w:rPr>
                <w:rFonts w:eastAsia="Times New Roman" w:cs="Times New Roman"/>
                <w:kern w:val="24"/>
                <w:sz w:val="20"/>
                <w:szCs w:val="20"/>
                <w:lang w:eastAsia="lv-LV"/>
              </w:rPr>
              <w:t>SM</w:t>
            </w:r>
          </w:p>
        </w:tc>
        <w:tc>
          <w:tcPr>
            <w:tcW w:w="1559" w:type="dxa"/>
          </w:tcPr>
          <w:p w:rsidR="00DC0FE8" w:rsidRPr="00DC0FE8" w:rsidRDefault="00DC0FE8" w:rsidP="00DC0FE8">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DC0FE8">
              <w:rPr>
                <w:rFonts w:eastAsia="Times New Roman" w:cs="Times New Roman"/>
                <w:sz w:val="20"/>
                <w:szCs w:val="20"/>
                <w:lang w:eastAsia="lv-LV"/>
              </w:rPr>
              <w:t>31.21.2020.</w:t>
            </w:r>
          </w:p>
        </w:tc>
        <w:tc>
          <w:tcPr>
            <w:tcW w:w="2126" w:type="dxa"/>
          </w:tcPr>
          <w:p w:rsidR="00DC0FE8" w:rsidRPr="00DC0FE8" w:rsidRDefault="00DC0FE8" w:rsidP="00DC0FE8">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C0FE8">
              <w:rPr>
                <w:rFonts w:cs="Times New Roman"/>
                <w:color w:val="000000" w:themeColor="text1"/>
                <w:sz w:val="20"/>
                <w:szCs w:val="20"/>
              </w:rPr>
              <w:t xml:space="preserve">finansējuma apmērs </w:t>
            </w:r>
            <w:r>
              <w:rPr>
                <w:rFonts w:cs="Times New Roman"/>
                <w:color w:val="000000" w:themeColor="text1"/>
                <w:sz w:val="20"/>
                <w:szCs w:val="20"/>
              </w:rPr>
              <w:t xml:space="preserve">un finansējuma avots </w:t>
            </w:r>
            <w:r w:rsidRPr="00DC0FE8">
              <w:rPr>
                <w:rFonts w:cs="Times New Roman"/>
                <w:color w:val="000000" w:themeColor="text1"/>
                <w:sz w:val="20"/>
                <w:szCs w:val="20"/>
              </w:rPr>
              <w:t>tiks noteikts pēc izpētes</w:t>
            </w:r>
          </w:p>
        </w:tc>
      </w:tr>
      <w:tr w:rsidR="00D031E0"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D031E0" w:rsidRPr="00DC0FE8" w:rsidRDefault="00D031E0" w:rsidP="00D031E0">
            <w:pPr>
              <w:rPr>
                <w:rFonts w:eastAsia="Times New Roman" w:cs="Times New Roman"/>
                <w:b w:val="0"/>
                <w:kern w:val="24"/>
                <w:sz w:val="20"/>
                <w:szCs w:val="20"/>
                <w:lang w:eastAsia="lv-LV"/>
              </w:rPr>
            </w:pPr>
            <w:r>
              <w:rPr>
                <w:rFonts w:eastAsia="Times New Roman" w:cs="Times New Roman"/>
                <w:b w:val="0"/>
                <w:kern w:val="24"/>
                <w:sz w:val="20"/>
                <w:szCs w:val="20"/>
                <w:lang w:eastAsia="lv-LV"/>
              </w:rPr>
              <w:t>19.</w:t>
            </w:r>
          </w:p>
        </w:tc>
        <w:tc>
          <w:tcPr>
            <w:tcW w:w="3275" w:type="dxa"/>
          </w:tcPr>
          <w:p w:rsidR="00D031E0" w:rsidRPr="00D031E0"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lv-LV"/>
              </w:rPr>
            </w:pPr>
            <w:r>
              <w:rPr>
                <w:rFonts w:eastAsia="Times New Roman" w:cs="Times New Roman"/>
                <w:color w:val="000000"/>
                <w:kern w:val="24"/>
                <w:sz w:val="20"/>
                <w:szCs w:val="20"/>
                <w:lang w:eastAsia="lv-LV"/>
              </w:rPr>
              <w:t xml:space="preserve">Nodrošināt </w:t>
            </w:r>
            <w:r w:rsidRPr="00D031E0">
              <w:rPr>
                <w:rFonts w:eastAsia="Calibri"/>
                <w:sz w:val="20"/>
                <w:szCs w:val="20"/>
              </w:rPr>
              <w:t>3D</w:t>
            </w:r>
            <w:r>
              <w:rPr>
                <w:rFonts w:eastAsia="Calibri"/>
                <w:sz w:val="20"/>
                <w:szCs w:val="20"/>
              </w:rPr>
              <w:t xml:space="preserve"> lineālu iegādi </w:t>
            </w:r>
            <w:r w:rsidR="001C4747">
              <w:rPr>
                <w:rFonts w:eastAsia="Calibri"/>
                <w:sz w:val="20"/>
                <w:szCs w:val="20"/>
              </w:rPr>
              <w:t xml:space="preserve">VP </w:t>
            </w:r>
            <w:proofErr w:type="spellStart"/>
            <w:r w:rsidR="001C4747">
              <w:rPr>
                <w:rFonts w:eastAsia="Calibri"/>
                <w:sz w:val="20"/>
                <w:szCs w:val="20"/>
              </w:rPr>
              <w:t>CSNg</w:t>
            </w:r>
            <w:proofErr w:type="spellEnd"/>
            <w:r>
              <w:rPr>
                <w:rFonts w:eastAsia="Calibri"/>
                <w:sz w:val="20"/>
                <w:szCs w:val="20"/>
              </w:rPr>
              <w:t xml:space="preserve"> seku novēršanas un izmeklēšanas procesa nodrošināšanai.</w:t>
            </w:r>
            <w:r w:rsidRPr="00D031E0">
              <w:rPr>
                <w:rFonts w:eastAsia="Calibri"/>
                <w:sz w:val="20"/>
                <w:szCs w:val="20"/>
              </w:rPr>
              <w:t xml:space="preserve"> </w:t>
            </w:r>
          </w:p>
          <w:p w:rsidR="00D031E0" w:rsidRPr="00D031E0" w:rsidRDefault="00D031E0" w:rsidP="00D031E0">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tc>
        <w:tc>
          <w:tcPr>
            <w:tcW w:w="2977" w:type="dxa"/>
          </w:tcPr>
          <w:p w:rsidR="00D031E0" w:rsidRPr="00D031E0" w:rsidRDefault="0023391F" w:rsidP="0023391F">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23391F">
              <w:rPr>
                <w:sz w:val="20"/>
                <w:szCs w:val="20"/>
              </w:rPr>
              <w:t xml:space="preserve">Būtiski uzlabota </w:t>
            </w:r>
            <w:proofErr w:type="spellStart"/>
            <w:r>
              <w:rPr>
                <w:sz w:val="20"/>
                <w:szCs w:val="20"/>
              </w:rPr>
              <w:t>CSNg</w:t>
            </w:r>
            <w:proofErr w:type="spellEnd"/>
            <w:r>
              <w:rPr>
                <w:sz w:val="20"/>
                <w:szCs w:val="20"/>
              </w:rPr>
              <w:t xml:space="preserve"> </w:t>
            </w:r>
            <w:r w:rsidRPr="0023391F">
              <w:rPr>
                <w:sz w:val="20"/>
                <w:szCs w:val="20"/>
              </w:rPr>
              <w:t>noformēšanas kvalitāte</w:t>
            </w:r>
            <w:r>
              <w:rPr>
                <w:sz w:val="20"/>
                <w:szCs w:val="20"/>
              </w:rPr>
              <w:t xml:space="preserve">, </w:t>
            </w:r>
            <w:r w:rsidRPr="0023391F">
              <w:rPr>
                <w:sz w:val="20"/>
                <w:szCs w:val="20"/>
              </w:rPr>
              <w:t xml:space="preserve"> izmantojot jaunākās tehnoloģijas</w:t>
            </w:r>
          </w:p>
        </w:tc>
        <w:tc>
          <w:tcPr>
            <w:tcW w:w="2678" w:type="dxa"/>
          </w:tcPr>
          <w:p w:rsidR="00D031E0" w:rsidRPr="00D031E0"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D031E0">
              <w:rPr>
                <w:rFonts w:eastAsia="Calibri" w:cs="Times New Roman"/>
                <w:sz w:val="20"/>
                <w:szCs w:val="20"/>
              </w:rPr>
              <w:t>Iegādāti 5</w:t>
            </w:r>
            <w:r w:rsidRPr="00D031E0">
              <w:rPr>
                <w:rFonts w:eastAsia="Times New Roman" w:cs="Times New Roman"/>
                <w:sz w:val="20"/>
                <w:szCs w:val="20"/>
              </w:rPr>
              <w:t xml:space="preserve"> (2017.gadā – 1, 2018.gadā – 1, 2019.gadā – l, 2020.gadā – 2) </w:t>
            </w:r>
            <w:r w:rsidRPr="00D031E0">
              <w:rPr>
                <w:rFonts w:eastAsia="Calibri"/>
                <w:sz w:val="20"/>
                <w:szCs w:val="20"/>
              </w:rPr>
              <w:t xml:space="preserve">3D lineāli. </w:t>
            </w:r>
          </w:p>
          <w:p w:rsidR="00D031E0" w:rsidRPr="00D031E0" w:rsidRDefault="00D031E0" w:rsidP="00D031E0">
            <w:pP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1134" w:type="dxa"/>
          </w:tcPr>
          <w:p w:rsidR="00D031E0" w:rsidRPr="00D031E0"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D031E0">
              <w:rPr>
                <w:rFonts w:eastAsia="Times New Roman" w:cs="Times New Roman"/>
                <w:color w:val="000000"/>
                <w:kern w:val="24"/>
                <w:sz w:val="20"/>
                <w:szCs w:val="20"/>
                <w:lang w:eastAsia="lv-LV"/>
              </w:rPr>
              <w:t>IeM (VP)</w:t>
            </w:r>
          </w:p>
        </w:tc>
        <w:tc>
          <w:tcPr>
            <w:tcW w:w="1418" w:type="dxa"/>
          </w:tcPr>
          <w:p w:rsidR="00D031E0" w:rsidRPr="00D031E0"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D031E0">
              <w:rPr>
                <w:rFonts w:eastAsia="Times New Roman" w:cs="Times New Roman"/>
                <w:color w:val="000000"/>
                <w:sz w:val="20"/>
                <w:szCs w:val="20"/>
                <w:lang w:eastAsia="lv-LV"/>
              </w:rPr>
              <w:t>SM</w:t>
            </w:r>
          </w:p>
        </w:tc>
        <w:tc>
          <w:tcPr>
            <w:tcW w:w="1559" w:type="dxa"/>
            <w:shd w:val="clear" w:color="auto" w:fill="auto"/>
          </w:tcPr>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330FCF" w:rsidRDefault="00330FC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D031E0"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31.12.2017.</w:t>
            </w:r>
          </w:p>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31.12.2018.</w:t>
            </w:r>
          </w:p>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31.12.2019.</w:t>
            </w:r>
          </w:p>
          <w:p w:rsidR="0023391F"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23391F" w:rsidRPr="001C4747"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31.12.2020.</w:t>
            </w:r>
          </w:p>
        </w:tc>
        <w:tc>
          <w:tcPr>
            <w:tcW w:w="2126" w:type="dxa"/>
            <w:shd w:val="clear" w:color="auto" w:fill="auto"/>
          </w:tcPr>
          <w:p w:rsidR="00D031E0" w:rsidRDefault="00D031E0" w:rsidP="00D031E0">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1C4747">
              <w:rPr>
                <w:rFonts w:eastAsia="Calibri" w:cs="Times New Roman"/>
                <w:color w:val="000000"/>
                <w:sz w:val="20"/>
                <w:szCs w:val="20"/>
              </w:rPr>
              <w:t>OCTA vai valsts budžeta līdzekļi</w:t>
            </w:r>
          </w:p>
          <w:p w:rsidR="00330FCF" w:rsidRPr="001C4747" w:rsidRDefault="00330FCF" w:rsidP="00D031E0">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p w:rsidR="0023391F"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1C4747">
              <w:rPr>
                <w:rFonts w:eastAsia="Times New Roman" w:cs="Times New Roman"/>
                <w:sz w:val="20"/>
                <w:szCs w:val="20"/>
              </w:rPr>
              <w:t>2017.</w:t>
            </w:r>
            <w:r w:rsidR="0023391F">
              <w:rPr>
                <w:rFonts w:eastAsia="Times New Roman" w:cs="Times New Roman"/>
                <w:sz w:val="20"/>
                <w:szCs w:val="20"/>
              </w:rPr>
              <w:t>gadā – 100 000 (OCTA līdzekļi)</w:t>
            </w:r>
            <w:r w:rsidRPr="001C4747">
              <w:rPr>
                <w:rFonts w:eastAsia="Times New Roman" w:cs="Times New Roman"/>
                <w:sz w:val="20"/>
                <w:szCs w:val="20"/>
              </w:rPr>
              <w:t xml:space="preserve"> 2018.gadā – 100</w:t>
            </w:r>
            <w:r w:rsidR="0023391F">
              <w:rPr>
                <w:rFonts w:eastAsia="Times New Roman" w:cs="Times New Roman"/>
                <w:sz w:val="20"/>
                <w:szCs w:val="20"/>
              </w:rPr>
              <w:t> 000</w:t>
            </w:r>
          </w:p>
          <w:p w:rsidR="0023391F"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1C4747">
              <w:rPr>
                <w:rFonts w:eastAsia="Times New Roman" w:cs="Times New Roman"/>
                <w:sz w:val="20"/>
                <w:szCs w:val="20"/>
              </w:rPr>
              <w:t xml:space="preserve"> </w:t>
            </w:r>
          </w:p>
          <w:p w:rsidR="00D031E0"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1C4747">
              <w:rPr>
                <w:rFonts w:eastAsia="Times New Roman" w:cs="Times New Roman"/>
                <w:sz w:val="20"/>
                <w:szCs w:val="20"/>
              </w:rPr>
              <w:t>2019.gadā – 100</w:t>
            </w:r>
            <w:r w:rsidR="0023391F">
              <w:rPr>
                <w:rFonts w:eastAsia="Times New Roman" w:cs="Times New Roman"/>
                <w:sz w:val="20"/>
                <w:szCs w:val="20"/>
              </w:rPr>
              <w:t> 000</w:t>
            </w:r>
          </w:p>
          <w:p w:rsidR="0023391F" w:rsidRPr="001C4747"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D031E0" w:rsidRPr="001C4747" w:rsidRDefault="0023391F"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2020.gadā – 200 000</w:t>
            </w:r>
          </w:p>
          <w:p w:rsidR="00D031E0" w:rsidRPr="001C4747" w:rsidRDefault="00D031E0" w:rsidP="00D031E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D031E0" w:rsidRPr="001C4747" w:rsidRDefault="00D031E0" w:rsidP="00D031E0">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1C4747">
              <w:rPr>
                <w:rFonts w:eastAsia="Calibri" w:cs="Times New Roman"/>
                <w:color w:val="000000"/>
                <w:sz w:val="20"/>
                <w:szCs w:val="20"/>
              </w:rPr>
              <w:t>Kopā: 500 000</w:t>
            </w:r>
          </w:p>
          <w:p w:rsidR="00D031E0" w:rsidRPr="001C4747" w:rsidRDefault="00D031E0" w:rsidP="00D031E0">
            <w:pP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053A42" w:rsidRPr="00174C24" w:rsidTr="00C737EC">
        <w:trPr>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053A42" w:rsidRPr="00C737EC" w:rsidRDefault="00053A42" w:rsidP="00053A42">
            <w:pPr>
              <w:rPr>
                <w:rFonts w:eastAsia="Times New Roman" w:cs="Times New Roman"/>
                <w:b w:val="0"/>
                <w:color w:val="000000" w:themeColor="text1"/>
                <w:kern w:val="24"/>
                <w:sz w:val="20"/>
                <w:szCs w:val="20"/>
                <w:lang w:eastAsia="lv-LV"/>
              </w:rPr>
            </w:pPr>
            <w:r w:rsidRPr="00C737EC">
              <w:rPr>
                <w:rFonts w:eastAsia="Times New Roman" w:cs="Times New Roman"/>
                <w:b w:val="0"/>
                <w:color w:val="000000" w:themeColor="text1"/>
                <w:kern w:val="24"/>
                <w:sz w:val="20"/>
                <w:szCs w:val="20"/>
                <w:lang w:eastAsia="lv-LV"/>
              </w:rPr>
              <w:lastRenderedPageBreak/>
              <w:t>20.</w:t>
            </w:r>
          </w:p>
        </w:tc>
        <w:tc>
          <w:tcPr>
            <w:tcW w:w="3275" w:type="dxa"/>
            <w:shd w:val="clear" w:color="auto" w:fill="auto"/>
          </w:tcPr>
          <w:p w:rsidR="00053A42" w:rsidRPr="00C737EC"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4"/>
                <w:sz w:val="20"/>
                <w:szCs w:val="20"/>
                <w:lang w:eastAsia="lv-LV"/>
              </w:rPr>
            </w:pPr>
            <w:r w:rsidRPr="00C737EC">
              <w:rPr>
                <w:color w:val="000000" w:themeColor="text1"/>
                <w:sz w:val="20"/>
                <w:szCs w:val="20"/>
              </w:rPr>
              <w:t xml:space="preserve">Nodrošināt nakts redzamības </w:t>
            </w:r>
            <w:proofErr w:type="spellStart"/>
            <w:r w:rsidRPr="00C737EC">
              <w:rPr>
                <w:color w:val="000000" w:themeColor="text1"/>
                <w:sz w:val="20"/>
                <w:szCs w:val="20"/>
              </w:rPr>
              <w:t>termokameru</w:t>
            </w:r>
            <w:proofErr w:type="spellEnd"/>
            <w:r w:rsidRPr="00C737EC">
              <w:rPr>
                <w:color w:val="000000" w:themeColor="text1"/>
                <w:sz w:val="20"/>
                <w:szCs w:val="20"/>
              </w:rPr>
              <w:t xml:space="preserve"> iegādi VP ceļu satiksmes dalībnieku kontrolei.</w:t>
            </w:r>
          </w:p>
        </w:tc>
        <w:tc>
          <w:tcPr>
            <w:tcW w:w="2977" w:type="dxa"/>
            <w:shd w:val="clear" w:color="auto" w:fill="auto"/>
          </w:tcPr>
          <w:p w:rsidR="00053A42" w:rsidRPr="00C737EC" w:rsidRDefault="00053A42" w:rsidP="00053A42">
            <w:pPr>
              <w:spacing w:before="100" w:beforeAutospacing="1"/>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7EC">
              <w:rPr>
                <w:color w:val="000000" w:themeColor="text1"/>
                <w:sz w:val="20"/>
                <w:szCs w:val="20"/>
              </w:rPr>
              <w:t xml:space="preserve">Nodrošināta iespēja konstatēt personās (transportlīdzekļa vadītājus), kas pēc </w:t>
            </w:r>
            <w:proofErr w:type="spellStart"/>
            <w:r w:rsidRPr="00C737EC">
              <w:rPr>
                <w:color w:val="000000" w:themeColor="text1"/>
                <w:sz w:val="20"/>
                <w:szCs w:val="20"/>
              </w:rPr>
              <w:t>CSNg</w:t>
            </w:r>
            <w:proofErr w:type="spellEnd"/>
            <w:r w:rsidRPr="00C737EC">
              <w:rPr>
                <w:color w:val="000000" w:themeColor="text1"/>
                <w:sz w:val="20"/>
                <w:szCs w:val="20"/>
              </w:rPr>
              <w:t xml:space="preserve"> izraisīšanas vai CSN pārkāpuma izdarīšanas diennakts tumšajā laikā, bēgot no policijas, slēpjas aiz dabīgiem vai mākslīgiem aizsegiem, tādējādi mēģinot izvairīties no likumā paredzētās atbildības. Papildus šādas ierīces varētu tikt izmantotas pierobežā, lai konstatētu personas, kas pēc nelegālas robežas šķērsošanas turpina ceļu transportlīdzekļa kravas kastē, furgonā u.tml.</w:t>
            </w:r>
          </w:p>
        </w:tc>
        <w:tc>
          <w:tcPr>
            <w:tcW w:w="2678" w:type="dxa"/>
            <w:shd w:val="clear" w:color="auto" w:fill="auto"/>
          </w:tcPr>
          <w:p w:rsidR="00053A42" w:rsidRPr="00C737EC" w:rsidRDefault="00053A42" w:rsidP="00053A42">
            <w:pPr>
              <w:jc w:val="both"/>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szCs w:val="20"/>
              </w:rPr>
            </w:pPr>
            <w:r w:rsidRPr="00C737EC">
              <w:rPr>
                <w:rFonts w:eastAsia="Calibri" w:cs="Times New Roman"/>
                <w:color w:val="000000" w:themeColor="text1"/>
                <w:sz w:val="20"/>
                <w:szCs w:val="20"/>
              </w:rPr>
              <w:t>Iegādāta 8</w:t>
            </w:r>
            <w:r w:rsidRPr="00C737EC">
              <w:rPr>
                <w:rFonts w:eastAsia="Times New Roman" w:cs="Times New Roman"/>
                <w:color w:val="000000" w:themeColor="text1"/>
                <w:sz w:val="20"/>
                <w:szCs w:val="20"/>
              </w:rPr>
              <w:t xml:space="preserve"> </w:t>
            </w:r>
            <w:r w:rsidRPr="00C737EC">
              <w:rPr>
                <w:color w:val="000000" w:themeColor="text1"/>
                <w:sz w:val="20"/>
                <w:szCs w:val="20"/>
              </w:rPr>
              <w:t xml:space="preserve">nakts redzamības </w:t>
            </w:r>
            <w:proofErr w:type="spellStart"/>
            <w:r w:rsidRPr="00C737EC">
              <w:rPr>
                <w:color w:val="000000" w:themeColor="text1"/>
                <w:sz w:val="20"/>
                <w:szCs w:val="20"/>
              </w:rPr>
              <w:t>termokameras</w:t>
            </w:r>
            <w:proofErr w:type="spellEnd"/>
            <w:r w:rsidRPr="00C737EC">
              <w:rPr>
                <w:color w:val="000000" w:themeColor="text1"/>
                <w:sz w:val="20"/>
                <w:szCs w:val="20"/>
              </w:rPr>
              <w:t>.</w:t>
            </w:r>
          </w:p>
        </w:tc>
        <w:tc>
          <w:tcPr>
            <w:tcW w:w="1134" w:type="dxa"/>
            <w:shd w:val="clear" w:color="auto" w:fill="auto"/>
          </w:tcPr>
          <w:p w:rsidR="00053A42" w:rsidRPr="00C737EC"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4"/>
                <w:lang w:eastAsia="lv-LV"/>
              </w:rPr>
            </w:pPr>
            <w:r w:rsidRPr="00C737EC">
              <w:rPr>
                <w:rFonts w:eastAsia="Times New Roman" w:cs="Times New Roman"/>
                <w:color w:val="000000" w:themeColor="text1"/>
                <w:kern w:val="24"/>
                <w:sz w:val="22"/>
                <w:szCs w:val="22"/>
                <w:lang w:eastAsia="lv-LV"/>
              </w:rPr>
              <w:t>IeM (VP)</w:t>
            </w:r>
          </w:p>
        </w:tc>
        <w:tc>
          <w:tcPr>
            <w:tcW w:w="1418" w:type="dxa"/>
            <w:shd w:val="clear" w:color="auto" w:fill="auto"/>
          </w:tcPr>
          <w:p w:rsidR="00053A42" w:rsidRPr="00C737EC"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C737EC">
              <w:rPr>
                <w:rFonts w:eastAsia="Times New Roman" w:cs="Times New Roman"/>
                <w:color w:val="000000" w:themeColor="text1"/>
                <w:sz w:val="20"/>
                <w:szCs w:val="20"/>
                <w:lang w:eastAsia="lv-LV"/>
              </w:rPr>
              <w:t>SM</w:t>
            </w:r>
          </w:p>
        </w:tc>
        <w:tc>
          <w:tcPr>
            <w:tcW w:w="1559" w:type="dxa"/>
            <w:shd w:val="clear" w:color="auto" w:fill="auto"/>
          </w:tcPr>
          <w:p w:rsidR="00053A42" w:rsidRPr="00C737EC" w:rsidRDefault="00053A42" w:rsidP="00053A4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C737EC">
              <w:rPr>
                <w:rFonts w:eastAsia="Times New Roman" w:cs="Times New Roman"/>
                <w:color w:val="000000" w:themeColor="text1"/>
                <w:sz w:val="20"/>
                <w:szCs w:val="20"/>
                <w:lang w:eastAsia="lv-LV"/>
              </w:rPr>
              <w:t>31.12.2017.</w:t>
            </w:r>
          </w:p>
        </w:tc>
        <w:tc>
          <w:tcPr>
            <w:tcW w:w="2126" w:type="dxa"/>
            <w:shd w:val="clear" w:color="auto" w:fill="auto"/>
          </w:tcPr>
          <w:p w:rsidR="00053A42" w:rsidRPr="00C737EC" w:rsidRDefault="00053A42" w:rsidP="00053A4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7EC">
              <w:rPr>
                <w:rFonts w:eastAsia="Times New Roman" w:cs="Times New Roman"/>
                <w:color w:val="000000" w:themeColor="text1"/>
                <w:sz w:val="20"/>
                <w:szCs w:val="20"/>
              </w:rPr>
              <w:t>2017.gadā – 28 000 (OCTA līdzekļi)</w:t>
            </w:r>
          </w:p>
          <w:p w:rsidR="00053A42" w:rsidRPr="00C737EC" w:rsidRDefault="00053A42" w:rsidP="00053A4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053A42" w:rsidRPr="00C737EC" w:rsidRDefault="00053A42" w:rsidP="00053A4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sz w:val="20"/>
                <w:szCs w:val="20"/>
              </w:rPr>
            </w:pPr>
          </w:p>
        </w:tc>
      </w:tr>
      <w:tr w:rsidR="00053A42" w:rsidRPr="00174C24" w:rsidTr="00C737E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053A42" w:rsidRPr="00C737EC" w:rsidRDefault="00053A42" w:rsidP="00053A42">
            <w:pPr>
              <w:rPr>
                <w:rFonts w:eastAsia="Times New Roman" w:cs="Times New Roman"/>
                <w:b w:val="0"/>
                <w:color w:val="000000" w:themeColor="text1"/>
                <w:kern w:val="24"/>
                <w:sz w:val="20"/>
                <w:szCs w:val="20"/>
                <w:lang w:eastAsia="lv-LV"/>
              </w:rPr>
            </w:pPr>
            <w:r w:rsidRPr="00C737EC">
              <w:rPr>
                <w:rFonts w:eastAsia="Times New Roman" w:cs="Times New Roman"/>
                <w:b w:val="0"/>
                <w:color w:val="000000" w:themeColor="text1"/>
                <w:kern w:val="24"/>
                <w:sz w:val="20"/>
                <w:szCs w:val="20"/>
                <w:lang w:eastAsia="lv-LV"/>
              </w:rPr>
              <w:t>21.</w:t>
            </w:r>
          </w:p>
        </w:tc>
        <w:tc>
          <w:tcPr>
            <w:tcW w:w="3275" w:type="dxa"/>
            <w:shd w:val="clear" w:color="auto" w:fill="auto"/>
          </w:tcPr>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7EC">
              <w:rPr>
                <w:rFonts w:eastAsia="Lucida Sans Unicode" w:cs="Times New Roman"/>
                <w:color w:val="000000" w:themeColor="text1"/>
                <w:kern w:val="1"/>
                <w:sz w:val="20"/>
                <w:szCs w:val="20"/>
              </w:rPr>
              <w:t>Nodrošināt individuālu kompakto videokameru iegādi VP ceļu satiksmes dalībnieku kontrolei.</w:t>
            </w:r>
          </w:p>
        </w:tc>
        <w:tc>
          <w:tcPr>
            <w:tcW w:w="2977" w:type="dxa"/>
            <w:shd w:val="clear" w:color="auto" w:fill="auto"/>
          </w:tcPr>
          <w:p w:rsidR="00053A42" w:rsidRPr="00C737EC" w:rsidRDefault="00053A42" w:rsidP="00053A42">
            <w:pPr>
              <w:spacing w:before="100" w:beforeAutospacing="1"/>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7EC">
              <w:rPr>
                <w:rFonts w:eastAsia="Times New Roman" w:cs="Times New Roman"/>
                <w:color w:val="000000" w:themeColor="text1"/>
                <w:sz w:val="20"/>
                <w:szCs w:val="20"/>
              </w:rPr>
              <w:t xml:space="preserve">Nodrošināta </w:t>
            </w:r>
            <w:r w:rsidRPr="00C737EC">
              <w:rPr>
                <w:color w:val="000000" w:themeColor="text1"/>
                <w:sz w:val="20"/>
                <w:szCs w:val="20"/>
              </w:rPr>
              <w:t>dažādu CSN pārkā</w:t>
            </w:r>
            <w:r w:rsidR="00E23D60">
              <w:rPr>
                <w:color w:val="000000" w:themeColor="text1"/>
                <w:sz w:val="20"/>
                <w:szCs w:val="20"/>
              </w:rPr>
              <w:t>pumu fiksēšana ar videoierakstu</w:t>
            </w:r>
            <w:r w:rsidRPr="00C737EC">
              <w:rPr>
                <w:color w:val="000000" w:themeColor="text1"/>
                <w:sz w:val="20"/>
                <w:szCs w:val="20"/>
              </w:rPr>
              <w:t xml:space="preserve"> pierādījumu nostiprināšanai, t.sk. veikti videoieraksti konfliktsituācijās vai situācijās, kad policijas darbinieku mēģina </w:t>
            </w:r>
            <w:proofErr w:type="spellStart"/>
            <w:r w:rsidRPr="00C737EC">
              <w:rPr>
                <w:color w:val="000000" w:themeColor="text1"/>
                <w:sz w:val="20"/>
                <w:szCs w:val="20"/>
              </w:rPr>
              <w:t>korumpēt</w:t>
            </w:r>
            <w:proofErr w:type="spellEnd"/>
            <w:r w:rsidRPr="00C737EC">
              <w:rPr>
                <w:color w:val="000000" w:themeColor="text1"/>
                <w:sz w:val="20"/>
                <w:szCs w:val="20"/>
              </w:rPr>
              <w:t xml:space="preserve"> (piedāvā “kukuli”).</w:t>
            </w:r>
          </w:p>
        </w:tc>
        <w:tc>
          <w:tcPr>
            <w:tcW w:w="2678" w:type="dxa"/>
            <w:shd w:val="clear" w:color="auto" w:fill="auto"/>
          </w:tcPr>
          <w:p w:rsidR="00053A42" w:rsidRPr="00C737EC" w:rsidRDefault="00053A42" w:rsidP="00053A42">
            <w:pPr>
              <w:jc w:val="both"/>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r w:rsidRPr="00C737EC">
              <w:rPr>
                <w:rFonts w:eastAsia="Calibri" w:cs="Times New Roman"/>
                <w:color w:val="000000" w:themeColor="text1"/>
                <w:sz w:val="20"/>
                <w:szCs w:val="20"/>
              </w:rPr>
              <w:t>Iegādātas 300</w:t>
            </w:r>
            <w:r w:rsidRPr="00C737EC">
              <w:rPr>
                <w:rFonts w:eastAsia="Times New Roman" w:cs="Times New Roman"/>
                <w:color w:val="000000" w:themeColor="text1"/>
                <w:sz w:val="20"/>
                <w:szCs w:val="20"/>
              </w:rPr>
              <w:t xml:space="preserve"> (2018.gadā – 100, 2019.gadā – l00, 2020.gadā – 100) </w:t>
            </w:r>
            <w:r w:rsidRPr="00C737EC">
              <w:rPr>
                <w:rFonts w:eastAsia="Lucida Sans Unicode" w:cs="Times New Roman"/>
                <w:color w:val="000000" w:themeColor="text1"/>
                <w:kern w:val="1"/>
                <w:sz w:val="20"/>
                <w:szCs w:val="20"/>
              </w:rPr>
              <w:t>individuālās kompaktas videokameras.</w:t>
            </w:r>
          </w:p>
        </w:tc>
        <w:tc>
          <w:tcPr>
            <w:tcW w:w="1134" w:type="dxa"/>
            <w:shd w:val="clear" w:color="auto" w:fill="auto"/>
          </w:tcPr>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4"/>
                <w:lang w:eastAsia="lv-LV"/>
              </w:rPr>
            </w:pPr>
            <w:r w:rsidRPr="00C737EC">
              <w:rPr>
                <w:rFonts w:eastAsia="Times New Roman" w:cs="Times New Roman"/>
                <w:color w:val="000000" w:themeColor="text1"/>
                <w:kern w:val="24"/>
                <w:sz w:val="22"/>
                <w:szCs w:val="22"/>
                <w:lang w:eastAsia="lv-LV"/>
              </w:rPr>
              <w:t>IeM (VP)</w:t>
            </w:r>
          </w:p>
        </w:tc>
        <w:tc>
          <w:tcPr>
            <w:tcW w:w="1418" w:type="dxa"/>
            <w:shd w:val="clear" w:color="auto" w:fill="auto"/>
          </w:tcPr>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C737EC">
              <w:rPr>
                <w:rFonts w:eastAsia="Times New Roman" w:cs="Times New Roman"/>
                <w:color w:val="000000" w:themeColor="text1"/>
                <w:sz w:val="20"/>
                <w:szCs w:val="20"/>
                <w:lang w:eastAsia="lv-LV"/>
              </w:rPr>
              <w:t>SM</w:t>
            </w:r>
          </w:p>
        </w:tc>
        <w:tc>
          <w:tcPr>
            <w:tcW w:w="1559" w:type="dxa"/>
            <w:shd w:val="clear" w:color="auto" w:fill="auto"/>
          </w:tcPr>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C737EC">
              <w:rPr>
                <w:rFonts w:eastAsia="Times New Roman" w:cs="Times New Roman"/>
                <w:color w:val="000000" w:themeColor="text1"/>
                <w:sz w:val="20"/>
                <w:szCs w:val="20"/>
                <w:lang w:eastAsia="lv-LV"/>
              </w:rPr>
              <w:t>31.12.2018.</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C737EC">
              <w:rPr>
                <w:rFonts w:eastAsia="Times New Roman" w:cs="Times New Roman"/>
                <w:color w:val="000000" w:themeColor="text1"/>
                <w:sz w:val="20"/>
                <w:szCs w:val="20"/>
                <w:lang w:eastAsia="lv-LV"/>
              </w:rPr>
              <w:t>31.12.2019.</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C737EC">
              <w:rPr>
                <w:rFonts w:eastAsia="Times New Roman" w:cs="Times New Roman"/>
                <w:color w:val="000000" w:themeColor="text1"/>
                <w:sz w:val="20"/>
                <w:szCs w:val="20"/>
                <w:lang w:eastAsia="lv-LV"/>
              </w:rPr>
              <w:t xml:space="preserve">31.12.2020. </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tc>
        <w:tc>
          <w:tcPr>
            <w:tcW w:w="2126" w:type="dxa"/>
            <w:shd w:val="clear" w:color="auto" w:fill="auto"/>
          </w:tcPr>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r w:rsidRPr="00C737EC">
              <w:rPr>
                <w:rFonts w:eastAsia="Calibri" w:cs="Times New Roman"/>
                <w:color w:val="000000" w:themeColor="text1"/>
                <w:sz w:val="20"/>
                <w:szCs w:val="20"/>
              </w:rPr>
              <w:t xml:space="preserve">OCTA vai valsts budžeta līdzekļi. </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r w:rsidRPr="00C737EC">
              <w:rPr>
                <w:rFonts w:eastAsia="Calibri" w:cs="Times New Roman"/>
                <w:color w:val="000000" w:themeColor="text1"/>
                <w:sz w:val="20"/>
                <w:szCs w:val="20"/>
              </w:rPr>
              <w:t>60 000,</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r w:rsidRPr="00C737EC">
              <w:rPr>
                <w:rFonts w:eastAsia="Calibri" w:cs="Times New Roman"/>
                <w:color w:val="000000" w:themeColor="text1"/>
                <w:sz w:val="20"/>
                <w:szCs w:val="20"/>
              </w:rPr>
              <w:t>60 000,</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r w:rsidRPr="00C737EC">
              <w:rPr>
                <w:rFonts w:eastAsia="Calibri" w:cs="Times New Roman"/>
                <w:color w:val="000000" w:themeColor="text1"/>
                <w:sz w:val="20"/>
                <w:szCs w:val="20"/>
              </w:rPr>
              <w:t>60 000</w:t>
            </w: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20"/>
                <w:szCs w:val="20"/>
              </w:rPr>
            </w:pPr>
          </w:p>
          <w:p w:rsidR="00053A42" w:rsidRPr="00C737EC"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rPr>
            </w:pPr>
            <w:r w:rsidRPr="00C737EC">
              <w:rPr>
                <w:rFonts w:eastAsia="Calibri" w:cs="Times New Roman"/>
                <w:color w:val="000000" w:themeColor="text1"/>
                <w:sz w:val="20"/>
                <w:szCs w:val="20"/>
              </w:rPr>
              <w:t>Kopā: 180 000</w:t>
            </w:r>
          </w:p>
        </w:tc>
      </w:tr>
      <w:tr w:rsidR="00053A42" w:rsidRPr="00174C24" w:rsidTr="009D1429">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053A42" w:rsidRPr="00B31F68" w:rsidRDefault="00053A42" w:rsidP="00053A42">
            <w:pPr>
              <w:rPr>
                <w:rFonts w:eastAsia="Times New Roman" w:cs="Times New Roman"/>
                <w:b w:val="0"/>
                <w:kern w:val="24"/>
                <w:sz w:val="20"/>
                <w:szCs w:val="20"/>
                <w:lang w:eastAsia="lv-LV"/>
              </w:rPr>
            </w:pPr>
            <w:r>
              <w:rPr>
                <w:rFonts w:eastAsia="Times New Roman" w:cs="Times New Roman"/>
                <w:b w:val="0"/>
                <w:kern w:val="24"/>
                <w:sz w:val="20"/>
                <w:szCs w:val="20"/>
                <w:lang w:eastAsia="lv-LV"/>
              </w:rPr>
              <w:t>22.</w:t>
            </w:r>
          </w:p>
        </w:tc>
        <w:tc>
          <w:tcPr>
            <w:tcW w:w="3275" w:type="dxa"/>
          </w:tcPr>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982C61">
              <w:rPr>
                <w:rFonts w:eastAsia="Calibri" w:cs="Times New Roman"/>
                <w:color w:val="000000"/>
                <w:sz w:val="20"/>
                <w:szCs w:val="20"/>
              </w:rPr>
              <w:t>Veikt speciālā aprīkojuma iegādi, lai nodrošinātu VRS uzdevumu izpildi ceļu satiksmes drošības paaugstināšanā</w:t>
            </w:r>
          </w:p>
        </w:tc>
        <w:tc>
          <w:tcPr>
            <w:tcW w:w="2977" w:type="dxa"/>
          </w:tcPr>
          <w:p w:rsidR="00053A42" w:rsidRPr="00982C61" w:rsidRDefault="00053A42" w:rsidP="00053A42">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82C61">
              <w:rPr>
                <w:rFonts w:eastAsia="Times New Roman" w:cs="Times New Roman"/>
                <w:sz w:val="20"/>
                <w:szCs w:val="20"/>
              </w:rPr>
              <w:t>VRS struktūr</w:t>
            </w:r>
            <w:r w:rsidR="00E23D60">
              <w:rPr>
                <w:rFonts w:eastAsia="Times New Roman" w:cs="Times New Roman"/>
                <w:sz w:val="20"/>
                <w:szCs w:val="20"/>
              </w:rPr>
              <w:t>vienības</w:t>
            </w:r>
            <w:r w:rsidRPr="00982C61">
              <w:rPr>
                <w:rFonts w:eastAsia="Times New Roman" w:cs="Times New Roman"/>
                <w:sz w:val="20"/>
                <w:szCs w:val="20"/>
              </w:rPr>
              <w:t>, kas veic VRS uzdevumus uz valsts autoceļiem</w:t>
            </w:r>
            <w:r w:rsidR="00E23D60">
              <w:rPr>
                <w:rFonts w:eastAsia="Times New Roman" w:cs="Times New Roman"/>
                <w:sz w:val="20"/>
                <w:szCs w:val="20"/>
              </w:rPr>
              <w:t>,</w:t>
            </w:r>
            <w:r w:rsidRPr="00982C61">
              <w:rPr>
                <w:rFonts w:eastAsia="Times New Roman" w:cs="Times New Roman"/>
                <w:sz w:val="20"/>
                <w:szCs w:val="20"/>
              </w:rPr>
              <w:t xml:space="preserve"> ir nodrošinātas ar kvalitatīvu speciālo  aprīkojumu</w:t>
            </w:r>
          </w:p>
        </w:tc>
        <w:tc>
          <w:tcPr>
            <w:tcW w:w="2678" w:type="dxa"/>
          </w:tcPr>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82C61">
              <w:rPr>
                <w:rFonts w:eastAsia="Times New Roman" w:cs="Times New Roman"/>
                <w:sz w:val="20"/>
                <w:szCs w:val="20"/>
              </w:rPr>
              <w:t>Iegādāti:</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82C61">
              <w:rPr>
                <w:rFonts w:eastAsia="Times New Roman" w:cs="Times New Roman"/>
                <w:sz w:val="20"/>
                <w:szCs w:val="20"/>
              </w:rPr>
              <w:t>zižļi - 400 ;</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982C61">
              <w:rPr>
                <w:rFonts w:eastAsia="Times New Roman" w:cs="Times New Roman"/>
                <w:sz w:val="20"/>
                <w:szCs w:val="20"/>
              </w:rPr>
              <w:t xml:space="preserve">lukturi - 200; prožektori ar statīvu- 30 gab.; </w:t>
            </w:r>
          </w:p>
        </w:tc>
        <w:tc>
          <w:tcPr>
            <w:tcW w:w="1134" w:type="dxa"/>
          </w:tcPr>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982C61">
              <w:rPr>
                <w:rFonts w:eastAsia="Times New Roman" w:cs="Times New Roman"/>
                <w:color w:val="000000"/>
                <w:kern w:val="24"/>
                <w:sz w:val="20"/>
                <w:szCs w:val="20"/>
                <w:lang w:eastAsia="lv-LV"/>
              </w:rPr>
              <w:t xml:space="preserve">IeM </w:t>
            </w:r>
            <w:r>
              <w:rPr>
                <w:rFonts w:eastAsia="Times New Roman" w:cs="Times New Roman"/>
                <w:color w:val="000000"/>
                <w:kern w:val="24"/>
                <w:sz w:val="20"/>
                <w:szCs w:val="20"/>
                <w:lang w:eastAsia="lv-LV"/>
              </w:rPr>
              <w:t>(</w:t>
            </w:r>
            <w:r w:rsidRPr="00982C61">
              <w:rPr>
                <w:rFonts w:eastAsia="Times New Roman" w:cs="Times New Roman"/>
                <w:color w:val="000000"/>
                <w:kern w:val="24"/>
                <w:sz w:val="20"/>
                <w:szCs w:val="20"/>
                <w:lang w:eastAsia="lv-LV"/>
              </w:rPr>
              <w:t>VRS</w:t>
            </w:r>
            <w:r>
              <w:rPr>
                <w:rFonts w:eastAsia="Times New Roman" w:cs="Times New Roman"/>
                <w:color w:val="000000"/>
                <w:kern w:val="24"/>
                <w:sz w:val="20"/>
                <w:szCs w:val="20"/>
                <w:lang w:eastAsia="lv-LV"/>
              </w:rPr>
              <w:t>)</w:t>
            </w:r>
          </w:p>
        </w:tc>
        <w:tc>
          <w:tcPr>
            <w:tcW w:w="1418" w:type="dxa"/>
          </w:tcPr>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lang w:eastAsia="lv-LV"/>
              </w:rPr>
            </w:pPr>
            <w:r w:rsidRPr="00982C61">
              <w:rPr>
                <w:rFonts w:eastAsia="Times New Roman" w:cs="Times New Roman"/>
                <w:color w:val="000000"/>
                <w:sz w:val="20"/>
                <w:szCs w:val="20"/>
                <w:lang w:eastAsia="lv-LV"/>
              </w:rPr>
              <w:t>SM</w:t>
            </w:r>
          </w:p>
        </w:tc>
        <w:tc>
          <w:tcPr>
            <w:tcW w:w="1559" w:type="dxa"/>
          </w:tcPr>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982C61">
              <w:rPr>
                <w:rFonts w:eastAsia="Times New Roman" w:cs="Times New Roman"/>
                <w:color w:val="000000"/>
                <w:sz w:val="20"/>
                <w:szCs w:val="20"/>
                <w:lang w:eastAsia="lv-LV"/>
              </w:rPr>
              <w:t>31.12.2017.</w:t>
            </w: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982C61">
              <w:rPr>
                <w:rFonts w:eastAsia="Times New Roman" w:cs="Times New Roman"/>
                <w:color w:val="000000"/>
                <w:sz w:val="20"/>
                <w:szCs w:val="20"/>
                <w:lang w:eastAsia="lv-LV"/>
              </w:rPr>
              <w:t>31.12.2018.</w:t>
            </w: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982C61">
              <w:rPr>
                <w:rFonts w:eastAsia="Times New Roman" w:cs="Times New Roman"/>
                <w:color w:val="000000"/>
                <w:sz w:val="20"/>
                <w:szCs w:val="20"/>
                <w:lang w:eastAsia="lv-LV"/>
              </w:rPr>
              <w:t>31.12.2019.</w:t>
            </w:r>
          </w:p>
          <w:p w:rsidR="00053A42" w:rsidRPr="00982C61"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982C61">
              <w:rPr>
                <w:rFonts w:eastAsia="Times New Roman" w:cs="Times New Roman"/>
                <w:color w:val="000000"/>
                <w:sz w:val="20"/>
                <w:szCs w:val="20"/>
                <w:lang w:eastAsia="lv-LV"/>
              </w:rPr>
              <w:t>31.12.2020.</w:t>
            </w:r>
          </w:p>
        </w:tc>
        <w:tc>
          <w:tcPr>
            <w:tcW w:w="2126" w:type="dxa"/>
            <w:shd w:val="clear" w:color="auto" w:fill="auto"/>
          </w:tcPr>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982C61">
              <w:rPr>
                <w:rFonts w:cs="Times New Roman"/>
                <w:color w:val="000000" w:themeColor="text1"/>
                <w:sz w:val="20"/>
                <w:szCs w:val="20"/>
              </w:rPr>
              <w:t xml:space="preserve"> OCTA līdzekļi</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982C61">
              <w:rPr>
                <w:rFonts w:cs="Times New Roman"/>
                <w:color w:val="000000" w:themeColor="text1"/>
                <w:sz w:val="20"/>
                <w:szCs w:val="20"/>
              </w:rPr>
              <w:t>8 200</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982C61">
              <w:rPr>
                <w:rFonts w:cs="Times New Roman"/>
                <w:color w:val="000000" w:themeColor="text1"/>
                <w:sz w:val="20"/>
                <w:szCs w:val="20"/>
              </w:rPr>
              <w:t>8 200</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982C61">
              <w:rPr>
                <w:rFonts w:cs="Times New Roman"/>
                <w:color w:val="000000" w:themeColor="text1"/>
                <w:sz w:val="20"/>
                <w:szCs w:val="20"/>
              </w:rPr>
              <w:t>4 800</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982C61">
              <w:rPr>
                <w:rFonts w:cs="Times New Roman"/>
                <w:color w:val="000000" w:themeColor="text1"/>
                <w:sz w:val="20"/>
                <w:szCs w:val="20"/>
              </w:rPr>
              <w:t>8 200</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p w:rsidR="00053A42" w:rsidRPr="00982C61" w:rsidRDefault="00053A42" w:rsidP="00053A42">
            <w:pPr>
              <w:ind w:right="-15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982C61">
              <w:rPr>
                <w:rFonts w:cs="Times New Roman"/>
                <w:color w:val="000000" w:themeColor="text1"/>
                <w:sz w:val="20"/>
                <w:szCs w:val="20"/>
              </w:rPr>
              <w:t>Kopā: 29 400</w:t>
            </w:r>
          </w:p>
          <w:p w:rsidR="00053A42" w:rsidRPr="00982C61" w:rsidRDefault="00053A42" w:rsidP="00053A42">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53A42" w:rsidRPr="00174C24" w:rsidTr="009D14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053A42" w:rsidRPr="00B31F68" w:rsidRDefault="00053A42" w:rsidP="00053A42">
            <w:pPr>
              <w:rPr>
                <w:rFonts w:eastAsia="Times New Roman" w:cs="Times New Roman"/>
                <w:b w:val="0"/>
                <w:kern w:val="24"/>
                <w:sz w:val="20"/>
                <w:szCs w:val="20"/>
                <w:lang w:eastAsia="lv-LV"/>
              </w:rPr>
            </w:pPr>
            <w:r>
              <w:rPr>
                <w:rFonts w:eastAsia="Times New Roman" w:cs="Times New Roman"/>
                <w:b w:val="0"/>
                <w:kern w:val="24"/>
                <w:sz w:val="20"/>
                <w:szCs w:val="20"/>
                <w:lang w:eastAsia="lv-LV"/>
              </w:rPr>
              <w:t>23.</w:t>
            </w:r>
          </w:p>
        </w:tc>
        <w:tc>
          <w:tcPr>
            <w:tcW w:w="3275" w:type="dxa"/>
            <w:shd w:val="clear" w:color="auto" w:fill="auto"/>
          </w:tcPr>
          <w:p w:rsidR="00053A42" w:rsidRPr="00982C61" w:rsidRDefault="00E23D60" w:rsidP="00053A4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Pr>
                <w:rFonts w:eastAsia="Calibri" w:cs="Times New Roman"/>
                <w:sz w:val="20"/>
                <w:szCs w:val="20"/>
                <w:lang w:eastAsia="ar-SA"/>
              </w:rPr>
              <w:t xml:space="preserve">Veikt </w:t>
            </w:r>
            <w:proofErr w:type="spellStart"/>
            <w:r>
              <w:rPr>
                <w:rFonts w:eastAsia="Calibri" w:cs="Times New Roman"/>
                <w:sz w:val="20"/>
                <w:szCs w:val="20"/>
                <w:lang w:eastAsia="ar-SA"/>
              </w:rPr>
              <w:t>videoreģistratoru</w:t>
            </w:r>
            <w:proofErr w:type="spellEnd"/>
            <w:r>
              <w:rPr>
                <w:rFonts w:eastAsia="Calibri" w:cs="Times New Roman"/>
                <w:sz w:val="20"/>
                <w:szCs w:val="20"/>
                <w:lang w:eastAsia="ar-SA"/>
              </w:rPr>
              <w:t xml:space="preserve"> iegādi</w:t>
            </w:r>
            <w:r w:rsidR="00053A42" w:rsidRPr="00982C61">
              <w:rPr>
                <w:rFonts w:eastAsia="Calibri" w:cs="Times New Roman"/>
                <w:sz w:val="20"/>
                <w:szCs w:val="20"/>
                <w:lang w:eastAsia="ar-SA"/>
              </w:rPr>
              <w:t xml:space="preserve"> robežpārkāpēja ceļu satiksmes </w:t>
            </w:r>
            <w:r w:rsidR="00053A42" w:rsidRPr="00982C61">
              <w:rPr>
                <w:rFonts w:eastAsia="Calibri" w:cs="Times New Roman"/>
                <w:sz w:val="20"/>
                <w:szCs w:val="20"/>
                <w:lang w:eastAsia="ar-SA"/>
              </w:rPr>
              <w:lastRenderedPageBreak/>
              <w:t>pārkāpuma pierād</w:t>
            </w:r>
            <w:r w:rsidR="00053A42">
              <w:rPr>
                <w:rFonts w:eastAsia="Calibri" w:cs="Times New Roman"/>
                <w:sz w:val="20"/>
                <w:szCs w:val="20"/>
                <w:lang w:eastAsia="ar-SA"/>
              </w:rPr>
              <w:t xml:space="preserve">ījumu fiksēšanai, sākotnējā </w:t>
            </w:r>
            <w:proofErr w:type="spellStart"/>
            <w:r w:rsidR="00053A42">
              <w:rPr>
                <w:rFonts w:eastAsia="Calibri" w:cs="Times New Roman"/>
                <w:sz w:val="20"/>
                <w:szCs w:val="20"/>
                <w:lang w:eastAsia="ar-SA"/>
              </w:rPr>
              <w:t>CSN</w:t>
            </w:r>
            <w:r w:rsidR="00053A42" w:rsidRPr="00982C61">
              <w:rPr>
                <w:rFonts w:eastAsia="Calibri" w:cs="Times New Roman"/>
                <w:sz w:val="20"/>
                <w:szCs w:val="20"/>
                <w:lang w:eastAsia="ar-SA"/>
              </w:rPr>
              <w:t>g</w:t>
            </w:r>
            <w:proofErr w:type="spellEnd"/>
            <w:r w:rsidR="00053A42" w:rsidRPr="00982C61">
              <w:rPr>
                <w:rFonts w:eastAsia="Calibri" w:cs="Times New Roman"/>
                <w:sz w:val="20"/>
                <w:szCs w:val="20"/>
                <w:lang w:eastAsia="ar-SA"/>
              </w:rPr>
              <w:t xml:space="preserve"> apstākļu fiksēšanai.</w:t>
            </w:r>
          </w:p>
        </w:tc>
        <w:tc>
          <w:tcPr>
            <w:tcW w:w="2977" w:type="dxa"/>
            <w:shd w:val="clear" w:color="auto" w:fill="auto"/>
          </w:tcPr>
          <w:p w:rsidR="00053A42" w:rsidRPr="00982C61" w:rsidRDefault="00E23D60" w:rsidP="00053A42">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Calibri" w:cs="Times New Roman"/>
                <w:sz w:val="20"/>
                <w:szCs w:val="20"/>
                <w:lang w:eastAsia="lv-LV"/>
              </w:rPr>
              <w:lastRenderedPageBreak/>
              <w:t xml:space="preserve">Iegādāti </w:t>
            </w:r>
            <w:proofErr w:type="spellStart"/>
            <w:r>
              <w:rPr>
                <w:rFonts w:eastAsia="Calibri" w:cs="Times New Roman"/>
                <w:sz w:val="20"/>
                <w:szCs w:val="20"/>
                <w:lang w:eastAsia="lv-LV"/>
              </w:rPr>
              <w:t>video</w:t>
            </w:r>
            <w:r w:rsidR="00053A42" w:rsidRPr="00982C61">
              <w:rPr>
                <w:rFonts w:eastAsia="Calibri" w:cs="Times New Roman"/>
                <w:sz w:val="20"/>
                <w:szCs w:val="20"/>
                <w:lang w:eastAsia="lv-LV"/>
              </w:rPr>
              <w:t>reģistratori</w:t>
            </w:r>
            <w:proofErr w:type="spellEnd"/>
            <w:r w:rsidR="00053A42" w:rsidRPr="00982C61">
              <w:rPr>
                <w:rFonts w:eastAsia="Calibri" w:cs="Times New Roman"/>
                <w:sz w:val="20"/>
                <w:szCs w:val="20"/>
                <w:lang w:eastAsia="lv-LV"/>
              </w:rPr>
              <w:t xml:space="preserve">, kas ļauj fiksēt robežpārkāpēja izdarītos pārkāpumus ceļu satiksmē, </w:t>
            </w:r>
            <w:r w:rsidR="00053A42" w:rsidRPr="00982C61">
              <w:rPr>
                <w:rFonts w:eastAsia="Calibri" w:cs="Times New Roman"/>
                <w:sz w:val="20"/>
                <w:szCs w:val="20"/>
                <w:lang w:eastAsia="lv-LV"/>
              </w:rPr>
              <w:lastRenderedPageBreak/>
              <w:t xml:space="preserve">sākotnējā </w:t>
            </w:r>
            <w:proofErr w:type="spellStart"/>
            <w:r w:rsidR="00053A42" w:rsidRPr="00982C61">
              <w:rPr>
                <w:rFonts w:eastAsia="Calibri" w:cs="Times New Roman"/>
                <w:sz w:val="20"/>
                <w:szCs w:val="20"/>
                <w:lang w:eastAsia="lv-LV"/>
              </w:rPr>
              <w:t>CSNg</w:t>
            </w:r>
            <w:proofErr w:type="spellEnd"/>
            <w:r w:rsidR="00053A42" w:rsidRPr="00982C61">
              <w:rPr>
                <w:rFonts w:eastAsia="Calibri" w:cs="Times New Roman"/>
                <w:sz w:val="20"/>
                <w:szCs w:val="20"/>
                <w:lang w:eastAsia="lv-LV"/>
              </w:rPr>
              <w:t xml:space="preserve"> situācijas apstākļu fiksēšanai</w:t>
            </w:r>
          </w:p>
        </w:tc>
        <w:tc>
          <w:tcPr>
            <w:tcW w:w="2678" w:type="dxa"/>
            <w:shd w:val="clear" w:color="auto" w:fill="auto"/>
          </w:tcPr>
          <w:p w:rsidR="00053A42" w:rsidRPr="00982C61" w:rsidRDefault="00E23D60"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lastRenderedPageBreak/>
              <w:t xml:space="preserve">Iegādāti 100 </w:t>
            </w:r>
            <w:proofErr w:type="spellStart"/>
            <w:r>
              <w:rPr>
                <w:rFonts w:eastAsia="Times New Roman" w:cs="Times New Roman"/>
                <w:sz w:val="20"/>
                <w:szCs w:val="20"/>
              </w:rPr>
              <w:t>video</w:t>
            </w:r>
            <w:r w:rsidR="00053A42" w:rsidRPr="00982C61">
              <w:rPr>
                <w:rFonts w:eastAsia="Times New Roman" w:cs="Times New Roman"/>
                <w:sz w:val="20"/>
                <w:szCs w:val="20"/>
              </w:rPr>
              <w:t>reģistratori</w:t>
            </w:r>
            <w:proofErr w:type="spellEnd"/>
            <w:r w:rsidR="00053A42" w:rsidRPr="00982C61">
              <w:rPr>
                <w:rFonts w:eastAsia="Times New Roman" w:cs="Times New Roman"/>
                <w:sz w:val="20"/>
                <w:szCs w:val="20"/>
              </w:rPr>
              <w:t xml:space="preserve"> ar datu apstrādei nepieciešamo papildus aprīkojumu</w:t>
            </w:r>
          </w:p>
        </w:tc>
        <w:tc>
          <w:tcPr>
            <w:tcW w:w="1134" w:type="dxa"/>
            <w:shd w:val="clear" w:color="auto" w:fill="auto"/>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982C61">
              <w:rPr>
                <w:rFonts w:eastAsia="Times New Roman" w:cs="Times New Roman"/>
                <w:color w:val="000000"/>
                <w:kern w:val="24"/>
                <w:sz w:val="20"/>
                <w:szCs w:val="20"/>
                <w:lang w:eastAsia="lv-LV"/>
              </w:rPr>
              <w:t xml:space="preserve">IeM </w:t>
            </w:r>
            <w:r>
              <w:rPr>
                <w:rFonts w:eastAsia="Times New Roman" w:cs="Times New Roman"/>
                <w:color w:val="000000"/>
                <w:kern w:val="24"/>
                <w:sz w:val="20"/>
                <w:szCs w:val="20"/>
                <w:lang w:eastAsia="lv-LV"/>
              </w:rPr>
              <w:t>(</w:t>
            </w:r>
            <w:r w:rsidRPr="00982C61">
              <w:rPr>
                <w:rFonts w:eastAsia="Times New Roman" w:cs="Times New Roman"/>
                <w:color w:val="000000"/>
                <w:kern w:val="24"/>
                <w:sz w:val="20"/>
                <w:szCs w:val="20"/>
                <w:lang w:eastAsia="lv-LV"/>
              </w:rPr>
              <w:t>VRS</w:t>
            </w:r>
            <w:r>
              <w:rPr>
                <w:rFonts w:eastAsia="Times New Roman" w:cs="Times New Roman"/>
                <w:color w:val="000000"/>
                <w:kern w:val="24"/>
                <w:sz w:val="20"/>
                <w:szCs w:val="20"/>
                <w:lang w:eastAsia="lv-LV"/>
              </w:rPr>
              <w:t>)</w:t>
            </w:r>
          </w:p>
        </w:tc>
        <w:tc>
          <w:tcPr>
            <w:tcW w:w="1418" w:type="dxa"/>
            <w:shd w:val="clear" w:color="auto" w:fill="auto"/>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982C61">
              <w:rPr>
                <w:rFonts w:eastAsia="Times New Roman" w:cs="Times New Roman"/>
                <w:color w:val="000000"/>
                <w:sz w:val="20"/>
                <w:szCs w:val="20"/>
                <w:lang w:eastAsia="lv-LV"/>
              </w:rPr>
              <w:t>SM</w:t>
            </w:r>
          </w:p>
        </w:tc>
        <w:tc>
          <w:tcPr>
            <w:tcW w:w="1559" w:type="dxa"/>
            <w:shd w:val="clear" w:color="auto" w:fill="auto"/>
          </w:tcPr>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 w:val="20"/>
                <w:szCs w:val="20"/>
                <w:lang w:eastAsia="lv-LV"/>
              </w:rPr>
            </w:pPr>
          </w:p>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 w:val="20"/>
                <w:szCs w:val="20"/>
                <w:lang w:eastAsia="lv-LV"/>
              </w:rPr>
            </w:pPr>
          </w:p>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982C61">
              <w:rPr>
                <w:rFonts w:eastAsia="Times New Roman" w:cs="Times New Roman"/>
                <w:color w:val="000000"/>
                <w:sz w:val="20"/>
                <w:szCs w:val="20"/>
                <w:lang w:eastAsia="lv-LV"/>
              </w:rPr>
              <w:lastRenderedPageBreak/>
              <w:t>31.12.2017.</w:t>
            </w:r>
          </w:p>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p>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982C61">
              <w:rPr>
                <w:rFonts w:eastAsia="Times New Roman" w:cs="Times New Roman"/>
                <w:color w:val="000000"/>
                <w:sz w:val="20"/>
                <w:szCs w:val="20"/>
                <w:lang w:eastAsia="lv-LV"/>
              </w:rPr>
              <w:t>31.12.2019.</w:t>
            </w:r>
          </w:p>
        </w:tc>
        <w:tc>
          <w:tcPr>
            <w:tcW w:w="2126" w:type="dxa"/>
            <w:shd w:val="clear" w:color="auto" w:fill="auto"/>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82C61">
              <w:rPr>
                <w:rFonts w:cs="Times New Roman"/>
                <w:sz w:val="20"/>
                <w:szCs w:val="20"/>
              </w:rPr>
              <w:lastRenderedPageBreak/>
              <w:t>OCTA līdzekļi:</w:t>
            </w: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82C61">
              <w:rPr>
                <w:rFonts w:cs="Times New Roman"/>
                <w:sz w:val="20"/>
                <w:szCs w:val="20"/>
              </w:rPr>
              <w:lastRenderedPageBreak/>
              <w:t>3 000</w:t>
            </w: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82C61">
              <w:rPr>
                <w:rFonts w:cs="Times New Roman"/>
                <w:sz w:val="20"/>
                <w:szCs w:val="20"/>
              </w:rPr>
              <w:t>17 000</w:t>
            </w: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982C61">
              <w:rPr>
                <w:rFonts w:cs="Times New Roman"/>
                <w:sz w:val="20"/>
                <w:szCs w:val="20"/>
              </w:rPr>
              <w:t>Kopā:20 000</w:t>
            </w:r>
          </w:p>
        </w:tc>
      </w:tr>
      <w:tr w:rsidR="00053A42" w:rsidRPr="00174C24" w:rsidTr="00B31F68">
        <w:trPr>
          <w:trHeight w:val="387"/>
        </w:trPr>
        <w:tc>
          <w:tcPr>
            <w:cnfStyle w:val="001000000000" w:firstRow="0" w:lastRow="0" w:firstColumn="1" w:lastColumn="0" w:oddVBand="0" w:evenVBand="0" w:oddHBand="0" w:evenHBand="0" w:firstRowFirstColumn="0" w:firstRowLastColumn="0" w:lastRowFirstColumn="0" w:lastRowLastColumn="0"/>
            <w:tcW w:w="15861" w:type="dxa"/>
            <w:gridSpan w:val="8"/>
          </w:tcPr>
          <w:p w:rsidR="00053A42" w:rsidRDefault="00053A42" w:rsidP="00053A42">
            <w:pPr>
              <w:rPr>
                <w:rFonts w:eastAsia="Times New Roman" w:cs="Times New Roman"/>
                <w:i/>
                <w:color w:val="000000"/>
                <w:u w:val="single"/>
                <w:lang w:eastAsia="lv-LV"/>
              </w:rPr>
            </w:pPr>
          </w:p>
          <w:p w:rsidR="00053A42" w:rsidRDefault="00053A42" w:rsidP="00053A42">
            <w:pPr>
              <w:rPr>
                <w:rFonts w:eastAsia="Times New Roman" w:cs="Times New Roman"/>
                <w:color w:val="000000"/>
                <w:sz w:val="20"/>
                <w:szCs w:val="20"/>
                <w:lang w:eastAsia="lv-LV"/>
              </w:rPr>
            </w:pPr>
            <w:r>
              <w:rPr>
                <w:rFonts w:eastAsia="Times New Roman" w:cs="Times New Roman"/>
                <w:i/>
                <w:color w:val="000000"/>
                <w:u w:val="single"/>
                <w:lang w:eastAsia="lv-LV"/>
              </w:rPr>
              <w:t>3.1.5. G</w:t>
            </w:r>
            <w:r w:rsidRPr="009D7E17">
              <w:rPr>
                <w:rFonts w:eastAsia="Times New Roman" w:cs="Times New Roman"/>
                <w:i/>
                <w:color w:val="000000"/>
                <w:u w:val="single"/>
                <w:lang w:eastAsia="lv-LV"/>
              </w:rPr>
              <w:t>rozījumi normatīvajos aktos, lai no</w:t>
            </w:r>
            <w:r w:rsidR="00E23D60">
              <w:rPr>
                <w:rFonts w:eastAsia="Times New Roman" w:cs="Times New Roman"/>
                <w:i/>
                <w:color w:val="000000"/>
                <w:u w:val="single"/>
                <w:lang w:eastAsia="lv-LV"/>
              </w:rPr>
              <w:t>vērstu pārkāpumus ceļu satiksmē</w:t>
            </w:r>
          </w:p>
          <w:p w:rsidR="00053A42" w:rsidRPr="00982C61" w:rsidRDefault="00053A42" w:rsidP="00053A42">
            <w:pPr>
              <w:rPr>
                <w:rFonts w:cs="Times New Roman"/>
                <w:sz w:val="20"/>
                <w:szCs w:val="20"/>
              </w:rPr>
            </w:pPr>
          </w:p>
        </w:tc>
      </w:tr>
      <w:tr w:rsidR="00053A42" w:rsidRPr="00174C24" w:rsidTr="00DC5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053A42" w:rsidRPr="00B31F68" w:rsidRDefault="00053A42" w:rsidP="00053A42">
            <w:pPr>
              <w:rPr>
                <w:rFonts w:eastAsia="Times New Roman" w:cs="Times New Roman"/>
                <w:b w:val="0"/>
                <w:kern w:val="24"/>
                <w:sz w:val="20"/>
                <w:szCs w:val="20"/>
                <w:u w:val="single"/>
                <w:lang w:eastAsia="lv-LV"/>
              </w:rPr>
            </w:pPr>
            <w:r>
              <w:rPr>
                <w:rFonts w:eastAsia="Times New Roman" w:cs="Times New Roman"/>
                <w:b w:val="0"/>
                <w:color w:val="000000"/>
                <w:sz w:val="20"/>
                <w:szCs w:val="20"/>
                <w:lang w:eastAsia="lv-LV"/>
              </w:rPr>
              <w:t>24.</w:t>
            </w:r>
          </w:p>
        </w:tc>
        <w:tc>
          <w:tcPr>
            <w:tcW w:w="3275" w:type="dxa"/>
          </w:tcPr>
          <w:p w:rsidR="00053A42" w:rsidRPr="00982C61" w:rsidRDefault="00E23D60" w:rsidP="00053A42">
            <w:pP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eastAsia="ar-SA"/>
              </w:rPr>
            </w:pPr>
            <w:r>
              <w:rPr>
                <w:rFonts w:eastAsia="Times New Roman" w:cs="Times New Roman"/>
                <w:color w:val="000000"/>
                <w:sz w:val="20"/>
                <w:szCs w:val="20"/>
                <w:lang w:eastAsia="lv-LV"/>
              </w:rPr>
              <w:t xml:space="preserve">Veikt izpēti par nepieciešamību sagatavot </w:t>
            </w:r>
            <w:r w:rsidR="00053A42" w:rsidRPr="00A6562D">
              <w:rPr>
                <w:rFonts w:eastAsia="Times New Roman" w:cs="Times New Roman"/>
                <w:color w:val="000000"/>
                <w:sz w:val="20"/>
                <w:szCs w:val="20"/>
                <w:lang w:eastAsia="lv-LV"/>
              </w:rPr>
              <w:t>grozījumus 2004.gada 21.jūnija</w:t>
            </w:r>
            <w:r w:rsidR="00053A42" w:rsidRPr="00DC57D4">
              <w:rPr>
                <w:rFonts w:eastAsia="Times New Roman" w:cs="Times New Roman"/>
                <w:color w:val="000000"/>
                <w:sz w:val="20"/>
                <w:szCs w:val="20"/>
                <w:lang w:eastAsia="lv-LV"/>
              </w:rPr>
              <w:t xml:space="preserve"> </w:t>
            </w:r>
            <w:r w:rsidR="00053A42" w:rsidRPr="00DC57D4">
              <w:rPr>
                <w:rFonts w:eastAsia="Times New Roman" w:cs="Times New Roman"/>
                <w:bCs/>
                <w:color w:val="000000"/>
                <w:sz w:val="20"/>
                <w:szCs w:val="20"/>
                <w:lang w:eastAsia="lv-LV"/>
              </w:rPr>
              <w:t>Ministru kabineta noteikumos Nr.551”</w:t>
            </w:r>
            <w:r w:rsidR="00053A42" w:rsidRPr="00DC57D4">
              <w:rPr>
                <w:rFonts w:eastAsia="Calibri" w:cs="Times New Roman"/>
                <w:bCs/>
                <w:color w:val="000000"/>
                <w:sz w:val="20"/>
                <w:szCs w:val="20"/>
              </w:rPr>
              <w:t>Pārkāpumu uzskaites punktu s</w:t>
            </w:r>
            <w:r w:rsidR="00053A42">
              <w:rPr>
                <w:rFonts w:eastAsia="Calibri" w:cs="Times New Roman"/>
                <w:bCs/>
                <w:color w:val="000000"/>
                <w:sz w:val="20"/>
                <w:szCs w:val="20"/>
              </w:rPr>
              <w:t>istēmas piemērošanas noteikumi”.</w:t>
            </w:r>
          </w:p>
        </w:tc>
        <w:tc>
          <w:tcPr>
            <w:tcW w:w="2977" w:type="dxa"/>
          </w:tcPr>
          <w:p w:rsidR="00053A42" w:rsidRPr="00982C61" w:rsidRDefault="00053A42" w:rsidP="00053A42">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eastAsia="lv-LV"/>
              </w:rPr>
            </w:pPr>
            <w:r w:rsidRPr="0013423D">
              <w:rPr>
                <w:rFonts w:eastAsia="Times New Roman" w:cs="Times New Roman"/>
                <w:sz w:val="20"/>
                <w:szCs w:val="20"/>
              </w:rPr>
              <w:t>Izvērtēta iespēja ieviest diferencētu soda punktu skaita sistēmu par atsevišķiem pārkāpumiem ceļu satiksmē (uz riska novērtējumu balstīta sankciju sistēma), kā arī noteikts palielināts soda punktu skaits par atsevišķiem pārkāpumiem un pārkāpumiem autopārvadājumu jomā, lai motivētu satiksmes dalībniekus ievērot CSN prasības.</w:t>
            </w:r>
          </w:p>
        </w:tc>
        <w:tc>
          <w:tcPr>
            <w:tcW w:w="2678" w:type="dxa"/>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DC57D4">
              <w:rPr>
                <w:rFonts w:eastAsia="Calibri" w:cs="Times New Roman"/>
                <w:bCs/>
                <w:color w:val="000000"/>
                <w:sz w:val="20"/>
                <w:szCs w:val="20"/>
              </w:rPr>
              <w:t xml:space="preserve">Pieņemti grozījumi </w:t>
            </w:r>
            <w:r w:rsidRPr="00DC57D4">
              <w:rPr>
                <w:rFonts w:eastAsia="Times New Roman" w:cs="Times New Roman"/>
                <w:color w:val="000000"/>
                <w:sz w:val="20"/>
                <w:szCs w:val="20"/>
                <w:lang w:eastAsia="lv-LV"/>
              </w:rPr>
              <w:t xml:space="preserve">2004.gada 21.jūnija </w:t>
            </w:r>
            <w:r w:rsidRPr="00DC57D4">
              <w:rPr>
                <w:rFonts w:eastAsia="Times New Roman" w:cs="Times New Roman"/>
                <w:bCs/>
                <w:color w:val="000000"/>
                <w:sz w:val="20"/>
                <w:szCs w:val="20"/>
                <w:lang w:eastAsia="lv-LV"/>
              </w:rPr>
              <w:t>Ministru kabineta noteikumos Nr.551”</w:t>
            </w:r>
            <w:r w:rsidRPr="00DC57D4">
              <w:rPr>
                <w:rFonts w:eastAsia="Calibri" w:cs="Times New Roman"/>
                <w:bCs/>
                <w:color w:val="000000"/>
                <w:sz w:val="20"/>
                <w:szCs w:val="20"/>
              </w:rPr>
              <w:t>Pārkāpumu uzskaites punktu sistēmas piemērošanas noteikumi”.</w:t>
            </w:r>
          </w:p>
        </w:tc>
        <w:tc>
          <w:tcPr>
            <w:tcW w:w="1134" w:type="dxa"/>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sidRPr="00DC57D4">
              <w:rPr>
                <w:rFonts w:eastAsia="Times New Roman" w:cs="Times New Roman"/>
                <w:color w:val="000000"/>
                <w:kern w:val="24"/>
                <w:sz w:val="20"/>
                <w:szCs w:val="20"/>
                <w:lang w:eastAsia="lv-LV"/>
              </w:rPr>
              <w:t>SM (CSDD)</w:t>
            </w:r>
          </w:p>
        </w:tc>
        <w:tc>
          <w:tcPr>
            <w:tcW w:w="1418" w:type="dxa"/>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DC57D4">
              <w:rPr>
                <w:rFonts w:eastAsia="Times New Roman" w:cs="Times New Roman"/>
                <w:color w:val="000000"/>
                <w:sz w:val="20"/>
                <w:szCs w:val="20"/>
                <w:lang w:eastAsia="lv-LV"/>
              </w:rPr>
              <w:t>IeM (VP)</w:t>
            </w:r>
          </w:p>
        </w:tc>
        <w:tc>
          <w:tcPr>
            <w:tcW w:w="1559" w:type="dxa"/>
          </w:tcPr>
          <w:p w:rsidR="00053A42" w:rsidRPr="00982C61"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 w:val="20"/>
                <w:szCs w:val="20"/>
                <w:lang w:eastAsia="lv-LV"/>
              </w:rPr>
            </w:pPr>
            <w:r w:rsidRPr="00DC57D4">
              <w:rPr>
                <w:rFonts w:eastAsia="Times New Roman" w:cs="Times New Roman"/>
                <w:color w:val="000000"/>
                <w:sz w:val="20"/>
                <w:szCs w:val="20"/>
                <w:lang w:eastAsia="lv-LV"/>
              </w:rPr>
              <w:t>31.12.2018.</w:t>
            </w:r>
          </w:p>
        </w:tc>
        <w:tc>
          <w:tcPr>
            <w:tcW w:w="2126" w:type="dxa"/>
          </w:tcPr>
          <w:p w:rsidR="00053A42" w:rsidRPr="00982C61"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C57D4">
              <w:rPr>
                <w:rFonts w:eastAsia="Times New Roman" w:cs="Times New Roman"/>
                <w:color w:val="000000"/>
                <w:sz w:val="20"/>
                <w:szCs w:val="20"/>
                <w:lang w:eastAsia="lv-LV"/>
              </w:rPr>
              <w:t>Nav nepieciešams.</w:t>
            </w:r>
          </w:p>
        </w:tc>
      </w:tr>
      <w:tr w:rsidR="00053A42"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053A42" w:rsidRPr="00C24036" w:rsidRDefault="00053A42" w:rsidP="00053A42">
            <w:pPr>
              <w:rPr>
                <w:rFonts w:eastAsia="Times New Roman" w:cs="Times New Roman"/>
                <w:b w:val="0"/>
                <w:color w:val="000000"/>
                <w:kern w:val="24"/>
                <w:sz w:val="20"/>
                <w:szCs w:val="20"/>
                <w:lang w:eastAsia="lv-LV"/>
              </w:rPr>
            </w:pPr>
            <w:r>
              <w:rPr>
                <w:rFonts w:eastAsia="Times New Roman" w:cs="Times New Roman"/>
                <w:b w:val="0"/>
                <w:color w:val="000000"/>
                <w:kern w:val="24"/>
                <w:sz w:val="20"/>
                <w:szCs w:val="20"/>
                <w:lang w:eastAsia="lv-LV"/>
              </w:rPr>
              <w:t>25.</w:t>
            </w:r>
          </w:p>
        </w:tc>
        <w:tc>
          <w:tcPr>
            <w:tcW w:w="3275" w:type="dxa"/>
          </w:tcPr>
          <w:p w:rsidR="00053A42" w:rsidRPr="00A6562D" w:rsidRDefault="00E23D60"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 xml:space="preserve">Veikt izpēti par nepieciešamību sagatavot </w:t>
            </w:r>
            <w:r w:rsidR="00053A42" w:rsidRPr="00A6562D">
              <w:rPr>
                <w:rFonts w:eastAsia="Times New Roman" w:cs="Times New Roman"/>
                <w:sz w:val="20"/>
                <w:szCs w:val="20"/>
              </w:rPr>
              <w:t>grozījumus</w:t>
            </w:r>
            <w:r w:rsidR="00053A42" w:rsidRPr="00DC57D4">
              <w:rPr>
                <w:rFonts w:eastAsia="Times New Roman" w:cs="Times New Roman"/>
                <w:sz w:val="20"/>
                <w:szCs w:val="20"/>
              </w:rPr>
              <w:t xml:space="preserve"> Latvijas Administratīvo pārkāpumu kodeksā, pārskatot sodu apmērus</w:t>
            </w:r>
            <w:r w:rsidR="00053A42">
              <w:rPr>
                <w:rFonts w:eastAsia="Times New Roman" w:cs="Times New Roman"/>
                <w:sz w:val="20"/>
                <w:szCs w:val="20"/>
              </w:rPr>
              <w:t xml:space="preserve"> un izvērtējot iespēju noteikt diferencētu sodu apmēru </w:t>
            </w:r>
            <w:r w:rsidR="00053A42" w:rsidRPr="00513DAE">
              <w:rPr>
                <w:rFonts w:cs="Times New Roman"/>
                <w:sz w:val="20"/>
                <w:szCs w:val="20"/>
                <w:lang w:eastAsia="lv-LV"/>
              </w:rPr>
              <w:t>(uz riska novērtējumu balstīta sankciju sistēma)</w:t>
            </w:r>
            <w:r w:rsidR="00053A42" w:rsidRPr="00DC57D4">
              <w:rPr>
                <w:rFonts w:eastAsia="Times New Roman" w:cs="Times New Roman"/>
                <w:sz w:val="20"/>
                <w:szCs w:val="20"/>
              </w:rPr>
              <w:t xml:space="preserve"> ceļu satiksmes jomā.</w:t>
            </w:r>
          </w:p>
        </w:tc>
        <w:tc>
          <w:tcPr>
            <w:tcW w:w="2977" w:type="dxa"/>
          </w:tcPr>
          <w:p w:rsidR="00053A42" w:rsidRPr="00DC57D4" w:rsidRDefault="00053A42" w:rsidP="00053A42">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C3C3D">
              <w:rPr>
                <w:rFonts w:eastAsia="Times New Roman" w:cs="Times New Roman"/>
                <w:sz w:val="20"/>
                <w:szCs w:val="20"/>
              </w:rPr>
              <w:t xml:space="preserve">Izvērtēta iespēja ieviest diferencētu soda apmēru  sistēmu par atsevišķiem pārkāpumiem ceļu satiksmē (uz riska novērtējumu balstīta sankciju sistēma), kā arī noteikti palielināti soda apmēri par pārkāpumiem ceļu satiksmē (Palielināti sodi par apzinātiem vai citus satiksmes dalībniekus apdraudošiem pārkāpumiem: par transportlīdzekļa vadīšanu alkohola vai citu apreibinošo vielu ietekmē (jo īpaši, ja tas notiek atkārtoti) un smaga CSN izraisīšanu (gadījumos, ja persona bijusi iepriekš sodīta par transportlīdzekļa vadīšanu alkohola vai citu apreibinošo vielu ietekmē), par neatbilstošu apgaismes ierīču lietošanu, neatbilstošu riepu lietošanu, demontētām bremžu sistēmu </w:t>
            </w:r>
            <w:r w:rsidRPr="00CC3C3D">
              <w:rPr>
                <w:rFonts w:eastAsia="Times New Roman" w:cs="Times New Roman"/>
                <w:sz w:val="20"/>
                <w:szCs w:val="20"/>
              </w:rPr>
              <w:lastRenderedPageBreak/>
              <w:t xml:space="preserve">detaļām, nenostiprinātas kravas pārvadāšanu, ceļa nedošanu, drošas distances un intervāla neievērošanu, atļautā ātruma pārsniegšanu, tālruņu, piezīmjdatoru, planšetdatoru un </w:t>
            </w:r>
            <w:proofErr w:type="spellStart"/>
            <w:r w:rsidRPr="00CC3C3D">
              <w:rPr>
                <w:rFonts w:eastAsia="Times New Roman" w:cs="Times New Roman"/>
                <w:sz w:val="20"/>
                <w:szCs w:val="20"/>
              </w:rPr>
              <w:t>viedierīču</w:t>
            </w:r>
            <w:proofErr w:type="spellEnd"/>
            <w:r w:rsidRPr="00CC3C3D">
              <w:rPr>
                <w:rFonts w:eastAsia="Times New Roman" w:cs="Times New Roman"/>
                <w:sz w:val="20"/>
                <w:szCs w:val="20"/>
              </w:rPr>
              <w:t xml:space="preserve"> lietošanu    u.c.)</w:t>
            </w:r>
            <w:r w:rsidR="00E23D60">
              <w:rPr>
                <w:rFonts w:eastAsia="Times New Roman" w:cs="Times New Roman"/>
                <w:sz w:val="20"/>
                <w:szCs w:val="20"/>
              </w:rPr>
              <w:t>,</w:t>
            </w:r>
            <w:r w:rsidRPr="00CC3C3D">
              <w:rPr>
                <w:rFonts w:eastAsia="Times New Roman" w:cs="Times New Roman"/>
                <w:sz w:val="20"/>
                <w:szCs w:val="20"/>
              </w:rPr>
              <w:t xml:space="preserve"> motivējot satiksmes dalībniekus ievērot CSN prasības.</w:t>
            </w:r>
          </w:p>
        </w:tc>
        <w:tc>
          <w:tcPr>
            <w:tcW w:w="2678"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Calibri" w:cs="Times New Roman"/>
                <w:bCs/>
                <w:color w:val="000000"/>
                <w:sz w:val="20"/>
                <w:szCs w:val="20"/>
              </w:rPr>
            </w:pPr>
            <w:r w:rsidRPr="00DC57D4">
              <w:rPr>
                <w:rFonts w:eastAsia="Times New Roman" w:cs="Times New Roman"/>
                <w:sz w:val="20"/>
                <w:szCs w:val="20"/>
              </w:rPr>
              <w:lastRenderedPageBreak/>
              <w:t>Veikti grozījumi Latvijas Administratīvo pārkāpumu kodeksā.</w:t>
            </w:r>
          </w:p>
        </w:tc>
        <w:tc>
          <w:tcPr>
            <w:tcW w:w="1134"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Pr>
                <w:rFonts w:eastAsia="Times New Roman" w:cs="Times New Roman"/>
                <w:color w:val="000000"/>
                <w:kern w:val="24"/>
                <w:sz w:val="20"/>
                <w:szCs w:val="20"/>
                <w:lang w:eastAsia="lv-LV"/>
              </w:rPr>
              <w:t>SM (CSDD)</w:t>
            </w:r>
          </w:p>
        </w:tc>
        <w:tc>
          <w:tcPr>
            <w:tcW w:w="1418"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IeM (</w:t>
            </w:r>
            <w:r w:rsidRPr="00DC57D4">
              <w:rPr>
                <w:rFonts w:eastAsia="Times New Roman" w:cs="Times New Roman"/>
                <w:color w:val="000000"/>
                <w:sz w:val="20"/>
                <w:szCs w:val="20"/>
                <w:lang w:eastAsia="lv-LV"/>
              </w:rPr>
              <w:t>VP</w:t>
            </w:r>
            <w:r>
              <w:rPr>
                <w:rFonts w:eastAsia="Times New Roman" w:cs="Times New Roman"/>
                <w:color w:val="000000"/>
                <w:sz w:val="20"/>
                <w:szCs w:val="20"/>
                <w:lang w:eastAsia="lv-LV"/>
              </w:rPr>
              <w:t>)</w:t>
            </w:r>
          </w:p>
        </w:tc>
        <w:tc>
          <w:tcPr>
            <w:tcW w:w="1559" w:type="dxa"/>
          </w:tcPr>
          <w:p w:rsidR="00053A42" w:rsidRPr="00DC57D4"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A6562D">
              <w:rPr>
                <w:rFonts w:eastAsia="Times New Roman" w:cs="Times New Roman"/>
                <w:color w:val="000000"/>
                <w:sz w:val="20"/>
                <w:szCs w:val="20"/>
                <w:lang w:eastAsia="lv-LV"/>
              </w:rPr>
              <w:t>31.12.2017.</w:t>
            </w:r>
          </w:p>
        </w:tc>
        <w:tc>
          <w:tcPr>
            <w:tcW w:w="2126"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DC57D4">
              <w:rPr>
                <w:rFonts w:eastAsia="Times New Roman" w:cs="Times New Roman"/>
                <w:color w:val="000000"/>
                <w:sz w:val="20"/>
                <w:szCs w:val="20"/>
                <w:lang w:eastAsia="lv-LV"/>
              </w:rPr>
              <w:t>Nav nepieciešams.</w:t>
            </w:r>
          </w:p>
        </w:tc>
      </w:tr>
      <w:tr w:rsidR="00053A42" w:rsidRPr="00174C24" w:rsidTr="00DC5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053A42" w:rsidRPr="00B31F68" w:rsidRDefault="00053A42" w:rsidP="00053A42">
            <w:pPr>
              <w:rPr>
                <w:rFonts w:eastAsia="Times New Roman" w:cs="Times New Roman"/>
                <w:b w:val="0"/>
                <w:color w:val="000000"/>
                <w:sz w:val="20"/>
                <w:szCs w:val="20"/>
                <w:lang w:eastAsia="lv-LV"/>
              </w:rPr>
            </w:pPr>
            <w:r>
              <w:rPr>
                <w:rFonts w:eastAsia="Times New Roman" w:cs="Times New Roman"/>
                <w:b w:val="0"/>
                <w:color w:val="000000"/>
                <w:sz w:val="20"/>
                <w:szCs w:val="20"/>
                <w:lang w:eastAsia="lv-LV"/>
              </w:rPr>
              <w:t>26.</w:t>
            </w:r>
          </w:p>
        </w:tc>
        <w:tc>
          <w:tcPr>
            <w:tcW w:w="3275" w:type="dxa"/>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A6562D">
              <w:rPr>
                <w:rFonts w:eastAsia="Times New Roman" w:cs="Times New Roman"/>
                <w:sz w:val="20"/>
                <w:szCs w:val="20"/>
              </w:rPr>
              <w:t>Veikt grozījumus</w:t>
            </w:r>
            <w:r w:rsidRPr="00DC57D4">
              <w:rPr>
                <w:rFonts w:eastAsia="Times New Roman" w:cs="Times New Roman"/>
                <w:sz w:val="20"/>
                <w:szCs w:val="20"/>
              </w:rPr>
              <w:t xml:space="preserve"> Latvijas Administratīvo pārkāpumu kodeksā, pārskatot sodu apmērus</w:t>
            </w:r>
            <w:r>
              <w:rPr>
                <w:rFonts w:eastAsia="Times New Roman" w:cs="Times New Roman"/>
                <w:sz w:val="20"/>
                <w:szCs w:val="20"/>
              </w:rPr>
              <w:t xml:space="preserve"> un izvērtējot iespēju noteikt diferencētu sodu apmēru </w:t>
            </w:r>
            <w:r w:rsidRPr="00513DAE">
              <w:rPr>
                <w:rFonts w:cs="Times New Roman"/>
                <w:sz w:val="20"/>
                <w:szCs w:val="20"/>
                <w:lang w:eastAsia="lv-LV"/>
              </w:rPr>
              <w:t>(uz riska novērtējumu balstīta sankciju sistēma)</w:t>
            </w:r>
            <w:r w:rsidRPr="00DC57D4">
              <w:rPr>
                <w:rFonts w:eastAsia="Times New Roman" w:cs="Times New Roman"/>
                <w:sz w:val="20"/>
                <w:szCs w:val="20"/>
              </w:rPr>
              <w:t xml:space="preserve"> autopārvadājumu jomā.</w:t>
            </w:r>
          </w:p>
        </w:tc>
        <w:tc>
          <w:tcPr>
            <w:tcW w:w="2977" w:type="dxa"/>
          </w:tcPr>
          <w:p w:rsidR="00053A42" w:rsidRPr="00513DAE" w:rsidRDefault="00053A42" w:rsidP="00053A42">
            <w:pPr>
              <w:pStyle w:val="NoSpacing"/>
              <w:cnfStyle w:val="000000100000" w:firstRow="0" w:lastRow="0" w:firstColumn="0" w:lastColumn="0" w:oddVBand="0" w:evenVBand="0" w:oddHBand="1" w:evenHBand="0" w:firstRowFirstColumn="0" w:firstRowLastColumn="0" w:lastRowFirstColumn="0" w:lastRowLastColumn="0"/>
              <w:rPr>
                <w:rFonts w:cs="Times New Roman"/>
                <w:sz w:val="20"/>
                <w:szCs w:val="20"/>
                <w:lang w:eastAsia="lv-LV"/>
              </w:rPr>
            </w:pPr>
            <w:r w:rsidRPr="00513DAE">
              <w:rPr>
                <w:rFonts w:cs="Times New Roman"/>
                <w:sz w:val="20"/>
                <w:szCs w:val="20"/>
                <w:lang w:eastAsia="lv-LV"/>
              </w:rPr>
              <w:t>Izvērtēta iespēja ieviest diferencētu soda apmēru  sistēmu par atsevišķiem pārkāpumiem autopārvadājumu jomā (uz riska novērtējumu balstīta sankciju sistēma), kā arī noteikti palielināti soda apmēri par pārkāpumiem autopārvadājumu jomā, motivējot satiksmes dalībniekus ievērot CSN prasības.</w:t>
            </w:r>
          </w:p>
        </w:tc>
        <w:tc>
          <w:tcPr>
            <w:tcW w:w="2678" w:type="dxa"/>
          </w:tcPr>
          <w:p w:rsidR="00053A42" w:rsidRPr="00DC57D4" w:rsidRDefault="00053A42" w:rsidP="00053A42">
            <w:pPr>
              <w:cnfStyle w:val="000000100000" w:firstRow="0" w:lastRow="0" w:firstColumn="0" w:lastColumn="0" w:oddVBand="0" w:evenVBand="0" w:oddHBand="1" w:evenHBand="0" w:firstRowFirstColumn="0" w:firstRowLastColumn="0" w:lastRowFirstColumn="0" w:lastRowLastColumn="0"/>
              <w:rPr>
                <w:rFonts w:eastAsia="Calibri" w:cs="Times New Roman"/>
                <w:bCs/>
                <w:color w:val="000000"/>
                <w:sz w:val="20"/>
                <w:szCs w:val="20"/>
              </w:rPr>
            </w:pPr>
            <w:r w:rsidRPr="00DC57D4">
              <w:rPr>
                <w:rFonts w:eastAsia="Times New Roman" w:cs="Times New Roman"/>
                <w:sz w:val="20"/>
                <w:szCs w:val="20"/>
              </w:rPr>
              <w:t>Veikti grozījumi Latvijas Administratīvo pārkāpumu kodeksā.</w:t>
            </w:r>
          </w:p>
        </w:tc>
        <w:tc>
          <w:tcPr>
            <w:tcW w:w="1134" w:type="dxa"/>
          </w:tcPr>
          <w:p w:rsidR="00053A42" w:rsidRPr="00DC57D4"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24"/>
                <w:sz w:val="20"/>
                <w:szCs w:val="20"/>
                <w:lang w:eastAsia="lv-LV"/>
              </w:rPr>
            </w:pPr>
            <w:r>
              <w:rPr>
                <w:rFonts w:eastAsia="Times New Roman" w:cs="Times New Roman"/>
                <w:color w:val="000000"/>
                <w:kern w:val="24"/>
                <w:sz w:val="20"/>
                <w:szCs w:val="20"/>
                <w:lang w:eastAsia="lv-LV"/>
              </w:rPr>
              <w:t>SM (CSDD)</w:t>
            </w:r>
          </w:p>
        </w:tc>
        <w:tc>
          <w:tcPr>
            <w:tcW w:w="1418" w:type="dxa"/>
          </w:tcPr>
          <w:p w:rsidR="00053A42" w:rsidRPr="00DC57D4"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Pr>
                <w:rFonts w:eastAsia="Times New Roman" w:cs="Times New Roman"/>
                <w:color w:val="000000"/>
                <w:sz w:val="20"/>
                <w:szCs w:val="20"/>
                <w:lang w:eastAsia="lv-LV"/>
              </w:rPr>
              <w:t>IeM (</w:t>
            </w:r>
            <w:r w:rsidRPr="00DC57D4">
              <w:rPr>
                <w:rFonts w:eastAsia="Times New Roman" w:cs="Times New Roman"/>
                <w:color w:val="000000"/>
                <w:sz w:val="20"/>
                <w:szCs w:val="20"/>
                <w:lang w:eastAsia="lv-LV"/>
              </w:rPr>
              <w:t>VP</w:t>
            </w:r>
            <w:r>
              <w:rPr>
                <w:rFonts w:eastAsia="Times New Roman" w:cs="Times New Roman"/>
                <w:color w:val="000000"/>
                <w:sz w:val="20"/>
                <w:szCs w:val="20"/>
                <w:lang w:eastAsia="lv-LV"/>
              </w:rPr>
              <w:t>)</w:t>
            </w:r>
          </w:p>
        </w:tc>
        <w:tc>
          <w:tcPr>
            <w:tcW w:w="1559" w:type="dxa"/>
          </w:tcPr>
          <w:p w:rsidR="00053A42" w:rsidRPr="00DC57D4"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DC57D4">
              <w:rPr>
                <w:rFonts w:eastAsia="Times New Roman" w:cs="Times New Roman"/>
                <w:color w:val="000000"/>
                <w:sz w:val="20"/>
                <w:szCs w:val="20"/>
                <w:lang w:eastAsia="lv-LV"/>
              </w:rPr>
              <w:t>31.12.2020.</w:t>
            </w:r>
          </w:p>
        </w:tc>
        <w:tc>
          <w:tcPr>
            <w:tcW w:w="2126" w:type="dxa"/>
          </w:tcPr>
          <w:p w:rsidR="00053A42" w:rsidRPr="00DC57D4"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DC57D4">
              <w:rPr>
                <w:rFonts w:eastAsia="Times New Roman" w:cs="Times New Roman"/>
                <w:color w:val="000000"/>
                <w:sz w:val="20"/>
                <w:szCs w:val="20"/>
                <w:lang w:eastAsia="lv-LV"/>
              </w:rPr>
              <w:t>Nav nepieciešams.</w:t>
            </w:r>
          </w:p>
        </w:tc>
      </w:tr>
      <w:tr w:rsidR="00053A42" w:rsidRPr="00174C24" w:rsidTr="00DC57D4">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00053A42" w:rsidRPr="00C81751" w:rsidRDefault="00053A42" w:rsidP="00053A42">
            <w:pPr>
              <w:rPr>
                <w:rFonts w:eastAsia="Times New Roman" w:cs="Times New Roman"/>
                <w:b w:val="0"/>
                <w:color w:val="000000"/>
                <w:sz w:val="20"/>
                <w:szCs w:val="20"/>
                <w:lang w:eastAsia="lv-LV"/>
              </w:rPr>
            </w:pPr>
            <w:r>
              <w:rPr>
                <w:rFonts w:cs="Times New Roman"/>
                <w:b w:val="0"/>
                <w:bCs w:val="0"/>
                <w:color w:val="000000" w:themeColor="text1"/>
                <w:sz w:val="20"/>
                <w:szCs w:val="20"/>
              </w:rPr>
              <w:t>27.</w:t>
            </w:r>
          </w:p>
        </w:tc>
        <w:tc>
          <w:tcPr>
            <w:tcW w:w="3275" w:type="dxa"/>
          </w:tcPr>
          <w:p w:rsidR="00053A42" w:rsidRPr="00A6562D"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E41A2D">
              <w:rPr>
                <w:rFonts w:cs="Times New Roman"/>
                <w:color w:val="000000" w:themeColor="text1"/>
                <w:sz w:val="20"/>
                <w:szCs w:val="20"/>
              </w:rPr>
              <w:t>Izvērtēt piemērotāko risinājumu iespējai veikt grozījumus Sauszemes transportlīdzekļu īpašnieku civiltiesiskās atbildības obligātās apdrošināšanas (OCTA) likumā, CSL un Latvijas Administratīvo pārkāpumu kodeksā (LAPK), lai nodrošinātu iespēju fiksēt visu transportlīdzekļu un to vadītāju reģistrā esošu transportlīdzekļu OCTA spēkā esamību, un ietekmēt šādu transportlīdzekļu iespēju piedalīties ceļu satiksmē bez OCTA.</w:t>
            </w:r>
          </w:p>
        </w:tc>
        <w:tc>
          <w:tcPr>
            <w:tcW w:w="2977" w:type="dxa"/>
          </w:tcPr>
          <w:p w:rsidR="00053A42" w:rsidRPr="007B5F9C" w:rsidRDefault="00053A42" w:rsidP="00E23D60">
            <w:pPr>
              <w:spacing w:before="100" w:beforeAutospacing="1"/>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E41A2D">
              <w:rPr>
                <w:rFonts w:cs="Times New Roman"/>
                <w:color w:val="000000" w:themeColor="text1"/>
                <w:sz w:val="20"/>
                <w:szCs w:val="20"/>
              </w:rPr>
              <w:t xml:space="preserve">Veikti grozījumi OCTA likumā, </w:t>
            </w:r>
            <w:r>
              <w:rPr>
                <w:rFonts w:cs="Times New Roman"/>
                <w:color w:val="000000" w:themeColor="text1"/>
                <w:sz w:val="20"/>
                <w:szCs w:val="20"/>
              </w:rPr>
              <w:t>Ceļu satiksmes likumā (</w:t>
            </w:r>
            <w:r w:rsidRPr="00E41A2D">
              <w:rPr>
                <w:rFonts w:cs="Times New Roman"/>
                <w:color w:val="000000" w:themeColor="text1"/>
                <w:sz w:val="20"/>
                <w:szCs w:val="20"/>
              </w:rPr>
              <w:t>CSL</w:t>
            </w:r>
            <w:r>
              <w:rPr>
                <w:rFonts w:cs="Times New Roman"/>
                <w:color w:val="000000" w:themeColor="text1"/>
                <w:sz w:val="20"/>
                <w:szCs w:val="20"/>
              </w:rPr>
              <w:t>)</w:t>
            </w:r>
            <w:r w:rsidRPr="00E41A2D">
              <w:rPr>
                <w:rFonts w:cs="Times New Roman"/>
                <w:color w:val="000000" w:themeColor="text1"/>
                <w:sz w:val="20"/>
                <w:szCs w:val="20"/>
              </w:rPr>
              <w:t xml:space="preserve"> un Latvijas A</w:t>
            </w:r>
            <w:r w:rsidR="00E23D60">
              <w:rPr>
                <w:rFonts w:cs="Times New Roman"/>
                <w:color w:val="000000" w:themeColor="text1"/>
                <w:sz w:val="20"/>
                <w:szCs w:val="20"/>
              </w:rPr>
              <w:t>dministratīvo pārkāpumu kodeksā.</w:t>
            </w:r>
          </w:p>
        </w:tc>
        <w:tc>
          <w:tcPr>
            <w:tcW w:w="2678"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E41A2D">
              <w:rPr>
                <w:rFonts w:cs="Times New Roman"/>
                <w:color w:val="000000" w:themeColor="text1"/>
                <w:sz w:val="20"/>
                <w:szCs w:val="20"/>
              </w:rPr>
              <w:t>Izvērtēts un ieviests piemērotākais risinājums, kas nodrošina iespēju fiksēt visu transportlīdzekļu un to vadītāju reģistrā esošu transportlīdzekļu OCTA spēkā esamību, un ietekmēt šādu transportlīdzekļu iespēju piedalīties ceļu satiksmē bez OCTA.</w:t>
            </w:r>
          </w:p>
        </w:tc>
        <w:tc>
          <w:tcPr>
            <w:tcW w:w="1134"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24"/>
                <w:sz w:val="20"/>
                <w:szCs w:val="20"/>
                <w:lang w:eastAsia="lv-LV"/>
              </w:rPr>
            </w:pPr>
            <w:r w:rsidRPr="00A6562D">
              <w:rPr>
                <w:rFonts w:cs="Times New Roman"/>
                <w:color w:val="000000" w:themeColor="text1"/>
                <w:sz w:val="20"/>
                <w:szCs w:val="20"/>
              </w:rPr>
              <w:t>FM, LTAB</w:t>
            </w:r>
          </w:p>
        </w:tc>
        <w:tc>
          <w:tcPr>
            <w:tcW w:w="1418"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A6562D">
              <w:rPr>
                <w:rFonts w:cs="Times New Roman"/>
                <w:color w:val="000000" w:themeColor="text1"/>
                <w:sz w:val="20"/>
                <w:szCs w:val="20"/>
              </w:rPr>
              <w:t>VP, IeM IC,  SM, CSDD</w:t>
            </w:r>
          </w:p>
        </w:tc>
        <w:tc>
          <w:tcPr>
            <w:tcW w:w="1559" w:type="dxa"/>
          </w:tcPr>
          <w:p w:rsidR="00053A42" w:rsidRPr="00DC57D4" w:rsidRDefault="00053A42" w:rsidP="00053A42">
            <w:pPr>
              <w:ind w:righ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A6562D">
              <w:rPr>
                <w:rFonts w:cs="Times New Roman"/>
                <w:color w:val="000000" w:themeColor="text1"/>
                <w:sz w:val="20"/>
                <w:szCs w:val="20"/>
              </w:rPr>
              <w:t>31.12.2020.</w:t>
            </w:r>
          </w:p>
        </w:tc>
        <w:tc>
          <w:tcPr>
            <w:tcW w:w="2126" w:type="dxa"/>
          </w:tcPr>
          <w:p w:rsidR="00053A42" w:rsidRPr="00DC57D4" w:rsidRDefault="00053A42" w:rsidP="00053A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lv-LV"/>
              </w:rPr>
            </w:pPr>
            <w:r w:rsidRPr="00A6562D">
              <w:rPr>
                <w:rFonts w:cs="Times New Roman"/>
                <w:color w:val="000000" w:themeColor="text1"/>
                <w:sz w:val="20"/>
                <w:szCs w:val="20"/>
              </w:rPr>
              <w:t xml:space="preserve">Nav </w:t>
            </w:r>
            <w:r w:rsidRPr="00A528CE">
              <w:rPr>
                <w:rFonts w:cs="Times New Roman"/>
                <w:color w:val="000000" w:themeColor="text1"/>
                <w:sz w:val="20"/>
                <w:szCs w:val="20"/>
              </w:rPr>
              <w:t>nepieciešams.</w:t>
            </w:r>
          </w:p>
        </w:tc>
      </w:tr>
      <w:tr w:rsidR="00053A42" w:rsidRPr="00174C24" w:rsidTr="00A528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00053A42" w:rsidRPr="00C81751" w:rsidRDefault="00053A42" w:rsidP="00053A42">
            <w:pPr>
              <w:rPr>
                <w:rFonts w:cs="Times New Roman"/>
                <w:b w:val="0"/>
                <w:bCs w:val="0"/>
                <w:color w:val="000000" w:themeColor="text1"/>
                <w:sz w:val="20"/>
                <w:szCs w:val="20"/>
              </w:rPr>
            </w:pPr>
            <w:r>
              <w:rPr>
                <w:rFonts w:eastAsia="Times New Roman" w:cs="Times New Roman"/>
                <w:b w:val="0"/>
                <w:color w:val="000000"/>
                <w:sz w:val="20"/>
                <w:szCs w:val="20"/>
                <w:lang w:eastAsia="lv-LV"/>
              </w:rPr>
              <w:t>28.</w:t>
            </w:r>
          </w:p>
        </w:tc>
        <w:tc>
          <w:tcPr>
            <w:tcW w:w="3275" w:type="dxa"/>
            <w:shd w:val="clear" w:color="auto" w:fill="auto"/>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Izvērtēt nepieciešamību v</w:t>
            </w:r>
            <w:r w:rsidRPr="00A6562D">
              <w:rPr>
                <w:rFonts w:cs="Times New Roman"/>
                <w:color w:val="000000" w:themeColor="text1"/>
                <w:sz w:val="20"/>
                <w:szCs w:val="20"/>
              </w:rPr>
              <w:t>eikt grozījumus normatīvajos aktos, lai atvieglotu iespēju noslēgt OCTA l</w:t>
            </w:r>
            <w:r>
              <w:rPr>
                <w:rFonts w:cs="Times New Roman"/>
                <w:color w:val="000000" w:themeColor="text1"/>
                <w:sz w:val="20"/>
                <w:szCs w:val="20"/>
              </w:rPr>
              <w:t>īgumus tieši no apdrošinātājiem.</w:t>
            </w:r>
          </w:p>
        </w:tc>
        <w:tc>
          <w:tcPr>
            <w:tcW w:w="2977" w:type="dxa"/>
            <w:shd w:val="clear" w:color="auto" w:fill="auto"/>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Izvērtēta nepieciešamība un v</w:t>
            </w:r>
            <w:r w:rsidRPr="00A6562D">
              <w:rPr>
                <w:rFonts w:cs="Times New Roman"/>
                <w:color w:val="000000" w:themeColor="text1"/>
                <w:sz w:val="20"/>
                <w:szCs w:val="20"/>
              </w:rPr>
              <w:t xml:space="preserve">eikti grozījumi OCTA </w:t>
            </w:r>
            <w:r>
              <w:rPr>
                <w:rFonts w:cs="Times New Roman"/>
                <w:color w:val="000000" w:themeColor="text1"/>
                <w:sz w:val="20"/>
                <w:szCs w:val="20"/>
              </w:rPr>
              <w:t xml:space="preserve">likumā, </w:t>
            </w:r>
            <w:r w:rsidRPr="000E6D07">
              <w:rPr>
                <w:rFonts w:cs="Times New Roman"/>
                <w:color w:val="000000" w:themeColor="text1"/>
                <w:sz w:val="20"/>
                <w:szCs w:val="20"/>
              </w:rPr>
              <w:t>Apdrošināšanas un pārapdrošināšanas starpnieku darbības likumā</w:t>
            </w:r>
            <w:r>
              <w:rPr>
                <w:rFonts w:cs="Times New Roman"/>
                <w:color w:val="000000" w:themeColor="text1"/>
                <w:sz w:val="20"/>
                <w:szCs w:val="20"/>
              </w:rPr>
              <w:t>,</w:t>
            </w:r>
            <w:r w:rsidRPr="00A6562D">
              <w:rPr>
                <w:rFonts w:cs="Times New Roman"/>
                <w:color w:val="000000" w:themeColor="text1"/>
                <w:sz w:val="20"/>
                <w:szCs w:val="20"/>
              </w:rPr>
              <w:t xml:space="preserve"> u.c.</w:t>
            </w:r>
          </w:p>
        </w:tc>
        <w:tc>
          <w:tcPr>
            <w:tcW w:w="2678" w:type="dxa"/>
            <w:shd w:val="clear" w:color="auto" w:fill="auto"/>
          </w:tcPr>
          <w:p w:rsidR="00053A42" w:rsidRDefault="00053A42" w:rsidP="00053A4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A6562D">
              <w:rPr>
                <w:rFonts w:eastAsia="Times New Roman" w:cs="Times New Roman"/>
                <w:sz w:val="20"/>
                <w:szCs w:val="20"/>
              </w:rPr>
              <w:t>Satiksmes dalībniekiem (</w:t>
            </w:r>
            <w:r w:rsidRPr="00A6562D">
              <w:rPr>
                <w:rFonts w:cs="Times New Roman"/>
                <w:color w:val="000000" w:themeColor="text1"/>
                <w:sz w:val="20"/>
                <w:szCs w:val="20"/>
              </w:rPr>
              <w:t xml:space="preserve">TL īpašniekiem un tiesīgajiem lietotājiem ) </w:t>
            </w:r>
            <w:r>
              <w:rPr>
                <w:rFonts w:eastAsia="Times New Roman" w:cs="Times New Roman"/>
                <w:sz w:val="20"/>
                <w:szCs w:val="20"/>
              </w:rPr>
              <w:t xml:space="preserve">nodrošināta iespēja tiešsaistē OCTA informācijas sistēmā iegūt informāciju </w:t>
            </w:r>
            <w:r w:rsidRPr="00A6562D">
              <w:rPr>
                <w:rFonts w:eastAsia="Times New Roman" w:cs="Times New Roman"/>
                <w:sz w:val="20"/>
                <w:szCs w:val="20"/>
              </w:rPr>
              <w:t>par iespējām noslēgt OCTA līgumus</w:t>
            </w:r>
            <w:r>
              <w:rPr>
                <w:rFonts w:eastAsia="Times New Roman" w:cs="Times New Roman"/>
                <w:sz w:val="20"/>
                <w:szCs w:val="20"/>
              </w:rPr>
              <w:t>.</w:t>
            </w:r>
          </w:p>
          <w:p w:rsidR="00E23D60" w:rsidRPr="00A6562D" w:rsidRDefault="00E23D60"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c>
          <w:tcPr>
            <w:tcW w:w="1134" w:type="dxa"/>
            <w:shd w:val="clear" w:color="auto" w:fill="auto"/>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LTAB</w:t>
            </w:r>
          </w:p>
        </w:tc>
        <w:tc>
          <w:tcPr>
            <w:tcW w:w="1418" w:type="dxa"/>
            <w:shd w:val="clear" w:color="auto" w:fill="auto"/>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EM</w:t>
            </w:r>
            <w:r w:rsidRPr="00A6562D">
              <w:rPr>
                <w:rFonts w:cs="Times New Roman"/>
                <w:color w:val="000000" w:themeColor="text1"/>
                <w:sz w:val="20"/>
                <w:szCs w:val="20"/>
              </w:rPr>
              <w:t xml:space="preserve">, </w:t>
            </w:r>
            <w:r>
              <w:rPr>
                <w:rFonts w:cs="Times New Roman"/>
                <w:color w:val="000000" w:themeColor="text1"/>
                <w:sz w:val="20"/>
                <w:szCs w:val="20"/>
              </w:rPr>
              <w:t xml:space="preserve">FM, </w:t>
            </w:r>
            <w:r w:rsidRPr="00A6562D">
              <w:rPr>
                <w:rFonts w:cs="Times New Roman"/>
                <w:color w:val="000000" w:themeColor="text1"/>
                <w:sz w:val="20"/>
                <w:szCs w:val="20"/>
              </w:rPr>
              <w:t>PTAC</w:t>
            </w:r>
          </w:p>
        </w:tc>
        <w:tc>
          <w:tcPr>
            <w:tcW w:w="1559" w:type="dxa"/>
          </w:tcPr>
          <w:p w:rsidR="00053A42" w:rsidRPr="00A6562D" w:rsidRDefault="00053A42" w:rsidP="00053A42">
            <w:pPr>
              <w:ind w:right="-142"/>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6562D">
              <w:rPr>
                <w:rFonts w:eastAsia="Times New Roman" w:cs="Times New Roman"/>
                <w:color w:val="000000"/>
                <w:sz w:val="20"/>
                <w:szCs w:val="20"/>
                <w:lang w:eastAsia="lv-LV"/>
              </w:rPr>
              <w:t>31.12.2018.</w:t>
            </w:r>
          </w:p>
        </w:tc>
        <w:tc>
          <w:tcPr>
            <w:tcW w:w="2126" w:type="dxa"/>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6562D">
              <w:rPr>
                <w:rFonts w:cs="Times New Roman"/>
                <w:color w:val="000000" w:themeColor="text1"/>
                <w:sz w:val="20"/>
                <w:szCs w:val="20"/>
              </w:rPr>
              <w:t>Nav nepieciešams</w:t>
            </w:r>
          </w:p>
        </w:tc>
      </w:tr>
      <w:tr w:rsidR="00053A42" w:rsidRPr="00174C24" w:rsidTr="0080748A">
        <w:trPr>
          <w:trHeight w:val="387"/>
        </w:trPr>
        <w:tc>
          <w:tcPr>
            <w:cnfStyle w:val="001000000000" w:firstRow="0" w:lastRow="0" w:firstColumn="1" w:lastColumn="0" w:oddVBand="0" w:evenVBand="0" w:oddHBand="0" w:evenHBand="0" w:firstRowFirstColumn="0" w:firstRowLastColumn="0" w:lastRowFirstColumn="0" w:lastRowLastColumn="0"/>
            <w:tcW w:w="15861" w:type="dxa"/>
            <w:gridSpan w:val="8"/>
          </w:tcPr>
          <w:p w:rsidR="00053A42" w:rsidRDefault="00053A42" w:rsidP="00053A42">
            <w:pPr>
              <w:rPr>
                <w:rFonts w:cs="Times New Roman"/>
                <w:color w:val="000000" w:themeColor="text1"/>
                <w:sz w:val="20"/>
                <w:szCs w:val="20"/>
              </w:rPr>
            </w:pPr>
          </w:p>
          <w:p w:rsidR="00053A42" w:rsidRPr="00C81751" w:rsidRDefault="00053A42" w:rsidP="00053A42">
            <w:pPr>
              <w:rPr>
                <w:rFonts w:cs="Times New Roman"/>
                <w:i/>
                <w:color w:val="000000" w:themeColor="text1"/>
                <w:u w:val="single"/>
              </w:rPr>
            </w:pPr>
            <w:r w:rsidRPr="00C81751">
              <w:rPr>
                <w:rFonts w:cs="Times New Roman"/>
                <w:i/>
                <w:color w:val="000000" w:themeColor="text1"/>
                <w:u w:val="single"/>
              </w:rPr>
              <w:t>3</w:t>
            </w:r>
            <w:r>
              <w:rPr>
                <w:rFonts w:cs="Times New Roman"/>
                <w:i/>
                <w:color w:val="000000" w:themeColor="text1"/>
                <w:u w:val="single"/>
              </w:rPr>
              <w:t>.1.6</w:t>
            </w:r>
            <w:r w:rsidRPr="00C81751">
              <w:rPr>
                <w:rFonts w:cs="Times New Roman"/>
                <w:i/>
                <w:color w:val="000000" w:themeColor="text1"/>
                <w:u w:val="single"/>
              </w:rPr>
              <w:t xml:space="preserve">. Grozījumi normatīvajos aktos, lai pilnveidotu </w:t>
            </w:r>
            <w:r>
              <w:rPr>
                <w:rFonts w:cs="Times New Roman"/>
                <w:i/>
                <w:color w:val="000000" w:themeColor="text1"/>
                <w:u w:val="single"/>
              </w:rPr>
              <w:t>TL</w:t>
            </w:r>
            <w:r w:rsidRPr="00C81751">
              <w:rPr>
                <w:rFonts w:cs="Times New Roman"/>
                <w:i/>
                <w:color w:val="000000" w:themeColor="text1"/>
                <w:u w:val="single"/>
              </w:rPr>
              <w:t xml:space="preserve"> vadī</w:t>
            </w:r>
            <w:r w:rsidR="00E23D60">
              <w:rPr>
                <w:rFonts w:cs="Times New Roman"/>
                <w:i/>
                <w:color w:val="000000" w:themeColor="text1"/>
                <w:u w:val="single"/>
              </w:rPr>
              <w:t>tāju veselības pārbaužu kārtību</w:t>
            </w:r>
          </w:p>
          <w:p w:rsidR="00053A42" w:rsidRDefault="00053A42" w:rsidP="00053A42">
            <w:pPr>
              <w:rPr>
                <w:rFonts w:cs="Times New Roman"/>
                <w:color w:val="000000" w:themeColor="text1"/>
                <w:sz w:val="20"/>
                <w:szCs w:val="20"/>
              </w:rPr>
            </w:pPr>
          </w:p>
          <w:p w:rsidR="00053A42" w:rsidRPr="00A6562D" w:rsidRDefault="00053A42" w:rsidP="00053A42">
            <w:pPr>
              <w:rPr>
                <w:rFonts w:cs="Times New Roman"/>
                <w:color w:val="000000" w:themeColor="text1"/>
                <w:sz w:val="20"/>
                <w:szCs w:val="20"/>
              </w:rPr>
            </w:pPr>
          </w:p>
        </w:tc>
      </w:tr>
      <w:tr w:rsidR="00053A42" w:rsidRPr="00174C24" w:rsidTr="00DC5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00053A42" w:rsidRPr="00C81751" w:rsidRDefault="00053A42" w:rsidP="00053A42">
            <w:pPr>
              <w:rPr>
                <w:rFonts w:eastAsia="Times New Roman" w:cs="Times New Roman"/>
                <w:b w:val="0"/>
                <w:color w:val="000000"/>
                <w:sz w:val="20"/>
                <w:szCs w:val="20"/>
                <w:lang w:eastAsia="lv-LV"/>
              </w:rPr>
            </w:pPr>
            <w:r>
              <w:rPr>
                <w:rFonts w:cs="Times New Roman"/>
                <w:b w:val="0"/>
                <w:bCs w:val="0"/>
                <w:color w:val="000000" w:themeColor="text1"/>
                <w:sz w:val="20"/>
                <w:szCs w:val="20"/>
              </w:rPr>
              <w:t>29.</w:t>
            </w:r>
            <w:r w:rsidRPr="00C81751">
              <w:rPr>
                <w:rFonts w:cs="Times New Roman"/>
                <w:b w:val="0"/>
                <w:bCs w:val="0"/>
                <w:color w:val="000000" w:themeColor="text1"/>
                <w:sz w:val="20"/>
                <w:szCs w:val="20"/>
              </w:rPr>
              <w:t xml:space="preserve"> </w:t>
            </w:r>
          </w:p>
        </w:tc>
        <w:tc>
          <w:tcPr>
            <w:tcW w:w="3275" w:type="dxa"/>
          </w:tcPr>
          <w:p w:rsidR="00053A42" w:rsidRPr="00A6562D" w:rsidRDefault="00E23D60"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Izstrādāt (izvērtēt nepieciešamību/veikt grozījumus)</w:t>
            </w:r>
            <w:r w:rsidR="00053A42" w:rsidRPr="00A6562D">
              <w:rPr>
                <w:rFonts w:cs="Times New Roman"/>
                <w:color w:val="000000" w:themeColor="text1"/>
                <w:sz w:val="20"/>
                <w:szCs w:val="20"/>
              </w:rPr>
              <w:t xml:space="preserve"> grozījumus  normatīvajos aktos, kas nosaka</w:t>
            </w:r>
            <w:r w:rsidR="00053A42">
              <w:rPr>
                <w:rFonts w:cs="Times New Roman"/>
                <w:color w:val="000000" w:themeColor="text1"/>
                <w:sz w:val="20"/>
                <w:szCs w:val="20"/>
              </w:rPr>
              <w:t xml:space="preserve"> TL</w:t>
            </w:r>
            <w:r w:rsidR="00053A42" w:rsidRPr="00A6562D">
              <w:rPr>
                <w:rFonts w:cs="Times New Roman"/>
                <w:color w:val="000000" w:themeColor="text1"/>
                <w:sz w:val="20"/>
                <w:szCs w:val="20"/>
              </w:rPr>
              <w:t xml:space="preserve"> vadītāju veselības pārbaudes procesu, pilnveidojot noteikumos noteiktās prasības, kā arī ieviešot papildus pārbaudes</w:t>
            </w:r>
          </w:p>
        </w:tc>
        <w:tc>
          <w:tcPr>
            <w:tcW w:w="2977" w:type="dxa"/>
          </w:tcPr>
          <w:p w:rsidR="00053A42" w:rsidRPr="00A6562D" w:rsidRDefault="00053A42" w:rsidP="00053A42">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7B4566">
              <w:rPr>
                <w:rFonts w:cs="Times New Roman"/>
                <w:color w:val="000000" w:themeColor="text1"/>
                <w:sz w:val="20"/>
                <w:szCs w:val="20"/>
              </w:rPr>
              <w:t>I</w:t>
            </w:r>
            <w:r>
              <w:rPr>
                <w:rFonts w:cs="Times New Roman"/>
                <w:color w:val="000000" w:themeColor="text1"/>
                <w:sz w:val="20"/>
                <w:szCs w:val="20"/>
              </w:rPr>
              <w:t xml:space="preserve">eviesti grozījumi MK noteikumos </w:t>
            </w:r>
            <w:r w:rsidRPr="000E6D07">
              <w:rPr>
                <w:rFonts w:cs="Times New Roman"/>
                <w:color w:val="000000" w:themeColor="text1"/>
                <w:sz w:val="20"/>
                <w:szCs w:val="20"/>
              </w:rPr>
              <w:t>par veselības pārbaudēm transportlīdzekļu vadītājiem un personām, kuras vēlas iegūt transportlīdzekļu vadītāju kvalifikāciju, kā arī par pirmstermiņa veselības pārbaudes izdevumu segšanas kārtību</w:t>
            </w:r>
            <w:r w:rsidRPr="007B4566">
              <w:rPr>
                <w:rFonts w:cs="Times New Roman"/>
                <w:color w:val="000000" w:themeColor="text1"/>
                <w:sz w:val="20"/>
                <w:szCs w:val="20"/>
              </w:rPr>
              <w:t>, nosakot stingrākas pārbaudes vadītāju veselības kontrolei, lai pārņemtu Eiropas Komisijas 2016.gada 7.jūlija Direktīvas 2016/1106/EK</w:t>
            </w:r>
            <w:r w:rsidR="00E23D60">
              <w:rPr>
                <w:rFonts w:cs="Times New Roman"/>
                <w:color w:val="000000" w:themeColor="text1"/>
                <w:sz w:val="20"/>
                <w:szCs w:val="20"/>
              </w:rPr>
              <w:t>,</w:t>
            </w:r>
            <w:r w:rsidRPr="007B4566">
              <w:rPr>
                <w:rFonts w:cs="Times New Roman"/>
                <w:color w:val="000000" w:themeColor="text1"/>
                <w:sz w:val="20"/>
                <w:szCs w:val="20"/>
              </w:rPr>
              <w:t xml:space="preserve"> ar ko groza Eiropas Parlamenta un Padomes Direktīvu 2006/126/EK par vadītāju apliecībām</w:t>
            </w:r>
            <w:r w:rsidR="00E23D60">
              <w:rPr>
                <w:rFonts w:cs="Times New Roman"/>
                <w:color w:val="000000" w:themeColor="text1"/>
                <w:sz w:val="20"/>
                <w:szCs w:val="20"/>
              </w:rPr>
              <w:t>,</w:t>
            </w:r>
            <w:r w:rsidRPr="007B4566">
              <w:rPr>
                <w:rFonts w:cs="Times New Roman"/>
                <w:color w:val="000000" w:themeColor="text1"/>
                <w:sz w:val="20"/>
                <w:szCs w:val="20"/>
              </w:rPr>
              <w:t xml:space="preserve"> prasības.</w:t>
            </w:r>
          </w:p>
        </w:tc>
        <w:tc>
          <w:tcPr>
            <w:tcW w:w="2678" w:type="dxa"/>
          </w:tcPr>
          <w:p w:rsidR="00053A42" w:rsidRPr="00A6562D" w:rsidRDefault="00053A42" w:rsidP="00E23D6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6562D">
              <w:rPr>
                <w:rFonts w:cs="Times New Roman"/>
                <w:sz w:val="20"/>
                <w:szCs w:val="20"/>
              </w:rPr>
              <w:t>Veikti grozījumi</w:t>
            </w:r>
            <w:r w:rsidR="00E23D60" w:rsidRPr="00A6562D">
              <w:rPr>
                <w:rFonts w:cs="Times New Roman"/>
                <w:color w:val="000000" w:themeColor="text1"/>
                <w:sz w:val="20"/>
                <w:szCs w:val="20"/>
              </w:rPr>
              <w:t xml:space="preserve">  normatīvajos aktos, kas nosaka</w:t>
            </w:r>
            <w:r w:rsidR="00E23D60">
              <w:rPr>
                <w:rFonts w:cs="Times New Roman"/>
                <w:color w:val="000000" w:themeColor="text1"/>
                <w:sz w:val="20"/>
                <w:szCs w:val="20"/>
              </w:rPr>
              <w:t xml:space="preserve"> TL</w:t>
            </w:r>
            <w:r w:rsidR="00E23D60" w:rsidRPr="00A6562D">
              <w:rPr>
                <w:rFonts w:cs="Times New Roman"/>
                <w:color w:val="000000" w:themeColor="text1"/>
                <w:sz w:val="20"/>
                <w:szCs w:val="20"/>
              </w:rPr>
              <w:t xml:space="preserve"> vadītāju veselības pārbaudes procesu</w:t>
            </w:r>
          </w:p>
        </w:tc>
        <w:tc>
          <w:tcPr>
            <w:tcW w:w="1134" w:type="dxa"/>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6562D">
              <w:rPr>
                <w:rFonts w:cs="Times New Roman"/>
                <w:color w:val="000000" w:themeColor="text1"/>
                <w:sz w:val="20"/>
                <w:szCs w:val="20"/>
              </w:rPr>
              <w:t>SM</w:t>
            </w:r>
          </w:p>
        </w:tc>
        <w:tc>
          <w:tcPr>
            <w:tcW w:w="1418" w:type="dxa"/>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6562D">
              <w:rPr>
                <w:rFonts w:cs="Times New Roman"/>
                <w:color w:val="000000" w:themeColor="text1"/>
                <w:sz w:val="20"/>
                <w:szCs w:val="20"/>
              </w:rPr>
              <w:t>CSDD</w:t>
            </w:r>
          </w:p>
        </w:tc>
        <w:tc>
          <w:tcPr>
            <w:tcW w:w="1559" w:type="dxa"/>
          </w:tcPr>
          <w:p w:rsidR="00053A42" w:rsidRPr="00A6562D" w:rsidRDefault="00053A42" w:rsidP="00053A42">
            <w:pPr>
              <w:ind w:right="-14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lv-LV"/>
              </w:rPr>
            </w:pPr>
            <w:r w:rsidRPr="00A6562D">
              <w:rPr>
                <w:rFonts w:cs="Times New Roman"/>
                <w:color w:val="000000" w:themeColor="text1"/>
                <w:sz w:val="20"/>
                <w:szCs w:val="20"/>
              </w:rPr>
              <w:t>31.12.2018.</w:t>
            </w:r>
          </w:p>
        </w:tc>
        <w:tc>
          <w:tcPr>
            <w:tcW w:w="2126" w:type="dxa"/>
          </w:tcPr>
          <w:p w:rsidR="00053A42" w:rsidRPr="00A6562D" w:rsidRDefault="00053A42" w:rsidP="00053A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6562D">
              <w:rPr>
                <w:rFonts w:cs="Times New Roman"/>
                <w:color w:val="000000" w:themeColor="text1"/>
                <w:sz w:val="20"/>
                <w:szCs w:val="20"/>
              </w:rPr>
              <w:t>Nav nepieciešams.</w:t>
            </w:r>
          </w:p>
        </w:tc>
      </w:tr>
    </w:tbl>
    <w:p w:rsidR="00A81DB4" w:rsidRPr="00A81DB4" w:rsidRDefault="00A81DB4" w:rsidP="00A81DB4">
      <w:pPr>
        <w:jc w:val="both"/>
        <w:rPr>
          <w:b/>
          <w:i/>
        </w:rPr>
      </w:pPr>
    </w:p>
    <w:p w:rsidR="00DC0FE8" w:rsidRDefault="00DC0FE8" w:rsidP="00A70D56">
      <w:pPr>
        <w:pStyle w:val="ListParagraph"/>
        <w:ind w:left="142" w:firstLine="426"/>
        <w:jc w:val="both"/>
        <w:rPr>
          <w:b/>
          <w:i/>
        </w:rPr>
      </w:pPr>
    </w:p>
    <w:p w:rsidR="00532F00" w:rsidRPr="00FE4F1C" w:rsidRDefault="009630C5" w:rsidP="001050E3">
      <w:pPr>
        <w:pStyle w:val="Heading2"/>
        <w:ind w:left="284"/>
      </w:pPr>
      <w:bookmarkStart w:id="50" w:name="_Toc457986550"/>
      <w:bookmarkStart w:id="51" w:name="_Toc457989656"/>
      <w:bookmarkStart w:id="52" w:name="_Toc477177767"/>
      <w:r>
        <w:t>3</w:t>
      </w:r>
      <w:r w:rsidR="001050E3">
        <w:t>.2.</w:t>
      </w:r>
      <w:r w:rsidR="00150A31" w:rsidRPr="00FE4F1C">
        <w:t xml:space="preserve">  </w:t>
      </w:r>
      <w:r w:rsidR="001B1FAC" w:rsidRPr="00FE4F1C">
        <w:t>Satiksmes dalībnieku izglītošana</w:t>
      </w:r>
      <w:r w:rsidR="00C76863" w:rsidRPr="00FE4F1C">
        <w:t xml:space="preserve"> un informēšana</w:t>
      </w:r>
      <w:bookmarkEnd w:id="50"/>
      <w:bookmarkEnd w:id="51"/>
      <w:bookmarkEnd w:id="52"/>
    </w:p>
    <w:p w:rsidR="00532F00" w:rsidRDefault="00532F00" w:rsidP="00A70D56">
      <w:pPr>
        <w:ind w:firstLine="426"/>
        <w:jc w:val="both"/>
        <w:rPr>
          <w:rFonts w:asciiTheme="minorHAnsi" w:hAnsiTheme="minorHAnsi"/>
          <w:b/>
          <w:sz w:val="20"/>
          <w:szCs w:val="20"/>
        </w:rPr>
      </w:pPr>
    </w:p>
    <w:tbl>
      <w:tblPr>
        <w:tblStyle w:val="TableGrid"/>
        <w:tblW w:w="15876"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
        <w:gridCol w:w="3716"/>
        <w:gridCol w:w="2794"/>
        <w:gridCol w:w="2805"/>
        <w:gridCol w:w="1131"/>
        <w:gridCol w:w="1416"/>
        <w:gridCol w:w="1417"/>
        <w:gridCol w:w="2119"/>
      </w:tblGrid>
      <w:tr w:rsidR="00025D1F" w:rsidRPr="00532F00" w:rsidTr="001050E3">
        <w:trPr>
          <w:trHeight w:val="814"/>
        </w:trPr>
        <w:tc>
          <w:tcPr>
            <w:tcW w:w="4194" w:type="dxa"/>
            <w:gridSpan w:val="2"/>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bCs/>
                <w:color w:val="000000" w:themeColor="text1"/>
                <w:sz w:val="20"/>
                <w:szCs w:val="20"/>
              </w:rPr>
              <w:t>Politikas rezultāti un rezultatīvie rādītāji</w:t>
            </w:r>
          </w:p>
        </w:tc>
        <w:tc>
          <w:tcPr>
            <w:tcW w:w="11682" w:type="dxa"/>
            <w:gridSpan w:val="6"/>
            <w:shd w:val="clear" w:color="auto" w:fill="D9D9D9" w:themeFill="background1" w:themeFillShade="D9"/>
            <w:hideMark/>
          </w:tcPr>
          <w:p w:rsidR="007849E0" w:rsidRPr="007849E0" w:rsidRDefault="00B233E0" w:rsidP="00C76863">
            <w:pPr>
              <w:jc w:val="both"/>
              <w:rPr>
                <w:rFonts w:eastAsia="Times New Roman" w:cs="Times New Roman"/>
                <w:b/>
                <w:i/>
                <w:color w:val="000000" w:themeColor="text1"/>
                <w:sz w:val="20"/>
                <w:szCs w:val="20"/>
                <w:lang w:eastAsia="lv-LV"/>
              </w:rPr>
            </w:pPr>
            <w:r w:rsidRPr="000644DC">
              <w:rPr>
                <w:rFonts w:eastAsia="Times New Roman" w:cs="Times New Roman"/>
                <w:b/>
                <w:i/>
                <w:color w:val="000000" w:themeColor="text1"/>
                <w:sz w:val="20"/>
                <w:szCs w:val="20"/>
                <w:lang w:eastAsia="lv-LV"/>
              </w:rPr>
              <w:t>Uzlabota ceļu satiksmes drošība, 2020.gadā panākot ceļu satiksmes negadījumos bojāgājušo un cietušo skaita samazinājumu 50% apmērā, salīdzinot ar 2010.gadu.</w:t>
            </w:r>
          </w:p>
        </w:tc>
      </w:tr>
      <w:tr w:rsidR="00025D1F" w:rsidRPr="00532F00" w:rsidTr="001050E3">
        <w:trPr>
          <w:trHeight w:val="536"/>
        </w:trPr>
        <w:tc>
          <w:tcPr>
            <w:tcW w:w="4194" w:type="dxa"/>
            <w:gridSpan w:val="2"/>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bCs/>
                <w:color w:val="000000" w:themeColor="text1"/>
                <w:sz w:val="20"/>
                <w:szCs w:val="20"/>
              </w:rPr>
              <w:t>Rīcības virziens</w:t>
            </w:r>
          </w:p>
        </w:tc>
        <w:tc>
          <w:tcPr>
            <w:tcW w:w="11682" w:type="dxa"/>
            <w:gridSpan w:val="6"/>
            <w:shd w:val="clear" w:color="auto" w:fill="D9D9D9" w:themeFill="background1" w:themeFillShade="D9"/>
            <w:hideMark/>
          </w:tcPr>
          <w:p w:rsidR="00C76863" w:rsidRPr="00FE4F1C" w:rsidRDefault="009630C5" w:rsidP="00FE4F1C">
            <w:pPr>
              <w:jc w:val="both"/>
              <w:rPr>
                <w:b/>
                <w:bCs/>
                <w:iCs/>
                <w:sz w:val="28"/>
                <w:szCs w:val="28"/>
              </w:rPr>
            </w:pPr>
            <w:r>
              <w:rPr>
                <w:b/>
                <w:sz w:val="28"/>
                <w:szCs w:val="28"/>
                <w:u w:val="single"/>
              </w:rPr>
              <w:t>3</w:t>
            </w:r>
            <w:r w:rsidR="001050E3">
              <w:rPr>
                <w:b/>
                <w:sz w:val="28"/>
                <w:szCs w:val="28"/>
                <w:u w:val="single"/>
              </w:rPr>
              <w:t>.2</w:t>
            </w:r>
            <w:r w:rsidR="00FE4F1C">
              <w:rPr>
                <w:b/>
                <w:sz w:val="28"/>
                <w:szCs w:val="28"/>
                <w:u w:val="single"/>
              </w:rPr>
              <w:t>.</w:t>
            </w:r>
            <w:r w:rsidR="00C76863" w:rsidRPr="00FE4F1C">
              <w:rPr>
                <w:b/>
                <w:sz w:val="28"/>
                <w:szCs w:val="28"/>
                <w:u w:val="single"/>
              </w:rPr>
              <w:t xml:space="preserve">  Satiksmes dalībn</w:t>
            </w:r>
            <w:r w:rsidR="00E23D60">
              <w:rPr>
                <w:b/>
                <w:sz w:val="28"/>
                <w:szCs w:val="28"/>
                <w:u w:val="single"/>
              </w:rPr>
              <w:t>ieku izglītošana un informēšana</w:t>
            </w:r>
          </w:p>
          <w:p w:rsidR="007849E0" w:rsidRPr="007849E0" w:rsidRDefault="007849E0" w:rsidP="00A70D56">
            <w:pPr>
              <w:ind w:firstLine="426"/>
              <w:jc w:val="both"/>
              <w:rPr>
                <w:rFonts w:cs="Times New Roman"/>
                <w:b/>
                <w:color w:val="000000" w:themeColor="text1"/>
                <w:sz w:val="20"/>
                <w:szCs w:val="20"/>
                <w:u w:val="single"/>
              </w:rPr>
            </w:pPr>
          </w:p>
        </w:tc>
      </w:tr>
      <w:tr w:rsidR="00DC57D4" w:rsidRPr="00532F00" w:rsidTr="001050E3">
        <w:trPr>
          <w:trHeight w:val="766"/>
        </w:trPr>
        <w:tc>
          <w:tcPr>
            <w:tcW w:w="478"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bCs/>
                <w:color w:val="000000" w:themeColor="text1"/>
                <w:sz w:val="20"/>
                <w:szCs w:val="20"/>
              </w:rPr>
              <w:t>Nr.</w:t>
            </w:r>
          </w:p>
        </w:tc>
        <w:tc>
          <w:tcPr>
            <w:tcW w:w="3716"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color w:val="000000" w:themeColor="text1"/>
                <w:sz w:val="20"/>
                <w:szCs w:val="20"/>
              </w:rPr>
              <w:t>Pasākums</w:t>
            </w:r>
          </w:p>
        </w:tc>
        <w:tc>
          <w:tcPr>
            <w:tcW w:w="2794"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color w:val="000000" w:themeColor="text1"/>
                <w:sz w:val="20"/>
                <w:szCs w:val="20"/>
              </w:rPr>
              <w:t>Darbības rezultāts</w:t>
            </w:r>
          </w:p>
        </w:tc>
        <w:tc>
          <w:tcPr>
            <w:tcW w:w="2805"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color w:val="000000" w:themeColor="text1"/>
                <w:sz w:val="20"/>
                <w:szCs w:val="20"/>
              </w:rPr>
              <w:t>Rezultatīvais rādītājs</w:t>
            </w:r>
          </w:p>
        </w:tc>
        <w:tc>
          <w:tcPr>
            <w:tcW w:w="1131"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color w:val="000000" w:themeColor="text1"/>
                <w:sz w:val="20"/>
                <w:szCs w:val="20"/>
              </w:rPr>
              <w:t>Atbildīgā institūcija</w:t>
            </w:r>
          </w:p>
        </w:tc>
        <w:tc>
          <w:tcPr>
            <w:tcW w:w="1416"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color w:val="000000" w:themeColor="text1"/>
                <w:sz w:val="20"/>
                <w:szCs w:val="20"/>
              </w:rPr>
              <w:t>Līdzatbildīgās institūcijas</w:t>
            </w:r>
          </w:p>
        </w:tc>
        <w:tc>
          <w:tcPr>
            <w:tcW w:w="1417" w:type="dxa"/>
            <w:shd w:val="clear" w:color="auto" w:fill="D9D9D9" w:themeFill="background1" w:themeFillShade="D9"/>
            <w:hideMark/>
          </w:tcPr>
          <w:p w:rsidR="007849E0" w:rsidRPr="007849E0" w:rsidRDefault="007849E0" w:rsidP="00756DBE">
            <w:pPr>
              <w:jc w:val="both"/>
              <w:rPr>
                <w:rFonts w:cs="Times New Roman"/>
                <w:color w:val="000000" w:themeColor="text1"/>
                <w:sz w:val="20"/>
                <w:szCs w:val="20"/>
              </w:rPr>
            </w:pPr>
            <w:r w:rsidRPr="007849E0">
              <w:rPr>
                <w:rFonts w:cs="Times New Roman"/>
                <w:color w:val="000000" w:themeColor="text1"/>
                <w:sz w:val="20"/>
                <w:szCs w:val="20"/>
              </w:rPr>
              <w:t>Izpildes termiņš</w:t>
            </w:r>
          </w:p>
        </w:tc>
        <w:tc>
          <w:tcPr>
            <w:tcW w:w="2119" w:type="dxa"/>
            <w:shd w:val="clear" w:color="auto" w:fill="D9D9D9" w:themeFill="background1" w:themeFillShade="D9"/>
          </w:tcPr>
          <w:p w:rsidR="007849E0" w:rsidRPr="007849E0" w:rsidRDefault="007849E0" w:rsidP="00756DBE">
            <w:pPr>
              <w:jc w:val="both"/>
              <w:rPr>
                <w:rFonts w:cs="Times New Roman"/>
                <w:color w:val="000000" w:themeColor="text1"/>
                <w:sz w:val="20"/>
                <w:szCs w:val="20"/>
              </w:rPr>
            </w:pPr>
            <w:r>
              <w:rPr>
                <w:rFonts w:eastAsia="Times New Roman" w:cs="Times New Roman"/>
                <w:color w:val="000000"/>
                <w:kern w:val="24"/>
                <w:sz w:val="20"/>
                <w:szCs w:val="20"/>
                <w:lang w:eastAsia="lv-LV"/>
              </w:rPr>
              <w:t>Nepieciešamais finansējums</w:t>
            </w:r>
            <w:r w:rsidR="009E3114">
              <w:rPr>
                <w:rFonts w:eastAsia="Times New Roman" w:cs="Times New Roman"/>
                <w:color w:val="000000"/>
                <w:kern w:val="24"/>
                <w:sz w:val="20"/>
                <w:szCs w:val="20"/>
                <w:lang w:eastAsia="lv-LV"/>
              </w:rPr>
              <w:t xml:space="preserve"> (</w:t>
            </w:r>
            <w:proofErr w:type="spellStart"/>
            <w:r w:rsidR="009E3114" w:rsidRPr="009E3114">
              <w:rPr>
                <w:rFonts w:eastAsia="Times New Roman" w:cs="Times New Roman"/>
                <w:i/>
                <w:color w:val="000000"/>
                <w:kern w:val="24"/>
                <w:sz w:val="20"/>
                <w:szCs w:val="20"/>
                <w:lang w:eastAsia="lv-LV"/>
              </w:rPr>
              <w:t>euro</w:t>
            </w:r>
            <w:proofErr w:type="spellEnd"/>
            <w:r w:rsidR="009E3114">
              <w:rPr>
                <w:rFonts w:eastAsia="Times New Roman" w:cs="Times New Roman"/>
                <w:color w:val="000000"/>
                <w:kern w:val="24"/>
                <w:sz w:val="20"/>
                <w:szCs w:val="20"/>
                <w:lang w:eastAsia="lv-LV"/>
              </w:rPr>
              <w:t>)</w:t>
            </w:r>
            <w:r>
              <w:rPr>
                <w:rFonts w:eastAsia="Times New Roman" w:cs="Times New Roman"/>
                <w:color w:val="000000"/>
                <w:kern w:val="24"/>
                <w:sz w:val="20"/>
                <w:szCs w:val="20"/>
                <w:lang w:eastAsia="lv-LV"/>
              </w:rPr>
              <w:t xml:space="preserve"> un tā avoti</w:t>
            </w:r>
          </w:p>
        </w:tc>
      </w:tr>
      <w:tr w:rsidR="00C76863" w:rsidRPr="00532F00" w:rsidTr="001050E3">
        <w:trPr>
          <w:trHeight w:val="830"/>
        </w:trPr>
        <w:tc>
          <w:tcPr>
            <w:tcW w:w="15876" w:type="dxa"/>
            <w:gridSpan w:val="8"/>
          </w:tcPr>
          <w:p w:rsidR="00C76863" w:rsidRDefault="00C76863" w:rsidP="00A70D56">
            <w:pPr>
              <w:ind w:firstLine="426"/>
              <w:jc w:val="both"/>
              <w:rPr>
                <w:rFonts w:cs="Times New Roman"/>
                <w:color w:val="FF0000"/>
                <w:sz w:val="20"/>
                <w:szCs w:val="20"/>
                <w:highlight w:val="yellow"/>
              </w:rPr>
            </w:pPr>
          </w:p>
          <w:p w:rsidR="00C76863" w:rsidRPr="00E47DC6" w:rsidRDefault="009630C5" w:rsidP="00FE4F1C">
            <w:pPr>
              <w:jc w:val="both"/>
              <w:rPr>
                <w:rFonts w:cs="Times New Roman"/>
                <w:b/>
                <w:i/>
                <w:color w:val="000000" w:themeColor="text1"/>
                <w:highlight w:val="yellow"/>
                <w:u w:val="single"/>
              </w:rPr>
            </w:pPr>
            <w:r>
              <w:rPr>
                <w:rFonts w:cs="Times New Roman"/>
                <w:b/>
                <w:i/>
                <w:color w:val="000000" w:themeColor="text1"/>
                <w:u w:val="single"/>
              </w:rPr>
              <w:t>3</w:t>
            </w:r>
            <w:r w:rsidR="001050E3">
              <w:rPr>
                <w:rFonts w:cs="Times New Roman"/>
                <w:b/>
                <w:i/>
                <w:color w:val="000000" w:themeColor="text1"/>
                <w:u w:val="single"/>
              </w:rPr>
              <w:t>.2</w:t>
            </w:r>
            <w:r w:rsidR="00E47DC6" w:rsidRPr="00E47DC6">
              <w:rPr>
                <w:rFonts w:cs="Times New Roman"/>
                <w:b/>
                <w:i/>
                <w:color w:val="000000" w:themeColor="text1"/>
                <w:u w:val="single"/>
              </w:rPr>
              <w:t>.</w:t>
            </w:r>
            <w:r w:rsidR="00FE4F1C">
              <w:rPr>
                <w:rFonts w:cs="Times New Roman"/>
                <w:b/>
                <w:i/>
                <w:color w:val="000000" w:themeColor="text1"/>
                <w:u w:val="single"/>
              </w:rPr>
              <w:t>1</w:t>
            </w:r>
            <w:r w:rsidR="00E47DC6" w:rsidRPr="00E47DC6">
              <w:rPr>
                <w:rFonts w:cs="Times New Roman"/>
                <w:b/>
                <w:i/>
                <w:color w:val="000000" w:themeColor="text1"/>
                <w:u w:val="single"/>
              </w:rPr>
              <w:t>. Satiksmes dalībnieku izglītošanas pasākumi</w:t>
            </w:r>
          </w:p>
        </w:tc>
      </w:tr>
      <w:tr w:rsidR="00DC57D4" w:rsidRPr="00532F00" w:rsidTr="001050E3">
        <w:trPr>
          <w:trHeight w:val="1378"/>
        </w:trPr>
        <w:tc>
          <w:tcPr>
            <w:tcW w:w="478" w:type="dxa"/>
          </w:tcPr>
          <w:p w:rsidR="00451B99" w:rsidRPr="004351CE" w:rsidRDefault="00451B99" w:rsidP="00451B99">
            <w:pPr>
              <w:jc w:val="both"/>
              <w:rPr>
                <w:rFonts w:cs="Times New Roman"/>
                <w:bCs/>
                <w:color w:val="000000" w:themeColor="text1"/>
                <w:sz w:val="20"/>
                <w:szCs w:val="20"/>
              </w:rPr>
            </w:pPr>
            <w:r w:rsidRPr="004351CE">
              <w:rPr>
                <w:rFonts w:cs="Times New Roman"/>
                <w:bCs/>
                <w:color w:val="000000" w:themeColor="text1"/>
                <w:sz w:val="20"/>
                <w:szCs w:val="20"/>
              </w:rPr>
              <w:lastRenderedPageBreak/>
              <w:t>1.</w:t>
            </w:r>
          </w:p>
        </w:tc>
        <w:tc>
          <w:tcPr>
            <w:tcW w:w="3716" w:type="dxa"/>
          </w:tcPr>
          <w:p w:rsidR="00451B99" w:rsidRPr="00A6562D" w:rsidRDefault="00451B99" w:rsidP="007754C1">
            <w:pPr>
              <w:jc w:val="both"/>
              <w:rPr>
                <w:rFonts w:cs="Times New Roman"/>
                <w:color w:val="000000" w:themeColor="text1"/>
                <w:sz w:val="20"/>
                <w:szCs w:val="20"/>
              </w:rPr>
            </w:pPr>
            <w:r w:rsidRPr="00A6562D">
              <w:rPr>
                <w:rFonts w:cs="Times New Roman"/>
                <w:color w:val="000000" w:themeColor="text1"/>
                <w:sz w:val="20"/>
                <w:szCs w:val="20"/>
              </w:rPr>
              <w:t xml:space="preserve">Nodrošināt izglītojošo pasākumu norisi pirmsskolas un </w:t>
            </w:r>
            <w:r w:rsidR="007754C1">
              <w:rPr>
                <w:rFonts w:cs="Times New Roman"/>
                <w:color w:val="000000" w:themeColor="text1"/>
                <w:sz w:val="20"/>
                <w:szCs w:val="20"/>
              </w:rPr>
              <w:t>pamatskolas</w:t>
            </w:r>
            <w:r w:rsidR="00F26525" w:rsidRPr="00A6562D">
              <w:rPr>
                <w:rFonts w:cs="Times New Roman"/>
                <w:color w:val="000000" w:themeColor="text1"/>
                <w:sz w:val="20"/>
                <w:szCs w:val="20"/>
              </w:rPr>
              <w:t xml:space="preserve"> skolēniem </w:t>
            </w:r>
            <w:r w:rsidRPr="00A6562D">
              <w:rPr>
                <w:rFonts w:cs="Times New Roman"/>
                <w:color w:val="000000" w:themeColor="text1"/>
                <w:sz w:val="20"/>
                <w:szCs w:val="20"/>
              </w:rPr>
              <w:t xml:space="preserve">par ceļu satiksmes drošības jautājumiem. </w:t>
            </w:r>
          </w:p>
        </w:tc>
        <w:tc>
          <w:tcPr>
            <w:tcW w:w="2794" w:type="dxa"/>
          </w:tcPr>
          <w:p w:rsidR="00451B99" w:rsidRPr="00A6562D" w:rsidRDefault="00F26525" w:rsidP="007754C1">
            <w:pPr>
              <w:jc w:val="both"/>
              <w:rPr>
                <w:rFonts w:cs="Times New Roman"/>
                <w:color w:val="000000" w:themeColor="text1"/>
                <w:sz w:val="20"/>
                <w:szCs w:val="20"/>
              </w:rPr>
            </w:pPr>
            <w:r w:rsidRPr="00A6562D">
              <w:rPr>
                <w:rFonts w:cs="Times New Roman"/>
                <w:color w:val="000000" w:themeColor="text1"/>
                <w:sz w:val="20"/>
                <w:szCs w:val="20"/>
              </w:rPr>
              <w:t xml:space="preserve">Īstenoti izglītojošie pasākumi </w:t>
            </w:r>
            <w:r w:rsidR="007754C1">
              <w:rPr>
                <w:rFonts w:cs="Times New Roman"/>
                <w:color w:val="000000" w:themeColor="text1"/>
                <w:sz w:val="20"/>
                <w:szCs w:val="20"/>
              </w:rPr>
              <w:t>pirmskolas un pamatskolas</w:t>
            </w:r>
            <w:r w:rsidRPr="00A6562D">
              <w:rPr>
                <w:rFonts w:cs="Times New Roman"/>
                <w:color w:val="000000" w:themeColor="text1"/>
                <w:sz w:val="20"/>
                <w:szCs w:val="20"/>
              </w:rPr>
              <w:t xml:space="preserve"> skolēniem.</w:t>
            </w:r>
          </w:p>
        </w:tc>
        <w:tc>
          <w:tcPr>
            <w:tcW w:w="2805" w:type="dxa"/>
          </w:tcPr>
          <w:p w:rsidR="00451B99" w:rsidRPr="00A6562D" w:rsidRDefault="009C7251" w:rsidP="007754C1">
            <w:pPr>
              <w:jc w:val="both"/>
              <w:rPr>
                <w:rFonts w:eastAsia="Times New Roman" w:cs="Times New Roman"/>
                <w:color w:val="000000" w:themeColor="text1"/>
                <w:sz w:val="20"/>
                <w:szCs w:val="20"/>
              </w:rPr>
            </w:pPr>
            <w:r w:rsidRPr="00A6562D">
              <w:rPr>
                <w:rFonts w:eastAsia="Times New Roman" w:cs="Times New Roman"/>
                <w:color w:val="000000" w:themeColor="text1"/>
                <w:sz w:val="20"/>
                <w:szCs w:val="20"/>
              </w:rPr>
              <w:t xml:space="preserve">Īstenoti </w:t>
            </w:r>
            <w:r w:rsidR="007754C1">
              <w:rPr>
                <w:rFonts w:eastAsia="Times New Roman" w:cs="Times New Roman"/>
                <w:color w:val="000000" w:themeColor="text1"/>
                <w:sz w:val="20"/>
                <w:szCs w:val="20"/>
              </w:rPr>
              <w:t>4</w:t>
            </w:r>
            <w:r w:rsidRPr="00A6562D">
              <w:rPr>
                <w:rFonts w:eastAsia="Times New Roman" w:cs="Times New Roman"/>
                <w:color w:val="000000" w:themeColor="text1"/>
                <w:sz w:val="20"/>
                <w:szCs w:val="20"/>
              </w:rPr>
              <w:t xml:space="preserve"> pasākumi VISC Drošības nedēļas ietvaros.</w:t>
            </w:r>
          </w:p>
        </w:tc>
        <w:tc>
          <w:tcPr>
            <w:tcW w:w="1131" w:type="dxa"/>
          </w:tcPr>
          <w:p w:rsidR="00451B99" w:rsidRPr="00A6562D" w:rsidRDefault="00451B99" w:rsidP="00451B99">
            <w:pPr>
              <w:jc w:val="both"/>
              <w:rPr>
                <w:rFonts w:cs="Times New Roman"/>
                <w:color w:val="000000" w:themeColor="text1"/>
                <w:sz w:val="20"/>
                <w:szCs w:val="20"/>
              </w:rPr>
            </w:pPr>
            <w:r w:rsidRPr="00A6562D">
              <w:rPr>
                <w:rFonts w:cs="Times New Roman"/>
                <w:color w:val="000000" w:themeColor="text1"/>
                <w:sz w:val="20"/>
                <w:szCs w:val="20"/>
              </w:rPr>
              <w:t>IZM</w:t>
            </w:r>
          </w:p>
          <w:p w:rsidR="00451B99" w:rsidRPr="00A6562D" w:rsidRDefault="00F26525" w:rsidP="00451B99">
            <w:pPr>
              <w:jc w:val="both"/>
              <w:rPr>
                <w:rFonts w:cs="Times New Roman"/>
                <w:color w:val="000000" w:themeColor="text1"/>
                <w:sz w:val="20"/>
                <w:szCs w:val="20"/>
              </w:rPr>
            </w:pPr>
            <w:r w:rsidRPr="00A6562D">
              <w:rPr>
                <w:rFonts w:cs="Times New Roman"/>
                <w:color w:val="000000" w:themeColor="text1"/>
                <w:sz w:val="20"/>
                <w:szCs w:val="20"/>
              </w:rPr>
              <w:t>(</w:t>
            </w:r>
            <w:r w:rsidR="00451B99" w:rsidRPr="00A6562D">
              <w:rPr>
                <w:rFonts w:cs="Times New Roman"/>
                <w:color w:val="000000" w:themeColor="text1"/>
                <w:sz w:val="20"/>
                <w:szCs w:val="20"/>
              </w:rPr>
              <w:t>VISC</w:t>
            </w:r>
            <w:r w:rsidRPr="00A6562D">
              <w:rPr>
                <w:rFonts w:cs="Times New Roman"/>
                <w:color w:val="000000" w:themeColor="text1"/>
                <w:sz w:val="20"/>
                <w:szCs w:val="20"/>
              </w:rPr>
              <w:t>)</w:t>
            </w:r>
          </w:p>
        </w:tc>
        <w:tc>
          <w:tcPr>
            <w:tcW w:w="1416" w:type="dxa"/>
          </w:tcPr>
          <w:p w:rsidR="00451B99" w:rsidRPr="00A6562D" w:rsidRDefault="00451B99" w:rsidP="00451B99">
            <w:pPr>
              <w:jc w:val="both"/>
              <w:rPr>
                <w:rFonts w:cs="Times New Roman"/>
                <w:color w:val="000000" w:themeColor="text1"/>
                <w:sz w:val="20"/>
                <w:szCs w:val="20"/>
              </w:rPr>
            </w:pPr>
            <w:r w:rsidRPr="00A6562D">
              <w:rPr>
                <w:rFonts w:cs="Times New Roman"/>
                <w:color w:val="000000" w:themeColor="text1"/>
                <w:sz w:val="20"/>
                <w:szCs w:val="20"/>
              </w:rPr>
              <w:t>CSDD, SM, VP</w:t>
            </w:r>
          </w:p>
        </w:tc>
        <w:tc>
          <w:tcPr>
            <w:tcW w:w="1417" w:type="dxa"/>
          </w:tcPr>
          <w:p w:rsidR="00451B99" w:rsidRPr="00A6562D" w:rsidRDefault="00451B99" w:rsidP="00451B99">
            <w:pPr>
              <w:jc w:val="both"/>
              <w:rPr>
                <w:rFonts w:cs="Times New Roman"/>
                <w:color w:val="000000" w:themeColor="text1"/>
                <w:sz w:val="20"/>
                <w:szCs w:val="20"/>
              </w:rPr>
            </w:pPr>
            <w:r w:rsidRPr="00A6562D">
              <w:rPr>
                <w:rFonts w:cs="Times New Roman"/>
                <w:color w:val="000000" w:themeColor="text1"/>
                <w:sz w:val="20"/>
                <w:szCs w:val="20"/>
              </w:rPr>
              <w:t>31.12.2020.</w:t>
            </w:r>
          </w:p>
        </w:tc>
        <w:tc>
          <w:tcPr>
            <w:tcW w:w="2119" w:type="dxa"/>
          </w:tcPr>
          <w:p w:rsidR="00451B99" w:rsidRPr="00A6562D" w:rsidRDefault="009C7251" w:rsidP="00B86CD0">
            <w:pPr>
              <w:jc w:val="both"/>
              <w:rPr>
                <w:rFonts w:cs="Times New Roman"/>
                <w:color w:val="FF0000"/>
                <w:sz w:val="20"/>
                <w:szCs w:val="20"/>
              </w:rPr>
            </w:pPr>
            <w:r w:rsidRPr="00A6562D">
              <w:rPr>
                <w:rFonts w:cs="Times New Roman"/>
                <w:sz w:val="20"/>
                <w:szCs w:val="20"/>
              </w:rPr>
              <w:t>Valsts budžeta līdzekļi, esošā finansējuma ietvaros</w:t>
            </w:r>
          </w:p>
        </w:tc>
      </w:tr>
      <w:tr w:rsidR="00DC57D4" w:rsidRPr="00532F00" w:rsidTr="009D1429">
        <w:trPr>
          <w:trHeight w:val="1378"/>
        </w:trPr>
        <w:tc>
          <w:tcPr>
            <w:tcW w:w="478" w:type="dxa"/>
          </w:tcPr>
          <w:p w:rsidR="00F26525" w:rsidRPr="004351CE" w:rsidRDefault="007754C1" w:rsidP="00F26525">
            <w:pPr>
              <w:jc w:val="both"/>
              <w:rPr>
                <w:rFonts w:cs="Times New Roman"/>
                <w:bCs/>
                <w:color w:val="000000" w:themeColor="text1"/>
                <w:sz w:val="20"/>
                <w:szCs w:val="20"/>
              </w:rPr>
            </w:pPr>
            <w:r>
              <w:rPr>
                <w:rFonts w:cs="Times New Roman"/>
                <w:bCs/>
                <w:color w:val="000000" w:themeColor="text1"/>
                <w:sz w:val="20"/>
                <w:szCs w:val="20"/>
              </w:rPr>
              <w:t>2</w:t>
            </w:r>
            <w:r w:rsidR="00F26525" w:rsidRPr="004351CE">
              <w:rPr>
                <w:rFonts w:cs="Times New Roman"/>
                <w:bCs/>
                <w:color w:val="000000" w:themeColor="text1"/>
                <w:sz w:val="20"/>
                <w:szCs w:val="20"/>
              </w:rPr>
              <w:t xml:space="preserve">. </w:t>
            </w:r>
          </w:p>
        </w:tc>
        <w:tc>
          <w:tcPr>
            <w:tcW w:w="3716" w:type="dxa"/>
          </w:tcPr>
          <w:p w:rsidR="00F26525" w:rsidRPr="00A6562D" w:rsidDel="00E639A5" w:rsidRDefault="009C7251" w:rsidP="00F26525">
            <w:pPr>
              <w:jc w:val="both"/>
              <w:rPr>
                <w:rFonts w:cs="Times New Roman"/>
                <w:b/>
                <w:color w:val="000000" w:themeColor="text1"/>
                <w:sz w:val="20"/>
                <w:szCs w:val="20"/>
              </w:rPr>
            </w:pPr>
            <w:r w:rsidRPr="00A6562D">
              <w:rPr>
                <w:rFonts w:cs="Times New Roman"/>
                <w:color w:val="000000" w:themeColor="text1"/>
                <w:sz w:val="20"/>
                <w:szCs w:val="20"/>
              </w:rPr>
              <w:t>Veikt 10.-12.klašu skolēnu zināšanu un prasmju diagnostiku par ceļu satiksmes drošības jautājumiem.</w:t>
            </w:r>
          </w:p>
        </w:tc>
        <w:tc>
          <w:tcPr>
            <w:tcW w:w="2794" w:type="dxa"/>
          </w:tcPr>
          <w:p w:rsidR="00F26525" w:rsidRPr="00A6562D" w:rsidDel="00E639A5" w:rsidRDefault="00F26525" w:rsidP="00F26525">
            <w:pPr>
              <w:jc w:val="both"/>
              <w:rPr>
                <w:rFonts w:cs="Times New Roman"/>
                <w:b/>
                <w:color w:val="000000" w:themeColor="text1"/>
                <w:sz w:val="20"/>
                <w:szCs w:val="20"/>
              </w:rPr>
            </w:pPr>
            <w:r w:rsidRPr="00A6562D">
              <w:rPr>
                <w:rFonts w:cs="Times New Roman"/>
                <w:color w:val="000000" w:themeColor="text1"/>
                <w:sz w:val="20"/>
                <w:szCs w:val="20"/>
              </w:rPr>
              <w:t>Īstenoti izglītojošie pasākumi 10.-12.klašu skolēniem.</w:t>
            </w:r>
          </w:p>
        </w:tc>
        <w:tc>
          <w:tcPr>
            <w:tcW w:w="2805" w:type="dxa"/>
          </w:tcPr>
          <w:p w:rsidR="00F26525" w:rsidRPr="00A6562D" w:rsidDel="00E639A5" w:rsidRDefault="009C7251" w:rsidP="00226517">
            <w:pPr>
              <w:jc w:val="both"/>
              <w:rPr>
                <w:rFonts w:cs="Times New Roman"/>
                <w:b/>
                <w:color w:val="000000" w:themeColor="text1"/>
                <w:sz w:val="20"/>
                <w:szCs w:val="20"/>
              </w:rPr>
            </w:pPr>
            <w:r w:rsidRPr="00A6562D">
              <w:rPr>
                <w:rFonts w:eastAsia="Times New Roman" w:cs="Times New Roman"/>
                <w:color w:val="000000" w:themeColor="text1"/>
                <w:sz w:val="20"/>
                <w:szCs w:val="20"/>
              </w:rPr>
              <w:t xml:space="preserve">Īstenots 1diagnosticējošais darbs  un izstrādātas rekomendācijas ceļu satiksmes drošības jautājumu </w:t>
            </w:r>
            <w:r w:rsidR="00226517">
              <w:rPr>
                <w:rFonts w:eastAsia="Times New Roman" w:cs="Times New Roman"/>
                <w:color w:val="000000" w:themeColor="text1"/>
                <w:sz w:val="20"/>
                <w:szCs w:val="20"/>
              </w:rPr>
              <w:t>apguvē</w:t>
            </w:r>
            <w:r w:rsidRPr="00A6562D">
              <w:rPr>
                <w:rFonts w:eastAsia="Times New Roman" w:cs="Times New Roman"/>
                <w:color w:val="000000" w:themeColor="text1"/>
                <w:sz w:val="20"/>
                <w:szCs w:val="20"/>
              </w:rPr>
              <w:t xml:space="preserve"> izglītības iestādē.</w:t>
            </w:r>
          </w:p>
        </w:tc>
        <w:tc>
          <w:tcPr>
            <w:tcW w:w="1131"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IZM</w:t>
            </w:r>
          </w:p>
          <w:p w:rsidR="00F26525" w:rsidRPr="00A6562D" w:rsidRDefault="00F26525" w:rsidP="00F26525">
            <w:pPr>
              <w:jc w:val="both"/>
              <w:rPr>
                <w:rFonts w:cs="Times New Roman"/>
                <w:b/>
                <w:color w:val="000000" w:themeColor="text1"/>
                <w:sz w:val="20"/>
                <w:szCs w:val="20"/>
              </w:rPr>
            </w:pPr>
            <w:r w:rsidRPr="00A6562D">
              <w:rPr>
                <w:rFonts w:cs="Times New Roman"/>
                <w:color w:val="000000" w:themeColor="text1"/>
                <w:sz w:val="20"/>
                <w:szCs w:val="20"/>
              </w:rPr>
              <w:t>(VISC)</w:t>
            </w:r>
          </w:p>
        </w:tc>
        <w:tc>
          <w:tcPr>
            <w:tcW w:w="1416" w:type="dxa"/>
          </w:tcPr>
          <w:p w:rsidR="00F26525" w:rsidRPr="00A6562D" w:rsidRDefault="00F26525" w:rsidP="00F26525">
            <w:pPr>
              <w:jc w:val="both"/>
              <w:rPr>
                <w:rFonts w:cs="Times New Roman"/>
                <w:b/>
                <w:color w:val="000000" w:themeColor="text1"/>
                <w:sz w:val="20"/>
                <w:szCs w:val="20"/>
              </w:rPr>
            </w:pPr>
            <w:r w:rsidRPr="00A6562D">
              <w:rPr>
                <w:rFonts w:cs="Times New Roman"/>
                <w:color w:val="000000" w:themeColor="text1"/>
                <w:sz w:val="20"/>
                <w:szCs w:val="20"/>
              </w:rPr>
              <w:t>CSDD, SM, VP</w:t>
            </w:r>
          </w:p>
        </w:tc>
        <w:tc>
          <w:tcPr>
            <w:tcW w:w="1417" w:type="dxa"/>
          </w:tcPr>
          <w:p w:rsidR="00F26525" w:rsidRPr="00A6562D" w:rsidDel="00E639A5" w:rsidRDefault="00F26525" w:rsidP="00F26525">
            <w:pPr>
              <w:jc w:val="both"/>
              <w:rPr>
                <w:rFonts w:cs="Times New Roman"/>
                <w:b/>
                <w:color w:val="000000" w:themeColor="text1"/>
                <w:sz w:val="20"/>
                <w:szCs w:val="20"/>
              </w:rPr>
            </w:pPr>
            <w:r w:rsidRPr="00A6562D">
              <w:rPr>
                <w:rFonts w:cs="Times New Roman"/>
                <w:color w:val="000000" w:themeColor="text1"/>
                <w:sz w:val="20"/>
                <w:szCs w:val="20"/>
              </w:rPr>
              <w:t>31.12.2020.</w:t>
            </w:r>
          </w:p>
        </w:tc>
        <w:tc>
          <w:tcPr>
            <w:tcW w:w="2119" w:type="dxa"/>
            <w:shd w:val="clear" w:color="auto" w:fill="auto"/>
          </w:tcPr>
          <w:p w:rsidR="009C7251" w:rsidRPr="00A6562D" w:rsidRDefault="009C7251" w:rsidP="009C7251">
            <w:pPr>
              <w:ind w:left="-108" w:right="-125"/>
              <w:jc w:val="center"/>
              <w:rPr>
                <w:color w:val="000000"/>
                <w:sz w:val="20"/>
                <w:szCs w:val="20"/>
              </w:rPr>
            </w:pPr>
            <w:r w:rsidRPr="00A6562D">
              <w:rPr>
                <w:color w:val="000000"/>
                <w:sz w:val="20"/>
                <w:szCs w:val="20"/>
              </w:rPr>
              <w:t>OCTA līdzekļi</w:t>
            </w:r>
          </w:p>
          <w:p w:rsidR="00F26525" w:rsidRPr="00A6562D" w:rsidRDefault="009C7251" w:rsidP="009C7251">
            <w:pPr>
              <w:jc w:val="both"/>
              <w:rPr>
                <w:rFonts w:cs="Times New Roman"/>
                <w:color w:val="000000" w:themeColor="text1"/>
                <w:sz w:val="20"/>
                <w:szCs w:val="20"/>
              </w:rPr>
            </w:pPr>
            <w:r w:rsidRPr="00A6562D">
              <w:rPr>
                <w:rFonts w:cs="Times New Roman"/>
                <w:color w:val="000000" w:themeColor="text1"/>
                <w:sz w:val="20"/>
                <w:szCs w:val="20"/>
              </w:rPr>
              <w:t>14 000</w:t>
            </w:r>
          </w:p>
        </w:tc>
      </w:tr>
      <w:tr w:rsidR="00DC57D4" w:rsidRPr="00532F00" w:rsidTr="009D1429">
        <w:trPr>
          <w:trHeight w:val="1378"/>
        </w:trPr>
        <w:tc>
          <w:tcPr>
            <w:tcW w:w="478" w:type="dxa"/>
          </w:tcPr>
          <w:p w:rsidR="00F26525" w:rsidRPr="001050E3" w:rsidRDefault="00D64524" w:rsidP="00F26525">
            <w:pPr>
              <w:jc w:val="both"/>
              <w:rPr>
                <w:rFonts w:cs="Times New Roman"/>
                <w:bCs/>
                <w:color w:val="000000" w:themeColor="text1"/>
                <w:sz w:val="20"/>
                <w:szCs w:val="20"/>
              </w:rPr>
            </w:pPr>
            <w:r>
              <w:rPr>
                <w:rFonts w:cs="Times New Roman"/>
                <w:bCs/>
                <w:color w:val="000000" w:themeColor="text1"/>
                <w:sz w:val="20"/>
                <w:szCs w:val="20"/>
              </w:rPr>
              <w:t>3</w:t>
            </w:r>
            <w:r w:rsidR="00F26525" w:rsidRPr="001050E3">
              <w:rPr>
                <w:rFonts w:cs="Times New Roman"/>
                <w:bCs/>
                <w:color w:val="000000" w:themeColor="text1"/>
                <w:sz w:val="20"/>
                <w:szCs w:val="20"/>
              </w:rPr>
              <w:t>.</w:t>
            </w:r>
          </w:p>
        </w:tc>
        <w:tc>
          <w:tcPr>
            <w:tcW w:w="3716"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Nodrošināt pedagogu profesionālās kompetences pilnveides semināru norisi un pedagogu labās prakses pieredzes popularizēšanu par ceļu satiksmes drošības jautājumu apguvi mācību saturā.</w:t>
            </w:r>
          </w:p>
        </w:tc>
        <w:tc>
          <w:tcPr>
            <w:tcW w:w="2794"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 xml:space="preserve">Notikuši semināri pedagogu profesionālā pilnveidē par mācību saturā ietverto </w:t>
            </w:r>
          </w:p>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ceļu satiksmes drošības jautājumu apguvi vispārējā izglītībā.</w:t>
            </w:r>
          </w:p>
        </w:tc>
        <w:tc>
          <w:tcPr>
            <w:tcW w:w="2805" w:type="dxa"/>
          </w:tcPr>
          <w:p w:rsidR="00F26525" w:rsidRPr="00A6562D" w:rsidRDefault="009C7251" w:rsidP="00F26525">
            <w:pPr>
              <w:jc w:val="both"/>
              <w:rPr>
                <w:rFonts w:cs="Times New Roman"/>
                <w:color w:val="000000" w:themeColor="text1"/>
                <w:sz w:val="20"/>
                <w:szCs w:val="20"/>
              </w:rPr>
            </w:pPr>
            <w:r w:rsidRPr="00A6562D">
              <w:rPr>
                <w:rFonts w:eastAsia="Times New Roman" w:cs="Times New Roman"/>
                <w:color w:val="000000" w:themeColor="text1"/>
                <w:sz w:val="20"/>
                <w:szCs w:val="20"/>
              </w:rPr>
              <w:t>Īstenoti 5 pasākumi.</w:t>
            </w:r>
          </w:p>
        </w:tc>
        <w:tc>
          <w:tcPr>
            <w:tcW w:w="1131"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IZM</w:t>
            </w:r>
          </w:p>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(VISC)</w:t>
            </w:r>
          </w:p>
        </w:tc>
        <w:tc>
          <w:tcPr>
            <w:tcW w:w="1416"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SM, CSDD, VP</w:t>
            </w:r>
          </w:p>
        </w:tc>
        <w:tc>
          <w:tcPr>
            <w:tcW w:w="1417"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31.12.2020.</w:t>
            </w:r>
          </w:p>
        </w:tc>
        <w:tc>
          <w:tcPr>
            <w:tcW w:w="2119" w:type="dxa"/>
            <w:shd w:val="clear" w:color="auto" w:fill="auto"/>
          </w:tcPr>
          <w:p w:rsidR="009C7251" w:rsidRPr="00A6562D" w:rsidRDefault="009C7251" w:rsidP="009C7251">
            <w:pPr>
              <w:ind w:left="-108" w:right="-125"/>
              <w:jc w:val="center"/>
              <w:rPr>
                <w:color w:val="000000"/>
                <w:sz w:val="20"/>
                <w:szCs w:val="20"/>
              </w:rPr>
            </w:pPr>
            <w:r w:rsidRPr="00A6562D">
              <w:rPr>
                <w:color w:val="000000"/>
                <w:sz w:val="20"/>
                <w:szCs w:val="20"/>
              </w:rPr>
              <w:t>OCTA līdzekļi</w:t>
            </w:r>
          </w:p>
          <w:p w:rsidR="00F26525" w:rsidRPr="00A6562D" w:rsidRDefault="009C7251" w:rsidP="009C7251">
            <w:pPr>
              <w:jc w:val="both"/>
              <w:rPr>
                <w:rFonts w:cs="Times New Roman"/>
                <w:color w:val="000000" w:themeColor="text1"/>
                <w:sz w:val="20"/>
                <w:szCs w:val="20"/>
              </w:rPr>
            </w:pPr>
            <w:r w:rsidRPr="00A6562D">
              <w:rPr>
                <w:rFonts w:cs="Times New Roman"/>
                <w:color w:val="000000" w:themeColor="text1"/>
                <w:sz w:val="20"/>
                <w:szCs w:val="20"/>
              </w:rPr>
              <w:t>5 000</w:t>
            </w:r>
          </w:p>
        </w:tc>
      </w:tr>
      <w:tr w:rsidR="00DC57D4" w:rsidRPr="00532F00" w:rsidTr="001050E3">
        <w:trPr>
          <w:trHeight w:val="1378"/>
        </w:trPr>
        <w:tc>
          <w:tcPr>
            <w:tcW w:w="478" w:type="dxa"/>
          </w:tcPr>
          <w:p w:rsidR="00F26525" w:rsidRPr="001050E3" w:rsidRDefault="00D64524" w:rsidP="00F26525">
            <w:pPr>
              <w:jc w:val="both"/>
              <w:rPr>
                <w:rFonts w:cs="Times New Roman"/>
                <w:bCs/>
                <w:color w:val="000000" w:themeColor="text1"/>
                <w:sz w:val="20"/>
                <w:szCs w:val="20"/>
              </w:rPr>
            </w:pPr>
            <w:r>
              <w:rPr>
                <w:rFonts w:cs="Times New Roman"/>
                <w:bCs/>
                <w:color w:val="000000" w:themeColor="text1"/>
                <w:sz w:val="20"/>
                <w:szCs w:val="20"/>
              </w:rPr>
              <w:t>4</w:t>
            </w:r>
            <w:r w:rsidR="00F26525" w:rsidRPr="001050E3">
              <w:rPr>
                <w:rFonts w:cs="Times New Roman"/>
                <w:bCs/>
                <w:color w:val="000000" w:themeColor="text1"/>
                <w:sz w:val="20"/>
                <w:szCs w:val="20"/>
              </w:rPr>
              <w:t>.</w:t>
            </w:r>
          </w:p>
        </w:tc>
        <w:tc>
          <w:tcPr>
            <w:tcW w:w="3716" w:type="dxa"/>
          </w:tcPr>
          <w:p w:rsidR="00D64524" w:rsidRDefault="00226517" w:rsidP="00D64524">
            <w:pPr>
              <w:jc w:val="both"/>
              <w:rPr>
                <w:rFonts w:cs="Times New Roman"/>
                <w:color w:val="000000" w:themeColor="text1"/>
                <w:sz w:val="20"/>
                <w:szCs w:val="20"/>
              </w:rPr>
            </w:pPr>
            <w:r>
              <w:rPr>
                <w:rFonts w:cs="Times New Roman"/>
                <w:color w:val="000000" w:themeColor="text1"/>
                <w:sz w:val="20"/>
                <w:szCs w:val="20"/>
              </w:rPr>
              <w:t>Nodrošināt, ka</w:t>
            </w:r>
            <w:r w:rsidR="00D64524">
              <w:rPr>
                <w:rFonts w:cs="Times New Roman"/>
                <w:color w:val="000000" w:themeColor="text1"/>
                <w:sz w:val="20"/>
                <w:szCs w:val="20"/>
              </w:rPr>
              <w:t xml:space="preserve"> vispā</w:t>
            </w:r>
            <w:r>
              <w:rPr>
                <w:rFonts w:cs="Times New Roman"/>
                <w:color w:val="000000" w:themeColor="text1"/>
                <w:sz w:val="20"/>
                <w:szCs w:val="20"/>
              </w:rPr>
              <w:t>rējā izglītības</w:t>
            </w:r>
            <w:r w:rsidR="00D64524">
              <w:rPr>
                <w:rFonts w:cs="Times New Roman"/>
                <w:color w:val="000000" w:themeColor="text1"/>
                <w:sz w:val="20"/>
                <w:szCs w:val="20"/>
              </w:rPr>
              <w:t xml:space="preserve"> saturā</w:t>
            </w:r>
            <w:r>
              <w:rPr>
                <w:rFonts w:cs="Times New Roman"/>
                <w:color w:val="000000" w:themeColor="text1"/>
                <w:sz w:val="20"/>
                <w:szCs w:val="20"/>
              </w:rPr>
              <w:t xml:space="preserve"> tiek iekļauts</w:t>
            </w:r>
            <w:r w:rsidR="00D64524">
              <w:rPr>
                <w:rFonts w:cs="Times New Roman"/>
                <w:color w:val="000000" w:themeColor="text1"/>
                <w:sz w:val="20"/>
                <w:szCs w:val="20"/>
              </w:rPr>
              <w:t xml:space="preserve"> </w:t>
            </w:r>
            <w:proofErr w:type="spellStart"/>
            <w:r w:rsidR="00D64524">
              <w:rPr>
                <w:rFonts w:cs="Times New Roman"/>
                <w:color w:val="000000" w:themeColor="text1"/>
                <w:sz w:val="20"/>
                <w:szCs w:val="20"/>
              </w:rPr>
              <w:t>cilvēkdrošības</w:t>
            </w:r>
            <w:proofErr w:type="spellEnd"/>
            <w:r w:rsidR="00D64524">
              <w:rPr>
                <w:rFonts w:cs="Times New Roman"/>
                <w:color w:val="000000" w:themeColor="text1"/>
                <w:sz w:val="20"/>
                <w:szCs w:val="20"/>
              </w:rPr>
              <w:t xml:space="preserve"> moduli</w:t>
            </w:r>
            <w:r>
              <w:rPr>
                <w:rFonts w:cs="Times New Roman"/>
                <w:color w:val="000000" w:themeColor="text1"/>
                <w:sz w:val="20"/>
                <w:szCs w:val="20"/>
              </w:rPr>
              <w:t>s</w:t>
            </w:r>
            <w:r w:rsidR="00D64524">
              <w:rPr>
                <w:rFonts w:cs="Times New Roman"/>
                <w:color w:val="000000" w:themeColor="text1"/>
                <w:sz w:val="20"/>
                <w:szCs w:val="20"/>
              </w:rPr>
              <w:t xml:space="preserve">, </w:t>
            </w:r>
            <w:r>
              <w:rPr>
                <w:rFonts w:cs="Times New Roman"/>
                <w:color w:val="000000" w:themeColor="text1"/>
                <w:sz w:val="20"/>
                <w:szCs w:val="20"/>
              </w:rPr>
              <w:t xml:space="preserve">kurā ietverti </w:t>
            </w:r>
            <w:r w:rsidR="00D64524">
              <w:rPr>
                <w:rFonts w:cs="Times New Roman"/>
                <w:color w:val="000000" w:themeColor="text1"/>
                <w:sz w:val="20"/>
                <w:szCs w:val="20"/>
              </w:rPr>
              <w:t>ce</w:t>
            </w:r>
            <w:r>
              <w:rPr>
                <w:rFonts w:cs="Times New Roman"/>
                <w:color w:val="000000" w:themeColor="text1"/>
                <w:sz w:val="20"/>
                <w:szCs w:val="20"/>
              </w:rPr>
              <w:t>ļu satiksmes drošības jautājumi</w:t>
            </w:r>
            <w:r w:rsidR="00D64524">
              <w:rPr>
                <w:rFonts w:cs="Times New Roman"/>
                <w:color w:val="000000" w:themeColor="text1"/>
                <w:sz w:val="20"/>
                <w:szCs w:val="20"/>
              </w:rPr>
              <w:t>.</w:t>
            </w:r>
          </w:p>
          <w:p w:rsidR="00F26525" w:rsidRPr="00A6562D" w:rsidRDefault="00F26525" w:rsidP="009C7251">
            <w:pPr>
              <w:jc w:val="both"/>
              <w:rPr>
                <w:rFonts w:cs="Times New Roman"/>
                <w:color w:val="000000" w:themeColor="text1"/>
                <w:sz w:val="20"/>
                <w:szCs w:val="20"/>
              </w:rPr>
            </w:pPr>
          </w:p>
        </w:tc>
        <w:tc>
          <w:tcPr>
            <w:tcW w:w="2794" w:type="dxa"/>
          </w:tcPr>
          <w:p w:rsidR="00F26525" w:rsidRPr="00A6562D" w:rsidRDefault="00F26525" w:rsidP="00F26525">
            <w:pPr>
              <w:jc w:val="both"/>
              <w:rPr>
                <w:rFonts w:cs="Times New Roman"/>
                <w:color w:val="000000" w:themeColor="text1"/>
                <w:sz w:val="20"/>
                <w:szCs w:val="20"/>
              </w:rPr>
            </w:pPr>
            <w:r w:rsidRPr="00A6562D">
              <w:rPr>
                <w:rFonts w:cs="Times New Roman"/>
                <w:sz w:val="20"/>
                <w:szCs w:val="20"/>
              </w:rPr>
              <w:t>Veicināta harmoniskas, radošas, sociāli aktīvas un atbildīgas personības attīstība.</w:t>
            </w:r>
          </w:p>
        </w:tc>
        <w:tc>
          <w:tcPr>
            <w:tcW w:w="2805" w:type="dxa"/>
          </w:tcPr>
          <w:p w:rsidR="00F26525" w:rsidRPr="00A6562D" w:rsidRDefault="00226517" w:rsidP="00F26525">
            <w:pPr>
              <w:jc w:val="both"/>
              <w:rPr>
                <w:rFonts w:eastAsia="Times New Roman" w:cs="Times New Roman"/>
                <w:sz w:val="20"/>
                <w:szCs w:val="20"/>
              </w:rPr>
            </w:pPr>
            <w:r>
              <w:rPr>
                <w:rFonts w:eastAsia="Times New Roman" w:cs="Times New Roman"/>
                <w:color w:val="000000" w:themeColor="text1"/>
                <w:sz w:val="20"/>
                <w:szCs w:val="20"/>
              </w:rPr>
              <w:t>Īstenoti pasākumi (pasākumu</w:t>
            </w:r>
            <w:r w:rsidR="00A6562D" w:rsidRPr="00A6562D">
              <w:rPr>
                <w:rFonts w:eastAsia="Times New Roman" w:cs="Times New Roman"/>
                <w:color w:val="000000" w:themeColor="text1"/>
                <w:sz w:val="20"/>
                <w:szCs w:val="20"/>
              </w:rPr>
              <w:t xml:space="preserve"> skaits atkarīgs no pieprasījuma).</w:t>
            </w:r>
          </w:p>
        </w:tc>
        <w:tc>
          <w:tcPr>
            <w:tcW w:w="1131"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VISC</w:t>
            </w:r>
          </w:p>
          <w:p w:rsidR="00F26525" w:rsidRPr="00A6562D" w:rsidRDefault="00F26525" w:rsidP="00F26525">
            <w:pPr>
              <w:ind w:firstLine="426"/>
              <w:jc w:val="both"/>
              <w:rPr>
                <w:rFonts w:cs="Times New Roman"/>
                <w:color w:val="000000" w:themeColor="text1"/>
                <w:sz w:val="20"/>
                <w:szCs w:val="20"/>
              </w:rPr>
            </w:pPr>
          </w:p>
        </w:tc>
        <w:tc>
          <w:tcPr>
            <w:tcW w:w="1416" w:type="dxa"/>
          </w:tcPr>
          <w:p w:rsidR="00F26525" w:rsidRPr="00A6562D" w:rsidRDefault="00F26525" w:rsidP="00F26525">
            <w:pPr>
              <w:jc w:val="both"/>
              <w:rPr>
                <w:rFonts w:cs="Times New Roman"/>
                <w:color w:val="000000" w:themeColor="text1"/>
                <w:sz w:val="20"/>
                <w:szCs w:val="20"/>
              </w:rPr>
            </w:pPr>
            <w:r w:rsidRPr="00A6562D">
              <w:rPr>
                <w:rFonts w:cs="Times New Roman"/>
                <w:color w:val="000000" w:themeColor="text1"/>
                <w:sz w:val="20"/>
                <w:szCs w:val="20"/>
              </w:rPr>
              <w:t>SM, CSDD, VP</w:t>
            </w:r>
          </w:p>
        </w:tc>
        <w:tc>
          <w:tcPr>
            <w:tcW w:w="1417" w:type="dxa"/>
          </w:tcPr>
          <w:p w:rsidR="00F26525" w:rsidRPr="00A6562D" w:rsidRDefault="00123CD4" w:rsidP="00F26525">
            <w:pPr>
              <w:jc w:val="both"/>
              <w:rPr>
                <w:rFonts w:cs="Times New Roman"/>
                <w:color w:val="000000" w:themeColor="text1"/>
                <w:sz w:val="20"/>
                <w:szCs w:val="20"/>
              </w:rPr>
            </w:pPr>
            <w:r>
              <w:rPr>
                <w:rFonts w:cs="Times New Roman"/>
                <w:color w:val="000000" w:themeColor="text1"/>
                <w:sz w:val="20"/>
                <w:szCs w:val="20"/>
              </w:rPr>
              <w:t>31.12.2020</w:t>
            </w:r>
            <w:r w:rsidR="00A6562D" w:rsidRPr="00A6562D">
              <w:rPr>
                <w:rFonts w:cs="Times New Roman"/>
                <w:color w:val="000000" w:themeColor="text1"/>
                <w:sz w:val="20"/>
                <w:szCs w:val="20"/>
              </w:rPr>
              <w:t>.</w:t>
            </w:r>
          </w:p>
        </w:tc>
        <w:tc>
          <w:tcPr>
            <w:tcW w:w="2119" w:type="dxa"/>
          </w:tcPr>
          <w:p w:rsidR="00F26525" w:rsidRPr="00A6562D" w:rsidRDefault="00123CD4" w:rsidP="00B86CD0">
            <w:pPr>
              <w:jc w:val="both"/>
              <w:rPr>
                <w:rFonts w:cs="Times New Roman"/>
                <w:color w:val="000000" w:themeColor="text1"/>
                <w:sz w:val="20"/>
                <w:szCs w:val="20"/>
              </w:rPr>
            </w:pPr>
            <w:r>
              <w:rPr>
                <w:rFonts w:cs="Times New Roman"/>
                <w:sz w:val="20"/>
                <w:szCs w:val="20"/>
              </w:rPr>
              <w:t>S</w:t>
            </w:r>
            <w:r w:rsidR="00226517">
              <w:rPr>
                <w:rFonts w:cs="Times New Roman"/>
                <w:sz w:val="20"/>
                <w:szCs w:val="20"/>
              </w:rPr>
              <w:t>pecifiskais atbalsta mērķis (S</w:t>
            </w:r>
            <w:r>
              <w:rPr>
                <w:rFonts w:cs="Times New Roman"/>
                <w:sz w:val="20"/>
                <w:szCs w:val="20"/>
              </w:rPr>
              <w:t>AM</w:t>
            </w:r>
            <w:r w:rsidR="00226517">
              <w:rPr>
                <w:rFonts w:cs="Times New Roman"/>
                <w:sz w:val="20"/>
                <w:szCs w:val="20"/>
              </w:rPr>
              <w:t>)</w:t>
            </w:r>
            <w:r>
              <w:rPr>
                <w:rFonts w:cs="Times New Roman"/>
                <w:sz w:val="20"/>
                <w:szCs w:val="20"/>
              </w:rPr>
              <w:t xml:space="preserve"> 8.3.1.</w:t>
            </w:r>
            <w:r w:rsidR="009B365C">
              <w:rPr>
                <w:rFonts w:cs="Times New Roman"/>
                <w:sz w:val="20"/>
                <w:szCs w:val="20"/>
              </w:rPr>
              <w:t xml:space="preserve"> “</w:t>
            </w:r>
            <w:r w:rsidR="009B365C" w:rsidRPr="009B365C">
              <w:rPr>
                <w:rFonts w:cs="Times New Roman"/>
                <w:sz w:val="20"/>
                <w:szCs w:val="20"/>
              </w:rPr>
              <w:t>Attīstīt kompetenču pieejā balstī</w:t>
            </w:r>
            <w:r w:rsidR="009B365C">
              <w:rPr>
                <w:rFonts w:cs="Times New Roman"/>
                <w:sz w:val="20"/>
                <w:szCs w:val="20"/>
              </w:rPr>
              <w:t>tu vispārējās izglītības saturu”</w:t>
            </w:r>
            <w:r>
              <w:rPr>
                <w:rFonts w:cs="Times New Roman"/>
                <w:sz w:val="20"/>
                <w:szCs w:val="20"/>
              </w:rPr>
              <w:t xml:space="preserve"> finansējuma ietvaros.</w:t>
            </w:r>
          </w:p>
        </w:tc>
      </w:tr>
      <w:tr w:rsidR="00471A87" w:rsidRPr="00532F00" w:rsidTr="001050E3">
        <w:trPr>
          <w:trHeight w:val="784"/>
        </w:trPr>
        <w:tc>
          <w:tcPr>
            <w:tcW w:w="15876" w:type="dxa"/>
            <w:gridSpan w:val="8"/>
          </w:tcPr>
          <w:p w:rsidR="00471A87" w:rsidRPr="004351CE" w:rsidRDefault="00471A87" w:rsidP="00471A87">
            <w:pPr>
              <w:ind w:firstLine="426"/>
              <w:jc w:val="both"/>
              <w:rPr>
                <w:rFonts w:cs="Times New Roman"/>
                <w:b/>
                <w:i/>
                <w:color w:val="000000" w:themeColor="text1"/>
                <w:u w:val="single"/>
              </w:rPr>
            </w:pPr>
          </w:p>
          <w:p w:rsidR="00471A87" w:rsidRPr="00417F5F" w:rsidRDefault="00471A87" w:rsidP="00471A87">
            <w:pPr>
              <w:ind w:firstLine="161"/>
              <w:jc w:val="both"/>
              <w:rPr>
                <w:rFonts w:cs="Times New Roman"/>
                <w:color w:val="FF0000"/>
                <w:sz w:val="20"/>
                <w:szCs w:val="20"/>
                <w:highlight w:val="yellow"/>
              </w:rPr>
            </w:pPr>
            <w:r>
              <w:rPr>
                <w:rFonts w:cs="Times New Roman"/>
                <w:b/>
                <w:i/>
                <w:color w:val="000000" w:themeColor="text1"/>
                <w:u w:val="single"/>
              </w:rPr>
              <w:t>3</w:t>
            </w:r>
            <w:r w:rsidR="001050E3">
              <w:rPr>
                <w:rFonts w:cs="Times New Roman"/>
                <w:b/>
                <w:i/>
                <w:color w:val="000000" w:themeColor="text1"/>
                <w:u w:val="single"/>
              </w:rPr>
              <w:t>.2</w:t>
            </w:r>
            <w:r w:rsidRPr="004351CE">
              <w:rPr>
                <w:rFonts w:cs="Times New Roman"/>
                <w:b/>
                <w:i/>
                <w:color w:val="000000" w:themeColor="text1"/>
                <w:u w:val="single"/>
              </w:rPr>
              <w:t>.</w:t>
            </w:r>
            <w:r>
              <w:rPr>
                <w:rFonts w:cs="Times New Roman"/>
                <w:b/>
                <w:i/>
                <w:color w:val="000000" w:themeColor="text1"/>
                <w:u w:val="single"/>
              </w:rPr>
              <w:t>2</w:t>
            </w:r>
            <w:r w:rsidRPr="004351CE">
              <w:rPr>
                <w:rFonts w:cs="Times New Roman"/>
                <w:b/>
                <w:i/>
                <w:color w:val="000000" w:themeColor="text1"/>
                <w:u w:val="single"/>
              </w:rPr>
              <w:t>. Informatīvās kampaņas par ceļu satiksmes drošību.</w:t>
            </w:r>
          </w:p>
        </w:tc>
      </w:tr>
      <w:tr w:rsidR="00DC57D4" w:rsidRPr="00532F00" w:rsidTr="00226517">
        <w:trPr>
          <w:trHeight w:val="980"/>
        </w:trPr>
        <w:tc>
          <w:tcPr>
            <w:tcW w:w="478" w:type="dxa"/>
          </w:tcPr>
          <w:p w:rsidR="00471A87" w:rsidRPr="001050E3" w:rsidRDefault="00D64524" w:rsidP="00471A87">
            <w:pPr>
              <w:jc w:val="both"/>
              <w:rPr>
                <w:rFonts w:cs="Times New Roman"/>
                <w:bCs/>
                <w:color w:val="000000" w:themeColor="text1"/>
                <w:sz w:val="20"/>
                <w:szCs w:val="20"/>
              </w:rPr>
            </w:pPr>
            <w:r>
              <w:rPr>
                <w:rFonts w:eastAsia="Times New Roman" w:cs="Times New Roman"/>
                <w:bCs/>
                <w:color w:val="000000" w:themeColor="text1"/>
                <w:kern w:val="24"/>
                <w:sz w:val="20"/>
                <w:szCs w:val="20"/>
                <w:lang w:eastAsia="lv-LV"/>
              </w:rPr>
              <w:t>5</w:t>
            </w:r>
            <w:r w:rsidR="00471A87" w:rsidRPr="001050E3">
              <w:rPr>
                <w:rFonts w:eastAsia="Times New Roman" w:cs="Times New Roman"/>
                <w:bCs/>
                <w:color w:val="000000" w:themeColor="text1"/>
                <w:kern w:val="24"/>
                <w:sz w:val="20"/>
                <w:szCs w:val="20"/>
                <w:lang w:eastAsia="lv-LV"/>
              </w:rPr>
              <w:t>.</w:t>
            </w:r>
          </w:p>
        </w:tc>
        <w:tc>
          <w:tcPr>
            <w:tcW w:w="3716" w:type="dxa"/>
          </w:tcPr>
          <w:p w:rsidR="00471A87" w:rsidRPr="00A6562D" w:rsidRDefault="00471A87" w:rsidP="00471A87">
            <w:pPr>
              <w:jc w:val="both"/>
              <w:rPr>
                <w:rFonts w:cs="Times New Roman"/>
                <w:color w:val="000000" w:themeColor="text1"/>
                <w:sz w:val="20"/>
                <w:szCs w:val="20"/>
              </w:rPr>
            </w:pPr>
            <w:r w:rsidRPr="00A6562D">
              <w:rPr>
                <w:rFonts w:eastAsia="Calibri" w:cs="Times New Roman"/>
                <w:color w:val="000000" w:themeColor="text1"/>
                <w:sz w:val="20"/>
                <w:szCs w:val="20"/>
              </w:rPr>
              <w:t>Izgatavot ceļu satiksmes drošības veicināšanai nepieciešamos preventīvos materiālus un uzskates līdzekļus (veicināšanas balvas – pildspalvas, blociņi u.c., īsfilma, spēle mācību klasēm u.c.)</w:t>
            </w:r>
          </w:p>
        </w:tc>
        <w:tc>
          <w:tcPr>
            <w:tcW w:w="2794" w:type="dxa"/>
          </w:tcPr>
          <w:p w:rsidR="00471A87" w:rsidRPr="00A6562D" w:rsidRDefault="00471A87" w:rsidP="00471A87">
            <w:pPr>
              <w:jc w:val="both"/>
              <w:rPr>
                <w:rFonts w:cs="Times New Roman"/>
                <w:sz w:val="20"/>
                <w:szCs w:val="20"/>
              </w:rPr>
            </w:pPr>
            <w:r w:rsidRPr="00A6562D">
              <w:rPr>
                <w:rFonts w:eastAsia="Times New Roman" w:cs="Times New Roman"/>
                <w:color w:val="000000" w:themeColor="text1"/>
                <w:sz w:val="20"/>
                <w:szCs w:val="20"/>
              </w:rPr>
              <w:t xml:space="preserve">Sagatavoti materiāli, lai nodrošinātu </w:t>
            </w:r>
            <w:r w:rsidR="00226517">
              <w:rPr>
                <w:rFonts w:eastAsia="Times New Roman" w:cs="Times New Roman"/>
                <w:color w:val="000000" w:themeColor="text1"/>
                <w:sz w:val="20"/>
                <w:szCs w:val="20"/>
                <w:lang w:eastAsia="lv-LV"/>
              </w:rPr>
              <w:t>preventīvo pasākumu īstenošanu</w:t>
            </w:r>
            <w:r w:rsidRPr="00A6562D">
              <w:rPr>
                <w:rFonts w:eastAsia="Times New Roman" w:cs="Times New Roman"/>
                <w:color w:val="000000" w:themeColor="text1"/>
                <w:sz w:val="20"/>
                <w:szCs w:val="20"/>
                <w:lang w:eastAsia="lv-LV"/>
              </w:rPr>
              <w:t xml:space="preserve"> ceļu satiksmes drošības jomā</w:t>
            </w:r>
            <w:r w:rsidR="00784A40">
              <w:rPr>
                <w:rFonts w:eastAsia="Times New Roman" w:cs="Times New Roman"/>
                <w:color w:val="000000" w:themeColor="text1"/>
                <w:sz w:val="20"/>
                <w:szCs w:val="20"/>
                <w:lang w:eastAsia="lv-LV"/>
              </w:rPr>
              <w:t>.</w:t>
            </w:r>
          </w:p>
        </w:tc>
        <w:tc>
          <w:tcPr>
            <w:tcW w:w="2805" w:type="dxa"/>
          </w:tcPr>
          <w:p w:rsidR="00471A87" w:rsidRPr="00A6562D" w:rsidRDefault="000F45AA" w:rsidP="00D61F7D">
            <w:pPr>
              <w:jc w:val="both"/>
              <w:rPr>
                <w:rFonts w:cs="Times New Roman"/>
                <w:sz w:val="20"/>
                <w:szCs w:val="20"/>
              </w:rPr>
            </w:pPr>
            <w:r w:rsidRPr="000F45AA">
              <w:rPr>
                <w:rFonts w:eastAsia="Times New Roman" w:cs="Times New Roman"/>
                <w:color w:val="000000" w:themeColor="text1"/>
                <w:sz w:val="20"/>
                <w:szCs w:val="20"/>
                <w:lang w:eastAsia="lv-LV"/>
              </w:rPr>
              <w:t>Izgatavotas  balvas un materiāli, lai 2017., 2018., 2019. un 2020.gadā nodrošinātu VP dalību 1650 (katru gadu) pasākumos/nodarbībās  par ceļu satiksmes d</w:t>
            </w:r>
            <w:r>
              <w:rPr>
                <w:rFonts w:eastAsia="Times New Roman" w:cs="Times New Roman"/>
                <w:color w:val="000000" w:themeColor="text1"/>
                <w:sz w:val="20"/>
                <w:szCs w:val="20"/>
                <w:lang w:eastAsia="lv-LV"/>
              </w:rPr>
              <w:t>rošības vai ar to saistītu tēmu ar aptuveno auditoriju - 33 000 bērni.</w:t>
            </w:r>
          </w:p>
        </w:tc>
        <w:tc>
          <w:tcPr>
            <w:tcW w:w="1131" w:type="dxa"/>
          </w:tcPr>
          <w:p w:rsidR="00471A87" w:rsidRPr="00A6562D" w:rsidRDefault="00471A87" w:rsidP="00471A87">
            <w:pPr>
              <w:jc w:val="both"/>
              <w:rPr>
                <w:rFonts w:cs="Times New Roman"/>
                <w:color w:val="000000" w:themeColor="text1"/>
                <w:sz w:val="20"/>
                <w:szCs w:val="20"/>
              </w:rPr>
            </w:pPr>
            <w:r w:rsidRPr="00A6562D">
              <w:rPr>
                <w:rFonts w:eastAsia="Times New Roman" w:cs="Times New Roman"/>
                <w:color w:val="000000" w:themeColor="text1"/>
                <w:kern w:val="24"/>
                <w:sz w:val="20"/>
                <w:szCs w:val="20"/>
                <w:lang w:eastAsia="lv-LV"/>
              </w:rPr>
              <w:t xml:space="preserve">IeM </w:t>
            </w:r>
            <w:r w:rsidR="00F41351">
              <w:rPr>
                <w:rFonts w:eastAsia="Times New Roman" w:cs="Times New Roman"/>
                <w:color w:val="000000" w:themeColor="text1"/>
                <w:kern w:val="24"/>
                <w:sz w:val="20"/>
                <w:szCs w:val="20"/>
                <w:lang w:eastAsia="lv-LV"/>
              </w:rPr>
              <w:t>(</w:t>
            </w:r>
            <w:r w:rsidRPr="00A6562D">
              <w:rPr>
                <w:rFonts w:eastAsia="Times New Roman" w:cs="Times New Roman"/>
                <w:color w:val="000000" w:themeColor="text1"/>
                <w:kern w:val="24"/>
                <w:sz w:val="20"/>
                <w:szCs w:val="20"/>
                <w:lang w:eastAsia="lv-LV"/>
              </w:rPr>
              <w:t>VP</w:t>
            </w:r>
            <w:r w:rsidR="00F41351">
              <w:rPr>
                <w:rFonts w:eastAsia="Times New Roman" w:cs="Times New Roman"/>
                <w:color w:val="000000" w:themeColor="text1"/>
                <w:kern w:val="24"/>
                <w:sz w:val="20"/>
                <w:szCs w:val="20"/>
                <w:lang w:eastAsia="lv-LV"/>
              </w:rPr>
              <w:t>)</w:t>
            </w:r>
          </w:p>
        </w:tc>
        <w:tc>
          <w:tcPr>
            <w:tcW w:w="1416" w:type="dxa"/>
          </w:tcPr>
          <w:p w:rsidR="00471A87" w:rsidRPr="00A6562D" w:rsidRDefault="00471A87" w:rsidP="00471A87">
            <w:pPr>
              <w:jc w:val="both"/>
              <w:rPr>
                <w:rFonts w:cs="Times New Roman"/>
                <w:color w:val="000000" w:themeColor="text1"/>
                <w:sz w:val="20"/>
                <w:szCs w:val="20"/>
              </w:rPr>
            </w:pPr>
            <w:r w:rsidRPr="00A6562D">
              <w:rPr>
                <w:rFonts w:eastAsia="Times New Roman" w:cs="Times New Roman"/>
                <w:color w:val="000000" w:themeColor="text1"/>
                <w:sz w:val="20"/>
                <w:szCs w:val="20"/>
                <w:lang w:eastAsia="lv-LV"/>
              </w:rPr>
              <w:t>SM</w:t>
            </w:r>
          </w:p>
        </w:tc>
        <w:tc>
          <w:tcPr>
            <w:tcW w:w="1417" w:type="dxa"/>
          </w:tcPr>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31.12.2017.</w:t>
            </w: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31.12.2018.</w:t>
            </w: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31.12.2019.</w:t>
            </w: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31.12.2020.</w:t>
            </w:r>
          </w:p>
          <w:p w:rsidR="00471A87" w:rsidRPr="00A6562D" w:rsidRDefault="00471A87" w:rsidP="00471A87">
            <w:pPr>
              <w:jc w:val="both"/>
              <w:rPr>
                <w:rFonts w:cs="Times New Roman"/>
                <w:color w:val="000000" w:themeColor="text1"/>
                <w:sz w:val="20"/>
                <w:szCs w:val="20"/>
              </w:rPr>
            </w:pPr>
          </w:p>
        </w:tc>
        <w:tc>
          <w:tcPr>
            <w:tcW w:w="2119" w:type="dxa"/>
            <w:shd w:val="clear" w:color="auto" w:fill="auto"/>
          </w:tcPr>
          <w:p w:rsidR="00D61F7D" w:rsidRPr="00C737EC" w:rsidRDefault="00226517" w:rsidP="00471A87">
            <w:pPr>
              <w:rPr>
                <w:rFonts w:cs="Times New Roman"/>
                <w:sz w:val="20"/>
                <w:szCs w:val="20"/>
              </w:rPr>
            </w:pPr>
            <w:r>
              <w:rPr>
                <w:rFonts w:cs="Times New Roman"/>
                <w:sz w:val="20"/>
                <w:szCs w:val="20"/>
              </w:rPr>
              <w:lastRenderedPageBreak/>
              <w:t xml:space="preserve">OCTA līdzekļi. </w:t>
            </w:r>
          </w:p>
          <w:p w:rsidR="00471A87" w:rsidRPr="00C737EC" w:rsidRDefault="00471A87" w:rsidP="00471A87">
            <w:pPr>
              <w:rPr>
                <w:rFonts w:cs="Times New Roman"/>
                <w:sz w:val="20"/>
                <w:szCs w:val="20"/>
              </w:rPr>
            </w:pPr>
          </w:p>
          <w:p w:rsidR="00471A87" w:rsidRPr="00C737EC" w:rsidRDefault="009A1077" w:rsidP="00471A87">
            <w:pPr>
              <w:rPr>
                <w:rFonts w:cs="Times New Roman"/>
                <w:sz w:val="20"/>
                <w:szCs w:val="20"/>
              </w:rPr>
            </w:pPr>
            <w:r w:rsidRPr="00C737EC">
              <w:rPr>
                <w:rFonts w:cs="Times New Roman"/>
                <w:sz w:val="20"/>
                <w:szCs w:val="20"/>
              </w:rPr>
              <w:t>75 500 (OCTA līdzekļi)</w:t>
            </w:r>
          </w:p>
          <w:p w:rsidR="00471A87" w:rsidRPr="00C737EC" w:rsidRDefault="00471A87" w:rsidP="00471A87">
            <w:pPr>
              <w:rPr>
                <w:rFonts w:cs="Times New Roman"/>
                <w:sz w:val="20"/>
                <w:szCs w:val="20"/>
              </w:rPr>
            </w:pPr>
          </w:p>
          <w:p w:rsidR="00471A87" w:rsidRPr="00C737EC" w:rsidRDefault="00471A87" w:rsidP="00471A87">
            <w:pPr>
              <w:rPr>
                <w:rFonts w:cs="Times New Roman"/>
                <w:sz w:val="20"/>
                <w:szCs w:val="20"/>
              </w:rPr>
            </w:pPr>
            <w:r w:rsidRPr="00C737EC">
              <w:rPr>
                <w:rFonts w:cs="Times New Roman"/>
                <w:sz w:val="20"/>
                <w:szCs w:val="20"/>
              </w:rPr>
              <w:t>100 000</w:t>
            </w:r>
          </w:p>
          <w:p w:rsidR="00471A87" w:rsidRPr="00C737EC" w:rsidRDefault="00471A87" w:rsidP="00471A87">
            <w:pPr>
              <w:rPr>
                <w:rFonts w:cs="Times New Roman"/>
                <w:sz w:val="20"/>
                <w:szCs w:val="20"/>
              </w:rPr>
            </w:pPr>
          </w:p>
          <w:p w:rsidR="00471A87" w:rsidRPr="00C737EC" w:rsidRDefault="00471A87" w:rsidP="00471A87">
            <w:pPr>
              <w:rPr>
                <w:rFonts w:cs="Times New Roman"/>
                <w:sz w:val="20"/>
                <w:szCs w:val="20"/>
              </w:rPr>
            </w:pPr>
          </w:p>
          <w:p w:rsidR="00471A87" w:rsidRPr="00C737EC" w:rsidRDefault="00471A87" w:rsidP="00471A87">
            <w:pPr>
              <w:rPr>
                <w:rFonts w:cs="Times New Roman"/>
                <w:sz w:val="20"/>
                <w:szCs w:val="20"/>
              </w:rPr>
            </w:pPr>
            <w:r w:rsidRPr="00C737EC">
              <w:rPr>
                <w:rFonts w:cs="Times New Roman"/>
                <w:sz w:val="20"/>
                <w:szCs w:val="20"/>
              </w:rPr>
              <w:t>100 000</w:t>
            </w:r>
          </w:p>
          <w:p w:rsidR="00471A87" w:rsidRPr="00C737EC" w:rsidRDefault="00471A87" w:rsidP="00471A87">
            <w:pPr>
              <w:rPr>
                <w:rFonts w:cs="Times New Roman"/>
                <w:sz w:val="20"/>
                <w:szCs w:val="20"/>
              </w:rPr>
            </w:pPr>
          </w:p>
          <w:p w:rsidR="00471A87" w:rsidRPr="00C737EC" w:rsidRDefault="00471A87" w:rsidP="00471A87">
            <w:pPr>
              <w:rPr>
                <w:rFonts w:cs="Times New Roman"/>
                <w:sz w:val="20"/>
                <w:szCs w:val="20"/>
              </w:rPr>
            </w:pPr>
          </w:p>
          <w:p w:rsidR="00471A87" w:rsidRPr="00C737EC" w:rsidRDefault="00226517" w:rsidP="00471A87">
            <w:pPr>
              <w:rPr>
                <w:rFonts w:cs="Times New Roman"/>
                <w:sz w:val="20"/>
                <w:szCs w:val="20"/>
              </w:rPr>
            </w:pPr>
            <w:r>
              <w:rPr>
                <w:rFonts w:cs="Times New Roman"/>
                <w:sz w:val="20"/>
                <w:szCs w:val="20"/>
              </w:rPr>
              <w:t>100 000</w:t>
            </w:r>
          </w:p>
          <w:p w:rsidR="00471A87" w:rsidRPr="00C737EC" w:rsidRDefault="00471A87" w:rsidP="00471A87">
            <w:pPr>
              <w:rPr>
                <w:rFonts w:cs="Times New Roman"/>
                <w:sz w:val="20"/>
                <w:szCs w:val="20"/>
              </w:rPr>
            </w:pPr>
          </w:p>
          <w:p w:rsidR="00471A87" w:rsidRPr="00226517" w:rsidRDefault="009A1077" w:rsidP="00226517">
            <w:pPr>
              <w:rPr>
                <w:rFonts w:cs="Times New Roman"/>
                <w:sz w:val="20"/>
                <w:szCs w:val="20"/>
              </w:rPr>
            </w:pPr>
            <w:r w:rsidRPr="00C737EC">
              <w:rPr>
                <w:rFonts w:cs="Times New Roman"/>
                <w:sz w:val="20"/>
                <w:szCs w:val="20"/>
              </w:rPr>
              <w:t>Kopā: 375 500</w:t>
            </w:r>
          </w:p>
        </w:tc>
      </w:tr>
      <w:tr w:rsidR="00DC57D4" w:rsidRPr="00532F00" w:rsidTr="009D1429">
        <w:trPr>
          <w:trHeight w:val="1378"/>
        </w:trPr>
        <w:tc>
          <w:tcPr>
            <w:tcW w:w="478" w:type="dxa"/>
          </w:tcPr>
          <w:p w:rsidR="00471A87" w:rsidRPr="001050E3" w:rsidRDefault="00D64524" w:rsidP="00471A87">
            <w:pPr>
              <w:jc w:val="both"/>
              <w:rPr>
                <w:rFonts w:eastAsia="Times New Roman" w:cs="Times New Roman"/>
                <w:bCs/>
                <w:color w:val="000000" w:themeColor="text1"/>
                <w:kern w:val="24"/>
                <w:sz w:val="20"/>
                <w:szCs w:val="20"/>
                <w:lang w:eastAsia="lv-LV"/>
              </w:rPr>
            </w:pPr>
            <w:r>
              <w:rPr>
                <w:rFonts w:eastAsia="Times New Roman" w:cs="Times New Roman"/>
                <w:bCs/>
                <w:color w:val="000000" w:themeColor="text1"/>
                <w:kern w:val="24"/>
                <w:sz w:val="20"/>
                <w:szCs w:val="20"/>
                <w:lang w:eastAsia="lv-LV"/>
              </w:rPr>
              <w:lastRenderedPageBreak/>
              <w:t>6</w:t>
            </w:r>
            <w:r w:rsidR="001050E3" w:rsidRPr="001050E3">
              <w:rPr>
                <w:rFonts w:eastAsia="Times New Roman" w:cs="Times New Roman"/>
                <w:bCs/>
                <w:color w:val="000000" w:themeColor="text1"/>
                <w:kern w:val="24"/>
                <w:sz w:val="20"/>
                <w:szCs w:val="20"/>
                <w:lang w:eastAsia="lv-LV"/>
              </w:rPr>
              <w:t>.</w:t>
            </w:r>
          </w:p>
        </w:tc>
        <w:tc>
          <w:tcPr>
            <w:tcW w:w="3716" w:type="dxa"/>
          </w:tcPr>
          <w:p w:rsidR="00471A87" w:rsidRPr="00DC57D4" w:rsidRDefault="00471A87" w:rsidP="00471A87">
            <w:pPr>
              <w:jc w:val="both"/>
              <w:rPr>
                <w:rFonts w:eastAsia="Calibri" w:cs="Times New Roman"/>
                <w:color w:val="000000" w:themeColor="text1"/>
                <w:sz w:val="20"/>
                <w:szCs w:val="20"/>
              </w:rPr>
            </w:pPr>
            <w:r w:rsidRPr="00A6562D">
              <w:rPr>
                <w:rFonts w:eastAsia="Calibri" w:cs="Times New Roman"/>
                <w:color w:val="000000" w:themeColor="text1"/>
                <w:sz w:val="20"/>
                <w:szCs w:val="20"/>
              </w:rPr>
              <w:t>Iegādāties ceļu satiksmes drošības veicināšanas preventīvo pasākumu nodrošināšanai nepieciešamos līdzekļus</w:t>
            </w:r>
            <w:r w:rsidRPr="00680E32">
              <w:rPr>
                <w:rFonts w:eastAsia="Calibri" w:cs="Times New Roman"/>
                <w:color w:val="000000" w:themeColor="text1"/>
                <w:sz w:val="20"/>
                <w:szCs w:val="20"/>
              </w:rPr>
              <w:t xml:space="preserve"> (Runča Rūda un Bebra </w:t>
            </w:r>
            <w:r w:rsidR="00226517">
              <w:rPr>
                <w:rFonts w:eastAsia="Calibri" w:cs="Times New Roman"/>
                <w:color w:val="000000" w:themeColor="text1"/>
                <w:sz w:val="20"/>
                <w:szCs w:val="20"/>
              </w:rPr>
              <w:t>Bruno maska,</w:t>
            </w:r>
            <w:r w:rsidRPr="00DC57D4">
              <w:rPr>
                <w:rFonts w:eastAsia="Calibri" w:cs="Times New Roman"/>
                <w:color w:val="000000" w:themeColor="text1"/>
                <w:sz w:val="20"/>
                <w:szCs w:val="20"/>
              </w:rPr>
              <w:t xml:space="preserve"> kostīmi, atstarotāji, atstarojošās vestes un elementi,</w:t>
            </w:r>
            <w:r w:rsidR="005A5820" w:rsidRPr="00DC57D4">
              <w:rPr>
                <w:rFonts w:eastAsia="Calibri" w:cs="Times New Roman"/>
                <w:color w:val="000000" w:themeColor="text1"/>
                <w:sz w:val="20"/>
                <w:szCs w:val="20"/>
              </w:rPr>
              <w:t xml:space="preserve"> velosipēdu lukturi,</w:t>
            </w:r>
            <w:r w:rsidRPr="00DC57D4">
              <w:rPr>
                <w:rFonts w:eastAsia="Calibri" w:cs="Times New Roman"/>
                <w:color w:val="000000" w:themeColor="text1"/>
                <w:sz w:val="20"/>
                <w:szCs w:val="20"/>
              </w:rPr>
              <w:t xml:space="preserve"> teltis u.c.)</w:t>
            </w:r>
            <w:r w:rsidR="008F468C">
              <w:rPr>
                <w:rFonts w:eastAsia="Calibri" w:cs="Times New Roman"/>
                <w:color w:val="000000" w:themeColor="text1"/>
                <w:sz w:val="20"/>
                <w:szCs w:val="20"/>
              </w:rPr>
              <w:t>.</w:t>
            </w:r>
          </w:p>
        </w:tc>
        <w:tc>
          <w:tcPr>
            <w:tcW w:w="2794" w:type="dxa"/>
          </w:tcPr>
          <w:p w:rsidR="00471A87" w:rsidRPr="00DC57D4" w:rsidRDefault="00471A87" w:rsidP="00471A87">
            <w:pPr>
              <w:jc w:val="both"/>
              <w:rPr>
                <w:rFonts w:eastAsia="Times New Roman" w:cs="Times New Roman"/>
                <w:color w:val="000000" w:themeColor="text1"/>
                <w:sz w:val="20"/>
                <w:szCs w:val="20"/>
              </w:rPr>
            </w:pPr>
            <w:r w:rsidRPr="00DC57D4">
              <w:rPr>
                <w:rFonts w:eastAsia="Times New Roman" w:cs="Times New Roman"/>
                <w:color w:val="000000" w:themeColor="text1"/>
                <w:sz w:val="20"/>
                <w:szCs w:val="20"/>
              </w:rPr>
              <w:t xml:space="preserve">Sagatavoti materiāli, lai nodrošinātu </w:t>
            </w:r>
            <w:r w:rsidRPr="00DC57D4">
              <w:rPr>
                <w:rFonts w:eastAsia="Times New Roman" w:cs="Times New Roman"/>
                <w:color w:val="000000" w:themeColor="text1"/>
                <w:sz w:val="20"/>
                <w:szCs w:val="20"/>
                <w:lang w:eastAsia="lv-LV"/>
              </w:rPr>
              <w:t>preventīvo pasākumu īstenošana ceļu satiksmes drošības jomā</w:t>
            </w:r>
            <w:r w:rsidR="008F468C">
              <w:rPr>
                <w:rFonts w:eastAsia="Times New Roman" w:cs="Times New Roman"/>
                <w:color w:val="000000" w:themeColor="text1"/>
                <w:sz w:val="20"/>
                <w:szCs w:val="20"/>
                <w:lang w:eastAsia="lv-LV"/>
              </w:rPr>
              <w:t>.</w:t>
            </w:r>
          </w:p>
        </w:tc>
        <w:tc>
          <w:tcPr>
            <w:tcW w:w="2805" w:type="dxa"/>
          </w:tcPr>
          <w:p w:rsidR="00471A87" w:rsidRPr="00A6562D" w:rsidRDefault="00D052EC" w:rsidP="00471A87">
            <w:pPr>
              <w:jc w:val="both"/>
              <w:rPr>
                <w:rFonts w:eastAsia="Times New Roman" w:cs="Times New Roman"/>
                <w:color w:val="000000" w:themeColor="text1"/>
                <w:sz w:val="20"/>
                <w:szCs w:val="20"/>
                <w:lang w:eastAsia="lv-LV"/>
              </w:rPr>
            </w:pPr>
            <w:r w:rsidRPr="000F45AA">
              <w:rPr>
                <w:rFonts w:eastAsia="Times New Roman" w:cs="Times New Roman"/>
                <w:color w:val="000000" w:themeColor="text1"/>
                <w:sz w:val="20"/>
                <w:szCs w:val="20"/>
                <w:lang w:eastAsia="lv-LV"/>
              </w:rPr>
              <w:t>Izgatavotas  balvas un materiāli, lai 2017., 2018., 2019. un 2020.gadā nodrošinātu VP dalību 1650 (katru gadu) pasākumos/nodarbībās  par ceļu satiksmes d</w:t>
            </w:r>
            <w:r>
              <w:rPr>
                <w:rFonts w:eastAsia="Times New Roman" w:cs="Times New Roman"/>
                <w:color w:val="000000" w:themeColor="text1"/>
                <w:sz w:val="20"/>
                <w:szCs w:val="20"/>
                <w:lang w:eastAsia="lv-LV"/>
              </w:rPr>
              <w:t>rošības vai ar to saistītu tēmu ar aptuveno auditoriju - 33 000 bērni.</w:t>
            </w:r>
          </w:p>
        </w:tc>
        <w:tc>
          <w:tcPr>
            <w:tcW w:w="1131" w:type="dxa"/>
          </w:tcPr>
          <w:p w:rsidR="00471A87" w:rsidRPr="00A6562D" w:rsidRDefault="00471A87" w:rsidP="00471A87">
            <w:pPr>
              <w:jc w:val="both"/>
              <w:rPr>
                <w:rFonts w:eastAsia="Times New Roman" w:cs="Times New Roman"/>
                <w:color w:val="000000" w:themeColor="text1"/>
                <w:kern w:val="24"/>
                <w:sz w:val="20"/>
                <w:szCs w:val="20"/>
                <w:lang w:eastAsia="lv-LV"/>
              </w:rPr>
            </w:pPr>
            <w:r w:rsidRPr="00A6562D">
              <w:rPr>
                <w:rFonts w:eastAsia="Times New Roman" w:cs="Times New Roman"/>
                <w:color w:val="000000" w:themeColor="text1"/>
                <w:kern w:val="24"/>
                <w:sz w:val="20"/>
                <w:szCs w:val="20"/>
                <w:lang w:eastAsia="lv-LV"/>
              </w:rPr>
              <w:t xml:space="preserve">IeM </w:t>
            </w:r>
            <w:r w:rsidR="00F41351">
              <w:rPr>
                <w:rFonts w:eastAsia="Times New Roman" w:cs="Times New Roman"/>
                <w:color w:val="000000" w:themeColor="text1"/>
                <w:kern w:val="24"/>
                <w:sz w:val="20"/>
                <w:szCs w:val="20"/>
                <w:lang w:eastAsia="lv-LV"/>
              </w:rPr>
              <w:t>(</w:t>
            </w:r>
            <w:r w:rsidRPr="00A6562D">
              <w:rPr>
                <w:rFonts w:eastAsia="Times New Roman" w:cs="Times New Roman"/>
                <w:color w:val="000000" w:themeColor="text1"/>
                <w:kern w:val="24"/>
                <w:sz w:val="20"/>
                <w:szCs w:val="20"/>
                <w:lang w:eastAsia="lv-LV"/>
              </w:rPr>
              <w:t>VP</w:t>
            </w:r>
            <w:r w:rsidR="00F41351">
              <w:rPr>
                <w:rFonts w:eastAsia="Times New Roman" w:cs="Times New Roman"/>
                <w:color w:val="000000" w:themeColor="text1"/>
                <w:kern w:val="24"/>
                <w:sz w:val="20"/>
                <w:szCs w:val="20"/>
                <w:lang w:eastAsia="lv-LV"/>
              </w:rPr>
              <w:t>)</w:t>
            </w:r>
          </w:p>
        </w:tc>
        <w:tc>
          <w:tcPr>
            <w:tcW w:w="1416" w:type="dxa"/>
          </w:tcPr>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SM</w:t>
            </w:r>
          </w:p>
        </w:tc>
        <w:tc>
          <w:tcPr>
            <w:tcW w:w="1417" w:type="dxa"/>
          </w:tcPr>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31.12.2017.</w:t>
            </w: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31.12.2018.</w:t>
            </w: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31.12.2019.</w:t>
            </w: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p>
          <w:p w:rsidR="00471A87" w:rsidRPr="00A6562D" w:rsidRDefault="00471A87" w:rsidP="00471A87">
            <w:pPr>
              <w:jc w:val="both"/>
              <w:rPr>
                <w:rFonts w:eastAsia="Times New Roman" w:cs="Times New Roman"/>
                <w:color w:val="000000" w:themeColor="text1"/>
                <w:sz w:val="20"/>
                <w:szCs w:val="20"/>
                <w:lang w:eastAsia="lv-LV"/>
              </w:rPr>
            </w:pPr>
            <w:r w:rsidRPr="00A6562D">
              <w:rPr>
                <w:rFonts w:eastAsia="Times New Roman" w:cs="Times New Roman"/>
                <w:color w:val="000000" w:themeColor="text1"/>
                <w:sz w:val="20"/>
                <w:szCs w:val="20"/>
                <w:lang w:eastAsia="lv-LV"/>
              </w:rPr>
              <w:t>31.12.2020.</w:t>
            </w:r>
          </w:p>
          <w:p w:rsidR="00471A87" w:rsidRPr="00A6562D" w:rsidRDefault="00471A87" w:rsidP="00471A87">
            <w:pPr>
              <w:jc w:val="both"/>
              <w:rPr>
                <w:rFonts w:eastAsia="Times New Roman" w:cs="Times New Roman"/>
                <w:color w:val="000000" w:themeColor="text1"/>
                <w:sz w:val="20"/>
                <w:szCs w:val="20"/>
                <w:lang w:eastAsia="lv-LV"/>
              </w:rPr>
            </w:pPr>
          </w:p>
        </w:tc>
        <w:tc>
          <w:tcPr>
            <w:tcW w:w="2119" w:type="dxa"/>
            <w:shd w:val="clear" w:color="auto" w:fill="auto"/>
          </w:tcPr>
          <w:p w:rsidR="00D61F7D" w:rsidRPr="00C737EC" w:rsidRDefault="00D61F7D" w:rsidP="00D61F7D">
            <w:pPr>
              <w:rPr>
                <w:rFonts w:cs="Times New Roman"/>
                <w:sz w:val="20"/>
                <w:szCs w:val="20"/>
              </w:rPr>
            </w:pPr>
            <w:r w:rsidRPr="00C737EC">
              <w:rPr>
                <w:rFonts w:cs="Times New Roman"/>
                <w:sz w:val="20"/>
                <w:szCs w:val="20"/>
              </w:rPr>
              <w:t xml:space="preserve">OCTA līdzekļi. </w:t>
            </w:r>
          </w:p>
          <w:p w:rsidR="00471A87" w:rsidRPr="00C737EC" w:rsidRDefault="00471A87" w:rsidP="00471A87">
            <w:pPr>
              <w:rPr>
                <w:rFonts w:cs="Times New Roman"/>
                <w:sz w:val="20"/>
                <w:szCs w:val="20"/>
              </w:rPr>
            </w:pPr>
          </w:p>
          <w:p w:rsidR="00D61F7D" w:rsidRPr="00C737EC" w:rsidRDefault="00D61F7D" w:rsidP="00C737EC">
            <w:pPr>
              <w:rPr>
                <w:rFonts w:cs="Times New Roman"/>
                <w:sz w:val="20"/>
                <w:szCs w:val="20"/>
              </w:rPr>
            </w:pPr>
          </w:p>
          <w:p w:rsidR="00D61F7D" w:rsidRPr="00C737EC" w:rsidRDefault="00D61F7D" w:rsidP="00C737EC">
            <w:pPr>
              <w:rPr>
                <w:rFonts w:cs="Times New Roman"/>
                <w:sz w:val="20"/>
                <w:szCs w:val="20"/>
              </w:rPr>
            </w:pPr>
          </w:p>
          <w:p w:rsidR="00471A87" w:rsidRPr="00C737EC" w:rsidRDefault="009A1077" w:rsidP="00C737EC">
            <w:pPr>
              <w:rPr>
                <w:rFonts w:cs="Times New Roman"/>
                <w:sz w:val="20"/>
                <w:szCs w:val="20"/>
              </w:rPr>
            </w:pPr>
            <w:r w:rsidRPr="00C737EC">
              <w:rPr>
                <w:rFonts w:cs="Times New Roman"/>
                <w:sz w:val="20"/>
                <w:szCs w:val="20"/>
              </w:rPr>
              <w:t>84 500 (OCTA līdzekļi)</w:t>
            </w: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r w:rsidRPr="00C737EC">
              <w:rPr>
                <w:rFonts w:cs="Times New Roman"/>
                <w:sz w:val="20"/>
                <w:szCs w:val="20"/>
              </w:rPr>
              <w:t>60 000</w:t>
            </w: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r w:rsidRPr="00C737EC">
              <w:rPr>
                <w:rFonts w:cs="Times New Roman"/>
                <w:sz w:val="20"/>
                <w:szCs w:val="20"/>
              </w:rPr>
              <w:t>60 000</w:t>
            </w: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r w:rsidRPr="00C737EC">
              <w:rPr>
                <w:rFonts w:cs="Times New Roman"/>
                <w:sz w:val="20"/>
                <w:szCs w:val="20"/>
              </w:rPr>
              <w:t>60 000</w:t>
            </w: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p>
          <w:p w:rsidR="00471A87" w:rsidRPr="00C737EC" w:rsidRDefault="00471A87" w:rsidP="00C737EC">
            <w:pPr>
              <w:rPr>
                <w:rFonts w:cs="Times New Roman"/>
                <w:sz w:val="20"/>
                <w:szCs w:val="20"/>
              </w:rPr>
            </w:pPr>
            <w:r w:rsidRPr="00C737EC">
              <w:rPr>
                <w:rFonts w:cs="Times New Roman"/>
                <w:sz w:val="20"/>
                <w:szCs w:val="20"/>
              </w:rPr>
              <w:t xml:space="preserve">Kopā: </w:t>
            </w:r>
            <w:r w:rsidR="009A1077" w:rsidRPr="00C737EC">
              <w:rPr>
                <w:rFonts w:cs="Times New Roman"/>
                <w:sz w:val="20"/>
                <w:szCs w:val="20"/>
              </w:rPr>
              <w:t>264 500</w:t>
            </w:r>
          </w:p>
          <w:p w:rsidR="00471A87" w:rsidRPr="00C737EC" w:rsidRDefault="00471A87" w:rsidP="00471A87">
            <w:pPr>
              <w:jc w:val="both"/>
              <w:rPr>
                <w:rFonts w:cs="Times New Roman"/>
                <w:b/>
                <w:sz w:val="20"/>
                <w:szCs w:val="20"/>
              </w:rPr>
            </w:pPr>
          </w:p>
        </w:tc>
      </w:tr>
      <w:tr w:rsidR="00DC57D4" w:rsidRPr="00532F00" w:rsidTr="009D1429">
        <w:trPr>
          <w:trHeight w:val="1378"/>
        </w:trPr>
        <w:tc>
          <w:tcPr>
            <w:tcW w:w="478" w:type="dxa"/>
          </w:tcPr>
          <w:p w:rsidR="00471A87" w:rsidRPr="00F469E8" w:rsidRDefault="00D64524" w:rsidP="00471A87">
            <w:pPr>
              <w:jc w:val="both"/>
              <w:rPr>
                <w:rFonts w:eastAsia="Times New Roman" w:cs="Times New Roman"/>
                <w:bCs/>
                <w:color w:val="000000" w:themeColor="text1"/>
                <w:kern w:val="24"/>
                <w:sz w:val="20"/>
                <w:szCs w:val="20"/>
                <w:lang w:eastAsia="lv-LV"/>
              </w:rPr>
            </w:pPr>
            <w:r w:rsidRPr="00F469E8">
              <w:rPr>
                <w:rFonts w:eastAsia="Times New Roman" w:cs="Times New Roman"/>
                <w:bCs/>
                <w:color w:val="000000" w:themeColor="text1"/>
                <w:kern w:val="24"/>
                <w:sz w:val="20"/>
                <w:szCs w:val="20"/>
                <w:lang w:eastAsia="lv-LV"/>
              </w:rPr>
              <w:t>7</w:t>
            </w:r>
            <w:r w:rsidR="001050E3" w:rsidRPr="00F469E8">
              <w:rPr>
                <w:rFonts w:eastAsia="Times New Roman" w:cs="Times New Roman"/>
                <w:bCs/>
                <w:color w:val="000000" w:themeColor="text1"/>
                <w:kern w:val="24"/>
                <w:sz w:val="20"/>
                <w:szCs w:val="20"/>
                <w:lang w:eastAsia="lv-LV"/>
              </w:rPr>
              <w:t>.</w:t>
            </w:r>
          </w:p>
        </w:tc>
        <w:tc>
          <w:tcPr>
            <w:tcW w:w="3716" w:type="dxa"/>
          </w:tcPr>
          <w:p w:rsidR="00471A87" w:rsidRPr="00F469E8" w:rsidRDefault="00471A87" w:rsidP="00471A87">
            <w:pPr>
              <w:jc w:val="both"/>
              <w:rPr>
                <w:rFonts w:eastAsia="Calibri" w:cs="Times New Roman"/>
                <w:color w:val="000000" w:themeColor="text1"/>
                <w:sz w:val="20"/>
                <w:szCs w:val="20"/>
              </w:rPr>
            </w:pPr>
            <w:r w:rsidRPr="00F469E8">
              <w:rPr>
                <w:rFonts w:eastAsia="Calibri" w:cs="Times New Roman"/>
                <w:color w:val="000000" w:themeColor="text1"/>
                <w:sz w:val="20"/>
                <w:szCs w:val="20"/>
              </w:rPr>
              <w:t>Nodrošināt kampaņas pret TL vadīšanu reibumā īstenošanu.</w:t>
            </w:r>
          </w:p>
        </w:tc>
        <w:tc>
          <w:tcPr>
            <w:tcW w:w="2794" w:type="dxa"/>
          </w:tcPr>
          <w:p w:rsidR="00471A87" w:rsidRPr="00F469E8" w:rsidRDefault="00471A87" w:rsidP="00471A87">
            <w:pPr>
              <w:jc w:val="both"/>
              <w:rPr>
                <w:rFonts w:eastAsia="Times New Roman" w:cs="Times New Roman"/>
                <w:color w:val="000000" w:themeColor="text1"/>
                <w:sz w:val="20"/>
                <w:szCs w:val="20"/>
              </w:rPr>
            </w:pPr>
            <w:r w:rsidRPr="00F469E8">
              <w:rPr>
                <w:rFonts w:eastAsia="Times New Roman" w:cs="Times New Roman"/>
                <w:color w:val="000000" w:themeColor="text1"/>
                <w:sz w:val="20"/>
                <w:szCs w:val="20"/>
              </w:rPr>
              <w:t>Īstenotas kampaņas, lai sabiedrībā mainītu priekšstatu par alkohola ietekmi uz TL vadīšanu</w:t>
            </w:r>
          </w:p>
        </w:tc>
        <w:tc>
          <w:tcPr>
            <w:tcW w:w="2805" w:type="dxa"/>
          </w:tcPr>
          <w:p w:rsidR="00471A87" w:rsidRPr="00F469E8" w:rsidRDefault="00471A87" w:rsidP="00A06AC9">
            <w:pPr>
              <w:jc w:val="both"/>
              <w:rPr>
                <w:rFonts w:eastAsia="Times New Roman" w:cs="Times New Roman"/>
                <w:color w:val="000000" w:themeColor="text1"/>
                <w:sz w:val="20"/>
                <w:szCs w:val="20"/>
                <w:lang w:eastAsia="lv-LV"/>
              </w:rPr>
            </w:pPr>
            <w:r w:rsidRPr="00F469E8">
              <w:rPr>
                <w:rFonts w:cs="Times New Roman"/>
                <w:sz w:val="20"/>
                <w:szCs w:val="20"/>
              </w:rPr>
              <w:t xml:space="preserve">Īstenotas </w:t>
            </w:r>
            <w:r w:rsidR="00A06AC9" w:rsidRPr="00F469E8">
              <w:rPr>
                <w:rFonts w:cs="Times New Roman"/>
                <w:sz w:val="20"/>
                <w:szCs w:val="20"/>
              </w:rPr>
              <w:t xml:space="preserve">2 </w:t>
            </w:r>
            <w:r w:rsidRPr="00F469E8">
              <w:rPr>
                <w:rFonts w:cs="Times New Roman"/>
                <w:sz w:val="20"/>
                <w:szCs w:val="20"/>
              </w:rPr>
              <w:t>kampaņas par braukšanu reibumā.</w:t>
            </w:r>
            <w:r w:rsidRPr="00F469E8">
              <w:rPr>
                <w:rFonts w:eastAsia="Times New Roman" w:cs="Times New Roman"/>
                <w:sz w:val="20"/>
                <w:szCs w:val="20"/>
              </w:rPr>
              <w:t xml:space="preserve"> </w:t>
            </w:r>
          </w:p>
        </w:tc>
        <w:tc>
          <w:tcPr>
            <w:tcW w:w="1131" w:type="dxa"/>
          </w:tcPr>
          <w:p w:rsidR="00471A87" w:rsidRPr="00F469E8" w:rsidRDefault="00471A87" w:rsidP="00471A87">
            <w:pPr>
              <w:jc w:val="both"/>
              <w:rPr>
                <w:rFonts w:eastAsia="Times New Roman" w:cs="Times New Roman"/>
                <w:color w:val="000000" w:themeColor="text1"/>
                <w:kern w:val="24"/>
                <w:sz w:val="20"/>
                <w:szCs w:val="20"/>
                <w:lang w:eastAsia="lv-LV"/>
              </w:rPr>
            </w:pPr>
            <w:r w:rsidRPr="00F469E8">
              <w:rPr>
                <w:rFonts w:eastAsia="Times New Roman" w:cs="Times New Roman"/>
                <w:color w:val="000000" w:themeColor="text1"/>
                <w:kern w:val="24"/>
                <w:sz w:val="20"/>
                <w:szCs w:val="20"/>
                <w:lang w:eastAsia="lv-LV"/>
              </w:rPr>
              <w:t>CSDD</w:t>
            </w:r>
          </w:p>
        </w:tc>
        <w:tc>
          <w:tcPr>
            <w:tcW w:w="1416" w:type="dxa"/>
          </w:tcPr>
          <w:p w:rsidR="00471A87" w:rsidRPr="00F469E8" w:rsidRDefault="00125B20" w:rsidP="00471A87">
            <w:pPr>
              <w:jc w:val="both"/>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SM, IeM</w:t>
            </w:r>
            <w:r w:rsidR="00471A87" w:rsidRPr="00F469E8">
              <w:rPr>
                <w:rFonts w:eastAsia="Times New Roman" w:cs="Times New Roman"/>
                <w:color w:val="000000" w:themeColor="text1"/>
                <w:sz w:val="20"/>
                <w:szCs w:val="20"/>
                <w:lang w:eastAsia="lv-LV"/>
              </w:rPr>
              <w:t xml:space="preserve"> </w:t>
            </w:r>
            <w:r>
              <w:rPr>
                <w:rFonts w:eastAsia="Times New Roman" w:cs="Times New Roman"/>
                <w:color w:val="000000" w:themeColor="text1"/>
                <w:sz w:val="20"/>
                <w:szCs w:val="20"/>
                <w:lang w:eastAsia="lv-LV"/>
              </w:rPr>
              <w:t>(</w:t>
            </w:r>
            <w:r w:rsidR="00471A87" w:rsidRPr="00F469E8">
              <w:rPr>
                <w:rFonts w:eastAsia="Times New Roman" w:cs="Times New Roman"/>
                <w:color w:val="000000" w:themeColor="text1"/>
                <w:sz w:val="20"/>
                <w:szCs w:val="20"/>
                <w:lang w:eastAsia="lv-LV"/>
              </w:rPr>
              <w:t>VP</w:t>
            </w:r>
            <w:r>
              <w:rPr>
                <w:rFonts w:eastAsia="Times New Roman" w:cs="Times New Roman"/>
                <w:color w:val="000000" w:themeColor="text1"/>
                <w:sz w:val="20"/>
                <w:szCs w:val="20"/>
                <w:lang w:eastAsia="lv-LV"/>
              </w:rPr>
              <w:t>)</w:t>
            </w:r>
          </w:p>
        </w:tc>
        <w:tc>
          <w:tcPr>
            <w:tcW w:w="1417" w:type="dxa"/>
          </w:tcPr>
          <w:p w:rsidR="00471A87" w:rsidRPr="00F469E8" w:rsidRDefault="00471A87" w:rsidP="00471A87">
            <w:pPr>
              <w:jc w:val="both"/>
              <w:rPr>
                <w:rFonts w:eastAsia="Times New Roman" w:cs="Times New Roman"/>
                <w:color w:val="000000" w:themeColor="text1"/>
                <w:sz w:val="20"/>
                <w:szCs w:val="20"/>
                <w:lang w:eastAsia="lv-LV"/>
              </w:rPr>
            </w:pPr>
            <w:r w:rsidRPr="00F469E8">
              <w:rPr>
                <w:rFonts w:eastAsia="Times New Roman" w:cs="Times New Roman"/>
                <w:color w:val="000000" w:themeColor="text1"/>
                <w:sz w:val="20"/>
                <w:szCs w:val="20"/>
                <w:lang w:eastAsia="lv-LV"/>
              </w:rPr>
              <w:t>2017.-2020.</w:t>
            </w:r>
          </w:p>
        </w:tc>
        <w:tc>
          <w:tcPr>
            <w:tcW w:w="2119" w:type="dxa"/>
            <w:shd w:val="clear" w:color="auto" w:fill="auto"/>
          </w:tcPr>
          <w:p w:rsidR="00E548DF" w:rsidRDefault="00E548DF" w:rsidP="00A06AC9">
            <w:pPr>
              <w:jc w:val="both"/>
              <w:rPr>
                <w:rFonts w:cs="Times New Roman"/>
                <w:sz w:val="20"/>
                <w:szCs w:val="20"/>
              </w:rPr>
            </w:pPr>
            <w:r>
              <w:rPr>
                <w:rFonts w:cs="Times New Roman"/>
                <w:sz w:val="20"/>
                <w:szCs w:val="20"/>
              </w:rPr>
              <w:t>70 000</w:t>
            </w:r>
          </w:p>
          <w:p w:rsidR="00471A87" w:rsidRPr="00A6562D" w:rsidRDefault="00471A87" w:rsidP="00A06AC9">
            <w:pPr>
              <w:jc w:val="both"/>
              <w:rPr>
                <w:rFonts w:cs="Times New Roman"/>
                <w:sz w:val="20"/>
                <w:szCs w:val="20"/>
              </w:rPr>
            </w:pPr>
            <w:r w:rsidRPr="00A6562D">
              <w:rPr>
                <w:rFonts w:cs="Times New Roman"/>
                <w:sz w:val="20"/>
                <w:szCs w:val="20"/>
              </w:rPr>
              <w:t>OCTA/</w:t>
            </w:r>
            <w:r w:rsidR="00A06AC9" w:rsidRPr="00A6562D">
              <w:rPr>
                <w:rFonts w:cs="Times New Roman"/>
                <w:sz w:val="20"/>
                <w:szCs w:val="20"/>
              </w:rPr>
              <w:t>CSDD budžets/privātais finansējums</w:t>
            </w:r>
          </w:p>
          <w:p w:rsidR="00A06AC9" w:rsidRPr="00A6562D" w:rsidRDefault="00A06AC9" w:rsidP="00A06AC9">
            <w:pPr>
              <w:jc w:val="both"/>
              <w:rPr>
                <w:rFonts w:cs="Times New Roman"/>
                <w:b/>
                <w:sz w:val="20"/>
                <w:szCs w:val="20"/>
              </w:rPr>
            </w:pPr>
          </w:p>
        </w:tc>
      </w:tr>
      <w:tr w:rsidR="00DC57D4" w:rsidRPr="00532F00" w:rsidTr="009D1429">
        <w:trPr>
          <w:trHeight w:val="1378"/>
        </w:trPr>
        <w:tc>
          <w:tcPr>
            <w:tcW w:w="478" w:type="dxa"/>
          </w:tcPr>
          <w:p w:rsidR="00471A87" w:rsidRPr="00F469E8" w:rsidRDefault="00D64524" w:rsidP="00471A87">
            <w:pPr>
              <w:jc w:val="both"/>
              <w:rPr>
                <w:rFonts w:eastAsia="Times New Roman" w:cs="Times New Roman"/>
                <w:bCs/>
                <w:color w:val="000000" w:themeColor="text1"/>
                <w:kern w:val="24"/>
                <w:sz w:val="20"/>
                <w:szCs w:val="20"/>
                <w:lang w:eastAsia="lv-LV"/>
              </w:rPr>
            </w:pPr>
            <w:r w:rsidRPr="00F469E8">
              <w:rPr>
                <w:rFonts w:eastAsia="Times New Roman" w:cs="Times New Roman"/>
                <w:bCs/>
                <w:color w:val="000000" w:themeColor="text1"/>
                <w:kern w:val="24"/>
                <w:sz w:val="20"/>
                <w:szCs w:val="20"/>
                <w:lang w:eastAsia="lv-LV"/>
              </w:rPr>
              <w:t>8</w:t>
            </w:r>
            <w:r w:rsidR="001050E3" w:rsidRPr="00F469E8">
              <w:rPr>
                <w:rFonts w:eastAsia="Times New Roman" w:cs="Times New Roman"/>
                <w:bCs/>
                <w:color w:val="000000" w:themeColor="text1"/>
                <w:kern w:val="24"/>
                <w:sz w:val="20"/>
                <w:szCs w:val="20"/>
                <w:lang w:eastAsia="lv-LV"/>
              </w:rPr>
              <w:t>.</w:t>
            </w:r>
          </w:p>
        </w:tc>
        <w:tc>
          <w:tcPr>
            <w:tcW w:w="3716" w:type="dxa"/>
          </w:tcPr>
          <w:p w:rsidR="00471A87" w:rsidRPr="00F469E8" w:rsidRDefault="00471A87" w:rsidP="00471A87">
            <w:pPr>
              <w:jc w:val="both"/>
              <w:rPr>
                <w:rFonts w:eastAsia="Calibri" w:cs="Times New Roman"/>
                <w:color w:val="000000" w:themeColor="text1"/>
                <w:sz w:val="20"/>
                <w:szCs w:val="20"/>
              </w:rPr>
            </w:pPr>
            <w:r w:rsidRPr="00F469E8">
              <w:rPr>
                <w:rFonts w:eastAsia="Calibri" w:cs="Times New Roman"/>
                <w:color w:val="000000" w:themeColor="text1"/>
                <w:sz w:val="20"/>
                <w:szCs w:val="20"/>
              </w:rPr>
              <w:t>Nodrošināt kampaņas īstenošanu par drošības līdzekļu izmantošanu – drošības jostas, bērnu krēsliņi, ķiveres, atstarojošie elementi u.c.</w:t>
            </w:r>
          </w:p>
        </w:tc>
        <w:tc>
          <w:tcPr>
            <w:tcW w:w="2794" w:type="dxa"/>
          </w:tcPr>
          <w:p w:rsidR="00471A87" w:rsidRPr="00F469E8" w:rsidRDefault="00FE7423" w:rsidP="00471A87">
            <w:pPr>
              <w:jc w:val="both"/>
              <w:rPr>
                <w:rFonts w:eastAsia="Times New Roman" w:cs="Times New Roman"/>
                <w:color w:val="000000" w:themeColor="text1"/>
                <w:sz w:val="20"/>
                <w:szCs w:val="20"/>
              </w:rPr>
            </w:pPr>
            <w:r w:rsidRPr="00F469E8">
              <w:rPr>
                <w:rFonts w:eastAsia="Times New Roman" w:cs="Times New Roman"/>
                <w:color w:val="000000" w:themeColor="text1"/>
                <w:sz w:val="20"/>
                <w:szCs w:val="20"/>
              </w:rPr>
              <w:t>Īstenota kampaņa</w:t>
            </w:r>
            <w:r w:rsidR="00471A87" w:rsidRPr="00F469E8">
              <w:rPr>
                <w:rFonts w:eastAsia="Times New Roman" w:cs="Times New Roman"/>
                <w:color w:val="000000" w:themeColor="text1"/>
                <w:sz w:val="20"/>
                <w:szCs w:val="20"/>
              </w:rPr>
              <w:t>, lai sabiedrībā mainītu priekšstatu par drošības līdzekļu lietošanas nozīmīgumu ceļu satiksmes drošībai.</w:t>
            </w:r>
          </w:p>
        </w:tc>
        <w:tc>
          <w:tcPr>
            <w:tcW w:w="2805" w:type="dxa"/>
          </w:tcPr>
          <w:p w:rsidR="00471A87" w:rsidRPr="00F469E8" w:rsidRDefault="00226517" w:rsidP="00471A87">
            <w:pPr>
              <w:jc w:val="both"/>
              <w:rPr>
                <w:rFonts w:cs="Times New Roman"/>
                <w:sz w:val="20"/>
                <w:szCs w:val="20"/>
              </w:rPr>
            </w:pPr>
            <w:r>
              <w:rPr>
                <w:rFonts w:cs="Times New Roman"/>
                <w:sz w:val="20"/>
                <w:szCs w:val="20"/>
              </w:rPr>
              <w:t>Īstenota</w:t>
            </w:r>
            <w:r w:rsidR="00471A87" w:rsidRPr="00F469E8">
              <w:rPr>
                <w:rFonts w:cs="Times New Roman"/>
                <w:sz w:val="20"/>
                <w:szCs w:val="20"/>
              </w:rPr>
              <w:t xml:space="preserve"> </w:t>
            </w:r>
            <w:r w:rsidR="00A06AC9" w:rsidRPr="00F469E8">
              <w:rPr>
                <w:rFonts w:cs="Times New Roman"/>
                <w:sz w:val="20"/>
                <w:szCs w:val="20"/>
              </w:rPr>
              <w:t>viena kampaņa</w:t>
            </w:r>
            <w:r w:rsidR="00471A87" w:rsidRPr="00F469E8">
              <w:rPr>
                <w:rFonts w:cs="Times New Roman"/>
                <w:sz w:val="20"/>
                <w:szCs w:val="20"/>
              </w:rPr>
              <w:t xml:space="preserve"> par drošības līdzekļu lietošanu TL.</w:t>
            </w:r>
          </w:p>
        </w:tc>
        <w:tc>
          <w:tcPr>
            <w:tcW w:w="1131" w:type="dxa"/>
          </w:tcPr>
          <w:p w:rsidR="00471A87" w:rsidRPr="00F469E8" w:rsidRDefault="00471A87" w:rsidP="00471A87">
            <w:pPr>
              <w:jc w:val="both"/>
              <w:rPr>
                <w:rFonts w:eastAsia="Times New Roman" w:cs="Times New Roman"/>
                <w:color w:val="000000" w:themeColor="text1"/>
                <w:kern w:val="24"/>
                <w:sz w:val="20"/>
                <w:szCs w:val="20"/>
                <w:lang w:eastAsia="lv-LV"/>
              </w:rPr>
            </w:pPr>
            <w:r w:rsidRPr="00F469E8">
              <w:rPr>
                <w:rFonts w:eastAsia="Times New Roman" w:cs="Times New Roman"/>
                <w:color w:val="000000" w:themeColor="text1"/>
                <w:kern w:val="24"/>
                <w:sz w:val="20"/>
                <w:szCs w:val="20"/>
                <w:lang w:eastAsia="lv-LV"/>
              </w:rPr>
              <w:t>CSDD</w:t>
            </w:r>
          </w:p>
        </w:tc>
        <w:tc>
          <w:tcPr>
            <w:tcW w:w="1416" w:type="dxa"/>
          </w:tcPr>
          <w:p w:rsidR="00471A87" w:rsidRPr="00F469E8" w:rsidRDefault="00125B20" w:rsidP="00125B20">
            <w:pPr>
              <w:jc w:val="both"/>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SM, IeM</w:t>
            </w:r>
            <w:r w:rsidR="00471A87" w:rsidRPr="00F469E8">
              <w:rPr>
                <w:rFonts w:eastAsia="Times New Roman" w:cs="Times New Roman"/>
                <w:color w:val="000000" w:themeColor="text1"/>
                <w:sz w:val="20"/>
                <w:szCs w:val="20"/>
                <w:lang w:eastAsia="lv-LV"/>
              </w:rPr>
              <w:t xml:space="preserve"> </w:t>
            </w:r>
            <w:r>
              <w:rPr>
                <w:rFonts w:eastAsia="Times New Roman" w:cs="Times New Roman"/>
                <w:color w:val="000000" w:themeColor="text1"/>
                <w:sz w:val="20"/>
                <w:szCs w:val="20"/>
                <w:lang w:eastAsia="lv-LV"/>
              </w:rPr>
              <w:t>(</w:t>
            </w:r>
            <w:r w:rsidR="00471A87" w:rsidRPr="00F469E8">
              <w:rPr>
                <w:rFonts w:eastAsia="Times New Roman" w:cs="Times New Roman"/>
                <w:color w:val="000000" w:themeColor="text1"/>
                <w:sz w:val="20"/>
                <w:szCs w:val="20"/>
                <w:lang w:eastAsia="lv-LV"/>
              </w:rPr>
              <w:t>VP</w:t>
            </w:r>
            <w:r>
              <w:rPr>
                <w:rFonts w:eastAsia="Times New Roman" w:cs="Times New Roman"/>
                <w:color w:val="000000" w:themeColor="text1"/>
                <w:sz w:val="20"/>
                <w:szCs w:val="20"/>
                <w:lang w:eastAsia="lv-LV"/>
              </w:rPr>
              <w:t>)</w:t>
            </w:r>
          </w:p>
        </w:tc>
        <w:tc>
          <w:tcPr>
            <w:tcW w:w="1417" w:type="dxa"/>
          </w:tcPr>
          <w:p w:rsidR="00471A87" w:rsidRPr="00F469E8" w:rsidRDefault="00471A87" w:rsidP="00471A87">
            <w:pPr>
              <w:jc w:val="both"/>
              <w:rPr>
                <w:rFonts w:eastAsia="Times New Roman" w:cs="Times New Roman"/>
                <w:color w:val="000000" w:themeColor="text1"/>
                <w:sz w:val="20"/>
                <w:szCs w:val="20"/>
                <w:lang w:eastAsia="lv-LV"/>
              </w:rPr>
            </w:pPr>
            <w:r w:rsidRPr="00F469E8">
              <w:rPr>
                <w:rFonts w:eastAsia="Times New Roman" w:cs="Times New Roman"/>
                <w:color w:val="000000" w:themeColor="text1"/>
                <w:sz w:val="20"/>
                <w:szCs w:val="20"/>
                <w:lang w:eastAsia="lv-LV"/>
              </w:rPr>
              <w:t>2017.-2020.</w:t>
            </w:r>
          </w:p>
        </w:tc>
        <w:tc>
          <w:tcPr>
            <w:tcW w:w="2119" w:type="dxa"/>
            <w:shd w:val="clear" w:color="auto" w:fill="auto"/>
          </w:tcPr>
          <w:p w:rsidR="00FE7423" w:rsidRDefault="00FE7423" w:rsidP="00A06AC9">
            <w:pPr>
              <w:jc w:val="both"/>
              <w:rPr>
                <w:rFonts w:cs="Times New Roman"/>
                <w:sz w:val="20"/>
                <w:szCs w:val="20"/>
              </w:rPr>
            </w:pPr>
            <w:r>
              <w:rPr>
                <w:rFonts w:cs="Times New Roman"/>
                <w:sz w:val="20"/>
                <w:szCs w:val="20"/>
              </w:rPr>
              <w:t>40 000</w:t>
            </w:r>
          </w:p>
          <w:p w:rsidR="00A06AC9" w:rsidRPr="00A6562D" w:rsidRDefault="00A06AC9" w:rsidP="00A06AC9">
            <w:pPr>
              <w:jc w:val="both"/>
              <w:rPr>
                <w:rFonts w:cs="Times New Roman"/>
                <w:sz w:val="20"/>
                <w:szCs w:val="20"/>
              </w:rPr>
            </w:pPr>
            <w:r w:rsidRPr="00A6562D">
              <w:rPr>
                <w:rFonts w:cs="Times New Roman"/>
                <w:sz w:val="20"/>
                <w:szCs w:val="20"/>
              </w:rPr>
              <w:t>OCTA/CSDD budžets/privātais finansējums</w:t>
            </w:r>
          </w:p>
          <w:p w:rsidR="00471A87" w:rsidRPr="00A6562D" w:rsidRDefault="00471A87" w:rsidP="00A06AC9">
            <w:pPr>
              <w:jc w:val="both"/>
              <w:rPr>
                <w:rFonts w:cs="Times New Roman"/>
                <w:b/>
                <w:sz w:val="20"/>
                <w:szCs w:val="20"/>
              </w:rPr>
            </w:pPr>
          </w:p>
        </w:tc>
      </w:tr>
      <w:tr w:rsidR="00DC57D4" w:rsidRPr="00532F00" w:rsidTr="009D1429">
        <w:trPr>
          <w:trHeight w:val="1378"/>
        </w:trPr>
        <w:tc>
          <w:tcPr>
            <w:tcW w:w="478" w:type="dxa"/>
          </w:tcPr>
          <w:p w:rsidR="00471A87" w:rsidRPr="00F469E8" w:rsidRDefault="00D64524" w:rsidP="00471A87">
            <w:pPr>
              <w:jc w:val="both"/>
              <w:rPr>
                <w:rFonts w:eastAsia="Times New Roman" w:cs="Times New Roman"/>
                <w:bCs/>
                <w:color w:val="000000" w:themeColor="text1"/>
                <w:kern w:val="24"/>
                <w:sz w:val="20"/>
                <w:szCs w:val="20"/>
                <w:lang w:eastAsia="lv-LV"/>
              </w:rPr>
            </w:pPr>
            <w:r w:rsidRPr="00F469E8">
              <w:rPr>
                <w:rFonts w:eastAsia="Times New Roman" w:cs="Times New Roman"/>
                <w:bCs/>
                <w:color w:val="000000" w:themeColor="text1"/>
                <w:kern w:val="24"/>
                <w:sz w:val="20"/>
                <w:szCs w:val="20"/>
                <w:lang w:eastAsia="lv-LV"/>
              </w:rPr>
              <w:t>9</w:t>
            </w:r>
            <w:r w:rsidR="001050E3" w:rsidRPr="00F469E8">
              <w:rPr>
                <w:rFonts w:eastAsia="Times New Roman" w:cs="Times New Roman"/>
                <w:bCs/>
                <w:color w:val="000000" w:themeColor="text1"/>
                <w:kern w:val="24"/>
                <w:sz w:val="20"/>
                <w:szCs w:val="20"/>
                <w:lang w:eastAsia="lv-LV"/>
              </w:rPr>
              <w:t>.</w:t>
            </w:r>
          </w:p>
        </w:tc>
        <w:tc>
          <w:tcPr>
            <w:tcW w:w="3716" w:type="dxa"/>
          </w:tcPr>
          <w:p w:rsidR="00471A87" w:rsidRPr="00F469E8" w:rsidRDefault="00471A87" w:rsidP="00FE7423">
            <w:pPr>
              <w:jc w:val="both"/>
              <w:rPr>
                <w:rFonts w:eastAsia="Calibri" w:cs="Times New Roman"/>
                <w:color w:val="000000" w:themeColor="text1"/>
                <w:sz w:val="20"/>
                <w:szCs w:val="20"/>
              </w:rPr>
            </w:pPr>
            <w:r w:rsidRPr="00F469E8">
              <w:rPr>
                <w:rFonts w:eastAsia="Calibri" w:cs="Times New Roman"/>
                <w:color w:val="000000" w:themeColor="text1"/>
                <w:sz w:val="20"/>
                <w:szCs w:val="20"/>
              </w:rPr>
              <w:t xml:space="preserve">Nodrošināt kampaņas </w:t>
            </w:r>
            <w:r w:rsidR="00F35979" w:rsidRPr="00F469E8">
              <w:rPr>
                <w:rFonts w:eastAsia="Calibri" w:cs="Times New Roman"/>
                <w:color w:val="000000" w:themeColor="text1"/>
                <w:sz w:val="20"/>
                <w:szCs w:val="20"/>
              </w:rPr>
              <w:t xml:space="preserve">par </w:t>
            </w:r>
            <w:r w:rsidR="00FE7423" w:rsidRPr="00F469E8">
              <w:rPr>
                <w:rFonts w:eastAsia="Calibri" w:cs="Times New Roman"/>
                <w:color w:val="000000" w:themeColor="text1"/>
                <w:sz w:val="20"/>
                <w:szCs w:val="20"/>
              </w:rPr>
              <w:t xml:space="preserve">atļautā ātruma pārsniegšanu, </w:t>
            </w:r>
            <w:r w:rsidR="00A06AC9" w:rsidRPr="00F469E8">
              <w:rPr>
                <w:rFonts w:eastAsia="Calibri" w:cs="Times New Roman"/>
                <w:color w:val="000000" w:themeColor="text1"/>
                <w:sz w:val="20"/>
                <w:szCs w:val="20"/>
              </w:rPr>
              <w:t>drošas distances u.c. CSN normu ievērošanu</w:t>
            </w:r>
          </w:p>
        </w:tc>
        <w:tc>
          <w:tcPr>
            <w:tcW w:w="2794" w:type="dxa"/>
          </w:tcPr>
          <w:p w:rsidR="00471A87" w:rsidRPr="00F469E8" w:rsidRDefault="00A06AC9" w:rsidP="00F35979">
            <w:pPr>
              <w:jc w:val="both"/>
              <w:rPr>
                <w:rFonts w:eastAsia="Times New Roman" w:cs="Times New Roman"/>
                <w:color w:val="000000" w:themeColor="text1"/>
                <w:sz w:val="20"/>
                <w:szCs w:val="20"/>
              </w:rPr>
            </w:pPr>
            <w:r w:rsidRPr="00F469E8">
              <w:rPr>
                <w:rFonts w:eastAsia="Times New Roman" w:cs="Times New Roman"/>
                <w:color w:val="000000" w:themeColor="text1"/>
                <w:sz w:val="20"/>
                <w:szCs w:val="20"/>
              </w:rPr>
              <w:t>Īstenota kampaņa, la</w:t>
            </w:r>
            <w:r w:rsidR="00F35979" w:rsidRPr="00F469E8">
              <w:rPr>
                <w:rFonts w:eastAsia="Times New Roman" w:cs="Times New Roman"/>
                <w:color w:val="000000" w:themeColor="text1"/>
                <w:sz w:val="20"/>
                <w:szCs w:val="20"/>
              </w:rPr>
              <w:t xml:space="preserve">i sabiedrībā skaidrotu </w:t>
            </w:r>
            <w:r w:rsidR="00226517">
              <w:rPr>
                <w:rFonts w:eastAsia="Times New Roman" w:cs="Times New Roman"/>
                <w:color w:val="000000" w:themeColor="text1"/>
                <w:sz w:val="20"/>
                <w:szCs w:val="20"/>
              </w:rPr>
              <w:t xml:space="preserve">jautājumus </w:t>
            </w:r>
            <w:r w:rsidR="00F35979" w:rsidRPr="00F469E8">
              <w:rPr>
                <w:rFonts w:eastAsia="Times New Roman" w:cs="Times New Roman"/>
                <w:color w:val="000000" w:themeColor="text1"/>
                <w:sz w:val="20"/>
                <w:szCs w:val="20"/>
              </w:rPr>
              <w:t xml:space="preserve">par palielināta ātruma un samazinātas distances ietekmi uz </w:t>
            </w:r>
            <w:proofErr w:type="spellStart"/>
            <w:r w:rsidR="00F35979" w:rsidRPr="00F469E8">
              <w:rPr>
                <w:rFonts w:eastAsia="Times New Roman" w:cs="Times New Roman"/>
                <w:color w:val="000000" w:themeColor="text1"/>
                <w:sz w:val="20"/>
                <w:szCs w:val="20"/>
              </w:rPr>
              <w:t>CSNg</w:t>
            </w:r>
            <w:proofErr w:type="spellEnd"/>
            <w:r w:rsidR="00F35979" w:rsidRPr="00F469E8">
              <w:rPr>
                <w:rFonts w:eastAsia="Times New Roman" w:cs="Times New Roman"/>
                <w:color w:val="000000" w:themeColor="text1"/>
                <w:sz w:val="20"/>
                <w:szCs w:val="20"/>
              </w:rPr>
              <w:t xml:space="preserve"> sekām.</w:t>
            </w:r>
          </w:p>
        </w:tc>
        <w:tc>
          <w:tcPr>
            <w:tcW w:w="2805" w:type="dxa"/>
          </w:tcPr>
          <w:p w:rsidR="00471A87" w:rsidRPr="00F469E8" w:rsidRDefault="00A06AC9" w:rsidP="00471A87">
            <w:pPr>
              <w:jc w:val="both"/>
              <w:rPr>
                <w:rFonts w:cs="Times New Roman"/>
                <w:sz w:val="20"/>
                <w:szCs w:val="20"/>
              </w:rPr>
            </w:pPr>
            <w:r w:rsidRPr="00F469E8">
              <w:rPr>
                <w:rFonts w:cs="Times New Roman"/>
                <w:sz w:val="20"/>
                <w:szCs w:val="20"/>
              </w:rPr>
              <w:t>Īstenota viena kampaņa par ceļu satiksmes noteikumu normu ievērošanu.</w:t>
            </w:r>
          </w:p>
        </w:tc>
        <w:tc>
          <w:tcPr>
            <w:tcW w:w="1131" w:type="dxa"/>
          </w:tcPr>
          <w:p w:rsidR="00471A87" w:rsidRPr="00F469E8" w:rsidRDefault="00471A87" w:rsidP="00471A87">
            <w:pPr>
              <w:jc w:val="both"/>
              <w:rPr>
                <w:rFonts w:eastAsia="Times New Roman" w:cs="Times New Roman"/>
                <w:color w:val="000000" w:themeColor="text1"/>
                <w:kern w:val="24"/>
                <w:sz w:val="20"/>
                <w:szCs w:val="20"/>
                <w:lang w:eastAsia="lv-LV"/>
              </w:rPr>
            </w:pPr>
            <w:r w:rsidRPr="00F469E8">
              <w:rPr>
                <w:rFonts w:eastAsia="Times New Roman" w:cs="Times New Roman"/>
                <w:color w:val="000000" w:themeColor="text1"/>
                <w:kern w:val="24"/>
                <w:sz w:val="20"/>
                <w:szCs w:val="20"/>
                <w:lang w:eastAsia="lv-LV"/>
              </w:rPr>
              <w:t>CSDD</w:t>
            </w:r>
          </w:p>
        </w:tc>
        <w:tc>
          <w:tcPr>
            <w:tcW w:w="1416" w:type="dxa"/>
          </w:tcPr>
          <w:p w:rsidR="00471A87" w:rsidRPr="00F469E8" w:rsidRDefault="00125B20" w:rsidP="00471A87">
            <w:pPr>
              <w:jc w:val="both"/>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SM, IeM (</w:t>
            </w:r>
            <w:r w:rsidR="00471A87" w:rsidRPr="00F469E8">
              <w:rPr>
                <w:rFonts w:eastAsia="Times New Roman" w:cs="Times New Roman"/>
                <w:color w:val="000000" w:themeColor="text1"/>
                <w:sz w:val="20"/>
                <w:szCs w:val="20"/>
                <w:lang w:eastAsia="lv-LV"/>
              </w:rPr>
              <w:t>VP</w:t>
            </w:r>
            <w:r>
              <w:rPr>
                <w:rFonts w:eastAsia="Times New Roman" w:cs="Times New Roman"/>
                <w:color w:val="000000" w:themeColor="text1"/>
                <w:sz w:val="20"/>
                <w:szCs w:val="20"/>
                <w:lang w:eastAsia="lv-LV"/>
              </w:rPr>
              <w:t>)</w:t>
            </w:r>
            <w:r w:rsidR="00471A87" w:rsidRPr="00F469E8">
              <w:rPr>
                <w:rFonts w:eastAsia="Times New Roman" w:cs="Times New Roman"/>
                <w:color w:val="000000" w:themeColor="text1"/>
                <w:sz w:val="20"/>
                <w:szCs w:val="20"/>
                <w:lang w:eastAsia="lv-LV"/>
              </w:rPr>
              <w:t>, LVC</w:t>
            </w:r>
          </w:p>
        </w:tc>
        <w:tc>
          <w:tcPr>
            <w:tcW w:w="1417" w:type="dxa"/>
          </w:tcPr>
          <w:p w:rsidR="00471A87" w:rsidRPr="00F469E8" w:rsidRDefault="00471A87" w:rsidP="00471A87">
            <w:pPr>
              <w:jc w:val="both"/>
              <w:rPr>
                <w:rFonts w:eastAsia="Times New Roman" w:cs="Times New Roman"/>
                <w:color w:val="000000" w:themeColor="text1"/>
                <w:sz w:val="20"/>
                <w:szCs w:val="20"/>
                <w:lang w:eastAsia="lv-LV"/>
              </w:rPr>
            </w:pPr>
            <w:r w:rsidRPr="00F469E8">
              <w:rPr>
                <w:rFonts w:eastAsia="Times New Roman" w:cs="Times New Roman"/>
                <w:color w:val="000000" w:themeColor="text1"/>
                <w:sz w:val="20"/>
                <w:szCs w:val="20"/>
                <w:lang w:eastAsia="lv-LV"/>
              </w:rPr>
              <w:t>2017.-2020.</w:t>
            </w:r>
          </w:p>
        </w:tc>
        <w:tc>
          <w:tcPr>
            <w:tcW w:w="2119" w:type="dxa"/>
            <w:shd w:val="clear" w:color="auto" w:fill="auto"/>
          </w:tcPr>
          <w:p w:rsidR="00FE7423" w:rsidRDefault="00FE7423" w:rsidP="00A06AC9">
            <w:pPr>
              <w:jc w:val="both"/>
              <w:rPr>
                <w:rFonts w:cs="Times New Roman"/>
                <w:sz w:val="20"/>
                <w:szCs w:val="20"/>
              </w:rPr>
            </w:pPr>
            <w:r>
              <w:rPr>
                <w:rFonts w:cs="Times New Roman"/>
                <w:sz w:val="20"/>
                <w:szCs w:val="20"/>
              </w:rPr>
              <w:t>50 000</w:t>
            </w:r>
          </w:p>
          <w:p w:rsidR="00A06AC9" w:rsidRPr="00A6562D" w:rsidRDefault="00A06AC9" w:rsidP="00A06AC9">
            <w:pPr>
              <w:jc w:val="both"/>
              <w:rPr>
                <w:rFonts w:cs="Times New Roman"/>
                <w:sz w:val="20"/>
                <w:szCs w:val="20"/>
              </w:rPr>
            </w:pPr>
            <w:r w:rsidRPr="00A6562D">
              <w:rPr>
                <w:rFonts w:cs="Times New Roman"/>
                <w:sz w:val="20"/>
                <w:szCs w:val="20"/>
              </w:rPr>
              <w:t>OCTA/CSDD budžets/privātais finansējums</w:t>
            </w:r>
          </w:p>
          <w:p w:rsidR="00A06AC9" w:rsidRPr="00A6562D" w:rsidRDefault="00A06AC9" w:rsidP="00A06AC9">
            <w:pPr>
              <w:jc w:val="both"/>
              <w:rPr>
                <w:rFonts w:cs="Times New Roman"/>
                <w:b/>
                <w:sz w:val="20"/>
                <w:szCs w:val="20"/>
              </w:rPr>
            </w:pPr>
          </w:p>
          <w:p w:rsidR="00471A87" w:rsidRPr="00A6562D" w:rsidRDefault="00471A87" w:rsidP="00A06AC9">
            <w:pPr>
              <w:jc w:val="both"/>
              <w:rPr>
                <w:rFonts w:cs="Times New Roman"/>
                <w:b/>
                <w:sz w:val="20"/>
                <w:szCs w:val="20"/>
              </w:rPr>
            </w:pPr>
          </w:p>
        </w:tc>
      </w:tr>
      <w:tr w:rsidR="00DC57D4" w:rsidRPr="00532F00" w:rsidTr="009D1429">
        <w:trPr>
          <w:trHeight w:val="1378"/>
        </w:trPr>
        <w:tc>
          <w:tcPr>
            <w:tcW w:w="478" w:type="dxa"/>
          </w:tcPr>
          <w:p w:rsidR="00A06AC9" w:rsidRPr="00F469E8" w:rsidRDefault="001050E3" w:rsidP="00A06AC9">
            <w:pPr>
              <w:tabs>
                <w:tab w:val="left" w:pos="247"/>
              </w:tabs>
              <w:ind w:left="-18"/>
              <w:jc w:val="both"/>
              <w:rPr>
                <w:rFonts w:eastAsia="Times New Roman" w:cs="Times New Roman"/>
                <w:bCs/>
                <w:color w:val="000000" w:themeColor="text1"/>
                <w:kern w:val="24"/>
                <w:sz w:val="20"/>
                <w:szCs w:val="20"/>
                <w:lang w:eastAsia="lv-LV"/>
              </w:rPr>
            </w:pPr>
            <w:r w:rsidRPr="00F469E8">
              <w:rPr>
                <w:rFonts w:eastAsia="Times New Roman" w:cs="Times New Roman"/>
                <w:bCs/>
                <w:color w:val="000000" w:themeColor="text1"/>
                <w:kern w:val="24"/>
                <w:sz w:val="20"/>
                <w:szCs w:val="20"/>
                <w:lang w:eastAsia="lv-LV"/>
              </w:rPr>
              <w:lastRenderedPageBreak/>
              <w:t>1</w:t>
            </w:r>
            <w:r w:rsidR="00D64524" w:rsidRPr="00F469E8">
              <w:rPr>
                <w:rFonts w:eastAsia="Times New Roman" w:cs="Times New Roman"/>
                <w:bCs/>
                <w:color w:val="000000" w:themeColor="text1"/>
                <w:kern w:val="24"/>
                <w:sz w:val="20"/>
                <w:szCs w:val="20"/>
                <w:lang w:eastAsia="lv-LV"/>
              </w:rPr>
              <w:t>0</w:t>
            </w:r>
            <w:r w:rsidR="00A06AC9" w:rsidRPr="00F469E8">
              <w:rPr>
                <w:rFonts w:eastAsia="Times New Roman" w:cs="Times New Roman"/>
                <w:bCs/>
                <w:color w:val="000000" w:themeColor="text1"/>
                <w:kern w:val="24"/>
                <w:sz w:val="20"/>
                <w:szCs w:val="20"/>
                <w:lang w:eastAsia="lv-LV"/>
              </w:rPr>
              <w:t>.</w:t>
            </w:r>
          </w:p>
        </w:tc>
        <w:tc>
          <w:tcPr>
            <w:tcW w:w="3716" w:type="dxa"/>
          </w:tcPr>
          <w:p w:rsidR="00A06AC9" w:rsidRPr="00F469E8" w:rsidRDefault="00A06AC9" w:rsidP="00A06AC9">
            <w:pPr>
              <w:jc w:val="both"/>
              <w:rPr>
                <w:rFonts w:eastAsia="Calibri" w:cs="Times New Roman"/>
                <w:color w:val="000000" w:themeColor="text1"/>
                <w:sz w:val="20"/>
                <w:szCs w:val="20"/>
              </w:rPr>
            </w:pPr>
            <w:r w:rsidRPr="00F469E8">
              <w:rPr>
                <w:rFonts w:eastAsia="Calibri" w:cs="Times New Roman"/>
                <w:color w:val="000000" w:themeColor="text1"/>
                <w:sz w:val="20"/>
                <w:szCs w:val="20"/>
              </w:rPr>
              <w:t xml:space="preserve">Nodrošināt kampaņas </w:t>
            </w:r>
            <w:r w:rsidR="00D1556F" w:rsidRPr="00F469E8">
              <w:rPr>
                <w:rFonts w:eastAsia="Calibri" w:cs="Times New Roman"/>
                <w:color w:val="000000" w:themeColor="text1"/>
                <w:sz w:val="20"/>
                <w:szCs w:val="20"/>
              </w:rPr>
              <w:t xml:space="preserve">par </w:t>
            </w:r>
            <w:proofErr w:type="spellStart"/>
            <w:r w:rsidR="00D1556F" w:rsidRPr="00F469E8">
              <w:rPr>
                <w:rFonts w:eastAsia="Calibri" w:cs="Times New Roman"/>
                <w:color w:val="000000" w:themeColor="text1"/>
                <w:sz w:val="20"/>
                <w:szCs w:val="20"/>
              </w:rPr>
              <w:t>mazaizsargāto</w:t>
            </w:r>
            <w:proofErr w:type="spellEnd"/>
            <w:r w:rsidR="00D1556F" w:rsidRPr="00F469E8">
              <w:rPr>
                <w:rFonts w:eastAsia="Calibri" w:cs="Times New Roman"/>
                <w:color w:val="000000" w:themeColor="text1"/>
                <w:sz w:val="20"/>
                <w:szCs w:val="20"/>
              </w:rPr>
              <w:t xml:space="preserve"> satiksmes dalī</w:t>
            </w:r>
            <w:r w:rsidRPr="00F469E8">
              <w:rPr>
                <w:rFonts w:eastAsia="Calibri" w:cs="Times New Roman"/>
                <w:color w:val="000000" w:themeColor="text1"/>
                <w:sz w:val="20"/>
                <w:szCs w:val="20"/>
              </w:rPr>
              <w:t>bnieku (gājēju, velosipēdistu, mopēdistu) drošību īstenošanu.</w:t>
            </w:r>
          </w:p>
        </w:tc>
        <w:tc>
          <w:tcPr>
            <w:tcW w:w="2794" w:type="dxa"/>
          </w:tcPr>
          <w:p w:rsidR="00A06AC9" w:rsidRPr="00F469E8" w:rsidRDefault="00A06AC9" w:rsidP="00A06AC9">
            <w:pPr>
              <w:jc w:val="both"/>
              <w:rPr>
                <w:rFonts w:eastAsia="Times New Roman" w:cs="Times New Roman"/>
                <w:color w:val="000000" w:themeColor="text1"/>
                <w:sz w:val="20"/>
                <w:szCs w:val="20"/>
              </w:rPr>
            </w:pPr>
            <w:r w:rsidRPr="00F469E8">
              <w:rPr>
                <w:rFonts w:eastAsia="Times New Roman" w:cs="Times New Roman"/>
                <w:color w:val="000000" w:themeColor="text1"/>
                <w:sz w:val="20"/>
                <w:szCs w:val="20"/>
              </w:rPr>
              <w:t>Īstenota kampaņ</w:t>
            </w:r>
            <w:r w:rsidR="00226517">
              <w:rPr>
                <w:rFonts w:eastAsia="Times New Roman" w:cs="Times New Roman"/>
                <w:color w:val="000000" w:themeColor="text1"/>
                <w:sz w:val="20"/>
                <w:szCs w:val="20"/>
              </w:rPr>
              <w:t xml:space="preserve">a, lai sabiedrībā skaidrotu </w:t>
            </w:r>
            <w:proofErr w:type="spellStart"/>
            <w:r w:rsidR="00226517">
              <w:rPr>
                <w:rFonts w:eastAsia="Times New Roman" w:cs="Times New Roman"/>
                <w:color w:val="000000" w:themeColor="text1"/>
                <w:sz w:val="20"/>
                <w:szCs w:val="20"/>
              </w:rPr>
              <w:t>maz</w:t>
            </w:r>
            <w:r w:rsidRPr="00F469E8">
              <w:rPr>
                <w:rFonts w:eastAsia="Times New Roman" w:cs="Times New Roman"/>
                <w:color w:val="000000" w:themeColor="text1"/>
                <w:sz w:val="20"/>
                <w:szCs w:val="20"/>
              </w:rPr>
              <w:t>aizsargāto</w:t>
            </w:r>
            <w:proofErr w:type="spellEnd"/>
            <w:r w:rsidRPr="00F469E8">
              <w:rPr>
                <w:rFonts w:eastAsia="Times New Roman" w:cs="Times New Roman"/>
                <w:color w:val="000000" w:themeColor="text1"/>
                <w:sz w:val="20"/>
                <w:szCs w:val="20"/>
              </w:rPr>
              <w:t xml:space="preserve"> satiksmes dalībnieku drošību.</w:t>
            </w:r>
          </w:p>
        </w:tc>
        <w:tc>
          <w:tcPr>
            <w:tcW w:w="2805" w:type="dxa"/>
          </w:tcPr>
          <w:p w:rsidR="00A06AC9" w:rsidRPr="00F469E8" w:rsidRDefault="00A06AC9" w:rsidP="00A06AC9">
            <w:pPr>
              <w:ind w:left="-94"/>
              <w:jc w:val="both"/>
              <w:rPr>
                <w:rFonts w:cs="Times New Roman"/>
                <w:sz w:val="20"/>
                <w:szCs w:val="20"/>
              </w:rPr>
            </w:pPr>
            <w:r w:rsidRPr="00F469E8">
              <w:rPr>
                <w:rFonts w:cs="Times New Roman"/>
                <w:sz w:val="20"/>
                <w:szCs w:val="20"/>
              </w:rPr>
              <w:t xml:space="preserve">Īstenota viena kampaņa par </w:t>
            </w:r>
            <w:proofErr w:type="spellStart"/>
            <w:r w:rsidRPr="00F469E8">
              <w:rPr>
                <w:rFonts w:cs="Times New Roman"/>
                <w:sz w:val="20"/>
                <w:szCs w:val="20"/>
              </w:rPr>
              <w:t>mazaizsargāto</w:t>
            </w:r>
            <w:proofErr w:type="spellEnd"/>
            <w:r w:rsidRPr="00F469E8">
              <w:rPr>
                <w:rFonts w:cs="Times New Roman"/>
                <w:sz w:val="20"/>
                <w:szCs w:val="20"/>
              </w:rPr>
              <w:t xml:space="preserve"> satiksmes dalībnieku drošību.</w:t>
            </w:r>
          </w:p>
        </w:tc>
        <w:tc>
          <w:tcPr>
            <w:tcW w:w="1131" w:type="dxa"/>
          </w:tcPr>
          <w:p w:rsidR="00A06AC9" w:rsidRPr="00F469E8" w:rsidRDefault="00A06AC9" w:rsidP="00A06AC9">
            <w:pPr>
              <w:jc w:val="both"/>
              <w:rPr>
                <w:rFonts w:eastAsia="Times New Roman" w:cs="Times New Roman"/>
                <w:color w:val="000000" w:themeColor="text1"/>
                <w:kern w:val="24"/>
                <w:sz w:val="20"/>
                <w:szCs w:val="20"/>
                <w:lang w:eastAsia="lv-LV"/>
              </w:rPr>
            </w:pPr>
            <w:r w:rsidRPr="00F469E8">
              <w:rPr>
                <w:rFonts w:eastAsia="Times New Roman" w:cs="Times New Roman"/>
                <w:color w:val="000000" w:themeColor="text1"/>
                <w:kern w:val="24"/>
                <w:sz w:val="20"/>
                <w:szCs w:val="20"/>
                <w:lang w:eastAsia="lv-LV"/>
              </w:rPr>
              <w:t>CSDD</w:t>
            </w:r>
          </w:p>
        </w:tc>
        <w:tc>
          <w:tcPr>
            <w:tcW w:w="1416" w:type="dxa"/>
          </w:tcPr>
          <w:p w:rsidR="00A06AC9" w:rsidRPr="00F469E8" w:rsidRDefault="00125B20" w:rsidP="00A06AC9">
            <w:pPr>
              <w:jc w:val="both"/>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SM, IeM (</w:t>
            </w:r>
            <w:r w:rsidR="00A06AC9" w:rsidRPr="00F469E8">
              <w:rPr>
                <w:rFonts w:eastAsia="Times New Roman" w:cs="Times New Roman"/>
                <w:color w:val="000000" w:themeColor="text1"/>
                <w:sz w:val="20"/>
                <w:szCs w:val="20"/>
                <w:lang w:eastAsia="lv-LV"/>
              </w:rPr>
              <w:t>VP</w:t>
            </w:r>
            <w:r>
              <w:rPr>
                <w:rFonts w:eastAsia="Times New Roman" w:cs="Times New Roman"/>
                <w:color w:val="000000" w:themeColor="text1"/>
                <w:sz w:val="20"/>
                <w:szCs w:val="20"/>
                <w:lang w:eastAsia="lv-LV"/>
              </w:rPr>
              <w:t>)</w:t>
            </w:r>
          </w:p>
        </w:tc>
        <w:tc>
          <w:tcPr>
            <w:tcW w:w="1417" w:type="dxa"/>
          </w:tcPr>
          <w:p w:rsidR="00A06AC9" w:rsidRPr="00F469E8" w:rsidRDefault="00A06AC9" w:rsidP="00A06AC9">
            <w:pPr>
              <w:jc w:val="both"/>
              <w:rPr>
                <w:rFonts w:eastAsia="Times New Roman" w:cs="Times New Roman"/>
                <w:color w:val="000000" w:themeColor="text1"/>
                <w:sz w:val="20"/>
                <w:szCs w:val="20"/>
                <w:lang w:eastAsia="lv-LV"/>
              </w:rPr>
            </w:pPr>
            <w:r w:rsidRPr="00F469E8">
              <w:rPr>
                <w:rFonts w:eastAsia="Times New Roman" w:cs="Times New Roman"/>
                <w:color w:val="000000" w:themeColor="text1"/>
                <w:sz w:val="20"/>
                <w:szCs w:val="20"/>
                <w:lang w:eastAsia="lv-LV"/>
              </w:rPr>
              <w:t>2017.-2020.</w:t>
            </w:r>
          </w:p>
        </w:tc>
        <w:tc>
          <w:tcPr>
            <w:tcW w:w="2119" w:type="dxa"/>
            <w:shd w:val="clear" w:color="auto" w:fill="auto"/>
          </w:tcPr>
          <w:p w:rsidR="00D1556F" w:rsidRDefault="00D1556F" w:rsidP="00A06AC9">
            <w:pPr>
              <w:jc w:val="both"/>
              <w:rPr>
                <w:rFonts w:cs="Times New Roman"/>
                <w:sz w:val="20"/>
                <w:szCs w:val="20"/>
              </w:rPr>
            </w:pPr>
            <w:r>
              <w:rPr>
                <w:rFonts w:cs="Times New Roman"/>
                <w:sz w:val="20"/>
                <w:szCs w:val="20"/>
              </w:rPr>
              <w:t>50 000</w:t>
            </w:r>
          </w:p>
          <w:p w:rsidR="00A06AC9" w:rsidRPr="00A6562D" w:rsidRDefault="00A06AC9" w:rsidP="00A06AC9">
            <w:pPr>
              <w:jc w:val="both"/>
              <w:rPr>
                <w:rFonts w:cs="Times New Roman"/>
                <w:sz w:val="20"/>
                <w:szCs w:val="20"/>
              </w:rPr>
            </w:pPr>
            <w:r w:rsidRPr="00A6562D">
              <w:rPr>
                <w:rFonts w:cs="Times New Roman"/>
                <w:sz w:val="20"/>
                <w:szCs w:val="20"/>
              </w:rPr>
              <w:t>OCTA/CSDD budžets/privātais finansējums</w:t>
            </w:r>
          </w:p>
          <w:p w:rsidR="00A06AC9" w:rsidRPr="00A6562D" w:rsidRDefault="00A06AC9" w:rsidP="00A06AC9">
            <w:pPr>
              <w:jc w:val="both"/>
              <w:rPr>
                <w:rFonts w:cs="Times New Roman"/>
                <w:b/>
                <w:sz w:val="20"/>
                <w:szCs w:val="20"/>
              </w:rPr>
            </w:pPr>
          </w:p>
          <w:p w:rsidR="00A06AC9" w:rsidRPr="00A6562D" w:rsidRDefault="00A06AC9" w:rsidP="00A06AC9">
            <w:pPr>
              <w:jc w:val="both"/>
              <w:rPr>
                <w:rFonts w:cs="Times New Roman"/>
                <w:b/>
                <w:sz w:val="20"/>
                <w:szCs w:val="20"/>
              </w:rPr>
            </w:pPr>
          </w:p>
        </w:tc>
      </w:tr>
      <w:tr w:rsidR="00DC57D4" w:rsidRPr="00532F00" w:rsidTr="009D1429">
        <w:trPr>
          <w:trHeight w:val="1378"/>
        </w:trPr>
        <w:tc>
          <w:tcPr>
            <w:tcW w:w="478" w:type="dxa"/>
          </w:tcPr>
          <w:p w:rsidR="00A06AC9" w:rsidRPr="00F469E8" w:rsidRDefault="00A06AC9" w:rsidP="001050E3">
            <w:pPr>
              <w:ind w:left="-3"/>
              <w:jc w:val="both"/>
              <w:rPr>
                <w:rFonts w:eastAsia="Times New Roman" w:cs="Times New Roman"/>
                <w:bCs/>
                <w:color w:val="000000" w:themeColor="text1"/>
                <w:kern w:val="24"/>
                <w:sz w:val="20"/>
                <w:szCs w:val="20"/>
                <w:lang w:eastAsia="lv-LV"/>
              </w:rPr>
            </w:pPr>
            <w:r w:rsidRPr="00F469E8">
              <w:rPr>
                <w:rFonts w:eastAsia="Times New Roman" w:cs="Times New Roman"/>
                <w:bCs/>
                <w:color w:val="000000" w:themeColor="text1"/>
                <w:kern w:val="24"/>
                <w:sz w:val="20"/>
                <w:szCs w:val="20"/>
                <w:lang w:eastAsia="lv-LV"/>
              </w:rPr>
              <w:t>1</w:t>
            </w:r>
            <w:r w:rsidR="00D64524" w:rsidRPr="00F469E8">
              <w:rPr>
                <w:rFonts w:eastAsia="Times New Roman" w:cs="Times New Roman"/>
                <w:bCs/>
                <w:color w:val="000000" w:themeColor="text1"/>
                <w:kern w:val="24"/>
                <w:sz w:val="20"/>
                <w:szCs w:val="20"/>
                <w:lang w:eastAsia="lv-LV"/>
              </w:rPr>
              <w:t>1</w:t>
            </w:r>
            <w:r w:rsidR="001050E3" w:rsidRPr="00F469E8">
              <w:rPr>
                <w:rFonts w:eastAsia="Times New Roman" w:cs="Times New Roman"/>
                <w:bCs/>
                <w:color w:val="000000" w:themeColor="text1"/>
                <w:kern w:val="24"/>
                <w:sz w:val="20"/>
                <w:szCs w:val="20"/>
                <w:lang w:eastAsia="lv-LV"/>
              </w:rPr>
              <w:t>.</w:t>
            </w:r>
          </w:p>
        </w:tc>
        <w:tc>
          <w:tcPr>
            <w:tcW w:w="3716" w:type="dxa"/>
          </w:tcPr>
          <w:p w:rsidR="00A06AC9" w:rsidRPr="00F469E8" w:rsidRDefault="00A06AC9" w:rsidP="005A6F6A">
            <w:pPr>
              <w:jc w:val="both"/>
              <w:rPr>
                <w:rFonts w:eastAsia="Calibri" w:cs="Times New Roman"/>
                <w:color w:val="000000" w:themeColor="text1"/>
                <w:sz w:val="20"/>
                <w:szCs w:val="20"/>
              </w:rPr>
            </w:pPr>
            <w:r w:rsidRPr="00F469E8">
              <w:rPr>
                <w:rFonts w:eastAsia="Calibri" w:cs="Times New Roman"/>
                <w:color w:val="000000" w:themeColor="text1"/>
                <w:sz w:val="20"/>
                <w:szCs w:val="20"/>
              </w:rPr>
              <w:t xml:space="preserve">Nodrošināt kampaņas īstenošanu pret mobilo ierīču lietošana bīstamību  </w:t>
            </w:r>
            <w:r w:rsidR="005A6F6A">
              <w:rPr>
                <w:rFonts w:eastAsia="Calibri" w:cs="Times New Roman"/>
                <w:color w:val="000000" w:themeColor="text1"/>
                <w:sz w:val="20"/>
                <w:szCs w:val="20"/>
              </w:rPr>
              <w:t>TL</w:t>
            </w:r>
            <w:r w:rsidR="005A6F6A" w:rsidRPr="00F469E8">
              <w:rPr>
                <w:rFonts w:eastAsia="Calibri" w:cs="Times New Roman"/>
                <w:color w:val="000000" w:themeColor="text1"/>
                <w:sz w:val="20"/>
                <w:szCs w:val="20"/>
              </w:rPr>
              <w:t xml:space="preserve"> </w:t>
            </w:r>
            <w:r w:rsidRPr="00F469E8">
              <w:rPr>
                <w:rFonts w:eastAsia="Calibri" w:cs="Times New Roman"/>
                <w:color w:val="000000" w:themeColor="text1"/>
                <w:sz w:val="20"/>
                <w:szCs w:val="20"/>
              </w:rPr>
              <w:t>vadīšanas laikā vai kādu citu aktuālu tēmu atkarībā no aktualitātes</w:t>
            </w:r>
          </w:p>
        </w:tc>
        <w:tc>
          <w:tcPr>
            <w:tcW w:w="2794" w:type="dxa"/>
          </w:tcPr>
          <w:p w:rsidR="00A06AC9" w:rsidRPr="00F469E8" w:rsidRDefault="00226517" w:rsidP="00A06AC9">
            <w:pPr>
              <w:jc w:val="both"/>
              <w:rPr>
                <w:rFonts w:eastAsia="Times New Roman" w:cs="Times New Roman"/>
                <w:color w:val="000000" w:themeColor="text1"/>
                <w:sz w:val="20"/>
                <w:szCs w:val="20"/>
              </w:rPr>
            </w:pPr>
            <w:r>
              <w:rPr>
                <w:rFonts w:eastAsia="Times New Roman" w:cs="Times New Roman"/>
                <w:color w:val="000000" w:themeColor="text1"/>
                <w:sz w:val="20"/>
                <w:szCs w:val="20"/>
              </w:rPr>
              <w:t>Īstenota kampaņa</w:t>
            </w:r>
            <w:r w:rsidR="00A06AC9" w:rsidRPr="00F469E8">
              <w:rPr>
                <w:rFonts w:eastAsia="Times New Roman" w:cs="Times New Roman"/>
                <w:color w:val="000000" w:themeColor="text1"/>
                <w:sz w:val="20"/>
                <w:szCs w:val="20"/>
              </w:rPr>
              <w:t>, lai s</w:t>
            </w:r>
            <w:r w:rsidR="00BB234A" w:rsidRPr="00F469E8">
              <w:rPr>
                <w:rFonts w:eastAsia="Times New Roman" w:cs="Times New Roman"/>
                <w:color w:val="000000" w:themeColor="text1"/>
                <w:sz w:val="20"/>
                <w:szCs w:val="20"/>
              </w:rPr>
              <w:t>abiedrībā mainītu priekšstatu p</w:t>
            </w:r>
            <w:r w:rsidR="00A06AC9" w:rsidRPr="00F469E8">
              <w:rPr>
                <w:rFonts w:eastAsia="Times New Roman" w:cs="Times New Roman"/>
                <w:color w:val="000000" w:themeColor="text1"/>
                <w:sz w:val="20"/>
                <w:szCs w:val="20"/>
              </w:rPr>
              <w:t>r</w:t>
            </w:r>
            <w:r w:rsidR="00BB234A" w:rsidRPr="00F469E8">
              <w:rPr>
                <w:rFonts w:eastAsia="Times New Roman" w:cs="Times New Roman"/>
                <w:color w:val="000000" w:themeColor="text1"/>
                <w:sz w:val="20"/>
                <w:szCs w:val="20"/>
              </w:rPr>
              <w:t>et</w:t>
            </w:r>
            <w:r w:rsidR="00A06AC9" w:rsidRPr="00F469E8">
              <w:rPr>
                <w:rFonts w:eastAsia="Times New Roman" w:cs="Times New Roman"/>
                <w:color w:val="000000" w:themeColor="text1"/>
                <w:sz w:val="20"/>
                <w:szCs w:val="20"/>
              </w:rPr>
              <w:t xml:space="preserve"> mobilo ierīču lietošanas ietekmi uz ceļu satik</w:t>
            </w:r>
            <w:r w:rsidR="00BB234A" w:rsidRPr="00F469E8">
              <w:rPr>
                <w:rFonts w:eastAsia="Times New Roman" w:cs="Times New Roman"/>
                <w:color w:val="000000" w:themeColor="text1"/>
                <w:sz w:val="20"/>
                <w:szCs w:val="20"/>
              </w:rPr>
              <w:t>smes drošību TL vadīšanas laikā vai cita aktuāla kampaņa.</w:t>
            </w:r>
          </w:p>
        </w:tc>
        <w:tc>
          <w:tcPr>
            <w:tcW w:w="2805" w:type="dxa"/>
          </w:tcPr>
          <w:p w:rsidR="00A06AC9" w:rsidRPr="00F469E8" w:rsidRDefault="00BB234A" w:rsidP="00A06AC9">
            <w:pPr>
              <w:jc w:val="both"/>
              <w:rPr>
                <w:rFonts w:cs="Times New Roman"/>
                <w:sz w:val="20"/>
                <w:szCs w:val="20"/>
              </w:rPr>
            </w:pPr>
            <w:r w:rsidRPr="00F469E8">
              <w:rPr>
                <w:rFonts w:cs="Times New Roman"/>
                <w:sz w:val="20"/>
                <w:szCs w:val="20"/>
              </w:rPr>
              <w:t>Īstenota viena kampaņa par aktuālu ceļu satiksmes drošības tēmu.</w:t>
            </w:r>
          </w:p>
        </w:tc>
        <w:tc>
          <w:tcPr>
            <w:tcW w:w="1131" w:type="dxa"/>
          </w:tcPr>
          <w:p w:rsidR="00A06AC9" w:rsidRPr="00F469E8" w:rsidRDefault="00A06AC9" w:rsidP="00A06AC9">
            <w:pPr>
              <w:jc w:val="both"/>
              <w:rPr>
                <w:rFonts w:eastAsia="Times New Roman" w:cs="Times New Roman"/>
                <w:color w:val="000000" w:themeColor="text1"/>
                <w:kern w:val="24"/>
                <w:sz w:val="20"/>
                <w:szCs w:val="20"/>
                <w:lang w:eastAsia="lv-LV"/>
              </w:rPr>
            </w:pPr>
            <w:r w:rsidRPr="00F469E8">
              <w:rPr>
                <w:rFonts w:eastAsia="Times New Roman" w:cs="Times New Roman"/>
                <w:color w:val="000000" w:themeColor="text1"/>
                <w:kern w:val="24"/>
                <w:sz w:val="20"/>
                <w:szCs w:val="20"/>
                <w:lang w:eastAsia="lv-LV"/>
              </w:rPr>
              <w:t>CSDD</w:t>
            </w:r>
          </w:p>
        </w:tc>
        <w:tc>
          <w:tcPr>
            <w:tcW w:w="1416" w:type="dxa"/>
          </w:tcPr>
          <w:p w:rsidR="00A06AC9" w:rsidRPr="00F469E8" w:rsidRDefault="00125B20" w:rsidP="00A06AC9">
            <w:pPr>
              <w:jc w:val="both"/>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SM, IeM</w:t>
            </w:r>
            <w:r w:rsidR="00A06AC9" w:rsidRPr="00F469E8">
              <w:rPr>
                <w:rFonts w:eastAsia="Times New Roman" w:cs="Times New Roman"/>
                <w:color w:val="000000" w:themeColor="text1"/>
                <w:sz w:val="20"/>
                <w:szCs w:val="20"/>
                <w:lang w:eastAsia="lv-LV"/>
              </w:rPr>
              <w:t xml:space="preserve"> </w:t>
            </w:r>
            <w:r>
              <w:rPr>
                <w:rFonts w:eastAsia="Times New Roman" w:cs="Times New Roman"/>
                <w:color w:val="000000" w:themeColor="text1"/>
                <w:sz w:val="20"/>
                <w:szCs w:val="20"/>
                <w:lang w:eastAsia="lv-LV"/>
              </w:rPr>
              <w:t>(</w:t>
            </w:r>
            <w:r w:rsidR="00A06AC9" w:rsidRPr="00F469E8">
              <w:rPr>
                <w:rFonts w:eastAsia="Times New Roman" w:cs="Times New Roman"/>
                <w:color w:val="000000" w:themeColor="text1"/>
                <w:sz w:val="20"/>
                <w:szCs w:val="20"/>
                <w:lang w:eastAsia="lv-LV"/>
              </w:rPr>
              <w:t>VP</w:t>
            </w:r>
            <w:r>
              <w:rPr>
                <w:rFonts w:eastAsia="Times New Roman" w:cs="Times New Roman"/>
                <w:color w:val="000000" w:themeColor="text1"/>
                <w:sz w:val="20"/>
                <w:szCs w:val="20"/>
                <w:lang w:eastAsia="lv-LV"/>
              </w:rPr>
              <w:t>)</w:t>
            </w:r>
          </w:p>
        </w:tc>
        <w:tc>
          <w:tcPr>
            <w:tcW w:w="1417" w:type="dxa"/>
          </w:tcPr>
          <w:p w:rsidR="00A06AC9" w:rsidRPr="00F469E8" w:rsidRDefault="00A06AC9" w:rsidP="00A06AC9">
            <w:pPr>
              <w:jc w:val="both"/>
              <w:rPr>
                <w:rFonts w:eastAsia="Times New Roman" w:cs="Times New Roman"/>
                <w:color w:val="000000" w:themeColor="text1"/>
                <w:sz w:val="20"/>
                <w:szCs w:val="20"/>
                <w:lang w:eastAsia="lv-LV"/>
              </w:rPr>
            </w:pPr>
            <w:r w:rsidRPr="00F469E8">
              <w:rPr>
                <w:rFonts w:eastAsia="Times New Roman" w:cs="Times New Roman"/>
                <w:color w:val="000000" w:themeColor="text1"/>
                <w:sz w:val="20"/>
                <w:szCs w:val="20"/>
                <w:lang w:eastAsia="lv-LV"/>
              </w:rPr>
              <w:t>2017.-2020.</w:t>
            </w:r>
          </w:p>
        </w:tc>
        <w:tc>
          <w:tcPr>
            <w:tcW w:w="2119" w:type="dxa"/>
            <w:shd w:val="clear" w:color="auto" w:fill="auto"/>
          </w:tcPr>
          <w:p w:rsidR="00D1556F" w:rsidRDefault="00D1556F" w:rsidP="00BB234A">
            <w:pPr>
              <w:jc w:val="both"/>
              <w:rPr>
                <w:rFonts w:cs="Times New Roman"/>
                <w:sz w:val="20"/>
                <w:szCs w:val="20"/>
              </w:rPr>
            </w:pPr>
            <w:r>
              <w:rPr>
                <w:rFonts w:cs="Times New Roman"/>
                <w:sz w:val="20"/>
                <w:szCs w:val="20"/>
              </w:rPr>
              <w:t>40 000</w:t>
            </w:r>
          </w:p>
          <w:p w:rsidR="00BB234A" w:rsidRPr="00A6562D" w:rsidRDefault="00BB234A" w:rsidP="00BB234A">
            <w:pPr>
              <w:jc w:val="both"/>
              <w:rPr>
                <w:rFonts w:cs="Times New Roman"/>
                <w:sz w:val="20"/>
                <w:szCs w:val="20"/>
              </w:rPr>
            </w:pPr>
            <w:r w:rsidRPr="00A6562D">
              <w:rPr>
                <w:rFonts w:cs="Times New Roman"/>
                <w:sz w:val="20"/>
                <w:szCs w:val="20"/>
              </w:rPr>
              <w:t>OCTA/CSDD budžets/privātais finansējums</w:t>
            </w:r>
          </w:p>
          <w:p w:rsidR="00BB234A" w:rsidRPr="00A6562D" w:rsidRDefault="00BB234A" w:rsidP="00BB234A">
            <w:pPr>
              <w:jc w:val="both"/>
              <w:rPr>
                <w:rFonts w:cs="Times New Roman"/>
                <w:b/>
                <w:sz w:val="20"/>
                <w:szCs w:val="20"/>
              </w:rPr>
            </w:pPr>
          </w:p>
          <w:p w:rsidR="00A06AC9" w:rsidRPr="00A6562D" w:rsidRDefault="00A06AC9" w:rsidP="00BB234A">
            <w:pPr>
              <w:jc w:val="both"/>
              <w:rPr>
                <w:rFonts w:cs="Times New Roman"/>
                <w:b/>
                <w:sz w:val="20"/>
                <w:szCs w:val="20"/>
              </w:rPr>
            </w:pPr>
          </w:p>
        </w:tc>
      </w:tr>
      <w:tr w:rsidR="00DC57D4" w:rsidRPr="00532F00" w:rsidTr="009D1429">
        <w:trPr>
          <w:trHeight w:val="1378"/>
        </w:trPr>
        <w:tc>
          <w:tcPr>
            <w:tcW w:w="478" w:type="dxa"/>
          </w:tcPr>
          <w:p w:rsidR="00A06AC9" w:rsidRPr="001050E3" w:rsidRDefault="00D64524" w:rsidP="00A06AC9">
            <w:pPr>
              <w:jc w:val="both"/>
              <w:rPr>
                <w:rFonts w:eastAsia="Times New Roman" w:cs="Times New Roman"/>
                <w:bCs/>
                <w:color w:val="000000" w:themeColor="text1"/>
                <w:kern w:val="24"/>
                <w:sz w:val="20"/>
                <w:szCs w:val="20"/>
                <w:lang w:eastAsia="lv-LV"/>
              </w:rPr>
            </w:pPr>
            <w:r>
              <w:rPr>
                <w:rFonts w:cs="Times New Roman"/>
                <w:bCs/>
                <w:color w:val="000000" w:themeColor="text1"/>
                <w:sz w:val="20"/>
                <w:szCs w:val="20"/>
              </w:rPr>
              <w:t>12</w:t>
            </w:r>
            <w:r w:rsidR="001050E3" w:rsidRPr="001050E3">
              <w:rPr>
                <w:rFonts w:cs="Times New Roman"/>
                <w:bCs/>
                <w:color w:val="000000" w:themeColor="text1"/>
                <w:sz w:val="20"/>
                <w:szCs w:val="20"/>
              </w:rPr>
              <w:t>.</w:t>
            </w:r>
          </w:p>
        </w:tc>
        <w:tc>
          <w:tcPr>
            <w:tcW w:w="3716" w:type="dxa"/>
          </w:tcPr>
          <w:p w:rsidR="00A06AC9" w:rsidRPr="00A6562D" w:rsidRDefault="00A06AC9" w:rsidP="00A06AC9">
            <w:pPr>
              <w:jc w:val="both"/>
              <w:rPr>
                <w:rFonts w:eastAsia="Calibri" w:cs="Times New Roman"/>
                <w:color w:val="000000" w:themeColor="text1"/>
                <w:sz w:val="20"/>
                <w:szCs w:val="20"/>
              </w:rPr>
            </w:pPr>
            <w:r w:rsidRPr="00A6562D">
              <w:rPr>
                <w:rFonts w:cs="Times New Roman"/>
                <w:color w:val="000000" w:themeColor="text1"/>
                <w:sz w:val="20"/>
                <w:szCs w:val="20"/>
              </w:rPr>
              <w:t xml:space="preserve">Īstenot informatīvo kampaņu: “Iedzīvotāju izglītošana par rīcību pēc </w:t>
            </w:r>
            <w:proofErr w:type="spellStart"/>
            <w:r w:rsidRPr="00A6562D">
              <w:rPr>
                <w:rFonts w:cs="Times New Roman"/>
                <w:color w:val="000000" w:themeColor="text1"/>
                <w:sz w:val="20"/>
                <w:szCs w:val="20"/>
              </w:rPr>
              <w:t>CSNg</w:t>
            </w:r>
            <w:proofErr w:type="spellEnd"/>
            <w:r w:rsidRPr="00A6562D">
              <w:rPr>
                <w:rFonts w:cs="Times New Roman"/>
                <w:color w:val="000000" w:themeColor="text1"/>
                <w:sz w:val="20"/>
                <w:szCs w:val="20"/>
              </w:rPr>
              <w:t>”.</w:t>
            </w:r>
          </w:p>
        </w:tc>
        <w:tc>
          <w:tcPr>
            <w:tcW w:w="2794" w:type="dxa"/>
          </w:tcPr>
          <w:p w:rsidR="00A06AC9" w:rsidRPr="00A6562D" w:rsidRDefault="00226517" w:rsidP="00A06AC9">
            <w:pPr>
              <w:jc w:val="both"/>
              <w:rPr>
                <w:rFonts w:eastAsia="Times New Roman" w:cs="Times New Roman"/>
                <w:color w:val="000000" w:themeColor="text1"/>
                <w:sz w:val="20"/>
                <w:szCs w:val="20"/>
              </w:rPr>
            </w:pPr>
            <w:r>
              <w:rPr>
                <w:rFonts w:eastAsia="Times New Roman" w:cs="Times New Roman"/>
                <w:color w:val="000000" w:themeColor="text1"/>
                <w:sz w:val="20"/>
                <w:szCs w:val="20"/>
              </w:rPr>
              <w:t>Īstenota</w:t>
            </w:r>
            <w:r w:rsidR="00A06AC9" w:rsidRPr="00A6562D">
              <w:rPr>
                <w:rFonts w:eastAsia="Times New Roman" w:cs="Times New Roman"/>
                <w:color w:val="000000" w:themeColor="text1"/>
                <w:sz w:val="20"/>
                <w:szCs w:val="20"/>
              </w:rPr>
              <w:t xml:space="preserve"> kampaņa, lai </w:t>
            </w:r>
            <w:r w:rsidR="00A06AC9" w:rsidRPr="00A6562D">
              <w:rPr>
                <w:rFonts w:cs="Times New Roman"/>
                <w:color w:val="000000" w:themeColor="text1"/>
                <w:sz w:val="20"/>
                <w:szCs w:val="20"/>
              </w:rPr>
              <w:t xml:space="preserve">sabiedrībā mainītu priekšstatu par pareizu rīcību pēc  </w:t>
            </w:r>
            <w:proofErr w:type="spellStart"/>
            <w:r w:rsidR="00A06AC9" w:rsidRPr="00A6562D">
              <w:rPr>
                <w:rFonts w:cs="Times New Roman"/>
                <w:color w:val="000000" w:themeColor="text1"/>
                <w:sz w:val="20"/>
                <w:szCs w:val="20"/>
              </w:rPr>
              <w:t>CSNg</w:t>
            </w:r>
            <w:proofErr w:type="spellEnd"/>
            <w:r w:rsidR="00A06AC9" w:rsidRPr="00A6562D">
              <w:rPr>
                <w:rFonts w:cs="Times New Roman"/>
                <w:color w:val="000000" w:themeColor="text1"/>
                <w:sz w:val="20"/>
                <w:szCs w:val="20"/>
              </w:rPr>
              <w:t>.</w:t>
            </w:r>
          </w:p>
        </w:tc>
        <w:tc>
          <w:tcPr>
            <w:tcW w:w="2805" w:type="dxa"/>
          </w:tcPr>
          <w:p w:rsidR="00A06AC9" w:rsidRPr="00A6562D" w:rsidRDefault="00A06AC9" w:rsidP="00A06AC9">
            <w:pPr>
              <w:jc w:val="both"/>
              <w:rPr>
                <w:rFonts w:cs="Times New Roman"/>
                <w:sz w:val="20"/>
                <w:szCs w:val="20"/>
              </w:rPr>
            </w:pPr>
            <w:r w:rsidRPr="00A6562D">
              <w:rPr>
                <w:rFonts w:cs="Times New Roman"/>
                <w:color w:val="000000" w:themeColor="text1"/>
                <w:sz w:val="20"/>
                <w:szCs w:val="20"/>
              </w:rPr>
              <w:t xml:space="preserve">Izveidoti </w:t>
            </w:r>
            <w:r w:rsidRPr="00A6562D">
              <w:rPr>
                <w:rFonts w:cs="Times New Roman"/>
                <w:b/>
                <w:color w:val="000000" w:themeColor="text1"/>
                <w:sz w:val="20"/>
                <w:szCs w:val="20"/>
              </w:rPr>
              <w:t>3</w:t>
            </w:r>
            <w:r w:rsidRPr="00A6562D">
              <w:rPr>
                <w:rFonts w:cs="Times New Roman"/>
                <w:color w:val="000000" w:themeColor="text1"/>
                <w:sz w:val="20"/>
                <w:szCs w:val="20"/>
              </w:rPr>
              <w:t xml:space="preserve"> video klipi par rīcību pēc ceļu satiksmes negadījuma, video klipi un kampaņas sociālajos tīklos ar atgādinājumu vispirms zvanīt uz 112 un tikai pēc tam fotografēt; informatīvie plakāti CSDD un citās iestādēs, informatīvie bukleti, bērnu krāsojamās grāmatiņas par 112, gaisa atsvaidzinātāji ar atgādinājumu par 112 (dalīt var piemēram visiem, kas CSDD iziet auto tehnisko apskati), automašīnas pulkstenītis par 112 un rīcību pēc avārijas un citi reprezentatīvie materiāli.</w:t>
            </w:r>
          </w:p>
        </w:tc>
        <w:tc>
          <w:tcPr>
            <w:tcW w:w="1131" w:type="dxa"/>
          </w:tcPr>
          <w:p w:rsidR="00A06AC9" w:rsidRPr="00A6562D" w:rsidRDefault="00A06AC9" w:rsidP="00A06AC9">
            <w:pPr>
              <w:jc w:val="both"/>
              <w:rPr>
                <w:rFonts w:eastAsia="Times New Roman" w:cs="Times New Roman"/>
                <w:color w:val="000000" w:themeColor="text1"/>
                <w:kern w:val="24"/>
                <w:sz w:val="20"/>
                <w:szCs w:val="20"/>
                <w:lang w:eastAsia="lv-LV"/>
              </w:rPr>
            </w:pPr>
            <w:r w:rsidRPr="00A6562D">
              <w:rPr>
                <w:rFonts w:cs="Times New Roman"/>
                <w:color w:val="000000" w:themeColor="text1"/>
                <w:sz w:val="20"/>
                <w:szCs w:val="20"/>
              </w:rPr>
              <w:t>IeM</w:t>
            </w:r>
            <w:r w:rsidR="003C0103">
              <w:rPr>
                <w:rFonts w:cs="Times New Roman"/>
                <w:color w:val="000000" w:themeColor="text1"/>
                <w:sz w:val="20"/>
                <w:szCs w:val="20"/>
              </w:rPr>
              <w:t xml:space="preserve"> (VUGD)</w:t>
            </w:r>
          </w:p>
        </w:tc>
        <w:tc>
          <w:tcPr>
            <w:tcW w:w="1416" w:type="dxa"/>
          </w:tcPr>
          <w:p w:rsidR="00A06AC9" w:rsidRPr="00A6562D" w:rsidRDefault="003C0103" w:rsidP="00A06AC9">
            <w:pPr>
              <w:jc w:val="both"/>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SM</w:t>
            </w:r>
          </w:p>
        </w:tc>
        <w:tc>
          <w:tcPr>
            <w:tcW w:w="1417" w:type="dxa"/>
          </w:tcPr>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 xml:space="preserve">2017.-2020. </w:t>
            </w:r>
          </w:p>
          <w:p w:rsidR="00A06AC9" w:rsidRPr="00680E32" w:rsidRDefault="00A06AC9" w:rsidP="00A06AC9">
            <w:pPr>
              <w:jc w:val="both"/>
              <w:rPr>
                <w:rFonts w:cs="Times New Roman"/>
                <w:color w:val="000000" w:themeColor="text1"/>
                <w:sz w:val="20"/>
                <w:szCs w:val="20"/>
              </w:rPr>
            </w:pPr>
          </w:p>
          <w:p w:rsidR="00A06AC9" w:rsidRPr="00680E32" w:rsidRDefault="00A06AC9" w:rsidP="00A06AC9">
            <w:pPr>
              <w:jc w:val="both"/>
              <w:rPr>
                <w:rFonts w:cs="Times New Roman"/>
                <w:b/>
                <w:color w:val="000000" w:themeColor="text1"/>
                <w:sz w:val="20"/>
                <w:szCs w:val="20"/>
              </w:rPr>
            </w:pPr>
            <w:r w:rsidRPr="00680E32">
              <w:rPr>
                <w:rFonts w:cs="Times New Roman"/>
                <w:b/>
                <w:color w:val="000000" w:themeColor="text1"/>
                <w:sz w:val="20"/>
                <w:szCs w:val="20"/>
              </w:rPr>
              <w:t>2017.</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Video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Krāsojamā grāmata</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Gaisa atsvaidzinātāji ar 112 logo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 xml:space="preserve">Uzlīmes, plakāti, u.c. </w:t>
            </w:r>
          </w:p>
          <w:p w:rsidR="00A06AC9" w:rsidRPr="00680E32" w:rsidRDefault="00A06AC9" w:rsidP="00A06AC9">
            <w:pPr>
              <w:jc w:val="both"/>
              <w:rPr>
                <w:rFonts w:cs="Times New Roman"/>
                <w:color w:val="000000" w:themeColor="text1"/>
                <w:sz w:val="20"/>
                <w:szCs w:val="20"/>
              </w:rPr>
            </w:pPr>
          </w:p>
          <w:p w:rsidR="00A06AC9" w:rsidRPr="00680E32" w:rsidRDefault="00A06AC9" w:rsidP="00A06AC9">
            <w:pPr>
              <w:jc w:val="both"/>
              <w:rPr>
                <w:rFonts w:cs="Times New Roman"/>
                <w:b/>
                <w:color w:val="000000" w:themeColor="text1"/>
                <w:sz w:val="20"/>
                <w:szCs w:val="20"/>
              </w:rPr>
            </w:pPr>
            <w:r w:rsidRPr="00680E32">
              <w:rPr>
                <w:rFonts w:cs="Times New Roman"/>
                <w:b/>
                <w:color w:val="000000" w:themeColor="text1"/>
                <w:sz w:val="20"/>
                <w:szCs w:val="20"/>
              </w:rPr>
              <w:t>2018.</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Video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Gaisa atsvaidzinātāji ar 112 logo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 xml:space="preserve">Uzlīmes, plakāti, </w:t>
            </w:r>
            <w:proofErr w:type="spellStart"/>
            <w:r w:rsidRPr="00680E32">
              <w:rPr>
                <w:rFonts w:cs="Times New Roman"/>
                <w:color w:val="000000" w:themeColor="text1"/>
                <w:sz w:val="20"/>
                <w:szCs w:val="20"/>
              </w:rPr>
              <w:t>u.c</w:t>
            </w:r>
            <w:proofErr w:type="spellEnd"/>
          </w:p>
          <w:p w:rsidR="00A06AC9" w:rsidRPr="00680E32" w:rsidRDefault="00A06AC9" w:rsidP="00A06AC9">
            <w:pPr>
              <w:jc w:val="both"/>
              <w:rPr>
                <w:rFonts w:cs="Times New Roman"/>
                <w:color w:val="000000" w:themeColor="text1"/>
                <w:sz w:val="20"/>
                <w:szCs w:val="20"/>
              </w:rPr>
            </w:pPr>
          </w:p>
          <w:p w:rsidR="00A06AC9" w:rsidRPr="00680E32" w:rsidRDefault="00A06AC9" w:rsidP="00A06AC9">
            <w:pPr>
              <w:jc w:val="both"/>
              <w:rPr>
                <w:rFonts w:cs="Times New Roman"/>
                <w:b/>
                <w:color w:val="000000" w:themeColor="text1"/>
                <w:sz w:val="20"/>
                <w:szCs w:val="20"/>
              </w:rPr>
            </w:pPr>
            <w:r w:rsidRPr="00680E32">
              <w:rPr>
                <w:rFonts w:cs="Times New Roman"/>
                <w:b/>
                <w:color w:val="000000" w:themeColor="text1"/>
                <w:sz w:val="20"/>
                <w:szCs w:val="20"/>
              </w:rPr>
              <w:t>2019.</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Video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Gaisa atsvaidzinātāji ar 112 logo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Uzlīmes, plakāti, u.</w:t>
            </w:r>
          </w:p>
          <w:p w:rsidR="00A06AC9" w:rsidRPr="00680E32" w:rsidRDefault="00A06AC9" w:rsidP="00A06AC9">
            <w:pPr>
              <w:jc w:val="both"/>
              <w:rPr>
                <w:rFonts w:cs="Times New Roman"/>
                <w:color w:val="000000" w:themeColor="text1"/>
                <w:sz w:val="20"/>
                <w:szCs w:val="20"/>
              </w:rPr>
            </w:pP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2020.</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lastRenderedPageBreak/>
              <w:t>Gaisa atsvaidzinātāji ar 112 logo</w:t>
            </w: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Uzlīmes, plakāti, u.</w:t>
            </w:r>
          </w:p>
          <w:p w:rsidR="00A06AC9" w:rsidRPr="00680E32" w:rsidRDefault="00A06AC9" w:rsidP="00A06AC9">
            <w:pPr>
              <w:jc w:val="both"/>
              <w:rPr>
                <w:rFonts w:cs="Times New Roman"/>
                <w:color w:val="000000" w:themeColor="text1"/>
                <w:sz w:val="20"/>
                <w:szCs w:val="20"/>
              </w:rPr>
            </w:pPr>
          </w:p>
          <w:p w:rsidR="00A06AC9" w:rsidRPr="00680E32" w:rsidRDefault="00A06AC9" w:rsidP="00A06AC9">
            <w:pPr>
              <w:jc w:val="both"/>
              <w:rPr>
                <w:rFonts w:cs="Times New Roman"/>
                <w:color w:val="000000" w:themeColor="text1"/>
                <w:sz w:val="20"/>
                <w:szCs w:val="20"/>
              </w:rPr>
            </w:pPr>
          </w:p>
          <w:p w:rsidR="00A06AC9" w:rsidRPr="00680E32" w:rsidRDefault="00A06AC9" w:rsidP="00A06AC9">
            <w:pPr>
              <w:jc w:val="both"/>
              <w:rPr>
                <w:rFonts w:cs="Times New Roman"/>
                <w:color w:val="000000" w:themeColor="text1"/>
                <w:sz w:val="20"/>
                <w:szCs w:val="20"/>
              </w:rPr>
            </w:pPr>
            <w:r w:rsidRPr="00680E32">
              <w:rPr>
                <w:rFonts w:cs="Times New Roman"/>
                <w:color w:val="000000" w:themeColor="text1"/>
                <w:sz w:val="20"/>
                <w:szCs w:val="20"/>
              </w:rPr>
              <w:t>Kopā par periodu:</w:t>
            </w:r>
          </w:p>
          <w:p w:rsidR="00A06AC9" w:rsidRPr="00680E32" w:rsidRDefault="00A06AC9" w:rsidP="00A06AC9">
            <w:pPr>
              <w:jc w:val="both"/>
              <w:rPr>
                <w:rFonts w:eastAsia="Times New Roman" w:cs="Times New Roman"/>
                <w:b/>
                <w:color w:val="000000" w:themeColor="text1"/>
                <w:sz w:val="20"/>
                <w:szCs w:val="20"/>
                <w:lang w:eastAsia="lv-LV"/>
              </w:rPr>
            </w:pPr>
          </w:p>
        </w:tc>
        <w:tc>
          <w:tcPr>
            <w:tcW w:w="2119" w:type="dxa"/>
            <w:shd w:val="clear" w:color="auto" w:fill="auto"/>
          </w:tcPr>
          <w:p w:rsidR="00A06AC9" w:rsidRPr="00680E32" w:rsidRDefault="00A06AC9" w:rsidP="00A06AC9">
            <w:pPr>
              <w:shd w:val="clear" w:color="auto" w:fill="FFFFFF" w:themeFill="background1"/>
              <w:jc w:val="both"/>
              <w:rPr>
                <w:rFonts w:cs="Times New Roman"/>
                <w:sz w:val="20"/>
                <w:szCs w:val="20"/>
              </w:rPr>
            </w:pPr>
            <w:r w:rsidRPr="00680E32">
              <w:rPr>
                <w:rFonts w:cs="Times New Roman"/>
                <w:sz w:val="20"/>
                <w:szCs w:val="20"/>
              </w:rPr>
              <w:lastRenderedPageBreak/>
              <w:t>OCTA budžets</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15 000</w:t>
            </w:r>
          </w:p>
          <w:p w:rsidR="00A06AC9" w:rsidRPr="00680E32" w:rsidRDefault="00A06AC9" w:rsidP="00A06AC9">
            <w:pPr>
              <w:jc w:val="both"/>
              <w:rPr>
                <w:rFonts w:cs="Times New Roman"/>
                <w:sz w:val="20"/>
                <w:szCs w:val="20"/>
              </w:rPr>
            </w:pPr>
            <w:r w:rsidRPr="00680E32">
              <w:rPr>
                <w:rFonts w:cs="Times New Roman"/>
                <w:sz w:val="20"/>
                <w:szCs w:val="20"/>
              </w:rPr>
              <w:t>15 000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15 000</w:t>
            </w: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15 000</w:t>
            </w: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sz w:val="20"/>
                <w:szCs w:val="20"/>
              </w:rPr>
            </w:pPr>
            <w:r w:rsidRPr="00680E32">
              <w:rPr>
                <w:rFonts w:cs="Times New Roman"/>
                <w:sz w:val="20"/>
                <w:szCs w:val="20"/>
              </w:rPr>
              <w:t>10 000</w:t>
            </w:r>
          </w:p>
          <w:p w:rsidR="00A06AC9" w:rsidRPr="00680E32" w:rsidRDefault="00A06AC9" w:rsidP="00A06AC9">
            <w:pPr>
              <w:jc w:val="both"/>
              <w:rPr>
                <w:rFonts w:cs="Times New Roman"/>
                <w:sz w:val="20"/>
                <w:szCs w:val="20"/>
              </w:rPr>
            </w:pPr>
          </w:p>
          <w:p w:rsidR="00A06AC9" w:rsidRPr="00680E32" w:rsidRDefault="00A06AC9" w:rsidP="00A06AC9">
            <w:pPr>
              <w:jc w:val="both"/>
              <w:rPr>
                <w:rFonts w:cs="Times New Roman"/>
                <w:b/>
                <w:sz w:val="20"/>
                <w:szCs w:val="20"/>
              </w:rPr>
            </w:pPr>
          </w:p>
          <w:p w:rsidR="00A06AC9" w:rsidRPr="00680E32" w:rsidRDefault="00A06AC9" w:rsidP="00A06AC9">
            <w:pPr>
              <w:jc w:val="both"/>
              <w:rPr>
                <w:rFonts w:cs="Times New Roman"/>
                <w:b/>
                <w:sz w:val="20"/>
                <w:szCs w:val="20"/>
              </w:rPr>
            </w:pPr>
          </w:p>
          <w:p w:rsidR="00A06AC9" w:rsidRDefault="00A06AC9" w:rsidP="00A06AC9">
            <w:pPr>
              <w:jc w:val="both"/>
              <w:rPr>
                <w:rFonts w:cs="Times New Roman"/>
                <w:b/>
                <w:sz w:val="20"/>
                <w:szCs w:val="20"/>
              </w:rPr>
            </w:pPr>
          </w:p>
          <w:p w:rsidR="006315A4" w:rsidRPr="00680E32" w:rsidRDefault="006315A4" w:rsidP="00A06AC9">
            <w:pPr>
              <w:jc w:val="both"/>
              <w:rPr>
                <w:rFonts w:cs="Times New Roman"/>
                <w:b/>
                <w:sz w:val="20"/>
                <w:szCs w:val="20"/>
              </w:rPr>
            </w:pPr>
          </w:p>
          <w:p w:rsidR="00A06AC9" w:rsidRPr="00680E32" w:rsidRDefault="00A06AC9" w:rsidP="00A06AC9">
            <w:pPr>
              <w:jc w:val="both"/>
              <w:rPr>
                <w:rFonts w:cs="Times New Roman"/>
                <w:sz w:val="20"/>
                <w:szCs w:val="20"/>
              </w:rPr>
            </w:pPr>
            <w:r w:rsidRPr="00680E32">
              <w:rPr>
                <w:rFonts w:cs="Times New Roman"/>
                <w:sz w:val="20"/>
                <w:szCs w:val="20"/>
              </w:rPr>
              <w:t xml:space="preserve">140 000 </w:t>
            </w:r>
          </w:p>
        </w:tc>
      </w:tr>
      <w:tr w:rsidR="00DC57D4" w:rsidRPr="00532F00" w:rsidTr="009D1429">
        <w:trPr>
          <w:trHeight w:val="1378"/>
        </w:trPr>
        <w:tc>
          <w:tcPr>
            <w:tcW w:w="478" w:type="dxa"/>
          </w:tcPr>
          <w:p w:rsidR="00317A89" w:rsidRPr="001050E3" w:rsidRDefault="00D64524" w:rsidP="00317A89">
            <w:pPr>
              <w:jc w:val="both"/>
              <w:rPr>
                <w:rFonts w:cs="Times New Roman"/>
                <w:bCs/>
                <w:color w:val="000000" w:themeColor="text1"/>
                <w:sz w:val="20"/>
                <w:szCs w:val="20"/>
              </w:rPr>
            </w:pPr>
            <w:r>
              <w:rPr>
                <w:rFonts w:cs="Times New Roman"/>
                <w:bCs/>
                <w:color w:val="000000" w:themeColor="text1"/>
                <w:sz w:val="20"/>
                <w:szCs w:val="20"/>
              </w:rPr>
              <w:lastRenderedPageBreak/>
              <w:t>13</w:t>
            </w:r>
            <w:r w:rsidR="001050E3" w:rsidRPr="001050E3">
              <w:rPr>
                <w:rFonts w:cs="Times New Roman"/>
                <w:bCs/>
                <w:color w:val="000000" w:themeColor="text1"/>
                <w:sz w:val="20"/>
                <w:szCs w:val="20"/>
              </w:rPr>
              <w:t>.</w:t>
            </w:r>
          </w:p>
        </w:tc>
        <w:tc>
          <w:tcPr>
            <w:tcW w:w="3716" w:type="dxa"/>
          </w:tcPr>
          <w:p w:rsidR="00317A89" w:rsidRPr="00680E32" w:rsidRDefault="00317A89" w:rsidP="00317A89">
            <w:pPr>
              <w:jc w:val="both"/>
              <w:rPr>
                <w:color w:val="000000"/>
                <w:sz w:val="20"/>
                <w:szCs w:val="20"/>
              </w:rPr>
            </w:pPr>
            <w:r w:rsidRPr="00680E32">
              <w:rPr>
                <w:rFonts w:eastAsia="Calibri" w:cs="Times New Roman"/>
                <w:color w:val="000000" w:themeColor="text1"/>
                <w:sz w:val="20"/>
                <w:szCs w:val="20"/>
              </w:rPr>
              <w:t>Preventīvo pasākumu īstenošana ceļu satiksmes drošības uzlabošanai. Gaismas atstarotāju, priekšmetu ar gaismu atstarojošiem elementiem iegāde izsniegšanai uz robežas un pierobežā</w:t>
            </w:r>
            <w:r w:rsidR="008F468C">
              <w:rPr>
                <w:rFonts w:eastAsia="Calibri" w:cs="Times New Roman"/>
                <w:color w:val="000000" w:themeColor="text1"/>
                <w:sz w:val="20"/>
                <w:szCs w:val="20"/>
              </w:rPr>
              <w:t>.</w:t>
            </w:r>
          </w:p>
        </w:tc>
        <w:tc>
          <w:tcPr>
            <w:tcW w:w="2794" w:type="dxa"/>
          </w:tcPr>
          <w:p w:rsidR="00D052EC" w:rsidRPr="00D052EC" w:rsidRDefault="00D052EC" w:rsidP="00D052EC">
            <w:pPr>
              <w:rPr>
                <w:rFonts w:eastAsia="Times New Roman" w:cs="Times New Roman"/>
                <w:color w:val="000000" w:themeColor="text1"/>
                <w:sz w:val="20"/>
                <w:szCs w:val="20"/>
              </w:rPr>
            </w:pPr>
            <w:r w:rsidRPr="00D052EC">
              <w:rPr>
                <w:rFonts w:eastAsia="Times New Roman" w:cs="Times New Roman"/>
                <w:color w:val="000000" w:themeColor="text1"/>
                <w:sz w:val="20"/>
                <w:szCs w:val="20"/>
              </w:rPr>
              <w:t xml:space="preserve">Iegādātas 10 000 vienības ar gaismu atstarojošiem elementiem. </w:t>
            </w:r>
          </w:p>
          <w:p w:rsidR="00317A89" w:rsidRPr="00680E32" w:rsidRDefault="00D052EC" w:rsidP="00D052EC">
            <w:pPr>
              <w:jc w:val="both"/>
              <w:rPr>
                <w:rFonts w:eastAsia="Times New Roman"/>
                <w:color w:val="000000"/>
                <w:sz w:val="20"/>
                <w:szCs w:val="20"/>
              </w:rPr>
            </w:pPr>
            <w:r w:rsidRPr="00D052EC">
              <w:rPr>
                <w:rFonts w:eastAsia="Times New Roman" w:cs="Times New Roman"/>
                <w:color w:val="000000" w:themeColor="text1"/>
                <w:sz w:val="20"/>
                <w:szCs w:val="20"/>
              </w:rPr>
              <w:t xml:space="preserve">Priekšmeti ar gaismu atstarojošiem elementiem izsniegti personām, kuras piedalījās VRS teritoriālo pārvalžu rīkotajos publiskajos, preventīvajos pasākumos.  </w:t>
            </w:r>
          </w:p>
        </w:tc>
        <w:tc>
          <w:tcPr>
            <w:tcW w:w="2805" w:type="dxa"/>
          </w:tcPr>
          <w:p w:rsidR="00D052EC" w:rsidRPr="00D052EC" w:rsidRDefault="00D052EC" w:rsidP="00D052EC">
            <w:pPr>
              <w:jc w:val="both"/>
              <w:rPr>
                <w:rFonts w:eastAsia="Times New Roman" w:cs="Times New Roman"/>
                <w:color w:val="000000" w:themeColor="text1"/>
                <w:sz w:val="20"/>
                <w:szCs w:val="20"/>
                <w:lang w:eastAsia="lv-LV"/>
              </w:rPr>
            </w:pPr>
            <w:r w:rsidRPr="00D052EC">
              <w:rPr>
                <w:rFonts w:eastAsia="Times New Roman" w:cs="Times New Roman"/>
                <w:color w:val="000000" w:themeColor="text1"/>
                <w:sz w:val="20"/>
                <w:szCs w:val="20"/>
                <w:lang w:eastAsia="lv-LV"/>
              </w:rPr>
              <w:t xml:space="preserve">Iegādātas 10 000 vienības ar gaismu atstarojošajiem elementiem </w:t>
            </w:r>
          </w:p>
          <w:p w:rsidR="00D052EC" w:rsidRPr="00D052EC" w:rsidRDefault="00D052EC" w:rsidP="00D052EC">
            <w:pPr>
              <w:jc w:val="both"/>
              <w:rPr>
                <w:rFonts w:eastAsia="Times New Roman" w:cs="Times New Roman"/>
                <w:color w:val="000000" w:themeColor="text1"/>
                <w:sz w:val="20"/>
                <w:szCs w:val="20"/>
                <w:lang w:eastAsia="lv-LV"/>
              </w:rPr>
            </w:pPr>
            <w:r w:rsidRPr="00D052EC">
              <w:rPr>
                <w:rFonts w:eastAsia="Times New Roman" w:cs="Times New Roman"/>
                <w:color w:val="000000" w:themeColor="text1"/>
                <w:sz w:val="20"/>
                <w:szCs w:val="20"/>
                <w:lang w:eastAsia="lv-LV"/>
              </w:rPr>
              <w:t xml:space="preserve">(2017.gadā – 2 500 gab.; </w:t>
            </w:r>
          </w:p>
          <w:p w:rsidR="00D052EC" w:rsidRPr="00D052EC" w:rsidRDefault="00D052EC" w:rsidP="00D052EC">
            <w:pPr>
              <w:jc w:val="both"/>
              <w:rPr>
                <w:rFonts w:eastAsia="Times New Roman" w:cs="Times New Roman"/>
                <w:color w:val="000000" w:themeColor="text1"/>
                <w:sz w:val="20"/>
                <w:szCs w:val="20"/>
                <w:lang w:eastAsia="lv-LV"/>
              </w:rPr>
            </w:pPr>
            <w:r w:rsidRPr="00D052EC">
              <w:rPr>
                <w:rFonts w:eastAsia="Times New Roman" w:cs="Times New Roman"/>
                <w:color w:val="000000" w:themeColor="text1"/>
                <w:sz w:val="20"/>
                <w:szCs w:val="20"/>
                <w:lang w:eastAsia="lv-LV"/>
              </w:rPr>
              <w:t xml:space="preserve">2018.gadā – 2 500.gab.; </w:t>
            </w:r>
          </w:p>
          <w:p w:rsidR="00D052EC" w:rsidRPr="00D052EC" w:rsidRDefault="00D052EC" w:rsidP="00D052EC">
            <w:pPr>
              <w:jc w:val="both"/>
              <w:rPr>
                <w:rFonts w:eastAsia="Times New Roman" w:cs="Times New Roman"/>
                <w:color w:val="000000" w:themeColor="text1"/>
                <w:sz w:val="20"/>
                <w:szCs w:val="20"/>
                <w:lang w:eastAsia="lv-LV"/>
              </w:rPr>
            </w:pPr>
            <w:r w:rsidRPr="00D052EC">
              <w:rPr>
                <w:rFonts w:eastAsia="Times New Roman" w:cs="Times New Roman"/>
                <w:color w:val="000000" w:themeColor="text1"/>
                <w:sz w:val="20"/>
                <w:szCs w:val="20"/>
                <w:lang w:eastAsia="lv-LV"/>
              </w:rPr>
              <w:t>2019.gadā – 2 500 gab.;</w:t>
            </w:r>
          </w:p>
          <w:p w:rsidR="00317A89" w:rsidRPr="00680E32" w:rsidRDefault="00D052EC" w:rsidP="00D052EC">
            <w:pPr>
              <w:jc w:val="both"/>
              <w:rPr>
                <w:rFonts w:cs="Times New Roman"/>
                <w:color w:val="000000" w:themeColor="text1"/>
                <w:sz w:val="20"/>
                <w:szCs w:val="20"/>
              </w:rPr>
            </w:pPr>
            <w:r w:rsidRPr="00D052EC">
              <w:rPr>
                <w:rFonts w:eastAsia="Times New Roman" w:cs="Times New Roman"/>
                <w:color w:val="000000" w:themeColor="text1"/>
                <w:sz w:val="20"/>
                <w:szCs w:val="20"/>
                <w:lang w:eastAsia="lv-LV"/>
              </w:rPr>
              <w:t>2020.gadā – 2 500 gab.)</w:t>
            </w:r>
          </w:p>
        </w:tc>
        <w:tc>
          <w:tcPr>
            <w:tcW w:w="1131" w:type="dxa"/>
          </w:tcPr>
          <w:p w:rsidR="00317A89" w:rsidRPr="00680E32" w:rsidRDefault="00317A89" w:rsidP="00317A89">
            <w:pPr>
              <w:jc w:val="both"/>
              <w:rPr>
                <w:rFonts w:cs="Times New Roman"/>
                <w:color w:val="000000" w:themeColor="text1"/>
                <w:sz w:val="20"/>
                <w:szCs w:val="20"/>
              </w:rPr>
            </w:pPr>
            <w:r w:rsidRPr="00680E32">
              <w:rPr>
                <w:rFonts w:eastAsia="Times New Roman" w:cs="Times New Roman"/>
                <w:color w:val="000000" w:themeColor="text1"/>
                <w:kern w:val="24"/>
                <w:sz w:val="20"/>
                <w:szCs w:val="20"/>
                <w:lang w:eastAsia="lv-LV"/>
              </w:rPr>
              <w:t xml:space="preserve">IeM </w:t>
            </w:r>
            <w:r w:rsidR="00E65AC0">
              <w:rPr>
                <w:rFonts w:eastAsia="Times New Roman" w:cs="Times New Roman"/>
                <w:color w:val="000000" w:themeColor="text1"/>
                <w:kern w:val="24"/>
                <w:sz w:val="20"/>
                <w:szCs w:val="20"/>
                <w:lang w:eastAsia="lv-LV"/>
              </w:rPr>
              <w:t>(</w:t>
            </w:r>
            <w:r w:rsidRPr="00680E32">
              <w:rPr>
                <w:rFonts w:eastAsia="Times New Roman" w:cs="Times New Roman"/>
                <w:color w:val="000000" w:themeColor="text1"/>
                <w:kern w:val="24"/>
                <w:sz w:val="20"/>
                <w:szCs w:val="20"/>
                <w:lang w:eastAsia="lv-LV"/>
              </w:rPr>
              <w:t>VRS</w:t>
            </w:r>
            <w:r w:rsidR="00E65AC0">
              <w:rPr>
                <w:rFonts w:eastAsia="Times New Roman" w:cs="Times New Roman"/>
                <w:color w:val="000000" w:themeColor="text1"/>
                <w:kern w:val="24"/>
                <w:sz w:val="20"/>
                <w:szCs w:val="20"/>
                <w:lang w:eastAsia="lv-LV"/>
              </w:rPr>
              <w:t>)</w:t>
            </w:r>
          </w:p>
        </w:tc>
        <w:tc>
          <w:tcPr>
            <w:tcW w:w="1416" w:type="dxa"/>
          </w:tcPr>
          <w:p w:rsidR="00317A89" w:rsidRPr="00680E32" w:rsidRDefault="00317A89" w:rsidP="00317A89">
            <w:pPr>
              <w:jc w:val="both"/>
              <w:rPr>
                <w:rFonts w:cs="Times New Roman"/>
                <w:color w:val="000000" w:themeColor="text1"/>
                <w:sz w:val="20"/>
                <w:szCs w:val="20"/>
              </w:rPr>
            </w:pPr>
            <w:r w:rsidRPr="00680E32">
              <w:rPr>
                <w:rFonts w:eastAsia="Times New Roman" w:cs="Times New Roman"/>
                <w:color w:val="000000" w:themeColor="text1"/>
                <w:sz w:val="20"/>
                <w:szCs w:val="20"/>
                <w:lang w:eastAsia="lv-LV"/>
              </w:rPr>
              <w:t>SM</w:t>
            </w:r>
          </w:p>
        </w:tc>
        <w:tc>
          <w:tcPr>
            <w:tcW w:w="1417" w:type="dxa"/>
          </w:tcPr>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r w:rsidRPr="00680E32">
              <w:rPr>
                <w:rFonts w:eastAsia="Times New Roman" w:cs="Times New Roman"/>
                <w:color w:val="000000" w:themeColor="text1"/>
                <w:sz w:val="20"/>
                <w:szCs w:val="20"/>
                <w:lang w:eastAsia="lv-LV"/>
              </w:rPr>
              <w:t>31.12.2017.</w:t>
            </w:r>
          </w:p>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r w:rsidRPr="00680E32">
              <w:rPr>
                <w:rFonts w:eastAsia="Times New Roman" w:cs="Times New Roman"/>
                <w:color w:val="000000" w:themeColor="text1"/>
                <w:sz w:val="20"/>
                <w:szCs w:val="20"/>
                <w:lang w:eastAsia="lv-LV"/>
              </w:rPr>
              <w:t>31.12.2018.</w:t>
            </w:r>
          </w:p>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r w:rsidRPr="00680E32">
              <w:rPr>
                <w:rFonts w:eastAsia="Times New Roman" w:cs="Times New Roman"/>
                <w:color w:val="000000" w:themeColor="text1"/>
                <w:sz w:val="20"/>
                <w:szCs w:val="20"/>
                <w:lang w:eastAsia="lv-LV"/>
              </w:rPr>
              <w:t>31.12.2019.</w:t>
            </w:r>
          </w:p>
          <w:p w:rsidR="00317A89" w:rsidRPr="00680E32" w:rsidRDefault="00317A89" w:rsidP="00317A89">
            <w:pPr>
              <w:jc w:val="both"/>
              <w:rPr>
                <w:rFonts w:eastAsia="Times New Roman" w:cs="Times New Roman"/>
                <w:color w:val="000000" w:themeColor="text1"/>
                <w:sz w:val="20"/>
                <w:szCs w:val="20"/>
                <w:lang w:eastAsia="lv-LV"/>
              </w:rPr>
            </w:pPr>
          </w:p>
          <w:p w:rsidR="00317A89" w:rsidRPr="00680E32" w:rsidRDefault="00317A89" w:rsidP="00317A89">
            <w:pPr>
              <w:jc w:val="both"/>
              <w:rPr>
                <w:rFonts w:eastAsia="Times New Roman" w:cs="Times New Roman"/>
                <w:color w:val="000000" w:themeColor="text1"/>
                <w:sz w:val="20"/>
                <w:szCs w:val="20"/>
                <w:lang w:eastAsia="lv-LV"/>
              </w:rPr>
            </w:pPr>
            <w:r w:rsidRPr="00680E32">
              <w:rPr>
                <w:rFonts w:eastAsia="Times New Roman" w:cs="Times New Roman"/>
                <w:color w:val="000000" w:themeColor="text1"/>
                <w:sz w:val="20"/>
                <w:szCs w:val="20"/>
                <w:lang w:eastAsia="lv-LV"/>
              </w:rPr>
              <w:t>31.12.2020.</w:t>
            </w:r>
          </w:p>
          <w:p w:rsidR="00317A89" w:rsidRPr="00680E32" w:rsidRDefault="00317A89" w:rsidP="00317A89">
            <w:pPr>
              <w:jc w:val="both"/>
              <w:rPr>
                <w:rFonts w:cs="Times New Roman"/>
                <w:color w:val="000000" w:themeColor="text1"/>
                <w:sz w:val="20"/>
                <w:szCs w:val="20"/>
              </w:rPr>
            </w:pPr>
          </w:p>
        </w:tc>
        <w:tc>
          <w:tcPr>
            <w:tcW w:w="2119" w:type="dxa"/>
            <w:shd w:val="clear" w:color="auto" w:fill="auto"/>
          </w:tcPr>
          <w:p w:rsidR="00317A89" w:rsidRPr="00680E32" w:rsidRDefault="00317A89" w:rsidP="00317A89">
            <w:pPr>
              <w:rPr>
                <w:rFonts w:cs="Times New Roman"/>
                <w:sz w:val="20"/>
                <w:szCs w:val="20"/>
              </w:rPr>
            </w:pPr>
            <w:r w:rsidRPr="00680E32">
              <w:rPr>
                <w:rFonts w:cs="Times New Roman"/>
                <w:sz w:val="20"/>
                <w:szCs w:val="20"/>
              </w:rPr>
              <w:t>OCTA līdzekļi.</w:t>
            </w:r>
          </w:p>
          <w:p w:rsidR="00317A89" w:rsidRPr="00680E32" w:rsidRDefault="00317A89" w:rsidP="00317A89">
            <w:pPr>
              <w:rPr>
                <w:rFonts w:cs="Times New Roman"/>
                <w:sz w:val="20"/>
                <w:szCs w:val="20"/>
              </w:rPr>
            </w:pPr>
            <w:r w:rsidRPr="00680E32">
              <w:rPr>
                <w:rFonts w:cs="Times New Roman"/>
                <w:sz w:val="20"/>
                <w:szCs w:val="20"/>
              </w:rPr>
              <w:t xml:space="preserve"> </w:t>
            </w:r>
          </w:p>
          <w:p w:rsidR="00317A89" w:rsidRPr="00680E32" w:rsidRDefault="00317A89" w:rsidP="00317A89">
            <w:pPr>
              <w:rPr>
                <w:rFonts w:cs="Times New Roman"/>
                <w:sz w:val="20"/>
                <w:szCs w:val="20"/>
              </w:rPr>
            </w:pPr>
          </w:p>
          <w:p w:rsidR="00317A89" w:rsidRPr="00680E32" w:rsidRDefault="00317A89" w:rsidP="00317A89">
            <w:pPr>
              <w:rPr>
                <w:rFonts w:cs="Times New Roman"/>
                <w:sz w:val="20"/>
                <w:szCs w:val="20"/>
              </w:rPr>
            </w:pPr>
            <w:r w:rsidRPr="00680E32">
              <w:rPr>
                <w:rFonts w:cs="Times New Roman"/>
                <w:sz w:val="20"/>
                <w:szCs w:val="20"/>
              </w:rPr>
              <w:t>5 000</w:t>
            </w:r>
          </w:p>
          <w:p w:rsidR="00317A89" w:rsidRPr="00680E32" w:rsidRDefault="00317A89" w:rsidP="00317A89">
            <w:pPr>
              <w:rPr>
                <w:rFonts w:cs="Times New Roman"/>
                <w:sz w:val="20"/>
                <w:szCs w:val="20"/>
              </w:rPr>
            </w:pPr>
          </w:p>
          <w:p w:rsidR="00317A89" w:rsidRPr="00680E32" w:rsidRDefault="00317A89" w:rsidP="00317A89">
            <w:pPr>
              <w:rPr>
                <w:rFonts w:cs="Times New Roman"/>
                <w:sz w:val="20"/>
                <w:szCs w:val="20"/>
              </w:rPr>
            </w:pPr>
            <w:r w:rsidRPr="00680E32">
              <w:rPr>
                <w:rFonts w:cs="Times New Roman"/>
                <w:sz w:val="20"/>
                <w:szCs w:val="20"/>
              </w:rPr>
              <w:t>5 000</w:t>
            </w:r>
          </w:p>
          <w:p w:rsidR="00317A89" w:rsidRPr="00680E32" w:rsidRDefault="00317A89" w:rsidP="00317A89">
            <w:pPr>
              <w:rPr>
                <w:rFonts w:cs="Times New Roman"/>
                <w:sz w:val="20"/>
                <w:szCs w:val="20"/>
              </w:rPr>
            </w:pPr>
          </w:p>
          <w:p w:rsidR="00317A89" w:rsidRPr="00680E32" w:rsidRDefault="00317A89" w:rsidP="00317A89">
            <w:pPr>
              <w:rPr>
                <w:rFonts w:cs="Times New Roman"/>
                <w:sz w:val="20"/>
                <w:szCs w:val="20"/>
              </w:rPr>
            </w:pPr>
          </w:p>
          <w:p w:rsidR="00317A89" w:rsidRPr="00680E32" w:rsidRDefault="00317A89" w:rsidP="00317A89">
            <w:pPr>
              <w:rPr>
                <w:rFonts w:cs="Times New Roman"/>
                <w:sz w:val="20"/>
                <w:szCs w:val="20"/>
              </w:rPr>
            </w:pPr>
            <w:r w:rsidRPr="00680E32">
              <w:rPr>
                <w:rFonts w:cs="Times New Roman"/>
                <w:sz w:val="20"/>
                <w:szCs w:val="20"/>
              </w:rPr>
              <w:t>5 000</w:t>
            </w:r>
          </w:p>
          <w:p w:rsidR="00317A89" w:rsidRPr="00680E32" w:rsidRDefault="00317A89" w:rsidP="00317A89">
            <w:pPr>
              <w:rPr>
                <w:rFonts w:cs="Times New Roman"/>
                <w:sz w:val="20"/>
                <w:szCs w:val="20"/>
              </w:rPr>
            </w:pPr>
          </w:p>
          <w:p w:rsidR="00317A89" w:rsidRPr="00680E32" w:rsidRDefault="00317A89" w:rsidP="00317A89">
            <w:pPr>
              <w:rPr>
                <w:rFonts w:cs="Times New Roman"/>
                <w:sz w:val="20"/>
                <w:szCs w:val="20"/>
              </w:rPr>
            </w:pPr>
            <w:r w:rsidRPr="00680E32">
              <w:rPr>
                <w:rFonts w:cs="Times New Roman"/>
                <w:sz w:val="20"/>
                <w:szCs w:val="20"/>
              </w:rPr>
              <w:t>5 000</w:t>
            </w:r>
          </w:p>
          <w:p w:rsidR="00317A89" w:rsidRPr="00680E32" w:rsidRDefault="00317A89" w:rsidP="00317A89">
            <w:pPr>
              <w:rPr>
                <w:rFonts w:cs="Times New Roman"/>
                <w:sz w:val="20"/>
                <w:szCs w:val="20"/>
              </w:rPr>
            </w:pPr>
          </w:p>
          <w:p w:rsidR="00317A89" w:rsidRPr="00B91A9F" w:rsidRDefault="00317A89" w:rsidP="00B91A9F">
            <w:pPr>
              <w:rPr>
                <w:rFonts w:cs="Times New Roman"/>
                <w:sz w:val="20"/>
                <w:szCs w:val="20"/>
              </w:rPr>
            </w:pPr>
            <w:r w:rsidRPr="00680E32">
              <w:rPr>
                <w:rFonts w:cs="Times New Roman"/>
                <w:sz w:val="20"/>
                <w:szCs w:val="20"/>
              </w:rPr>
              <w:t>Kopā: 20 000</w:t>
            </w:r>
          </w:p>
        </w:tc>
      </w:tr>
    </w:tbl>
    <w:p w:rsidR="00532F00" w:rsidRDefault="00532F00" w:rsidP="00671C41">
      <w:pPr>
        <w:jc w:val="both"/>
        <w:rPr>
          <w:rFonts w:asciiTheme="minorHAnsi" w:hAnsiTheme="minorHAnsi"/>
          <w:b/>
          <w:sz w:val="20"/>
          <w:szCs w:val="20"/>
        </w:rPr>
      </w:pPr>
    </w:p>
    <w:p w:rsidR="00532F00" w:rsidRPr="00FE4F1C" w:rsidRDefault="009630C5" w:rsidP="001050E3">
      <w:pPr>
        <w:pStyle w:val="Heading2"/>
        <w:ind w:left="284"/>
      </w:pPr>
      <w:bookmarkStart w:id="53" w:name="_Toc457986551"/>
      <w:bookmarkStart w:id="54" w:name="_Toc457989657"/>
      <w:bookmarkStart w:id="55" w:name="_Toc477177768"/>
      <w:r>
        <w:t>3</w:t>
      </w:r>
      <w:r w:rsidR="001050E3">
        <w:t>.3</w:t>
      </w:r>
      <w:r w:rsidR="00FE4F1C" w:rsidRPr="00FE4F1C">
        <w:t xml:space="preserve">. </w:t>
      </w:r>
      <w:r w:rsidR="00945CBC" w:rsidRPr="00FE4F1C">
        <w:t>Satiksmes drošības risinājumu ieviešana a</w:t>
      </w:r>
      <w:r w:rsidR="007A20DD" w:rsidRPr="00FE4F1C">
        <w:t>utoceļu</w:t>
      </w:r>
      <w:r w:rsidR="0007270D" w:rsidRPr="00FE4F1C">
        <w:t xml:space="preserve"> un ielu</w:t>
      </w:r>
      <w:r w:rsidR="007A20DD" w:rsidRPr="00FE4F1C">
        <w:t xml:space="preserve"> </w:t>
      </w:r>
      <w:r w:rsidR="00F22D16" w:rsidRPr="00FE4F1C">
        <w:t>tīklā</w:t>
      </w:r>
      <w:bookmarkEnd w:id="53"/>
      <w:bookmarkEnd w:id="54"/>
      <w:bookmarkEnd w:id="55"/>
    </w:p>
    <w:p w:rsidR="00532F00" w:rsidRPr="006E0406" w:rsidRDefault="00532F00" w:rsidP="006E0406">
      <w:pPr>
        <w:jc w:val="both"/>
        <w:rPr>
          <w:b/>
          <w:u w:val="single"/>
        </w:rPr>
      </w:pPr>
    </w:p>
    <w:tbl>
      <w:tblPr>
        <w:tblStyle w:val="TableGrid"/>
        <w:tblW w:w="15876"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3686"/>
        <w:gridCol w:w="2835"/>
        <w:gridCol w:w="2693"/>
        <w:gridCol w:w="1276"/>
        <w:gridCol w:w="1417"/>
        <w:gridCol w:w="1418"/>
        <w:gridCol w:w="2126"/>
      </w:tblGrid>
      <w:tr w:rsidR="009E6D32" w:rsidRPr="00532F00" w:rsidTr="008A0F2C">
        <w:trPr>
          <w:trHeight w:val="834"/>
        </w:trPr>
        <w:tc>
          <w:tcPr>
            <w:tcW w:w="4111" w:type="dxa"/>
            <w:gridSpan w:val="2"/>
            <w:shd w:val="clear" w:color="auto" w:fill="D9D9D9" w:themeFill="background1" w:themeFillShade="D9"/>
            <w:hideMark/>
          </w:tcPr>
          <w:p w:rsidR="009E6D32" w:rsidRPr="009E6D32" w:rsidRDefault="009E6D32" w:rsidP="00756DBE">
            <w:pPr>
              <w:pStyle w:val="ListParagraph"/>
              <w:ind w:left="142"/>
              <w:jc w:val="both"/>
              <w:rPr>
                <w:rFonts w:cs="Times New Roman"/>
                <w:color w:val="000000" w:themeColor="text1"/>
                <w:sz w:val="20"/>
                <w:szCs w:val="20"/>
              </w:rPr>
            </w:pPr>
            <w:r w:rsidRPr="009E6D32">
              <w:rPr>
                <w:rFonts w:cs="Times New Roman"/>
                <w:bCs/>
                <w:color w:val="000000" w:themeColor="text1"/>
                <w:sz w:val="20"/>
                <w:szCs w:val="20"/>
              </w:rPr>
              <w:t>Politikas rezultāti un rezultatīvie rādītāji</w:t>
            </w:r>
          </w:p>
        </w:tc>
        <w:tc>
          <w:tcPr>
            <w:tcW w:w="11765" w:type="dxa"/>
            <w:gridSpan w:val="6"/>
            <w:shd w:val="clear" w:color="auto" w:fill="D9D9D9" w:themeFill="background1" w:themeFillShade="D9"/>
            <w:hideMark/>
          </w:tcPr>
          <w:p w:rsidR="009E6D32" w:rsidRPr="009E6D32" w:rsidRDefault="00945CBC" w:rsidP="00756DBE">
            <w:pPr>
              <w:jc w:val="both"/>
              <w:rPr>
                <w:rFonts w:cs="Times New Roman"/>
                <w:i/>
                <w:color w:val="000000" w:themeColor="text1"/>
                <w:sz w:val="20"/>
                <w:szCs w:val="20"/>
              </w:rPr>
            </w:pPr>
            <w:r>
              <w:rPr>
                <w:rFonts w:eastAsia="Times New Roman" w:cs="Times New Roman"/>
                <w:b/>
                <w:i/>
                <w:color w:val="000000" w:themeColor="text1"/>
                <w:sz w:val="20"/>
                <w:szCs w:val="20"/>
                <w:lang w:eastAsia="lv-LV"/>
              </w:rPr>
              <w:t xml:space="preserve">Nodrošināts paaugstināts ceļu satiksmes drošības līmenis autoceļiem un ielām, ieviešot jauna veida  un pilnveidojot esošos ceļu satiksmes drošības risinājumus. </w:t>
            </w:r>
          </w:p>
        </w:tc>
      </w:tr>
      <w:tr w:rsidR="009E6D32" w:rsidRPr="00532F00" w:rsidTr="008A0F2C">
        <w:trPr>
          <w:trHeight w:val="651"/>
        </w:trPr>
        <w:tc>
          <w:tcPr>
            <w:tcW w:w="4111" w:type="dxa"/>
            <w:gridSpan w:val="2"/>
            <w:shd w:val="clear" w:color="auto" w:fill="D9D9D9" w:themeFill="background1" w:themeFillShade="D9"/>
            <w:hideMark/>
          </w:tcPr>
          <w:p w:rsidR="009E6D32" w:rsidRPr="00756DBE" w:rsidRDefault="009E6D32" w:rsidP="00756DBE">
            <w:pPr>
              <w:jc w:val="both"/>
              <w:rPr>
                <w:rFonts w:cs="Times New Roman"/>
                <w:color w:val="000000" w:themeColor="text1"/>
                <w:sz w:val="20"/>
                <w:szCs w:val="20"/>
              </w:rPr>
            </w:pPr>
            <w:r w:rsidRPr="00756DBE">
              <w:rPr>
                <w:rFonts w:cs="Times New Roman"/>
                <w:bCs/>
                <w:color w:val="000000" w:themeColor="text1"/>
                <w:sz w:val="20"/>
                <w:szCs w:val="20"/>
              </w:rPr>
              <w:t>Rīcības virziens</w:t>
            </w:r>
          </w:p>
        </w:tc>
        <w:tc>
          <w:tcPr>
            <w:tcW w:w="11765" w:type="dxa"/>
            <w:gridSpan w:val="6"/>
            <w:shd w:val="clear" w:color="auto" w:fill="D9D9D9" w:themeFill="background1" w:themeFillShade="D9"/>
            <w:hideMark/>
          </w:tcPr>
          <w:p w:rsidR="00E00D23" w:rsidRPr="00FE4F1C" w:rsidRDefault="009630C5" w:rsidP="00FE4F1C">
            <w:pPr>
              <w:ind w:left="67"/>
              <w:jc w:val="both"/>
              <w:rPr>
                <w:b/>
                <w:sz w:val="28"/>
                <w:szCs w:val="28"/>
                <w:u w:val="single"/>
              </w:rPr>
            </w:pPr>
            <w:r>
              <w:rPr>
                <w:b/>
                <w:sz w:val="28"/>
                <w:szCs w:val="28"/>
                <w:u w:val="single"/>
              </w:rPr>
              <w:t>3</w:t>
            </w:r>
            <w:r w:rsidR="001050E3">
              <w:rPr>
                <w:b/>
                <w:sz w:val="28"/>
                <w:szCs w:val="28"/>
                <w:u w:val="single"/>
              </w:rPr>
              <w:t>.3</w:t>
            </w:r>
            <w:r w:rsidR="00FE4F1C">
              <w:rPr>
                <w:b/>
                <w:sz w:val="28"/>
                <w:szCs w:val="28"/>
                <w:u w:val="single"/>
              </w:rPr>
              <w:t xml:space="preserve">. </w:t>
            </w:r>
            <w:r w:rsidR="00E00D23" w:rsidRPr="00FE4F1C">
              <w:rPr>
                <w:b/>
                <w:sz w:val="28"/>
                <w:szCs w:val="28"/>
                <w:u w:val="single"/>
              </w:rPr>
              <w:t>Satiksmes drošības risinājumu i</w:t>
            </w:r>
            <w:r w:rsidR="00226517">
              <w:rPr>
                <w:b/>
                <w:sz w:val="28"/>
                <w:szCs w:val="28"/>
                <w:u w:val="single"/>
              </w:rPr>
              <w:t>eviešana autoceļu un ielu tīklā</w:t>
            </w:r>
          </w:p>
          <w:p w:rsidR="009E6D32" w:rsidRPr="009E6D32" w:rsidRDefault="009E6D32" w:rsidP="00A70D56">
            <w:pPr>
              <w:ind w:firstLine="426"/>
              <w:jc w:val="both"/>
              <w:rPr>
                <w:rFonts w:cs="Times New Roman"/>
                <w:b/>
                <w:color w:val="000000" w:themeColor="text1"/>
                <w:sz w:val="20"/>
                <w:szCs w:val="20"/>
                <w:u w:val="single"/>
              </w:rPr>
            </w:pPr>
          </w:p>
        </w:tc>
      </w:tr>
      <w:tr w:rsidR="00F22D16" w:rsidRPr="00532F00" w:rsidTr="00226517">
        <w:trPr>
          <w:trHeight w:val="695"/>
        </w:trPr>
        <w:tc>
          <w:tcPr>
            <w:tcW w:w="425" w:type="dxa"/>
            <w:shd w:val="clear" w:color="auto" w:fill="D9D9D9" w:themeFill="background1" w:themeFillShade="D9"/>
            <w:hideMark/>
          </w:tcPr>
          <w:p w:rsidR="009E6D32" w:rsidRPr="009E6D32" w:rsidRDefault="008A0F2C" w:rsidP="008A0F2C">
            <w:pPr>
              <w:pStyle w:val="ListParagraph"/>
              <w:ind w:left="-108"/>
              <w:jc w:val="both"/>
              <w:rPr>
                <w:rFonts w:cs="Times New Roman"/>
                <w:color w:val="000000" w:themeColor="text1"/>
                <w:sz w:val="20"/>
                <w:szCs w:val="20"/>
              </w:rPr>
            </w:pPr>
            <w:r>
              <w:rPr>
                <w:rFonts w:cs="Times New Roman"/>
                <w:bCs/>
                <w:color w:val="000000" w:themeColor="text1"/>
                <w:sz w:val="20"/>
                <w:szCs w:val="20"/>
              </w:rPr>
              <w:t xml:space="preserve"> </w:t>
            </w:r>
            <w:r w:rsidR="009E6D32" w:rsidRPr="009E6D32">
              <w:rPr>
                <w:rFonts w:cs="Times New Roman"/>
                <w:bCs/>
                <w:color w:val="000000" w:themeColor="text1"/>
                <w:sz w:val="20"/>
                <w:szCs w:val="20"/>
              </w:rPr>
              <w:t>Nr.</w:t>
            </w:r>
          </w:p>
        </w:tc>
        <w:tc>
          <w:tcPr>
            <w:tcW w:w="3686" w:type="dxa"/>
            <w:shd w:val="clear" w:color="auto" w:fill="D9D9D9" w:themeFill="background1" w:themeFillShade="D9"/>
            <w:hideMark/>
          </w:tcPr>
          <w:p w:rsidR="009E6D32" w:rsidRPr="009E6D32" w:rsidRDefault="009E6D32" w:rsidP="00756DBE">
            <w:pPr>
              <w:pStyle w:val="ListParagraph"/>
              <w:ind w:left="142"/>
              <w:jc w:val="both"/>
              <w:rPr>
                <w:rFonts w:cs="Times New Roman"/>
                <w:color w:val="000000" w:themeColor="text1"/>
                <w:sz w:val="20"/>
                <w:szCs w:val="20"/>
              </w:rPr>
            </w:pPr>
            <w:r w:rsidRPr="009E6D32">
              <w:rPr>
                <w:rFonts w:cs="Times New Roman"/>
                <w:color w:val="000000" w:themeColor="text1"/>
                <w:sz w:val="20"/>
                <w:szCs w:val="20"/>
              </w:rPr>
              <w:t>Pasākums</w:t>
            </w:r>
          </w:p>
        </w:tc>
        <w:tc>
          <w:tcPr>
            <w:tcW w:w="2835" w:type="dxa"/>
            <w:shd w:val="clear" w:color="auto" w:fill="D9D9D9" w:themeFill="background1" w:themeFillShade="D9"/>
            <w:hideMark/>
          </w:tcPr>
          <w:p w:rsidR="009E6D32" w:rsidRPr="009E6D32" w:rsidRDefault="009E6D32" w:rsidP="00756DBE">
            <w:pPr>
              <w:pStyle w:val="ListParagraph"/>
              <w:ind w:left="142"/>
              <w:jc w:val="both"/>
              <w:rPr>
                <w:rFonts w:cs="Times New Roman"/>
                <w:color w:val="000000" w:themeColor="text1"/>
                <w:sz w:val="20"/>
                <w:szCs w:val="20"/>
              </w:rPr>
            </w:pPr>
            <w:r w:rsidRPr="009E6D32">
              <w:rPr>
                <w:rFonts w:cs="Times New Roman"/>
                <w:color w:val="000000" w:themeColor="text1"/>
                <w:sz w:val="20"/>
                <w:szCs w:val="20"/>
              </w:rPr>
              <w:t>Darbības rezultāts</w:t>
            </w:r>
          </w:p>
        </w:tc>
        <w:tc>
          <w:tcPr>
            <w:tcW w:w="2693" w:type="dxa"/>
            <w:shd w:val="clear" w:color="auto" w:fill="D9D9D9" w:themeFill="background1" w:themeFillShade="D9"/>
            <w:hideMark/>
          </w:tcPr>
          <w:p w:rsidR="009E6D32" w:rsidRPr="009E6D32" w:rsidRDefault="009E6D32" w:rsidP="00756DBE">
            <w:pPr>
              <w:pStyle w:val="ListParagraph"/>
              <w:ind w:left="142"/>
              <w:jc w:val="both"/>
              <w:rPr>
                <w:rFonts w:cs="Times New Roman"/>
                <w:color w:val="000000" w:themeColor="text1"/>
                <w:sz w:val="20"/>
                <w:szCs w:val="20"/>
              </w:rPr>
            </w:pPr>
            <w:r w:rsidRPr="009E6D32">
              <w:rPr>
                <w:rFonts w:cs="Times New Roman"/>
                <w:color w:val="000000" w:themeColor="text1"/>
                <w:sz w:val="20"/>
                <w:szCs w:val="20"/>
              </w:rPr>
              <w:t>Rezultatīvais rādītājs</w:t>
            </w:r>
          </w:p>
        </w:tc>
        <w:tc>
          <w:tcPr>
            <w:tcW w:w="1276" w:type="dxa"/>
            <w:shd w:val="clear" w:color="auto" w:fill="D9D9D9" w:themeFill="background1" w:themeFillShade="D9"/>
            <w:hideMark/>
          </w:tcPr>
          <w:p w:rsidR="009E6D32" w:rsidRPr="009E6D32" w:rsidRDefault="009E6D32" w:rsidP="00756DBE">
            <w:pPr>
              <w:pStyle w:val="ListParagraph"/>
              <w:ind w:left="142"/>
              <w:jc w:val="both"/>
              <w:rPr>
                <w:rFonts w:cs="Times New Roman"/>
                <w:color w:val="000000" w:themeColor="text1"/>
                <w:sz w:val="20"/>
                <w:szCs w:val="20"/>
              </w:rPr>
            </w:pPr>
            <w:r w:rsidRPr="009E6D32">
              <w:rPr>
                <w:rFonts w:cs="Times New Roman"/>
                <w:color w:val="000000" w:themeColor="text1"/>
                <w:sz w:val="20"/>
                <w:szCs w:val="20"/>
              </w:rPr>
              <w:t>Atbildīgā institūcija</w:t>
            </w:r>
          </w:p>
        </w:tc>
        <w:tc>
          <w:tcPr>
            <w:tcW w:w="1417" w:type="dxa"/>
            <w:shd w:val="clear" w:color="auto" w:fill="D9D9D9" w:themeFill="background1" w:themeFillShade="D9"/>
            <w:hideMark/>
          </w:tcPr>
          <w:p w:rsidR="009E6D32" w:rsidRPr="009E6D32" w:rsidRDefault="009E6D32" w:rsidP="00025D1F">
            <w:pPr>
              <w:pStyle w:val="ListParagraph"/>
              <w:ind w:left="0"/>
              <w:jc w:val="both"/>
              <w:rPr>
                <w:rFonts w:cs="Times New Roman"/>
                <w:color w:val="000000" w:themeColor="text1"/>
                <w:sz w:val="20"/>
                <w:szCs w:val="20"/>
              </w:rPr>
            </w:pPr>
            <w:r w:rsidRPr="009E6D32">
              <w:rPr>
                <w:rFonts w:cs="Times New Roman"/>
                <w:color w:val="000000" w:themeColor="text1"/>
                <w:sz w:val="20"/>
                <w:szCs w:val="20"/>
              </w:rPr>
              <w:t>Līdzatbildīgās institūcijas</w:t>
            </w:r>
          </w:p>
        </w:tc>
        <w:tc>
          <w:tcPr>
            <w:tcW w:w="1418" w:type="dxa"/>
            <w:shd w:val="clear" w:color="auto" w:fill="D9D9D9" w:themeFill="background1" w:themeFillShade="D9"/>
            <w:hideMark/>
          </w:tcPr>
          <w:p w:rsidR="009E6D32" w:rsidRPr="009E6D32" w:rsidRDefault="009E6D32" w:rsidP="00756DBE">
            <w:pPr>
              <w:pStyle w:val="ListParagraph"/>
              <w:ind w:left="142"/>
              <w:jc w:val="both"/>
              <w:rPr>
                <w:rFonts w:cs="Times New Roman"/>
                <w:color w:val="000000" w:themeColor="text1"/>
                <w:sz w:val="20"/>
                <w:szCs w:val="20"/>
              </w:rPr>
            </w:pPr>
            <w:r w:rsidRPr="009E6D32">
              <w:rPr>
                <w:rFonts w:cs="Times New Roman"/>
                <w:color w:val="000000" w:themeColor="text1"/>
                <w:sz w:val="20"/>
                <w:szCs w:val="20"/>
              </w:rPr>
              <w:t>Izpildes termiņš</w:t>
            </w:r>
          </w:p>
        </w:tc>
        <w:tc>
          <w:tcPr>
            <w:tcW w:w="2126" w:type="dxa"/>
            <w:shd w:val="clear" w:color="auto" w:fill="D9D9D9" w:themeFill="background1" w:themeFillShade="D9"/>
          </w:tcPr>
          <w:p w:rsidR="009E6D32" w:rsidRPr="009E6D32" w:rsidRDefault="009E6D32" w:rsidP="00756DBE">
            <w:pPr>
              <w:pStyle w:val="ListParagraph"/>
              <w:ind w:left="142"/>
              <w:jc w:val="both"/>
              <w:rPr>
                <w:rFonts w:cs="Times New Roman"/>
                <w:color w:val="000000" w:themeColor="text1"/>
                <w:sz w:val="20"/>
                <w:szCs w:val="20"/>
              </w:rPr>
            </w:pPr>
            <w:r>
              <w:rPr>
                <w:rFonts w:eastAsia="Times New Roman" w:cs="Times New Roman"/>
                <w:color w:val="000000"/>
                <w:kern w:val="24"/>
                <w:sz w:val="20"/>
                <w:szCs w:val="20"/>
                <w:lang w:eastAsia="lv-LV"/>
              </w:rPr>
              <w:t>Nepieciešamais finansējums</w:t>
            </w:r>
            <w:r w:rsidR="009E3114">
              <w:rPr>
                <w:rFonts w:eastAsia="Times New Roman" w:cs="Times New Roman"/>
                <w:color w:val="000000"/>
                <w:kern w:val="24"/>
                <w:sz w:val="20"/>
                <w:szCs w:val="20"/>
                <w:lang w:eastAsia="lv-LV"/>
              </w:rPr>
              <w:t xml:space="preserve"> (</w:t>
            </w:r>
            <w:proofErr w:type="spellStart"/>
            <w:r w:rsidR="009E3114" w:rsidRPr="009E3114">
              <w:rPr>
                <w:rFonts w:eastAsia="Times New Roman" w:cs="Times New Roman"/>
                <w:i/>
                <w:color w:val="000000"/>
                <w:kern w:val="24"/>
                <w:sz w:val="20"/>
                <w:szCs w:val="20"/>
                <w:lang w:eastAsia="lv-LV"/>
              </w:rPr>
              <w:t>euro</w:t>
            </w:r>
            <w:proofErr w:type="spellEnd"/>
            <w:r w:rsidR="009E3114">
              <w:rPr>
                <w:rFonts w:eastAsia="Times New Roman" w:cs="Times New Roman"/>
                <w:color w:val="000000"/>
                <w:kern w:val="24"/>
                <w:sz w:val="20"/>
                <w:szCs w:val="20"/>
                <w:lang w:eastAsia="lv-LV"/>
              </w:rPr>
              <w:t>)</w:t>
            </w:r>
            <w:r>
              <w:rPr>
                <w:rFonts w:eastAsia="Times New Roman" w:cs="Times New Roman"/>
                <w:color w:val="000000"/>
                <w:kern w:val="24"/>
                <w:sz w:val="20"/>
                <w:szCs w:val="20"/>
                <w:lang w:eastAsia="lv-LV"/>
              </w:rPr>
              <w:t xml:space="preserve"> un tā avoti</w:t>
            </w:r>
          </w:p>
        </w:tc>
      </w:tr>
      <w:tr w:rsidR="00E00D23" w:rsidRPr="00532F00" w:rsidTr="008A0F2C">
        <w:trPr>
          <w:trHeight w:val="695"/>
        </w:trPr>
        <w:tc>
          <w:tcPr>
            <w:tcW w:w="15876" w:type="dxa"/>
            <w:gridSpan w:val="8"/>
          </w:tcPr>
          <w:p w:rsidR="00E00D23" w:rsidRPr="006E0406" w:rsidRDefault="00E00D23" w:rsidP="00A70D56">
            <w:pPr>
              <w:pStyle w:val="ListParagraph"/>
              <w:ind w:left="142" w:firstLine="426"/>
              <w:jc w:val="both"/>
              <w:rPr>
                <w:rFonts w:cs="Times New Roman"/>
                <w:b/>
                <w:i/>
                <w:u w:val="single"/>
              </w:rPr>
            </w:pPr>
          </w:p>
          <w:p w:rsidR="00E00D23" w:rsidRPr="001050E3" w:rsidRDefault="001050E3" w:rsidP="00226517">
            <w:pPr>
              <w:jc w:val="both"/>
              <w:rPr>
                <w:rFonts w:cs="Times New Roman"/>
                <w:b/>
                <w:i/>
                <w:u w:val="single"/>
              </w:rPr>
            </w:pPr>
            <w:r>
              <w:rPr>
                <w:rFonts w:cs="Times New Roman"/>
                <w:b/>
                <w:i/>
                <w:u w:val="single"/>
              </w:rPr>
              <w:t xml:space="preserve">3.3.1. </w:t>
            </w:r>
            <w:r w:rsidR="006E0406" w:rsidRPr="001050E3">
              <w:rPr>
                <w:rFonts w:cs="Times New Roman"/>
                <w:b/>
                <w:i/>
                <w:u w:val="single"/>
              </w:rPr>
              <w:t>Valsts a</w:t>
            </w:r>
            <w:r w:rsidR="00E00D23" w:rsidRPr="001050E3">
              <w:rPr>
                <w:rFonts w:cs="Times New Roman"/>
                <w:b/>
                <w:i/>
                <w:u w:val="single"/>
              </w:rPr>
              <w:t>uto</w:t>
            </w:r>
            <w:r w:rsidR="00226517">
              <w:rPr>
                <w:rFonts w:cs="Times New Roman"/>
                <w:b/>
                <w:i/>
                <w:u w:val="single"/>
              </w:rPr>
              <w:t>ceļu infrastruktūras uzlabošana</w:t>
            </w:r>
          </w:p>
          <w:p w:rsidR="006E0406" w:rsidRPr="006E0406" w:rsidRDefault="006E0406" w:rsidP="006E0406">
            <w:pPr>
              <w:ind w:left="303"/>
              <w:jc w:val="both"/>
              <w:rPr>
                <w:rFonts w:cs="Times New Roman"/>
                <w:sz w:val="20"/>
                <w:szCs w:val="20"/>
                <w:highlight w:val="yellow"/>
              </w:rPr>
            </w:pPr>
          </w:p>
        </w:tc>
      </w:tr>
      <w:tr w:rsidR="00F22D16" w:rsidRPr="00532F00" w:rsidTr="00226517">
        <w:trPr>
          <w:trHeight w:val="1250"/>
        </w:trPr>
        <w:tc>
          <w:tcPr>
            <w:tcW w:w="425" w:type="dxa"/>
            <w:hideMark/>
          </w:tcPr>
          <w:p w:rsidR="009E6D32" w:rsidRPr="00025D1F" w:rsidRDefault="001050E3" w:rsidP="00025D1F">
            <w:pPr>
              <w:pStyle w:val="ListParagraph"/>
              <w:ind w:left="-271" w:firstLine="271"/>
              <w:jc w:val="both"/>
              <w:rPr>
                <w:rFonts w:cs="Times New Roman"/>
                <w:bCs/>
                <w:sz w:val="20"/>
                <w:szCs w:val="20"/>
              </w:rPr>
            </w:pPr>
            <w:r>
              <w:rPr>
                <w:rFonts w:cs="Times New Roman"/>
                <w:bCs/>
                <w:sz w:val="20"/>
                <w:szCs w:val="20"/>
              </w:rPr>
              <w:lastRenderedPageBreak/>
              <w:t>1.</w:t>
            </w:r>
          </w:p>
        </w:tc>
        <w:tc>
          <w:tcPr>
            <w:tcW w:w="3686" w:type="dxa"/>
          </w:tcPr>
          <w:p w:rsidR="00F22D16" w:rsidRDefault="002C6A17" w:rsidP="00756DBE">
            <w:pPr>
              <w:jc w:val="both"/>
              <w:rPr>
                <w:rFonts w:cs="Times New Roman"/>
                <w:sz w:val="20"/>
                <w:szCs w:val="20"/>
              </w:rPr>
            </w:pPr>
            <w:r>
              <w:rPr>
                <w:rFonts w:cs="Times New Roman"/>
                <w:sz w:val="20"/>
                <w:szCs w:val="20"/>
              </w:rPr>
              <w:t>Veikt sākotnējo izpēti</w:t>
            </w:r>
            <w:r w:rsidR="00A45EFF">
              <w:rPr>
                <w:rFonts w:cs="Times New Roman"/>
                <w:sz w:val="20"/>
                <w:szCs w:val="20"/>
              </w:rPr>
              <w:t xml:space="preserve"> </w:t>
            </w:r>
            <w:proofErr w:type="spellStart"/>
            <w:r w:rsidR="00A45EFF">
              <w:rPr>
                <w:rFonts w:cs="Times New Roman"/>
                <w:sz w:val="20"/>
                <w:szCs w:val="20"/>
              </w:rPr>
              <w:t>ribjoslu</w:t>
            </w:r>
            <w:proofErr w:type="spellEnd"/>
            <w:r w:rsidR="00A45EFF">
              <w:rPr>
                <w:rFonts w:cs="Times New Roman"/>
                <w:sz w:val="20"/>
                <w:szCs w:val="20"/>
              </w:rPr>
              <w:t xml:space="preserve"> ieviešanai uz a/c P80 (E22) Tīnūži – Koknese.</w:t>
            </w:r>
          </w:p>
          <w:p w:rsidR="001B2792" w:rsidRDefault="001B2792" w:rsidP="00756DBE">
            <w:pPr>
              <w:jc w:val="both"/>
              <w:rPr>
                <w:rFonts w:cs="Times New Roman"/>
                <w:sz w:val="20"/>
                <w:szCs w:val="20"/>
              </w:rPr>
            </w:pPr>
          </w:p>
          <w:p w:rsidR="001B2792" w:rsidRPr="009E6D32" w:rsidRDefault="001B2792" w:rsidP="00756DBE">
            <w:pPr>
              <w:jc w:val="both"/>
              <w:rPr>
                <w:rFonts w:cs="Times New Roman"/>
                <w:sz w:val="20"/>
                <w:szCs w:val="20"/>
              </w:rPr>
            </w:pPr>
          </w:p>
        </w:tc>
        <w:tc>
          <w:tcPr>
            <w:tcW w:w="2835" w:type="dxa"/>
          </w:tcPr>
          <w:p w:rsidR="009E6D32" w:rsidRPr="00680E32" w:rsidRDefault="00226517" w:rsidP="00D27DDA">
            <w:pPr>
              <w:pStyle w:val="ListParagraph"/>
              <w:ind w:left="142"/>
              <w:jc w:val="both"/>
              <w:rPr>
                <w:rFonts w:cs="Times New Roman"/>
                <w:sz w:val="20"/>
                <w:szCs w:val="20"/>
              </w:rPr>
            </w:pPr>
            <w:r>
              <w:rPr>
                <w:rFonts w:cs="Times New Roman"/>
                <w:sz w:val="20"/>
                <w:szCs w:val="20"/>
              </w:rPr>
              <w:t>Veikta sākotnējā izpēte un i</w:t>
            </w:r>
            <w:r w:rsidR="00D27DDA" w:rsidRPr="00680E32">
              <w:rPr>
                <w:rFonts w:cs="Times New Roman"/>
                <w:sz w:val="20"/>
                <w:szCs w:val="20"/>
              </w:rPr>
              <w:t xml:space="preserve">eviestas </w:t>
            </w:r>
            <w:proofErr w:type="spellStart"/>
            <w:r w:rsidR="00D27DDA" w:rsidRPr="00680E32">
              <w:rPr>
                <w:rFonts w:cs="Times New Roman"/>
                <w:sz w:val="20"/>
                <w:szCs w:val="20"/>
              </w:rPr>
              <w:t>ribjoslas</w:t>
            </w:r>
            <w:proofErr w:type="spellEnd"/>
            <w:r w:rsidR="00A45EFF">
              <w:rPr>
                <w:rFonts w:cs="Times New Roman"/>
                <w:sz w:val="20"/>
                <w:szCs w:val="20"/>
              </w:rPr>
              <w:t xml:space="preserve"> noteiktās vietās</w:t>
            </w:r>
            <w:r w:rsidR="00D27DDA" w:rsidRPr="00680E32">
              <w:rPr>
                <w:rFonts w:cs="Times New Roman"/>
                <w:sz w:val="20"/>
                <w:szCs w:val="20"/>
              </w:rPr>
              <w:t>, lai samazinātu</w:t>
            </w:r>
            <w:r w:rsidR="00F22D16" w:rsidRPr="00680E32">
              <w:rPr>
                <w:rFonts w:cs="Times New Roman"/>
                <w:sz w:val="20"/>
                <w:szCs w:val="20"/>
              </w:rPr>
              <w:t xml:space="preserve"> vadītāju horizont</w:t>
            </w:r>
            <w:r w:rsidR="00D27DDA" w:rsidRPr="00680E32">
              <w:rPr>
                <w:rFonts w:cs="Times New Roman"/>
                <w:sz w:val="20"/>
                <w:szCs w:val="20"/>
              </w:rPr>
              <w:t>ālu ceļa apzīmējumu neievērošanu.</w:t>
            </w:r>
          </w:p>
        </w:tc>
        <w:tc>
          <w:tcPr>
            <w:tcW w:w="2693" w:type="dxa"/>
          </w:tcPr>
          <w:p w:rsidR="009E6D32" w:rsidRPr="00680E32" w:rsidRDefault="00A45EFF" w:rsidP="00226517">
            <w:pPr>
              <w:pStyle w:val="ListParagraph"/>
              <w:ind w:left="142"/>
              <w:jc w:val="both"/>
              <w:rPr>
                <w:rFonts w:cs="Times New Roman"/>
                <w:sz w:val="20"/>
                <w:szCs w:val="20"/>
              </w:rPr>
            </w:pPr>
            <w:r>
              <w:rPr>
                <w:rFonts w:cs="Times New Roman"/>
                <w:sz w:val="20"/>
                <w:szCs w:val="20"/>
              </w:rPr>
              <w:t xml:space="preserve">Veikta izpēte </w:t>
            </w:r>
            <w:r w:rsidR="00226517">
              <w:rPr>
                <w:rFonts w:cs="Times New Roman"/>
                <w:sz w:val="20"/>
                <w:szCs w:val="20"/>
              </w:rPr>
              <w:t xml:space="preserve">un ieviesta </w:t>
            </w:r>
            <w:proofErr w:type="spellStart"/>
            <w:r w:rsidR="00226517">
              <w:rPr>
                <w:rFonts w:cs="Times New Roman"/>
                <w:sz w:val="20"/>
                <w:szCs w:val="20"/>
              </w:rPr>
              <w:t>ribjoslas</w:t>
            </w:r>
            <w:proofErr w:type="spellEnd"/>
            <w:r w:rsidR="00226517">
              <w:rPr>
                <w:rFonts w:cs="Times New Roman"/>
                <w:sz w:val="20"/>
                <w:szCs w:val="20"/>
              </w:rPr>
              <w:t xml:space="preserve"> (daudzums tiks noteikts izpētes rezultātā)</w:t>
            </w:r>
            <w:r>
              <w:rPr>
                <w:rFonts w:cs="Times New Roman"/>
                <w:sz w:val="20"/>
                <w:szCs w:val="20"/>
              </w:rPr>
              <w:t>.</w:t>
            </w:r>
          </w:p>
        </w:tc>
        <w:tc>
          <w:tcPr>
            <w:tcW w:w="1276" w:type="dxa"/>
          </w:tcPr>
          <w:p w:rsidR="009E6D32" w:rsidRPr="00680E32" w:rsidRDefault="009E6D32" w:rsidP="00756DBE">
            <w:pPr>
              <w:pStyle w:val="ListParagraph"/>
              <w:ind w:left="142"/>
              <w:jc w:val="both"/>
              <w:rPr>
                <w:rFonts w:cs="Times New Roman"/>
                <w:sz w:val="20"/>
                <w:szCs w:val="20"/>
              </w:rPr>
            </w:pPr>
            <w:r w:rsidRPr="00680E32">
              <w:rPr>
                <w:rFonts w:cs="Times New Roman"/>
                <w:sz w:val="20"/>
                <w:szCs w:val="20"/>
              </w:rPr>
              <w:t>LVC</w:t>
            </w:r>
          </w:p>
        </w:tc>
        <w:tc>
          <w:tcPr>
            <w:tcW w:w="1417" w:type="dxa"/>
          </w:tcPr>
          <w:p w:rsidR="009E6D32" w:rsidRPr="00680E32" w:rsidRDefault="00531D75" w:rsidP="00756DBE">
            <w:pPr>
              <w:pStyle w:val="ListParagraph"/>
              <w:ind w:left="142"/>
              <w:jc w:val="both"/>
              <w:rPr>
                <w:rFonts w:cs="Times New Roman"/>
                <w:sz w:val="20"/>
                <w:szCs w:val="20"/>
              </w:rPr>
            </w:pPr>
            <w:r w:rsidRPr="00680E32">
              <w:rPr>
                <w:rFonts w:cs="Times New Roman"/>
                <w:sz w:val="20"/>
                <w:szCs w:val="20"/>
              </w:rPr>
              <w:t>SM, CSDD</w:t>
            </w:r>
          </w:p>
        </w:tc>
        <w:tc>
          <w:tcPr>
            <w:tcW w:w="1418" w:type="dxa"/>
          </w:tcPr>
          <w:p w:rsidR="009E6D32" w:rsidRPr="00680E32" w:rsidRDefault="00A45EFF" w:rsidP="00756DBE">
            <w:pPr>
              <w:pStyle w:val="ListParagraph"/>
              <w:ind w:left="34"/>
              <w:jc w:val="both"/>
              <w:rPr>
                <w:rFonts w:cs="Times New Roman"/>
                <w:sz w:val="20"/>
                <w:szCs w:val="20"/>
              </w:rPr>
            </w:pPr>
            <w:r>
              <w:rPr>
                <w:rFonts w:cs="Times New Roman"/>
                <w:sz w:val="20"/>
                <w:szCs w:val="20"/>
              </w:rPr>
              <w:t>31.12.2017</w:t>
            </w:r>
            <w:r w:rsidR="00F22D16" w:rsidRPr="00680E32">
              <w:rPr>
                <w:rFonts w:cs="Times New Roman"/>
                <w:sz w:val="20"/>
                <w:szCs w:val="20"/>
              </w:rPr>
              <w:t>.</w:t>
            </w:r>
          </w:p>
        </w:tc>
        <w:tc>
          <w:tcPr>
            <w:tcW w:w="2126" w:type="dxa"/>
          </w:tcPr>
          <w:p w:rsidR="009E6D32" w:rsidRPr="00680E32" w:rsidRDefault="00A45EFF" w:rsidP="002F43C8">
            <w:pPr>
              <w:jc w:val="both"/>
              <w:rPr>
                <w:rFonts w:cs="Times New Roman"/>
                <w:sz w:val="20"/>
                <w:szCs w:val="20"/>
              </w:rPr>
            </w:pPr>
            <w:r>
              <w:rPr>
                <w:rFonts w:cs="Times New Roman"/>
                <w:sz w:val="20"/>
                <w:szCs w:val="20"/>
              </w:rPr>
              <w:t>Papildus finansējums nav nepieciešams</w:t>
            </w:r>
          </w:p>
        </w:tc>
      </w:tr>
      <w:tr w:rsidR="00F22D16" w:rsidRPr="00532F00" w:rsidTr="00226517">
        <w:trPr>
          <w:trHeight w:val="1417"/>
        </w:trPr>
        <w:tc>
          <w:tcPr>
            <w:tcW w:w="425" w:type="dxa"/>
          </w:tcPr>
          <w:p w:rsidR="009E6D32" w:rsidRPr="00680E32" w:rsidRDefault="001050E3" w:rsidP="00025D1F">
            <w:pPr>
              <w:pStyle w:val="ListParagraph"/>
              <w:ind w:left="0"/>
              <w:jc w:val="both"/>
              <w:rPr>
                <w:rFonts w:cs="Times New Roman"/>
                <w:bCs/>
                <w:sz w:val="20"/>
                <w:szCs w:val="20"/>
              </w:rPr>
            </w:pPr>
            <w:r>
              <w:rPr>
                <w:rFonts w:cs="Times New Roman"/>
                <w:bCs/>
                <w:sz w:val="20"/>
                <w:szCs w:val="20"/>
              </w:rPr>
              <w:t>2.</w:t>
            </w:r>
          </w:p>
        </w:tc>
        <w:tc>
          <w:tcPr>
            <w:tcW w:w="3686" w:type="dxa"/>
          </w:tcPr>
          <w:p w:rsidR="009E6D32" w:rsidRPr="00680E32" w:rsidRDefault="00D27DDA" w:rsidP="00756DBE">
            <w:pPr>
              <w:pStyle w:val="ListParagraph"/>
              <w:ind w:left="142"/>
              <w:jc w:val="both"/>
              <w:rPr>
                <w:rFonts w:cs="Times New Roman"/>
                <w:sz w:val="20"/>
                <w:szCs w:val="20"/>
              </w:rPr>
            </w:pPr>
            <w:r w:rsidRPr="00680E32">
              <w:rPr>
                <w:rFonts w:cs="Times New Roman"/>
                <w:sz w:val="20"/>
                <w:szCs w:val="20"/>
              </w:rPr>
              <w:t>Nodrošināt m</w:t>
            </w:r>
            <w:r w:rsidR="009E6D32" w:rsidRPr="00680E32">
              <w:rPr>
                <w:rFonts w:cs="Times New Roman"/>
                <w:sz w:val="20"/>
                <w:szCs w:val="20"/>
              </w:rPr>
              <w:t xml:space="preserve">inimālās distances </w:t>
            </w:r>
            <w:r w:rsidRPr="00680E32">
              <w:rPr>
                <w:rFonts w:cs="Times New Roman"/>
                <w:sz w:val="20"/>
                <w:szCs w:val="20"/>
              </w:rPr>
              <w:t>informatīvo apzīmējumu ieviešanu</w:t>
            </w:r>
            <w:r w:rsidR="006344A6" w:rsidRPr="00680E32">
              <w:rPr>
                <w:rFonts w:cs="Times New Roman"/>
                <w:sz w:val="20"/>
                <w:szCs w:val="20"/>
              </w:rPr>
              <w:t>.</w:t>
            </w:r>
          </w:p>
        </w:tc>
        <w:tc>
          <w:tcPr>
            <w:tcW w:w="2835" w:type="dxa"/>
          </w:tcPr>
          <w:p w:rsidR="009E6D32" w:rsidRPr="00680E32" w:rsidRDefault="00D27DDA" w:rsidP="00D27DDA">
            <w:pPr>
              <w:jc w:val="both"/>
              <w:rPr>
                <w:rFonts w:cs="Times New Roman"/>
                <w:sz w:val="20"/>
                <w:szCs w:val="20"/>
              </w:rPr>
            </w:pPr>
            <w:r w:rsidRPr="00680E32">
              <w:rPr>
                <w:rFonts w:cs="Times New Roman"/>
                <w:sz w:val="20"/>
                <w:szCs w:val="20"/>
              </w:rPr>
              <w:t>Uzstādīti minimālās distances informatīvie apzīmējumi, lai samazinātu distances neievērošanu</w:t>
            </w:r>
          </w:p>
        </w:tc>
        <w:tc>
          <w:tcPr>
            <w:tcW w:w="2693" w:type="dxa"/>
          </w:tcPr>
          <w:p w:rsidR="009E6D32" w:rsidRPr="00680E32" w:rsidRDefault="00D27DDA" w:rsidP="00680E32">
            <w:pPr>
              <w:pStyle w:val="ListParagraph"/>
              <w:ind w:left="142"/>
              <w:rPr>
                <w:rFonts w:cs="Times New Roman"/>
                <w:sz w:val="20"/>
                <w:szCs w:val="20"/>
              </w:rPr>
            </w:pPr>
            <w:r w:rsidRPr="00680E32">
              <w:rPr>
                <w:rFonts w:cs="Times New Roman"/>
                <w:sz w:val="20"/>
                <w:szCs w:val="20"/>
              </w:rPr>
              <w:t>Uzstādīti minimālās distances informatīvie apzīmējumi bīstamos ceļa posmos.</w:t>
            </w:r>
          </w:p>
        </w:tc>
        <w:tc>
          <w:tcPr>
            <w:tcW w:w="1276" w:type="dxa"/>
          </w:tcPr>
          <w:p w:rsidR="009E6D32" w:rsidRPr="00680E32" w:rsidRDefault="009E6D32" w:rsidP="006E0406">
            <w:pPr>
              <w:pStyle w:val="ListParagraph"/>
              <w:ind w:left="142"/>
              <w:jc w:val="both"/>
              <w:rPr>
                <w:rFonts w:cs="Times New Roman"/>
                <w:sz w:val="20"/>
                <w:szCs w:val="20"/>
              </w:rPr>
            </w:pPr>
            <w:r w:rsidRPr="00DC57D4">
              <w:rPr>
                <w:rFonts w:cs="Times New Roman"/>
                <w:sz w:val="20"/>
                <w:szCs w:val="20"/>
              </w:rPr>
              <w:t>L</w:t>
            </w:r>
            <w:r w:rsidRPr="00680E32">
              <w:rPr>
                <w:rFonts w:cs="Times New Roman"/>
                <w:sz w:val="20"/>
                <w:szCs w:val="20"/>
              </w:rPr>
              <w:t>VC</w:t>
            </w:r>
            <w:r w:rsidR="00D27DDA" w:rsidRPr="00680E32">
              <w:rPr>
                <w:rFonts w:cs="Times New Roman"/>
                <w:sz w:val="20"/>
                <w:szCs w:val="20"/>
              </w:rPr>
              <w:t xml:space="preserve"> </w:t>
            </w:r>
          </w:p>
        </w:tc>
        <w:tc>
          <w:tcPr>
            <w:tcW w:w="1417" w:type="dxa"/>
          </w:tcPr>
          <w:p w:rsidR="009E6D32" w:rsidRPr="00680E32" w:rsidRDefault="00531D75" w:rsidP="00D27DDA">
            <w:pPr>
              <w:pStyle w:val="ListParagraph"/>
              <w:ind w:left="142"/>
              <w:jc w:val="both"/>
              <w:rPr>
                <w:rFonts w:cs="Times New Roman"/>
                <w:sz w:val="20"/>
                <w:szCs w:val="20"/>
              </w:rPr>
            </w:pPr>
            <w:r w:rsidRPr="00680E32">
              <w:rPr>
                <w:rFonts w:cs="Times New Roman"/>
                <w:sz w:val="20"/>
                <w:szCs w:val="20"/>
              </w:rPr>
              <w:t>SM, CSDD</w:t>
            </w:r>
          </w:p>
        </w:tc>
        <w:tc>
          <w:tcPr>
            <w:tcW w:w="1418" w:type="dxa"/>
          </w:tcPr>
          <w:p w:rsidR="009E6D32" w:rsidRPr="00680E32" w:rsidRDefault="00D27DDA" w:rsidP="00D27DDA">
            <w:pPr>
              <w:jc w:val="both"/>
              <w:rPr>
                <w:rFonts w:cs="Times New Roman"/>
                <w:sz w:val="20"/>
                <w:szCs w:val="20"/>
              </w:rPr>
            </w:pPr>
            <w:r w:rsidRPr="00680E32">
              <w:rPr>
                <w:rFonts w:cs="Times New Roman"/>
                <w:sz w:val="20"/>
                <w:szCs w:val="20"/>
              </w:rPr>
              <w:t>31.12.2020.</w:t>
            </w:r>
          </w:p>
        </w:tc>
        <w:tc>
          <w:tcPr>
            <w:tcW w:w="2126" w:type="dxa"/>
          </w:tcPr>
          <w:p w:rsidR="009E6D32" w:rsidRPr="00DC57D4" w:rsidRDefault="00A45EFF" w:rsidP="00226517">
            <w:pPr>
              <w:pStyle w:val="ListParagraph"/>
              <w:ind w:left="33"/>
              <w:jc w:val="both"/>
              <w:rPr>
                <w:rFonts w:cs="Times New Roman"/>
                <w:sz w:val="20"/>
                <w:szCs w:val="20"/>
              </w:rPr>
            </w:pPr>
            <w:r>
              <w:rPr>
                <w:rFonts w:cs="Times New Roman"/>
                <w:sz w:val="20"/>
                <w:szCs w:val="20"/>
              </w:rPr>
              <w:t xml:space="preserve">Tiks noteikts pēc </w:t>
            </w:r>
            <w:r w:rsidR="00226517">
              <w:rPr>
                <w:rFonts w:cs="Times New Roman"/>
                <w:sz w:val="20"/>
                <w:szCs w:val="20"/>
              </w:rPr>
              <w:t xml:space="preserve">sākotnējā </w:t>
            </w:r>
            <w:proofErr w:type="spellStart"/>
            <w:r w:rsidR="00226517">
              <w:rPr>
                <w:rFonts w:cs="Times New Roman"/>
                <w:sz w:val="20"/>
                <w:szCs w:val="20"/>
              </w:rPr>
              <w:t>izvērtējuma</w:t>
            </w:r>
            <w:proofErr w:type="spellEnd"/>
            <w:r w:rsidR="00680E32" w:rsidRPr="00680E32">
              <w:rPr>
                <w:rFonts w:cs="Times New Roman"/>
                <w:sz w:val="20"/>
                <w:szCs w:val="20"/>
              </w:rPr>
              <w:t>.</w:t>
            </w:r>
          </w:p>
        </w:tc>
      </w:tr>
      <w:tr w:rsidR="00CD7355" w:rsidRPr="00532F00" w:rsidTr="00226517">
        <w:trPr>
          <w:trHeight w:val="1250"/>
        </w:trPr>
        <w:tc>
          <w:tcPr>
            <w:tcW w:w="425" w:type="dxa"/>
          </w:tcPr>
          <w:p w:rsidR="00CD7355" w:rsidRPr="00DC57D4" w:rsidRDefault="001050E3" w:rsidP="00025D1F">
            <w:pPr>
              <w:pStyle w:val="ListParagraph"/>
              <w:ind w:left="34"/>
              <w:jc w:val="both"/>
              <w:rPr>
                <w:rFonts w:cs="Times New Roman"/>
                <w:bCs/>
                <w:sz w:val="20"/>
                <w:szCs w:val="20"/>
              </w:rPr>
            </w:pPr>
            <w:r>
              <w:rPr>
                <w:rFonts w:cs="Times New Roman"/>
                <w:bCs/>
                <w:sz w:val="20"/>
                <w:szCs w:val="20"/>
              </w:rPr>
              <w:t>3</w:t>
            </w:r>
            <w:r w:rsidR="00CD7355" w:rsidRPr="00DC57D4">
              <w:rPr>
                <w:rFonts w:cs="Times New Roman"/>
                <w:bCs/>
                <w:sz w:val="20"/>
                <w:szCs w:val="20"/>
              </w:rPr>
              <w:t>.</w:t>
            </w:r>
          </w:p>
        </w:tc>
        <w:tc>
          <w:tcPr>
            <w:tcW w:w="3686" w:type="dxa"/>
          </w:tcPr>
          <w:p w:rsidR="00086F04" w:rsidRPr="00680E32" w:rsidRDefault="00EC2DAF" w:rsidP="00613A1D">
            <w:pPr>
              <w:pStyle w:val="ListParagraph"/>
              <w:ind w:left="34"/>
              <w:jc w:val="both"/>
              <w:rPr>
                <w:rFonts w:cs="Times New Roman"/>
                <w:sz w:val="20"/>
                <w:szCs w:val="20"/>
              </w:rPr>
            </w:pPr>
            <w:r w:rsidRPr="00EC2DAF">
              <w:rPr>
                <w:rFonts w:cs="Times New Roman"/>
                <w:sz w:val="20"/>
                <w:szCs w:val="20"/>
              </w:rPr>
              <w:t>Nodrošināt informatīvo atbalstu, lai tiktu veicināta drošo stāvlaukumu izveide kravas TL TEN-T ceļu tīklā.</w:t>
            </w:r>
          </w:p>
          <w:p w:rsidR="00086F04" w:rsidRPr="00680E32" w:rsidRDefault="00086F04" w:rsidP="00680E32">
            <w:pPr>
              <w:pStyle w:val="ListParagraph"/>
              <w:ind w:left="34"/>
              <w:jc w:val="both"/>
              <w:rPr>
                <w:rFonts w:cs="Times New Roman"/>
                <w:sz w:val="20"/>
                <w:szCs w:val="20"/>
              </w:rPr>
            </w:pPr>
          </w:p>
        </w:tc>
        <w:tc>
          <w:tcPr>
            <w:tcW w:w="2835" w:type="dxa"/>
          </w:tcPr>
          <w:p w:rsidR="00CD7355" w:rsidRPr="00680E32" w:rsidRDefault="00EC2DAF" w:rsidP="00D27DDA">
            <w:pPr>
              <w:jc w:val="both"/>
              <w:rPr>
                <w:rFonts w:cs="Times New Roman"/>
                <w:sz w:val="20"/>
                <w:szCs w:val="20"/>
              </w:rPr>
            </w:pPr>
            <w:r w:rsidRPr="00EC2DAF">
              <w:rPr>
                <w:rFonts w:cs="Times New Roman"/>
                <w:sz w:val="20"/>
                <w:szCs w:val="20"/>
              </w:rPr>
              <w:t>Nodrošinot informatīvo atbalstu, veicināta šādu stāvlaukumu izveide un uzņēmējiem nodota informācija par šādu stāvlaukumu izveides nepieciešamību un uzņēmējdarbības iespēju.</w:t>
            </w:r>
          </w:p>
        </w:tc>
        <w:tc>
          <w:tcPr>
            <w:tcW w:w="2693" w:type="dxa"/>
          </w:tcPr>
          <w:p w:rsidR="00EC2DAF" w:rsidRPr="00EC2DAF" w:rsidRDefault="00EC2DAF" w:rsidP="00680E32">
            <w:pPr>
              <w:rPr>
                <w:rFonts w:cs="Times New Roman"/>
                <w:sz w:val="20"/>
                <w:szCs w:val="20"/>
              </w:rPr>
            </w:pPr>
            <w:r w:rsidRPr="00EC2DAF">
              <w:rPr>
                <w:rFonts w:cs="Times New Roman"/>
                <w:sz w:val="20"/>
                <w:szCs w:val="20"/>
              </w:rPr>
              <w:t xml:space="preserve">Ieviesta un regulāri atjaunota paplašināta informācija par drošajiem stāvlaukumiem TEN-T ceļu tīklā un </w:t>
            </w:r>
            <w:r>
              <w:rPr>
                <w:rFonts w:cs="Times New Roman"/>
                <w:sz w:val="20"/>
                <w:szCs w:val="20"/>
              </w:rPr>
              <w:t>stāv</w:t>
            </w:r>
            <w:r w:rsidRPr="00EC2DAF">
              <w:rPr>
                <w:rFonts w:cs="Times New Roman"/>
                <w:sz w:val="20"/>
                <w:szCs w:val="20"/>
              </w:rPr>
              <w:t>laukumiem autoceļu tuvumā VAS “Latvijas Valsts ceļi”</w:t>
            </w:r>
            <w:r>
              <w:rPr>
                <w:rFonts w:cs="Times New Roman"/>
                <w:sz w:val="20"/>
                <w:szCs w:val="20"/>
              </w:rPr>
              <w:t xml:space="preserve"> tīmekļa vietnē “</w:t>
            </w:r>
            <w:hyperlink r:id="rId27" w:history="1">
              <w:r w:rsidRPr="00572A02">
                <w:rPr>
                  <w:rStyle w:val="Hyperlink"/>
                  <w:rFonts w:cs="Times New Roman"/>
                  <w:sz w:val="20"/>
                  <w:szCs w:val="20"/>
                </w:rPr>
                <w:t>www.lvceli.lv</w:t>
              </w:r>
            </w:hyperlink>
            <w:r>
              <w:rPr>
                <w:rFonts w:cs="Times New Roman"/>
                <w:sz w:val="20"/>
                <w:szCs w:val="20"/>
              </w:rPr>
              <w:t>”.</w:t>
            </w:r>
          </w:p>
        </w:tc>
        <w:tc>
          <w:tcPr>
            <w:tcW w:w="1276" w:type="dxa"/>
          </w:tcPr>
          <w:p w:rsidR="00CD7355" w:rsidRPr="00680E32" w:rsidRDefault="00CD7355" w:rsidP="006E0406">
            <w:pPr>
              <w:pStyle w:val="ListParagraph"/>
              <w:ind w:left="142"/>
              <w:jc w:val="both"/>
              <w:rPr>
                <w:rFonts w:cs="Times New Roman"/>
                <w:sz w:val="20"/>
                <w:szCs w:val="20"/>
              </w:rPr>
            </w:pPr>
            <w:r w:rsidRPr="00680E32">
              <w:rPr>
                <w:rFonts w:cs="Times New Roman"/>
                <w:sz w:val="20"/>
                <w:szCs w:val="20"/>
              </w:rPr>
              <w:t>LVC</w:t>
            </w:r>
          </w:p>
        </w:tc>
        <w:tc>
          <w:tcPr>
            <w:tcW w:w="1417" w:type="dxa"/>
          </w:tcPr>
          <w:p w:rsidR="00CD7355" w:rsidRPr="00680E32" w:rsidRDefault="00CD7355" w:rsidP="00D27DDA">
            <w:pPr>
              <w:pStyle w:val="ListParagraph"/>
              <w:ind w:left="142"/>
              <w:jc w:val="both"/>
              <w:rPr>
                <w:rFonts w:cs="Times New Roman"/>
                <w:sz w:val="20"/>
                <w:szCs w:val="20"/>
              </w:rPr>
            </w:pPr>
            <w:r w:rsidRPr="00680E32">
              <w:rPr>
                <w:rFonts w:cs="Times New Roman"/>
                <w:sz w:val="20"/>
                <w:szCs w:val="20"/>
              </w:rPr>
              <w:t>SM, CSDD</w:t>
            </w:r>
          </w:p>
        </w:tc>
        <w:tc>
          <w:tcPr>
            <w:tcW w:w="1418" w:type="dxa"/>
          </w:tcPr>
          <w:p w:rsidR="00CD7355" w:rsidRPr="00680E32" w:rsidRDefault="00181B07" w:rsidP="00D27DDA">
            <w:pPr>
              <w:jc w:val="both"/>
              <w:rPr>
                <w:rFonts w:cs="Times New Roman"/>
                <w:sz w:val="20"/>
                <w:szCs w:val="20"/>
              </w:rPr>
            </w:pPr>
            <w:r>
              <w:rPr>
                <w:rFonts w:cs="Times New Roman"/>
                <w:sz w:val="20"/>
                <w:szCs w:val="20"/>
              </w:rPr>
              <w:t>31.12.2018</w:t>
            </w:r>
            <w:r w:rsidR="00CD7355" w:rsidRPr="00680E32">
              <w:rPr>
                <w:rFonts w:cs="Times New Roman"/>
                <w:sz w:val="20"/>
                <w:szCs w:val="20"/>
              </w:rPr>
              <w:t>.</w:t>
            </w:r>
          </w:p>
        </w:tc>
        <w:tc>
          <w:tcPr>
            <w:tcW w:w="2126" w:type="dxa"/>
          </w:tcPr>
          <w:p w:rsidR="00CD7355" w:rsidRPr="00680E32" w:rsidRDefault="00EC2DAF" w:rsidP="00EC2DAF">
            <w:pPr>
              <w:jc w:val="both"/>
              <w:rPr>
                <w:rFonts w:cs="Times New Roman"/>
                <w:sz w:val="20"/>
                <w:szCs w:val="20"/>
              </w:rPr>
            </w:pPr>
            <w:r>
              <w:rPr>
                <w:rFonts w:cs="Times New Roman"/>
                <w:sz w:val="20"/>
                <w:szCs w:val="20"/>
              </w:rPr>
              <w:t>Nav nepieciešams.</w:t>
            </w:r>
          </w:p>
        </w:tc>
      </w:tr>
      <w:tr w:rsidR="006E0406" w:rsidRPr="00532F00" w:rsidTr="008A0F2C">
        <w:trPr>
          <w:trHeight w:val="738"/>
        </w:trPr>
        <w:tc>
          <w:tcPr>
            <w:tcW w:w="15876" w:type="dxa"/>
            <w:gridSpan w:val="8"/>
          </w:tcPr>
          <w:p w:rsidR="006E0406" w:rsidRPr="006E0406" w:rsidRDefault="006E0406" w:rsidP="00A70D56">
            <w:pPr>
              <w:pStyle w:val="ListParagraph"/>
              <w:ind w:left="142" w:firstLine="426"/>
              <w:jc w:val="both"/>
              <w:rPr>
                <w:rFonts w:cs="Times New Roman"/>
                <w:b/>
                <w:i/>
                <w:color w:val="000000" w:themeColor="text1"/>
                <w:u w:val="single"/>
              </w:rPr>
            </w:pPr>
          </w:p>
          <w:p w:rsidR="0040266E" w:rsidRPr="00B91A9F" w:rsidRDefault="001050E3" w:rsidP="00B91A9F">
            <w:pPr>
              <w:pStyle w:val="ListParagraph"/>
              <w:ind w:left="459"/>
              <w:jc w:val="both"/>
              <w:rPr>
                <w:rFonts w:cs="Times New Roman"/>
                <w:b/>
                <w:i/>
                <w:color w:val="000000" w:themeColor="text1"/>
                <w:u w:val="single"/>
              </w:rPr>
            </w:pPr>
            <w:r>
              <w:rPr>
                <w:rFonts w:cs="Times New Roman"/>
                <w:b/>
                <w:i/>
                <w:color w:val="000000" w:themeColor="text1"/>
                <w:u w:val="single"/>
              </w:rPr>
              <w:t xml:space="preserve">3.3.2. </w:t>
            </w:r>
            <w:proofErr w:type="spellStart"/>
            <w:r w:rsidR="006E0406" w:rsidRPr="009630C5">
              <w:rPr>
                <w:rFonts w:cs="Times New Roman"/>
                <w:b/>
                <w:i/>
                <w:color w:val="000000" w:themeColor="text1"/>
                <w:u w:val="single"/>
              </w:rPr>
              <w:t>Veloinfrastruktūras</w:t>
            </w:r>
            <w:proofErr w:type="spellEnd"/>
            <w:r w:rsidR="00A45EFF">
              <w:rPr>
                <w:rFonts w:cs="Times New Roman"/>
                <w:b/>
                <w:i/>
                <w:color w:val="000000" w:themeColor="text1"/>
                <w:u w:val="single"/>
              </w:rPr>
              <w:t xml:space="preserve"> un gājēju infrastruktūras</w:t>
            </w:r>
            <w:r w:rsidR="006E0406" w:rsidRPr="009630C5">
              <w:rPr>
                <w:rFonts w:cs="Times New Roman"/>
                <w:b/>
                <w:i/>
                <w:color w:val="000000" w:themeColor="text1"/>
                <w:u w:val="single"/>
              </w:rPr>
              <w:t xml:space="preserve"> uzlabošanas pasākumi</w:t>
            </w:r>
          </w:p>
        </w:tc>
      </w:tr>
      <w:tr w:rsidR="0002149F" w:rsidRPr="00532F00" w:rsidTr="00226517">
        <w:trPr>
          <w:trHeight w:val="1250"/>
        </w:trPr>
        <w:tc>
          <w:tcPr>
            <w:tcW w:w="425" w:type="dxa"/>
          </w:tcPr>
          <w:p w:rsidR="0002149F" w:rsidRPr="00C81751" w:rsidRDefault="002C6A17" w:rsidP="00C81751">
            <w:pPr>
              <w:pStyle w:val="ListParagraph"/>
              <w:ind w:left="0"/>
              <w:jc w:val="both"/>
              <w:rPr>
                <w:rFonts w:cs="Times New Roman"/>
                <w:bCs/>
                <w:color w:val="000000" w:themeColor="text1"/>
                <w:sz w:val="20"/>
                <w:szCs w:val="20"/>
              </w:rPr>
            </w:pPr>
            <w:r>
              <w:rPr>
                <w:rFonts w:cs="Times New Roman"/>
                <w:bCs/>
                <w:color w:val="000000" w:themeColor="text1"/>
                <w:sz w:val="20"/>
                <w:szCs w:val="20"/>
              </w:rPr>
              <w:t>4</w:t>
            </w:r>
            <w:r w:rsidR="001050E3">
              <w:rPr>
                <w:rFonts w:cs="Times New Roman"/>
                <w:bCs/>
                <w:color w:val="000000" w:themeColor="text1"/>
                <w:sz w:val="20"/>
                <w:szCs w:val="20"/>
              </w:rPr>
              <w:t>.</w:t>
            </w:r>
          </w:p>
        </w:tc>
        <w:tc>
          <w:tcPr>
            <w:tcW w:w="3686" w:type="dxa"/>
          </w:tcPr>
          <w:p w:rsidR="0002149F" w:rsidRPr="009B460B" w:rsidRDefault="0002149F" w:rsidP="0002149F">
            <w:pPr>
              <w:pStyle w:val="ListParagraph"/>
              <w:ind w:left="142"/>
              <w:jc w:val="both"/>
              <w:rPr>
                <w:rFonts w:cs="Times New Roman"/>
                <w:sz w:val="20"/>
                <w:szCs w:val="20"/>
              </w:rPr>
            </w:pPr>
            <w:r w:rsidRPr="009B460B">
              <w:rPr>
                <w:rFonts w:cs="Times New Roman"/>
                <w:sz w:val="20"/>
                <w:szCs w:val="20"/>
              </w:rPr>
              <w:t xml:space="preserve">Izveidot </w:t>
            </w:r>
            <w:r w:rsidR="002E2802" w:rsidRPr="009B460B">
              <w:rPr>
                <w:rFonts w:cs="Times New Roman"/>
                <w:sz w:val="20"/>
                <w:szCs w:val="20"/>
              </w:rPr>
              <w:t xml:space="preserve">kopīgus </w:t>
            </w:r>
            <w:r w:rsidRPr="009B460B">
              <w:rPr>
                <w:rFonts w:cs="Times New Roman"/>
                <w:sz w:val="20"/>
                <w:szCs w:val="20"/>
              </w:rPr>
              <w:t>velosipēdu</w:t>
            </w:r>
            <w:r w:rsidR="002E2802" w:rsidRPr="009B460B">
              <w:rPr>
                <w:rFonts w:cs="Times New Roman"/>
                <w:sz w:val="20"/>
                <w:szCs w:val="20"/>
              </w:rPr>
              <w:t>-gājēju</w:t>
            </w:r>
            <w:r w:rsidRPr="009B460B">
              <w:rPr>
                <w:rFonts w:cs="Times New Roman"/>
                <w:sz w:val="20"/>
                <w:szCs w:val="20"/>
              </w:rPr>
              <w:t xml:space="preserve"> ceļus </w:t>
            </w:r>
            <w:r w:rsidR="002E2802" w:rsidRPr="009B460B">
              <w:rPr>
                <w:rFonts w:cs="Times New Roman"/>
                <w:sz w:val="20"/>
                <w:szCs w:val="20"/>
              </w:rPr>
              <w:t>valsts autoceļu tīklā.</w:t>
            </w:r>
          </w:p>
        </w:tc>
        <w:tc>
          <w:tcPr>
            <w:tcW w:w="2835" w:type="dxa"/>
          </w:tcPr>
          <w:p w:rsidR="0002149F" w:rsidRPr="009B460B" w:rsidRDefault="0002149F" w:rsidP="0002149F">
            <w:pPr>
              <w:jc w:val="both"/>
              <w:rPr>
                <w:rFonts w:cs="Times New Roman"/>
                <w:sz w:val="20"/>
                <w:szCs w:val="20"/>
              </w:rPr>
            </w:pPr>
            <w:r w:rsidRPr="009B460B">
              <w:rPr>
                <w:rFonts w:cs="Times New Roman"/>
                <w:sz w:val="20"/>
                <w:szCs w:val="20"/>
              </w:rPr>
              <w:t>Izveidoti velosipēdistu</w:t>
            </w:r>
            <w:r w:rsidR="002E2802" w:rsidRPr="009B460B">
              <w:rPr>
                <w:rFonts w:cs="Times New Roman"/>
                <w:sz w:val="20"/>
                <w:szCs w:val="20"/>
              </w:rPr>
              <w:t>-gājēju</w:t>
            </w:r>
            <w:r w:rsidRPr="009B460B">
              <w:rPr>
                <w:rFonts w:cs="Times New Roman"/>
                <w:sz w:val="20"/>
                <w:szCs w:val="20"/>
              </w:rPr>
              <w:t xml:space="preserve"> celi</w:t>
            </w:r>
            <w:r w:rsidR="002E2802" w:rsidRPr="009B460B">
              <w:rPr>
                <w:rFonts w:cs="Times New Roman"/>
                <w:sz w:val="20"/>
                <w:szCs w:val="20"/>
              </w:rPr>
              <w:t xml:space="preserve"> ārpus blīvi apdzīvotām teritorijām, kur gājēju un velosipēdu satiksme nav intensīva</w:t>
            </w:r>
            <w:r w:rsidRPr="009B460B">
              <w:rPr>
                <w:rFonts w:cs="Times New Roman"/>
                <w:sz w:val="20"/>
                <w:szCs w:val="20"/>
              </w:rPr>
              <w:t xml:space="preserve">, </w:t>
            </w:r>
            <w:r w:rsidR="002E2802" w:rsidRPr="009B460B">
              <w:rPr>
                <w:rFonts w:cs="Times New Roman"/>
                <w:sz w:val="20"/>
                <w:szCs w:val="20"/>
              </w:rPr>
              <w:t xml:space="preserve">tādejādi </w:t>
            </w:r>
            <w:r w:rsidRPr="009B460B">
              <w:rPr>
                <w:rFonts w:cs="Times New Roman"/>
                <w:sz w:val="20"/>
                <w:szCs w:val="20"/>
              </w:rPr>
              <w:t>no brauktuves atsevišķi nodalot velosipēdistus</w:t>
            </w:r>
            <w:r w:rsidR="002E2802" w:rsidRPr="009B460B">
              <w:rPr>
                <w:rFonts w:cs="Times New Roman"/>
                <w:sz w:val="20"/>
                <w:szCs w:val="20"/>
              </w:rPr>
              <w:t xml:space="preserve"> un gājējus</w:t>
            </w:r>
            <w:r w:rsidRPr="009B460B">
              <w:rPr>
                <w:rFonts w:cs="Times New Roman"/>
                <w:sz w:val="20"/>
                <w:szCs w:val="20"/>
              </w:rPr>
              <w:t>.</w:t>
            </w:r>
          </w:p>
        </w:tc>
        <w:tc>
          <w:tcPr>
            <w:tcW w:w="2693" w:type="dxa"/>
          </w:tcPr>
          <w:p w:rsidR="0002149F" w:rsidRPr="009B460B" w:rsidRDefault="0002149F" w:rsidP="0002149F">
            <w:pPr>
              <w:pStyle w:val="ListParagraph"/>
              <w:ind w:left="142"/>
              <w:jc w:val="both"/>
              <w:rPr>
                <w:rFonts w:cs="Times New Roman"/>
                <w:sz w:val="20"/>
                <w:szCs w:val="20"/>
              </w:rPr>
            </w:pPr>
            <w:r w:rsidRPr="009B460B">
              <w:rPr>
                <w:rFonts w:cs="Times New Roman"/>
                <w:sz w:val="20"/>
                <w:szCs w:val="20"/>
              </w:rPr>
              <w:t>Izveidoti velosipēdu</w:t>
            </w:r>
            <w:r w:rsidR="002E2802" w:rsidRPr="009B460B">
              <w:rPr>
                <w:rFonts w:cs="Times New Roman"/>
                <w:sz w:val="20"/>
                <w:szCs w:val="20"/>
              </w:rPr>
              <w:t>-gājēju</w:t>
            </w:r>
            <w:r w:rsidR="00387237" w:rsidRPr="009B460B">
              <w:rPr>
                <w:rFonts w:cs="Times New Roman"/>
                <w:sz w:val="20"/>
                <w:szCs w:val="20"/>
              </w:rPr>
              <w:t xml:space="preserve"> ceļi </w:t>
            </w:r>
            <w:r w:rsidR="00A45EFF">
              <w:rPr>
                <w:rFonts w:cs="Times New Roman"/>
                <w:sz w:val="20"/>
                <w:szCs w:val="20"/>
              </w:rPr>
              <w:t>17</w:t>
            </w:r>
            <w:r w:rsidR="00387237" w:rsidRPr="009B460B">
              <w:rPr>
                <w:rFonts w:cs="Times New Roman"/>
                <w:sz w:val="20"/>
                <w:szCs w:val="20"/>
              </w:rPr>
              <w:t xml:space="preserve"> </w:t>
            </w:r>
            <w:r w:rsidRPr="009B460B">
              <w:rPr>
                <w:rFonts w:cs="Times New Roman"/>
                <w:sz w:val="20"/>
                <w:szCs w:val="20"/>
              </w:rPr>
              <w:t>km</w:t>
            </w:r>
            <w:r w:rsidR="00A45EFF">
              <w:rPr>
                <w:rFonts w:cs="Times New Roman"/>
                <w:sz w:val="20"/>
                <w:szCs w:val="20"/>
              </w:rPr>
              <w:t xml:space="preserve"> (2017.gadā - 5</w:t>
            </w:r>
            <w:r w:rsidR="001C7831">
              <w:rPr>
                <w:rFonts w:cs="Times New Roman"/>
                <w:sz w:val="20"/>
                <w:szCs w:val="20"/>
              </w:rPr>
              <w:t>km, 2018.gadā-4 km, 2019.gadā -5 km, 2020.gadā - 3</w:t>
            </w:r>
            <w:r w:rsidR="00387237" w:rsidRPr="009B460B">
              <w:rPr>
                <w:rFonts w:cs="Times New Roman"/>
                <w:sz w:val="20"/>
                <w:szCs w:val="20"/>
              </w:rPr>
              <w:t xml:space="preserve"> km)</w:t>
            </w:r>
            <w:r w:rsidRPr="009B460B">
              <w:rPr>
                <w:rFonts w:cs="Times New Roman"/>
                <w:sz w:val="20"/>
                <w:szCs w:val="20"/>
              </w:rPr>
              <w:t xml:space="preserve"> garumā valsts autoceļu tīklā.</w:t>
            </w:r>
          </w:p>
          <w:p w:rsidR="0002149F" w:rsidRPr="009B460B" w:rsidRDefault="0002149F" w:rsidP="0002149F">
            <w:pPr>
              <w:pStyle w:val="ListParagraph"/>
              <w:ind w:left="142"/>
              <w:jc w:val="both"/>
              <w:rPr>
                <w:rFonts w:cs="Times New Roman"/>
                <w:sz w:val="20"/>
                <w:szCs w:val="20"/>
              </w:rPr>
            </w:pPr>
          </w:p>
        </w:tc>
        <w:tc>
          <w:tcPr>
            <w:tcW w:w="1276" w:type="dxa"/>
          </w:tcPr>
          <w:p w:rsidR="0002149F" w:rsidRPr="009B460B" w:rsidRDefault="0002149F" w:rsidP="0002149F">
            <w:pPr>
              <w:pStyle w:val="ListParagraph"/>
              <w:ind w:left="142"/>
              <w:jc w:val="both"/>
              <w:rPr>
                <w:rFonts w:cs="Times New Roman"/>
                <w:sz w:val="20"/>
                <w:szCs w:val="20"/>
              </w:rPr>
            </w:pPr>
            <w:r w:rsidRPr="009B460B">
              <w:rPr>
                <w:rFonts w:cs="Times New Roman"/>
                <w:sz w:val="20"/>
                <w:szCs w:val="20"/>
              </w:rPr>
              <w:t>SM</w:t>
            </w:r>
          </w:p>
        </w:tc>
        <w:tc>
          <w:tcPr>
            <w:tcW w:w="1417" w:type="dxa"/>
          </w:tcPr>
          <w:p w:rsidR="0002149F" w:rsidRPr="009B460B" w:rsidRDefault="0002149F" w:rsidP="0002149F">
            <w:pPr>
              <w:pStyle w:val="ListParagraph"/>
              <w:ind w:left="142" w:firstLine="426"/>
              <w:jc w:val="both"/>
              <w:rPr>
                <w:rFonts w:cs="Times New Roman"/>
                <w:sz w:val="20"/>
                <w:szCs w:val="20"/>
              </w:rPr>
            </w:pPr>
            <w:r w:rsidRPr="009B460B">
              <w:rPr>
                <w:rFonts w:cs="Times New Roman"/>
                <w:sz w:val="20"/>
                <w:szCs w:val="20"/>
              </w:rPr>
              <w:t>LVC</w:t>
            </w:r>
          </w:p>
        </w:tc>
        <w:tc>
          <w:tcPr>
            <w:tcW w:w="1418" w:type="dxa"/>
          </w:tcPr>
          <w:p w:rsidR="00387237" w:rsidRPr="009B460B" w:rsidRDefault="00387237" w:rsidP="0002149F">
            <w:pPr>
              <w:jc w:val="both"/>
              <w:rPr>
                <w:rFonts w:cs="Times New Roman"/>
                <w:sz w:val="20"/>
                <w:szCs w:val="20"/>
              </w:rPr>
            </w:pPr>
          </w:p>
          <w:p w:rsidR="00387237" w:rsidRPr="009B460B" w:rsidRDefault="00387237" w:rsidP="0002149F">
            <w:pPr>
              <w:jc w:val="both"/>
              <w:rPr>
                <w:rFonts w:cs="Times New Roman"/>
                <w:sz w:val="20"/>
                <w:szCs w:val="20"/>
              </w:rPr>
            </w:pPr>
          </w:p>
          <w:p w:rsidR="00387237" w:rsidRPr="009B460B" w:rsidRDefault="00387237" w:rsidP="0002149F">
            <w:pPr>
              <w:jc w:val="both"/>
              <w:rPr>
                <w:rFonts w:cs="Times New Roman"/>
                <w:sz w:val="20"/>
                <w:szCs w:val="20"/>
              </w:rPr>
            </w:pPr>
          </w:p>
          <w:p w:rsidR="00387237" w:rsidRPr="009B460B" w:rsidRDefault="00387237" w:rsidP="0002149F">
            <w:pPr>
              <w:jc w:val="both"/>
              <w:rPr>
                <w:rFonts w:cs="Times New Roman"/>
                <w:sz w:val="20"/>
                <w:szCs w:val="20"/>
              </w:rPr>
            </w:pPr>
          </w:p>
          <w:p w:rsidR="00387237" w:rsidRPr="009B460B" w:rsidRDefault="008555D1" w:rsidP="0002149F">
            <w:pPr>
              <w:jc w:val="both"/>
              <w:rPr>
                <w:rFonts w:cs="Times New Roman"/>
                <w:sz w:val="20"/>
                <w:szCs w:val="20"/>
              </w:rPr>
            </w:pPr>
            <w:r w:rsidRPr="009B460B">
              <w:rPr>
                <w:rFonts w:cs="Times New Roman"/>
                <w:sz w:val="20"/>
                <w:szCs w:val="20"/>
              </w:rPr>
              <w:t>31.12.2017.</w:t>
            </w:r>
          </w:p>
          <w:p w:rsidR="008555D1" w:rsidRPr="009B460B" w:rsidRDefault="008555D1" w:rsidP="0002149F">
            <w:pPr>
              <w:jc w:val="both"/>
              <w:rPr>
                <w:rFonts w:cs="Times New Roman"/>
                <w:sz w:val="20"/>
                <w:szCs w:val="20"/>
              </w:rPr>
            </w:pPr>
          </w:p>
          <w:p w:rsidR="008555D1" w:rsidRPr="009B460B" w:rsidRDefault="008555D1" w:rsidP="0002149F">
            <w:pPr>
              <w:jc w:val="both"/>
              <w:rPr>
                <w:rFonts w:cs="Times New Roman"/>
                <w:sz w:val="20"/>
                <w:szCs w:val="20"/>
              </w:rPr>
            </w:pPr>
          </w:p>
          <w:p w:rsidR="008555D1" w:rsidRPr="009B460B" w:rsidRDefault="008555D1" w:rsidP="0002149F">
            <w:pPr>
              <w:jc w:val="both"/>
              <w:rPr>
                <w:rFonts w:cs="Times New Roman"/>
                <w:sz w:val="20"/>
                <w:szCs w:val="20"/>
              </w:rPr>
            </w:pPr>
            <w:r w:rsidRPr="009B460B">
              <w:rPr>
                <w:rFonts w:cs="Times New Roman"/>
                <w:sz w:val="20"/>
                <w:szCs w:val="20"/>
              </w:rPr>
              <w:t>31.12.2018.</w:t>
            </w:r>
          </w:p>
          <w:p w:rsidR="00387237" w:rsidRPr="009B460B" w:rsidRDefault="00387237" w:rsidP="0002149F">
            <w:pPr>
              <w:jc w:val="both"/>
              <w:rPr>
                <w:rFonts w:cs="Times New Roman"/>
                <w:sz w:val="20"/>
                <w:szCs w:val="20"/>
              </w:rPr>
            </w:pPr>
          </w:p>
          <w:p w:rsidR="00387237" w:rsidRPr="009B460B" w:rsidRDefault="00387237" w:rsidP="0002149F">
            <w:pPr>
              <w:jc w:val="both"/>
              <w:rPr>
                <w:rFonts w:cs="Times New Roman"/>
                <w:sz w:val="20"/>
                <w:szCs w:val="20"/>
              </w:rPr>
            </w:pPr>
          </w:p>
          <w:p w:rsidR="00387237" w:rsidRPr="009B460B" w:rsidRDefault="008555D1" w:rsidP="0002149F">
            <w:pPr>
              <w:jc w:val="both"/>
              <w:rPr>
                <w:rFonts w:cs="Times New Roman"/>
                <w:sz w:val="20"/>
                <w:szCs w:val="20"/>
              </w:rPr>
            </w:pPr>
            <w:r w:rsidRPr="009B460B">
              <w:rPr>
                <w:rFonts w:cs="Times New Roman"/>
                <w:sz w:val="20"/>
                <w:szCs w:val="20"/>
              </w:rPr>
              <w:t>31.12.2019.</w:t>
            </w:r>
          </w:p>
          <w:p w:rsidR="00387237" w:rsidRPr="009B460B" w:rsidRDefault="00387237" w:rsidP="0002149F">
            <w:pPr>
              <w:jc w:val="both"/>
              <w:rPr>
                <w:rFonts w:cs="Times New Roman"/>
                <w:sz w:val="20"/>
                <w:szCs w:val="20"/>
              </w:rPr>
            </w:pPr>
          </w:p>
          <w:p w:rsidR="00387237" w:rsidRPr="009B460B" w:rsidRDefault="00387237" w:rsidP="0002149F">
            <w:pPr>
              <w:jc w:val="both"/>
              <w:rPr>
                <w:rFonts w:cs="Times New Roman"/>
                <w:sz w:val="20"/>
                <w:szCs w:val="20"/>
              </w:rPr>
            </w:pPr>
          </w:p>
          <w:p w:rsidR="0002149F" w:rsidRPr="009B460B" w:rsidRDefault="0002149F" w:rsidP="0002149F">
            <w:pPr>
              <w:jc w:val="both"/>
              <w:rPr>
                <w:rFonts w:cs="Times New Roman"/>
                <w:sz w:val="20"/>
                <w:szCs w:val="20"/>
              </w:rPr>
            </w:pPr>
            <w:r w:rsidRPr="009B460B">
              <w:rPr>
                <w:rFonts w:cs="Times New Roman"/>
                <w:sz w:val="20"/>
                <w:szCs w:val="20"/>
              </w:rPr>
              <w:t>31.12.2020.</w:t>
            </w:r>
          </w:p>
        </w:tc>
        <w:tc>
          <w:tcPr>
            <w:tcW w:w="2126" w:type="dxa"/>
            <w:shd w:val="clear" w:color="auto" w:fill="auto"/>
          </w:tcPr>
          <w:p w:rsidR="0002149F" w:rsidRPr="009B460B" w:rsidRDefault="00387237" w:rsidP="00387237">
            <w:pPr>
              <w:pStyle w:val="ListParagraph"/>
              <w:ind w:left="142" w:firstLine="33"/>
              <w:jc w:val="both"/>
              <w:rPr>
                <w:rFonts w:cs="Times New Roman"/>
                <w:color w:val="FF0000"/>
                <w:sz w:val="20"/>
                <w:szCs w:val="20"/>
              </w:rPr>
            </w:pPr>
            <w:r w:rsidRPr="009B460B">
              <w:rPr>
                <w:rFonts w:cs="Times New Roman"/>
                <w:sz w:val="20"/>
                <w:szCs w:val="20"/>
              </w:rPr>
              <w:t xml:space="preserve">Valsts budžets </w:t>
            </w:r>
          </w:p>
          <w:p w:rsidR="008555D1" w:rsidRPr="009B460B" w:rsidRDefault="008555D1" w:rsidP="00387237">
            <w:pPr>
              <w:pStyle w:val="ListParagraph"/>
              <w:ind w:left="142" w:firstLine="33"/>
              <w:jc w:val="both"/>
              <w:rPr>
                <w:rFonts w:cs="Times New Roman"/>
                <w:color w:val="FF0000"/>
                <w:sz w:val="20"/>
                <w:szCs w:val="20"/>
              </w:rPr>
            </w:pPr>
          </w:p>
          <w:p w:rsidR="002C6A17" w:rsidRDefault="002C6A17" w:rsidP="00387237">
            <w:pPr>
              <w:pStyle w:val="ListParagraph"/>
              <w:ind w:left="142" w:firstLine="33"/>
              <w:jc w:val="both"/>
              <w:rPr>
                <w:rFonts w:cs="Times New Roman"/>
                <w:color w:val="000000" w:themeColor="text1"/>
                <w:sz w:val="20"/>
                <w:szCs w:val="20"/>
              </w:rPr>
            </w:pPr>
          </w:p>
          <w:p w:rsidR="002C6A17" w:rsidRDefault="002C6A17" w:rsidP="00387237">
            <w:pPr>
              <w:pStyle w:val="ListParagraph"/>
              <w:ind w:left="142" w:firstLine="33"/>
              <w:jc w:val="both"/>
              <w:rPr>
                <w:rFonts w:cs="Times New Roman"/>
                <w:color w:val="000000" w:themeColor="text1"/>
                <w:sz w:val="20"/>
                <w:szCs w:val="20"/>
              </w:rPr>
            </w:pPr>
          </w:p>
          <w:p w:rsidR="008555D1" w:rsidRPr="009B460B" w:rsidRDefault="008555D1" w:rsidP="00387237">
            <w:pPr>
              <w:pStyle w:val="ListParagraph"/>
              <w:ind w:left="142" w:firstLine="33"/>
              <w:jc w:val="both"/>
              <w:rPr>
                <w:rFonts w:cs="Times New Roman"/>
                <w:color w:val="000000" w:themeColor="text1"/>
                <w:sz w:val="20"/>
                <w:szCs w:val="20"/>
              </w:rPr>
            </w:pPr>
            <w:r w:rsidRPr="009B460B">
              <w:rPr>
                <w:rFonts w:cs="Times New Roman"/>
                <w:color w:val="000000" w:themeColor="text1"/>
                <w:sz w:val="20"/>
                <w:szCs w:val="20"/>
              </w:rPr>
              <w:t>2 </w:t>
            </w:r>
            <w:r w:rsidR="001C7831">
              <w:rPr>
                <w:rFonts w:cs="Times New Roman"/>
                <w:color w:val="000000" w:themeColor="text1"/>
                <w:sz w:val="20"/>
                <w:szCs w:val="20"/>
              </w:rPr>
              <w:t>900</w:t>
            </w:r>
            <w:r w:rsidRPr="009B460B">
              <w:rPr>
                <w:rFonts w:cs="Times New Roman"/>
                <w:color w:val="000000" w:themeColor="text1"/>
                <w:sz w:val="20"/>
                <w:szCs w:val="20"/>
              </w:rPr>
              <w:t> 000</w:t>
            </w:r>
          </w:p>
          <w:p w:rsidR="008555D1" w:rsidRPr="009B460B" w:rsidRDefault="008555D1" w:rsidP="00387237">
            <w:pPr>
              <w:pStyle w:val="ListParagraph"/>
              <w:ind w:left="142" w:firstLine="33"/>
              <w:jc w:val="both"/>
              <w:rPr>
                <w:rFonts w:cs="Times New Roman"/>
                <w:color w:val="000000" w:themeColor="text1"/>
                <w:sz w:val="20"/>
                <w:szCs w:val="20"/>
              </w:rPr>
            </w:pPr>
          </w:p>
          <w:p w:rsidR="008555D1" w:rsidRPr="009B460B" w:rsidRDefault="008555D1" w:rsidP="00387237">
            <w:pPr>
              <w:pStyle w:val="ListParagraph"/>
              <w:ind w:left="142" w:firstLine="33"/>
              <w:jc w:val="both"/>
              <w:rPr>
                <w:rFonts w:cs="Times New Roman"/>
                <w:color w:val="000000" w:themeColor="text1"/>
                <w:sz w:val="20"/>
                <w:szCs w:val="20"/>
              </w:rPr>
            </w:pPr>
          </w:p>
          <w:p w:rsidR="008555D1" w:rsidRPr="009B460B" w:rsidRDefault="008555D1" w:rsidP="00387237">
            <w:pPr>
              <w:pStyle w:val="ListParagraph"/>
              <w:ind w:left="142" w:firstLine="33"/>
              <w:jc w:val="both"/>
              <w:rPr>
                <w:rFonts w:cs="Times New Roman"/>
                <w:color w:val="000000" w:themeColor="text1"/>
                <w:sz w:val="20"/>
                <w:szCs w:val="20"/>
              </w:rPr>
            </w:pPr>
            <w:r w:rsidRPr="009B460B">
              <w:rPr>
                <w:rFonts w:cs="Times New Roman"/>
                <w:color w:val="000000" w:themeColor="text1"/>
                <w:sz w:val="20"/>
                <w:szCs w:val="20"/>
              </w:rPr>
              <w:t>1</w:t>
            </w:r>
            <w:r w:rsidR="001C7831">
              <w:rPr>
                <w:rFonts w:cs="Times New Roman"/>
                <w:color w:val="000000" w:themeColor="text1"/>
                <w:sz w:val="20"/>
                <w:szCs w:val="20"/>
              </w:rPr>
              <w:t xml:space="preserve"> 000</w:t>
            </w:r>
            <w:r w:rsidRPr="009B460B">
              <w:rPr>
                <w:rFonts w:cs="Times New Roman"/>
                <w:color w:val="000000" w:themeColor="text1"/>
                <w:sz w:val="20"/>
                <w:szCs w:val="20"/>
              </w:rPr>
              <w:t> 000</w:t>
            </w:r>
          </w:p>
          <w:p w:rsidR="008555D1" w:rsidRPr="009B460B" w:rsidRDefault="008555D1" w:rsidP="00387237">
            <w:pPr>
              <w:pStyle w:val="ListParagraph"/>
              <w:ind w:left="142" w:firstLine="33"/>
              <w:jc w:val="both"/>
              <w:rPr>
                <w:rFonts w:cs="Times New Roman"/>
                <w:color w:val="000000" w:themeColor="text1"/>
                <w:sz w:val="20"/>
                <w:szCs w:val="20"/>
              </w:rPr>
            </w:pPr>
          </w:p>
          <w:p w:rsidR="008555D1" w:rsidRPr="009B460B" w:rsidRDefault="008555D1" w:rsidP="00387237">
            <w:pPr>
              <w:pStyle w:val="ListParagraph"/>
              <w:ind w:left="142" w:firstLine="33"/>
              <w:jc w:val="both"/>
              <w:rPr>
                <w:rFonts w:cs="Times New Roman"/>
                <w:color w:val="000000" w:themeColor="text1"/>
                <w:sz w:val="20"/>
                <w:szCs w:val="20"/>
              </w:rPr>
            </w:pPr>
          </w:p>
          <w:p w:rsidR="008555D1" w:rsidRPr="009B460B" w:rsidRDefault="001C7831" w:rsidP="00387237">
            <w:pPr>
              <w:pStyle w:val="ListParagraph"/>
              <w:ind w:left="142" w:firstLine="33"/>
              <w:jc w:val="both"/>
              <w:rPr>
                <w:rFonts w:cs="Times New Roman"/>
                <w:color w:val="000000" w:themeColor="text1"/>
                <w:sz w:val="20"/>
                <w:szCs w:val="20"/>
              </w:rPr>
            </w:pPr>
            <w:r>
              <w:rPr>
                <w:rFonts w:cs="Times New Roman"/>
                <w:color w:val="000000" w:themeColor="text1"/>
                <w:sz w:val="20"/>
                <w:szCs w:val="20"/>
              </w:rPr>
              <w:t>1 1</w:t>
            </w:r>
            <w:r w:rsidR="008555D1" w:rsidRPr="009B460B">
              <w:rPr>
                <w:rFonts w:cs="Times New Roman"/>
                <w:color w:val="000000" w:themeColor="text1"/>
                <w:sz w:val="20"/>
                <w:szCs w:val="20"/>
              </w:rPr>
              <w:t>00</w:t>
            </w:r>
            <w:r>
              <w:rPr>
                <w:rFonts w:cs="Times New Roman"/>
                <w:color w:val="000000" w:themeColor="text1"/>
                <w:sz w:val="20"/>
                <w:szCs w:val="20"/>
              </w:rPr>
              <w:t> </w:t>
            </w:r>
            <w:r w:rsidR="008555D1" w:rsidRPr="009B460B">
              <w:rPr>
                <w:rFonts w:cs="Times New Roman"/>
                <w:color w:val="000000" w:themeColor="text1"/>
                <w:sz w:val="20"/>
                <w:szCs w:val="20"/>
              </w:rPr>
              <w:t>000</w:t>
            </w:r>
          </w:p>
          <w:p w:rsidR="008555D1" w:rsidRDefault="008555D1" w:rsidP="00387237">
            <w:pPr>
              <w:pStyle w:val="ListParagraph"/>
              <w:ind w:left="142" w:firstLine="33"/>
              <w:jc w:val="both"/>
              <w:rPr>
                <w:rFonts w:cs="Times New Roman"/>
                <w:color w:val="000000" w:themeColor="text1"/>
                <w:sz w:val="20"/>
                <w:szCs w:val="20"/>
              </w:rPr>
            </w:pPr>
          </w:p>
          <w:p w:rsidR="001C7831" w:rsidRPr="009B460B" w:rsidRDefault="001C7831" w:rsidP="00387237">
            <w:pPr>
              <w:pStyle w:val="ListParagraph"/>
              <w:ind w:left="142" w:firstLine="33"/>
              <w:jc w:val="both"/>
              <w:rPr>
                <w:rFonts w:cs="Times New Roman"/>
                <w:color w:val="000000" w:themeColor="text1"/>
                <w:sz w:val="20"/>
                <w:szCs w:val="20"/>
              </w:rPr>
            </w:pPr>
          </w:p>
          <w:p w:rsidR="008555D1" w:rsidRDefault="001C7831" w:rsidP="00965BBE">
            <w:pPr>
              <w:pStyle w:val="ListParagraph"/>
              <w:ind w:left="142" w:hanging="109"/>
              <w:jc w:val="both"/>
              <w:rPr>
                <w:rFonts w:cs="Times New Roman"/>
                <w:color w:val="000000" w:themeColor="text1"/>
                <w:sz w:val="20"/>
                <w:szCs w:val="20"/>
              </w:rPr>
            </w:pPr>
            <w:r>
              <w:rPr>
                <w:rFonts w:cs="Times New Roman"/>
                <w:color w:val="000000" w:themeColor="text1"/>
                <w:sz w:val="20"/>
                <w:szCs w:val="20"/>
              </w:rPr>
              <w:t>800</w:t>
            </w:r>
            <w:r w:rsidR="00393E37">
              <w:rPr>
                <w:rFonts w:cs="Times New Roman"/>
                <w:color w:val="000000" w:themeColor="text1"/>
                <w:sz w:val="20"/>
                <w:szCs w:val="20"/>
              </w:rPr>
              <w:t> </w:t>
            </w:r>
            <w:r>
              <w:rPr>
                <w:rFonts w:cs="Times New Roman"/>
                <w:color w:val="000000" w:themeColor="text1"/>
                <w:sz w:val="20"/>
                <w:szCs w:val="20"/>
              </w:rPr>
              <w:t>000</w:t>
            </w:r>
          </w:p>
          <w:p w:rsidR="00393E37" w:rsidRPr="000F1AB6" w:rsidRDefault="00393E37" w:rsidP="000F1AB6">
            <w:pPr>
              <w:jc w:val="both"/>
              <w:rPr>
                <w:rFonts w:cs="Times New Roman"/>
                <w:color w:val="000000" w:themeColor="text1"/>
                <w:sz w:val="20"/>
                <w:szCs w:val="20"/>
              </w:rPr>
            </w:pPr>
          </w:p>
          <w:p w:rsidR="00393E37" w:rsidRPr="009B460B" w:rsidRDefault="00393E37" w:rsidP="00965BBE">
            <w:pPr>
              <w:pStyle w:val="ListParagraph"/>
              <w:ind w:left="142" w:hanging="109"/>
              <w:jc w:val="both"/>
              <w:rPr>
                <w:rFonts w:cs="Times New Roman"/>
                <w:sz w:val="20"/>
                <w:szCs w:val="20"/>
              </w:rPr>
            </w:pPr>
            <w:r>
              <w:rPr>
                <w:rFonts w:cs="Times New Roman"/>
                <w:color w:val="000000" w:themeColor="text1"/>
                <w:sz w:val="20"/>
                <w:szCs w:val="20"/>
              </w:rPr>
              <w:t>Kopā: 5 800 000</w:t>
            </w:r>
          </w:p>
        </w:tc>
      </w:tr>
      <w:tr w:rsidR="008A0F2C" w:rsidRPr="00532F00" w:rsidTr="008A0F2C">
        <w:trPr>
          <w:trHeight w:val="844"/>
        </w:trPr>
        <w:tc>
          <w:tcPr>
            <w:tcW w:w="15876" w:type="dxa"/>
            <w:gridSpan w:val="8"/>
          </w:tcPr>
          <w:p w:rsidR="008A0F2C" w:rsidRDefault="008A0F2C" w:rsidP="008555D1">
            <w:pPr>
              <w:pStyle w:val="ListParagraph"/>
              <w:ind w:left="142" w:firstLine="33"/>
              <w:jc w:val="both"/>
              <w:rPr>
                <w:rFonts w:cs="Times New Roman"/>
                <w:sz w:val="20"/>
                <w:szCs w:val="20"/>
              </w:rPr>
            </w:pPr>
          </w:p>
          <w:p w:rsidR="008A0F2C" w:rsidRPr="009B460B" w:rsidRDefault="00A45EFF" w:rsidP="008A0F2C">
            <w:pPr>
              <w:pStyle w:val="ListParagraph"/>
              <w:ind w:left="142" w:firstLine="33"/>
              <w:jc w:val="both"/>
              <w:rPr>
                <w:rFonts w:cs="Times New Roman"/>
                <w:sz w:val="20"/>
                <w:szCs w:val="20"/>
              </w:rPr>
            </w:pPr>
            <w:r>
              <w:rPr>
                <w:rFonts w:cs="Times New Roman"/>
                <w:b/>
                <w:i/>
                <w:u w:val="single"/>
              </w:rPr>
              <w:t>3.3.3</w:t>
            </w:r>
            <w:r w:rsidR="008A0F2C" w:rsidRPr="009B460B">
              <w:rPr>
                <w:rFonts w:cs="Times New Roman"/>
                <w:b/>
                <w:i/>
                <w:u w:val="single"/>
              </w:rPr>
              <w:t xml:space="preserve">. </w:t>
            </w:r>
            <w:r w:rsidR="008A0F2C">
              <w:rPr>
                <w:rFonts w:cs="Times New Roman"/>
                <w:b/>
                <w:i/>
                <w:u w:val="single"/>
              </w:rPr>
              <w:t xml:space="preserve">Pilsētu un pašvaldības </w:t>
            </w:r>
            <w:r w:rsidR="008A0F2C" w:rsidRPr="001050E3">
              <w:rPr>
                <w:rFonts w:cs="Times New Roman"/>
                <w:b/>
                <w:i/>
                <w:u w:val="single"/>
              </w:rPr>
              <w:t>auto</w:t>
            </w:r>
            <w:r w:rsidR="00226517">
              <w:rPr>
                <w:rFonts w:cs="Times New Roman"/>
                <w:b/>
                <w:i/>
                <w:u w:val="single"/>
              </w:rPr>
              <w:t>ceļu infrastruktūras uzlabošana</w:t>
            </w:r>
          </w:p>
        </w:tc>
      </w:tr>
      <w:tr w:rsidR="008A0F2C" w:rsidRPr="00532F00" w:rsidTr="00226517">
        <w:trPr>
          <w:trHeight w:val="1250"/>
        </w:trPr>
        <w:tc>
          <w:tcPr>
            <w:tcW w:w="425" w:type="dxa"/>
          </w:tcPr>
          <w:p w:rsidR="008A0F2C" w:rsidRPr="008A0F2C" w:rsidRDefault="00A45EFF" w:rsidP="008A0F2C">
            <w:pPr>
              <w:ind w:right="-6"/>
              <w:jc w:val="both"/>
              <w:rPr>
                <w:rFonts w:cs="Times New Roman"/>
                <w:bCs/>
                <w:sz w:val="20"/>
                <w:szCs w:val="20"/>
              </w:rPr>
            </w:pPr>
            <w:r>
              <w:rPr>
                <w:rFonts w:cs="Times New Roman"/>
                <w:bCs/>
                <w:sz w:val="20"/>
                <w:szCs w:val="20"/>
              </w:rPr>
              <w:t>5</w:t>
            </w:r>
            <w:r w:rsidR="008A0F2C">
              <w:rPr>
                <w:rFonts w:cs="Times New Roman"/>
                <w:bCs/>
                <w:sz w:val="20"/>
                <w:szCs w:val="20"/>
              </w:rPr>
              <w:t>.</w:t>
            </w:r>
          </w:p>
        </w:tc>
        <w:tc>
          <w:tcPr>
            <w:tcW w:w="3686" w:type="dxa"/>
          </w:tcPr>
          <w:p w:rsidR="008A0F2C" w:rsidRPr="009B460B" w:rsidRDefault="00226517" w:rsidP="004566A7">
            <w:pPr>
              <w:pStyle w:val="ListParagraph"/>
              <w:ind w:left="142"/>
              <w:jc w:val="both"/>
              <w:rPr>
                <w:rFonts w:cs="Times New Roman"/>
                <w:sz w:val="20"/>
                <w:szCs w:val="20"/>
              </w:rPr>
            </w:pPr>
            <w:r>
              <w:rPr>
                <w:rFonts w:cs="Times New Roman"/>
                <w:sz w:val="20"/>
                <w:szCs w:val="20"/>
              </w:rPr>
              <w:t>Izstrādāt “m</w:t>
            </w:r>
            <w:r w:rsidR="008A0F2C">
              <w:rPr>
                <w:rFonts w:cs="Times New Roman"/>
                <w:sz w:val="20"/>
                <w:szCs w:val="20"/>
              </w:rPr>
              <w:t>elno punktu” un bīstamo vietu noteikšanas kritērijus apdzīvotās vietās.</w:t>
            </w:r>
          </w:p>
        </w:tc>
        <w:tc>
          <w:tcPr>
            <w:tcW w:w="2835" w:type="dxa"/>
          </w:tcPr>
          <w:p w:rsidR="008A0F2C" w:rsidRPr="009B460B" w:rsidRDefault="008A0F2C" w:rsidP="004566A7">
            <w:pPr>
              <w:jc w:val="both"/>
              <w:rPr>
                <w:rFonts w:cs="Times New Roman"/>
                <w:sz w:val="20"/>
                <w:szCs w:val="20"/>
              </w:rPr>
            </w:pPr>
            <w:r>
              <w:rPr>
                <w:rFonts w:cs="Times New Roman"/>
                <w:sz w:val="20"/>
                <w:szCs w:val="20"/>
              </w:rPr>
              <w:t>Nodrošināta satiksmes drošības izvērtēšana apdzīvotās vietās bīstamos posmos un vietās.</w:t>
            </w:r>
          </w:p>
        </w:tc>
        <w:tc>
          <w:tcPr>
            <w:tcW w:w="2693" w:type="dxa"/>
          </w:tcPr>
          <w:p w:rsidR="008A0F2C" w:rsidRPr="009B460B" w:rsidRDefault="00226517" w:rsidP="008555D1">
            <w:pPr>
              <w:pStyle w:val="ListParagraph"/>
              <w:ind w:left="142"/>
              <w:jc w:val="both"/>
              <w:rPr>
                <w:rFonts w:cs="Times New Roman"/>
                <w:sz w:val="20"/>
                <w:szCs w:val="20"/>
              </w:rPr>
            </w:pPr>
            <w:r>
              <w:rPr>
                <w:rFonts w:cs="Times New Roman"/>
                <w:sz w:val="20"/>
                <w:szCs w:val="20"/>
              </w:rPr>
              <w:t>Izstrādāti Ministru kabineta noteikumi par “m</w:t>
            </w:r>
            <w:r w:rsidR="008A0F2C">
              <w:rPr>
                <w:rFonts w:cs="Times New Roman"/>
                <w:sz w:val="20"/>
                <w:szCs w:val="20"/>
              </w:rPr>
              <w:t>elno punktu” un bīstamo vietu noteikšanas kritēriji</w:t>
            </w:r>
            <w:r>
              <w:rPr>
                <w:rFonts w:cs="Times New Roman"/>
                <w:sz w:val="20"/>
                <w:szCs w:val="20"/>
              </w:rPr>
              <w:t>em</w:t>
            </w:r>
            <w:r w:rsidR="008A0F2C">
              <w:rPr>
                <w:rFonts w:cs="Times New Roman"/>
                <w:sz w:val="20"/>
                <w:szCs w:val="20"/>
              </w:rPr>
              <w:t xml:space="preserve"> apdzīvotās vietās.</w:t>
            </w:r>
          </w:p>
        </w:tc>
        <w:tc>
          <w:tcPr>
            <w:tcW w:w="1276" w:type="dxa"/>
          </w:tcPr>
          <w:p w:rsidR="008A0F2C" w:rsidRPr="009B460B" w:rsidRDefault="008A0F2C" w:rsidP="004566A7">
            <w:pPr>
              <w:pStyle w:val="ListParagraph"/>
              <w:ind w:left="142"/>
              <w:jc w:val="both"/>
              <w:rPr>
                <w:rFonts w:cs="Times New Roman"/>
                <w:sz w:val="20"/>
                <w:szCs w:val="20"/>
              </w:rPr>
            </w:pPr>
            <w:r>
              <w:rPr>
                <w:rFonts w:cs="Times New Roman"/>
                <w:sz w:val="20"/>
                <w:szCs w:val="20"/>
              </w:rPr>
              <w:t>LVC, CSDD</w:t>
            </w:r>
          </w:p>
        </w:tc>
        <w:tc>
          <w:tcPr>
            <w:tcW w:w="1417" w:type="dxa"/>
          </w:tcPr>
          <w:p w:rsidR="008A0F2C" w:rsidRPr="009B460B" w:rsidRDefault="008A0F2C" w:rsidP="008A0F2C">
            <w:pPr>
              <w:pStyle w:val="ListParagraph"/>
              <w:ind w:left="0" w:firstLine="141"/>
              <w:jc w:val="both"/>
              <w:rPr>
                <w:rFonts w:cs="Times New Roman"/>
                <w:sz w:val="20"/>
                <w:szCs w:val="20"/>
              </w:rPr>
            </w:pPr>
            <w:r>
              <w:rPr>
                <w:rFonts w:cs="Times New Roman"/>
                <w:sz w:val="20"/>
                <w:szCs w:val="20"/>
              </w:rPr>
              <w:t>SM, VARAM, LPS</w:t>
            </w:r>
          </w:p>
        </w:tc>
        <w:tc>
          <w:tcPr>
            <w:tcW w:w="1418" w:type="dxa"/>
          </w:tcPr>
          <w:p w:rsidR="008A0F2C" w:rsidRPr="009B460B" w:rsidRDefault="008A0F2C" w:rsidP="004566A7">
            <w:pPr>
              <w:jc w:val="both"/>
              <w:rPr>
                <w:rFonts w:cs="Times New Roman"/>
                <w:sz w:val="20"/>
                <w:szCs w:val="20"/>
              </w:rPr>
            </w:pPr>
            <w:r>
              <w:rPr>
                <w:rFonts w:cs="Times New Roman"/>
                <w:sz w:val="20"/>
                <w:szCs w:val="20"/>
              </w:rPr>
              <w:t>31.12.2018.</w:t>
            </w:r>
          </w:p>
        </w:tc>
        <w:tc>
          <w:tcPr>
            <w:tcW w:w="2126" w:type="dxa"/>
          </w:tcPr>
          <w:p w:rsidR="008A0F2C" w:rsidRPr="009B460B" w:rsidRDefault="008A0F2C" w:rsidP="008555D1">
            <w:pPr>
              <w:pStyle w:val="ListParagraph"/>
              <w:ind w:left="142" w:firstLine="33"/>
              <w:jc w:val="both"/>
              <w:rPr>
                <w:rFonts w:cs="Times New Roman"/>
                <w:sz w:val="20"/>
                <w:szCs w:val="20"/>
              </w:rPr>
            </w:pPr>
            <w:r>
              <w:rPr>
                <w:rFonts w:cs="Times New Roman"/>
                <w:sz w:val="20"/>
                <w:szCs w:val="20"/>
              </w:rPr>
              <w:t>Nav nepieciešams.</w:t>
            </w:r>
          </w:p>
        </w:tc>
      </w:tr>
    </w:tbl>
    <w:p w:rsidR="00B91A9F" w:rsidRDefault="00B91A9F" w:rsidP="000F1AB6">
      <w:pPr>
        <w:jc w:val="both"/>
        <w:rPr>
          <w:rFonts w:asciiTheme="minorHAnsi" w:hAnsiTheme="minorHAnsi"/>
          <w:b/>
          <w:sz w:val="20"/>
          <w:szCs w:val="20"/>
        </w:rPr>
      </w:pPr>
    </w:p>
    <w:p w:rsidR="00210011" w:rsidRPr="00FE4F1C" w:rsidRDefault="009630C5" w:rsidP="001050E3">
      <w:pPr>
        <w:pStyle w:val="Heading2"/>
        <w:ind w:left="284"/>
      </w:pPr>
      <w:bookmarkStart w:id="56" w:name="_Toc477177769"/>
      <w:r>
        <w:t>3</w:t>
      </w:r>
      <w:r w:rsidR="001050E3">
        <w:t>.4</w:t>
      </w:r>
      <w:r w:rsidR="00836748" w:rsidRPr="00FE4F1C">
        <w:t xml:space="preserve">.  </w:t>
      </w:r>
      <w:r w:rsidR="00836748" w:rsidRPr="00FE4F1C">
        <w:rPr>
          <w:rStyle w:val="Heading2Char"/>
          <w:b/>
        </w:rPr>
        <w:t>Reaģēšana uz ceļu satiksmes negadījumiem un to seku mazināšana un novēršana</w:t>
      </w:r>
      <w:bookmarkEnd w:id="56"/>
    </w:p>
    <w:p w:rsidR="00210011" w:rsidRDefault="00210011" w:rsidP="00A70D56">
      <w:pPr>
        <w:ind w:firstLine="426"/>
        <w:jc w:val="both"/>
        <w:rPr>
          <w:rFonts w:asciiTheme="minorHAnsi" w:hAnsiTheme="minorHAnsi"/>
          <w:b/>
          <w:sz w:val="20"/>
          <w:szCs w:val="20"/>
        </w:rPr>
      </w:pPr>
    </w:p>
    <w:tbl>
      <w:tblPr>
        <w:tblStyle w:val="TableGrid"/>
        <w:tblW w:w="16018"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3686"/>
        <w:gridCol w:w="2835"/>
        <w:gridCol w:w="2693"/>
        <w:gridCol w:w="1276"/>
        <w:gridCol w:w="1417"/>
        <w:gridCol w:w="1418"/>
        <w:gridCol w:w="2268"/>
      </w:tblGrid>
      <w:tr w:rsidR="00F877FC" w:rsidRPr="00F877FC" w:rsidTr="0080748A">
        <w:trPr>
          <w:trHeight w:val="809"/>
        </w:trPr>
        <w:tc>
          <w:tcPr>
            <w:tcW w:w="4111" w:type="dxa"/>
            <w:gridSpan w:val="2"/>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bCs/>
                <w:color w:val="000000" w:themeColor="text1"/>
                <w:sz w:val="20"/>
                <w:szCs w:val="20"/>
              </w:rPr>
              <w:t>Politikas rezultāti un rezultatīvie rādītāji</w:t>
            </w:r>
          </w:p>
        </w:tc>
        <w:tc>
          <w:tcPr>
            <w:tcW w:w="11907" w:type="dxa"/>
            <w:gridSpan w:val="6"/>
            <w:shd w:val="clear" w:color="auto" w:fill="D9D9D9" w:themeFill="background1" w:themeFillShade="D9"/>
            <w:hideMark/>
          </w:tcPr>
          <w:p w:rsidR="00F877FC" w:rsidRPr="00F877FC" w:rsidRDefault="00E467BA" w:rsidP="00330450">
            <w:pPr>
              <w:jc w:val="both"/>
              <w:rPr>
                <w:rFonts w:cs="Times New Roman"/>
                <w:b/>
                <w:i/>
                <w:color w:val="000000" w:themeColor="text1"/>
                <w:sz w:val="20"/>
                <w:szCs w:val="20"/>
              </w:rPr>
            </w:pPr>
            <w:r>
              <w:rPr>
                <w:rFonts w:cs="Times New Roman"/>
                <w:b/>
                <w:i/>
                <w:color w:val="000000" w:themeColor="text1"/>
                <w:sz w:val="20"/>
                <w:szCs w:val="20"/>
              </w:rPr>
              <w:t>Papildinā</w:t>
            </w:r>
            <w:r w:rsidR="00F95074">
              <w:rPr>
                <w:rFonts w:cs="Times New Roman"/>
                <w:b/>
                <w:i/>
                <w:color w:val="000000" w:themeColor="text1"/>
                <w:sz w:val="20"/>
                <w:szCs w:val="20"/>
              </w:rPr>
              <w:t>t</w:t>
            </w:r>
            <w:r>
              <w:rPr>
                <w:rFonts w:cs="Times New Roman"/>
                <w:b/>
                <w:i/>
                <w:color w:val="000000" w:themeColor="text1"/>
                <w:sz w:val="20"/>
                <w:szCs w:val="20"/>
              </w:rPr>
              <w:t>a</w:t>
            </w:r>
            <w:r w:rsidR="00F877FC" w:rsidRPr="00F877FC">
              <w:rPr>
                <w:rFonts w:cs="Times New Roman"/>
                <w:b/>
                <w:i/>
                <w:color w:val="000000" w:themeColor="text1"/>
                <w:sz w:val="20"/>
                <w:szCs w:val="20"/>
              </w:rPr>
              <w:t xml:space="preserve"> Valsts ugunsdzēsības un glābšanas dienesta tehni</w:t>
            </w:r>
            <w:r w:rsidR="00F95074">
              <w:rPr>
                <w:rFonts w:cs="Times New Roman"/>
                <w:b/>
                <w:i/>
                <w:color w:val="000000" w:themeColor="text1"/>
                <w:sz w:val="20"/>
                <w:szCs w:val="20"/>
              </w:rPr>
              <w:t>s</w:t>
            </w:r>
            <w:r>
              <w:rPr>
                <w:rFonts w:cs="Times New Roman"/>
                <w:b/>
                <w:i/>
                <w:color w:val="000000" w:themeColor="text1"/>
                <w:sz w:val="20"/>
                <w:szCs w:val="20"/>
              </w:rPr>
              <w:t>ko līdzekļu izmantošanas sistēma un nodrošinā</w:t>
            </w:r>
            <w:r w:rsidR="00F95074">
              <w:rPr>
                <w:rFonts w:cs="Times New Roman"/>
                <w:b/>
                <w:i/>
                <w:color w:val="000000" w:themeColor="text1"/>
                <w:sz w:val="20"/>
                <w:szCs w:val="20"/>
              </w:rPr>
              <w:t>t</w:t>
            </w:r>
            <w:r>
              <w:rPr>
                <w:rFonts w:cs="Times New Roman"/>
                <w:b/>
                <w:i/>
                <w:color w:val="000000" w:themeColor="text1"/>
                <w:sz w:val="20"/>
                <w:szCs w:val="20"/>
              </w:rPr>
              <w:t>as</w:t>
            </w:r>
            <w:r w:rsidR="00F95074">
              <w:rPr>
                <w:rFonts w:cs="Times New Roman"/>
                <w:b/>
                <w:i/>
                <w:color w:val="000000" w:themeColor="text1"/>
                <w:sz w:val="20"/>
                <w:szCs w:val="20"/>
              </w:rPr>
              <w:t xml:space="preserve"> apmācības</w:t>
            </w:r>
            <w:r w:rsidR="00F877FC" w:rsidRPr="00F877FC">
              <w:rPr>
                <w:rFonts w:cs="Times New Roman"/>
                <w:b/>
                <w:i/>
                <w:color w:val="000000" w:themeColor="text1"/>
                <w:sz w:val="20"/>
                <w:szCs w:val="20"/>
              </w:rPr>
              <w:t xml:space="preserve"> sadarbī</w:t>
            </w:r>
            <w:r w:rsidR="00050346">
              <w:rPr>
                <w:rFonts w:cs="Times New Roman"/>
                <w:b/>
                <w:i/>
                <w:color w:val="000000" w:themeColor="text1"/>
                <w:sz w:val="20"/>
                <w:szCs w:val="20"/>
              </w:rPr>
              <w:t>bā</w:t>
            </w:r>
            <w:r w:rsidR="00F877FC" w:rsidRPr="00F877FC">
              <w:rPr>
                <w:rFonts w:cs="Times New Roman"/>
                <w:b/>
                <w:i/>
                <w:color w:val="000000" w:themeColor="text1"/>
                <w:sz w:val="20"/>
                <w:szCs w:val="20"/>
              </w:rPr>
              <w:t xml:space="preserve"> ar iesaistītajām institūcijām.</w:t>
            </w:r>
          </w:p>
        </w:tc>
      </w:tr>
      <w:tr w:rsidR="00F877FC" w:rsidRPr="00F877FC" w:rsidTr="0080748A">
        <w:trPr>
          <w:trHeight w:val="503"/>
        </w:trPr>
        <w:tc>
          <w:tcPr>
            <w:tcW w:w="4111" w:type="dxa"/>
            <w:gridSpan w:val="2"/>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bCs/>
                <w:color w:val="000000" w:themeColor="text1"/>
                <w:sz w:val="20"/>
                <w:szCs w:val="20"/>
              </w:rPr>
              <w:t>Rīcības virziens</w:t>
            </w:r>
          </w:p>
        </w:tc>
        <w:tc>
          <w:tcPr>
            <w:tcW w:w="11907" w:type="dxa"/>
            <w:gridSpan w:val="6"/>
            <w:shd w:val="clear" w:color="auto" w:fill="D9D9D9" w:themeFill="background1" w:themeFillShade="D9"/>
            <w:hideMark/>
          </w:tcPr>
          <w:p w:rsidR="00F877FC" w:rsidRPr="00FE4F1C" w:rsidRDefault="009630C5" w:rsidP="004A4A45">
            <w:pPr>
              <w:ind w:left="33"/>
              <w:jc w:val="both"/>
              <w:rPr>
                <w:rFonts w:cs="Times New Roman"/>
                <w:b/>
                <w:color w:val="000000" w:themeColor="text1"/>
                <w:sz w:val="20"/>
                <w:szCs w:val="20"/>
                <w:u w:val="single"/>
              </w:rPr>
            </w:pPr>
            <w:r>
              <w:rPr>
                <w:rFonts w:cs="Times New Roman"/>
                <w:b/>
                <w:sz w:val="28"/>
                <w:szCs w:val="28"/>
                <w:u w:val="single"/>
              </w:rPr>
              <w:t>3</w:t>
            </w:r>
            <w:r w:rsidR="001050E3">
              <w:rPr>
                <w:rFonts w:cs="Times New Roman"/>
                <w:b/>
                <w:sz w:val="28"/>
                <w:szCs w:val="28"/>
                <w:u w:val="single"/>
              </w:rPr>
              <w:t>.4</w:t>
            </w:r>
            <w:r w:rsidR="00FE4F1C">
              <w:rPr>
                <w:rFonts w:cs="Times New Roman"/>
                <w:b/>
                <w:sz w:val="28"/>
                <w:szCs w:val="28"/>
                <w:u w:val="single"/>
              </w:rPr>
              <w:t>.</w:t>
            </w:r>
            <w:r w:rsidR="00E467BA" w:rsidRPr="00FE4F1C">
              <w:rPr>
                <w:rFonts w:cs="Times New Roman"/>
                <w:b/>
                <w:sz w:val="28"/>
                <w:szCs w:val="28"/>
                <w:u w:val="single"/>
              </w:rPr>
              <w:t xml:space="preserve">Reaģēšana uz ceļu satiksmes negadījumiem un </w:t>
            </w:r>
            <w:r w:rsidR="00226517">
              <w:rPr>
                <w:rFonts w:cs="Times New Roman"/>
                <w:b/>
                <w:sz w:val="28"/>
                <w:szCs w:val="28"/>
                <w:u w:val="single"/>
              </w:rPr>
              <w:t>to seku mazināšana un novēršana</w:t>
            </w:r>
          </w:p>
        </w:tc>
      </w:tr>
      <w:tr w:rsidR="00F877FC" w:rsidRPr="00F877FC" w:rsidTr="0080748A">
        <w:trPr>
          <w:trHeight w:val="1051"/>
        </w:trPr>
        <w:tc>
          <w:tcPr>
            <w:tcW w:w="425"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bCs/>
                <w:color w:val="000000" w:themeColor="text1"/>
                <w:sz w:val="20"/>
                <w:szCs w:val="20"/>
              </w:rPr>
              <w:t>Nr.</w:t>
            </w:r>
          </w:p>
        </w:tc>
        <w:tc>
          <w:tcPr>
            <w:tcW w:w="3686"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color w:val="000000" w:themeColor="text1"/>
                <w:sz w:val="20"/>
                <w:szCs w:val="20"/>
              </w:rPr>
              <w:t>Pasākums</w:t>
            </w:r>
          </w:p>
        </w:tc>
        <w:tc>
          <w:tcPr>
            <w:tcW w:w="2835"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color w:val="000000" w:themeColor="text1"/>
                <w:sz w:val="20"/>
                <w:szCs w:val="20"/>
              </w:rPr>
              <w:t>Darbības rezultāts</w:t>
            </w:r>
          </w:p>
        </w:tc>
        <w:tc>
          <w:tcPr>
            <w:tcW w:w="2693"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color w:val="000000" w:themeColor="text1"/>
                <w:sz w:val="20"/>
                <w:szCs w:val="20"/>
              </w:rPr>
              <w:t>Rezultatīvais rādītājs</w:t>
            </w:r>
          </w:p>
        </w:tc>
        <w:tc>
          <w:tcPr>
            <w:tcW w:w="1276"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color w:val="000000" w:themeColor="text1"/>
                <w:sz w:val="20"/>
                <w:szCs w:val="20"/>
              </w:rPr>
              <w:t>Atbildīgā institūcija</w:t>
            </w:r>
          </w:p>
        </w:tc>
        <w:tc>
          <w:tcPr>
            <w:tcW w:w="1417"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color w:val="000000" w:themeColor="text1"/>
                <w:sz w:val="20"/>
                <w:szCs w:val="20"/>
              </w:rPr>
              <w:t>Līdzatbildīgās institūcijas</w:t>
            </w:r>
          </w:p>
        </w:tc>
        <w:tc>
          <w:tcPr>
            <w:tcW w:w="1418" w:type="dxa"/>
            <w:shd w:val="clear" w:color="auto" w:fill="D9D9D9" w:themeFill="background1" w:themeFillShade="D9"/>
            <w:hideMark/>
          </w:tcPr>
          <w:p w:rsidR="00F877FC" w:rsidRPr="00F877FC" w:rsidRDefault="00F877FC" w:rsidP="00330450">
            <w:pPr>
              <w:jc w:val="both"/>
              <w:rPr>
                <w:rFonts w:cs="Times New Roman"/>
                <w:color w:val="000000" w:themeColor="text1"/>
                <w:sz w:val="20"/>
                <w:szCs w:val="20"/>
              </w:rPr>
            </w:pPr>
            <w:r w:rsidRPr="00F877FC">
              <w:rPr>
                <w:rFonts w:cs="Times New Roman"/>
                <w:color w:val="000000" w:themeColor="text1"/>
                <w:sz w:val="20"/>
                <w:szCs w:val="20"/>
              </w:rPr>
              <w:t>Izpildes termiņš</w:t>
            </w:r>
          </w:p>
        </w:tc>
        <w:tc>
          <w:tcPr>
            <w:tcW w:w="2268" w:type="dxa"/>
            <w:shd w:val="clear" w:color="auto" w:fill="D9D9D9" w:themeFill="background1" w:themeFillShade="D9"/>
          </w:tcPr>
          <w:p w:rsidR="00F877FC" w:rsidRPr="00F877FC" w:rsidRDefault="00F877FC" w:rsidP="00330450">
            <w:pPr>
              <w:jc w:val="both"/>
              <w:rPr>
                <w:rFonts w:cs="Times New Roman"/>
                <w:color w:val="000000" w:themeColor="text1"/>
                <w:sz w:val="20"/>
                <w:szCs w:val="20"/>
              </w:rPr>
            </w:pPr>
            <w:r>
              <w:rPr>
                <w:rFonts w:eastAsia="Times New Roman" w:cs="Times New Roman"/>
                <w:color w:val="000000"/>
                <w:kern w:val="24"/>
                <w:sz w:val="20"/>
                <w:szCs w:val="20"/>
                <w:lang w:eastAsia="lv-LV"/>
              </w:rPr>
              <w:t>Nepieciešamais finansējums</w:t>
            </w:r>
            <w:r w:rsidR="009E3114">
              <w:rPr>
                <w:rFonts w:eastAsia="Times New Roman" w:cs="Times New Roman"/>
                <w:color w:val="000000"/>
                <w:kern w:val="24"/>
                <w:sz w:val="20"/>
                <w:szCs w:val="20"/>
                <w:lang w:eastAsia="lv-LV"/>
              </w:rPr>
              <w:t xml:space="preserve"> (</w:t>
            </w:r>
            <w:proofErr w:type="spellStart"/>
            <w:r w:rsidR="009E3114" w:rsidRPr="009E3114">
              <w:rPr>
                <w:rFonts w:eastAsia="Times New Roman" w:cs="Times New Roman"/>
                <w:i/>
                <w:color w:val="000000"/>
                <w:kern w:val="24"/>
                <w:sz w:val="20"/>
                <w:szCs w:val="20"/>
                <w:lang w:eastAsia="lv-LV"/>
              </w:rPr>
              <w:t>euro</w:t>
            </w:r>
            <w:proofErr w:type="spellEnd"/>
            <w:r w:rsidR="009E3114">
              <w:rPr>
                <w:rFonts w:eastAsia="Times New Roman" w:cs="Times New Roman"/>
                <w:color w:val="000000"/>
                <w:kern w:val="24"/>
                <w:sz w:val="20"/>
                <w:szCs w:val="20"/>
                <w:lang w:eastAsia="lv-LV"/>
              </w:rPr>
              <w:t>)</w:t>
            </w:r>
            <w:r>
              <w:rPr>
                <w:rFonts w:eastAsia="Times New Roman" w:cs="Times New Roman"/>
                <w:color w:val="000000"/>
                <w:kern w:val="24"/>
                <w:sz w:val="20"/>
                <w:szCs w:val="20"/>
                <w:lang w:eastAsia="lv-LV"/>
              </w:rPr>
              <w:t xml:space="preserve"> un tā avoti</w:t>
            </w:r>
          </w:p>
        </w:tc>
      </w:tr>
      <w:tr w:rsidR="00A426CD" w:rsidRPr="00F877FC" w:rsidTr="0080748A">
        <w:trPr>
          <w:trHeight w:val="844"/>
        </w:trPr>
        <w:tc>
          <w:tcPr>
            <w:tcW w:w="16018" w:type="dxa"/>
            <w:gridSpan w:val="8"/>
          </w:tcPr>
          <w:p w:rsidR="00A426CD" w:rsidRPr="00A426CD" w:rsidRDefault="009630C5" w:rsidP="00FE4F1C">
            <w:pPr>
              <w:jc w:val="both"/>
              <w:rPr>
                <w:rFonts w:cs="Times New Roman"/>
                <w:b/>
                <w:i/>
                <w:highlight w:val="yellow"/>
                <w:u w:val="single"/>
              </w:rPr>
            </w:pPr>
            <w:r w:rsidRPr="004F3141">
              <w:rPr>
                <w:rFonts w:cs="Times New Roman"/>
                <w:b/>
                <w:i/>
              </w:rPr>
              <w:t>3</w:t>
            </w:r>
            <w:r w:rsidR="001050E3">
              <w:rPr>
                <w:rFonts w:cs="Times New Roman"/>
                <w:b/>
                <w:i/>
                <w:u w:val="single"/>
              </w:rPr>
              <w:t>.4</w:t>
            </w:r>
            <w:r w:rsidR="00A426CD" w:rsidRPr="004F3141">
              <w:rPr>
                <w:rFonts w:cs="Times New Roman"/>
                <w:b/>
                <w:i/>
                <w:u w:val="single"/>
              </w:rPr>
              <w:t>.1.</w:t>
            </w:r>
            <w:r w:rsidR="00A426CD" w:rsidRPr="00A426CD">
              <w:rPr>
                <w:rFonts w:cs="Times New Roman"/>
                <w:b/>
                <w:i/>
                <w:u w:val="single"/>
              </w:rPr>
              <w:t xml:space="preserve">  Glābšanas dienestu nodrošinā</w:t>
            </w:r>
            <w:r w:rsidR="00226517">
              <w:rPr>
                <w:rFonts w:cs="Times New Roman"/>
                <w:b/>
                <w:i/>
                <w:u w:val="single"/>
              </w:rPr>
              <w:t>šana ar nepieciešamo aprīkojumu</w:t>
            </w:r>
          </w:p>
        </w:tc>
      </w:tr>
      <w:tr w:rsidR="00965BBE" w:rsidRPr="00F877FC" w:rsidTr="009D1429">
        <w:trPr>
          <w:trHeight w:val="1276"/>
        </w:trPr>
        <w:tc>
          <w:tcPr>
            <w:tcW w:w="425" w:type="dxa"/>
          </w:tcPr>
          <w:p w:rsidR="00965BBE" w:rsidRPr="001050E3" w:rsidRDefault="00965BBE" w:rsidP="00965BBE">
            <w:pPr>
              <w:jc w:val="both"/>
              <w:rPr>
                <w:rFonts w:cs="Times New Roman"/>
                <w:bCs/>
                <w:color w:val="000000" w:themeColor="text1"/>
                <w:sz w:val="20"/>
                <w:szCs w:val="20"/>
              </w:rPr>
            </w:pPr>
            <w:r w:rsidRPr="001050E3">
              <w:rPr>
                <w:rFonts w:cs="Times New Roman"/>
                <w:bCs/>
                <w:color w:val="000000" w:themeColor="text1"/>
                <w:sz w:val="20"/>
                <w:szCs w:val="20"/>
              </w:rPr>
              <w:t>1.</w:t>
            </w:r>
          </w:p>
        </w:tc>
        <w:tc>
          <w:tcPr>
            <w:tcW w:w="3686" w:type="dxa"/>
            <w:hideMark/>
          </w:tcPr>
          <w:p w:rsidR="00965BBE" w:rsidRPr="009B460B" w:rsidRDefault="00965BBE" w:rsidP="00965BBE">
            <w:pPr>
              <w:jc w:val="both"/>
              <w:rPr>
                <w:rFonts w:cs="Times New Roman"/>
                <w:color w:val="000000" w:themeColor="text1"/>
                <w:sz w:val="20"/>
                <w:szCs w:val="20"/>
              </w:rPr>
            </w:pPr>
            <w:r w:rsidRPr="009B460B">
              <w:rPr>
                <w:rFonts w:cs="Times New Roman"/>
                <w:color w:val="000000" w:themeColor="text1"/>
                <w:sz w:val="20"/>
                <w:szCs w:val="20"/>
              </w:rPr>
              <w:t xml:space="preserve">Paplašināt un nostiprināt VUGD materiāli tehnisko bāzi glābšanas darbu veikšanai un ceļu braucamās daļas atbrīvošanai </w:t>
            </w:r>
            <w:proofErr w:type="spellStart"/>
            <w:r w:rsidRPr="009B460B">
              <w:rPr>
                <w:rFonts w:cs="Times New Roman"/>
                <w:color w:val="000000" w:themeColor="text1"/>
                <w:sz w:val="20"/>
                <w:szCs w:val="20"/>
              </w:rPr>
              <w:t>CSNg</w:t>
            </w:r>
            <w:proofErr w:type="spellEnd"/>
            <w:r w:rsidRPr="009B460B">
              <w:rPr>
                <w:rFonts w:cs="Times New Roman"/>
                <w:color w:val="000000" w:themeColor="text1"/>
                <w:sz w:val="20"/>
                <w:szCs w:val="20"/>
              </w:rPr>
              <w:t>.</w:t>
            </w:r>
          </w:p>
        </w:tc>
        <w:tc>
          <w:tcPr>
            <w:tcW w:w="2835" w:type="dxa"/>
            <w:hideMark/>
          </w:tcPr>
          <w:p w:rsidR="00965BBE" w:rsidRPr="009B460B" w:rsidRDefault="00965BBE" w:rsidP="00965BBE">
            <w:pPr>
              <w:jc w:val="both"/>
              <w:rPr>
                <w:rFonts w:cs="Times New Roman"/>
                <w:color w:val="000000" w:themeColor="text1"/>
                <w:sz w:val="20"/>
                <w:szCs w:val="20"/>
              </w:rPr>
            </w:pPr>
            <w:r w:rsidRPr="009B460B">
              <w:rPr>
                <w:rFonts w:cs="Times New Roman"/>
                <w:color w:val="000000" w:themeColor="text1"/>
                <w:sz w:val="20"/>
                <w:szCs w:val="20"/>
              </w:rPr>
              <w:t xml:space="preserve">Iegādāti </w:t>
            </w:r>
            <w:r w:rsidRPr="009B460B">
              <w:rPr>
                <w:color w:val="000000"/>
                <w:sz w:val="20"/>
                <w:szCs w:val="20"/>
              </w:rPr>
              <w:t xml:space="preserve">hidrauliskie un </w:t>
            </w:r>
            <w:proofErr w:type="spellStart"/>
            <w:r w:rsidRPr="009B460B">
              <w:rPr>
                <w:color w:val="000000"/>
                <w:sz w:val="20"/>
                <w:szCs w:val="20"/>
              </w:rPr>
              <w:t>elektrohidrauliskie</w:t>
            </w:r>
            <w:proofErr w:type="spellEnd"/>
            <w:r w:rsidRPr="009B460B">
              <w:rPr>
                <w:color w:val="000000"/>
                <w:sz w:val="20"/>
                <w:szCs w:val="20"/>
              </w:rPr>
              <w:t xml:space="preserve"> glābšanas instrumentu komplekti, mehāniskie instrumenti, medicīniskie komplekti, imobilizācijas dēļi, teču </w:t>
            </w:r>
            <w:proofErr w:type="spellStart"/>
            <w:r w:rsidRPr="009B460B">
              <w:rPr>
                <w:color w:val="000000"/>
                <w:sz w:val="20"/>
                <w:szCs w:val="20"/>
              </w:rPr>
              <w:t>noblīvētāji</w:t>
            </w:r>
            <w:proofErr w:type="spellEnd"/>
            <w:r w:rsidRPr="009B460B">
              <w:rPr>
                <w:color w:val="000000"/>
                <w:sz w:val="20"/>
                <w:szCs w:val="20"/>
              </w:rPr>
              <w:t xml:space="preserve">, pārklāji, absorbents, speciālās segas, aptieciņas  u.c. aprīkojums </w:t>
            </w:r>
            <w:proofErr w:type="spellStart"/>
            <w:r w:rsidRPr="009B460B">
              <w:rPr>
                <w:color w:val="000000"/>
                <w:sz w:val="20"/>
                <w:szCs w:val="20"/>
              </w:rPr>
              <w:t>CSNg</w:t>
            </w:r>
            <w:proofErr w:type="spellEnd"/>
            <w:r w:rsidRPr="009B460B">
              <w:rPr>
                <w:color w:val="000000"/>
                <w:sz w:val="20"/>
                <w:szCs w:val="20"/>
              </w:rPr>
              <w:t xml:space="preserve"> seku novēršanai</w:t>
            </w:r>
            <w:r w:rsidRPr="009B460B">
              <w:rPr>
                <w:rFonts w:cs="Times New Roman"/>
                <w:color w:val="000000" w:themeColor="text1"/>
                <w:sz w:val="20"/>
                <w:szCs w:val="20"/>
              </w:rPr>
              <w:t xml:space="preserve">  </w:t>
            </w:r>
            <w:proofErr w:type="spellStart"/>
            <w:r w:rsidRPr="009B460B">
              <w:rPr>
                <w:rFonts w:cs="Times New Roman"/>
                <w:color w:val="000000" w:themeColor="text1"/>
                <w:sz w:val="20"/>
                <w:szCs w:val="20"/>
              </w:rPr>
              <w:t>glabšanas</w:t>
            </w:r>
            <w:proofErr w:type="spellEnd"/>
            <w:r w:rsidRPr="009B460B">
              <w:rPr>
                <w:rFonts w:cs="Times New Roman"/>
                <w:color w:val="000000" w:themeColor="text1"/>
                <w:sz w:val="20"/>
                <w:szCs w:val="20"/>
              </w:rPr>
              <w:t xml:space="preserve"> darbu veikšanai un ceļu braucamās daļas atbrīvošanai.</w:t>
            </w:r>
          </w:p>
        </w:tc>
        <w:tc>
          <w:tcPr>
            <w:tcW w:w="2693" w:type="dxa"/>
            <w:hideMark/>
          </w:tcPr>
          <w:p w:rsidR="00965BBE" w:rsidRPr="009B460B" w:rsidRDefault="00965BBE" w:rsidP="00965BBE">
            <w:pPr>
              <w:jc w:val="both"/>
              <w:rPr>
                <w:rFonts w:cs="Times New Roman"/>
                <w:color w:val="000000" w:themeColor="text1"/>
                <w:sz w:val="20"/>
                <w:szCs w:val="20"/>
              </w:rPr>
            </w:pPr>
            <w:r w:rsidRPr="009B460B">
              <w:rPr>
                <w:rFonts w:cs="Times New Roman"/>
                <w:color w:val="000000" w:themeColor="text1"/>
                <w:sz w:val="20"/>
                <w:szCs w:val="20"/>
              </w:rPr>
              <w:t xml:space="preserve">Nodrošinot VUGD materiāli tehnisko bāzi glābšanas darbu veikšanai un ceļu braucamās daļas atbrīvošanai </w:t>
            </w:r>
            <w:proofErr w:type="spellStart"/>
            <w:r w:rsidRPr="009B460B">
              <w:rPr>
                <w:rFonts w:cs="Times New Roman"/>
                <w:color w:val="000000" w:themeColor="text1"/>
                <w:sz w:val="20"/>
                <w:szCs w:val="20"/>
              </w:rPr>
              <w:t>CSNg</w:t>
            </w:r>
            <w:proofErr w:type="spellEnd"/>
            <w:r w:rsidRPr="009B460B">
              <w:rPr>
                <w:rFonts w:cs="Times New Roman"/>
                <w:color w:val="000000" w:themeColor="text1"/>
                <w:sz w:val="20"/>
                <w:szCs w:val="20"/>
              </w:rPr>
              <w:t>, nepieciešams iegādāties ik gadu no 799 līdz 1000 specializētā aprīkojuma vienībām</w:t>
            </w:r>
            <w:r w:rsidRPr="009B460B">
              <w:rPr>
                <w:rFonts w:eastAsia="Calibri" w:cs="Times New Roman"/>
                <w:lang w:eastAsia="lv-LV"/>
              </w:rPr>
              <w:t>*</w:t>
            </w:r>
            <w:r w:rsidRPr="009B460B">
              <w:rPr>
                <w:rFonts w:cs="Times New Roman"/>
                <w:color w:val="000000" w:themeColor="text1"/>
                <w:sz w:val="20"/>
                <w:szCs w:val="20"/>
              </w:rPr>
              <w:t xml:space="preserve"> </w:t>
            </w:r>
          </w:p>
          <w:p w:rsidR="00965BBE" w:rsidRPr="009B460B" w:rsidRDefault="00965BBE" w:rsidP="00965BBE">
            <w:pPr>
              <w:jc w:val="both"/>
              <w:rPr>
                <w:rFonts w:cs="Times New Roman"/>
                <w:color w:val="000000" w:themeColor="text1"/>
                <w:sz w:val="20"/>
                <w:szCs w:val="20"/>
              </w:rPr>
            </w:pPr>
          </w:p>
          <w:p w:rsidR="00965BBE" w:rsidRPr="009B460B" w:rsidRDefault="00965BBE" w:rsidP="00965BBE">
            <w:pPr>
              <w:jc w:val="both"/>
              <w:rPr>
                <w:rFonts w:cs="Times New Roman"/>
                <w:color w:val="000000" w:themeColor="text1"/>
                <w:sz w:val="20"/>
                <w:szCs w:val="20"/>
              </w:rPr>
            </w:pPr>
          </w:p>
          <w:p w:rsidR="00965BBE" w:rsidRPr="009B460B" w:rsidRDefault="00965BBE" w:rsidP="00965BBE">
            <w:pPr>
              <w:jc w:val="both"/>
              <w:rPr>
                <w:rFonts w:cs="Times New Roman"/>
                <w:color w:val="000000" w:themeColor="text1"/>
                <w:sz w:val="20"/>
                <w:szCs w:val="20"/>
              </w:rPr>
            </w:pPr>
          </w:p>
          <w:p w:rsidR="00965BBE" w:rsidRPr="009B460B" w:rsidRDefault="00965BBE" w:rsidP="00965BBE">
            <w:pPr>
              <w:jc w:val="both"/>
              <w:rPr>
                <w:rFonts w:cs="Times New Roman"/>
                <w:color w:val="000000" w:themeColor="text1"/>
                <w:sz w:val="20"/>
                <w:szCs w:val="20"/>
              </w:rPr>
            </w:pPr>
          </w:p>
          <w:p w:rsidR="00965BBE" w:rsidRPr="009B460B" w:rsidRDefault="00965BBE" w:rsidP="00965BBE">
            <w:pPr>
              <w:jc w:val="both"/>
              <w:rPr>
                <w:rFonts w:cs="Times New Roman"/>
                <w:color w:val="000000" w:themeColor="text1"/>
                <w:sz w:val="20"/>
                <w:szCs w:val="20"/>
              </w:rPr>
            </w:pPr>
          </w:p>
          <w:p w:rsidR="00965BBE" w:rsidRPr="009B460B" w:rsidRDefault="00965BBE" w:rsidP="00965BBE">
            <w:pPr>
              <w:jc w:val="both"/>
              <w:rPr>
                <w:rFonts w:cs="Times New Roman"/>
                <w:color w:val="000000" w:themeColor="text1"/>
                <w:sz w:val="20"/>
                <w:szCs w:val="20"/>
              </w:rPr>
            </w:pPr>
          </w:p>
        </w:tc>
        <w:tc>
          <w:tcPr>
            <w:tcW w:w="1276" w:type="dxa"/>
            <w:hideMark/>
          </w:tcPr>
          <w:p w:rsidR="00965BBE" w:rsidRPr="009B460B" w:rsidRDefault="00965BBE" w:rsidP="00226517">
            <w:pPr>
              <w:jc w:val="both"/>
              <w:rPr>
                <w:rFonts w:cs="Times New Roman"/>
                <w:color w:val="000000" w:themeColor="text1"/>
                <w:sz w:val="20"/>
                <w:szCs w:val="20"/>
              </w:rPr>
            </w:pPr>
            <w:r w:rsidRPr="009B460B">
              <w:rPr>
                <w:rFonts w:cs="Times New Roman"/>
                <w:color w:val="000000" w:themeColor="text1"/>
                <w:sz w:val="20"/>
                <w:szCs w:val="20"/>
              </w:rPr>
              <w:t>IeM</w:t>
            </w:r>
            <w:r w:rsidR="00226517">
              <w:rPr>
                <w:rFonts w:cs="Times New Roman"/>
                <w:color w:val="000000" w:themeColor="text1"/>
                <w:sz w:val="20"/>
                <w:szCs w:val="20"/>
              </w:rPr>
              <w:t xml:space="preserve"> </w:t>
            </w:r>
            <w:r w:rsidR="003C0103">
              <w:rPr>
                <w:rFonts w:cs="Times New Roman"/>
                <w:color w:val="000000" w:themeColor="text1"/>
                <w:sz w:val="20"/>
                <w:szCs w:val="20"/>
              </w:rPr>
              <w:t>(VUGD)</w:t>
            </w:r>
          </w:p>
        </w:tc>
        <w:tc>
          <w:tcPr>
            <w:tcW w:w="1417" w:type="dxa"/>
            <w:hideMark/>
          </w:tcPr>
          <w:p w:rsidR="00965BBE" w:rsidRPr="009B460B" w:rsidRDefault="003C0103" w:rsidP="00965BBE">
            <w:pPr>
              <w:ind w:firstLine="426"/>
              <w:jc w:val="both"/>
              <w:rPr>
                <w:rFonts w:cs="Times New Roman"/>
                <w:color w:val="000000" w:themeColor="text1"/>
                <w:sz w:val="20"/>
                <w:szCs w:val="20"/>
              </w:rPr>
            </w:pPr>
            <w:r>
              <w:rPr>
                <w:rFonts w:cs="Times New Roman"/>
                <w:color w:val="000000" w:themeColor="text1"/>
                <w:sz w:val="20"/>
                <w:szCs w:val="20"/>
              </w:rPr>
              <w:t>SM</w:t>
            </w:r>
          </w:p>
        </w:tc>
        <w:tc>
          <w:tcPr>
            <w:tcW w:w="1418" w:type="dxa"/>
          </w:tcPr>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r w:rsidRPr="009B460B">
              <w:rPr>
                <w:rFonts w:cs="Times New Roman"/>
                <w:sz w:val="20"/>
                <w:szCs w:val="20"/>
              </w:rPr>
              <w:t>31.12.2017.</w:t>
            </w:r>
          </w:p>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r w:rsidRPr="009B460B">
              <w:rPr>
                <w:rFonts w:cs="Times New Roman"/>
                <w:sz w:val="20"/>
                <w:szCs w:val="20"/>
              </w:rPr>
              <w:t>31.12.2018.</w:t>
            </w:r>
          </w:p>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r w:rsidRPr="009B460B">
              <w:rPr>
                <w:rFonts w:cs="Times New Roman"/>
                <w:sz w:val="20"/>
                <w:szCs w:val="20"/>
              </w:rPr>
              <w:t>31.12.2019.</w:t>
            </w:r>
          </w:p>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r w:rsidRPr="009B460B">
              <w:rPr>
                <w:rFonts w:cs="Times New Roman"/>
                <w:sz w:val="20"/>
                <w:szCs w:val="20"/>
              </w:rPr>
              <w:t>31.12.2020.</w:t>
            </w:r>
          </w:p>
          <w:p w:rsidR="00965BBE" w:rsidRPr="009B460B" w:rsidRDefault="00965BBE" w:rsidP="00965BBE">
            <w:pPr>
              <w:rPr>
                <w:rFonts w:cs="Times New Roman"/>
                <w:sz w:val="20"/>
                <w:szCs w:val="20"/>
              </w:rPr>
            </w:pPr>
          </w:p>
          <w:p w:rsidR="00965BBE" w:rsidRPr="009B460B" w:rsidRDefault="00965BBE" w:rsidP="00965BBE">
            <w:pPr>
              <w:rPr>
                <w:rFonts w:cs="Times New Roman"/>
                <w:sz w:val="20"/>
                <w:szCs w:val="20"/>
              </w:rPr>
            </w:pPr>
          </w:p>
          <w:p w:rsidR="00965BBE" w:rsidRPr="009B460B" w:rsidRDefault="00965BBE" w:rsidP="00965BBE">
            <w:pPr>
              <w:jc w:val="both"/>
              <w:rPr>
                <w:rFonts w:cs="Times New Roman"/>
                <w:color w:val="000000" w:themeColor="text1"/>
                <w:sz w:val="20"/>
                <w:szCs w:val="20"/>
              </w:rPr>
            </w:pPr>
          </w:p>
        </w:tc>
        <w:tc>
          <w:tcPr>
            <w:tcW w:w="2268" w:type="dxa"/>
            <w:shd w:val="clear" w:color="auto" w:fill="auto"/>
          </w:tcPr>
          <w:p w:rsidR="00965BBE" w:rsidRPr="009B460B" w:rsidRDefault="00965BBE" w:rsidP="00965BBE">
            <w:pPr>
              <w:jc w:val="both"/>
              <w:rPr>
                <w:rFonts w:cs="Times New Roman"/>
                <w:sz w:val="20"/>
                <w:szCs w:val="20"/>
              </w:rPr>
            </w:pPr>
            <w:r w:rsidRPr="009B460B">
              <w:rPr>
                <w:color w:val="000000"/>
                <w:sz w:val="20"/>
                <w:szCs w:val="20"/>
              </w:rPr>
              <w:t xml:space="preserve"> OCTA</w:t>
            </w:r>
          </w:p>
          <w:p w:rsidR="00965BBE" w:rsidRPr="009B460B" w:rsidRDefault="00965BBE" w:rsidP="00965BBE">
            <w:pPr>
              <w:ind w:firstLine="426"/>
              <w:jc w:val="both"/>
              <w:rPr>
                <w:rFonts w:cs="Times New Roman"/>
                <w:sz w:val="20"/>
                <w:szCs w:val="20"/>
              </w:rPr>
            </w:pPr>
          </w:p>
          <w:p w:rsidR="00965BBE" w:rsidRPr="009B460B" w:rsidRDefault="00965BBE" w:rsidP="00965BBE">
            <w:pPr>
              <w:jc w:val="both"/>
              <w:rPr>
                <w:rFonts w:cs="Times New Roman"/>
                <w:sz w:val="20"/>
                <w:szCs w:val="20"/>
              </w:rPr>
            </w:pPr>
          </w:p>
          <w:p w:rsidR="00965BBE" w:rsidRPr="009B460B" w:rsidRDefault="00965BBE" w:rsidP="00965BBE">
            <w:pPr>
              <w:jc w:val="both"/>
              <w:rPr>
                <w:rFonts w:cs="Times New Roman"/>
                <w:sz w:val="20"/>
                <w:szCs w:val="20"/>
              </w:rPr>
            </w:pPr>
            <w:r w:rsidRPr="009B460B">
              <w:rPr>
                <w:rFonts w:cs="Times New Roman"/>
                <w:sz w:val="20"/>
                <w:szCs w:val="20"/>
              </w:rPr>
              <w:t>150 000</w:t>
            </w:r>
          </w:p>
          <w:p w:rsidR="00965BBE" w:rsidRPr="009B460B" w:rsidRDefault="00965BBE" w:rsidP="00965BBE">
            <w:pPr>
              <w:jc w:val="both"/>
              <w:rPr>
                <w:rFonts w:cs="Times New Roman"/>
                <w:sz w:val="20"/>
                <w:szCs w:val="20"/>
              </w:rPr>
            </w:pPr>
          </w:p>
          <w:p w:rsidR="00965BBE" w:rsidRPr="009B460B" w:rsidRDefault="00965BBE" w:rsidP="00965BBE">
            <w:pPr>
              <w:jc w:val="both"/>
              <w:rPr>
                <w:rFonts w:cs="Times New Roman"/>
                <w:sz w:val="20"/>
                <w:szCs w:val="20"/>
              </w:rPr>
            </w:pPr>
            <w:r w:rsidRPr="009B460B">
              <w:rPr>
                <w:rFonts w:cs="Times New Roman"/>
                <w:sz w:val="20"/>
                <w:szCs w:val="20"/>
              </w:rPr>
              <w:t>150 000</w:t>
            </w:r>
          </w:p>
          <w:p w:rsidR="00965BBE" w:rsidRPr="009B460B" w:rsidRDefault="00965BBE" w:rsidP="00965BBE">
            <w:pPr>
              <w:jc w:val="both"/>
              <w:rPr>
                <w:rFonts w:cs="Times New Roman"/>
                <w:sz w:val="20"/>
                <w:szCs w:val="20"/>
              </w:rPr>
            </w:pPr>
          </w:p>
          <w:p w:rsidR="00965BBE" w:rsidRPr="009B460B" w:rsidRDefault="00965BBE" w:rsidP="00965BBE">
            <w:pPr>
              <w:jc w:val="both"/>
              <w:rPr>
                <w:rFonts w:cs="Times New Roman"/>
                <w:sz w:val="20"/>
                <w:szCs w:val="20"/>
              </w:rPr>
            </w:pPr>
            <w:r w:rsidRPr="009B460B">
              <w:rPr>
                <w:rFonts w:cs="Times New Roman"/>
                <w:sz w:val="20"/>
                <w:szCs w:val="20"/>
              </w:rPr>
              <w:t>150 000</w:t>
            </w:r>
          </w:p>
          <w:p w:rsidR="00965BBE" w:rsidRPr="009B460B" w:rsidRDefault="00965BBE" w:rsidP="00965BBE">
            <w:pPr>
              <w:jc w:val="both"/>
              <w:rPr>
                <w:rFonts w:cs="Times New Roman"/>
                <w:sz w:val="20"/>
                <w:szCs w:val="20"/>
              </w:rPr>
            </w:pPr>
          </w:p>
          <w:p w:rsidR="00965BBE" w:rsidRPr="009B460B" w:rsidRDefault="00965BBE" w:rsidP="00965BBE">
            <w:pPr>
              <w:jc w:val="both"/>
              <w:rPr>
                <w:rFonts w:cs="Times New Roman"/>
                <w:sz w:val="20"/>
                <w:szCs w:val="20"/>
              </w:rPr>
            </w:pPr>
            <w:r w:rsidRPr="009B460B">
              <w:rPr>
                <w:rFonts w:cs="Times New Roman"/>
                <w:sz w:val="20"/>
                <w:szCs w:val="20"/>
              </w:rPr>
              <w:t>150 000</w:t>
            </w:r>
          </w:p>
          <w:p w:rsidR="00965BBE" w:rsidRPr="009B460B" w:rsidRDefault="00965BBE" w:rsidP="00965BBE">
            <w:pPr>
              <w:jc w:val="both"/>
              <w:rPr>
                <w:rFonts w:cs="Times New Roman"/>
                <w:sz w:val="20"/>
                <w:szCs w:val="20"/>
              </w:rPr>
            </w:pPr>
          </w:p>
          <w:p w:rsidR="00965BBE" w:rsidRPr="009B460B" w:rsidRDefault="009B365C" w:rsidP="00965BBE">
            <w:pPr>
              <w:jc w:val="both"/>
              <w:rPr>
                <w:rFonts w:cs="Times New Roman"/>
                <w:sz w:val="20"/>
                <w:szCs w:val="20"/>
              </w:rPr>
            </w:pPr>
            <w:r w:rsidRPr="009B460B">
              <w:rPr>
                <w:rFonts w:cs="Times New Roman"/>
                <w:sz w:val="20"/>
                <w:szCs w:val="20"/>
              </w:rPr>
              <w:t>Kopā par periodu:</w:t>
            </w:r>
          </w:p>
          <w:p w:rsidR="00965BBE" w:rsidRPr="009B460B" w:rsidRDefault="00965BBE" w:rsidP="00965BBE">
            <w:pPr>
              <w:jc w:val="both"/>
              <w:rPr>
                <w:rFonts w:cs="Times New Roman"/>
                <w:color w:val="000000" w:themeColor="text1"/>
                <w:sz w:val="20"/>
                <w:szCs w:val="20"/>
              </w:rPr>
            </w:pPr>
            <w:r w:rsidRPr="009B460B">
              <w:rPr>
                <w:rFonts w:cs="Times New Roman"/>
                <w:sz w:val="20"/>
                <w:szCs w:val="20"/>
              </w:rPr>
              <w:t>600 000</w:t>
            </w:r>
          </w:p>
        </w:tc>
      </w:tr>
      <w:tr w:rsidR="00965BBE" w:rsidRPr="00F877FC" w:rsidTr="009D1429">
        <w:trPr>
          <w:trHeight w:val="1276"/>
        </w:trPr>
        <w:tc>
          <w:tcPr>
            <w:tcW w:w="425" w:type="dxa"/>
            <w:hideMark/>
          </w:tcPr>
          <w:p w:rsidR="00965BBE" w:rsidRPr="001050E3" w:rsidRDefault="00965BBE" w:rsidP="00965BBE">
            <w:pPr>
              <w:jc w:val="both"/>
              <w:rPr>
                <w:rFonts w:cs="Times New Roman"/>
                <w:color w:val="000000" w:themeColor="text1"/>
                <w:sz w:val="20"/>
                <w:szCs w:val="20"/>
              </w:rPr>
            </w:pPr>
            <w:r w:rsidRPr="001050E3">
              <w:rPr>
                <w:rFonts w:cs="Times New Roman"/>
                <w:bCs/>
                <w:color w:val="000000" w:themeColor="text1"/>
                <w:sz w:val="20"/>
                <w:szCs w:val="20"/>
              </w:rPr>
              <w:lastRenderedPageBreak/>
              <w:t>2.</w:t>
            </w:r>
          </w:p>
        </w:tc>
        <w:tc>
          <w:tcPr>
            <w:tcW w:w="3686" w:type="dxa"/>
            <w:hideMark/>
          </w:tcPr>
          <w:p w:rsidR="00965BBE" w:rsidRPr="009B460B" w:rsidRDefault="00965BBE" w:rsidP="00965BBE">
            <w:pPr>
              <w:jc w:val="both"/>
              <w:rPr>
                <w:rFonts w:cs="Times New Roman"/>
                <w:color w:val="000000" w:themeColor="text1"/>
                <w:sz w:val="20"/>
                <w:szCs w:val="20"/>
              </w:rPr>
            </w:pPr>
            <w:r w:rsidRPr="009B460B">
              <w:rPr>
                <w:rFonts w:cs="Times New Roman"/>
                <w:color w:val="000000" w:themeColor="text1"/>
                <w:sz w:val="20"/>
                <w:szCs w:val="20"/>
              </w:rPr>
              <w:t xml:space="preserve">Iegādāties </w:t>
            </w:r>
            <w:proofErr w:type="spellStart"/>
            <w:r w:rsidRPr="009B460B">
              <w:rPr>
                <w:rFonts w:cs="Times New Roman"/>
                <w:color w:val="000000" w:themeColor="text1"/>
                <w:sz w:val="20"/>
                <w:szCs w:val="20"/>
              </w:rPr>
              <w:t>videoreģistratorus</w:t>
            </w:r>
            <w:proofErr w:type="spellEnd"/>
            <w:r w:rsidRPr="009B460B">
              <w:rPr>
                <w:rFonts w:cs="Times New Roman"/>
                <w:color w:val="000000" w:themeColor="text1"/>
                <w:sz w:val="20"/>
                <w:szCs w:val="20"/>
              </w:rPr>
              <w:t xml:space="preserve"> sākotnējā </w:t>
            </w:r>
            <w:proofErr w:type="spellStart"/>
            <w:r w:rsidRPr="009B460B">
              <w:rPr>
                <w:rFonts w:cs="Times New Roman"/>
                <w:color w:val="000000" w:themeColor="text1"/>
                <w:sz w:val="20"/>
                <w:szCs w:val="20"/>
              </w:rPr>
              <w:t>CSNg</w:t>
            </w:r>
            <w:proofErr w:type="spellEnd"/>
            <w:r w:rsidRPr="009B460B">
              <w:rPr>
                <w:rFonts w:cs="Times New Roman"/>
                <w:color w:val="000000" w:themeColor="text1"/>
                <w:sz w:val="20"/>
                <w:szCs w:val="20"/>
              </w:rPr>
              <w:t xml:space="preserve"> apstākļu fiksēšanai ar fototehniku. </w:t>
            </w:r>
          </w:p>
        </w:tc>
        <w:tc>
          <w:tcPr>
            <w:tcW w:w="2835" w:type="dxa"/>
            <w:hideMark/>
          </w:tcPr>
          <w:p w:rsidR="00965BBE" w:rsidRPr="009B460B" w:rsidRDefault="00965BBE" w:rsidP="00960EF2">
            <w:pPr>
              <w:jc w:val="both"/>
              <w:rPr>
                <w:rFonts w:cs="Times New Roman"/>
                <w:color w:val="000000" w:themeColor="text1"/>
                <w:sz w:val="20"/>
                <w:szCs w:val="20"/>
              </w:rPr>
            </w:pPr>
            <w:r w:rsidRPr="009B460B">
              <w:rPr>
                <w:rFonts w:cs="Times New Roman"/>
                <w:color w:val="000000" w:themeColor="text1"/>
                <w:sz w:val="20"/>
                <w:szCs w:val="20"/>
              </w:rPr>
              <w:t xml:space="preserve">Iegādāti </w:t>
            </w:r>
            <w:proofErr w:type="spellStart"/>
            <w:r w:rsidRPr="009B460B">
              <w:rPr>
                <w:rFonts w:cs="Times New Roman"/>
                <w:color w:val="000000" w:themeColor="text1"/>
                <w:sz w:val="20"/>
                <w:szCs w:val="20"/>
              </w:rPr>
              <w:t>videoreģistratori</w:t>
            </w:r>
            <w:proofErr w:type="spellEnd"/>
            <w:r w:rsidRPr="009B460B">
              <w:rPr>
                <w:rFonts w:cs="Times New Roman"/>
                <w:color w:val="000000" w:themeColor="text1"/>
                <w:sz w:val="20"/>
                <w:szCs w:val="20"/>
              </w:rPr>
              <w:t xml:space="preserve">, kas ļauj fiksēt </w:t>
            </w:r>
            <w:proofErr w:type="spellStart"/>
            <w:r w:rsidRPr="009B460B">
              <w:rPr>
                <w:rFonts w:cs="Times New Roman"/>
                <w:color w:val="000000" w:themeColor="text1"/>
                <w:sz w:val="20"/>
                <w:szCs w:val="20"/>
              </w:rPr>
              <w:t>CSNg</w:t>
            </w:r>
            <w:proofErr w:type="spellEnd"/>
            <w:r w:rsidRPr="009B460B">
              <w:rPr>
                <w:rFonts w:cs="Times New Roman"/>
                <w:color w:val="000000" w:themeColor="text1"/>
                <w:sz w:val="20"/>
                <w:szCs w:val="20"/>
              </w:rPr>
              <w:t xml:space="preserve"> sākotnējās situācijas</w:t>
            </w:r>
            <w:r w:rsidR="00960EF2">
              <w:rPr>
                <w:rFonts w:cs="Times New Roman"/>
                <w:color w:val="000000" w:themeColor="text1"/>
                <w:sz w:val="20"/>
                <w:szCs w:val="20"/>
              </w:rPr>
              <w:t xml:space="preserve"> apstākļus </w:t>
            </w:r>
            <w:r w:rsidRPr="009B460B">
              <w:rPr>
                <w:rFonts w:cs="Times New Roman"/>
                <w:color w:val="000000" w:themeColor="text1"/>
                <w:sz w:val="20"/>
                <w:szCs w:val="20"/>
              </w:rPr>
              <w:t>un materiālu nodot VP</w:t>
            </w:r>
          </w:p>
        </w:tc>
        <w:tc>
          <w:tcPr>
            <w:tcW w:w="2693" w:type="dxa"/>
            <w:hideMark/>
          </w:tcPr>
          <w:p w:rsidR="00965BBE" w:rsidRDefault="00965BBE" w:rsidP="00965BBE">
            <w:pPr>
              <w:jc w:val="both"/>
              <w:rPr>
                <w:rFonts w:cs="Times New Roman"/>
                <w:color w:val="000000" w:themeColor="text1"/>
                <w:sz w:val="20"/>
                <w:szCs w:val="20"/>
              </w:rPr>
            </w:pPr>
            <w:r w:rsidRPr="009B460B">
              <w:rPr>
                <w:rFonts w:cs="Times New Roman"/>
                <w:color w:val="000000" w:themeColor="text1"/>
                <w:sz w:val="20"/>
                <w:szCs w:val="20"/>
              </w:rPr>
              <w:t xml:space="preserve">Iegādāti 200 video reģistratori </w:t>
            </w:r>
            <w:proofErr w:type="spellStart"/>
            <w:r w:rsidRPr="009B460B">
              <w:rPr>
                <w:rFonts w:cs="Times New Roman"/>
                <w:color w:val="000000" w:themeColor="text1"/>
                <w:sz w:val="20"/>
                <w:szCs w:val="20"/>
              </w:rPr>
              <w:t>CSNg</w:t>
            </w:r>
            <w:proofErr w:type="spellEnd"/>
            <w:r w:rsidRPr="009B460B">
              <w:rPr>
                <w:rFonts w:cs="Times New Roman"/>
                <w:color w:val="000000" w:themeColor="text1"/>
                <w:sz w:val="20"/>
                <w:szCs w:val="20"/>
              </w:rPr>
              <w:t xml:space="preserve"> sākotnējās situācijas fiksēšanai.</w:t>
            </w:r>
            <w:r w:rsidR="00960EF2">
              <w:rPr>
                <w:rFonts w:cs="Times New Roman"/>
                <w:color w:val="000000" w:themeColor="text1"/>
                <w:sz w:val="20"/>
                <w:szCs w:val="20"/>
              </w:rPr>
              <w:t xml:space="preserve"> </w:t>
            </w:r>
          </w:p>
          <w:p w:rsidR="00960EF2" w:rsidRPr="009B460B" w:rsidRDefault="00960EF2" w:rsidP="00965BBE">
            <w:pPr>
              <w:jc w:val="both"/>
              <w:rPr>
                <w:rFonts w:cs="Times New Roman"/>
                <w:color w:val="000000" w:themeColor="text1"/>
                <w:sz w:val="20"/>
                <w:szCs w:val="20"/>
              </w:rPr>
            </w:pPr>
            <w:proofErr w:type="spellStart"/>
            <w:r>
              <w:rPr>
                <w:rFonts w:cs="Times New Roman"/>
                <w:color w:val="000000" w:themeColor="text1"/>
                <w:sz w:val="20"/>
                <w:szCs w:val="20"/>
              </w:rPr>
              <w:t>Videoreģistratoru</w:t>
            </w:r>
            <w:proofErr w:type="spellEnd"/>
            <w:r>
              <w:rPr>
                <w:rFonts w:cs="Times New Roman"/>
                <w:color w:val="000000" w:themeColor="text1"/>
                <w:sz w:val="20"/>
                <w:szCs w:val="20"/>
              </w:rPr>
              <w:t xml:space="preserve"> reģistrēšana, lai piefiksētajai informācijai būtu juridiskais spēks.</w:t>
            </w:r>
          </w:p>
        </w:tc>
        <w:tc>
          <w:tcPr>
            <w:tcW w:w="1276" w:type="dxa"/>
            <w:hideMark/>
          </w:tcPr>
          <w:p w:rsidR="00965BBE" w:rsidRPr="009B460B" w:rsidRDefault="00965BBE" w:rsidP="00965BBE">
            <w:pPr>
              <w:ind w:firstLine="426"/>
              <w:jc w:val="both"/>
              <w:rPr>
                <w:rFonts w:cs="Times New Roman"/>
                <w:color w:val="000000" w:themeColor="text1"/>
                <w:sz w:val="20"/>
                <w:szCs w:val="20"/>
              </w:rPr>
            </w:pPr>
            <w:r w:rsidRPr="009B460B">
              <w:rPr>
                <w:rFonts w:cs="Times New Roman"/>
                <w:color w:val="000000" w:themeColor="text1"/>
                <w:sz w:val="20"/>
                <w:szCs w:val="20"/>
              </w:rPr>
              <w:t>IeM</w:t>
            </w:r>
            <w:r w:rsidR="003C0103">
              <w:rPr>
                <w:rFonts w:cs="Times New Roman"/>
                <w:color w:val="000000" w:themeColor="text1"/>
                <w:sz w:val="20"/>
                <w:szCs w:val="20"/>
              </w:rPr>
              <w:t xml:space="preserve"> (VUGD)</w:t>
            </w:r>
          </w:p>
        </w:tc>
        <w:tc>
          <w:tcPr>
            <w:tcW w:w="1417" w:type="dxa"/>
            <w:hideMark/>
          </w:tcPr>
          <w:p w:rsidR="00965BBE" w:rsidRPr="009B460B" w:rsidRDefault="003C0103" w:rsidP="003C0103">
            <w:pPr>
              <w:ind w:firstLine="426"/>
              <w:jc w:val="both"/>
              <w:rPr>
                <w:rFonts w:cs="Times New Roman"/>
                <w:color w:val="000000" w:themeColor="text1"/>
                <w:sz w:val="20"/>
                <w:szCs w:val="20"/>
              </w:rPr>
            </w:pPr>
            <w:r>
              <w:rPr>
                <w:rFonts w:cs="Times New Roman"/>
                <w:color w:val="000000" w:themeColor="text1"/>
                <w:sz w:val="20"/>
                <w:szCs w:val="20"/>
              </w:rPr>
              <w:t>SM</w:t>
            </w:r>
          </w:p>
        </w:tc>
        <w:tc>
          <w:tcPr>
            <w:tcW w:w="1418" w:type="dxa"/>
          </w:tcPr>
          <w:p w:rsidR="00965BBE" w:rsidRPr="009B460B" w:rsidRDefault="00965BBE" w:rsidP="00965BBE">
            <w:pPr>
              <w:jc w:val="both"/>
              <w:rPr>
                <w:rFonts w:cs="Times New Roman"/>
                <w:color w:val="000000" w:themeColor="text1"/>
                <w:sz w:val="20"/>
                <w:szCs w:val="20"/>
              </w:rPr>
            </w:pPr>
          </w:p>
          <w:p w:rsidR="00965BBE" w:rsidRPr="009B460B" w:rsidRDefault="0023391F" w:rsidP="00965BBE">
            <w:pPr>
              <w:jc w:val="both"/>
              <w:rPr>
                <w:rFonts w:cs="Times New Roman"/>
                <w:color w:val="000000" w:themeColor="text1"/>
                <w:sz w:val="20"/>
                <w:szCs w:val="20"/>
              </w:rPr>
            </w:pPr>
            <w:r>
              <w:rPr>
                <w:rFonts w:cs="Times New Roman"/>
                <w:color w:val="000000" w:themeColor="text1"/>
                <w:sz w:val="20"/>
                <w:szCs w:val="20"/>
              </w:rPr>
              <w:t>31.12.2018</w:t>
            </w:r>
            <w:r w:rsidR="00965BBE" w:rsidRPr="009B460B">
              <w:rPr>
                <w:rFonts w:cs="Times New Roman"/>
                <w:color w:val="000000" w:themeColor="text1"/>
                <w:sz w:val="20"/>
                <w:szCs w:val="20"/>
              </w:rPr>
              <w:t>.</w:t>
            </w:r>
          </w:p>
        </w:tc>
        <w:tc>
          <w:tcPr>
            <w:tcW w:w="2268" w:type="dxa"/>
            <w:shd w:val="clear" w:color="auto" w:fill="auto"/>
          </w:tcPr>
          <w:p w:rsidR="00965BBE" w:rsidRPr="009B460B" w:rsidRDefault="00965BBE" w:rsidP="00965BBE">
            <w:pPr>
              <w:jc w:val="both"/>
              <w:rPr>
                <w:rFonts w:cs="Times New Roman"/>
                <w:sz w:val="20"/>
                <w:szCs w:val="20"/>
              </w:rPr>
            </w:pPr>
            <w:r w:rsidRPr="009B460B">
              <w:rPr>
                <w:rFonts w:cs="Times New Roman"/>
                <w:sz w:val="20"/>
                <w:szCs w:val="20"/>
              </w:rPr>
              <w:t xml:space="preserve">OCTA </w:t>
            </w:r>
          </w:p>
          <w:p w:rsidR="00965BBE" w:rsidRPr="009B460B" w:rsidRDefault="00960EF2" w:rsidP="00965BBE">
            <w:pPr>
              <w:jc w:val="both"/>
              <w:rPr>
                <w:rFonts w:cs="Times New Roman"/>
                <w:sz w:val="20"/>
                <w:szCs w:val="20"/>
              </w:rPr>
            </w:pPr>
            <w:r>
              <w:rPr>
                <w:rFonts w:cs="Times New Roman"/>
                <w:sz w:val="20"/>
                <w:szCs w:val="20"/>
              </w:rPr>
              <w:t>28</w:t>
            </w:r>
            <w:r w:rsidR="00965BBE" w:rsidRPr="009B460B">
              <w:rPr>
                <w:rFonts w:cs="Times New Roman"/>
                <w:sz w:val="20"/>
                <w:szCs w:val="20"/>
              </w:rPr>
              <w:t xml:space="preserve"> 000 </w:t>
            </w:r>
          </w:p>
          <w:p w:rsidR="00965BBE" w:rsidRPr="009B460B" w:rsidRDefault="00965BBE" w:rsidP="00965BBE">
            <w:pPr>
              <w:ind w:firstLine="426"/>
              <w:jc w:val="both"/>
              <w:rPr>
                <w:rFonts w:cs="Times New Roman"/>
                <w:color w:val="000000" w:themeColor="text1"/>
                <w:sz w:val="20"/>
                <w:szCs w:val="20"/>
              </w:rPr>
            </w:pPr>
          </w:p>
        </w:tc>
      </w:tr>
      <w:tr w:rsidR="00A426CD" w:rsidRPr="00F877FC" w:rsidTr="0080748A">
        <w:trPr>
          <w:trHeight w:val="860"/>
        </w:trPr>
        <w:tc>
          <w:tcPr>
            <w:tcW w:w="16018" w:type="dxa"/>
            <w:gridSpan w:val="8"/>
          </w:tcPr>
          <w:p w:rsidR="00A426CD" w:rsidRPr="009B460B" w:rsidRDefault="00A426CD" w:rsidP="00A70D56">
            <w:pPr>
              <w:ind w:firstLine="426"/>
              <w:rPr>
                <w:rFonts w:cs="Times New Roman"/>
                <w:b/>
                <w:i/>
                <w:u w:val="single"/>
              </w:rPr>
            </w:pPr>
          </w:p>
          <w:p w:rsidR="00A426CD" w:rsidRPr="009B460B" w:rsidRDefault="009630C5" w:rsidP="00FE4F1C">
            <w:pPr>
              <w:ind w:firstLine="161"/>
              <w:rPr>
                <w:rFonts w:cs="Times New Roman"/>
                <w:b/>
                <w:sz w:val="20"/>
                <w:szCs w:val="20"/>
              </w:rPr>
            </w:pPr>
            <w:r w:rsidRPr="009B460B">
              <w:rPr>
                <w:rFonts w:cs="Times New Roman"/>
                <w:b/>
                <w:i/>
                <w:u w:val="single"/>
              </w:rPr>
              <w:t>3</w:t>
            </w:r>
            <w:r w:rsidR="001050E3">
              <w:rPr>
                <w:rFonts w:cs="Times New Roman"/>
                <w:b/>
                <w:i/>
                <w:u w:val="single"/>
              </w:rPr>
              <w:t>.4</w:t>
            </w:r>
            <w:r w:rsidR="00E95BBF" w:rsidRPr="009B460B">
              <w:rPr>
                <w:rFonts w:cs="Times New Roman"/>
                <w:b/>
                <w:i/>
                <w:u w:val="single"/>
              </w:rPr>
              <w:t xml:space="preserve">.2.  Informācijas izziņošanas sistēmas par </w:t>
            </w:r>
            <w:proofErr w:type="spellStart"/>
            <w:r w:rsidR="00E95BBF" w:rsidRPr="009B460B">
              <w:rPr>
                <w:rFonts w:cs="Times New Roman"/>
                <w:b/>
                <w:i/>
                <w:u w:val="single"/>
              </w:rPr>
              <w:t>CSNg</w:t>
            </w:r>
            <w:proofErr w:type="spellEnd"/>
            <w:r w:rsidR="00E95BBF" w:rsidRPr="009B460B">
              <w:rPr>
                <w:rFonts w:cs="Times New Roman"/>
                <w:b/>
                <w:i/>
                <w:u w:val="single"/>
              </w:rPr>
              <w:t xml:space="preserve"> uzlabošana.</w:t>
            </w:r>
          </w:p>
        </w:tc>
      </w:tr>
      <w:tr w:rsidR="0074770A" w:rsidRPr="00F877FC" w:rsidTr="009D1429">
        <w:trPr>
          <w:trHeight w:val="1276"/>
        </w:trPr>
        <w:tc>
          <w:tcPr>
            <w:tcW w:w="425" w:type="dxa"/>
          </w:tcPr>
          <w:p w:rsidR="0074770A" w:rsidRPr="001050E3" w:rsidRDefault="0074770A" w:rsidP="00050346">
            <w:pPr>
              <w:jc w:val="both"/>
              <w:rPr>
                <w:rFonts w:cs="Times New Roman"/>
                <w:bCs/>
                <w:color w:val="000000" w:themeColor="text1"/>
                <w:sz w:val="20"/>
                <w:szCs w:val="20"/>
              </w:rPr>
            </w:pPr>
            <w:r w:rsidRPr="001050E3">
              <w:rPr>
                <w:rFonts w:cs="Times New Roman"/>
                <w:bCs/>
                <w:color w:val="000000" w:themeColor="text1"/>
                <w:sz w:val="20"/>
                <w:szCs w:val="20"/>
              </w:rPr>
              <w:t>3.</w:t>
            </w:r>
          </w:p>
        </w:tc>
        <w:tc>
          <w:tcPr>
            <w:tcW w:w="3686" w:type="dxa"/>
          </w:tcPr>
          <w:p w:rsidR="0074770A" w:rsidRPr="009B460B" w:rsidRDefault="0074770A" w:rsidP="00330450">
            <w:pPr>
              <w:jc w:val="both"/>
              <w:rPr>
                <w:rFonts w:cs="Times New Roman"/>
                <w:color w:val="000000" w:themeColor="text1"/>
                <w:sz w:val="20"/>
                <w:szCs w:val="20"/>
                <w:vertAlign w:val="superscript"/>
              </w:rPr>
            </w:pPr>
            <w:proofErr w:type="spellStart"/>
            <w:r w:rsidRPr="009B460B">
              <w:rPr>
                <w:rFonts w:cs="Times New Roman"/>
                <w:color w:val="000000" w:themeColor="text1"/>
                <w:sz w:val="20"/>
                <w:szCs w:val="20"/>
              </w:rPr>
              <w:t>eZvana</w:t>
            </w:r>
            <w:proofErr w:type="spellEnd"/>
            <w:r w:rsidRPr="009B460B">
              <w:rPr>
                <w:rFonts w:cs="Times New Roman"/>
                <w:color w:val="000000" w:themeColor="text1"/>
                <w:sz w:val="20"/>
                <w:szCs w:val="20"/>
              </w:rPr>
              <w:t xml:space="preserve"> tehniskā risinājuma sertificēšana</w:t>
            </w:r>
          </w:p>
        </w:tc>
        <w:tc>
          <w:tcPr>
            <w:tcW w:w="2835" w:type="dxa"/>
          </w:tcPr>
          <w:p w:rsidR="0074770A" w:rsidRPr="009B460B" w:rsidRDefault="0074770A" w:rsidP="0074770A">
            <w:pPr>
              <w:jc w:val="both"/>
              <w:rPr>
                <w:rFonts w:cs="Times New Roman"/>
                <w:color w:val="000000" w:themeColor="text1"/>
                <w:sz w:val="20"/>
                <w:szCs w:val="20"/>
              </w:rPr>
            </w:pPr>
            <w:r w:rsidRPr="009B460B">
              <w:rPr>
                <w:rFonts w:cs="Times New Roman"/>
                <w:color w:val="000000" w:themeColor="text1"/>
                <w:sz w:val="20"/>
                <w:szCs w:val="20"/>
              </w:rPr>
              <w:t xml:space="preserve">Ieviests ES prasībām atbilstošs </w:t>
            </w:r>
            <w:proofErr w:type="spellStart"/>
            <w:r w:rsidRPr="009B460B">
              <w:rPr>
                <w:rFonts w:cs="Times New Roman"/>
                <w:color w:val="000000" w:themeColor="text1"/>
                <w:sz w:val="20"/>
                <w:szCs w:val="20"/>
              </w:rPr>
              <w:t>eZvana</w:t>
            </w:r>
            <w:proofErr w:type="spellEnd"/>
            <w:r w:rsidRPr="009B460B">
              <w:rPr>
                <w:rFonts w:cs="Times New Roman"/>
                <w:color w:val="000000" w:themeColor="text1"/>
                <w:sz w:val="20"/>
                <w:szCs w:val="20"/>
              </w:rPr>
              <w:t xml:space="preserve"> pakalpojums</w:t>
            </w:r>
          </w:p>
        </w:tc>
        <w:tc>
          <w:tcPr>
            <w:tcW w:w="2693" w:type="dxa"/>
          </w:tcPr>
          <w:p w:rsidR="0074770A" w:rsidRPr="009B460B" w:rsidRDefault="0074770A" w:rsidP="00330450">
            <w:pPr>
              <w:jc w:val="both"/>
              <w:rPr>
                <w:rFonts w:cs="Times New Roman"/>
                <w:color w:val="000000" w:themeColor="text1"/>
                <w:sz w:val="20"/>
                <w:szCs w:val="20"/>
              </w:rPr>
            </w:pPr>
            <w:r w:rsidRPr="009B460B">
              <w:rPr>
                <w:rFonts w:cs="Times New Roman"/>
                <w:color w:val="000000" w:themeColor="text1"/>
                <w:sz w:val="20"/>
                <w:szCs w:val="20"/>
              </w:rPr>
              <w:t xml:space="preserve">Sertificēts </w:t>
            </w:r>
            <w:proofErr w:type="spellStart"/>
            <w:r w:rsidRPr="009B460B">
              <w:rPr>
                <w:rFonts w:cs="Times New Roman"/>
                <w:color w:val="000000" w:themeColor="text1"/>
                <w:sz w:val="20"/>
                <w:szCs w:val="20"/>
              </w:rPr>
              <w:t>eZvana</w:t>
            </w:r>
            <w:proofErr w:type="spellEnd"/>
            <w:r w:rsidRPr="009B460B">
              <w:rPr>
                <w:rFonts w:cs="Times New Roman"/>
                <w:color w:val="000000" w:themeColor="text1"/>
                <w:sz w:val="20"/>
                <w:szCs w:val="20"/>
              </w:rPr>
              <w:t xml:space="preserve"> tehniskais risinājums, lai nodrošinātu ātrāku reaģēšanu uz </w:t>
            </w:r>
            <w:proofErr w:type="spellStart"/>
            <w:r w:rsidRPr="009B460B">
              <w:rPr>
                <w:rFonts w:cs="Times New Roman"/>
                <w:color w:val="000000" w:themeColor="text1"/>
                <w:sz w:val="20"/>
                <w:szCs w:val="20"/>
              </w:rPr>
              <w:t>CSNg</w:t>
            </w:r>
            <w:proofErr w:type="spellEnd"/>
            <w:r w:rsidRPr="009B460B">
              <w:rPr>
                <w:rFonts w:cs="Times New Roman"/>
                <w:color w:val="000000" w:themeColor="text1"/>
                <w:sz w:val="20"/>
                <w:szCs w:val="20"/>
              </w:rPr>
              <w:t>.</w:t>
            </w:r>
          </w:p>
        </w:tc>
        <w:tc>
          <w:tcPr>
            <w:tcW w:w="1276" w:type="dxa"/>
          </w:tcPr>
          <w:p w:rsidR="0074770A" w:rsidRPr="009B460B" w:rsidRDefault="0074770A" w:rsidP="00A70D56">
            <w:pPr>
              <w:ind w:firstLine="426"/>
              <w:jc w:val="both"/>
              <w:rPr>
                <w:rFonts w:cs="Times New Roman"/>
                <w:color w:val="000000" w:themeColor="text1"/>
                <w:sz w:val="20"/>
                <w:szCs w:val="20"/>
              </w:rPr>
            </w:pPr>
            <w:r w:rsidRPr="009B460B">
              <w:rPr>
                <w:rFonts w:cs="Times New Roman"/>
                <w:color w:val="000000" w:themeColor="text1"/>
                <w:sz w:val="20"/>
                <w:szCs w:val="20"/>
              </w:rPr>
              <w:t>IeM</w:t>
            </w:r>
            <w:r w:rsidR="00D013C5">
              <w:rPr>
                <w:rFonts w:cs="Times New Roman"/>
                <w:color w:val="000000" w:themeColor="text1"/>
                <w:sz w:val="20"/>
                <w:szCs w:val="20"/>
              </w:rPr>
              <w:t xml:space="preserve"> (IeM IC)</w:t>
            </w:r>
          </w:p>
        </w:tc>
        <w:tc>
          <w:tcPr>
            <w:tcW w:w="1417" w:type="dxa"/>
          </w:tcPr>
          <w:p w:rsidR="0074770A" w:rsidRPr="009B460B" w:rsidRDefault="0074770A" w:rsidP="00330450">
            <w:pPr>
              <w:jc w:val="both"/>
              <w:rPr>
                <w:rFonts w:cs="Times New Roman"/>
                <w:color w:val="000000" w:themeColor="text1"/>
                <w:sz w:val="20"/>
                <w:szCs w:val="20"/>
              </w:rPr>
            </w:pPr>
            <w:r w:rsidRPr="009B460B">
              <w:rPr>
                <w:rFonts w:cs="Times New Roman"/>
                <w:color w:val="000000" w:themeColor="text1"/>
                <w:sz w:val="20"/>
                <w:szCs w:val="20"/>
              </w:rPr>
              <w:t>VUGD</w:t>
            </w:r>
          </w:p>
        </w:tc>
        <w:tc>
          <w:tcPr>
            <w:tcW w:w="1418" w:type="dxa"/>
          </w:tcPr>
          <w:p w:rsidR="0074770A" w:rsidRPr="009B460B" w:rsidRDefault="0029602A" w:rsidP="0029602A">
            <w:pPr>
              <w:rPr>
                <w:rFonts w:cs="Times New Roman"/>
                <w:color w:val="000000" w:themeColor="text1"/>
                <w:sz w:val="20"/>
                <w:szCs w:val="20"/>
              </w:rPr>
            </w:pPr>
            <w:r w:rsidRPr="009B460B">
              <w:rPr>
                <w:rFonts w:cs="Times New Roman"/>
                <w:sz w:val="20"/>
                <w:szCs w:val="20"/>
              </w:rPr>
              <w:t>31.12.2017.</w:t>
            </w:r>
          </w:p>
        </w:tc>
        <w:tc>
          <w:tcPr>
            <w:tcW w:w="2268" w:type="dxa"/>
            <w:shd w:val="clear" w:color="auto" w:fill="auto"/>
          </w:tcPr>
          <w:p w:rsidR="0074770A" w:rsidRPr="009B460B" w:rsidRDefault="0029602A" w:rsidP="0029602A">
            <w:pPr>
              <w:rPr>
                <w:rFonts w:cs="Times New Roman"/>
                <w:color w:val="000000" w:themeColor="text1"/>
                <w:sz w:val="20"/>
                <w:szCs w:val="20"/>
              </w:rPr>
            </w:pPr>
            <w:r w:rsidRPr="009B460B">
              <w:rPr>
                <w:rFonts w:eastAsia="Times New Roman" w:cs="Times New Roman"/>
                <w:color w:val="000000"/>
                <w:sz w:val="20"/>
                <w:szCs w:val="20"/>
                <w:lang w:eastAsia="lv-LV"/>
              </w:rPr>
              <w:t>150 000, OCTA līdzekļi</w:t>
            </w:r>
          </w:p>
        </w:tc>
      </w:tr>
      <w:tr w:rsidR="008F2392" w:rsidRPr="00F877FC" w:rsidTr="009D1429">
        <w:trPr>
          <w:trHeight w:val="848"/>
        </w:trPr>
        <w:tc>
          <w:tcPr>
            <w:tcW w:w="16018" w:type="dxa"/>
            <w:gridSpan w:val="8"/>
            <w:shd w:val="clear" w:color="auto" w:fill="auto"/>
          </w:tcPr>
          <w:p w:rsidR="008F2392" w:rsidRPr="009B460B" w:rsidRDefault="008F2392" w:rsidP="0029602A">
            <w:pPr>
              <w:rPr>
                <w:rFonts w:eastAsia="Times New Roman" w:cs="Times New Roman"/>
                <w:color w:val="000000"/>
                <w:sz w:val="20"/>
                <w:szCs w:val="20"/>
                <w:lang w:eastAsia="lv-LV"/>
              </w:rPr>
            </w:pPr>
          </w:p>
          <w:p w:rsidR="008F2392" w:rsidRPr="009B460B" w:rsidRDefault="001050E3" w:rsidP="0029602A">
            <w:pPr>
              <w:rPr>
                <w:rFonts w:eastAsia="Times New Roman" w:cs="Times New Roman"/>
                <w:color w:val="000000"/>
                <w:sz w:val="20"/>
                <w:szCs w:val="20"/>
                <w:lang w:eastAsia="lv-LV"/>
              </w:rPr>
            </w:pPr>
            <w:r>
              <w:rPr>
                <w:rFonts w:cs="Times New Roman"/>
                <w:b/>
                <w:i/>
                <w:u w:val="single"/>
              </w:rPr>
              <w:t>3.4</w:t>
            </w:r>
            <w:r w:rsidR="008F2392" w:rsidRPr="009B460B">
              <w:rPr>
                <w:rFonts w:cs="Times New Roman"/>
                <w:b/>
                <w:i/>
                <w:u w:val="single"/>
              </w:rPr>
              <w:t>.3.  Zaudējumu noregulēšanas procesa uzlabošana</w:t>
            </w:r>
          </w:p>
        </w:tc>
      </w:tr>
      <w:tr w:rsidR="008F151B" w:rsidRPr="00F877FC" w:rsidTr="009D1429">
        <w:trPr>
          <w:trHeight w:val="1276"/>
        </w:trPr>
        <w:tc>
          <w:tcPr>
            <w:tcW w:w="425" w:type="dxa"/>
            <w:shd w:val="clear" w:color="auto" w:fill="auto"/>
          </w:tcPr>
          <w:p w:rsidR="008F151B" w:rsidRPr="001050E3" w:rsidRDefault="008F151B" w:rsidP="008F151B">
            <w:pPr>
              <w:jc w:val="both"/>
              <w:rPr>
                <w:rFonts w:cs="Times New Roman"/>
                <w:bCs/>
                <w:color w:val="000000" w:themeColor="text1"/>
                <w:sz w:val="20"/>
                <w:szCs w:val="20"/>
              </w:rPr>
            </w:pPr>
            <w:r>
              <w:rPr>
                <w:rFonts w:cs="Times New Roman"/>
                <w:bCs/>
                <w:color w:val="000000" w:themeColor="text1"/>
                <w:sz w:val="20"/>
                <w:szCs w:val="20"/>
              </w:rPr>
              <w:t>4.</w:t>
            </w:r>
          </w:p>
        </w:tc>
        <w:tc>
          <w:tcPr>
            <w:tcW w:w="3686" w:type="dxa"/>
            <w:shd w:val="clear" w:color="auto" w:fill="auto"/>
          </w:tcPr>
          <w:p w:rsidR="008F151B" w:rsidRPr="009B460B" w:rsidRDefault="008F151B" w:rsidP="008F151B">
            <w:pPr>
              <w:jc w:val="both"/>
              <w:rPr>
                <w:rFonts w:cs="Times New Roman"/>
                <w:color w:val="000000" w:themeColor="text1"/>
                <w:sz w:val="20"/>
                <w:szCs w:val="20"/>
              </w:rPr>
            </w:pPr>
            <w:r w:rsidRPr="00E41A2D">
              <w:rPr>
                <w:rFonts w:cs="Times New Roman"/>
                <w:color w:val="000000" w:themeColor="text1"/>
                <w:sz w:val="20"/>
                <w:szCs w:val="20"/>
              </w:rPr>
              <w:t xml:space="preserve">OCTA zaudējumu pieteikšanas un administrēšanas procesa pilnveidošana, lai nodrošinātu ātrāku un efektīvāku </w:t>
            </w:r>
            <w:proofErr w:type="spellStart"/>
            <w:r w:rsidRPr="00E41A2D">
              <w:rPr>
                <w:rFonts w:cs="Times New Roman"/>
                <w:color w:val="000000" w:themeColor="text1"/>
                <w:sz w:val="20"/>
                <w:szCs w:val="20"/>
              </w:rPr>
              <w:t>CSNg</w:t>
            </w:r>
            <w:proofErr w:type="spellEnd"/>
            <w:r w:rsidRPr="00E41A2D">
              <w:rPr>
                <w:rFonts w:cs="Times New Roman"/>
                <w:color w:val="000000" w:themeColor="text1"/>
                <w:sz w:val="20"/>
                <w:szCs w:val="20"/>
              </w:rPr>
              <w:t xml:space="preserve"> rezultātā nodarīto zaudējumu atlīdzināšanu cietušajiem</w:t>
            </w:r>
            <w:r>
              <w:rPr>
                <w:rFonts w:cs="Times New Roman"/>
                <w:color w:val="000000" w:themeColor="text1"/>
                <w:sz w:val="20"/>
                <w:szCs w:val="20"/>
              </w:rPr>
              <w:t>.</w:t>
            </w:r>
          </w:p>
        </w:tc>
        <w:tc>
          <w:tcPr>
            <w:tcW w:w="2835" w:type="dxa"/>
            <w:shd w:val="clear" w:color="auto" w:fill="auto"/>
          </w:tcPr>
          <w:p w:rsidR="008F151B" w:rsidRPr="009B460B" w:rsidRDefault="008F151B" w:rsidP="008F151B">
            <w:pPr>
              <w:jc w:val="both"/>
              <w:rPr>
                <w:rFonts w:cs="Times New Roman"/>
                <w:color w:val="000000" w:themeColor="text1"/>
                <w:sz w:val="20"/>
                <w:szCs w:val="20"/>
              </w:rPr>
            </w:pPr>
            <w:r w:rsidRPr="00E41A2D">
              <w:rPr>
                <w:rFonts w:cs="Times New Roman"/>
                <w:color w:val="000000" w:themeColor="text1"/>
                <w:sz w:val="20"/>
                <w:szCs w:val="20"/>
              </w:rPr>
              <w:t>Veikta Kriminālprocesa informācijas sistēmas tiešsaistes informācijas apmaiņas procedūru integrācija OCTA informācijas sistēmā. Veiktas izmaiņas zaudējumu administrēšanas procesā (LTAB un apdrošināšanas sabiedrību sistēmās)</w:t>
            </w:r>
            <w:r w:rsidR="00226517">
              <w:rPr>
                <w:rFonts w:cs="Times New Roman"/>
                <w:color w:val="000000" w:themeColor="text1"/>
                <w:sz w:val="20"/>
                <w:szCs w:val="20"/>
              </w:rPr>
              <w:t>,</w:t>
            </w:r>
            <w:r w:rsidRPr="00E41A2D">
              <w:rPr>
                <w:rFonts w:cs="Times New Roman"/>
                <w:color w:val="000000" w:themeColor="text1"/>
                <w:sz w:val="20"/>
                <w:szCs w:val="20"/>
              </w:rPr>
              <w:t xml:space="preserve"> nodrošinot ātrāku nodarīto zaudējumu novērtēšanu un atlīdzināšanu.</w:t>
            </w:r>
          </w:p>
        </w:tc>
        <w:tc>
          <w:tcPr>
            <w:tcW w:w="2693" w:type="dxa"/>
            <w:shd w:val="clear" w:color="auto" w:fill="auto"/>
          </w:tcPr>
          <w:p w:rsidR="008F151B" w:rsidRPr="009B460B" w:rsidRDefault="008F151B" w:rsidP="008F151B">
            <w:pPr>
              <w:jc w:val="both"/>
              <w:rPr>
                <w:rFonts w:cs="Times New Roman"/>
                <w:color w:val="000000" w:themeColor="text1"/>
                <w:sz w:val="20"/>
                <w:szCs w:val="20"/>
              </w:rPr>
            </w:pPr>
            <w:r w:rsidRPr="00E41A2D">
              <w:rPr>
                <w:rFonts w:cs="Times New Roman"/>
                <w:color w:val="000000" w:themeColor="text1"/>
                <w:sz w:val="20"/>
                <w:szCs w:val="20"/>
              </w:rPr>
              <w:t>Samazināts laiks no apdrošināšanas gadījuma pieteikšanas līdz apdrošināšanas atlīdzības izmaksas cietušajiem.</w:t>
            </w:r>
          </w:p>
        </w:tc>
        <w:tc>
          <w:tcPr>
            <w:tcW w:w="1276" w:type="dxa"/>
            <w:shd w:val="clear" w:color="auto" w:fill="auto"/>
          </w:tcPr>
          <w:p w:rsidR="008F151B" w:rsidRPr="009B460B" w:rsidRDefault="008F151B" w:rsidP="008F151B">
            <w:pPr>
              <w:ind w:firstLine="176"/>
              <w:jc w:val="both"/>
              <w:rPr>
                <w:rFonts w:cs="Times New Roman"/>
                <w:color w:val="000000" w:themeColor="text1"/>
                <w:sz w:val="20"/>
                <w:szCs w:val="20"/>
              </w:rPr>
            </w:pPr>
            <w:r w:rsidRPr="009B460B">
              <w:rPr>
                <w:rFonts w:cs="Times New Roman"/>
                <w:color w:val="000000" w:themeColor="text1"/>
                <w:sz w:val="20"/>
                <w:szCs w:val="20"/>
              </w:rPr>
              <w:t>LTAB</w:t>
            </w:r>
          </w:p>
        </w:tc>
        <w:tc>
          <w:tcPr>
            <w:tcW w:w="1417" w:type="dxa"/>
            <w:shd w:val="clear" w:color="auto" w:fill="auto"/>
          </w:tcPr>
          <w:p w:rsidR="008F151B" w:rsidRPr="009B460B" w:rsidRDefault="008F151B" w:rsidP="008F151B">
            <w:pPr>
              <w:jc w:val="both"/>
              <w:rPr>
                <w:rFonts w:cs="Times New Roman"/>
                <w:color w:val="000000" w:themeColor="text1"/>
                <w:sz w:val="20"/>
                <w:szCs w:val="20"/>
              </w:rPr>
            </w:pPr>
            <w:r w:rsidRPr="009B460B">
              <w:rPr>
                <w:rFonts w:cs="Times New Roman"/>
                <w:color w:val="000000" w:themeColor="text1"/>
                <w:sz w:val="20"/>
                <w:szCs w:val="20"/>
              </w:rPr>
              <w:t>FM</w:t>
            </w:r>
          </w:p>
        </w:tc>
        <w:tc>
          <w:tcPr>
            <w:tcW w:w="1418" w:type="dxa"/>
            <w:shd w:val="clear" w:color="auto" w:fill="auto"/>
          </w:tcPr>
          <w:p w:rsidR="008F151B" w:rsidRPr="009B460B" w:rsidRDefault="008F151B" w:rsidP="008F151B">
            <w:pPr>
              <w:ind w:right="-108"/>
              <w:rPr>
                <w:rFonts w:cs="Times New Roman"/>
                <w:sz w:val="20"/>
                <w:szCs w:val="20"/>
              </w:rPr>
            </w:pPr>
            <w:r w:rsidRPr="009B460B">
              <w:rPr>
                <w:rFonts w:cs="Times New Roman"/>
                <w:sz w:val="20"/>
                <w:szCs w:val="20"/>
              </w:rPr>
              <w:t>31.12.20</w:t>
            </w:r>
            <w:r>
              <w:rPr>
                <w:rFonts w:cs="Times New Roman"/>
                <w:sz w:val="20"/>
                <w:szCs w:val="20"/>
              </w:rPr>
              <w:t>20</w:t>
            </w:r>
            <w:r w:rsidRPr="009B460B">
              <w:rPr>
                <w:rFonts w:cs="Times New Roman"/>
                <w:sz w:val="20"/>
                <w:szCs w:val="20"/>
              </w:rPr>
              <w:t>.</w:t>
            </w:r>
          </w:p>
        </w:tc>
        <w:tc>
          <w:tcPr>
            <w:tcW w:w="2268" w:type="dxa"/>
            <w:shd w:val="clear" w:color="auto" w:fill="auto"/>
          </w:tcPr>
          <w:p w:rsidR="008F151B" w:rsidRPr="009B460B" w:rsidRDefault="008F151B" w:rsidP="008F151B">
            <w:pPr>
              <w:rPr>
                <w:rFonts w:eastAsia="Times New Roman" w:cs="Times New Roman"/>
                <w:color w:val="000000"/>
                <w:sz w:val="20"/>
                <w:szCs w:val="20"/>
                <w:lang w:eastAsia="lv-LV"/>
              </w:rPr>
            </w:pPr>
            <w:r w:rsidRPr="009B460B">
              <w:rPr>
                <w:rFonts w:eastAsia="Times New Roman" w:cs="Times New Roman"/>
                <w:color w:val="000000"/>
                <w:sz w:val="20"/>
                <w:szCs w:val="20"/>
                <w:lang w:eastAsia="lv-LV"/>
              </w:rPr>
              <w:t>OCTA līdzekļi</w:t>
            </w:r>
          </w:p>
          <w:p w:rsidR="008F151B" w:rsidRPr="009B460B" w:rsidRDefault="008F151B" w:rsidP="008F151B">
            <w:pPr>
              <w:rPr>
                <w:rFonts w:eastAsia="Times New Roman" w:cs="Times New Roman"/>
                <w:color w:val="000000"/>
                <w:sz w:val="20"/>
                <w:szCs w:val="20"/>
                <w:lang w:eastAsia="lv-LV"/>
              </w:rPr>
            </w:pPr>
          </w:p>
          <w:p w:rsidR="008F151B" w:rsidRPr="009B460B" w:rsidRDefault="008F151B" w:rsidP="008F151B">
            <w:pPr>
              <w:rPr>
                <w:rFonts w:eastAsia="Times New Roman" w:cs="Times New Roman"/>
                <w:color w:val="000000"/>
                <w:sz w:val="20"/>
                <w:szCs w:val="20"/>
                <w:lang w:eastAsia="lv-LV"/>
              </w:rPr>
            </w:pPr>
            <w:r w:rsidRPr="009B460B">
              <w:rPr>
                <w:rFonts w:eastAsia="Times New Roman" w:cs="Times New Roman"/>
                <w:color w:val="000000"/>
                <w:sz w:val="20"/>
                <w:szCs w:val="20"/>
                <w:lang w:eastAsia="lv-LV"/>
              </w:rPr>
              <w:t>50 000</w:t>
            </w:r>
          </w:p>
        </w:tc>
      </w:tr>
    </w:tbl>
    <w:p w:rsidR="001C7831" w:rsidRDefault="001C7831" w:rsidP="00CB5C17">
      <w:pPr>
        <w:jc w:val="both"/>
        <w:rPr>
          <w:rFonts w:asciiTheme="minorHAnsi" w:hAnsiTheme="minorHAnsi"/>
          <w:b/>
          <w:sz w:val="28"/>
          <w:szCs w:val="28"/>
        </w:rPr>
      </w:pPr>
    </w:p>
    <w:p w:rsidR="00675FF2" w:rsidRDefault="00675FF2" w:rsidP="00675FF2">
      <w:pPr>
        <w:rPr>
          <w:rFonts w:eastAsiaTheme="majorEastAsia" w:cs="Times New Roman"/>
          <w:b/>
          <w:sz w:val="28"/>
          <w:szCs w:val="32"/>
        </w:rPr>
      </w:pPr>
    </w:p>
    <w:p w:rsidR="00017686" w:rsidRPr="00675FF2" w:rsidRDefault="00017686" w:rsidP="00675FF2"/>
    <w:p w:rsidR="003C0A45" w:rsidRPr="001C7831" w:rsidRDefault="002E7A79" w:rsidP="001C7831">
      <w:pPr>
        <w:pStyle w:val="Heading1"/>
        <w:rPr>
          <w:rFonts w:cs="Times New Roman"/>
        </w:rPr>
      </w:pPr>
      <w:bookmarkStart w:id="57" w:name="_Toc477177770"/>
      <w:r w:rsidRPr="003C0A45">
        <w:rPr>
          <w:rFonts w:cs="Times New Roman"/>
        </w:rPr>
        <w:t xml:space="preserve">4. </w:t>
      </w:r>
      <w:r w:rsidR="00CE1DED">
        <w:rPr>
          <w:rFonts w:cs="Times New Roman"/>
        </w:rPr>
        <w:t xml:space="preserve">Plāna </w:t>
      </w:r>
      <w:r w:rsidR="000009A6">
        <w:rPr>
          <w:rFonts w:cs="Times New Roman"/>
        </w:rPr>
        <w:t>iekļauto pasākumu finansējuma plānojums, i</w:t>
      </w:r>
      <w:r w:rsidR="00CE1DED">
        <w:rPr>
          <w:rFonts w:cs="Times New Roman"/>
        </w:rPr>
        <w:t>etekmes novērtējums uz valsts</w:t>
      </w:r>
      <w:r w:rsidR="00BC1989">
        <w:rPr>
          <w:rFonts w:cs="Times New Roman"/>
        </w:rPr>
        <w:t xml:space="preserve"> un</w:t>
      </w:r>
      <w:r w:rsidR="00CE1DED">
        <w:rPr>
          <w:rFonts w:cs="Times New Roman"/>
        </w:rPr>
        <w:t xml:space="preserve"> </w:t>
      </w:r>
      <w:r w:rsidR="00BC1989">
        <w:rPr>
          <w:rFonts w:cs="Times New Roman"/>
        </w:rPr>
        <w:t>pašvaldību</w:t>
      </w:r>
      <w:r w:rsidR="00CE1DED">
        <w:rPr>
          <w:rFonts w:cs="Times New Roman"/>
        </w:rPr>
        <w:t xml:space="preserve"> budžetu.</w:t>
      </w:r>
      <w:bookmarkEnd w:id="57"/>
    </w:p>
    <w:p w:rsidR="0080748A" w:rsidRDefault="0080748A" w:rsidP="00CB5C17">
      <w:pPr>
        <w:jc w:val="both"/>
        <w:rPr>
          <w:rFonts w:cs="Times New Roman"/>
        </w:rPr>
      </w:pPr>
    </w:p>
    <w:p w:rsidR="00B65DF9" w:rsidRPr="00B65DF9" w:rsidRDefault="00B65DF9" w:rsidP="00CB5C17">
      <w:pPr>
        <w:jc w:val="both"/>
        <w:rPr>
          <w:rFonts w:cs="Times New Roman"/>
          <w:b/>
        </w:rPr>
      </w:pPr>
      <w:r w:rsidRPr="00B65DF9">
        <w:rPr>
          <w:rFonts w:cs="Times New Roman"/>
          <w:b/>
        </w:rPr>
        <w:t>7. Tabula. Plāna iekļauto pasākumu finansējuma plānojums, ietekmes novērtējums uz valsts un pašvaldību budžetu.</w:t>
      </w:r>
    </w:p>
    <w:tbl>
      <w:tblPr>
        <w:tblStyle w:val="TableGrid"/>
        <w:tblW w:w="15592" w:type="dxa"/>
        <w:jc w:val="center"/>
        <w:tblLayout w:type="fixed"/>
        <w:tblLook w:val="04A0" w:firstRow="1" w:lastRow="0" w:firstColumn="1" w:lastColumn="0" w:noHBand="0" w:noVBand="1"/>
      </w:tblPr>
      <w:tblGrid>
        <w:gridCol w:w="2409"/>
        <w:gridCol w:w="1418"/>
        <w:gridCol w:w="1559"/>
        <w:gridCol w:w="1063"/>
        <w:gridCol w:w="355"/>
        <w:gridCol w:w="708"/>
        <w:gridCol w:w="709"/>
        <w:gridCol w:w="354"/>
        <w:gridCol w:w="1064"/>
        <w:gridCol w:w="756"/>
        <w:gridCol w:w="756"/>
        <w:gridCol w:w="47"/>
        <w:gridCol w:w="709"/>
        <w:gridCol w:w="708"/>
        <w:gridCol w:w="48"/>
        <w:gridCol w:w="756"/>
        <w:gridCol w:w="756"/>
        <w:gridCol w:w="1417"/>
      </w:tblGrid>
      <w:tr w:rsidR="00884B65" w:rsidTr="00BB19EA">
        <w:trPr>
          <w:trHeight w:val="798"/>
          <w:jc w:val="center"/>
        </w:trPr>
        <w:tc>
          <w:tcPr>
            <w:tcW w:w="2409" w:type="dxa"/>
            <w:vMerge w:val="restart"/>
          </w:tcPr>
          <w:p w:rsidR="008E755F" w:rsidRPr="00D23634" w:rsidRDefault="008E755F" w:rsidP="008E755F">
            <w:pPr>
              <w:jc w:val="center"/>
              <w:rPr>
                <w:rFonts w:cs="Times New Roman"/>
                <w:b/>
                <w:sz w:val="20"/>
                <w:szCs w:val="20"/>
              </w:rPr>
            </w:pPr>
            <w:r w:rsidRPr="00D23634">
              <w:rPr>
                <w:rFonts w:cs="Times New Roman"/>
                <w:b/>
                <w:sz w:val="20"/>
                <w:szCs w:val="20"/>
              </w:rPr>
              <w:lastRenderedPageBreak/>
              <w:t>Rīcības virziens</w:t>
            </w:r>
          </w:p>
          <w:p w:rsidR="008E755F" w:rsidRPr="00D23634" w:rsidRDefault="008E755F" w:rsidP="008E755F">
            <w:pPr>
              <w:jc w:val="center"/>
              <w:rPr>
                <w:rFonts w:cs="Times New Roman"/>
                <w:b/>
              </w:rPr>
            </w:pPr>
          </w:p>
        </w:tc>
        <w:tc>
          <w:tcPr>
            <w:tcW w:w="2977" w:type="dxa"/>
            <w:gridSpan w:val="2"/>
            <w:shd w:val="clear" w:color="auto" w:fill="A2AE91" w:themeFill="text2" w:themeFillTint="99"/>
          </w:tcPr>
          <w:p w:rsidR="008E755F" w:rsidRPr="00D23634" w:rsidRDefault="008E755F" w:rsidP="008E755F">
            <w:pPr>
              <w:jc w:val="center"/>
              <w:rPr>
                <w:rFonts w:cs="Times New Roman"/>
                <w:b/>
                <w:sz w:val="20"/>
                <w:szCs w:val="20"/>
              </w:rPr>
            </w:pPr>
            <w:r w:rsidRPr="00D23634">
              <w:rPr>
                <w:rFonts w:cs="Times New Roman"/>
                <w:b/>
                <w:sz w:val="20"/>
                <w:szCs w:val="20"/>
              </w:rPr>
              <w:t>2017.gadā</w:t>
            </w:r>
          </w:p>
          <w:p w:rsidR="008E755F" w:rsidRPr="00D23634" w:rsidRDefault="008E755F" w:rsidP="008E755F">
            <w:pPr>
              <w:jc w:val="center"/>
              <w:rPr>
                <w:rFonts w:cs="Times New Roman"/>
                <w:b/>
                <w:sz w:val="20"/>
                <w:szCs w:val="20"/>
              </w:rPr>
            </w:pPr>
            <w:r w:rsidRPr="00D23634">
              <w:rPr>
                <w:rFonts w:cs="Times New Roman"/>
                <w:b/>
                <w:sz w:val="20"/>
                <w:szCs w:val="20"/>
              </w:rPr>
              <w:t>(</w:t>
            </w:r>
            <w:proofErr w:type="spellStart"/>
            <w:r w:rsidRPr="00D23634">
              <w:rPr>
                <w:rFonts w:cs="Times New Roman"/>
                <w:b/>
                <w:sz w:val="20"/>
                <w:szCs w:val="20"/>
              </w:rPr>
              <w:t>euro</w:t>
            </w:r>
            <w:proofErr w:type="spellEnd"/>
            <w:r w:rsidRPr="00D23634">
              <w:rPr>
                <w:rFonts w:cs="Times New Roman"/>
                <w:b/>
                <w:sz w:val="20"/>
                <w:szCs w:val="20"/>
              </w:rPr>
              <w:t>)</w:t>
            </w:r>
          </w:p>
        </w:tc>
        <w:tc>
          <w:tcPr>
            <w:tcW w:w="2835" w:type="dxa"/>
            <w:gridSpan w:val="4"/>
            <w:shd w:val="clear" w:color="auto" w:fill="A2AE91" w:themeFill="text2" w:themeFillTint="99"/>
          </w:tcPr>
          <w:p w:rsidR="008E755F" w:rsidRPr="00D23634" w:rsidRDefault="008E755F" w:rsidP="008E755F">
            <w:pPr>
              <w:jc w:val="center"/>
              <w:rPr>
                <w:rFonts w:cs="Times New Roman"/>
                <w:b/>
                <w:sz w:val="20"/>
                <w:szCs w:val="20"/>
              </w:rPr>
            </w:pPr>
            <w:r w:rsidRPr="00D23634">
              <w:rPr>
                <w:rFonts w:cs="Times New Roman"/>
                <w:b/>
                <w:sz w:val="20"/>
                <w:szCs w:val="20"/>
              </w:rPr>
              <w:t>2018.gadā</w:t>
            </w:r>
          </w:p>
          <w:p w:rsidR="008E755F" w:rsidRPr="00D23634" w:rsidRDefault="008E755F" w:rsidP="008E755F">
            <w:pPr>
              <w:jc w:val="center"/>
              <w:rPr>
                <w:rFonts w:cs="Times New Roman"/>
                <w:b/>
                <w:sz w:val="20"/>
                <w:szCs w:val="20"/>
              </w:rPr>
            </w:pPr>
            <w:r w:rsidRPr="00D23634">
              <w:rPr>
                <w:rFonts w:cs="Times New Roman"/>
                <w:b/>
                <w:sz w:val="20"/>
                <w:szCs w:val="20"/>
              </w:rPr>
              <w:t>(</w:t>
            </w:r>
            <w:proofErr w:type="spellStart"/>
            <w:r w:rsidRPr="00D23634">
              <w:rPr>
                <w:rFonts w:cs="Times New Roman"/>
                <w:b/>
                <w:sz w:val="20"/>
                <w:szCs w:val="20"/>
              </w:rPr>
              <w:t>euro</w:t>
            </w:r>
            <w:proofErr w:type="spellEnd"/>
            <w:r w:rsidRPr="00D23634">
              <w:rPr>
                <w:rFonts w:cs="Times New Roman"/>
                <w:b/>
                <w:sz w:val="20"/>
                <w:szCs w:val="20"/>
              </w:rPr>
              <w:t>)</w:t>
            </w:r>
          </w:p>
        </w:tc>
        <w:tc>
          <w:tcPr>
            <w:tcW w:w="2977" w:type="dxa"/>
            <w:gridSpan w:val="5"/>
            <w:shd w:val="clear" w:color="auto" w:fill="A2AE91" w:themeFill="text2" w:themeFillTint="99"/>
          </w:tcPr>
          <w:p w:rsidR="008E755F" w:rsidRPr="00D23634" w:rsidRDefault="008E755F" w:rsidP="008E755F">
            <w:pPr>
              <w:jc w:val="center"/>
              <w:rPr>
                <w:rFonts w:cs="Times New Roman"/>
                <w:b/>
                <w:sz w:val="20"/>
                <w:szCs w:val="20"/>
              </w:rPr>
            </w:pPr>
            <w:r w:rsidRPr="00D23634">
              <w:rPr>
                <w:rFonts w:cs="Times New Roman"/>
                <w:b/>
                <w:sz w:val="20"/>
                <w:szCs w:val="20"/>
              </w:rPr>
              <w:t>2019.gadā</w:t>
            </w:r>
          </w:p>
          <w:p w:rsidR="008E755F" w:rsidRPr="00D23634" w:rsidRDefault="008E755F" w:rsidP="008E755F">
            <w:pPr>
              <w:jc w:val="center"/>
              <w:rPr>
                <w:rFonts w:cs="Times New Roman"/>
                <w:b/>
                <w:sz w:val="20"/>
                <w:szCs w:val="20"/>
              </w:rPr>
            </w:pPr>
            <w:r w:rsidRPr="00D23634">
              <w:rPr>
                <w:rFonts w:cs="Times New Roman"/>
                <w:b/>
                <w:sz w:val="20"/>
                <w:szCs w:val="20"/>
              </w:rPr>
              <w:t>(</w:t>
            </w:r>
            <w:proofErr w:type="spellStart"/>
            <w:r w:rsidRPr="00D23634">
              <w:rPr>
                <w:rFonts w:cs="Times New Roman"/>
                <w:b/>
                <w:sz w:val="20"/>
                <w:szCs w:val="20"/>
              </w:rPr>
              <w:t>euro</w:t>
            </w:r>
            <w:proofErr w:type="spellEnd"/>
            <w:r w:rsidRPr="00D23634">
              <w:rPr>
                <w:rFonts w:cs="Times New Roman"/>
                <w:b/>
                <w:sz w:val="20"/>
                <w:szCs w:val="20"/>
              </w:rPr>
              <w:t>)</w:t>
            </w:r>
          </w:p>
        </w:tc>
        <w:tc>
          <w:tcPr>
            <w:tcW w:w="2977" w:type="dxa"/>
            <w:gridSpan w:val="5"/>
            <w:shd w:val="clear" w:color="auto" w:fill="A2AE91" w:themeFill="text2" w:themeFillTint="99"/>
          </w:tcPr>
          <w:p w:rsidR="008E755F" w:rsidRPr="00D23634" w:rsidRDefault="008E755F" w:rsidP="008E755F">
            <w:pPr>
              <w:jc w:val="center"/>
              <w:rPr>
                <w:rFonts w:cs="Times New Roman"/>
                <w:b/>
                <w:sz w:val="20"/>
                <w:szCs w:val="20"/>
              </w:rPr>
            </w:pPr>
            <w:r w:rsidRPr="00D23634">
              <w:rPr>
                <w:rFonts w:cs="Times New Roman"/>
                <w:b/>
                <w:sz w:val="20"/>
                <w:szCs w:val="20"/>
              </w:rPr>
              <w:t>2020.gadā</w:t>
            </w:r>
          </w:p>
          <w:p w:rsidR="008E755F" w:rsidRPr="00D23634" w:rsidRDefault="008E755F" w:rsidP="008E755F">
            <w:pPr>
              <w:jc w:val="center"/>
              <w:rPr>
                <w:rFonts w:cs="Times New Roman"/>
                <w:b/>
                <w:sz w:val="20"/>
                <w:szCs w:val="20"/>
              </w:rPr>
            </w:pPr>
            <w:r w:rsidRPr="00D23634">
              <w:rPr>
                <w:rFonts w:cs="Times New Roman"/>
                <w:b/>
                <w:sz w:val="20"/>
                <w:szCs w:val="20"/>
              </w:rPr>
              <w:t>(</w:t>
            </w:r>
            <w:proofErr w:type="spellStart"/>
            <w:r w:rsidRPr="00D23634">
              <w:rPr>
                <w:rFonts w:cs="Times New Roman"/>
                <w:b/>
                <w:sz w:val="20"/>
                <w:szCs w:val="20"/>
              </w:rPr>
              <w:t>euro</w:t>
            </w:r>
            <w:proofErr w:type="spellEnd"/>
            <w:r w:rsidRPr="00D23634">
              <w:rPr>
                <w:rFonts w:cs="Times New Roman"/>
                <w:b/>
                <w:sz w:val="20"/>
                <w:szCs w:val="20"/>
              </w:rPr>
              <w:t>)</w:t>
            </w:r>
          </w:p>
        </w:tc>
        <w:tc>
          <w:tcPr>
            <w:tcW w:w="1417" w:type="dxa"/>
            <w:shd w:val="clear" w:color="auto" w:fill="DFE4DA" w:themeFill="text2" w:themeFillTint="33"/>
          </w:tcPr>
          <w:p w:rsidR="008E755F" w:rsidRPr="00D23634" w:rsidRDefault="008E755F" w:rsidP="008E755F">
            <w:pPr>
              <w:jc w:val="center"/>
              <w:rPr>
                <w:rFonts w:cs="Times New Roman"/>
                <w:b/>
                <w:sz w:val="20"/>
                <w:szCs w:val="20"/>
              </w:rPr>
            </w:pPr>
            <w:r w:rsidRPr="00D23634">
              <w:rPr>
                <w:rFonts w:cs="Times New Roman"/>
                <w:b/>
                <w:sz w:val="20"/>
                <w:szCs w:val="20"/>
              </w:rPr>
              <w:t>Kopā</w:t>
            </w:r>
          </w:p>
          <w:p w:rsidR="008E755F" w:rsidRPr="00D23634" w:rsidRDefault="008E755F" w:rsidP="008E755F">
            <w:pPr>
              <w:jc w:val="center"/>
              <w:rPr>
                <w:rFonts w:cs="Times New Roman"/>
                <w:b/>
                <w:sz w:val="20"/>
                <w:szCs w:val="20"/>
              </w:rPr>
            </w:pPr>
            <w:r w:rsidRPr="00D23634">
              <w:rPr>
                <w:rFonts w:cs="Times New Roman"/>
                <w:b/>
                <w:sz w:val="20"/>
                <w:szCs w:val="20"/>
              </w:rPr>
              <w:t>(</w:t>
            </w:r>
            <w:proofErr w:type="spellStart"/>
            <w:r w:rsidRPr="00D23634">
              <w:rPr>
                <w:rFonts w:cs="Times New Roman"/>
                <w:b/>
                <w:sz w:val="20"/>
                <w:szCs w:val="20"/>
              </w:rPr>
              <w:t>euro</w:t>
            </w:r>
            <w:proofErr w:type="spellEnd"/>
            <w:r w:rsidRPr="00D23634">
              <w:rPr>
                <w:rFonts w:cs="Times New Roman"/>
                <w:b/>
                <w:sz w:val="20"/>
                <w:szCs w:val="20"/>
              </w:rPr>
              <w:t>)</w:t>
            </w:r>
          </w:p>
        </w:tc>
      </w:tr>
      <w:tr w:rsidR="00884B65" w:rsidTr="00BB19EA">
        <w:trPr>
          <w:trHeight w:val="1245"/>
          <w:jc w:val="center"/>
        </w:trPr>
        <w:tc>
          <w:tcPr>
            <w:tcW w:w="2409" w:type="dxa"/>
            <w:vMerge/>
          </w:tcPr>
          <w:p w:rsidR="008E755F" w:rsidRPr="00D23634" w:rsidRDefault="008E755F" w:rsidP="00CB5C17">
            <w:pPr>
              <w:jc w:val="both"/>
              <w:rPr>
                <w:rFonts w:cs="Times New Roman"/>
              </w:rPr>
            </w:pPr>
          </w:p>
        </w:tc>
        <w:tc>
          <w:tcPr>
            <w:tcW w:w="1418" w:type="dxa"/>
            <w:shd w:val="clear" w:color="auto" w:fill="D6B8AA" w:themeFill="accent3" w:themeFillTint="66"/>
          </w:tcPr>
          <w:p w:rsidR="001F4112" w:rsidRPr="00CE1DED" w:rsidRDefault="008E755F" w:rsidP="00B073F4">
            <w:pPr>
              <w:ind w:left="-108" w:right="-108"/>
              <w:jc w:val="center"/>
              <w:rPr>
                <w:rFonts w:cs="Times New Roman"/>
                <w:b/>
                <w:sz w:val="20"/>
                <w:szCs w:val="20"/>
              </w:rPr>
            </w:pPr>
            <w:r w:rsidRPr="00CE1DED">
              <w:rPr>
                <w:rFonts w:cs="Times New Roman"/>
                <w:b/>
                <w:sz w:val="20"/>
                <w:szCs w:val="20"/>
              </w:rPr>
              <w:t>Piešķirtais finansējums</w:t>
            </w:r>
            <w:r w:rsidR="001F7AD8">
              <w:rPr>
                <w:rFonts w:cs="Times New Roman"/>
                <w:b/>
                <w:sz w:val="20"/>
                <w:szCs w:val="20"/>
              </w:rPr>
              <w:t>, tā avots</w:t>
            </w:r>
            <w:r w:rsidR="001F4112" w:rsidRPr="00CE1DED">
              <w:rPr>
                <w:rFonts w:cs="Times New Roman"/>
                <w:b/>
                <w:sz w:val="20"/>
                <w:szCs w:val="20"/>
              </w:rPr>
              <w:t xml:space="preserve"> un</w:t>
            </w:r>
          </w:p>
          <w:p w:rsidR="001F4112" w:rsidRPr="00CE1DED" w:rsidRDefault="001F4112" w:rsidP="001F4112">
            <w:pPr>
              <w:ind w:left="-108" w:right="-108"/>
              <w:jc w:val="center"/>
              <w:rPr>
                <w:rFonts w:cs="Times New Roman"/>
                <w:b/>
                <w:sz w:val="20"/>
                <w:szCs w:val="20"/>
              </w:rPr>
            </w:pPr>
            <w:r w:rsidRPr="00CE1DED">
              <w:rPr>
                <w:rFonts w:cs="Times New Roman"/>
                <w:b/>
                <w:sz w:val="20"/>
                <w:szCs w:val="20"/>
              </w:rPr>
              <w:t>budžeta programmas (apakš-</w:t>
            </w:r>
          </w:p>
          <w:p w:rsidR="001F4112" w:rsidRPr="00CE1DED" w:rsidRDefault="001F4112" w:rsidP="001F4112">
            <w:pPr>
              <w:ind w:left="-108" w:right="-108"/>
              <w:jc w:val="center"/>
              <w:rPr>
                <w:rFonts w:cs="Times New Roman"/>
                <w:b/>
                <w:sz w:val="20"/>
                <w:szCs w:val="20"/>
              </w:rPr>
            </w:pPr>
            <w:r w:rsidRPr="00CE1DED">
              <w:rPr>
                <w:rFonts w:cs="Times New Roman"/>
                <w:b/>
                <w:sz w:val="20"/>
                <w:szCs w:val="20"/>
              </w:rPr>
              <w:t>programmas)</w:t>
            </w:r>
          </w:p>
          <w:p w:rsidR="008E755F" w:rsidRPr="00CE1DED" w:rsidRDefault="001F4112" w:rsidP="001F4112">
            <w:pPr>
              <w:ind w:left="-108" w:right="-108"/>
              <w:jc w:val="center"/>
              <w:rPr>
                <w:rFonts w:cs="Times New Roman"/>
                <w:b/>
                <w:sz w:val="20"/>
                <w:szCs w:val="20"/>
              </w:rPr>
            </w:pPr>
            <w:r w:rsidRPr="00CE1DED">
              <w:rPr>
                <w:rFonts w:cs="Times New Roman"/>
                <w:b/>
                <w:sz w:val="20"/>
                <w:szCs w:val="20"/>
              </w:rPr>
              <w:t>kods un nosaukums</w:t>
            </w:r>
            <w:r w:rsidR="00CE1DED">
              <w:rPr>
                <w:rStyle w:val="FootnoteReference"/>
                <w:rFonts w:cs="Times New Roman"/>
                <w:b/>
                <w:sz w:val="20"/>
                <w:szCs w:val="20"/>
              </w:rPr>
              <w:footnoteReference w:id="23"/>
            </w:r>
            <w:r w:rsidRPr="00CE1DED">
              <w:rPr>
                <w:rFonts w:cs="Times New Roman"/>
                <w:b/>
                <w:sz w:val="20"/>
                <w:szCs w:val="20"/>
              </w:rPr>
              <w:t xml:space="preserve"> </w:t>
            </w:r>
          </w:p>
        </w:tc>
        <w:tc>
          <w:tcPr>
            <w:tcW w:w="1559" w:type="dxa"/>
            <w:shd w:val="clear" w:color="auto" w:fill="D6B8AA" w:themeFill="accent3" w:themeFillTint="66"/>
          </w:tcPr>
          <w:p w:rsidR="008E755F" w:rsidRPr="00CE1DED" w:rsidRDefault="008E755F" w:rsidP="008E755F">
            <w:pPr>
              <w:jc w:val="center"/>
              <w:rPr>
                <w:rFonts w:cs="Times New Roman"/>
                <w:b/>
                <w:sz w:val="20"/>
                <w:szCs w:val="20"/>
              </w:rPr>
            </w:pPr>
            <w:r w:rsidRPr="00CE1DED">
              <w:rPr>
                <w:rFonts w:cs="Times New Roman"/>
                <w:b/>
                <w:sz w:val="20"/>
                <w:szCs w:val="20"/>
              </w:rPr>
              <w:t>Nepieciešamais</w:t>
            </w:r>
          </w:p>
          <w:p w:rsidR="008E755F" w:rsidRPr="00CE1DED" w:rsidRDefault="001F7AD8" w:rsidP="008E755F">
            <w:pPr>
              <w:jc w:val="center"/>
              <w:rPr>
                <w:rFonts w:cs="Times New Roman"/>
                <w:b/>
                <w:sz w:val="20"/>
                <w:szCs w:val="20"/>
              </w:rPr>
            </w:pPr>
            <w:r>
              <w:rPr>
                <w:rFonts w:cs="Times New Roman"/>
                <w:b/>
                <w:sz w:val="20"/>
                <w:szCs w:val="20"/>
              </w:rPr>
              <w:t>p</w:t>
            </w:r>
            <w:r w:rsidR="008E755F" w:rsidRPr="00CE1DED">
              <w:rPr>
                <w:rFonts w:cs="Times New Roman"/>
                <w:b/>
                <w:sz w:val="20"/>
                <w:szCs w:val="20"/>
              </w:rPr>
              <w:t>apildus finansējums</w:t>
            </w:r>
            <w:r>
              <w:rPr>
                <w:rFonts w:cs="Times New Roman"/>
                <w:b/>
                <w:sz w:val="20"/>
                <w:szCs w:val="20"/>
              </w:rPr>
              <w:t xml:space="preserve"> un tā avots</w:t>
            </w:r>
          </w:p>
        </w:tc>
        <w:tc>
          <w:tcPr>
            <w:tcW w:w="1418" w:type="dxa"/>
            <w:gridSpan w:val="2"/>
            <w:shd w:val="clear" w:color="auto" w:fill="D6B8AA" w:themeFill="accent3" w:themeFillTint="66"/>
          </w:tcPr>
          <w:p w:rsidR="00884B65" w:rsidRPr="00CE1DED" w:rsidRDefault="00884B65" w:rsidP="00884B65">
            <w:pPr>
              <w:ind w:left="-108" w:right="-108"/>
              <w:jc w:val="center"/>
              <w:rPr>
                <w:rFonts w:cs="Times New Roman"/>
                <w:b/>
                <w:sz w:val="20"/>
                <w:szCs w:val="20"/>
              </w:rPr>
            </w:pPr>
            <w:r w:rsidRPr="00CE1DED">
              <w:rPr>
                <w:rFonts w:cs="Times New Roman"/>
                <w:b/>
                <w:sz w:val="20"/>
                <w:szCs w:val="20"/>
              </w:rPr>
              <w:t>Piešķirtais finansējums</w:t>
            </w:r>
            <w:r w:rsidR="001F7AD8">
              <w:rPr>
                <w:rFonts w:cs="Times New Roman"/>
                <w:b/>
                <w:sz w:val="20"/>
                <w:szCs w:val="20"/>
              </w:rPr>
              <w:t>, tā avots</w:t>
            </w:r>
            <w:r w:rsidRPr="00CE1DED">
              <w:rPr>
                <w:rFonts w:cs="Times New Roman"/>
                <w:b/>
                <w:sz w:val="20"/>
                <w:szCs w:val="20"/>
              </w:rPr>
              <w:t xml:space="preserve"> un</w:t>
            </w:r>
          </w:p>
          <w:p w:rsidR="00884B65" w:rsidRPr="00CE1DED" w:rsidRDefault="00884B65" w:rsidP="00884B65">
            <w:pPr>
              <w:ind w:left="-108" w:right="-108"/>
              <w:jc w:val="center"/>
              <w:rPr>
                <w:rFonts w:cs="Times New Roman"/>
                <w:b/>
                <w:sz w:val="20"/>
                <w:szCs w:val="20"/>
              </w:rPr>
            </w:pPr>
            <w:r w:rsidRPr="00CE1DED">
              <w:rPr>
                <w:rFonts w:cs="Times New Roman"/>
                <w:b/>
                <w:sz w:val="20"/>
                <w:szCs w:val="20"/>
              </w:rPr>
              <w:t>budžeta programmas (apakš-</w:t>
            </w:r>
          </w:p>
          <w:p w:rsidR="00884B65" w:rsidRPr="00CE1DED" w:rsidRDefault="00884B65" w:rsidP="00884B65">
            <w:pPr>
              <w:ind w:left="-108" w:right="-108"/>
              <w:jc w:val="center"/>
              <w:rPr>
                <w:rFonts w:cs="Times New Roman"/>
                <w:b/>
                <w:sz w:val="20"/>
                <w:szCs w:val="20"/>
              </w:rPr>
            </w:pPr>
            <w:r w:rsidRPr="00CE1DED">
              <w:rPr>
                <w:rFonts w:cs="Times New Roman"/>
                <w:b/>
                <w:sz w:val="20"/>
                <w:szCs w:val="20"/>
              </w:rPr>
              <w:t>programmas)</w:t>
            </w:r>
          </w:p>
          <w:p w:rsidR="008E755F" w:rsidRPr="00CE1DED" w:rsidRDefault="00CE1DED" w:rsidP="00CE1DED">
            <w:pPr>
              <w:jc w:val="center"/>
              <w:rPr>
                <w:rFonts w:cs="Times New Roman"/>
                <w:b/>
                <w:sz w:val="20"/>
                <w:szCs w:val="20"/>
                <w:vertAlign w:val="superscript"/>
              </w:rPr>
            </w:pPr>
            <w:r>
              <w:rPr>
                <w:rFonts w:cs="Times New Roman"/>
                <w:b/>
                <w:sz w:val="20"/>
                <w:szCs w:val="20"/>
              </w:rPr>
              <w:t>kods un nosaukums</w:t>
            </w:r>
            <w:r>
              <w:rPr>
                <w:vertAlign w:val="superscript"/>
              </w:rPr>
              <w:t>10</w:t>
            </w:r>
          </w:p>
        </w:tc>
        <w:tc>
          <w:tcPr>
            <w:tcW w:w="1417" w:type="dxa"/>
            <w:gridSpan w:val="2"/>
            <w:shd w:val="clear" w:color="auto" w:fill="D6B8AA" w:themeFill="accent3" w:themeFillTint="66"/>
          </w:tcPr>
          <w:p w:rsidR="008E755F" w:rsidRPr="00CE1DED" w:rsidRDefault="008E755F" w:rsidP="008E755F">
            <w:pPr>
              <w:jc w:val="center"/>
              <w:rPr>
                <w:rFonts w:cs="Times New Roman"/>
                <w:b/>
                <w:sz w:val="20"/>
                <w:szCs w:val="20"/>
              </w:rPr>
            </w:pPr>
            <w:r w:rsidRPr="00CE1DED">
              <w:rPr>
                <w:rFonts w:cs="Times New Roman"/>
                <w:b/>
                <w:sz w:val="20"/>
                <w:szCs w:val="20"/>
              </w:rPr>
              <w:t>Nepieciešamais</w:t>
            </w:r>
          </w:p>
          <w:p w:rsidR="008E755F" w:rsidRPr="00CE1DED" w:rsidRDefault="001F7AD8" w:rsidP="008E755F">
            <w:pPr>
              <w:jc w:val="center"/>
              <w:rPr>
                <w:rFonts w:cs="Times New Roman"/>
                <w:b/>
                <w:sz w:val="20"/>
                <w:szCs w:val="20"/>
              </w:rPr>
            </w:pPr>
            <w:r>
              <w:rPr>
                <w:rFonts w:cs="Times New Roman"/>
                <w:b/>
                <w:sz w:val="20"/>
                <w:szCs w:val="20"/>
              </w:rPr>
              <w:t>p</w:t>
            </w:r>
            <w:r w:rsidR="008E755F" w:rsidRPr="00CE1DED">
              <w:rPr>
                <w:rFonts w:cs="Times New Roman"/>
                <w:b/>
                <w:sz w:val="20"/>
                <w:szCs w:val="20"/>
              </w:rPr>
              <w:t>apildus finansējums</w:t>
            </w:r>
            <w:r>
              <w:rPr>
                <w:rFonts w:cs="Times New Roman"/>
                <w:b/>
                <w:sz w:val="20"/>
                <w:szCs w:val="20"/>
              </w:rPr>
              <w:t xml:space="preserve"> un tā avots</w:t>
            </w:r>
          </w:p>
        </w:tc>
        <w:tc>
          <w:tcPr>
            <w:tcW w:w="1418" w:type="dxa"/>
            <w:gridSpan w:val="2"/>
            <w:shd w:val="clear" w:color="auto" w:fill="D6B8AA" w:themeFill="accent3" w:themeFillTint="66"/>
          </w:tcPr>
          <w:p w:rsidR="00884B65" w:rsidRPr="00CE1DED" w:rsidRDefault="00884B65" w:rsidP="00884B65">
            <w:pPr>
              <w:ind w:left="-108" w:right="-108"/>
              <w:jc w:val="center"/>
              <w:rPr>
                <w:rFonts w:cs="Times New Roman"/>
                <w:b/>
                <w:sz w:val="20"/>
                <w:szCs w:val="20"/>
              </w:rPr>
            </w:pPr>
            <w:r w:rsidRPr="00CE1DED">
              <w:rPr>
                <w:rFonts w:cs="Times New Roman"/>
                <w:b/>
                <w:sz w:val="20"/>
                <w:szCs w:val="20"/>
              </w:rPr>
              <w:t>Piešķirtais finansējums</w:t>
            </w:r>
            <w:r w:rsidR="001F7AD8">
              <w:rPr>
                <w:rFonts w:cs="Times New Roman"/>
                <w:b/>
                <w:sz w:val="20"/>
                <w:szCs w:val="20"/>
              </w:rPr>
              <w:t>, tā avots</w:t>
            </w:r>
            <w:r w:rsidRPr="00CE1DED">
              <w:rPr>
                <w:rFonts w:cs="Times New Roman"/>
                <w:b/>
                <w:sz w:val="20"/>
                <w:szCs w:val="20"/>
              </w:rPr>
              <w:t xml:space="preserve"> un</w:t>
            </w:r>
          </w:p>
          <w:p w:rsidR="00884B65" w:rsidRPr="00CE1DED" w:rsidRDefault="00884B65" w:rsidP="00884B65">
            <w:pPr>
              <w:ind w:left="-108" w:right="-108"/>
              <w:jc w:val="center"/>
              <w:rPr>
                <w:rFonts w:cs="Times New Roman"/>
                <w:b/>
                <w:sz w:val="20"/>
                <w:szCs w:val="20"/>
              </w:rPr>
            </w:pPr>
            <w:r w:rsidRPr="00CE1DED">
              <w:rPr>
                <w:rFonts w:cs="Times New Roman"/>
                <w:b/>
                <w:sz w:val="20"/>
                <w:szCs w:val="20"/>
              </w:rPr>
              <w:t>budžeta programmas (apakš-</w:t>
            </w:r>
          </w:p>
          <w:p w:rsidR="00884B65" w:rsidRPr="00CE1DED" w:rsidRDefault="00884B65" w:rsidP="00884B65">
            <w:pPr>
              <w:ind w:left="-108" w:right="-108"/>
              <w:jc w:val="center"/>
              <w:rPr>
                <w:rFonts w:cs="Times New Roman"/>
                <w:b/>
                <w:sz w:val="20"/>
                <w:szCs w:val="20"/>
              </w:rPr>
            </w:pPr>
            <w:r w:rsidRPr="00CE1DED">
              <w:rPr>
                <w:rFonts w:cs="Times New Roman"/>
                <w:b/>
                <w:sz w:val="20"/>
                <w:szCs w:val="20"/>
              </w:rPr>
              <w:t>programmas)</w:t>
            </w:r>
          </w:p>
          <w:p w:rsidR="008E755F" w:rsidRPr="00CE1DED" w:rsidRDefault="00884B65" w:rsidP="00CE1DED">
            <w:pPr>
              <w:jc w:val="center"/>
              <w:rPr>
                <w:rFonts w:cs="Times New Roman"/>
                <w:b/>
                <w:sz w:val="20"/>
                <w:szCs w:val="20"/>
                <w:vertAlign w:val="superscript"/>
              </w:rPr>
            </w:pPr>
            <w:r w:rsidRPr="00CE1DED">
              <w:rPr>
                <w:rFonts w:cs="Times New Roman"/>
                <w:b/>
                <w:sz w:val="20"/>
                <w:szCs w:val="20"/>
              </w:rPr>
              <w:t>kods un nosaukums</w:t>
            </w:r>
            <w:r w:rsidR="00CE1DED">
              <w:rPr>
                <w:rFonts w:cs="Times New Roman"/>
                <w:b/>
                <w:sz w:val="20"/>
                <w:szCs w:val="20"/>
                <w:vertAlign w:val="superscript"/>
              </w:rPr>
              <w:t>10</w:t>
            </w:r>
          </w:p>
        </w:tc>
        <w:tc>
          <w:tcPr>
            <w:tcW w:w="1559" w:type="dxa"/>
            <w:gridSpan w:val="3"/>
            <w:shd w:val="clear" w:color="auto" w:fill="D6B8AA" w:themeFill="accent3" w:themeFillTint="66"/>
          </w:tcPr>
          <w:p w:rsidR="008E755F" w:rsidRPr="00CE1DED" w:rsidRDefault="008E755F" w:rsidP="008E755F">
            <w:pPr>
              <w:jc w:val="center"/>
              <w:rPr>
                <w:rFonts w:cs="Times New Roman"/>
                <w:b/>
                <w:sz w:val="20"/>
                <w:szCs w:val="20"/>
              </w:rPr>
            </w:pPr>
            <w:r w:rsidRPr="00CE1DED">
              <w:rPr>
                <w:rFonts w:cs="Times New Roman"/>
                <w:b/>
                <w:sz w:val="20"/>
                <w:szCs w:val="20"/>
              </w:rPr>
              <w:t>Nepieciešamais</w:t>
            </w:r>
          </w:p>
          <w:p w:rsidR="00030AEC" w:rsidRDefault="00030AEC" w:rsidP="008E755F">
            <w:pPr>
              <w:jc w:val="center"/>
              <w:rPr>
                <w:rFonts w:cs="Times New Roman"/>
                <w:b/>
                <w:sz w:val="20"/>
                <w:szCs w:val="20"/>
              </w:rPr>
            </w:pPr>
            <w:r>
              <w:rPr>
                <w:rFonts w:cs="Times New Roman"/>
                <w:b/>
                <w:sz w:val="20"/>
                <w:szCs w:val="20"/>
              </w:rPr>
              <w:t>P38</w:t>
            </w:r>
          </w:p>
          <w:p w:rsidR="008E755F" w:rsidRPr="00CE1DED" w:rsidRDefault="008E755F" w:rsidP="008E755F">
            <w:pPr>
              <w:jc w:val="center"/>
              <w:rPr>
                <w:rFonts w:cs="Times New Roman"/>
                <w:b/>
                <w:sz w:val="20"/>
                <w:szCs w:val="20"/>
              </w:rPr>
            </w:pPr>
            <w:proofErr w:type="spellStart"/>
            <w:r w:rsidRPr="00CE1DED">
              <w:rPr>
                <w:rFonts w:cs="Times New Roman"/>
                <w:b/>
                <w:sz w:val="20"/>
                <w:szCs w:val="20"/>
              </w:rPr>
              <w:t>apildus</w:t>
            </w:r>
            <w:proofErr w:type="spellEnd"/>
            <w:r w:rsidRPr="00CE1DED">
              <w:rPr>
                <w:rFonts w:cs="Times New Roman"/>
                <w:b/>
                <w:sz w:val="20"/>
                <w:szCs w:val="20"/>
              </w:rPr>
              <w:t xml:space="preserve"> finansējums</w:t>
            </w:r>
            <w:r w:rsidR="001F7AD8">
              <w:rPr>
                <w:rFonts w:cs="Times New Roman"/>
                <w:b/>
                <w:sz w:val="20"/>
                <w:szCs w:val="20"/>
              </w:rPr>
              <w:t xml:space="preserve"> un tā avots</w:t>
            </w:r>
          </w:p>
        </w:tc>
        <w:tc>
          <w:tcPr>
            <w:tcW w:w="1417" w:type="dxa"/>
            <w:gridSpan w:val="2"/>
            <w:shd w:val="clear" w:color="auto" w:fill="D6B8AA" w:themeFill="accent3" w:themeFillTint="66"/>
          </w:tcPr>
          <w:p w:rsidR="00884B65" w:rsidRPr="00CE1DED" w:rsidRDefault="00884B65" w:rsidP="00884B65">
            <w:pPr>
              <w:ind w:left="-108" w:right="-108"/>
              <w:jc w:val="center"/>
              <w:rPr>
                <w:rFonts w:cs="Times New Roman"/>
                <w:b/>
                <w:sz w:val="20"/>
                <w:szCs w:val="20"/>
              </w:rPr>
            </w:pPr>
            <w:r w:rsidRPr="00CE1DED">
              <w:rPr>
                <w:rFonts w:cs="Times New Roman"/>
                <w:b/>
                <w:sz w:val="20"/>
                <w:szCs w:val="20"/>
              </w:rPr>
              <w:t>Piešķirtais finansējum</w:t>
            </w:r>
            <w:r w:rsidR="001F7AD8">
              <w:rPr>
                <w:rFonts w:cs="Times New Roman"/>
                <w:b/>
                <w:sz w:val="20"/>
                <w:szCs w:val="20"/>
              </w:rPr>
              <w:t>, tā avot</w:t>
            </w:r>
            <w:r w:rsidRPr="00CE1DED">
              <w:rPr>
                <w:rFonts w:cs="Times New Roman"/>
                <w:b/>
                <w:sz w:val="20"/>
                <w:szCs w:val="20"/>
              </w:rPr>
              <w:t>s un</w:t>
            </w:r>
          </w:p>
          <w:p w:rsidR="00884B65" w:rsidRPr="00CE1DED" w:rsidRDefault="00884B65" w:rsidP="00884B65">
            <w:pPr>
              <w:ind w:left="-108" w:right="-108"/>
              <w:jc w:val="center"/>
              <w:rPr>
                <w:rFonts w:cs="Times New Roman"/>
                <w:b/>
                <w:sz w:val="20"/>
                <w:szCs w:val="20"/>
              </w:rPr>
            </w:pPr>
            <w:r w:rsidRPr="00CE1DED">
              <w:rPr>
                <w:rFonts w:cs="Times New Roman"/>
                <w:b/>
                <w:sz w:val="20"/>
                <w:szCs w:val="20"/>
              </w:rPr>
              <w:t>budžeta programmas (apakš-</w:t>
            </w:r>
          </w:p>
          <w:p w:rsidR="00884B65" w:rsidRPr="00CE1DED" w:rsidRDefault="00884B65" w:rsidP="00884B65">
            <w:pPr>
              <w:ind w:left="-108" w:right="-108"/>
              <w:jc w:val="center"/>
              <w:rPr>
                <w:rFonts w:cs="Times New Roman"/>
                <w:b/>
                <w:sz w:val="20"/>
                <w:szCs w:val="20"/>
              </w:rPr>
            </w:pPr>
            <w:r w:rsidRPr="00CE1DED">
              <w:rPr>
                <w:rFonts w:cs="Times New Roman"/>
                <w:b/>
                <w:sz w:val="20"/>
                <w:szCs w:val="20"/>
              </w:rPr>
              <w:t>programmas)</w:t>
            </w:r>
          </w:p>
          <w:p w:rsidR="008E755F" w:rsidRPr="00CE1DED" w:rsidRDefault="00884B65" w:rsidP="00884B65">
            <w:pPr>
              <w:jc w:val="center"/>
              <w:rPr>
                <w:rFonts w:cs="Times New Roman"/>
                <w:b/>
                <w:sz w:val="20"/>
                <w:szCs w:val="20"/>
                <w:vertAlign w:val="superscript"/>
              </w:rPr>
            </w:pPr>
            <w:r w:rsidRPr="00CE1DED">
              <w:rPr>
                <w:rFonts w:cs="Times New Roman"/>
                <w:b/>
                <w:sz w:val="20"/>
                <w:szCs w:val="20"/>
              </w:rPr>
              <w:t>kods un nosaukums</w:t>
            </w:r>
            <w:r w:rsidR="00CE1DED">
              <w:rPr>
                <w:rFonts w:cs="Times New Roman"/>
                <w:b/>
                <w:sz w:val="20"/>
                <w:szCs w:val="20"/>
                <w:vertAlign w:val="superscript"/>
              </w:rPr>
              <w:t>10</w:t>
            </w:r>
          </w:p>
        </w:tc>
        <w:tc>
          <w:tcPr>
            <w:tcW w:w="1560" w:type="dxa"/>
            <w:gridSpan w:val="3"/>
            <w:shd w:val="clear" w:color="auto" w:fill="D6B8AA" w:themeFill="accent3" w:themeFillTint="66"/>
          </w:tcPr>
          <w:p w:rsidR="008E755F" w:rsidRPr="00CE1DED" w:rsidRDefault="008E755F" w:rsidP="008E755F">
            <w:pPr>
              <w:jc w:val="center"/>
              <w:rPr>
                <w:rFonts w:cs="Times New Roman"/>
                <w:b/>
                <w:sz w:val="20"/>
                <w:szCs w:val="20"/>
              </w:rPr>
            </w:pPr>
            <w:r w:rsidRPr="00CE1DED">
              <w:rPr>
                <w:rFonts w:cs="Times New Roman"/>
                <w:b/>
                <w:sz w:val="20"/>
                <w:szCs w:val="20"/>
              </w:rPr>
              <w:t>Nepieciešamais</w:t>
            </w:r>
          </w:p>
          <w:p w:rsidR="008E755F" w:rsidRPr="00CE1DED" w:rsidRDefault="00030AEC" w:rsidP="008E755F">
            <w:pPr>
              <w:jc w:val="center"/>
              <w:rPr>
                <w:rFonts w:cs="Times New Roman"/>
                <w:b/>
                <w:sz w:val="20"/>
                <w:szCs w:val="20"/>
              </w:rPr>
            </w:pPr>
            <w:r>
              <w:rPr>
                <w:rFonts w:cs="Times New Roman"/>
                <w:b/>
                <w:sz w:val="20"/>
                <w:szCs w:val="20"/>
              </w:rPr>
              <w:t>p</w:t>
            </w:r>
            <w:r w:rsidR="008E755F" w:rsidRPr="00CE1DED">
              <w:rPr>
                <w:rFonts w:cs="Times New Roman"/>
                <w:b/>
                <w:sz w:val="20"/>
                <w:szCs w:val="20"/>
              </w:rPr>
              <w:t>apildus finansējums</w:t>
            </w:r>
            <w:r w:rsidR="001F7AD8">
              <w:rPr>
                <w:rFonts w:cs="Times New Roman"/>
                <w:b/>
                <w:sz w:val="20"/>
                <w:szCs w:val="20"/>
              </w:rPr>
              <w:t xml:space="preserve"> un tā avots</w:t>
            </w:r>
          </w:p>
        </w:tc>
        <w:tc>
          <w:tcPr>
            <w:tcW w:w="1417" w:type="dxa"/>
            <w:shd w:val="clear" w:color="auto" w:fill="DFE4DA" w:themeFill="text2" w:themeFillTint="33"/>
          </w:tcPr>
          <w:p w:rsidR="008E755F" w:rsidRPr="00D23634" w:rsidRDefault="008E755F" w:rsidP="00CB5C17">
            <w:pPr>
              <w:jc w:val="both"/>
              <w:rPr>
                <w:rFonts w:cs="Times New Roman"/>
              </w:rPr>
            </w:pPr>
          </w:p>
        </w:tc>
      </w:tr>
      <w:tr w:rsidR="00B073F4" w:rsidTr="00BB19EA">
        <w:trPr>
          <w:jc w:val="center"/>
        </w:trPr>
        <w:tc>
          <w:tcPr>
            <w:tcW w:w="2409" w:type="dxa"/>
            <w:shd w:val="clear" w:color="auto" w:fill="F3B46B" w:themeFill="accent1" w:themeFillTint="99"/>
          </w:tcPr>
          <w:p w:rsidR="00B073F4" w:rsidRDefault="00B073F4" w:rsidP="00B073F4">
            <w:pPr>
              <w:jc w:val="both"/>
              <w:rPr>
                <w:rFonts w:cs="Times New Roman"/>
                <w:b/>
                <w:sz w:val="20"/>
                <w:szCs w:val="20"/>
              </w:rPr>
            </w:pPr>
            <w:r w:rsidRPr="00B073F4">
              <w:rPr>
                <w:rFonts w:cs="Times New Roman"/>
                <w:b/>
                <w:sz w:val="20"/>
                <w:szCs w:val="20"/>
              </w:rPr>
              <w:t>3.1.  Preventīvie ceļu satiksmes drošības pasākumi</w:t>
            </w:r>
          </w:p>
          <w:p w:rsidR="00B02243" w:rsidRPr="00B073F4" w:rsidRDefault="00B02243" w:rsidP="00B073F4">
            <w:pPr>
              <w:jc w:val="both"/>
              <w:rPr>
                <w:rFonts w:cs="Times New Roman"/>
                <w:b/>
                <w:sz w:val="20"/>
                <w:szCs w:val="20"/>
              </w:rPr>
            </w:pPr>
          </w:p>
        </w:tc>
        <w:tc>
          <w:tcPr>
            <w:tcW w:w="13183" w:type="dxa"/>
            <w:gridSpan w:val="17"/>
          </w:tcPr>
          <w:p w:rsidR="00B073F4" w:rsidRPr="00D23634" w:rsidRDefault="00B073F4" w:rsidP="00E802CE">
            <w:pPr>
              <w:jc w:val="both"/>
              <w:rPr>
                <w:rFonts w:cs="Times New Roman"/>
                <w:sz w:val="20"/>
                <w:szCs w:val="20"/>
              </w:rPr>
            </w:pPr>
          </w:p>
        </w:tc>
      </w:tr>
      <w:tr w:rsidR="00884B65" w:rsidTr="009D1429">
        <w:trPr>
          <w:jc w:val="center"/>
        </w:trPr>
        <w:tc>
          <w:tcPr>
            <w:tcW w:w="2409" w:type="dxa"/>
          </w:tcPr>
          <w:p w:rsidR="00060587" w:rsidRDefault="00060587" w:rsidP="00E802CE">
            <w:pPr>
              <w:jc w:val="both"/>
              <w:rPr>
                <w:rFonts w:eastAsia="Times New Roman" w:cs="Times New Roman"/>
                <w:color w:val="000000"/>
                <w:sz w:val="20"/>
                <w:szCs w:val="20"/>
                <w:lang w:eastAsia="lv-LV"/>
              </w:rPr>
            </w:pPr>
            <w:r>
              <w:rPr>
                <w:rFonts w:eastAsia="Times New Roman" w:cs="Times New Roman"/>
                <w:color w:val="000000"/>
                <w:sz w:val="20"/>
                <w:szCs w:val="20"/>
                <w:lang w:eastAsia="lv-LV"/>
              </w:rPr>
              <w:t xml:space="preserve">3.1.1.  </w:t>
            </w:r>
          </w:p>
          <w:p w:rsidR="00B073F4" w:rsidRPr="00D23634" w:rsidRDefault="00060587" w:rsidP="00E802CE">
            <w:pPr>
              <w:jc w:val="both"/>
              <w:rPr>
                <w:rFonts w:cs="Times New Roman"/>
                <w:sz w:val="20"/>
                <w:szCs w:val="20"/>
              </w:rPr>
            </w:pPr>
            <w:r>
              <w:rPr>
                <w:rFonts w:eastAsia="Times New Roman" w:cs="Times New Roman"/>
                <w:color w:val="000000"/>
                <w:sz w:val="20"/>
                <w:szCs w:val="20"/>
                <w:lang w:eastAsia="lv-LV"/>
              </w:rPr>
              <w:t>1. Veikt visaptverošu p</w:t>
            </w:r>
            <w:r w:rsidRPr="005867F1">
              <w:rPr>
                <w:rFonts w:eastAsia="Times New Roman" w:cs="Times New Roman"/>
                <w:color w:val="000000"/>
                <w:sz w:val="20"/>
                <w:szCs w:val="20"/>
                <w:lang w:eastAsia="lv-LV"/>
              </w:rPr>
              <w:t>ētī</w:t>
            </w:r>
            <w:r>
              <w:rPr>
                <w:rFonts w:eastAsia="Times New Roman" w:cs="Times New Roman"/>
                <w:color w:val="000000"/>
                <w:sz w:val="20"/>
                <w:szCs w:val="20"/>
                <w:lang w:eastAsia="lv-LV"/>
              </w:rPr>
              <w:t>jumu par ceļu satiksmes drošību ietekmējošiem riska faktoriem Latvijā</w:t>
            </w:r>
            <w:r w:rsidRPr="005867F1">
              <w:rPr>
                <w:rFonts w:eastAsia="Times New Roman" w:cs="Times New Roman"/>
                <w:color w:val="000000"/>
                <w:sz w:val="20"/>
                <w:szCs w:val="20"/>
                <w:lang w:eastAsia="lv-LV"/>
              </w:rPr>
              <w:t>.</w:t>
            </w:r>
          </w:p>
        </w:tc>
        <w:tc>
          <w:tcPr>
            <w:tcW w:w="1418" w:type="dxa"/>
          </w:tcPr>
          <w:p w:rsidR="008E755F" w:rsidRPr="00A74A61" w:rsidRDefault="008E755F" w:rsidP="00E37A06">
            <w:pPr>
              <w:jc w:val="center"/>
              <w:rPr>
                <w:rFonts w:cs="Times New Roman"/>
                <w:sz w:val="20"/>
                <w:szCs w:val="20"/>
                <w:highlight w:val="yellow"/>
              </w:rPr>
            </w:pPr>
          </w:p>
        </w:tc>
        <w:tc>
          <w:tcPr>
            <w:tcW w:w="1559" w:type="dxa"/>
          </w:tcPr>
          <w:p w:rsidR="00425E03" w:rsidRPr="00025D1F" w:rsidRDefault="001F7AD8" w:rsidP="00425E03">
            <w:pPr>
              <w:jc w:val="center"/>
              <w:rPr>
                <w:rFonts w:cs="Times New Roman"/>
                <w:sz w:val="20"/>
                <w:szCs w:val="20"/>
              </w:rPr>
            </w:pPr>
            <w:r w:rsidRPr="00025D1F">
              <w:rPr>
                <w:rFonts w:cs="Times New Roman"/>
                <w:sz w:val="20"/>
                <w:szCs w:val="20"/>
              </w:rPr>
              <w:t>50 000, OCTA līdzekļi</w:t>
            </w:r>
            <w:r w:rsidR="00425E03">
              <w:rPr>
                <w:rStyle w:val="FootnoteReference"/>
                <w:rFonts w:cs="Times New Roman"/>
                <w:sz w:val="20"/>
                <w:szCs w:val="20"/>
              </w:rPr>
              <w:footnoteReference w:id="24"/>
            </w:r>
            <w:r w:rsidR="00425E03">
              <w:rPr>
                <w:rFonts w:cs="Times New Roman"/>
                <w:sz w:val="20"/>
                <w:szCs w:val="20"/>
              </w:rPr>
              <w:t xml:space="preserve"> </w:t>
            </w:r>
          </w:p>
        </w:tc>
        <w:tc>
          <w:tcPr>
            <w:tcW w:w="1418" w:type="dxa"/>
            <w:gridSpan w:val="2"/>
          </w:tcPr>
          <w:p w:rsidR="008E755F" w:rsidRPr="00025D1F" w:rsidRDefault="008E755F" w:rsidP="00E37A06">
            <w:pPr>
              <w:jc w:val="center"/>
              <w:rPr>
                <w:rFonts w:cs="Times New Roman"/>
                <w:sz w:val="20"/>
                <w:szCs w:val="20"/>
              </w:rPr>
            </w:pPr>
          </w:p>
        </w:tc>
        <w:tc>
          <w:tcPr>
            <w:tcW w:w="1417" w:type="dxa"/>
            <w:gridSpan w:val="2"/>
          </w:tcPr>
          <w:p w:rsidR="008E755F" w:rsidRPr="00425E03" w:rsidRDefault="001F7AD8" w:rsidP="00E37A06">
            <w:pPr>
              <w:jc w:val="center"/>
              <w:rPr>
                <w:rFonts w:cs="Times New Roman"/>
                <w:sz w:val="20"/>
                <w:szCs w:val="20"/>
                <w:vertAlign w:val="superscript"/>
              </w:rPr>
            </w:pPr>
            <w:r w:rsidRPr="00025D1F">
              <w:rPr>
                <w:rFonts w:cs="Times New Roman"/>
                <w:sz w:val="20"/>
                <w:szCs w:val="20"/>
              </w:rPr>
              <w:t>50 000, OCTA līdzekļi</w:t>
            </w:r>
            <w:r w:rsidR="00425E03">
              <w:rPr>
                <w:rFonts w:cs="Times New Roman"/>
                <w:sz w:val="20"/>
                <w:szCs w:val="20"/>
                <w:vertAlign w:val="superscript"/>
              </w:rPr>
              <w:t>22</w:t>
            </w:r>
          </w:p>
        </w:tc>
        <w:tc>
          <w:tcPr>
            <w:tcW w:w="1418" w:type="dxa"/>
            <w:gridSpan w:val="2"/>
          </w:tcPr>
          <w:p w:rsidR="008E755F" w:rsidRPr="00025D1F" w:rsidRDefault="008E755F" w:rsidP="00E37A06">
            <w:pPr>
              <w:jc w:val="center"/>
              <w:rPr>
                <w:rFonts w:cs="Times New Roman"/>
                <w:sz w:val="20"/>
                <w:szCs w:val="20"/>
              </w:rPr>
            </w:pPr>
          </w:p>
        </w:tc>
        <w:tc>
          <w:tcPr>
            <w:tcW w:w="1559" w:type="dxa"/>
            <w:gridSpan w:val="3"/>
          </w:tcPr>
          <w:p w:rsidR="008E755F" w:rsidRPr="00025D1F" w:rsidRDefault="008E755F" w:rsidP="00E37A06">
            <w:pPr>
              <w:jc w:val="center"/>
              <w:rPr>
                <w:rFonts w:cs="Times New Roman"/>
                <w:sz w:val="20"/>
                <w:szCs w:val="20"/>
              </w:rPr>
            </w:pPr>
          </w:p>
        </w:tc>
        <w:tc>
          <w:tcPr>
            <w:tcW w:w="1417" w:type="dxa"/>
            <w:gridSpan w:val="2"/>
          </w:tcPr>
          <w:p w:rsidR="008E755F" w:rsidRPr="00025D1F" w:rsidRDefault="008E755F" w:rsidP="00E37A06">
            <w:pPr>
              <w:jc w:val="center"/>
              <w:rPr>
                <w:rFonts w:cs="Times New Roman"/>
                <w:sz w:val="20"/>
                <w:szCs w:val="20"/>
              </w:rPr>
            </w:pPr>
          </w:p>
        </w:tc>
        <w:tc>
          <w:tcPr>
            <w:tcW w:w="1560" w:type="dxa"/>
            <w:gridSpan w:val="3"/>
          </w:tcPr>
          <w:p w:rsidR="008E755F" w:rsidRPr="00025D1F" w:rsidRDefault="008E755F" w:rsidP="00E37A06">
            <w:pPr>
              <w:jc w:val="center"/>
              <w:rPr>
                <w:rFonts w:cs="Times New Roman"/>
                <w:sz w:val="20"/>
                <w:szCs w:val="20"/>
              </w:rPr>
            </w:pPr>
          </w:p>
        </w:tc>
        <w:tc>
          <w:tcPr>
            <w:tcW w:w="1417" w:type="dxa"/>
            <w:shd w:val="clear" w:color="auto" w:fill="DFE4DA" w:themeFill="text2" w:themeFillTint="33"/>
          </w:tcPr>
          <w:p w:rsidR="008E755F" w:rsidRPr="00025D1F" w:rsidRDefault="001F7AD8" w:rsidP="00E37A06">
            <w:pPr>
              <w:jc w:val="center"/>
              <w:rPr>
                <w:rFonts w:cs="Times New Roman"/>
                <w:sz w:val="20"/>
                <w:szCs w:val="20"/>
              </w:rPr>
            </w:pPr>
            <w:r w:rsidRPr="00025D1F">
              <w:rPr>
                <w:rFonts w:cs="Times New Roman"/>
                <w:sz w:val="20"/>
                <w:szCs w:val="20"/>
              </w:rPr>
              <w:t>100 000, OCTA līdzekļi</w:t>
            </w:r>
          </w:p>
        </w:tc>
      </w:tr>
      <w:tr w:rsidR="001F7AD8" w:rsidTr="009D1429">
        <w:trPr>
          <w:jc w:val="center"/>
        </w:trPr>
        <w:tc>
          <w:tcPr>
            <w:tcW w:w="2409" w:type="dxa"/>
          </w:tcPr>
          <w:p w:rsidR="001F7AD8" w:rsidRDefault="00030AEC" w:rsidP="001F7AD8">
            <w:pPr>
              <w:jc w:val="both"/>
              <w:rPr>
                <w:rFonts w:cs="Times New Roman"/>
                <w:sz w:val="20"/>
                <w:szCs w:val="20"/>
              </w:rPr>
            </w:pPr>
            <w:r>
              <w:rPr>
                <w:rFonts w:cs="Times New Roman"/>
                <w:sz w:val="20"/>
                <w:szCs w:val="20"/>
              </w:rPr>
              <w:t>3.1.3.</w:t>
            </w:r>
          </w:p>
          <w:p w:rsidR="00030AEC" w:rsidRPr="00D23634" w:rsidRDefault="00DC0FE8" w:rsidP="001F7AD8">
            <w:pPr>
              <w:jc w:val="both"/>
              <w:rPr>
                <w:rFonts w:cs="Times New Roman"/>
                <w:sz w:val="20"/>
                <w:szCs w:val="20"/>
              </w:rPr>
            </w:pPr>
            <w:r>
              <w:rPr>
                <w:rFonts w:cs="Times New Roman"/>
                <w:sz w:val="20"/>
                <w:szCs w:val="20"/>
              </w:rPr>
              <w:t>4</w:t>
            </w:r>
            <w:r w:rsidR="00030AEC">
              <w:rPr>
                <w:rFonts w:cs="Times New Roman"/>
                <w:sz w:val="20"/>
                <w:szCs w:val="20"/>
              </w:rPr>
              <w:t xml:space="preserve">. </w:t>
            </w:r>
            <w:r w:rsidR="00030AEC">
              <w:rPr>
                <w:rFonts w:cs="Times New Roman"/>
                <w:color w:val="000000" w:themeColor="text1"/>
                <w:sz w:val="20"/>
                <w:szCs w:val="20"/>
              </w:rPr>
              <w:t xml:space="preserve">Izstrādāt </w:t>
            </w:r>
            <w:proofErr w:type="spellStart"/>
            <w:r w:rsidR="00030AEC">
              <w:rPr>
                <w:rFonts w:cs="Times New Roman"/>
                <w:color w:val="000000" w:themeColor="text1"/>
                <w:sz w:val="20"/>
                <w:szCs w:val="20"/>
              </w:rPr>
              <w:t>CSNg</w:t>
            </w:r>
            <w:proofErr w:type="spellEnd"/>
            <w:r w:rsidR="00030AEC">
              <w:rPr>
                <w:rFonts w:cs="Times New Roman"/>
                <w:color w:val="000000" w:themeColor="text1"/>
                <w:sz w:val="20"/>
                <w:szCs w:val="20"/>
              </w:rPr>
              <w:t xml:space="preserve"> un pārkāpumu notikuma vietu analīzes informācijas sistēmu (CAIS)</w:t>
            </w:r>
          </w:p>
        </w:tc>
        <w:tc>
          <w:tcPr>
            <w:tcW w:w="1418" w:type="dxa"/>
          </w:tcPr>
          <w:p w:rsidR="001F7AD8" w:rsidRPr="00D23634" w:rsidRDefault="001F7AD8" w:rsidP="00E37A06">
            <w:pPr>
              <w:jc w:val="center"/>
              <w:rPr>
                <w:rFonts w:cs="Times New Roman"/>
                <w:sz w:val="20"/>
                <w:szCs w:val="20"/>
              </w:rPr>
            </w:pPr>
          </w:p>
        </w:tc>
        <w:tc>
          <w:tcPr>
            <w:tcW w:w="1559" w:type="dxa"/>
          </w:tcPr>
          <w:p w:rsidR="001F7AD8" w:rsidRPr="00025D1F" w:rsidRDefault="001F7AD8" w:rsidP="00E37A06">
            <w:pPr>
              <w:jc w:val="center"/>
              <w:rPr>
                <w:rFonts w:cs="Times New Roman"/>
                <w:sz w:val="20"/>
                <w:szCs w:val="20"/>
              </w:rPr>
            </w:pPr>
          </w:p>
        </w:tc>
        <w:tc>
          <w:tcPr>
            <w:tcW w:w="1418" w:type="dxa"/>
            <w:gridSpan w:val="2"/>
          </w:tcPr>
          <w:p w:rsidR="001F7AD8" w:rsidRPr="00025D1F" w:rsidRDefault="001F7AD8" w:rsidP="00E37A06">
            <w:pPr>
              <w:jc w:val="center"/>
              <w:rPr>
                <w:rFonts w:cs="Times New Roman"/>
                <w:sz w:val="20"/>
                <w:szCs w:val="20"/>
              </w:rPr>
            </w:pPr>
          </w:p>
        </w:tc>
        <w:tc>
          <w:tcPr>
            <w:tcW w:w="1417" w:type="dxa"/>
            <w:gridSpan w:val="2"/>
          </w:tcPr>
          <w:p w:rsidR="001F7AD8" w:rsidRPr="00025D1F" w:rsidRDefault="001F7AD8" w:rsidP="00E37A06">
            <w:pPr>
              <w:jc w:val="center"/>
              <w:rPr>
                <w:rFonts w:cs="Times New Roman"/>
                <w:sz w:val="20"/>
                <w:szCs w:val="20"/>
              </w:rPr>
            </w:pPr>
          </w:p>
        </w:tc>
        <w:tc>
          <w:tcPr>
            <w:tcW w:w="1418" w:type="dxa"/>
            <w:gridSpan w:val="2"/>
          </w:tcPr>
          <w:p w:rsidR="001F7AD8" w:rsidRPr="00025D1F" w:rsidRDefault="001F7AD8" w:rsidP="00E37A06">
            <w:pPr>
              <w:jc w:val="center"/>
              <w:rPr>
                <w:rFonts w:cs="Times New Roman"/>
                <w:sz w:val="20"/>
                <w:szCs w:val="20"/>
              </w:rPr>
            </w:pPr>
          </w:p>
        </w:tc>
        <w:tc>
          <w:tcPr>
            <w:tcW w:w="1559" w:type="dxa"/>
            <w:gridSpan w:val="3"/>
          </w:tcPr>
          <w:p w:rsidR="001F7AD8" w:rsidRPr="00025D1F" w:rsidRDefault="001F7AD8" w:rsidP="00E37A06">
            <w:pPr>
              <w:jc w:val="center"/>
              <w:rPr>
                <w:rFonts w:cs="Times New Roman"/>
                <w:sz w:val="20"/>
                <w:szCs w:val="20"/>
              </w:rPr>
            </w:pPr>
          </w:p>
        </w:tc>
        <w:tc>
          <w:tcPr>
            <w:tcW w:w="1417" w:type="dxa"/>
            <w:gridSpan w:val="2"/>
          </w:tcPr>
          <w:p w:rsidR="001F7AD8" w:rsidRPr="00025D1F" w:rsidRDefault="001F7AD8" w:rsidP="00E37A06">
            <w:pPr>
              <w:jc w:val="center"/>
              <w:rPr>
                <w:rFonts w:cs="Times New Roman"/>
                <w:sz w:val="20"/>
                <w:szCs w:val="20"/>
              </w:rPr>
            </w:pPr>
          </w:p>
        </w:tc>
        <w:tc>
          <w:tcPr>
            <w:tcW w:w="1560" w:type="dxa"/>
            <w:gridSpan w:val="3"/>
          </w:tcPr>
          <w:p w:rsidR="001F7AD8" w:rsidRDefault="00E35554" w:rsidP="00E37A06">
            <w:pPr>
              <w:jc w:val="center"/>
              <w:rPr>
                <w:rFonts w:cs="Times New Roman"/>
                <w:sz w:val="20"/>
                <w:szCs w:val="20"/>
              </w:rPr>
            </w:pPr>
            <w:r w:rsidRPr="00025D1F">
              <w:rPr>
                <w:rFonts w:cs="Times New Roman"/>
                <w:sz w:val="20"/>
                <w:szCs w:val="20"/>
              </w:rPr>
              <w:t>140</w:t>
            </w:r>
            <w:r w:rsidR="00594553">
              <w:rPr>
                <w:rFonts w:cs="Times New Roman"/>
                <w:sz w:val="20"/>
                <w:szCs w:val="20"/>
              </w:rPr>
              <w:t> </w:t>
            </w:r>
            <w:r w:rsidRPr="00025D1F">
              <w:rPr>
                <w:rFonts w:cs="Times New Roman"/>
                <w:sz w:val="20"/>
                <w:szCs w:val="20"/>
              </w:rPr>
              <w:t>000</w:t>
            </w:r>
            <w:r w:rsidR="00594553">
              <w:rPr>
                <w:rFonts w:cs="Times New Roman"/>
                <w:sz w:val="20"/>
                <w:szCs w:val="20"/>
              </w:rPr>
              <w:t xml:space="preserve">, OCTA līdzekļi </w:t>
            </w:r>
          </w:p>
          <w:p w:rsidR="00B25FBB" w:rsidRPr="00025D1F" w:rsidRDefault="00B25FBB" w:rsidP="00E37A06">
            <w:pPr>
              <w:jc w:val="center"/>
              <w:rPr>
                <w:rFonts w:cs="Times New Roman"/>
                <w:sz w:val="20"/>
                <w:szCs w:val="20"/>
              </w:rPr>
            </w:pPr>
            <w:r>
              <w:rPr>
                <w:rFonts w:cs="Times New Roman"/>
                <w:sz w:val="20"/>
                <w:szCs w:val="20"/>
              </w:rPr>
              <w:t>(</w:t>
            </w:r>
            <w:r w:rsidRPr="00B65DF9">
              <w:rPr>
                <w:rFonts w:cs="Times New Roman"/>
                <w:sz w:val="20"/>
                <w:szCs w:val="20"/>
              </w:rPr>
              <w:t>06.01.00 “</w:t>
            </w:r>
            <w:proofErr w:type="spellStart"/>
            <w:r w:rsidR="0023391F" w:rsidRPr="0023391F">
              <w:rPr>
                <w:rFonts w:cs="Times New Roman"/>
                <w:sz w:val="20"/>
                <w:szCs w:val="20"/>
              </w:rPr>
              <w:t>Iekšlietu</w:t>
            </w:r>
            <w:proofErr w:type="spellEnd"/>
            <w:r w:rsidR="0023391F" w:rsidRPr="0023391F">
              <w:rPr>
                <w:rFonts w:cs="Times New Roman"/>
                <w:sz w:val="20"/>
                <w:szCs w:val="20"/>
              </w:rPr>
              <w:t xml:space="preserve"> ministrijas vienotā sakaru un informācijas sistēma</w:t>
            </w:r>
            <w:r w:rsidRPr="00B65DF9">
              <w:rPr>
                <w:rFonts w:cs="Times New Roman"/>
                <w:sz w:val="20"/>
                <w:szCs w:val="20"/>
              </w:rPr>
              <w:t>”</w:t>
            </w:r>
            <w:r>
              <w:rPr>
                <w:rFonts w:cs="Times New Roman"/>
                <w:sz w:val="20"/>
                <w:szCs w:val="20"/>
              </w:rPr>
              <w:t>)</w:t>
            </w:r>
          </w:p>
        </w:tc>
        <w:tc>
          <w:tcPr>
            <w:tcW w:w="1417" w:type="dxa"/>
            <w:shd w:val="clear" w:color="auto" w:fill="DFE4DA" w:themeFill="text2" w:themeFillTint="33"/>
          </w:tcPr>
          <w:p w:rsidR="001F7AD8" w:rsidRDefault="00030AEC" w:rsidP="00E37A06">
            <w:pPr>
              <w:jc w:val="center"/>
              <w:rPr>
                <w:rFonts w:cs="Times New Roman"/>
                <w:sz w:val="20"/>
                <w:szCs w:val="20"/>
              </w:rPr>
            </w:pPr>
            <w:r w:rsidRPr="00025D1F">
              <w:rPr>
                <w:rFonts w:cs="Times New Roman"/>
                <w:sz w:val="20"/>
                <w:szCs w:val="20"/>
              </w:rPr>
              <w:t xml:space="preserve">140 000 OCTA līdzekļi </w:t>
            </w:r>
            <w:r w:rsidR="00E35554" w:rsidRPr="00025D1F">
              <w:rPr>
                <w:rFonts w:cs="Times New Roman"/>
                <w:sz w:val="20"/>
                <w:szCs w:val="20"/>
              </w:rPr>
              <w:t>vai valsts budžets</w:t>
            </w:r>
          </w:p>
          <w:p w:rsidR="00425E03" w:rsidRPr="00025D1F" w:rsidRDefault="00425E03" w:rsidP="00E37A06">
            <w:pPr>
              <w:jc w:val="center"/>
              <w:rPr>
                <w:rFonts w:cs="Times New Roman"/>
                <w:sz w:val="20"/>
                <w:szCs w:val="20"/>
              </w:rPr>
            </w:pPr>
            <w:r>
              <w:rPr>
                <w:rFonts w:cs="Times New Roman"/>
                <w:sz w:val="20"/>
                <w:szCs w:val="20"/>
              </w:rPr>
              <w:t>(06.01.00 “</w:t>
            </w:r>
            <w:proofErr w:type="spellStart"/>
            <w:r w:rsidR="0023391F" w:rsidRPr="0023391F">
              <w:rPr>
                <w:rFonts w:cs="Times New Roman"/>
                <w:sz w:val="20"/>
                <w:szCs w:val="20"/>
              </w:rPr>
              <w:t>Iekšlietu</w:t>
            </w:r>
            <w:proofErr w:type="spellEnd"/>
            <w:r w:rsidR="0023391F" w:rsidRPr="0023391F">
              <w:rPr>
                <w:rFonts w:cs="Times New Roman"/>
                <w:sz w:val="20"/>
                <w:szCs w:val="20"/>
              </w:rPr>
              <w:t xml:space="preserve"> ministrijas vienotā sakaru un informācijas sistēma</w:t>
            </w:r>
            <w:r w:rsidRPr="00025D1F">
              <w:rPr>
                <w:rFonts w:cs="Times New Roman"/>
                <w:sz w:val="20"/>
                <w:szCs w:val="20"/>
              </w:rPr>
              <w:t>”)</w:t>
            </w:r>
          </w:p>
        </w:tc>
      </w:tr>
      <w:tr w:rsidR="001F7AD8" w:rsidTr="009D1429">
        <w:trPr>
          <w:jc w:val="center"/>
        </w:trPr>
        <w:tc>
          <w:tcPr>
            <w:tcW w:w="2409" w:type="dxa"/>
          </w:tcPr>
          <w:p w:rsidR="001F7AD8" w:rsidRPr="00025D1F" w:rsidRDefault="00030AEC" w:rsidP="001F7AD8">
            <w:pPr>
              <w:jc w:val="both"/>
              <w:rPr>
                <w:rFonts w:cs="Times New Roman"/>
                <w:sz w:val="20"/>
                <w:szCs w:val="20"/>
              </w:rPr>
            </w:pPr>
            <w:r w:rsidRPr="00025D1F">
              <w:rPr>
                <w:rFonts w:cs="Times New Roman"/>
                <w:sz w:val="20"/>
                <w:szCs w:val="20"/>
              </w:rPr>
              <w:t>3.1.4.</w:t>
            </w:r>
          </w:p>
          <w:p w:rsidR="00030AEC" w:rsidRPr="00025D1F" w:rsidRDefault="00DC0FE8" w:rsidP="001F7AD8">
            <w:pPr>
              <w:jc w:val="both"/>
              <w:rPr>
                <w:rFonts w:cs="Times New Roman"/>
                <w:sz w:val="20"/>
                <w:szCs w:val="20"/>
              </w:rPr>
            </w:pPr>
            <w:r>
              <w:rPr>
                <w:rFonts w:cs="Times New Roman"/>
                <w:sz w:val="20"/>
                <w:szCs w:val="20"/>
              </w:rPr>
              <w:t>6</w:t>
            </w:r>
            <w:r w:rsidR="00030AEC" w:rsidRPr="00025D1F">
              <w:rPr>
                <w:rFonts w:cs="Times New Roman"/>
                <w:sz w:val="20"/>
                <w:szCs w:val="20"/>
              </w:rPr>
              <w:t xml:space="preserve">. </w:t>
            </w:r>
            <w:r w:rsidR="00DE732E" w:rsidRPr="00DE732E">
              <w:rPr>
                <w:rFonts w:eastAsia="Calibri" w:cs="Times New Roman"/>
                <w:bCs/>
                <w:color w:val="000000" w:themeColor="text1"/>
                <w:sz w:val="20"/>
                <w:szCs w:val="20"/>
              </w:rPr>
              <w:t>Veikt stacionāro tehnisko līdzekļu (</w:t>
            </w:r>
            <w:proofErr w:type="spellStart"/>
            <w:r w:rsidR="00DE732E" w:rsidRPr="00DE732E">
              <w:rPr>
                <w:rFonts w:eastAsia="Calibri" w:cs="Times New Roman"/>
                <w:bCs/>
                <w:color w:val="000000" w:themeColor="text1"/>
                <w:sz w:val="20"/>
                <w:szCs w:val="20"/>
              </w:rPr>
              <w:t>fotoiekārtu</w:t>
            </w:r>
            <w:proofErr w:type="spellEnd"/>
            <w:r w:rsidR="00DE732E" w:rsidRPr="00DE732E">
              <w:rPr>
                <w:rFonts w:eastAsia="Calibri" w:cs="Times New Roman"/>
                <w:bCs/>
                <w:color w:val="000000" w:themeColor="text1"/>
                <w:sz w:val="20"/>
                <w:szCs w:val="20"/>
              </w:rPr>
              <w:t xml:space="preserve"> vai </w:t>
            </w:r>
            <w:r w:rsidR="00DE732E" w:rsidRPr="00DE732E">
              <w:rPr>
                <w:rFonts w:eastAsia="Calibri" w:cs="Times New Roman"/>
                <w:bCs/>
                <w:color w:val="000000" w:themeColor="text1"/>
                <w:sz w:val="20"/>
                <w:szCs w:val="20"/>
              </w:rPr>
              <w:lastRenderedPageBreak/>
              <w:t>vide</w:t>
            </w:r>
            <w:r w:rsidR="00DE732E">
              <w:rPr>
                <w:rFonts w:eastAsia="Calibri" w:cs="Times New Roman"/>
                <w:bCs/>
                <w:color w:val="000000" w:themeColor="text1"/>
                <w:sz w:val="20"/>
                <w:szCs w:val="20"/>
              </w:rPr>
              <w:t>oiekārtu) iegādi un uzstādīšanu</w:t>
            </w:r>
            <w:r w:rsidR="00030AEC" w:rsidRPr="00025D1F">
              <w:rPr>
                <w:rFonts w:eastAsia="Calibri" w:cs="Times New Roman"/>
                <w:bCs/>
                <w:color w:val="000000" w:themeColor="text1"/>
                <w:sz w:val="20"/>
                <w:szCs w:val="20"/>
              </w:rPr>
              <w:t xml:space="preserve">, neapturot </w:t>
            </w:r>
            <w:r w:rsidR="005A6F6A" w:rsidRPr="005A6F6A">
              <w:rPr>
                <w:rFonts w:eastAsia="Calibri" w:cs="Times New Roman"/>
                <w:bCs/>
                <w:color w:val="000000" w:themeColor="text1"/>
                <w:sz w:val="20"/>
                <w:szCs w:val="20"/>
              </w:rPr>
              <w:t>TL</w:t>
            </w:r>
            <w:r w:rsidR="00030AEC" w:rsidRPr="00025D1F">
              <w:rPr>
                <w:rFonts w:eastAsia="Calibri" w:cs="Times New Roman"/>
                <w:bCs/>
                <w:color w:val="000000" w:themeColor="text1"/>
                <w:sz w:val="20"/>
                <w:szCs w:val="20"/>
              </w:rPr>
              <w:t>.</w:t>
            </w:r>
          </w:p>
          <w:p w:rsidR="00030AEC" w:rsidRPr="00025D1F" w:rsidRDefault="00030AEC" w:rsidP="001F7AD8">
            <w:pPr>
              <w:jc w:val="both"/>
              <w:rPr>
                <w:rFonts w:cs="Times New Roman"/>
                <w:sz w:val="20"/>
                <w:szCs w:val="20"/>
              </w:rPr>
            </w:pPr>
          </w:p>
        </w:tc>
        <w:tc>
          <w:tcPr>
            <w:tcW w:w="1418" w:type="dxa"/>
          </w:tcPr>
          <w:p w:rsidR="00030AEC" w:rsidRPr="00025D1F" w:rsidRDefault="00EA7E99" w:rsidP="00E37A06">
            <w:pPr>
              <w:jc w:val="center"/>
              <w:rPr>
                <w:rFonts w:cs="Times New Roman"/>
                <w:sz w:val="20"/>
                <w:szCs w:val="20"/>
              </w:rPr>
            </w:pPr>
            <w:r w:rsidRPr="00025D1F">
              <w:rPr>
                <w:rFonts w:cs="Times New Roman"/>
                <w:sz w:val="20"/>
                <w:szCs w:val="20"/>
              </w:rPr>
              <w:lastRenderedPageBreak/>
              <w:t>1 440 878</w:t>
            </w:r>
          </w:p>
          <w:p w:rsidR="00EA7E99" w:rsidRPr="00025D1F" w:rsidRDefault="00EA7E99" w:rsidP="00E37A06">
            <w:pPr>
              <w:jc w:val="center"/>
              <w:rPr>
                <w:rFonts w:cs="Times New Roman"/>
                <w:sz w:val="20"/>
                <w:szCs w:val="20"/>
              </w:rPr>
            </w:pPr>
          </w:p>
          <w:p w:rsidR="00EA7E99" w:rsidRDefault="00EA7E99" w:rsidP="00E37A06">
            <w:pPr>
              <w:jc w:val="center"/>
              <w:rPr>
                <w:rFonts w:cs="Times New Roman"/>
                <w:sz w:val="20"/>
                <w:szCs w:val="20"/>
              </w:rPr>
            </w:pPr>
            <w:r w:rsidRPr="00025D1F">
              <w:rPr>
                <w:rFonts w:cs="Times New Roman"/>
                <w:sz w:val="20"/>
                <w:szCs w:val="20"/>
              </w:rPr>
              <w:lastRenderedPageBreak/>
              <w:t>CSDD dividendes</w:t>
            </w:r>
            <w:r w:rsidR="003A0ACF">
              <w:rPr>
                <w:rStyle w:val="FootnoteReference"/>
                <w:rFonts w:cs="Times New Roman"/>
                <w:sz w:val="20"/>
                <w:szCs w:val="20"/>
              </w:rPr>
              <w:footnoteReference w:id="25"/>
            </w:r>
          </w:p>
          <w:p w:rsidR="00B65DF9" w:rsidRPr="00025D1F" w:rsidRDefault="00B65DF9" w:rsidP="00B65DF9">
            <w:pPr>
              <w:jc w:val="center"/>
              <w:rPr>
                <w:rFonts w:cs="Times New Roman"/>
                <w:sz w:val="20"/>
                <w:szCs w:val="20"/>
              </w:rPr>
            </w:pPr>
          </w:p>
        </w:tc>
        <w:tc>
          <w:tcPr>
            <w:tcW w:w="1559" w:type="dxa"/>
          </w:tcPr>
          <w:p w:rsidR="001F7AD8" w:rsidRPr="00025D1F" w:rsidRDefault="001F7AD8" w:rsidP="00E37A06">
            <w:pPr>
              <w:jc w:val="center"/>
              <w:rPr>
                <w:rFonts w:cs="Times New Roman"/>
                <w:sz w:val="20"/>
                <w:szCs w:val="20"/>
              </w:rPr>
            </w:pPr>
          </w:p>
        </w:tc>
        <w:tc>
          <w:tcPr>
            <w:tcW w:w="1418" w:type="dxa"/>
            <w:gridSpan w:val="2"/>
          </w:tcPr>
          <w:p w:rsidR="00EA7E99" w:rsidRPr="00025D1F" w:rsidRDefault="00EA7E99" w:rsidP="00E37A06">
            <w:pPr>
              <w:jc w:val="center"/>
              <w:rPr>
                <w:rFonts w:cs="Times New Roman"/>
                <w:sz w:val="20"/>
                <w:szCs w:val="20"/>
              </w:rPr>
            </w:pPr>
            <w:r w:rsidRPr="00025D1F">
              <w:rPr>
                <w:rFonts w:cs="Times New Roman"/>
                <w:sz w:val="20"/>
                <w:szCs w:val="20"/>
              </w:rPr>
              <w:t>2 881 757</w:t>
            </w:r>
          </w:p>
          <w:p w:rsidR="00EA7E99" w:rsidRPr="00025D1F" w:rsidRDefault="00EA7E99" w:rsidP="00E37A06">
            <w:pPr>
              <w:jc w:val="center"/>
              <w:rPr>
                <w:rFonts w:cs="Times New Roman"/>
                <w:sz w:val="20"/>
                <w:szCs w:val="20"/>
              </w:rPr>
            </w:pPr>
          </w:p>
          <w:p w:rsidR="001F7AD8" w:rsidRPr="003A0ACF" w:rsidRDefault="00EA7E99" w:rsidP="00E37A06">
            <w:pPr>
              <w:jc w:val="center"/>
              <w:rPr>
                <w:rFonts w:cs="Times New Roman"/>
                <w:sz w:val="20"/>
                <w:szCs w:val="20"/>
                <w:vertAlign w:val="superscript"/>
              </w:rPr>
            </w:pPr>
            <w:r w:rsidRPr="00025D1F">
              <w:rPr>
                <w:rFonts w:cs="Times New Roman"/>
                <w:sz w:val="20"/>
                <w:szCs w:val="20"/>
              </w:rPr>
              <w:t>CSDD dividendes</w:t>
            </w:r>
            <w:r w:rsidR="003A0ACF">
              <w:rPr>
                <w:rFonts w:cs="Times New Roman"/>
                <w:sz w:val="20"/>
                <w:szCs w:val="20"/>
                <w:vertAlign w:val="superscript"/>
              </w:rPr>
              <w:t>24</w:t>
            </w:r>
          </w:p>
          <w:p w:rsidR="00B65DF9" w:rsidRPr="00025D1F" w:rsidRDefault="00B65DF9" w:rsidP="00E37A06">
            <w:pPr>
              <w:jc w:val="center"/>
              <w:rPr>
                <w:rFonts w:cs="Times New Roman"/>
                <w:sz w:val="20"/>
                <w:szCs w:val="20"/>
              </w:rPr>
            </w:pPr>
          </w:p>
        </w:tc>
        <w:tc>
          <w:tcPr>
            <w:tcW w:w="1417" w:type="dxa"/>
            <w:gridSpan w:val="2"/>
          </w:tcPr>
          <w:p w:rsidR="001F7AD8" w:rsidRPr="00025D1F" w:rsidRDefault="001F7AD8" w:rsidP="00E37A06">
            <w:pPr>
              <w:jc w:val="center"/>
              <w:rPr>
                <w:rFonts w:cs="Times New Roman"/>
                <w:sz w:val="20"/>
                <w:szCs w:val="20"/>
              </w:rPr>
            </w:pPr>
          </w:p>
        </w:tc>
        <w:tc>
          <w:tcPr>
            <w:tcW w:w="1418" w:type="dxa"/>
            <w:gridSpan w:val="2"/>
          </w:tcPr>
          <w:p w:rsidR="001F7AD8" w:rsidRPr="00025D1F" w:rsidRDefault="001F7AD8" w:rsidP="00E37A06">
            <w:pPr>
              <w:jc w:val="center"/>
              <w:rPr>
                <w:rFonts w:cs="Times New Roman"/>
                <w:sz w:val="20"/>
                <w:szCs w:val="20"/>
              </w:rPr>
            </w:pPr>
          </w:p>
        </w:tc>
        <w:tc>
          <w:tcPr>
            <w:tcW w:w="1559" w:type="dxa"/>
            <w:gridSpan w:val="3"/>
          </w:tcPr>
          <w:p w:rsidR="001F7AD8" w:rsidRPr="00025D1F" w:rsidRDefault="001F7AD8" w:rsidP="00E37A06">
            <w:pPr>
              <w:jc w:val="center"/>
              <w:rPr>
                <w:rFonts w:cs="Times New Roman"/>
                <w:sz w:val="20"/>
                <w:szCs w:val="20"/>
              </w:rPr>
            </w:pPr>
          </w:p>
        </w:tc>
        <w:tc>
          <w:tcPr>
            <w:tcW w:w="1417" w:type="dxa"/>
            <w:gridSpan w:val="2"/>
          </w:tcPr>
          <w:p w:rsidR="001F7AD8" w:rsidRPr="00025D1F" w:rsidRDefault="001F7AD8" w:rsidP="00E37A06">
            <w:pPr>
              <w:jc w:val="center"/>
              <w:rPr>
                <w:rFonts w:cs="Times New Roman"/>
                <w:sz w:val="20"/>
                <w:szCs w:val="20"/>
              </w:rPr>
            </w:pPr>
          </w:p>
        </w:tc>
        <w:tc>
          <w:tcPr>
            <w:tcW w:w="1560" w:type="dxa"/>
            <w:gridSpan w:val="3"/>
          </w:tcPr>
          <w:p w:rsidR="001F7AD8" w:rsidRPr="00025D1F" w:rsidRDefault="001F7AD8" w:rsidP="00E37A06">
            <w:pPr>
              <w:jc w:val="center"/>
              <w:rPr>
                <w:rFonts w:cs="Times New Roman"/>
                <w:sz w:val="20"/>
                <w:szCs w:val="20"/>
              </w:rPr>
            </w:pPr>
          </w:p>
        </w:tc>
        <w:tc>
          <w:tcPr>
            <w:tcW w:w="1417" w:type="dxa"/>
            <w:shd w:val="clear" w:color="auto" w:fill="DFE4DA" w:themeFill="text2" w:themeFillTint="33"/>
          </w:tcPr>
          <w:p w:rsidR="001F7AD8" w:rsidRPr="00025D1F" w:rsidRDefault="00393E37" w:rsidP="00E37A06">
            <w:pPr>
              <w:jc w:val="center"/>
              <w:rPr>
                <w:rFonts w:cs="Times New Roman"/>
                <w:sz w:val="20"/>
                <w:szCs w:val="20"/>
              </w:rPr>
            </w:pPr>
            <w:r>
              <w:rPr>
                <w:rFonts w:cs="Times New Roman"/>
                <w:sz w:val="20"/>
                <w:szCs w:val="20"/>
              </w:rPr>
              <w:t>4 322 635</w:t>
            </w:r>
          </w:p>
          <w:p w:rsidR="00EA7E99" w:rsidRPr="00025D1F" w:rsidRDefault="00EA7E99" w:rsidP="00E37A06">
            <w:pPr>
              <w:jc w:val="center"/>
              <w:rPr>
                <w:rFonts w:cs="Times New Roman"/>
                <w:sz w:val="20"/>
                <w:szCs w:val="20"/>
              </w:rPr>
            </w:pPr>
          </w:p>
          <w:p w:rsidR="00EA7E99" w:rsidRPr="003A0ACF" w:rsidRDefault="00EA7E99" w:rsidP="00E37A06">
            <w:pPr>
              <w:jc w:val="center"/>
              <w:rPr>
                <w:rFonts w:cs="Times New Roman"/>
                <w:sz w:val="20"/>
                <w:szCs w:val="20"/>
                <w:vertAlign w:val="superscript"/>
              </w:rPr>
            </w:pPr>
            <w:r w:rsidRPr="00025D1F">
              <w:rPr>
                <w:rFonts w:cs="Times New Roman"/>
                <w:sz w:val="20"/>
                <w:szCs w:val="20"/>
              </w:rPr>
              <w:t>CSDD dividendes</w:t>
            </w:r>
            <w:r w:rsidR="003A0ACF">
              <w:rPr>
                <w:rFonts w:cs="Times New Roman"/>
                <w:sz w:val="20"/>
                <w:szCs w:val="20"/>
                <w:vertAlign w:val="superscript"/>
              </w:rPr>
              <w:t>24</w:t>
            </w:r>
          </w:p>
        </w:tc>
      </w:tr>
      <w:tr w:rsidR="006A7B47" w:rsidTr="009D1429">
        <w:trPr>
          <w:jc w:val="center"/>
        </w:trPr>
        <w:tc>
          <w:tcPr>
            <w:tcW w:w="2409" w:type="dxa"/>
          </w:tcPr>
          <w:p w:rsidR="006A7B47" w:rsidRDefault="006A7B47" w:rsidP="006A7B47">
            <w:pPr>
              <w:jc w:val="both"/>
              <w:rPr>
                <w:rFonts w:cs="Times New Roman"/>
                <w:sz w:val="20"/>
                <w:szCs w:val="20"/>
              </w:rPr>
            </w:pPr>
            <w:r>
              <w:rPr>
                <w:rFonts w:cs="Times New Roman"/>
                <w:sz w:val="20"/>
                <w:szCs w:val="20"/>
              </w:rPr>
              <w:t>3.1.4.</w:t>
            </w:r>
          </w:p>
          <w:p w:rsidR="006A7B47" w:rsidRPr="00D23634" w:rsidRDefault="00DC0FE8" w:rsidP="006A7B47">
            <w:pPr>
              <w:jc w:val="both"/>
              <w:rPr>
                <w:rFonts w:cs="Times New Roman"/>
                <w:sz w:val="20"/>
                <w:szCs w:val="20"/>
              </w:rPr>
            </w:pPr>
            <w:r>
              <w:rPr>
                <w:rFonts w:cs="Times New Roman"/>
                <w:sz w:val="20"/>
                <w:szCs w:val="20"/>
              </w:rPr>
              <w:t>7</w:t>
            </w:r>
            <w:r w:rsidR="006A7B47">
              <w:rPr>
                <w:rFonts w:cs="Times New Roman"/>
                <w:sz w:val="20"/>
                <w:szCs w:val="20"/>
              </w:rPr>
              <w:t xml:space="preserve">. </w:t>
            </w:r>
            <w:r w:rsidR="006A7B47">
              <w:rPr>
                <w:rFonts w:eastAsia="Times New Roman" w:cs="Times New Roman"/>
                <w:sz w:val="20"/>
                <w:szCs w:val="20"/>
                <w:lang w:eastAsia="lv-LV"/>
              </w:rPr>
              <w:t>Veikt p</w:t>
            </w:r>
            <w:r w:rsidR="006A7B47" w:rsidRPr="005B0183">
              <w:rPr>
                <w:rFonts w:eastAsia="Times New Roman" w:cs="Times New Roman"/>
                <w:sz w:val="20"/>
                <w:szCs w:val="20"/>
                <w:lang w:eastAsia="lv-LV"/>
              </w:rPr>
              <w:t>ortatīvo mērierīču alkohola koncentrācijas noteikšanai izelpojamā gaisā</w:t>
            </w:r>
            <w:r w:rsidR="006A7B47">
              <w:rPr>
                <w:rFonts w:eastAsia="Times New Roman" w:cs="Times New Roman"/>
                <w:color w:val="000000"/>
                <w:sz w:val="20"/>
                <w:szCs w:val="20"/>
                <w:lang w:eastAsia="lv-LV"/>
              </w:rPr>
              <w:t xml:space="preserve"> iegādi.</w:t>
            </w:r>
          </w:p>
        </w:tc>
        <w:tc>
          <w:tcPr>
            <w:tcW w:w="1418" w:type="dxa"/>
          </w:tcPr>
          <w:p w:rsidR="006A7B47" w:rsidRPr="006A7B47" w:rsidRDefault="006A7B47" w:rsidP="00E37A06">
            <w:pPr>
              <w:jc w:val="center"/>
              <w:rPr>
                <w:rFonts w:cs="Times New Roman"/>
                <w:sz w:val="20"/>
                <w:szCs w:val="20"/>
                <w:highlight w:val="yellow"/>
              </w:rPr>
            </w:pPr>
          </w:p>
        </w:tc>
        <w:tc>
          <w:tcPr>
            <w:tcW w:w="1559" w:type="dxa"/>
            <w:shd w:val="clear" w:color="auto" w:fill="auto"/>
          </w:tcPr>
          <w:p w:rsidR="0019748E" w:rsidRDefault="0019748E" w:rsidP="0019748E">
            <w:pPr>
              <w:jc w:val="center"/>
              <w:rPr>
                <w:rFonts w:cs="Times New Roman"/>
                <w:sz w:val="20"/>
                <w:szCs w:val="20"/>
              </w:rPr>
            </w:pPr>
            <w:r w:rsidRPr="0019748E">
              <w:rPr>
                <w:rFonts w:cs="Times New Roman"/>
                <w:sz w:val="20"/>
                <w:szCs w:val="20"/>
              </w:rPr>
              <w:t>27 000 OCTA</w:t>
            </w:r>
            <w:r w:rsidRPr="00025D1F">
              <w:rPr>
                <w:rFonts w:cs="Times New Roman"/>
                <w:sz w:val="20"/>
                <w:szCs w:val="20"/>
              </w:rPr>
              <w:t xml:space="preserve"> līdzekļi vai valsts budžets</w:t>
            </w:r>
          </w:p>
          <w:p w:rsidR="006A7B47" w:rsidRPr="006A7B47" w:rsidRDefault="0019748E" w:rsidP="0019748E">
            <w:pPr>
              <w:jc w:val="center"/>
              <w:rPr>
                <w:rFonts w:cs="Times New Roman"/>
                <w:sz w:val="20"/>
                <w:szCs w:val="20"/>
                <w:highlight w:val="yellow"/>
              </w:rPr>
            </w:pPr>
            <w:r>
              <w:rPr>
                <w:rFonts w:cs="Times New Roman"/>
                <w:sz w:val="20"/>
                <w:szCs w:val="20"/>
              </w:rPr>
              <w:t>(06.01.00 “Valsts p</w:t>
            </w:r>
            <w:r w:rsidRPr="00025D1F">
              <w:rPr>
                <w:rFonts w:cs="Times New Roman"/>
                <w:sz w:val="20"/>
                <w:szCs w:val="20"/>
              </w:rPr>
              <w:t>olicija”)</w:t>
            </w:r>
          </w:p>
        </w:tc>
        <w:tc>
          <w:tcPr>
            <w:tcW w:w="1418" w:type="dxa"/>
            <w:gridSpan w:val="2"/>
          </w:tcPr>
          <w:p w:rsidR="006A7B47" w:rsidRPr="00025D1F" w:rsidRDefault="006A7B47" w:rsidP="00E37A06">
            <w:pPr>
              <w:jc w:val="center"/>
              <w:rPr>
                <w:rFonts w:cs="Times New Roman"/>
                <w:sz w:val="20"/>
                <w:szCs w:val="20"/>
              </w:rPr>
            </w:pPr>
          </w:p>
        </w:tc>
        <w:tc>
          <w:tcPr>
            <w:tcW w:w="1417" w:type="dxa"/>
            <w:gridSpan w:val="2"/>
          </w:tcPr>
          <w:p w:rsidR="006A7B47" w:rsidRDefault="000D4062" w:rsidP="00E37A06">
            <w:pPr>
              <w:jc w:val="center"/>
              <w:rPr>
                <w:rFonts w:cs="Times New Roman"/>
                <w:sz w:val="20"/>
                <w:szCs w:val="20"/>
              </w:rPr>
            </w:pPr>
            <w:r w:rsidRPr="00025D1F">
              <w:rPr>
                <w:rFonts w:cs="Times New Roman"/>
                <w:sz w:val="20"/>
                <w:szCs w:val="20"/>
              </w:rPr>
              <w:t>43 000</w:t>
            </w:r>
            <w:r w:rsidR="006A7B47" w:rsidRPr="00025D1F">
              <w:rPr>
                <w:rFonts w:cs="Times New Roman"/>
                <w:sz w:val="20"/>
                <w:szCs w:val="20"/>
              </w:rPr>
              <w:t xml:space="preserve"> OCTA līdzekļi vai valsts budžets</w:t>
            </w:r>
          </w:p>
          <w:p w:rsidR="00425E03" w:rsidRPr="00025D1F" w:rsidRDefault="00425E03" w:rsidP="00E37A06">
            <w:pPr>
              <w:jc w:val="center"/>
              <w:rPr>
                <w:rFonts w:cs="Times New Roman"/>
                <w:sz w:val="20"/>
                <w:szCs w:val="20"/>
              </w:rPr>
            </w:pPr>
            <w:r>
              <w:rPr>
                <w:rFonts w:cs="Times New Roman"/>
                <w:sz w:val="20"/>
                <w:szCs w:val="20"/>
              </w:rPr>
              <w:t>(06.01.00 “Valsts p</w:t>
            </w:r>
            <w:r w:rsidRPr="00025D1F">
              <w:rPr>
                <w:rFonts w:cs="Times New Roman"/>
                <w:sz w:val="20"/>
                <w:szCs w:val="20"/>
              </w:rPr>
              <w:t>olicija”)</w:t>
            </w:r>
          </w:p>
        </w:tc>
        <w:tc>
          <w:tcPr>
            <w:tcW w:w="1418" w:type="dxa"/>
            <w:gridSpan w:val="2"/>
          </w:tcPr>
          <w:p w:rsidR="006A7B47" w:rsidRPr="00025D1F" w:rsidRDefault="006A7B47" w:rsidP="00E37A06">
            <w:pPr>
              <w:jc w:val="center"/>
              <w:rPr>
                <w:rFonts w:cs="Times New Roman"/>
                <w:sz w:val="20"/>
                <w:szCs w:val="20"/>
              </w:rPr>
            </w:pPr>
          </w:p>
        </w:tc>
        <w:tc>
          <w:tcPr>
            <w:tcW w:w="1559" w:type="dxa"/>
            <w:gridSpan w:val="3"/>
          </w:tcPr>
          <w:p w:rsidR="006A7B47" w:rsidRPr="00025D1F" w:rsidRDefault="006A7B47" w:rsidP="00E37A06">
            <w:pPr>
              <w:jc w:val="center"/>
              <w:rPr>
                <w:rFonts w:cs="Times New Roman"/>
                <w:sz w:val="20"/>
                <w:szCs w:val="20"/>
              </w:rPr>
            </w:pPr>
          </w:p>
        </w:tc>
        <w:tc>
          <w:tcPr>
            <w:tcW w:w="1417" w:type="dxa"/>
            <w:gridSpan w:val="2"/>
          </w:tcPr>
          <w:p w:rsidR="006A7B47" w:rsidRPr="00025D1F" w:rsidRDefault="006A7B47" w:rsidP="00E37A06">
            <w:pPr>
              <w:jc w:val="center"/>
              <w:rPr>
                <w:rFonts w:cs="Times New Roman"/>
                <w:sz w:val="20"/>
                <w:szCs w:val="20"/>
              </w:rPr>
            </w:pPr>
          </w:p>
        </w:tc>
        <w:tc>
          <w:tcPr>
            <w:tcW w:w="1560" w:type="dxa"/>
            <w:gridSpan w:val="3"/>
          </w:tcPr>
          <w:p w:rsidR="006A7B47" w:rsidRDefault="000D4062" w:rsidP="00E37A06">
            <w:pPr>
              <w:jc w:val="center"/>
              <w:rPr>
                <w:rFonts w:cs="Times New Roman"/>
                <w:sz w:val="20"/>
                <w:szCs w:val="20"/>
              </w:rPr>
            </w:pPr>
            <w:r w:rsidRPr="00025D1F">
              <w:rPr>
                <w:rFonts w:cs="Times New Roman"/>
                <w:sz w:val="20"/>
                <w:szCs w:val="20"/>
              </w:rPr>
              <w:t>43 000 OCTA līdzekļi vai valsts budžets</w:t>
            </w:r>
          </w:p>
          <w:p w:rsidR="00425E03" w:rsidRPr="00025D1F" w:rsidRDefault="00425E03" w:rsidP="00E37A06">
            <w:pPr>
              <w:jc w:val="center"/>
              <w:rPr>
                <w:rFonts w:cs="Times New Roman"/>
                <w:sz w:val="20"/>
                <w:szCs w:val="20"/>
              </w:rPr>
            </w:pPr>
            <w:r>
              <w:rPr>
                <w:rFonts w:cs="Times New Roman"/>
                <w:sz w:val="20"/>
                <w:szCs w:val="20"/>
              </w:rPr>
              <w:t>(06.01.00 “Valsts p</w:t>
            </w:r>
            <w:r w:rsidRPr="00025D1F">
              <w:rPr>
                <w:rFonts w:cs="Times New Roman"/>
                <w:sz w:val="20"/>
                <w:szCs w:val="20"/>
              </w:rPr>
              <w:t>olicija”)</w:t>
            </w:r>
          </w:p>
        </w:tc>
        <w:tc>
          <w:tcPr>
            <w:tcW w:w="1417" w:type="dxa"/>
            <w:shd w:val="clear" w:color="auto" w:fill="DFE4DA" w:themeFill="text2" w:themeFillTint="33"/>
          </w:tcPr>
          <w:p w:rsidR="006A7B47" w:rsidRPr="009D1429" w:rsidRDefault="0019748E" w:rsidP="00E37A06">
            <w:pPr>
              <w:jc w:val="center"/>
              <w:rPr>
                <w:rFonts w:cs="Times New Roman"/>
                <w:sz w:val="20"/>
                <w:szCs w:val="20"/>
              </w:rPr>
            </w:pPr>
            <w:r w:rsidRPr="009D1429">
              <w:rPr>
                <w:rFonts w:cs="Times New Roman"/>
                <w:sz w:val="20"/>
                <w:szCs w:val="20"/>
              </w:rPr>
              <w:t>113</w:t>
            </w:r>
            <w:r w:rsidR="006A7B47" w:rsidRPr="009D1429">
              <w:rPr>
                <w:rFonts w:cs="Times New Roman"/>
                <w:sz w:val="20"/>
                <w:szCs w:val="20"/>
              </w:rPr>
              <w:t xml:space="preserve"> 000 OCTA līdzekļi vai valsts budžets</w:t>
            </w:r>
          </w:p>
          <w:p w:rsidR="00425E03" w:rsidRPr="009D1429" w:rsidRDefault="00425E03" w:rsidP="00E37A06">
            <w:pPr>
              <w:jc w:val="center"/>
              <w:rPr>
                <w:rFonts w:cs="Times New Roman"/>
                <w:sz w:val="20"/>
                <w:szCs w:val="20"/>
              </w:rPr>
            </w:pPr>
            <w:r w:rsidRPr="009D1429">
              <w:rPr>
                <w:rFonts w:cs="Times New Roman"/>
                <w:sz w:val="20"/>
                <w:szCs w:val="20"/>
              </w:rPr>
              <w:t>(06.01.00 “Valsts policija”)</w:t>
            </w:r>
          </w:p>
        </w:tc>
      </w:tr>
      <w:tr w:rsidR="006A7B47" w:rsidTr="009D1429">
        <w:trPr>
          <w:jc w:val="center"/>
        </w:trPr>
        <w:tc>
          <w:tcPr>
            <w:tcW w:w="2409" w:type="dxa"/>
          </w:tcPr>
          <w:p w:rsidR="006A7B47" w:rsidRPr="00025D1F" w:rsidRDefault="006A7B47" w:rsidP="006A7B47">
            <w:pPr>
              <w:jc w:val="both"/>
              <w:rPr>
                <w:rFonts w:cs="Times New Roman"/>
                <w:sz w:val="20"/>
                <w:szCs w:val="20"/>
              </w:rPr>
            </w:pPr>
            <w:r w:rsidRPr="00025D1F">
              <w:rPr>
                <w:rFonts w:cs="Times New Roman"/>
                <w:sz w:val="20"/>
                <w:szCs w:val="20"/>
              </w:rPr>
              <w:t>3.1.4.</w:t>
            </w:r>
          </w:p>
          <w:p w:rsidR="006A7B47" w:rsidRPr="00025D1F" w:rsidRDefault="00DC0FE8" w:rsidP="006A7B47">
            <w:pPr>
              <w:jc w:val="both"/>
              <w:rPr>
                <w:rFonts w:cs="Times New Roman"/>
                <w:sz w:val="20"/>
                <w:szCs w:val="20"/>
              </w:rPr>
            </w:pPr>
            <w:r>
              <w:rPr>
                <w:rFonts w:cs="Times New Roman"/>
                <w:sz w:val="20"/>
                <w:szCs w:val="20"/>
              </w:rPr>
              <w:t>8</w:t>
            </w:r>
            <w:r w:rsidR="006A7B47" w:rsidRPr="00025D1F">
              <w:rPr>
                <w:rFonts w:cs="Times New Roman"/>
                <w:sz w:val="20"/>
                <w:szCs w:val="20"/>
              </w:rPr>
              <w:t xml:space="preserve">. </w:t>
            </w:r>
            <w:r w:rsidR="006A7B47" w:rsidRPr="00025D1F">
              <w:rPr>
                <w:rFonts w:eastAsia="Times New Roman" w:cs="Times New Roman"/>
                <w:sz w:val="20"/>
                <w:szCs w:val="20"/>
                <w:lang w:eastAsia="lv-LV"/>
              </w:rPr>
              <w:t>Veikt portatīvo mērierīču alkohola koncentrācijas noteikšanai izelpojamā gaisā iemušu iegādi.</w:t>
            </w:r>
          </w:p>
        </w:tc>
        <w:tc>
          <w:tcPr>
            <w:tcW w:w="1418" w:type="dxa"/>
          </w:tcPr>
          <w:p w:rsidR="006A7B47" w:rsidRPr="00C737EC" w:rsidRDefault="006A7B47" w:rsidP="00E37A06">
            <w:pPr>
              <w:jc w:val="center"/>
              <w:rPr>
                <w:rFonts w:cs="Times New Roman"/>
                <w:sz w:val="20"/>
                <w:szCs w:val="20"/>
              </w:rPr>
            </w:pPr>
          </w:p>
        </w:tc>
        <w:tc>
          <w:tcPr>
            <w:tcW w:w="1559" w:type="dxa"/>
          </w:tcPr>
          <w:p w:rsidR="006A7B47" w:rsidRPr="00C737EC" w:rsidRDefault="009A1077" w:rsidP="00E37A06">
            <w:pPr>
              <w:jc w:val="center"/>
              <w:rPr>
                <w:rFonts w:cs="Times New Roman"/>
                <w:sz w:val="20"/>
                <w:szCs w:val="20"/>
              </w:rPr>
            </w:pPr>
            <w:r w:rsidRPr="00C737EC">
              <w:rPr>
                <w:rFonts w:cs="Times New Roman"/>
                <w:sz w:val="20"/>
                <w:szCs w:val="20"/>
              </w:rPr>
              <w:t>40 000 OCTA līdzekļi vai valsts budžets (06.01.00 “Valsts policija”)</w:t>
            </w:r>
          </w:p>
        </w:tc>
        <w:tc>
          <w:tcPr>
            <w:tcW w:w="1418" w:type="dxa"/>
            <w:gridSpan w:val="2"/>
          </w:tcPr>
          <w:p w:rsidR="006A7B47" w:rsidRPr="00C737EC" w:rsidRDefault="006A7B47" w:rsidP="00E37A06">
            <w:pPr>
              <w:jc w:val="center"/>
              <w:rPr>
                <w:rFonts w:cs="Times New Roman"/>
                <w:sz w:val="20"/>
                <w:szCs w:val="20"/>
              </w:rPr>
            </w:pPr>
          </w:p>
        </w:tc>
        <w:tc>
          <w:tcPr>
            <w:tcW w:w="1417" w:type="dxa"/>
            <w:gridSpan w:val="2"/>
          </w:tcPr>
          <w:p w:rsidR="006A7B47" w:rsidRPr="00C737EC" w:rsidRDefault="006A7B47" w:rsidP="00E37A06">
            <w:pPr>
              <w:jc w:val="center"/>
              <w:rPr>
                <w:rFonts w:cs="Times New Roman"/>
                <w:sz w:val="20"/>
                <w:szCs w:val="20"/>
              </w:rPr>
            </w:pPr>
            <w:r w:rsidRPr="00C737EC">
              <w:rPr>
                <w:rFonts w:cs="Times New Roman"/>
                <w:sz w:val="20"/>
                <w:szCs w:val="20"/>
              </w:rPr>
              <w:t xml:space="preserve">40 000 OCTA līdzekļi vai valsts budžets </w:t>
            </w:r>
            <w:r w:rsidR="00425E03" w:rsidRPr="00C737EC">
              <w:rPr>
                <w:rFonts w:cs="Times New Roman"/>
                <w:sz w:val="20"/>
                <w:szCs w:val="20"/>
              </w:rPr>
              <w:t>(06.01.00 “Valsts policija”)</w:t>
            </w:r>
          </w:p>
        </w:tc>
        <w:tc>
          <w:tcPr>
            <w:tcW w:w="1418" w:type="dxa"/>
            <w:gridSpan w:val="2"/>
          </w:tcPr>
          <w:p w:rsidR="006A7B47" w:rsidRPr="00C737EC" w:rsidRDefault="006A7B47" w:rsidP="00E37A06">
            <w:pPr>
              <w:jc w:val="center"/>
              <w:rPr>
                <w:rFonts w:cs="Times New Roman"/>
                <w:sz w:val="20"/>
                <w:szCs w:val="20"/>
              </w:rPr>
            </w:pPr>
          </w:p>
        </w:tc>
        <w:tc>
          <w:tcPr>
            <w:tcW w:w="1559" w:type="dxa"/>
            <w:gridSpan w:val="3"/>
          </w:tcPr>
          <w:p w:rsidR="006A7B47" w:rsidRPr="00C737EC" w:rsidRDefault="006A7B47" w:rsidP="00E37A06">
            <w:pPr>
              <w:jc w:val="center"/>
              <w:rPr>
                <w:rFonts w:cs="Times New Roman"/>
                <w:sz w:val="20"/>
                <w:szCs w:val="20"/>
              </w:rPr>
            </w:pPr>
            <w:r w:rsidRPr="00C737EC">
              <w:rPr>
                <w:rFonts w:cs="Times New Roman"/>
                <w:sz w:val="20"/>
                <w:szCs w:val="20"/>
              </w:rPr>
              <w:t xml:space="preserve">40 000 OCTA līdzekļi vai </w:t>
            </w:r>
            <w:r w:rsidR="00C54AE2" w:rsidRPr="00C737EC">
              <w:rPr>
                <w:rFonts w:cs="Times New Roman"/>
                <w:sz w:val="20"/>
                <w:szCs w:val="20"/>
              </w:rPr>
              <w:t xml:space="preserve">valsts budžets </w:t>
            </w:r>
            <w:r w:rsidR="00425E03" w:rsidRPr="00C737EC">
              <w:rPr>
                <w:rFonts w:cs="Times New Roman"/>
                <w:sz w:val="20"/>
                <w:szCs w:val="20"/>
              </w:rPr>
              <w:t>(06.01.00 “Valsts policija”)</w:t>
            </w:r>
          </w:p>
        </w:tc>
        <w:tc>
          <w:tcPr>
            <w:tcW w:w="1417" w:type="dxa"/>
            <w:gridSpan w:val="2"/>
          </w:tcPr>
          <w:p w:rsidR="006A7B47" w:rsidRPr="00C737EC" w:rsidRDefault="006A7B47" w:rsidP="00E37A06">
            <w:pPr>
              <w:jc w:val="center"/>
              <w:rPr>
                <w:rFonts w:cs="Times New Roman"/>
                <w:sz w:val="20"/>
                <w:szCs w:val="20"/>
              </w:rPr>
            </w:pPr>
          </w:p>
        </w:tc>
        <w:tc>
          <w:tcPr>
            <w:tcW w:w="1560" w:type="dxa"/>
            <w:gridSpan w:val="3"/>
          </w:tcPr>
          <w:p w:rsidR="006A7B47" w:rsidRPr="00C737EC" w:rsidRDefault="006A7B47" w:rsidP="00E37A06">
            <w:pPr>
              <w:jc w:val="center"/>
              <w:rPr>
                <w:rFonts w:cs="Times New Roman"/>
                <w:sz w:val="20"/>
                <w:szCs w:val="20"/>
              </w:rPr>
            </w:pPr>
            <w:r w:rsidRPr="00C737EC">
              <w:rPr>
                <w:rFonts w:cs="Times New Roman"/>
                <w:sz w:val="20"/>
                <w:szCs w:val="20"/>
              </w:rPr>
              <w:t xml:space="preserve">40 000 OCTA līdzekļi vai </w:t>
            </w:r>
            <w:r w:rsidR="00C54AE2" w:rsidRPr="00C737EC">
              <w:rPr>
                <w:rFonts w:cs="Times New Roman"/>
                <w:sz w:val="20"/>
                <w:szCs w:val="20"/>
              </w:rPr>
              <w:t xml:space="preserve">valsts budžets </w:t>
            </w:r>
            <w:r w:rsidR="00425E03" w:rsidRPr="00C737EC">
              <w:rPr>
                <w:rFonts w:cs="Times New Roman"/>
                <w:sz w:val="20"/>
                <w:szCs w:val="20"/>
              </w:rPr>
              <w:t>(06.01.00 “Valsts policija”)</w:t>
            </w:r>
          </w:p>
        </w:tc>
        <w:tc>
          <w:tcPr>
            <w:tcW w:w="1417" w:type="dxa"/>
            <w:shd w:val="clear" w:color="auto" w:fill="DFE4DA" w:themeFill="text2" w:themeFillTint="33"/>
          </w:tcPr>
          <w:p w:rsidR="006A7B47" w:rsidRPr="00C737EC" w:rsidRDefault="009A1077" w:rsidP="00E37A06">
            <w:pPr>
              <w:jc w:val="center"/>
              <w:rPr>
                <w:rFonts w:cs="Times New Roman"/>
                <w:sz w:val="20"/>
                <w:szCs w:val="20"/>
              </w:rPr>
            </w:pPr>
            <w:r w:rsidRPr="00C737EC">
              <w:rPr>
                <w:rFonts w:cs="Times New Roman"/>
                <w:sz w:val="20"/>
                <w:szCs w:val="20"/>
              </w:rPr>
              <w:t>160 000</w:t>
            </w:r>
            <w:r w:rsidR="006A7B47" w:rsidRPr="00C737EC">
              <w:rPr>
                <w:rFonts w:cs="Times New Roman"/>
                <w:sz w:val="20"/>
                <w:szCs w:val="20"/>
              </w:rPr>
              <w:t xml:space="preserve"> OCTA līdzekļi </w:t>
            </w:r>
            <w:r w:rsidR="00C54AE2" w:rsidRPr="00C737EC">
              <w:rPr>
                <w:rFonts w:cs="Times New Roman"/>
                <w:sz w:val="20"/>
                <w:szCs w:val="20"/>
              </w:rPr>
              <w:t xml:space="preserve">vai valsts budžets </w:t>
            </w:r>
            <w:r w:rsidR="0087671B" w:rsidRPr="00C737EC">
              <w:rPr>
                <w:rFonts w:cs="Times New Roman"/>
                <w:sz w:val="20"/>
                <w:szCs w:val="20"/>
              </w:rPr>
              <w:t>(06.01.00 “Valsts Policija”)</w:t>
            </w:r>
          </w:p>
        </w:tc>
      </w:tr>
      <w:tr w:rsidR="006A7B47" w:rsidTr="009D1429">
        <w:trPr>
          <w:jc w:val="center"/>
        </w:trPr>
        <w:tc>
          <w:tcPr>
            <w:tcW w:w="2409" w:type="dxa"/>
          </w:tcPr>
          <w:p w:rsidR="006A7B47" w:rsidRPr="00025D1F" w:rsidRDefault="006A7B47" w:rsidP="006A7B47">
            <w:pPr>
              <w:jc w:val="both"/>
              <w:rPr>
                <w:rFonts w:cs="Times New Roman"/>
                <w:sz w:val="20"/>
                <w:szCs w:val="20"/>
              </w:rPr>
            </w:pPr>
            <w:r w:rsidRPr="00025D1F">
              <w:rPr>
                <w:rFonts w:cs="Times New Roman"/>
                <w:sz w:val="20"/>
                <w:szCs w:val="20"/>
              </w:rPr>
              <w:t>3.1.4.</w:t>
            </w:r>
          </w:p>
          <w:p w:rsidR="006A7B47" w:rsidRPr="00025D1F" w:rsidRDefault="00DC0FE8" w:rsidP="006A7B47">
            <w:pPr>
              <w:jc w:val="both"/>
              <w:rPr>
                <w:rFonts w:eastAsia="Times New Roman" w:cs="Times New Roman"/>
                <w:color w:val="0000FF"/>
                <w:sz w:val="20"/>
                <w:szCs w:val="20"/>
                <w:lang w:eastAsia="lv-LV"/>
              </w:rPr>
            </w:pPr>
            <w:r>
              <w:rPr>
                <w:rFonts w:cs="Times New Roman"/>
                <w:sz w:val="20"/>
                <w:szCs w:val="20"/>
              </w:rPr>
              <w:t>9</w:t>
            </w:r>
            <w:r w:rsidR="006A7B47" w:rsidRPr="00025D1F">
              <w:rPr>
                <w:rFonts w:cs="Times New Roman"/>
                <w:sz w:val="20"/>
                <w:szCs w:val="20"/>
              </w:rPr>
              <w:t>.</w:t>
            </w:r>
            <w:r w:rsidR="006A7B47" w:rsidRPr="00025D1F">
              <w:rPr>
                <w:rFonts w:eastAsia="Times New Roman" w:cs="Times New Roman"/>
                <w:sz w:val="20"/>
                <w:szCs w:val="20"/>
                <w:lang w:eastAsia="lv-LV"/>
              </w:rPr>
              <w:t xml:space="preserve">Veikt </w:t>
            </w:r>
            <w:r w:rsidR="006A7B47" w:rsidRPr="00025D1F">
              <w:rPr>
                <w:sz w:val="20"/>
                <w:szCs w:val="20"/>
              </w:rPr>
              <w:t>daudzfunkcionālo narkotiku testēšanas iekārtu iegādi.</w:t>
            </w:r>
          </w:p>
          <w:p w:rsidR="006A7B47" w:rsidRPr="00025D1F" w:rsidRDefault="006A7B47" w:rsidP="006A7B47">
            <w:pPr>
              <w:jc w:val="both"/>
              <w:rPr>
                <w:rFonts w:cs="Times New Roman"/>
                <w:sz w:val="20"/>
                <w:szCs w:val="20"/>
              </w:rPr>
            </w:pPr>
          </w:p>
        </w:tc>
        <w:tc>
          <w:tcPr>
            <w:tcW w:w="1418" w:type="dxa"/>
          </w:tcPr>
          <w:p w:rsidR="006A7B47" w:rsidRPr="00025D1F" w:rsidRDefault="006A7B47" w:rsidP="00E37A06">
            <w:pPr>
              <w:jc w:val="center"/>
              <w:rPr>
                <w:rFonts w:cs="Times New Roman"/>
                <w:sz w:val="20"/>
                <w:szCs w:val="20"/>
              </w:rPr>
            </w:pPr>
          </w:p>
        </w:tc>
        <w:tc>
          <w:tcPr>
            <w:tcW w:w="1559" w:type="dxa"/>
          </w:tcPr>
          <w:p w:rsidR="006A7B47" w:rsidRPr="00025D1F" w:rsidRDefault="006A7B47" w:rsidP="00E048AB">
            <w:pPr>
              <w:jc w:val="center"/>
              <w:rPr>
                <w:rFonts w:cs="Times New Roman"/>
                <w:sz w:val="20"/>
                <w:szCs w:val="20"/>
              </w:rPr>
            </w:pPr>
          </w:p>
        </w:tc>
        <w:tc>
          <w:tcPr>
            <w:tcW w:w="1418" w:type="dxa"/>
            <w:gridSpan w:val="2"/>
          </w:tcPr>
          <w:p w:rsidR="006A7B47" w:rsidRPr="00025D1F" w:rsidRDefault="006A7B47" w:rsidP="00E37A06">
            <w:pPr>
              <w:jc w:val="center"/>
              <w:rPr>
                <w:rFonts w:cs="Times New Roman"/>
                <w:sz w:val="20"/>
                <w:szCs w:val="20"/>
              </w:rPr>
            </w:pPr>
          </w:p>
        </w:tc>
        <w:tc>
          <w:tcPr>
            <w:tcW w:w="1417" w:type="dxa"/>
            <w:gridSpan w:val="2"/>
          </w:tcPr>
          <w:p w:rsidR="006A7B47" w:rsidRPr="00025D1F" w:rsidRDefault="006A7B47" w:rsidP="00E37A06">
            <w:pPr>
              <w:jc w:val="center"/>
              <w:rPr>
                <w:rFonts w:cs="Times New Roman"/>
                <w:sz w:val="20"/>
                <w:szCs w:val="20"/>
              </w:rPr>
            </w:pPr>
            <w:r w:rsidRPr="00025D1F">
              <w:rPr>
                <w:rFonts w:cs="Times New Roman"/>
                <w:sz w:val="20"/>
                <w:szCs w:val="20"/>
              </w:rPr>
              <w:t xml:space="preserve">50 000 OCTA līdzekļi vai </w:t>
            </w:r>
            <w:r w:rsidR="001B49A1" w:rsidRPr="00025D1F">
              <w:rPr>
                <w:rFonts w:cs="Times New Roman"/>
                <w:sz w:val="20"/>
                <w:szCs w:val="20"/>
              </w:rPr>
              <w:t>valsts budžets</w:t>
            </w:r>
            <w:r w:rsidR="00112FB2">
              <w:rPr>
                <w:rFonts w:cs="Times New Roman"/>
                <w:sz w:val="20"/>
                <w:szCs w:val="20"/>
              </w:rPr>
              <w:t xml:space="preserve"> (06.01.00 “Valsts p</w:t>
            </w:r>
            <w:r w:rsidR="0087671B" w:rsidRPr="00025D1F">
              <w:rPr>
                <w:rFonts w:cs="Times New Roman"/>
                <w:sz w:val="20"/>
                <w:szCs w:val="20"/>
              </w:rPr>
              <w:t>olicija”)</w:t>
            </w:r>
          </w:p>
        </w:tc>
        <w:tc>
          <w:tcPr>
            <w:tcW w:w="1418" w:type="dxa"/>
            <w:gridSpan w:val="2"/>
          </w:tcPr>
          <w:p w:rsidR="006A7B47" w:rsidRPr="00025D1F" w:rsidRDefault="006A7B47" w:rsidP="00E37A06">
            <w:pPr>
              <w:jc w:val="center"/>
              <w:rPr>
                <w:rFonts w:cs="Times New Roman"/>
                <w:sz w:val="20"/>
                <w:szCs w:val="20"/>
              </w:rPr>
            </w:pPr>
          </w:p>
        </w:tc>
        <w:tc>
          <w:tcPr>
            <w:tcW w:w="1559" w:type="dxa"/>
            <w:gridSpan w:val="3"/>
          </w:tcPr>
          <w:p w:rsidR="006A7B47" w:rsidRPr="00025D1F" w:rsidRDefault="006A7B47" w:rsidP="00E37A06">
            <w:pPr>
              <w:jc w:val="center"/>
              <w:rPr>
                <w:rFonts w:cs="Times New Roman"/>
                <w:sz w:val="20"/>
                <w:szCs w:val="20"/>
              </w:rPr>
            </w:pPr>
            <w:r w:rsidRPr="00025D1F">
              <w:rPr>
                <w:rFonts w:cs="Times New Roman"/>
                <w:sz w:val="20"/>
                <w:szCs w:val="20"/>
              </w:rPr>
              <w:t xml:space="preserve">50 000 OCTA līdzekļi vai </w:t>
            </w:r>
            <w:r w:rsidR="001B49A1" w:rsidRPr="00025D1F">
              <w:rPr>
                <w:rFonts w:cs="Times New Roman"/>
                <w:sz w:val="20"/>
                <w:szCs w:val="20"/>
              </w:rPr>
              <w:t xml:space="preserve">valsts budžets </w:t>
            </w:r>
            <w:r w:rsidR="0087671B" w:rsidRPr="00025D1F">
              <w:rPr>
                <w:rFonts w:cs="Times New Roman"/>
                <w:sz w:val="20"/>
                <w:szCs w:val="20"/>
              </w:rPr>
              <w:t>(</w:t>
            </w:r>
            <w:r w:rsidR="00112FB2">
              <w:rPr>
                <w:rFonts w:cs="Times New Roman"/>
                <w:sz w:val="20"/>
                <w:szCs w:val="20"/>
              </w:rPr>
              <w:t>06.01.00 “Valsts p</w:t>
            </w:r>
            <w:r w:rsidR="0087671B" w:rsidRPr="00025D1F">
              <w:rPr>
                <w:rFonts w:cs="Times New Roman"/>
                <w:sz w:val="20"/>
                <w:szCs w:val="20"/>
              </w:rPr>
              <w:t>olicija”)</w:t>
            </w:r>
          </w:p>
        </w:tc>
        <w:tc>
          <w:tcPr>
            <w:tcW w:w="1417" w:type="dxa"/>
            <w:gridSpan w:val="2"/>
          </w:tcPr>
          <w:p w:rsidR="006A7B47" w:rsidRPr="00025D1F" w:rsidRDefault="006A7B47" w:rsidP="00E37A06">
            <w:pPr>
              <w:jc w:val="center"/>
              <w:rPr>
                <w:rFonts w:cs="Times New Roman"/>
                <w:sz w:val="20"/>
                <w:szCs w:val="20"/>
              </w:rPr>
            </w:pPr>
          </w:p>
        </w:tc>
        <w:tc>
          <w:tcPr>
            <w:tcW w:w="1560" w:type="dxa"/>
            <w:gridSpan w:val="3"/>
          </w:tcPr>
          <w:p w:rsidR="006A7B47" w:rsidRPr="00025D1F" w:rsidRDefault="006A7B47" w:rsidP="00E37A06">
            <w:pPr>
              <w:jc w:val="center"/>
              <w:rPr>
                <w:rFonts w:cs="Times New Roman"/>
                <w:sz w:val="20"/>
                <w:szCs w:val="20"/>
              </w:rPr>
            </w:pPr>
            <w:r w:rsidRPr="00025D1F">
              <w:rPr>
                <w:rFonts w:cs="Times New Roman"/>
                <w:sz w:val="20"/>
                <w:szCs w:val="20"/>
              </w:rPr>
              <w:t xml:space="preserve">50 000 OCTA līdzekļi vai valsts budžets </w:t>
            </w:r>
            <w:r w:rsidR="00112FB2">
              <w:rPr>
                <w:rFonts w:cs="Times New Roman"/>
                <w:sz w:val="20"/>
                <w:szCs w:val="20"/>
              </w:rPr>
              <w:t>(06.01.00 “Valsts p</w:t>
            </w:r>
            <w:r w:rsidR="0087671B" w:rsidRPr="00025D1F">
              <w:rPr>
                <w:rFonts w:cs="Times New Roman"/>
                <w:sz w:val="20"/>
                <w:szCs w:val="20"/>
              </w:rPr>
              <w:t>olicija”)</w:t>
            </w:r>
          </w:p>
        </w:tc>
        <w:tc>
          <w:tcPr>
            <w:tcW w:w="1417" w:type="dxa"/>
            <w:shd w:val="clear" w:color="auto" w:fill="DFE4DA" w:themeFill="text2" w:themeFillTint="33"/>
          </w:tcPr>
          <w:p w:rsidR="006A7B47" w:rsidRPr="009D1429" w:rsidRDefault="00E048AB" w:rsidP="00E37A06">
            <w:pPr>
              <w:jc w:val="center"/>
              <w:rPr>
                <w:rFonts w:cs="Times New Roman"/>
                <w:sz w:val="20"/>
                <w:szCs w:val="20"/>
              </w:rPr>
            </w:pPr>
            <w:r w:rsidRPr="009D1429">
              <w:rPr>
                <w:rFonts w:cs="Times New Roman"/>
                <w:sz w:val="20"/>
                <w:szCs w:val="20"/>
              </w:rPr>
              <w:t>150</w:t>
            </w:r>
            <w:r w:rsidR="006A7B47" w:rsidRPr="009D1429">
              <w:rPr>
                <w:rFonts w:cs="Times New Roman"/>
                <w:sz w:val="20"/>
                <w:szCs w:val="20"/>
              </w:rPr>
              <w:t xml:space="preserve"> 000 OCTA līdzekļi </w:t>
            </w:r>
            <w:r w:rsidR="001B49A1" w:rsidRPr="009D1429">
              <w:rPr>
                <w:rFonts w:cs="Times New Roman"/>
                <w:sz w:val="20"/>
                <w:szCs w:val="20"/>
              </w:rPr>
              <w:t xml:space="preserve">vai valsts budžets </w:t>
            </w:r>
            <w:r w:rsidR="00112FB2" w:rsidRPr="009D1429">
              <w:rPr>
                <w:rFonts w:cs="Times New Roman"/>
                <w:sz w:val="20"/>
                <w:szCs w:val="20"/>
              </w:rPr>
              <w:t>(06.01.00 “Valsts p</w:t>
            </w:r>
            <w:r w:rsidR="0087671B" w:rsidRPr="009D1429">
              <w:rPr>
                <w:rFonts w:cs="Times New Roman"/>
                <w:sz w:val="20"/>
                <w:szCs w:val="20"/>
              </w:rPr>
              <w:t>olicija”)</w:t>
            </w:r>
          </w:p>
        </w:tc>
      </w:tr>
      <w:tr w:rsidR="00883D36" w:rsidTr="009D1429">
        <w:trPr>
          <w:jc w:val="center"/>
        </w:trPr>
        <w:tc>
          <w:tcPr>
            <w:tcW w:w="2409" w:type="dxa"/>
          </w:tcPr>
          <w:p w:rsidR="00883D36" w:rsidRPr="00025D1F" w:rsidRDefault="00883D36" w:rsidP="00883D36">
            <w:pPr>
              <w:jc w:val="both"/>
              <w:rPr>
                <w:rFonts w:cs="Times New Roman"/>
                <w:sz w:val="20"/>
                <w:szCs w:val="20"/>
              </w:rPr>
            </w:pPr>
            <w:r w:rsidRPr="00025D1F">
              <w:rPr>
                <w:rFonts w:cs="Times New Roman"/>
                <w:sz w:val="20"/>
                <w:szCs w:val="20"/>
              </w:rPr>
              <w:t>3.1.4.</w:t>
            </w:r>
          </w:p>
          <w:p w:rsidR="00883D36" w:rsidRPr="005350B3" w:rsidRDefault="00DC0FE8" w:rsidP="005350B3">
            <w:pPr>
              <w:rPr>
                <w:rFonts w:eastAsia="Times New Roman" w:cs="Times New Roman"/>
                <w:bCs/>
                <w:color w:val="000000"/>
                <w:kern w:val="36"/>
                <w:sz w:val="20"/>
                <w:szCs w:val="20"/>
              </w:rPr>
            </w:pPr>
            <w:r>
              <w:rPr>
                <w:rFonts w:cs="Times New Roman"/>
                <w:sz w:val="20"/>
                <w:szCs w:val="20"/>
              </w:rPr>
              <w:t>10</w:t>
            </w:r>
            <w:r w:rsidR="00883D36" w:rsidRPr="00025D1F">
              <w:rPr>
                <w:rFonts w:cs="Times New Roman"/>
                <w:sz w:val="20"/>
                <w:szCs w:val="20"/>
              </w:rPr>
              <w:t xml:space="preserve">. </w:t>
            </w:r>
            <w:r w:rsidR="001B49A1" w:rsidRPr="00025D1F">
              <w:rPr>
                <w:rFonts w:eastAsia="Calibri" w:cs="Times New Roman"/>
                <w:color w:val="000000"/>
                <w:sz w:val="20"/>
                <w:szCs w:val="20"/>
              </w:rPr>
              <w:t>Veikt ierīču (</w:t>
            </w:r>
            <w:proofErr w:type="spellStart"/>
            <w:r w:rsidR="001B49A1" w:rsidRPr="00025D1F">
              <w:rPr>
                <w:rFonts w:eastAsia="Calibri" w:cs="Times New Roman"/>
                <w:color w:val="000000"/>
                <w:sz w:val="20"/>
                <w:szCs w:val="20"/>
              </w:rPr>
              <w:t>antiradars</w:t>
            </w:r>
            <w:proofErr w:type="spellEnd"/>
            <w:r w:rsidR="001B49A1" w:rsidRPr="00025D1F">
              <w:rPr>
                <w:rFonts w:eastAsia="Calibri" w:cs="Times New Roman"/>
                <w:color w:val="000000"/>
                <w:sz w:val="20"/>
                <w:szCs w:val="20"/>
              </w:rPr>
              <w:t xml:space="preserve"> u.tml.), kas var uztvert </w:t>
            </w:r>
            <w:r w:rsidR="005A6F6A" w:rsidRPr="005A6F6A">
              <w:rPr>
                <w:rFonts w:eastAsia="Calibri" w:cs="Times New Roman"/>
                <w:color w:val="000000"/>
                <w:sz w:val="20"/>
                <w:szCs w:val="20"/>
              </w:rPr>
              <w:t>TL</w:t>
            </w:r>
            <w:r w:rsidR="001B49A1" w:rsidRPr="00025D1F">
              <w:rPr>
                <w:rFonts w:eastAsia="Calibri" w:cs="Times New Roman"/>
                <w:color w:val="000000"/>
                <w:sz w:val="20"/>
                <w:szCs w:val="20"/>
              </w:rPr>
              <w:t xml:space="preserve"> braukšanas ātruma kontroles mērierīču (radaru) raidītos signālus</w:t>
            </w:r>
            <w:r w:rsidR="00CB2259">
              <w:rPr>
                <w:rFonts w:eastAsia="Calibri" w:cs="Times New Roman"/>
                <w:color w:val="000000"/>
                <w:sz w:val="20"/>
                <w:szCs w:val="20"/>
              </w:rPr>
              <w:t>,</w:t>
            </w:r>
            <w:r w:rsidR="001B49A1" w:rsidRPr="00025D1F">
              <w:rPr>
                <w:rFonts w:eastAsia="Calibri" w:cs="Times New Roman"/>
                <w:color w:val="000000"/>
                <w:sz w:val="20"/>
                <w:szCs w:val="20"/>
              </w:rPr>
              <w:t xml:space="preserve"> detektēšanas ierīču iegādi.</w:t>
            </w:r>
            <w:r w:rsidR="00883D36" w:rsidRPr="00025D1F">
              <w:rPr>
                <w:rFonts w:eastAsia="Calibri" w:cs="Times New Roman"/>
                <w:color w:val="000000"/>
                <w:sz w:val="20"/>
                <w:szCs w:val="20"/>
              </w:rPr>
              <w:t>.</w:t>
            </w:r>
          </w:p>
        </w:tc>
        <w:tc>
          <w:tcPr>
            <w:tcW w:w="1418" w:type="dxa"/>
          </w:tcPr>
          <w:p w:rsidR="00883D36" w:rsidRPr="00025D1F" w:rsidRDefault="00883D36" w:rsidP="00E37A06">
            <w:pPr>
              <w:jc w:val="center"/>
              <w:rPr>
                <w:rFonts w:cs="Times New Roman"/>
                <w:sz w:val="20"/>
                <w:szCs w:val="20"/>
              </w:rPr>
            </w:pPr>
          </w:p>
        </w:tc>
        <w:tc>
          <w:tcPr>
            <w:tcW w:w="1559" w:type="dxa"/>
          </w:tcPr>
          <w:p w:rsidR="00883D36" w:rsidRPr="00025D1F" w:rsidRDefault="00883D36" w:rsidP="00E37A06">
            <w:pPr>
              <w:jc w:val="center"/>
              <w:rPr>
                <w:rFonts w:cs="Times New Roman"/>
                <w:sz w:val="20"/>
                <w:szCs w:val="20"/>
              </w:rPr>
            </w:pPr>
          </w:p>
        </w:tc>
        <w:tc>
          <w:tcPr>
            <w:tcW w:w="1418" w:type="dxa"/>
            <w:gridSpan w:val="2"/>
          </w:tcPr>
          <w:p w:rsidR="00883D36" w:rsidRPr="00025D1F" w:rsidRDefault="00883D36" w:rsidP="00E37A06">
            <w:pPr>
              <w:jc w:val="center"/>
              <w:rPr>
                <w:rFonts w:cs="Times New Roman"/>
                <w:sz w:val="20"/>
                <w:szCs w:val="20"/>
              </w:rPr>
            </w:pPr>
          </w:p>
        </w:tc>
        <w:tc>
          <w:tcPr>
            <w:tcW w:w="1417" w:type="dxa"/>
            <w:gridSpan w:val="2"/>
          </w:tcPr>
          <w:p w:rsidR="00883D36" w:rsidRPr="00025D1F" w:rsidRDefault="001B49A1" w:rsidP="00E37A06">
            <w:pPr>
              <w:jc w:val="center"/>
              <w:rPr>
                <w:rFonts w:cs="Times New Roman"/>
                <w:sz w:val="20"/>
                <w:szCs w:val="20"/>
              </w:rPr>
            </w:pPr>
            <w:r w:rsidRPr="00025D1F">
              <w:rPr>
                <w:rFonts w:cs="Times New Roman"/>
                <w:sz w:val="20"/>
                <w:szCs w:val="20"/>
              </w:rPr>
              <w:t>36 000</w:t>
            </w:r>
            <w:r w:rsidR="00883D36" w:rsidRPr="00025D1F">
              <w:rPr>
                <w:rFonts w:cs="Times New Roman"/>
                <w:sz w:val="20"/>
                <w:szCs w:val="20"/>
              </w:rPr>
              <w:t xml:space="preserve"> OCTA līdzekļi vai </w:t>
            </w:r>
            <w:r w:rsidRPr="00025D1F">
              <w:rPr>
                <w:rFonts w:cs="Times New Roman"/>
                <w:sz w:val="20"/>
                <w:szCs w:val="20"/>
              </w:rPr>
              <w:t>valsts budžets</w:t>
            </w:r>
            <w:r w:rsidR="00112FB2">
              <w:rPr>
                <w:rFonts w:cs="Times New Roman"/>
                <w:sz w:val="20"/>
                <w:szCs w:val="20"/>
              </w:rPr>
              <w:t xml:space="preserve"> (06.01.00 “Valsts p</w:t>
            </w:r>
            <w:r w:rsidR="0087671B" w:rsidRPr="00025D1F">
              <w:rPr>
                <w:rFonts w:cs="Times New Roman"/>
                <w:sz w:val="20"/>
                <w:szCs w:val="20"/>
              </w:rPr>
              <w:t>olicija”)</w:t>
            </w:r>
          </w:p>
        </w:tc>
        <w:tc>
          <w:tcPr>
            <w:tcW w:w="1418" w:type="dxa"/>
            <w:gridSpan w:val="2"/>
          </w:tcPr>
          <w:p w:rsidR="00883D36" w:rsidRPr="00025D1F" w:rsidRDefault="00883D36" w:rsidP="00E37A06">
            <w:pPr>
              <w:jc w:val="center"/>
              <w:rPr>
                <w:rFonts w:cs="Times New Roman"/>
                <w:sz w:val="20"/>
                <w:szCs w:val="20"/>
              </w:rPr>
            </w:pPr>
          </w:p>
        </w:tc>
        <w:tc>
          <w:tcPr>
            <w:tcW w:w="1559" w:type="dxa"/>
            <w:gridSpan w:val="3"/>
          </w:tcPr>
          <w:p w:rsidR="00883D36" w:rsidRPr="00025D1F" w:rsidRDefault="00984124" w:rsidP="00E37A06">
            <w:pPr>
              <w:jc w:val="center"/>
              <w:rPr>
                <w:rFonts w:cs="Times New Roman"/>
                <w:sz w:val="20"/>
                <w:szCs w:val="20"/>
              </w:rPr>
            </w:pPr>
            <w:r w:rsidRPr="00025D1F">
              <w:rPr>
                <w:rFonts w:cs="Times New Roman"/>
                <w:sz w:val="20"/>
                <w:szCs w:val="20"/>
              </w:rPr>
              <w:t>36 000 OCTA līdzekļi vai valsts budžets</w:t>
            </w:r>
            <w:r w:rsidR="00112FB2">
              <w:rPr>
                <w:rFonts w:cs="Times New Roman"/>
                <w:sz w:val="20"/>
                <w:szCs w:val="20"/>
              </w:rPr>
              <w:t xml:space="preserve"> (06.01.00 “Valsts p</w:t>
            </w:r>
            <w:r w:rsidR="0087671B" w:rsidRPr="00025D1F">
              <w:rPr>
                <w:rFonts w:cs="Times New Roman"/>
                <w:sz w:val="20"/>
                <w:szCs w:val="20"/>
              </w:rPr>
              <w:t>olicija”)</w:t>
            </w:r>
          </w:p>
        </w:tc>
        <w:tc>
          <w:tcPr>
            <w:tcW w:w="1417" w:type="dxa"/>
            <w:gridSpan w:val="2"/>
          </w:tcPr>
          <w:p w:rsidR="00883D36" w:rsidRPr="00025D1F" w:rsidRDefault="00883D36" w:rsidP="00E37A06">
            <w:pPr>
              <w:jc w:val="center"/>
              <w:rPr>
                <w:rFonts w:cs="Times New Roman"/>
                <w:sz w:val="20"/>
                <w:szCs w:val="20"/>
              </w:rPr>
            </w:pPr>
          </w:p>
        </w:tc>
        <w:tc>
          <w:tcPr>
            <w:tcW w:w="1560" w:type="dxa"/>
            <w:gridSpan w:val="3"/>
          </w:tcPr>
          <w:p w:rsidR="00883D36" w:rsidRPr="00025D1F" w:rsidRDefault="00407708" w:rsidP="00E37A06">
            <w:pPr>
              <w:jc w:val="center"/>
              <w:rPr>
                <w:rFonts w:cs="Times New Roman"/>
                <w:sz w:val="20"/>
                <w:szCs w:val="20"/>
              </w:rPr>
            </w:pPr>
            <w:r w:rsidRPr="00025D1F">
              <w:rPr>
                <w:rFonts w:cs="Times New Roman"/>
                <w:sz w:val="20"/>
                <w:szCs w:val="20"/>
              </w:rPr>
              <w:t xml:space="preserve">36 000 OCTA līdzekļi </w:t>
            </w:r>
            <w:r>
              <w:rPr>
                <w:rFonts w:cs="Times New Roman"/>
                <w:sz w:val="20"/>
                <w:szCs w:val="20"/>
              </w:rPr>
              <w:t>(06.01.00 “Valsts p</w:t>
            </w:r>
            <w:r w:rsidRPr="00025D1F">
              <w:rPr>
                <w:rFonts w:cs="Times New Roman"/>
                <w:sz w:val="20"/>
                <w:szCs w:val="20"/>
              </w:rPr>
              <w:t>olicija”)</w:t>
            </w:r>
          </w:p>
        </w:tc>
        <w:tc>
          <w:tcPr>
            <w:tcW w:w="1417" w:type="dxa"/>
            <w:shd w:val="clear" w:color="auto" w:fill="DFE4DA" w:themeFill="text2" w:themeFillTint="33"/>
          </w:tcPr>
          <w:p w:rsidR="00883D36" w:rsidRPr="009D1429" w:rsidRDefault="00FD5522" w:rsidP="00E37A06">
            <w:pPr>
              <w:jc w:val="center"/>
              <w:rPr>
                <w:rFonts w:cs="Times New Roman"/>
                <w:sz w:val="20"/>
                <w:szCs w:val="20"/>
              </w:rPr>
            </w:pPr>
            <w:r w:rsidRPr="009D1429">
              <w:rPr>
                <w:rFonts w:cs="Times New Roman"/>
                <w:sz w:val="20"/>
                <w:szCs w:val="20"/>
              </w:rPr>
              <w:t>108 000 OCTA līdzekļi vai valsts budžets</w:t>
            </w:r>
            <w:r w:rsidR="0070255F" w:rsidRPr="009D1429">
              <w:rPr>
                <w:rFonts w:cs="Times New Roman"/>
                <w:sz w:val="20"/>
                <w:szCs w:val="20"/>
              </w:rPr>
              <w:t xml:space="preserve"> (06.01.00 “Valsts p</w:t>
            </w:r>
            <w:r w:rsidR="0087671B" w:rsidRPr="009D1429">
              <w:rPr>
                <w:rFonts w:cs="Times New Roman"/>
                <w:sz w:val="20"/>
                <w:szCs w:val="20"/>
              </w:rPr>
              <w:t>olicija”)</w:t>
            </w:r>
          </w:p>
        </w:tc>
      </w:tr>
      <w:tr w:rsidR="00883D36" w:rsidTr="009D1429">
        <w:trPr>
          <w:jc w:val="center"/>
        </w:trPr>
        <w:tc>
          <w:tcPr>
            <w:tcW w:w="2409" w:type="dxa"/>
          </w:tcPr>
          <w:p w:rsidR="00883D36" w:rsidRDefault="00883D36" w:rsidP="00883D36">
            <w:pPr>
              <w:jc w:val="both"/>
              <w:rPr>
                <w:rFonts w:cs="Times New Roman"/>
                <w:sz w:val="20"/>
                <w:szCs w:val="20"/>
              </w:rPr>
            </w:pPr>
            <w:r>
              <w:rPr>
                <w:rFonts w:cs="Times New Roman"/>
                <w:sz w:val="20"/>
                <w:szCs w:val="20"/>
              </w:rPr>
              <w:t>3.1.4.</w:t>
            </w:r>
          </w:p>
          <w:p w:rsidR="00883D36" w:rsidRPr="00D23634" w:rsidRDefault="00DC0FE8" w:rsidP="00883D36">
            <w:pPr>
              <w:jc w:val="both"/>
              <w:rPr>
                <w:rFonts w:cs="Times New Roman"/>
                <w:sz w:val="20"/>
                <w:szCs w:val="20"/>
              </w:rPr>
            </w:pPr>
            <w:r>
              <w:rPr>
                <w:rFonts w:cs="Times New Roman"/>
                <w:sz w:val="20"/>
                <w:szCs w:val="20"/>
              </w:rPr>
              <w:t>11</w:t>
            </w:r>
            <w:r w:rsidR="00883D36">
              <w:rPr>
                <w:rFonts w:cs="Times New Roman"/>
                <w:sz w:val="20"/>
                <w:szCs w:val="20"/>
              </w:rPr>
              <w:t xml:space="preserve">. </w:t>
            </w:r>
            <w:r w:rsidR="00883D36">
              <w:rPr>
                <w:rFonts w:eastAsia="Calibri" w:cs="Times New Roman"/>
                <w:color w:val="000000"/>
                <w:sz w:val="20"/>
                <w:szCs w:val="20"/>
              </w:rPr>
              <w:t>Nodrošināt tehniskā aprīkojuma iegādi ceļu satiksmes uzraudzībai -</w:t>
            </w:r>
            <w:r w:rsidR="00883D36" w:rsidRPr="005B0183">
              <w:rPr>
                <w:rFonts w:eastAsia="Calibri" w:cs="Times New Roman"/>
                <w:color w:val="000000"/>
                <w:sz w:val="20"/>
                <w:szCs w:val="20"/>
              </w:rPr>
              <w:t xml:space="preserve"> auto</w:t>
            </w:r>
            <w:r w:rsidR="00883D36">
              <w:rPr>
                <w:rFonts w:eastAsia="Calibri" w:cs="Times New Roman"/>
                <w:color w:val="000000"/>
                <w:sz w:val="20"/>
                <w:szCs w:val="20"/>
              </w:rPr>
              <w:t>pārvadājumu kontrolei un</w:t>
            </w:r>
            <w:r w:rsidR="00883D36" w:rsidRPr="005B0183">
              <w:rPr>
                <w:rFonts w:eastAsia="Calibri" w:cs="Times New Roman"/>
                <w:color w:val="000000"/>
                <w:sz w:val="20"/>
                <w:szCs w:val="20"/>
              </w:rPr>
              <w:t xml:space="preserve"> </w:t>
            </w:r>
            <w:proofErr w:type="spellStart"/>
            <w:r w:rsidR="00883D36" w:rsidRPr="005B0183">
              <w:rPr>
                <w:rFonts w:eastAsia="Calibri" w:cs="Times New Roman"/>
                <w:color w:val="000000"/>
                <w:sz w:val="20"/>
                <w:szCs w:val="20"/>
              </w:rPr>
              <w:t>CSNg</w:t>
            </w:r>
            <w:proofErr w:type="spellEnd"/>
            <w:r w:rsidR="00883D36" w:rsidRPr="005B0183">
              <w:rPr>
                <w:rFonts w:eastAsia="Calibri" w:cs="Times New Roman"/>
                <w:color w:val="000000"/>
                <w:sz w:val="20"/>
                <w:szCs w:val="20"/>
              </w:rPr>
              <w:t xml:space="preserve"> vietas </w:t>
            </w:r>
            <w:r w:rsidR="00883D36" w:rsidRPr="005B0183">
              <w:rPr>
                <w:rFonts w:eastAsia="Calibri" w:cs="Times New Roman"/>
                <w:color w:val="000000"/>
                <w:sz w:val="20"/>
                <w:szCs w:val="20"/>
              </w:rPr>
              <w:lastRenderedPageBreak/>
              <w:t xml:space="preserve">noformēšanai </w:t>
            </w:r>
            <w:r w:rsidR="00883D36" w:rsidRPr="00F877FC">
              <w:rPr>
                <w:rFonts w:eastAsia="Calibri" w:cs="Times New Roman"/>
                <w:color w:val="000000"/>
                <w:sz w:val="20"/>
                <w:szCs w:val="20"/>
              </w:rPr>
              <w:t xml:space="preserve">(zižļi, svilpes, lukturi, </w:t>
            </w:r>
            <w:proofErr w:type="spellStart"/>
            <w:r w:rsidR="00883D36" w:rsidRPr="00F877FC">
              <w:rPr>
                <w:rFonts w:eastAsia="Calibri" w:cs="Times New Roman"/>
                <w:color w:val="000000"/>
                <w:sz w:val="20"/>
                <w:szCs w:val="20"/>
              </w:rPr>
              <w:t>videolukturi</w:t>
            </w:r>
            <w:proofErr w:type="spellEnd"/>
            <w:r w:rsidR="00883D36" w:rsidRPr="00F877FC">
              <w:rPr>
                <w:rFonts w:eastAsia="Calibri" w:cs="Times New Roman"/>
                <w:color w:val="000000"/>
                <w:sz w:val="20"/>
                <w:szCs w:val="20"/>
              </w:rPr>
              <w:t xml:space="preserve">, prožektori, fotoaparāti, </w:t>
            </w:r>
            <w:r w:rsidR="00883D36">
              <w:rPr>
                <w:rFonts w:eastAsia="Calibri" w:cs="Times New Roman"/>
                <w:color w:val="000000"/>
                <w:sz w:val="20"/>
                <w:szCs w:val="20"/>
              </w:rPr>
              <w:t>videokameras, “</w:t>
            </w:r>
            <w:proofErr w:type="spellStart"/>
            <w:r w:rsidR="00883D36">
              <w:rPr>
                <w:rFonts w:eastAsia="Calibri" w:cs="Times New Roman"/>
                <w:color w:val="000000"/>
                <w:sz w:val="20"/>
                <w:szCs w:val="20"/>
              </w:rPr>
              <w:t>droni</w:t>
            </w:r>
            <w:proofErr w:type="spellEnd"/>
            <w:r w:rsidR="00883D36">
              <w:rPr>
                <w:rFonts w:eastAsia="Calibri" w:cs="Times New Roman"/>
                <w:color w:val="000000"/>
                <w:sz w:val="20"/>
                <w:szCs w:val="20"/>
              </w:rPr>
              <w:t>” u.c.).</w:t>
            </w:r>
          </w:p>
        </w:tc>
        <w:tc>
          <w:tcPr>
            <w:tcW w:w="1418" w:type="dxa"/>
          </w:tcPr>
          <w:p w:rsidR="00883D36" w:rsidRPr="00D23634" w:rsidRDefault="00883D36" w:rsidP="00E37A06">
            <w:pPr>
              <w:jc w:val="center"/>
              <w:rPr>
                <w:rFonts w:cs="Times New Roman"/>
                <w:sz w:val="20"/>
                <w:szCs w:val="20"/>
              </w:rPr>
            </w:pPr>
          </w:p>
        </w:tc>
        <w:tc>
          <w:tcPr>
            <w:tcW w:w="1559" w:type="dxa"/>
          </w:tcPr>
          <w:p w:rsidR="00883D36" w:rsidRPr="00D23634" w:rsidRDefault="00832A17" w:rsidP="00E37A06">
            <w:pPr>
              <w:jc w:val="center"/>
              <w:rPr>
                <w:rFonts w:cs="Times New Roman"/>
                <w:sz w:val="20"/>
                <w:szCs w:val="20"/>
              </w:rPr>
            </w:pPr>
            <w:r>
              <w:rPr>
                <w:rFonts w:cs="Times New Roman"/>
                <w:sz w:val="20"/>
                <w:szCs w:val="20"/>
              </w:rPr>
              <w:t>59</w:t>
            </w:r>
            <w:r w:rsidR="001E5B87">
              <w:rPr>
                <w:rFonts w:cs="Times New Roman"/>
                <w:sz w:val="20"/>
                <w:szCs w:val="20"/>
              </w:rPr>
              <w:t xml:space="preserve"> 5</w:t>
            </w:r>
            <w:r w:rsidR="001E5B87" w:rsidRPr="00025D1F">
              <w:rPr>
                <w:rFonts w:cs="Times New Roman"/>
                <w:sz w:val="20"/>
                <w:szCs w:val="20"/>
              </w:rPr>
              <w:t>00 OCTA līdzekļi vai valsts budžets</w:t>
            </w:r>
            <w:r w:rsidR="001E5B87">
              <w:rPr>
                <w:rFonts w:cs="Times New Roman"/>
                <w:sz w:val="20"/>
                <w:szCs w:val="20"/>
              </w:rPr>
              <w:t xml:space="preserve"> (06.01.00 “Valsts p</w:t>
            </w:r>
            <w:r w:rsidR="001E5B87" w:rsidRPr="00025D1F">
              <w:rPr>
                <w:rFonts w:cs="Times New Roman"/>
                <w:sz w:val="20"/>
                <w:szCs w:val="20"/>
              </w:rPr>
              <w:t>olicija”)</w:t>
            </w:r>
          </w:p>
        </w:tc>
        <w:tc>
          <w:tcPr>
            <w:tcW w:w="1418" w:type="dxa"/>
            <w:gridSpan w:val="2"/>
          </w:tcPr>
          <w:p w:rsidR="00883D36" w:rsidRPr="00C737EC" w:rsidRDefault="00883D36" w:rsidP="00E37A06">
            <w:pPr>
              <w:jc w:val="center"/>
              <w:rPr>
                <w:rFonts w:cs="Times New Roman"/>
                <w:sz w:val="20"/>
                <w:szCs w:val="20"/>
              </w:rPr>
            </w:pPr>
          </w:p>
        </w:tc>
        <w:tc>
          <w:tcPr>
            <w:tcW w:w="1417" w:type="dxa"/>
            <w:gridSpan w:val="2"/>
          </w:tcPr>
          <w:p w:rsidR="00883D36" w:rsidRPr="00C737EC" w:rsidRDefault="009A1077" w:rsidP="00E37A06">
            <w:pPr>
              <w:jc w:val="center"/>
              <w:rPr>
                <w:rFonts w:cs="Times New Roman"/>
                <w:sz w:val="20"/>
                <w:szCs w:val="20"/>
              </w:rPr>
            </w:pPr>
            <w:r w:rsidRPr="00C737EC">
              <w:rPr>
                <w:rFonts w:cs="Times New Roman"/>
                <w:sz w:val="20"/>
                <w:szCs w:val="20"/>
              </w:rPr>
              <w:t>40 000</w:t>
            </w:r>
            <w:r w:rsidR="00883D36" w:rsidRPr="00C737EC">
              <w:rPr>
                <w:rFonts w:cs="Times New Roman"/>
                <w:sz w:val="20"/>
                <w:szCs w:val="20"/>
              </w:rPr>
              <w:t xml:space="preserve"> OCTA līdzekļi vai valsts</w:t>
            </w:r>
            <w:r w:rsidR="00D21381" w:rsidRPr="00C737EC">
              <w:rPr>
                <w:rFonts w:cs="Times New Roman"/>
                <w:sz w:val="20"/>
                <w:szCs w:val="20"/>
              </w:rPr>
              <w:t xml:space="preserve"> budžets</w:t>
            </w:r>
            <w:r w:rsidR="0070255F" w:rsidRPr="00C737EC">
              <w:rPr>
                <w:rFonts w:cs="Times New Roman"/>
                <w:sz w:val="20"/>
                <w:szCs w:val="20"/>
              </w:rPr>
              <w:t xml:space="preserve"> (06.01.00 “Valsts p</w:t>
            </w:r>
            <w:r w:rsidR="0087671B" w:rsidRPr="00C737EC">
              <w:rPr>
                <w:rFonts w:cs="Times New Roman"/>
                <w:sz w:val="20"/>
                <w:szCs w:val="20"/>
              </w:rPr>
              <w:t>olicija”)</w:t>
            </w:r>
          </w:p>
        </w:tc>
        <w:tc>
          <w:tcPr>
            <w:tcW w:w="1418" w:type="dxa"/>
            <w:gridSpan w:val="2"/>
          </w:tcPr>
          <w:p w:rsidR="00883D36" w:rsidRPr="00C737EC" w:rsidRDefault="00883D36" w:rsidP="00E37A06">
            <w:pPr>
              <w:jc w:val="center"/>
              <w:rPr>
                <w:rFonts w:cs="Times New Roman"/>
                <w:sz w:val="20"/>
                <w:szCs w:val="20"/>
              </w:rPr>
            </w:pPr>
          </w:p>
        </w:tc>
        <w:tc>
          <w:tcPr>
            <w:tcW w:w="1559" w:type="dxa"/>
            <w:gridSpan w:val="3"/>
          </w:tcPr>
          <w:p w:rsidR="00883D36" w:rsidRPr="00C737EC" w:rsidRDefault="009A1077" w:rsidP="00E37A06">
            <w:pPr>
              <w:jc w:val="center"/>
              <w:rPr>
                <w:rFonts w:cs="Times New Roman"/>
                <w:sz w:val="20"/>
                <w:szCs w:val="20"/>
              </w:rPr>
            </w:pPr>
            <w:r w:rsidRPr="00C737EC">
              <w:rPr>
                <w:rFonts w:cs="Times New Roman"/>
                <w:sz w:val="20"/>
                <w:szCs w:val="20"/>
              </w:rPr>
              <w:t>40</w:t>
            </w:r>
            <w:r w:rsidR="00883D36" w:rsidRPr="00C737EC">
              <w:rPr>
                <w:rFonts w:cs="Times New Roman"/>
                <w:sz w:val="20"/>
                <w:szCs w:val="20"/>
              </w:rPr>
              <w:t xml:space="preserve"> 000 OCTA līdzekļi vai </w:t>
            </w:r>
            <w:r w:rsidR="00D21381" w:rsidRPr="00C737EC">
              <w:rPr>
                <w:rFonts w:cs="Times New Roman"/>
                <w:sz w:val="20"/>
                <w:szCs w:val="20"/>
              </w:rPr>
              <w:t xml:space="preserve">valsts budžets </w:t>
            </w:r>
            <w:r w:rsidR="0070255F" w:rsidRPr="00C737EC">
              <w:rPr>
                <w:rFonts w:cs="Times New Roman"/>
                <w:sz w:val="20"/>
                <w:szCs w:val="20"/>
              </w:rPr>
              <w:t xml:space="preserve"> (06.01.00 “Valsts p</w:t>
            </w:r>
            <w:r w:rsidR="0087671B" w:rsidRPr="00C737EC">
              <w:rPr>
                <w:rFonts w:cs="Times New Roman"/>
                <w:sz w:val="20"/>
                <w:szCs w:val="20"/>
              </w:rPr>
              <w:t>olicija”)</w:t>
            </w:r>
          </w:p>
        </w:tc>
        <w:tc>
          <w:tcPr>
            <w:tcW w:w="1417" w:type="dxa"/>
            <w:gridSpan w:val="2"/>
          </w:tcPr>
          <w:p w:rsidR="00883D36" w:rsidRPr="00C737EC" w:rsidRDefault="00883D36" w:rsidP="00E37A06">
            <w:pPr>
              <w:jc w:val="center"/>
              <w:rPr>
                <w:rFonts w:cs="Times New Roman"/>
                <w:sz w:val="20"/>
                <w:szCs w:val="20"/>
              </w:rPr>
            </w:pPr>
          </w:p>
        </w:tc>
        <w:tc>
          <w:tcPr>
            <w:tcW w:w="1560" w:type="dxa"/>
            <w:gridSpan w:val="3"/>
          </w:tcPr>
          <w:p w:rsidR="00883D36" w:rsidRPr="00C737EC" w:rsidRDefault="00883D36" w:rsidP="00E37A06">
            <w:pPr>
              <w:jc w:val="center"/>
              <w:rPr>
                <w:rFonts w:cs="Times New Roman"/>
                <w:sz w:val="20"/>
                <w:szCs w:val="20"/>
              </w:rPr>
            </w:pPr>
            <w:r w:rsidRPr="00C737EC">
              <w:rPr>
                <w:rFonts w:cs="Times New Roman"/>
                <w:sz w:val="20"/>
                <w:szCs w:val="20"/>
              </w:rPr>
              <w:t xml:space="preserve">30 000 OCTA līdzekļi vai </w:t>
            </w:r>
            <w:r w:rsidR="00D21381" w:rsidRPr="00C737EC">
              <w:rPr>
                <w:rFonts w:cs="Times New Roman"/>
                <w:sz w:val="20"/>
                <w:szCs w:val="20"/>
              </w:rPr>
              <w:t xml:space="preserve">valsts budžets </w:t>
            </w:r>
            <w:r w:rsidR="0070255F" w:rsidRPr="00C737EC">
              <w:rPr>
                <w:rFonts w:cs="Times New Roman"/>
                <w:sz w:val="20"/>
                <w:szCs w:val="20"/>
              </w:rPr>
              <w:t xml:space="preserve"> (06.01.00 “Valsts p</w:t>
            </w:r>
            <w:r w:rsidR="0087671B" w:rsidRPr="00C737EC">
              <w:rPr>
                <w:rFonts w:cs="Times New Roman"/>
                <w:sz w:val="20"/>
                <w:szCs w:val="20"/>
              </w:rPr>
              <w:t>olicija”)</w:t>
            </w:r>
          </w:p>
        </w:tc>
        <w:tc>
          <w:tcPr>
            <w:tcW w:w="1417" w:type="dxa"/>
            <w:shd w:val="clear" w:color="auto" w:fill="DFE4DA" w:themeFill="text2" w:themeFillTint="33"/>
          </w:tcPr>
          <w:p w:rsidR="00883D36" w:rsidRPr="00C737EC" w:rsidRDefault="00832A17" w:rsidP="00E37A06">
            <w:pPr>
              <w:jc w:val="center"/>
              <w:rPr>
                <w:rFonts w:cs="Times New Roman"/>
                <w:sz w:val="20"/>
                <w:szCs w:val="20"/>
              </w:rPr>
            </w:pPr>
            <w:r>
              <w:rPr>
                <w:rFonts w:cs="Times New Roman"/>
                <w:sz w:val="20"/>
                <w:szCs w:val="20"/>
              </w:rPr>
              <w:t>17</w:t>
            </w:r>
            <w:r w:rsidR="009A1077" w:rsidRPr="00C737EC">
              <w:rPr>
                <w:rFonts w:cs="Times New Roman"/>
                <w:sz w:val="20"/>
                <w:szCs w:val="20"/>
              </w:rPr>
              <w:t>9 500</w:t>
            </w:r>
            <w:r w:rsidR="00883D36" w:rsidRPr="00C737EC">
              <w:rPr>
                <w:rFonts w:cs="Times New Roman"/>
                <w:sz w:val="20"/>
                <w:szCs w:val="20"/>
              </w:rPr>
              <w:t xml:space="preserve"> OCTA līdzekļi </w:t>
            </w:r>
            <w:r w:rsidR="00D21381" w:rsidRPr="00C737EC">
              <w:rPr>
                <w:rFonts w:cs="Times New Roman"/>
                <w:sz w:val="20"/>
                <w:szCs w:val="20"/>
              </w:rPr>
              <w:t>vai valsts budžets</w:t>
            </w:r>
            <w:r w:rsidR="0070255F" w:rsidRPr="00C737EC">
              <w:rPr>
                <w:rFonts w:cs="Times New Roman"/>
                <w:sz w:val="20"/>
                <w:szCs w:val="20"/>
              </w:rPr>
              <w:t xml:space="preserve"> (06.01.00 </w:t>
            </w:r>
            <w:r w:rsidR="0070255F" w:rsidRPr="00C737EC">
              <w:rPr>
                <w:rFonts w:cs="Times New Roman"/>
                <w:sz w:val="20"/>
                <w:szCs w:val="20"/>
              </w:rPr>
              <w:lastRenderedPageBreak/>
              <w:t>“Valsts p</w:t>
            </w:r>
            <w:r w:rsidR="0087671B" w:rsidRPr="00C737EC">
              <w:rPr>
                <w:rFonts w:cs="Times New Roman"/>
                <w:sz w:val="20"/>
                <w:szCs w:val="20"/>
              </w:rPr>
              <w:t>olicija”)</w:t>
            </w:r>
          </w:p>
        </w:tc>
      </w:tr>
      <w:tr w:rsidR="00BB75E2" w:rsidTr="009D1429">
        <w:trPr>
          <w:jc w:val="center"/>
        </w:trPr>
        <w:tc>
          <w:tcPr>
            <w:tcW w:w="2409" w:type="dxa"/>
          </w:tcPr>
          <w:p w:rsidR="00BB75E2" w:rsidRDefault="00BB75E2" w:rsidP="00BB75E2">
            <w:pPr>
              <w:jc w:val="both"/>
              <w:rPr>
                <w:rFonts w:cs="Times New Roman"/>
                <w:sz w:val="20"/>
                <w:szCs w:val="20"/>
              </w:rPr>
            </w:pPr>
            <w:r>
              <w:rPr>
                <w:rFonts w:cs="Times New Roman"/>
                <w:sz w:val="20"/>
                <w:szCs w:val="20"/>
              </w:rPr>
              <w:lastRenderedPageBreak/>
              <w:t>3.1.4.</w:t>
            </w:r>
          </w:p>
          <w:p w:rsidR="00BB75E2" w:rsidRPr="00D23634" w:rsidRDefault="00DC0FE8" w:rsidP="00BB75E2">
            <w:pPr>
              <w:jc w:val="both"/>
              <w:rPr>
                <w:rFonts w:cs="Times New Roman"/>
                <w:sz w:val="20"/>
                <w:szCs w:val="20"/>
              </w:rPr>
            </w:pPr>
            <w:r>
              <w:rPr>
                <w:rFonts w:cs="Times New Roman"/>
                <w:sz w:val="20"/>
                <w:szCs w:val="20"/>
              </w:rPr>
              <w:t>12</w:t>
            </w:r>
            <w:r w:rsidR="00BB75E2">
              <w:rPr>
                <w:rFonts w:cs="Times New Roman"/>
                <w:sz w:val="20"/>
                <w:szCs w:val="20"/>
              </w:rPr>
              <w:t xml:space="preserve">. </w:t>
            </w:r>
            <w:r w:rsidR="00BB75E2" w:rsidRPr="00CD12BA">
              <w:rPr>
                <w:rFonts w:eastAsia="Calibri" w:cs="Times New Roman"/>
                <w:color w:val="000000"/>
                <w:sz w:val="20"/>
                <w:szCs w:val="20"/>
              </w:rPr>
              <w:t xml:space="preserve">Nodrošināt nepieciešamo </w:t>
            </w:r>
            <w:r w:rsidR="00BB75E2" w:rsidRPr="00CD12BA">
              <w:rPr>
                <w:rFonts w:eastAsia="Calibri" w:cs="Times New Roman"/>
                <w:b/>
                <w:color w:val="000000"/>
                <w:sz w:val="20"/>
                <w:szCs w:val="20"/>
              </w:rPr>
              <w:t xml:space="preserve">mērinstrumentu </w:t>
            </w:r>
            <w:r w:rsidR="00BB75E2" w:rsidRPr="00CD12BA">
              <w:rPr>
                <w:rFonts w:eastAsia="Calibri" w:cs="Times New Roman"/>
                <w:color w:val="000000"/>
                <w:sz w:val="20"/>
                <w:szCs w:val="20"/>
              </w:rPr>
              <w:t xml:space="preserve">iegādi ceļu  satiksmes uzraudzībai - autopārvadājumu kontrolei un </w:t>
            </w:r>
            <w:proofErr w:type="spellStart"/>
            <w:r w:rsidR="00BB75E2" w:rsidRPr="00CD12BA">
              <w:rPr>
                <w:rFonts w:eastAsia="Calibri" w:cs="Times New Roman"/>
                <w:color w:val="000000"/>
                <w:sz w:val="20"/>
                <w:szCs w:val="20"/>
              </w:rPr>
              <w:t>CSNg</w:t>
            </w:r>
            <w:proofErr w:type="spellEnd"/>
            <w:r w:rsidR="00BB75E2" w:rsidRPr="00CD12BA">
              <w:rPr>
                <w:rFonts w:eastAsia="Calibri" w:cs="Times New Roman"/>
                <w:color w:val="000000"/>
                <w:sz w:val="20"/>
                <w:szCs w:val="20"/>
              </w:rPr>
              <w:t xml:space="preserve"> vietas noformēšanai (</w:t>
            </w:r>
            <w:r w:rsidR="00BB75E2" w:rsidRPr="00CD12BA">
              <w:rPr>
                <w:rFonts w:eastAsia="Times New Roman" w:cs="Times New Roman"/>
                <w:bCs/>
                <w:color w:val="000000"/>
                <w:kern w:val="36"/>
                <w:sz w:val="20"/>
                <w:szCs w:val="20"/>
                <w:lang w:eastAsia="lv-LV"/>
              </w:rPr>
              <w:t>riepu protektora dziļuma mērītāji,</w:t>
            </w:r>
            <w:r w:rsidR="00BB75E2" w:rsidRPr="00CD12BA">
              <w:rPr>
                <w:rFonts w:eastAsia="Calibri" w:cs="Times New Roman"/>
                <w:color w:val="000000"/>
                <w:sz w:val="20"/>
                <w:szCs w:val="20"/>
              </w:rPr>
              <w:t xml:space="preserve"> mērlatas, mērlentes, </w:t>
            </w:r>
            <w:proofErr w:type="spellStart"/>
            <w:r w:rsidR="00BB75E2" w:rsidRPr="00CD12BA">
              <w:rPr>
                <w:rFonts w:eastAsia="Calibri" w:cs="Times New Roman"/>
                <w:color w:val="000000"/>
                <w:sz w:val="20"/>
                <w:szCs w:val="20"/>
              </w:rPr>
              <w:t>mērriteņi</w:t>
            </w:r>
            <w:proofErr w:type="spellEnd"/>
            <w:r w:rsidR="00BB75E2" w:rsidRPr="00CD12BA">
              <w:rPr>
                <w:rFonts w:eastAsia="Calibri" w:cs="Times New Roman"/>
                <w:color w:val="000000"/>
                <w:sz w:val="20"/>
                <w:szCs w:val="20"/>
              </w:rPr>
              <w:t xml:space="preserve">, </w:t>
            </w:r>
            <w:r w:rsidR="00BB75E2" w:rsidRPr="00CD12BA">
              <w:rPr>
                <w:rFonts w:eastAsia="Calibri" w:cs="Times New Roman"/>
                <w:sz w:val="20"/>
                <w:szCs w:val="20"/>
                <w:lang w:eastAsia="lv-LV"/>
              </w:rPr>
              <w:t>automašīnu logu stiklu gaismas caurlaidības noteikšanas mērierīces</w:t>
            </w:r>
            <w:r w:rsidR="00BB75E2">
              <w:rPr>
                <w:rFonts w:eastAsia="Calibri" w:cs="Times New Roman"/>
                <w:color w:val="000000"/>
                <w:sz w:val="20"/>
                <w:szCs w:val="20"/>
              </w:rPr>
              <w:t xml:space="preserve"> u.c.).</w:t>
            </w:r>
          </w:p>
        </w:tc>
        <w:tc>
          <w:tcPr>
            <w:tcW w:w="1418" w:type="dxa"/>
          </w:tcPr>
          <w:p w:rsidR="00BB75E2" w:rsidRPr="00025D1F" w:rsidRDefault="00BB75E2" w:rsidP="00E37A06">
            <w:pPr>
              <w:jc w:val="center"/>
              <w:rPr>
                <w:rFonts w:cs="Times New Roman"/>
                <w:sz w:val="20"/>
                <w:szCs w:val="20"/>
              </w:rPr>
            </w:pPr>
          </w:p>
        </w:tc>
        <w:tc>
          <w:tcPr>
            <w:tcW w:w="1559" w:type="dxa"/>
          </w:tcPr>
          <w:p w:rsidR="00BB75E2" w:rsidRPr="00025D1F" w:rsidRDefault="00832A17" w:rsidP="00E37A06">
            <w:pPr>
              <w:jc w:val="center"/>
              <w:rPr>
                <w:rFonts w:cs="Times New Roman"/>
                <w:sz w:val="20"/>
                <w:szCs w:val="20"/>
              </w:rPr>
            </w:pPr>
            <w:r>
              <w:rPr>
                <w:rFonts w:cs="Times New Roman"/>
                <w:sz w:val="20"/>
                <w:szCs w:val="20"/>
              </w:rPr>
              <w:t>11 99</w:t>
            </w:r>
            <w:r w:rsidR="004B691E">
              <w:rPr>
                <w:rFonts w:cs="Times New Roman"/>
                <w:sz w:val="20"/>
                <w:szCs w:val="20"/>
              </w:rPr>
              <w:t>0</w:t>
            </w:r>
            <w:r w:rsidR="004B691E" w:rsidRPr="00025D1F">
              <w:rPr>
                <w:rFonts w:cs="Times New Roman"/>
                <w:sz w:val="20"/>
                <w:szCs w:val="20"/>
              </w:rPr>
              <w:t xml:space="preserve"> OCTA līdzekļi vai valsts budžets </w:t>
            </w:r>
            <w:r w:rsidR="004B691E">
              <w:rPr>
                <w:rFonts w:cs="Times New Roman"/>
                <w:sz w:val="20"/>
                <w:szCs w:val="20"/>
              </w:rPr>
              <w:t xml:space="preserve"> (06.01.00 “Valsts p</w:t>
            </w:r>
            <w:r w:rsidR="004B691E" w:rsidRPr="00025D1F">
              <w:rPr>
                <w:rFonts w:cs="Times New Roman"/>
                <w:sz w:val="20"/>
                <w:szCs w:val="20"/>
              </w:rPr>
              <w:t>olicija”)</w:t>
            </w:r>
          </w:p>
        </w:tc>
        <w:tc>
          <w:tcPr>
            <w:tcW w:w="1418" w:type="dxa"/>
            <w:gridSpan w:val="2"/>
          </w:tcPr>
          <w:p w:rsidR="00BB75E2" w:rsidRPr="00025D1F" w:rsidRDefault="00BB75E2" w:rsidP="00E37A06">
            <w:pPr>
              <w:jc w:val="center"/>
              <w:rPr>
                <w:rFonts w:cs="Times New Roman"/>
                <w:sz w:val="20"/>
                <w:szCs w:val="20"/>
              </w:rPr>
            </w:pPr>
          </w:p>
        </w:tc>
        <w:tc>
          <w:tcPr>
            <w:tcW w:w="1417" w:type="dxa"/>
            <w:gridSpan w:val="2"/>
          </w:tcPr>
          <w:p w:rsidR="00BB75E2" w:rsidRPr="00025D1F" w:rsidRDefault="00BB75E2" w:rsidP="00E37A06">
            <w:pPr>
              <w:jc w:val="center"/>
              <w:rPr>
                <w:rFonts w:cs="Times New Roman"/>
                <w:sz w:val="20"/>
                <w:szCs w:val="20"/>
              </w:rPr>
            </w:pPr>
          </w:p>
        </w:tc>
        <w:tc>
          <w:tcPr>
            <w:tcW w:w="1418" w:type="dxa"/>
            <w:gridSpan w:val="2"/>
          </w:tcPr>
          <w:p w:rsidR="00BB75E2" w:rsidRPr="00025D1F" w:rsidRDefault="00BB75E2" w:rsidP="00E37A06">
            <w:pPr>
              <w:jc w:val="center"/>
              <w:rPr>
                <w:rFonts w:cs="Times New Roman"/>
                <w:sz w:val="20"/>
                <w:szCs w:val="20"/>
              </w:rPr>
            </w:pPr>
          </w:p>
        </w:tc>
        <w:tc>
          <w:tcPr>
            <w:tcW w:w="1559" w:type="dxa"/>
            <w:gridSpan w:val="3"/>
          </w:tcPr>
          <w:p w:rsidR="00BB75E2" w:rsidRPr="00025D1F" w:rsidRDefault="00B55BF0" w:rsidP="00E37A06">
            <w:pPr>
              <w:jc w:val="center"/>
              <w:rPr>
                <w:rFonts w:cs="Times New Roman"/>
                <w:sz w:val="20"/>
                <w:szCs w:val="20"/>
              </w:rPr>
            </w:pPr>
            <w:r w:rsidRPr="00025D1F">
              <w:rPr>
                <w:rFonts w:cs="Times New Roman"/>
                <w:sz w:val="20"/>
                <w:szCs w:val="20"/>
              </w:rPr>
              <w:t xml:space="preserve">30 000 OCTA līdzekļi vai valsts budžets </w:t>
            </w:r>
            <w:r w:rsidR="0070255F">
              <w:rPr>
                <w:rFonts w:cs="Times New Roman"/>
                <w:sz w:val="20"/>
                <w:szCs w:val="20"/>
              </w:rPr>
              <w:t xml:space="preserve"> (06.01.00 “Valsts p</w:t>
            </w:r>
            <w:r w:rsidR="0087671B" w:rsidRPr="00025D1F">
              <w:rPr>
                <w:rFonts w:cs="Times New Roman"/>
                <w:sz w:val="20"/>
                <w:szCs w:val="20"/>
              </w:rPr>
              <w:t>olicija”)</w:t>
            </w:r>
          </w:p>
        </w:tc>
        <w:tc>
          <w:tcPr>
            <w:tcW w:w="1417" w:type="dxa"/>
            <w:gridSpan w:val="2"/>
          </w:tcPr>
          <w:p w:rsidR="00BB75E2" w:rsidRPr="00025D1F" w:rsidRDefault="00BB75E2" w:rsidP="00E37A06">
            <w:pPr>
              <w:jc w:val="center"/>
              <w:rPr>
                <w:rFonts w:cs="Times New Roman"/>
                <w:sz w:val="20"/>
                <w:szCs w:val="20"/>
              </w:rPr>
            </w:pPr>
          </w:p>
        </w:tc>
        <w:tc>
          <w:tcPr>
            <w:tcW w:w="1560" w:type="dxa"/>
            <w:gridSpan w:val="3"/>
          </w:tcPr>
          <w:p w:rsidR="00BB75E2" w:rsidRPr="00025D1F" w:rsidRDefault="00BB75E2" w:rsidP="00E37A06">
            <w:pPr>
              <w:jc w:val="center"/>
              <w:rPr>
                <w:rFonts w:cs="Times New Roman"/>
                <w:sz w:val="20"/>
                <w:szCs w:val="20"/>
              </w:rPr>
            </w:pPr>
            <w:r w:rsidRPr="00025D1F">
              <w:rPr>
                <w:rFonts w:cs="Times New Roman"/>
                <w:sz w:val="20"/>
                <w:szCs w:val="20"/>
              </w:rPr>
              <w:t>30 000 OCTA līdzekļi vai v</w:t>
            </w:r>
            <w:r w:rsidR="00E46FE2" w:rsidRPr="00025D1F">
              <w:rPr>
                <w:rFonts w:cs="Times New Roman"/>
                <w:sz w:val="20"/>
                <w:szCs w:val="20"/>
              </w:rPr>
              <w:t xml:space="preserve">alsts budžets </w:t>
            </w:r>
            <w:r w:rsidR="0070255F">
              <w:rPr>
                <w:rFonts w:cs="Times New Roman"/>
                <w:sz w:val="20"/>
                <w:szCs w:val="20"/>
              </w:rPr>
              <w:t>(06.01.00 “Valsts p</w:t>
            </w:r>
            <w:r w:rsidR="0087671B" w:rsidRPr="00025D1F">
              <w:rPr>
                <w:rFonts w:cs="Times New Roman"/>
                <w:sz w:val="20"/>
                <w:szCs w:val="20"/>
              </w:rPr>
              <w:t>olicija”)</w:t>
            </w:r>
          </w:p>
        </w:tc>
        <w:tc>
          <w:tcPr>
            <w:tcW w:w="1417" w:type="dxa"/>
            <w:shd w:val="clear" w:color="auto" w:fill="DFE4DA" w:themeFill="text2" w:themeFillTint="33"/>
          </w:tcPr>
          <w:p w:rsidR="00BB75E2" w:rsidRPr="009D1429" w:rsidRDefault="00832A17" w:rsidP="00E37A06">
            <w:pPr>
              <w:jc w:val="center"/>
              <w:rPr>
                <w:rFonts w:cs="Times New Roman"/>
                <w:sz w:val="20"/>
                <w:szCs w:val="20"/>
              </w:rPr>
            </w:pPr>
            <w:r>
              <w:rPr>
                <w:rFonts w:cs="Times New Roman"/>
                <w:sz w:val="20"/>
                <w:szCs w:val="20"/>
              </w:rPr>
              <w:t>71 990</w:t>
            </w:r>
            <w:r w:rsidR="00BB75E2" w:rsidRPr="009D1429">
              <w:rPr>
                <w:rFonts w:cs="Times New Roman"/>
                <w:sz w:val="20"/>
                <w:szCs w:val="20"/>
              </w:rPr>
              <w:t xml:space="preserve"> OCTA līdzekļi </w:t>
            </w:r>
            <w:r w:rsidR="00E46FE2" w:rsidRPr="009D1429">
              <w:rPr>
                <w:rFonts w:cs="Times New Roman"/>
                <w:sz w:val="20"/>
                <w:szCs w:val="20"/>
              </w:rPr>
              <w:t xml:space="preserve">vai valsts budžets </w:t>
            </w:r>
            <w:r w:rsidR="0070255F" w:rsidRPr="009D1429">
              <w:rPr>
                <w:rFonts w:cs="Times New Roman"/>
                <w:sz w:val="20"/>
                <w:szCs w:val="20"/>
              </w:rPr>
              <w:t xml:space="preserve"> (06.01.00 “Valsts p</w:t>
            </w:r>
            <w:r w:rsidR="0087671B" w:rsidRPr="009D1429">
              <w:rPr>
                <w:rFonts w:cs="Times New Roman"/>
                <w:sz w:val="20"/>
                <w:szCs w:val="20"/>
              </w:rPr>
              <w:t>olicija”)</w:t>
            </w:r>
          </w:p>
        </w:tc>
      </w:tr>
      <w:tr w:rsidR="00BB75E2" w:rsidTr="009D1429">
        <w:trPr>
          <w:jc w:val="center"/>
        </w:trPr>
        <w:tc>
          <w:tcPr>
            <w:tcW w:w="2409" w:type="dxa"/>
          </w:tcPr>
          <w:p w:rsidR="00BB75E2" w:rsidRDefault="00BB75E2" w:rsidP="00BB75E2">
            <w:pPr>
              <w:jc w:val="both"/>
              <w:rPr>
                <w:rFonts w:cs="Times New Roman"/>
                <w:sz w:val="20"/>
                <w:szCs w:val="20"/>
              </w:rPr>
            </w:pPr>
            <w:r>
              <w:rPr>
                <w:rFonts w:cs="Times New Roman"/>
                <w:sz w:val="20"/>
                <w:szCs w:val="20"/>
              </w:rPr>
              <w:t>3.1.4.</w:t>
            </w:r>
          </w:p>
          <w:p w:rsidR="00BB75E2" w:rsidRPr="00D23634" w:rsidRDefault="00DC0FE8" w:rsidP="00BB75E2">
            <w:pPr>
              <w:jc w:val="both"/>
              <w:rPr>
                <w:rFonts w:cs="Times New Roman"/>
                <w:sz w:val="20"/>
                <w:szCs w:val="20"/>
              </w:rPr>
            </w:pPr>
            <w:r>
              <w:rPr>
                <w:rFonts w:cs="Times New Roman"/>
                <w:sz w:val="20"/>
                <w:szCs w:val="20"/>
              </w:rPr>
              <w:t>13</w:t>
            </w:r>
            <w:r w:rsidR="00BB75E2">
              <w:rPr>
                <w:rFonts w:cs="Times New Roman"/>
                <w:sz w:val="20"/>
                <w:szCs w:val="20"/>
              </w:rPr>
              <w:t xml:space="preserve">. </w:t>
            </w:r>
            <w:r w:rsidR="00BB75E2">
              <w:rPr>
                <w:rFonts w:eastAsia="Calibri" w:cs="Times New Roman"/>
                <w:sz w:val="20"/>
                <w:szCs w:val="20"/>
                <w:lang w:eastAsia="ar-SA"/>
              </w:rPr>
              <w:t>Nodrošināt p</w:t>
            </w:r>
            <w:r w:rsidR="00BB75E2" w:rsidRPr="005B0183">
              <w:rPr>
                <w:rFonts w:eastAsia="Calibri" w:cs="Times New Roman"/>
                <w:sz w:val="20"/>
                <w:szCs w:val="20"/>
                <w:lang w:eastAsia="ar-SA"/>
              </w:rPr>
              <w:t>ortatīvo au</w:t>
            </w:r>
            <w:r w:rsidR="00BB75E2">
              <w:rPr>
                <w:rFonts w:eastAsia="Calibri" w:cs="Times New Roman"/>
                <w:sz w:val="20"/>
                <w:szCs w:val="20"/>
                <w:lang w:eastAsia="ar-SA"/>
              </w:rPr>
              <w:t>tot</w:t>
            </w:r>
            <w:r w:rsidR="00BB75E2" w:rsidRPr="005B0183">
              <w:rPr>
                <w:rFonts w:eastAsia="Calibri" w:cs="Times New Roman"/>
                <w:sz w:val="20"/>
                <w:szCs w:val="20"/>
                <w:lang w:eastAsia="ar-SA"/>
              </w:rPr>
              <w:t xml:space="preserve">ransporta svaru </w:t>
            </w:r>
            <w:r w:rsidR="00BB75E2">
              <w:rPr>
                <w:rFonts w:eastAsia="Calibri" w:cs="Times New Roman"/>
                <w:color w:val="000000"/>
                <w:sz w:val="20"/>
                <w:szCs w:val="20"/>
                <w:lang w:eastAsia="ar-SA"/>
              </w:rPr>
              <w:t>un aprīkojuma iegādi.</w:t>
            </w:r>
          </w:p>
        </w:tc>
        <w:tc>
          <w:tcPr>
            <w:tcW w:w="1418" w:type="dxa"/>
          </w:tcPr>
          <w:p w:rsidR="00BB75E2" w:rsidRPr="00025D1F" w:rsidRDefault="00BB75E2" w:rsidP="00E37A06">
            <w:pPr>
              <w:jc w:val="center"/>
              <w:rPr>
                <w:rFonts w:cs="Times New Roman"/>
                <w:sz w:val="20"/>
                <w:szCs w:val="20"/>
              </w:rPr>
            </w:pPr>
          </w:p>
        </w:tc>
        <w:tc>
          <w:tcPr>
            <w:tcW w:w="1559" w:type="dxa"/>
          </w:tcPr>
          <w:p w:rsidR="00BB75E2" w:rsidRPr="00025D1F" w:rsidRDefault="00BB75E2" w:rsidP="00E37A06">
            <w:pPr>
              <w:jc w:val="center"/>
              <w:rPr>
                <w:rFonts w:cs="Times New Roman"/>
                <w:sz w:val="20"/>
                <w:szCs w:val="20"/>
              </w:rPr>
            </w:pPr>
          </w:p>
        </w:tc>
        <w:tc>
          <w:tcPr>
            <w:tcW w:w="1418" w:type="dxa"/>
            <w:gridSpan w:val="2"/>
          </w:tcPr>
          <w:p w:rsidR="00BB75E2" w:rsidRPr="00025D1F" w:rsidRDefault="00BB75E2" w:rsidP="00E37A06">
            <w:pPr>
              <w:jc w:val="center"/>
              <w:rPr>
                <w:rFonts w:cs="Times New Roman"/>
                <w:sz w:val="20"/>
                <w:szCs w:val="20"/>
              </w:rPr>
            </w:pPr>
          </w:p>
        </w:tc>
        <w:tc>
          <w:tcPr>
            <w:tcW w:w="1417" w:type="dxa"/>
            <w:gridSpan w:val="2"/>
          </w:tcPr>
          <w:p w:rsidR="00BB75E2" w:rsidRPr="00025D1F" w:rsidRDefault="00BB75E2" w:rsidP="00E37A06">
            <w:pPr>
              <w:jc w:val="center"/>
              <w:rPr>
                <w:rFonts w:cs="Times New Roman"/>
                <w:sz w:val="20"/>
                <w:szCs w:val="20"/>
              </w:rPr>
            </w:pPr>
            <w:r w:rsidRPr="00025D1F">
              <w:rPr>
                <w:rFonts w:cs="Times New Roman"/>
                <w:sz w:val="20"/>
                <w:szCs w:val="20"/>
              </w:rPr>
              <w:t xml:space="preserve">25 000 OCTA līdzekļi vai </w:t>
            </w:r>
            <w:r w:rsidR="00E46FE2" w:rsidRPr="00025D1F">
              <w:rPr>
                <w:rFonts w:cs="Times New Roman"/>
                <w:sz w:val="20"/>
                <w:szCs w:val="20"/>
              </w:rPr>
              <w:t xml:space="preserve">valsts budžets </w:t>
            </w:r>
            <w:r w:rsidR="0070255F">
              <w:rPr>
                <w:rFonts w:cs="Times New Roman"/>
                <w:sz w:val="20"/>
                <w:szCs w:val="20"/>
              </w:rPr>
              <w:t>(06.01.00 “Valsts p</w:t>
            </w:r>
            <w:r w:rsidR="0087671B" w:rsidRPr="00025D1F">
              <w:rPr>
                <w:rFonts w:cs="Times New Roman"/>
                <w:sz w:val="20"/>
                <w:szCs w:val="20"/>
              </w:rPr>
              <w:t>olicija”)</w:t>
            </w:r>
          </w:p>
        </w:tc>
        <w:tc>
          <w:tcPr>
            <w:tcW w:w="1418" w:type="dxa"/>
            <w:gridSpan w:val="2"/>
          </w:tcPr>
          <w:p w:rsidR="00BB75E2" w:rsidRPr="00025D1F" w:rsidRDefault="00BB75E2" w:rsidP="00E37A06">
            <w:pPr>
              <w:jc w:val="center"/>
              <w:rPr>
                <w:rFonts w:cs="Times New Roman"/>
                <w:sz w:val="20"/>
                <w:szCs w:val="20"/>
              </w:rPr>
            </w:pPr>
          </w:p>
        </w:tc>
        <w:tc>
          <w:tcPr>
            <w:tcW w:w="1559" w:type="dxa"/>
            <w:gridSpan w:val="3"/>
          </w:tcPr>
          <w:p w:rsidR="00BB75E2" w:rsidRPr="00025D1F" w:rsidRDefault="00BB75E2" w:rsidP="00E37A06">
            <w:pPr>
              <w:jc w:val="center"/>
              <w:rPr>
                <w:rFonts w:cs="Times New Roman"/>
                <w:sz w:val="20"/>
                <w:szCs w:val="20"/>
              </w:rPr>
            </w:pPr>
            <w:r w:rsidRPr="00025D1F">
              <w:rPr>
                <w:rFonts w:cs="Times New Roman"/>
                <w:sz w:val="20"/>
                <w:szCs w:val="20"/>
              </w:rPr>
              <w:t xml:space="preserve">25 000 OCTA līdzekļi vai </w:t>
            </w:r>
            <w:r w:rsidR="00E46FE2" w:rsidRPr="00025D1F">
              <w:rPr>
                <w:rFonts w:cs="Times New Roman"/>
                <w:sz w:val="20"/>
                <w:szCs w:val="20"/>
              </w:rPr>
              <w:t xml:space="preserve">valsts budžets </w:t>
            </w:r>
            <w:r w:rsidR="0070255F">
              <w:rPr>
                <w:rFonts w:cs="Times New Roman"/>
                <w:sz w:val="20"/>
                <w:szCs w:val="20"/>
              </w:rPr>
              <w:t>(06.01.00 “Valsts p</w:t>
            </w:r>
            <w:r w:rsidR="0087671B" w:rsidRPr="00025D1F">
              <w:rPr>
                <w:rFonts w:cs="Times New Roman"/>
                <w:sz w:val="20"/>
                <w:szCs w:val="20"/>
              </w:rPr>
              <w:t>olicija”)</w:t>
            </w:r>
          </w:p>
        </w:tc>
        <w:tc>
          <w:tcPr>
            <w:tcW w:w="1417" w:type="dxa"/>
            <w:gridSpan w:val="2"/>
          </w:tcPr>
          <w:p w:rsidR="00BB75E2" w:rsidRPr="00025D1F" w:rsidRDefault="00BB75E2" w:rsidP="00E37A06">
            <w:pPr>
              <w:jc w:val="center"/>
              <w:rPr>
                <w:rFonts w:cs="Times New Roman"/>
                <w:sz w:val="20"/>
                <w:szCs w:val="20"/>
              </w:rPr>
            </w:pPr>
          </w:p>
        </w:tc>
        <w:tc>
          <w:tcPr>
            <w:tcW w:w="1560" w:type="dxa"/>
            <w:gridSpan w:val="3"/>
          </w:tcPr>
          <w:p w:rsidR="00BB75E2" w:rsidRPr="00025D1F" w:rsidRDefault="00BB75E2" w:rsidP="00E37A06">
            <w:pPr>
              <w:jc w:val="center"/>
              <w:rPr>
                <w:rFonts w:cs="Times New Roman"/>
                <w:sz w:val="20"/>
                <w:szCs w:val="20"/>
              </w:rPr>
            </w:pPr>
            <w:r w:rsidRPr="00025D1F">
              <w:rPr>
                <w:rFonts w:cs="Times New Roman"/>
                <w:sz w:val="20"/>
                <w:szCs w:val="20"/>
              </w:rPr>
              <w:t xml:space="preserve">25 000 OCTA līdzekļi vai </w:t>
            </w:r>
            <w:r w:rsidR="00E46FE2" w:rsidRPr="00025D1F">
              <w:rPr>
                <w:rFonts w:cs="Times New Roman"/>
                <w:sz w:val="20"/>
                <w:szCs w:val="20"/>
              </w:rPr>
              <w:t xml:space="preserve">valsts budžets </w:t>
            </w:r>
            <w:r w:rsidR="0070255F">
              <w:rPr>
                <w:rFonts w:cs="Times New Roman"/>
                <w:sz w:val="20"/>
                <w:szCs w:val="20"/>
              </w:rPr>
              <w:t>(06.01.00 “Valsts p</w:t>
            </w:r>
            <w:r w:rsidR="0087671B" w:rsidRPr="00025D1F">
              <w:rPr>
                <w:rFonts w:cs="Times New Roman"/>
                <w:sz w:val="20"/>
                <w:szCs w:val="20"/>
              </w:rPr>
              <w:t>olicija”)</w:t>
            </w:r>
          </w:p>
        </w:tc>
        <w:tc>
          <w:tcPr>
            <w:tcW w:w="1417" w:type="dxa"/>
            <w:shd w:val="clear" w:color="auto" w:fill="DFE4DA" w:themeFill="text2" w:themeFillTint="33"/>
          </w:tcPr>
          <w:p w:rsidR="00BB75E2" w:rsidRPr="00025D1F" w:rsidRDefault="00F759E2" w:rsidP="00E37A06">
            <w:pPr>
              <w:jc w:val="center"/>
              <w:rPr>
                <w:rFonts w:cs="Times New Roman"/>
                <w:sz w:val="20"/>
                <w:szCs w:val="20"/>
              </w:rPr>
            </w:pPr>
            <w:r w:rsidRPr="009D1429">
              <w:rPr>
                <w:rFonts w:cs="Times New Roman"/>
                <w:sz w:val="20"/>
                <w:szCs w:val="20"/>
              </w:rPr>
              <w:t>75</w:t>
            </w:r>
            <w:r w:rsidR="00BB75E2" w:rsidRPr="009D1429">
              <w:rPr>
                <w:rFonts w:cs="Times New Roman"/>
                <w:sz w:val="20"/>
                <w:szCs w:val="20"/>
              </w:rPr>
              <w:t xml:space="preserve"> 000 OCTA līdzekļi </w:t>
            </w:r>
            <w:r w:rsidR="00E46FE2" w:rsidRPr="009D1429">
              <w:rPr>
                <w:rFonts w:cs="Times New Roman"/>
                <w:sz w:val="20"/>
                <w:szCs w:val="20"/>
              </w:rPr>
              <w:t xml:space="preserve">vai valsts budžets </w:t>
            </w:r>
            <w:r w:rsidR="0070255F" w:rsidRPr="009D1429">
              <w:rPr>
                <w:rFonts w:cs="Times New Roman"/>
                <w:sz w:val="20"/>
                <w:szCs w:val="20"/>
              </w:rPr>
              <w:t>(06.01.00 “Valsts p</w:t>
            </w:r>
            <w:r w:rsidR="0087671B" w:rsidRPr="009D1429">
              <w:rPr>
                <w:rFonts w:cs="Times New Roman"/>
                <w:sz w:val="20"/>
                <w:szCs w:val="20"/>
              </w:rPr>
              <w:t>olicija”)</w:t>
            </w:r>
          </w:p>
        </w:tc>
      </w:tr>
      <w:tr w:rsidR="00F8672F" w:rsidTr="00BB19EA">
        <w:trPr>
          <w:jc w:val="center"/>
        </w:trPr>
        <w:tc>
          <w:tcPr>
            <w:tcW w:w="2409" w:type="dxa"/>
          </w:tcPr>
          <w:p w:rsidR="00F8672F" w:rsidRDefault="00F8672F" w:rsidP="00F8672F">
            <w:pPr>
              <w:jc w:val="both"/>
              <w:rPr>
                <w:rFonts w:cs="Times New Roman"/>
                <w:sz w:val="20"/>
                <w:szCs w:val="20"/>
              </w:rPr>
            </w:pPr>
            <w:r>
              <w:rPr>
                <w:rFonts w:cs="Times New Roman"/>
                <w:sz w:val="20"/>
                <w:szCs w:val="20"/>
              </w:rPr>
              <w:t>3.1.4.</w:t>
            </w:r>
          </w:p>
          <w:p w:rsidR="00F8672F" w:rsidRPr="00D23634" w:rsidRDefault="00DC0FE8" w:rsidP="00F8672F">
            <w:pPr>
              <w:jc w:val="both"/>
              <w:rPr>
                <w:rFonts w:cs="Times New Roman"/>
                <w:sz w:val="20"/>
                <w:szCs w:val="20"/>
              </w:rPr>
            </w:pPr>
            <w:r>
              <w:rPr>
                <w:rFonts w:cs="Times New Roman"/>
                <w:sz w:val="20"/>
                <w:szCs w:val="20"/>
              </w:rPr>
              <w:t>16</w:t>
            </w:r>
            <w:r w:rsidR="00F8672F" w:rsidRPr="004C4869">
              <w:rPr>
                <w:rFonts w:cs="Times New Roman"/>
                <w:sz w:val="20"/>
                <w:szCs w:val="20"/>
              </w:rPr>
              <w:t xml:space="preserve">.  </w:t>
            </w:r>
            <w:r w:rsidR="00F8672F" w:rsidRPr="004C4869">
              <w:rPr>
                <w:rFonts w:eastAsia="Times New Roman" w:cs="Times New Roman"/>
                <w:sz w:val="20"/>
                <w:szCs w:val="20"/>
              </w:rPr>
              <w:t>Nodrošināt tehnisko līdzekļu, kas fiksē aizliedzošo luksofora signālu neievērošanu</w:t>
            </w:r>
            <w:r w:rsidR="00CB2259">
              <w:rPr>
                <w:rFonts w:eastAsia="Times New Roman" w:cs="Times New Roman"/>
                <w:sz w:val="20"/>
                <w:szCs w:val="20"/>
              </w:rPr>
              <w:t>,</w:t>
            </w:r>
            <w:r w:rsidR="00F8672F" w:rsidRPr="004C4869">
              <w:rPr>
                <w:rFonts w:eastAsia="Times New Roman" w:cs="Times New Roman"/>
                <w:sz w:val="20"/>
                <w:szCs w:val="20"/>
              </w:rPr>
              <w:t xml:space="preserve"> iegādi.</w:t>
            </w:r>
          </w:p>
        </w:tc>
        <w:tc>
          <w:tcPr>
            <w:tcW w:w="1418" w:type="dxa"/>
          </w:tcPr>
          <w:p w:rsidR="00F8672F" w:rsidRPr="00025D1F" w:rsidRDefault="00F8672F" w:rsidP="00E37A06">
            <w:pPr>
              <w:jc w:val="center"/>
              <w:rPr>
                <w:rFonts w:cs="Times New Roman"/>
                <w:sz w:val="20"/>
                <w:szCs w:val="20"/>
              </w:rPr>
            </w:pPr>
          </w:p>
        </w:tc>
        <w:tc>
          <w:tcPr>
            <w:tcW w:w="1559" w:type="dxa"/>
          </w:tcPr>
          <w:p w:rsidR="00F8672F" w:rsidRPr="00025D1F" w:rsidRDefault="00F8672F" w:rsidP="00E37A06">
            <w:pPr>
              <w:jc w:val="center"/>
              <w:rPr>
                <w:rFonts w:cs="Times New Roman"/>
                <w:sz w:val="20"/>
                <w:szCs w:val="20"/>
              </w:rPr>
            </w:pPr>
          </w:p>
        </w:tc>
        <w:tc>
          <w:tcPr>
            <w:tcW w:w="1418" w:type="dxa"/>
            <w:gridSpan w:val="2"/>
          </w:tcPr>
          <w:p w:rsidR="00F8672F" w:rsidRPr="00025D1F" w:rsidRDefault="00F8672F" w:rsidP="00E37A06">
            <w:pPr>
              <w:jc w:val="center"/>
              <w:rPr>
                <w:rFonts w:cs="Times New Roman"/>
                <w:sz w:val="20"/>
                <w:szCs w:val="20"/>
              </w:rPr>
            </w:pPr>
          </w:p>
        </w:tc>
        <w:tc>
          <w:tcPr>
            <w:tcW w:w="1417" w:type="dxa"/>
            <w:gridSpan w:val="2"/>
          </w:tcPr>
          <w:p w:rsidR="00F8672F" w:rsidRPr="00025D1F" w:rsidRDefault="00F8672F" w:rsidP="00E37A06">
            <w:pPr>
              <w:jc w:val="center"/>
              <w:rPr>
                <w:rFonts w:cs="Times New Roman"/>
                <w:sz w:val="20"/>
                <w:szCs w:val="20"/>
              </w:rPr>
            </w:pPr>
          </w:p>
        </w:tc>
        <w:tc>
          <w:tcPr>
            <w:tcW w:w="1418" w:type="dxa"/>
            <w:gridSpan w:val="2"/>
          </w:tcPr>
          <w:p w:rsidR="00F8672F" w:rsidRPr="00025D1F" w:rsidRDefault="00F8672F" w:rsidP="00E37A06">
            <w:pPr>
              <w:jc w:val="center"/>
              <w:rPr>
                <w:rFonts w:cs="Times New Roman"/>
                <w:sz w:val="20"/>
                <w:szCs w:val="20"/>
              </w:rPr>
            </w:pPr>
          </w:p>
        </w:tc>
        <w:tc>
          <w:tcPr>
            <w:tcW w:w="1559" w:type="dxa"/>
            <w:gridSpan w:val="3"/>
          </w:tcPr>
          <w:p w:rsidR="00F8672F" w:rsidRPr="00025D1F" w:rsidRDefault="00F8672F" w:rsidP="00E37A06">
            <w:pPr>
              <w:jc w:val="center"/>
              <w:rPr>
                <w:rFonts w:cs="Times New Roman"/>
                <w:sz w:val="20"/>
                <w:szCs w:val="20"/>
              </w:rPr>
            </w:pPr>
          </w:p>
        </w:tc>
        <w:tc>
          <w:tcPr>
            <w:tcW w:w="1417" w:type="dxa"/>
            <w:gridSpan w:val="2"/>
          </w:tcPr>
          <w:p w:rsidR="00F8672F" w:rsidRPr="00025D1F" w:rsidRDefault="00F8672F" w:rsidP="00E37A06">
            <w:pPr>
              <w:jc w:val="center"/>
              <w:rPr>
                <w:rFonts w:cs="Times New Roman"/>
                <w:sz w:val="20"/>
                <w:szCs w:val="20"/>
              </w:rPr>
            </w:pPr>
          </w:p>
        </w:tc>
        <w:tc>
          <w:tcPr>
            <w:tcW w:w="1560" w:type="dxa"/>
            <w:gridSpan w:val="3"/>
          </w:tcPr>
          <w:p w:rsidR="00F8672F" w:rsidRPr="00025D1F" w:rsidRDefault="00F8672F" w:rsidP="00E37A06">
            <w:pPr>
              <w:jc w:val="center"/>
              <w:rPr>
                <w:rFonts w:cs="Times New Roman"/>
                <w:sz w:val="20"/>
                <w:szCs w:val="20"/>
              </w:rPr>
            </w:pPr>
          </w:p>
        </w:tc>
        <w:tc>
          <w:tcPr>
            <w:tcW w:w="1417" w:type="dxa"/>
            <w:shd w:val="clear" w:color="auto" w:fill="DFE4DA" w:themeFill="text2" w:themeFillTint="33"/>
          </w:tcPr>
          <w:p w:rsidR="00F8672F" w:rsidRPr="00025D1F" w:rsidRDefault="00DC0FE8" w:rsidP="00E37A06">
            <w:pPr>
              <w:jc w:val="center"/>
              <w:rPr>
                <w:rFonts w:cs="Times New Roman"/>
                <w:sz w:val="20"/>
                <w:szCs w:val="20"/>
              </w:rPr>
            </w:pPr>
            <w:r>
              <w:rPr>
                <w:rFonts w:cs="Times New Roman"/>
                <w:sz w:val="20"/>
                <w:szCs w:val="20"/>
              </w:rPr>
              <w:t>Finansējuma apmērs un avots tiks noteikts pēc izpētes</w:t>
            </w:r>
          </w:p>
        </w:tc>
      </w:tr>
      <w:tr w:rsidR="0025300E" w:rsidTr="009D1429">
        <w:trPr>
          <w:jc w:val="center"/>
        </w:trPr>
        <w:tc>
          <w:tcPr>
            <w:tcW w:w="2409" w:type="dxa"/>
          </w:tcPr>
          <w:p w:rsidR="0025300E" w:rsidRDefault="0025300E" w:rsidP="0025300E">
            <w:pPr>
              <w:jc w:val="both"/>
              <w:rPr>
                <w:rFonts w:cs="Times New Roman"/>
                <w:sz w:val="20"/>
                <w:szCs w:val="20"/>
              </w:rPr>
            </w:pPr>
            <w:r>
              <w:rPr>
                <w:rFonts w:cs="Times New Roman"/>
                <w:sz w:val="20"/>
                <w:szCs w:val="20"/>
              </w:rPr>
              <w:t>3.1.4.</w:t>
            </w:r>
          </w:p>
          <w:p w:rsidR="0025300E" w:rsidRPr="00D23634" w:rsidRDefault="00DC0FE8" w:rsidP="0025300E">
            <w:pPr>
              <w:jc w:val="both"/>
              <w:rPr>
                <w:rFonts w:cs="Times New Roman"/>
                <w:sz w:val="20"/>
                <w:szCs w:val="20"/>
              </w:rPr>
            </w:pPr>
            <w:r>
              <w:rPr>
                <w:rFonts w:cs="Times New Roman"/>
                <w:sz w:val="20"/>
                <w:szCs w:val="20"/>
              </w:rPr>
              <w:t>17</w:t>
            </w:r>
            <w:r w:rsidR="0025300E">
              <w:rPr>
                <w:rFonts w:cs="Times New Roman"/>
                <w:sz w:val="20"/>
                <w:szCs w:val="20"/>
              </w:rPr>
              <w:t xml:space="preserve">. </w:t>
            </w:r>
            <w:r w:rsidR="0025300E" w:rsidRPr="0025300E">
              <w:rPr>
                <w:rFonts w:eastAsia="Times New Roman" w:cs="Times New Roman"/>
                <w:kern w:val="24"/>
                <w:sz w:val="20"/>
                <w:szCs w:val="20"/>
                <w:lang w:eastAsia="lv-LV"/>
              </w:rPr>
              <w:t xml:space="preserve">Nodrošināt ierīču, kas veic automātisku </w:t>
            </w:r>
            <w:r w:rsidR="005A6F6A" w:rsidRPr="005A6F6A">
              <w:rPr>
                <w:rFonts w:eastAsia="Times New Roman" w:cs="Times New Roman"/>
                <w:kern w:val="24"/>
                <w:sz w:val="20"/>
                <w:szCs w:val="20"/>
                <w:lang w:eastAsia="lv-LV"/>
              </w:rPr>
              <w:t>TL</w:t>
            </w:r>
            <w:r w:rsidR="0025300E" w:rsidRPr="0025300E">
              <w:rPr>
                <w:rFonts w:eastAsia="Times New Roman" w:cs="Times New Roman"/>
                <w:kern w:val="24"/>
                <w:sz w:val="20"/>
                <w:szCs w:val="20"/>
                <w:lang w:eastAsia="lv-LV"/>
              </w:rPr>
              <w:t xml:space="preserve"> reģistrācijas numura zīmju nolasīšanu</w:t>
            </w:r>
            <w:r w:rsidR="00CB2259">
              <w:rPr>
                <w:rFonts w:eastAsia="Times New Roman" w:cs="Times New Roman"/>
                <w:kern w:val="24"/>
                <w:sz w:val="20"/>
                <w:szCs w:val="20"/>
                <w:lang w:eastAsia="lv-LV"/>
              </w:rPr>
              <w:t>,</w:t>
            </w:r>
            <w:r w:rsidR="0025300E" w:rsidRPr="0025300E">
              <w:rPr>
                <w:rFonts w:eastAsia="Times New Roman" w:cs="Times New Roman"/>
                <w:kern w:val="24"/>
                <w:sz w:val="20"/>
                <w:szCs w:val="20"/>
                <w:lang w:eastAsia="lv-LV"/>
              </w:rPr>
              <w:t xml:space="preserve"> iegādi.</w:t>
            </w:r>
          </w:p>
        </w:tc>
        <w:tc>
          <w:tcPr>
            <w:tcW w:w="1418" w:type="dxa"/>
          </w:tcPr>
          <w:p w:rsidR="0025300E" w:rsidRPr="00025D1F" w:rsidRDefault="0025300E" w:rsidP="00E37A06">
            <w:pPr>
              <w:jc w:val="center"/>
              <w:rPr>
                <w:rFonts w:cs="Times New Roman"/>
                <w:sz w:val="20"/>
                <w:szCs w:val="20"/>
              </w:rPr>
            </w:pPr>
          </w:p>
        </w:tc>
        <w:tc>
          <w:tcPr>
            <w:tcW w:w="1559" w:type="dxa"/>
          </w:tcPr>
          <w:p w:rsidR="0025300E" w:rsidRPr="00025D1F" w:rsidRDefault="0025300E" w:rsidP="00E37A06">
            <w:pPr>
              <w:jc w:val="center"/>
              <w:rPr>
                <w:rFonts w:cs="Times New Roman"/>
                <w:sz w:val="20"/>
                <w:szCs w:val="20"/>
              </w:rPr>
            </w:pPr>
          </w:p>
        </w:tc>
        <w:tc>
          <w:tcPr>
            <w:tcW w:w="1418" w:type="dxa"/>
            <w:gridSpan w:val="2"/>
          </w:tcPr>
          <w:p w:rsidR="0025300E" w:rsidRPr="00025D1F" w:rsidRDefault="0025300E" w:rsidP="00E37A06">
            <w:pPr>
              <w:jc w:val="center"/>
              <w:rPr>
                <w:rFonts w:cs="Times New Roman"/>
                <w:sz w:val="20"/>
                <w:szCs w:val="20"/>
              </w:rPr>
            </w:pPr>
          </w:p>
        </w:tc>
        <w:tc>
          <w:tcPr>
            <w:tcW w:w="1417" w:type="dxa"/>
            <w:gridSpan w:val="2"/>
          </w:tcPr>
          <w:p w:rsidR="0025300E" w:rsidRPr="00025D1F" w:rsidRDefault="0025300E" w:rsidP="00E37A06">
            <w:pPr>
              <w:jc w:val="center"/>
              <w:rPr>
                <w:rFonts w:cs="Times New Roman"/>
                <w:sz w:val="20"/>
                <w:szCs w:val="20"/>
              </w:rPr>
            </w:pPr>
            <w:r w:rsidRPr="00025D1F">
              <w:rPr>
                <w:rFonts w:cs="Times New Roman"/>
                <w:sz w:val="20"/>
                <w:szCs w:val="20"/>
              </w:rPr>
              <w:t xml:space="preserve">50 000 </w:t>
            </w:r>
            <w:r w:rsidR="00E37A06">
              <w:rPr>
                <w:rFonts w:cs="Times New Roman"/>
                <w:sz w:val="20"/>
                <w:szCs w:val="20"/>
              </w:rPr>
              <w:t xml:space="preserve">    </w:t>
            </w:r>
            <w:r w:rsidR="00E37A06" w:rsidRPr="00025D1F">
              <w:rPr>
                <w:rFonts w:cs="Times New Roman"/>
                <w:sz w:val="20"/>
                <w:szCs w:val="20"/>
              </w:rPr>
              <w:t xml:space="preserve">valsts budžets </w:t>
            </w:r>
            <w:r w:rsidR="00E37A06">
              <w:rPr>
                <w:rFonts w:cs="Times New Roman"/>
                <w:sz w:val="20"/>
                <w:szCs w:val="20"/>
              </w:rPr>
              <w:t xml:space="preserve">vai </w:t>
            </w:r>
            <w:r w:rsidRPr="00025D1F">
              <w:rPr>
                <w:rFonts w:cs="Times New Roman"/>
                <w:sz w:val="20"/>
                <w:szCs w:val="20"/>
              </w:rPr>
              <w:t xml:space="preserve">OCTA līdzekļi </w:t>
            </w:r>
            <w:r w:rsidR="00E37A06">
              <w:rPr>
                <w:rFonts w:cs="Times New Roman"/>
                <w:sz w:val="20"/>
                <w:szCs w:val="20"/>
              </w:rPr>
              <w:t>(06.01.00 “Valsts p</w:t>
            </w:r>
            <w:r w:rsidR="0087671B" w:rsidRPr="00025D1F">
              <w:rPr>
                <w:rFonts w:cs="Times New Roman"/>
                <w:sz w:val="20"/>
                <w:szCs w:val="20"/>
              </w:rPr>
              <w:t>olicija”)</w:t>
            </w:r>
          </w:p>
        </w:tc>
        <w:tc>
          <w:tcPr>
            <w:tcW w:w="1418" w:type="dxa"/>
            <w:gridSpan w:val="2"/>
          </w:tcPr>
          <w:p w:rsidR="0025300E" w:rsidRPr="00025D1F" w:rsidRDefault="0025300E" w:rsidP="00E37A06">
            <w:pPr>
              <w:jc w:val="center"/>
              <w:rPr>
                <w:rFonts w:cs="Times New Roman"/>
                <w:sz w:val="20"/>
                <w:szCs w:val="20"/>
              </w:rPr>
            </w:pPr>
          </w:p>
        </w:tc>
        <w:tc>
          <w:tcPr>
            <w:tcW w:w="1559" w:type="dxa"/>
            <w:gridSpan w:val="3"/>
          </w:tcPr>
          <w:p w:rsidR="0025300E" w:rsidRPr="00025D1F" w:rsidRDefault="00E37A06" w:rsidP="00E37A06">
            <w:pPr>
              <w:jc w:val="center"/>
              <w:rPr>
                <w:rFonts w:cs="Times New Roman"/>
                <w:sz w:val="20"/>
                <w:szCs w:val="20"/>
              </w:rPr>
            </w:pPr>
            <w:r w:rsidRPr="00025D1F">
              <w:rPr>
                <w:rFonts w:cs="Times New Roman"/>
                <w:sz w:val="20"/>
                <w:szCs w:val="20"/>
              </w:rPr>
              <w:t xml:space="preserve">50 000 </w:t>
            </w:r>
            <w:r>
              <w:rPr>
                <w:rFonts w:cs="Times New Roman"/>
                <w:sz w:val="20"/>
                <w:szCs w:val="20"/>
              </w:rPr>
              <w:t xml:space="preserve">    </w:t>
            </w:r>
            <w:r w:rsidRPr="00025D1F">
              <w:rPr>
                <w:rFonts w:cs="Times New Roman"/>
                <w:sz w:val="20"/>
                <w:szCs w:val="20"/>
              </w:rPr>
              <w:t xml:space="preserve">valsts budžets </w:t>
            </w:r>
            <w:r>
              <w:rPr>
                <w:rFonts w:cs="Times New Roman"/>
                <w:sz w:val="20"/>
                <w:szCs w:val="20"/>
              </w:rPr>
              <w:t xml:space="preserve">vai </w:t>
            </w:r>
            <w:r w:rsidRPr="00025D1F">
              <w:rPr>
                <w:rFonts w:cs="Times New Roman"/>
                <w:sz w:val="20"/>
                <w:szCs w:val="20"/>
              </w:rPr>
              <w:t xml:space="preserve">OCTA līdzekļi </w:t>
            </w:r>
            <w:r>
              <w:rPr>
                <w:rFonts w:cs="Times New Roman"/>
                <w:sz w:val="20"/>
                <w:szCs w:val="20"/>
              </w:rPr>
              <w:t>(06.01.00 “Valsts p</w:t>
            </w:r>
            <w:r w:rsidRPr="00025D1F">
              <w:rPr>
                <w:rFonts w:cs="Times New Roman"/>
                <w:sz w:val="20"/>
                <w:szCs w:val="20"/>
              </w:rPr>
              <w:t>olicija”)</w:t>
            </w:r>
          </w:p>
        </w:tc>
        <w:tc>
          <w:tcPr>
            <w:tcW w:w="1417" w:type="dxa"/>
            <w:gridSpan w:val="2"/>
          </w:tcPr>
          <w:p w:rsidR="0025300E" w:rsidRPr="00025D1F" w:rsidRDefault="0025300E" w:rsidP="00E37A06">
            <w:pPr>
              <w:jc w:val="center"/>
              <w:rPr>
                <w:rFonts w:cs="Times New Roman"/>
                <w:sz w:val="20"/>
                <w:szCs w:val="20"/>
              </w:rPr>
            </w:pPr>
          </w:p>
        </w:tc>
        <w:tc>
          <w:tcPr>
            <w:tcW w:w="1560" w:type="dxa"/>
            <w:gridSpan w:val="3"/>
          </w:tcPr>
          <w:p w:rsidR="0025300E" w:rsidRPr="00025D1F" w:rsidRDefault="00E37A06" w:rsidP="00E37A06">
            <w:pPr>
              <w:jc w:val="center"/>
              <w:rPr>
                <w:rFonts w:cs="Times New Roman"/>
                <w:sz w:val="20"/>
                <w:szCs w:val="20"/>
              </w:rPr>
            </w:pPr>
            <w:r w:rsidRPr="00025D1F">
              <w:rPr>
                <w:rFonts w:cs="Times New Roman"/>
                <w:sz w:val="20"/>
                <w:szCs w:val="20"/>
              </w:rPr>
              <w:t xml:space="preserve">50 000 </w:t>
            </w:r>
            <w:r>
              <w:rPr>
                <w:rFonts w:cs="Times New Roman"/>
                <w:sz w:val="20"/>
                <w:szCs w:val="20"/>
              </w:rPr>
              <w:t xml:space="preserve">    </w:t>
            </w:r>
            <w:r w:rsidRPr="00025D1F">
              <w:rPr>
                <w:rFonts w:cs="Times New Roman"/>
                <w:sz w:val="20"/>
                <w:szCs w:val="20"/>
              </w:rPr>
              <w:t xml:space="preserve">valsts budžets </w:t>
            </w:r>
            <w:r>
              <w:rPr>
                <w:rFonts w:cs="Times New Roman"/>
                <w:sz w:val="20"/>
                <w:szCs w:val="20"/>
              </w:rPr>
              <w:t xml:space="preserve">vai </w:t>
            </w:r>
            <w:r w:rsidRPr="00025D1F">
              <w:rPr>
                <w:rFonts w:cs="Times New Roman"/>
                <w:sz w:val="20"/>
                <w:szCs w:val="20"/>
              </w:rPr>
              <w:t xml:space="preserve">OCTA līdzekļi </w:t>
            </w:r>
            <w:r>
              <w:rPr>
                <w:rFonts w:cs="Times New Roman"/>
                <w:sz w:val="20"/>
                <w:szCs w:val="20"/>
              </w:rPr>
              <w:t>(06.01.00 “Valsts p</w:t>
            </w:r>
            <w:r w:rsidRPr="00025D1F">
              <w:rPr>
                <w:rFonts w:cs="Times New Roman"/>
                <w:sz w:val="20"/>
                <w:szCs w:val="20"/>
              </w:rPr>
              <w:t>olicija”)</w:t>
            </w:r>
          </w:p>
        </w:tc>
        <w:tc>
          <w:tcPr>
            <w:tcW w:w="1417" w:type="dxa"/>
            <w:shd w:val="clear" w:color="auto" w:fill="DFE4DA" w:themeFill="text2" w:themeFillTint="33"/>
          </w:tcPr>
          <w:p w:rsidR="0025300E" w:rsidRPr="00025D1F" w:rsidRDefault="00F759E2" w:rsidP="00E37A06">
            <w:pPr>
              <w:jc w:val="center"/>
              <w:rPr>
                <w:rFonts w:cs="Times New Roman"/>
                <w:sz w:val="20"/>
                <w:szCs w:val="20"/>
              </w:rPr>
            </w:pPr>
            <w:r w:rsidRPr="0001715F">
              <w:rPr>
                <w:rFonts w:cs="Times New Roman"/>
                <w:color w:val="000000" w:themeColor="text1"/>
                <w:sz w:val="20"/>
                <w:szCs w:val="20"/>
              </w:rPr>
              <w:t>150</w:t>
            </w:r>
            <w:r w:rsidR="0025300E" w:rsidRPr="0001715F">
              <w:rPr>
                <w:rFonts w:cs="Times New Roman"/>
                <w:color w:val="000000" w:themeColor="text1"/>
                <w:sz w:val="20"/>
                <w:szCs w:val="20"/>
              </w:rPr>
              <w:t xml:space="preserve"> 000 </w:t>
            </w:r>
            <w:r w:rsidR="00E37A06" w:rsidRPr="0001715F">
              <w:rPr>
                <w:rFonts w:cs="Times New Roman"/>
                <w:color w:val="000000" w:themeColor="text1"/>
                <w:sz w:val="20"/>
                <w:szCs w:val="20"/>
              </w:rPr>
              <w:t xml:space="preserve">  valsts budžets vai OCTA līdzekļi (06.01.00 “Valsts policija”)</w:t>
            </w:r>
          </w:p>
        </w:tc>
      </w:tr>
      <w:tr w:rsidR="00DC0FE8" w:rsidTr="00BB19EA">
        <w:trPr>
          <w:jc w:val="center"/>
        </w:trPr>
        <w:tc>
          <w:tcPr>
            <w:tcW w:w="2409" w:type="dxa"/>
          </w:tcPr>
          <w:p w:rsidR="00DC0FE8" w:rsidRDefault="00DC0FE8" w:rsidP="0025300E">
            <w:pPr>
              <w:jc w:val="both"/>
              <w:rPr>
                <w:rFonts w:cs="Times New Roman"/>
                <w:sz w:val="20"/>
                <w:szCs w:val="20"/>
              </w:rPr>
            </w:pPr>
            <w:r>
              <w:rPr>
                <w:rFonts w:cs="Times New Roman"/>
                <w:sz w:val="20"/>
                <w:szCs w:val="20"/>
              </w:rPr>
              <w:t>3.1.4.</w:t>
            </w:r>
          </w:p>
          <w:p w:rsidR="00DC0FE8" w:rsidRDefault="00DC0FE8" w:rsidP="0025300E">
            <w:pPr>
              <w:jc w:val="both"/>
              <w:rPr>
                <w:rFonts w:cs="Times New Roman"/>
                <w:sz w:val="20"/>
                <w:szCs w:val="20"/>
              </w:rPr>
            </w:pPr>
            <w:r>
              <w:rPr>
                <w:rFonts w:cs="Times New Roman"/>
                <w:sz w:val="20"/>
                <w:szCs w:val="20"/>
              </w:rPr>
              <w:lastRenderedPageBreak/>
              <w:t xml:space="preserve">18. </w:t>
            </w:r>
            <w:r w:rsidRPr="00DC0FE8">
              <w:rPr>
                <w:rFonts w:eastAsia="Times New Roman"/>
                <w:color w:val="000000" w:themeColor="text1"/>
                <w:kern w:val="24"/>
                <w:sz w:val="20"/>
                <w:szCs w:val="20"/>
                <w:lang w:eastAsia="lv-LV"/>
              </w:rPr>
              <w:t>Nodrošināt dienesta velosipēdu (bez motora vai ar 250W elektromotoru) iegādi Valsts policijai.</w:t>
            </w:r>
          </w:p>
        </w:tc>
        <w:tc>
          <w:tcPr>
            <w:tcW w:w="1418" w:type="dxa"/>
          </w:tcPr>
          <w:p w:rsidR="00DC0FE8" w:rsidRPr="00025D1F" w:rsidRDefault="00DC0FE8" w:rsidP="00E37A06">
            <w:pPr>
              <w:jc w:val="center"/>
              <w:rPr>
                <w:rFonts w:cs="Times New Roman"/>
                <w:sz w:val="20"/>
                <w:szCs w:val="20"/>
              </w:rPr>
            </w:pPr>
          </w:p>
        </w:tc>
        <w:tc>
          <w:tcPr>
            <w:tcW w:w="1559" w:type="dxa"/>
          </w:tcPr>
          <w:p w:rsidR="00DC0FE8" w:rsidRPr="00025D1F" w:rsidRDefault="00DC0FE8" w:rsidP="00E37A06">
            <w:pPr>
              <w:jc w:val="center"/>
              <w:rPr>
                <w:rFonts w:cs="Times New Roman"/>
                <w:sz w:val="20"/>
                <w:szCs w:val="20"/>
              </w:rPr>
            </w:pPr>
          </w:p>
        </w:tc>
        <w:tc>
          <w:tcPr>
            <w:tcW w:w="1418" w:type="dxa"/>
            <w:gridSpan w:val="2"/>
          </w:tcPr>
          <w:p w:rsidR="00DC0FE8" w:rsidRPr="00025D1F" w:rsidRDefault="00DC0FE8" w:rsidP="00E37A06">
            <w:pPr>
              <w:jc w:val="center"/>
              <w:rPr>
                <w:rFonts w:cs="Times New Roman"/>
                <w:sz w:val="20"/>
                <w:szCs w:val="20"/>
              </w:rPr>
            </w:pPr>
          </w:p>
        </w:tc>
        <w:tc>
          <w:tcPr>
            <w:tcW w:w="1417" w:type="dxa"/>
            <w:gridSpan w:val="2"/>
          </w:tcPr>
          <w:p w:rsidR="00DC0FE8" w:rsidRPr="00025D1F" w:rsidRDefault="00DC0FE8" w:rsidP="00E37A06">
            <w:pPr>
              <w:jc w:val="center"/>
              <w:rPr>
                <w:rFonts w:cs="Times New Roman"/>
                <w:sz w:val="20"/>
                <w:szCs w:val="20"/>
              </w:rPr>
            </w:pPr>
          </w:p>
        </w:tc>
        <w:tc>
          <w:tcPr>
            <w:tcW w:w="1418" w:type="dxa"/>
            <w:gridSpan w:val="2"/>
          </w:tcPr>
          <w:p w:rsidR="00DC0FE8" w:rsidRPr="00025D1F" w:rsidRDefault="00DC0FE8" w:rsidP="00E37A06">
            <w:pPr>
              <w:jc w:val="center"/>
              <w:rPr>
                <w:rFonts w:cs="Times New Roman"/>
                <w:sz w:val="20"/>
                <w:szCs w:val="20"/>
              </w:rPr>
            </w:pPr>
          </w:p>
        </w:tc>
        <w:tc>
          <w:tcPr>
            <w:tcW w:w="1559" w:type="dxa"/>
            <w:gridSpan w:val="3"/>
          </w:tcPr>
          <w:p w:rsidR="00DC0FE8" w:rsidRPr="00025D1F" w:rsidRDefault="00DC0FE8" w:rsidP="00E37A06">
            <w:pPr>
              <w:jc w:val="center"/>
              <w:rPr>
                <w:rFonts w:cs="Times New Roman"/>
                <w:sz w:val="20"/>
                <w:szCs w:val="20"/>
              </w:rPr>
            </w:pPr>
          </w:p>
        </w:tc>
        <w:tc>
          <w:tcPr>
            <w:tcW w:w="1417" w:type="dxa"/>
            <w:gridSpan w:val="2"/>
          </w:tcPr>
          <w:p w:rsidR="00DC0FE8" w:rsidRPr="00025D1F" w:rsidRDefault="00DC0FE8" w:rsidP="00E37A06">
            <w:pPr>
              <w:jc w:val="center"/>
              <w:rPr>
                <w:rFonts w:cs="Times New Roman"/>
                <w:sz w:val="20"/>
                <w:szCs w:val="20"/>
              </w:rPr>
            </w:pPr>
          </w:p>
        </w:tc>
        <w:tc>
          <w:tcPr>
            <w:tcW w:w="1560" w:type="dxa"/>
            <w:gridSpan w:val="3"/>
          </w:tcPr>
          <w:p w:rsidR="00DC0FE8" w:rsidRPr="00025D1F" w:rsidRDefault="00DC0FE8" w:rsidP="00E37A06">
            <w:pPr>
              <w:jc w:val="center"/>
              <w:rPr>
                <w:rFonts w:cs="Times New Roman"/>
                <w:sz w:val="20"/>
                <w:szCs w:val="20"/>
              </w:rPr>
            </w:pPr>
          </w:p>
        </w:tc>
        <w:tc>
          <w:tcPr>
            <w:tcW w:w="1417" w:type="dxa"/>
            <w:shd w:val="clear" w:color="auto" w:fill="DFE4DA" w:themeFill="text2" w:themeFillTint="33"/>
          </w:tcPr>
          <w:p w:rsidR="00DC0FE8" w:rsidRPr="00025D1F" w:rsidRDefault="00DC0FE8" w:rsidP="00E37A06">
            <w:pPr>
              <w:jc w:val="center"/>
              <w:rPr>
                <w:rFonts w:cs="Times New Roman"/>
                <w:sz w:val="20"/>
                <w:szCs w:val="20"/>
              </w:rPr>
            </w:pPr>
            <w:r>
              <w:rPr>
                <w:rFonts w:cs="Times New Roman"/>
                <w:sz w:val="20"/>
                <w:szCs w:val="20"/>
              </w:rPr>
              <w:t xml:space="preserve">Finansējuma apmērs un </w:t>
            </w:r>
            <w:r>
              <w:rPr>
                <w:rFonts w:cs="Times New Roman"/>
                <w:sz w:val="20"/>
                <w:szCs w:val="20"/>
              </w:rPr>
              <w:lastRenderedPageBreak/>
              <w:t>avots tiks noteikts pēc izpētes</w:t>
            </w:r>
          </w:p>
        </w:tc>
      </w:tr>
      <w:tr w:rsidR="00D031E0" w:rsidTr="009D1429">
        <w:trPr>
          <w:jc w:val="center"/>
        </w:trPr>
        <w:tc>
          <w:tcPr>
            <w:tcW w:w="2409" w:type="dxa"/>
            <w:shd w:val="clear" w:color="auto" w:fill="auto"/>
          </w:tcPr>
          <w:p w:rsidR="00D031E0" w:rsidRDefault="00D031E0" w:rsidP="0025300E">
            <w:pPr>
              <w:jc w:val="both"/>
              <w:rPr>
                <w:rFonts w:cs="Times New Roman"/>
                <w:sz w:val="20"/>
                <w:szCs w:val="20"/>
              </w:rPr>
            </w:pPr>
            <w:r>
              <w:rPr>
                <w:rFonts w:cs="Times New Roman"/>
                <w:sz w:val="20"/>
                <w:szCs w:val="20"/>
              </w:rPr>
              <w:lastRenderedPageBreak/>
              <w:t>3.1.4.</w:t>
            </w:r>
          </w:p>
          <w:p w:rsidR="00D031E0" w:rsidRPr="00D031E0" w:rsidRDefault="00D031E0" w:rsidP="00D031E0">
            <w:pPr>
              <w:rPr>
                <w:rFonts w:eastAsia="Times New Roman" w:cs="Times New Roman"/>
                <w:bCs/>
                <w:color w:val="000000"/>
                <w:sz w:val="20"/>
                <w:szCs w:val="20"/>
                <w:lang w:eastAsia="lv-LV"/>
              </w:rPr>
            </w:pPr>
            <w:r>
              <w:rPr>
                <w:rFonts w:cs="Times New Roman"/>
                <w:sz w:val="20"/>
                <w:szCs w:val="20"/>
              </w:rPr>
              <w:t xml:space="preserve">19. </w:t>
            </w:r>
            <w:r>
              <w:rPr>
                <w:rFonts w:eastAsia="Times New Roman" w:cs="Times New Roman"/>
                <w:color w:val="000000"/>
                <w:kern w:val="24"/>
                <w:sz w:val="20"/>
                <w:szCs w:val="20"/>
                <w:lang w:eastAsia="lv-LV"/>
              </w:rPr>
              <w:t xml:space="preserve">Nodrošināt </w:t>
            </w:r>
            <w:r w:rsidRPr="00D031E0">
              <w:rPr>
                <w:rFonts w:eastAsia="Calibri"/>
                <w:sz w:val="20"/>
                <w:szCs w:val="20"/>
              </w:rPr>
              <w:t>3D</w:t>
            </w:r>
            <w:r>
              <w:rPr>
                <w:rFonts w:eastAsia="Calibri"/>
                <w:sz w:val="20"/>
                <w:szCs w:val="20"/>
              </w:rPr>
              <w:t xml:space="preserve"> lineālu iegādi</w:t>
            </w:r>
            <w:r w:rsidR="001C4747">
              <w:rPr>
                <w:rFonts w:eastAsia="Calibri"/>
                <w:sz w:val="20"/>
                <w:szCs w:val="20"/>
              </w:rPr>
              <w:t xml:space="preserve"> VP </w:t>
            </w:r>
            <w:proofErr w:type="spellStart"/>
            <w:r w:rsidR="001C4747">
              <w:rPr>
                <w:rFonts w:eastAsia="Calibri"/>
                <w:sz w:val="20"/>
                <w:szCs w:val="20"/>
              </w:rPr>
              <w:t>CSNg</w:t>
            </w:r>
            <w:proofErr w:type="spellEnd"/>
            <w:r>
              <w:rPr>
                <w:rFonts w:eastAsia="Calibri"/>
                <w:sz w:val="20"/>
                <w:szCs w:val="20"/>
              </w:rPr>
              <w:t xml:space="preserve"> seku novēršanas un izmeklēšanas procesa nodrošināšanai.</w:t>
            </w:r>
            <w:r w:rsidRPr="00D031E0">
              <w:rPr>
                <w:rFonts w:eastAsia="Calibri"/>
                <w:sz w:val="20"/>
                <w:szCs w:val="20"/>
              </w:rPr>
              <w:t xml:space="preserve"> </w:t>
            </w:r>
          </w:p>
        </w:tc>
        <w:tc>
          <w:tcPr>
            <w:tcW w:w="1418" w:type="dxa"/>
            <w:shd w:val="clear" w:color="auto" w:fill="auto"/>
          </w:tcPr>
          <w:p w:rsidR="00D031E0" w:rsidRPr="00025D1F" w:rsidRDefault="00D031E0" w:rsidP="00E37A06">
            <w:pPr>
              <w:jc w:val="center"/>
              <w:rPr>
                <w:rFonts w:cs="Times New Roman"/>
                <w:sz w:val="20"/>
                <w:szCs w:val="20"/>
              </w:rPr>
            </w:pPr>
          </w:p>
        </w:tc>
        <w:tc>
          <w:tcPr>
            <w:tcW w:w="1559" w:type="dxa"/>
            <w:shd w:val="clear" w:color="auto" w:fill="auto"/>
          </w:tcPr>
          <w:p w:rsidR="00D031E0" w:rsidRPr="00025D1F" w:rsidRDefault="001C4747" w:rsidP="00E37A06">
            <w:pPr>
              <w:jc w:val="center"/>
              <w:rPr>
                <w:rFonts w:cs="Times New Roman"/>
                <w:sz w:val="20"/>
                <w:szCs w:val="20"/>
              </w:rPr>
            </w:pPr>
            <w:r>
              <w:rPr>
                <w:rFonts w:cs="Times New Roman"/>
                <w:sz w:val="20"/>
                <w:szCs w:val="20"/>
              </w:rPr>
              <w:t>100</w:t>
            </w:r>
            <w:r w:rsidRPr="00025D1F">
              <w:rPr>
                <w:rFonts w:cs="Times New Roman"/>
                <w:sz w:val="20"/>
                <w:szCs w:val="20"/>
              </w:rPr>
              <w:t xml:space="preserve"> 000 OCTA līdzekļi (06.01.0</w:t>
            </w:r>
            <w:r>
              <w:rPr>
                <w:rFonts w:cs="Times New Roman"/>
                <w:sz w:val="20"/>
                <w:szCs w:val="20"/>
              </w:rPr>
              <w:t>0 “Valsts p</w:t>
            </w:r>
            <w:r w:rsidRPr="00025D1F">
              <w:rPr>
                <w:rFonts w:cs="Times New Roman"/>
                <w:sz w:val="20"/>
                <w:szCs w:val="20"/>
              </w:rPr>
              <w:t>olicija”)</w:t>
            </w:r>
          </w:p>
        </w:tc>
        <w:tc>
          <w:tcPr>
            <w:tcW w:w="1418" w:type="dxa"/>
            <w:gridSpan w:val="2"/>
            <w:shd w:val="clear" w:color="auto" w:fill="auto"/>
          </w:tcPr>
          <w:p w:rsidR="00D031E0" w:rsidRPr="00025D1F" w:rsidRDefault="00D031E0" w:rsidP="00E37A06">
            <w:pPr>
              <w:jc w:val="center"/>
              <w:rPr>
                <w:rFonts w:cs="Times New Roman"/>
                <w:sz w:val="20"/>
                <w:szCs w:val="20"/>
              </w:rPr>
            </w:pPr>
          </w:p>
        </w:tc>
        <w:tc>
          <w:tcPr>
            <w:tcW w:w="1417" w:type="dxa"/>
            <w:gridSpan w:val="2"/>
            <w:shd w:val="clear" w:color="auto" w:fill="auto"/>
          </w:tcPr>
          <w:p w:rsidR="00D031E0" w:rsidRPr="00025D1F" w:rsidRDefault="001C4747" w:rsidP="00E37A06">
            <w:pPr>
              <w:jc w:val="center"/>
              <w:rPr>
                <w:rFonts w:cs="Times New Roman"/>
                <w:sz w:val="20"/>
                <w:szCs w:val="20"/>
              </w:rPr>
            </w:pPr>
            <w:r>
              <w:rPr>
                <w:rFonts w:cs="Times New Roman"/>
                <w:sz w:val="20"/>
                <w:szCs w:val="20"/>
              </w:rPr>
              <w:t>100</w:t>
            </w:r>
            <w:r w:rsidRPr="00025D1F">
              <w:rPr>
                <w:rFonts w:cs="Times New Roman"/>
                <w:sz w:val="20"/>
                <w:szCs w:val="20"/>
              </w:rPr>
              <w:t xml:space="preserve"> 000 OCTA līdzekļi (06.01.0</w:t>
            </w:r>
            <w:r>
              <w:rPr>
                <w:rFonts w:cs="Times New Roman"/>
                <w:sz w:val="20"/>
                <w:szCs w:val="20"/>
              </w:rPr>
              <w:t>0 “Valsts p</w:t>
            </w:r>
            <w:r w:rsidRPr="00025D1F">
              <w:rPr>
                <w:rFonts w:cs="Times New Roman"/>
                <w:sz w:val="20"/>
                <w:szCs w:val="20"/>
              </w:rPr>
              <w:t>olicija”)</w:t>
            </w:r>
          </w:p>
        </w:tc>
        <w:tc>
          <w:tcPr>
            <w:tcW w:w="1418" w:type="dxa"/>
            <w:gridSpan w:val="2"/>
            <w:shd w:val="clear" w:color="auto" w:fill="auto"/>
          </w:tcPr>
          <w:p w:rsidR="00D031E0" w:rsidRPr="00025D1F" w:rsidRDefault="00D031E0" w:rsidP="00E37A06">
            <w:pPr>
              <w:jc w:val="center"/>
              <w:rPr>
                <w:rFonts w:cs="Times New Roman"/>
                <w:sz w:val="20"/>
                <w:szCs w:val="20"/>
              </w:rPr>
            </w:pPr>
          </w:p>
        </w:tc>
        <w:tc>
          <w:tcPr>
            <w:tcW w:w="1559" w:type="dxa"/>
            <w:gridSpan w:val="3"/>
            <w:shd w:val="clear" w:color="auto" w:fill="auto"/>
          </w:tcPr>
          <w:p w:rsidR="00D031E0" w:rsidRPr="00025D1F" w:rsidRDefault="001C4747" w:rsidP="00E37A06">
            <w:pPr>
              <w:jc w:val="center"/>
              <w:rPr>
                <w:rFonts w:cs="Times New Roman"/>
                <w:sz w:val="20"/>
                <w:szCs w:val="20"/>
              </w:rPr>
            </w:pPr>
            <w:r>
              <w:rPr>
                <w:rFonts w:cs="Times New Roman"/>
                <w:sz w:val="20"/>
                <w:szCs w:val="20"/>
              </w:rPr>
              <w:t>100</w:t>
            </w:r>
            <w:r w:rsidRPr="00025D1F">
              <w:rPr>
                <w:rFonts w:cs="Times New Roman"/>
                <w:sz w:val="20"/>
                <w:szCs w:val="20"/>
              </w:rPr>
              <w:t xml:space="preserve"> 000 OCTA līdzekļi (06.01.0</w:t>
            </w:r>
            <w:r>
              <w:rPr>
                <w:rFonts w:cs="Times New Roman"/>
                <w:sz w:val="20"/>
                <w:szCs w:val="20"/>
              </w:rPr>
              <w:t>0 “Valsts p</w:t>
            </w:r>
            <w:r w:rsidRPr="00025D1F">
              <w:rPr>
                <w:rFonts w:cs="Times New Roman"/>
                <w:sz w:val="20"/>
                <w:szCs w:val="20"/>
              </w:rPr>
              <w:t>olicija”)</w:t>
            </w:r>
          </w:p>
        </w:tc>
        <w:tc>
          <w:tcPr>
            <w:tcW w:w="1417" w:type="dxa"/>
            <w:gridSpan w:val="2"/>
            <w:shd w:val="clear" w:color="auto" w:fill="auto"/>
          </w:tcPr>
          <w:p w:rsidR="00D031E0" w:rsidRPr="00025D1F" w:rsidRDefault="00D031E0" w:rsidP="00E37A06">
            <w:pPr>
              <w:jc w:val="center"/>
              <w:rPr>
                <w:rFonts w:cs="Times New Roman"/>
                <w:sz w:val="20"/>
                <w:szCs w:val="20"/>
              </w:rPr>
            </w:pPr>
          </w:p>
        </w:tc>
        <w:tc>
          <w:tcPr>
            <w:tcW w:w="1560" w:type="dxa"/>
            <w:gridSpan w:val="3"/>
            <w:shd w:val="clear" w:color="auto" w:fill="auto"/>
          </w:tcPr>
          <w:p w:rsidR="00D031E0" w:rsidRPr="00025D1F" w:rsidRDefault="001C4747" w:rsidP="00E37A06">
            <w:pPr>
              <w:jc w:val="center"/>
              <w:rPr>
                <w:rFonts w:cs="Times New Roman"/>
                <w:sz w:val="20"/>
                <w:szCs w:val="20"/>
              </w:rPr>
            </w:pPr>
            <w:r>
              <w:rPr>
                <w:rFonts w:cs="Times New Roman"/>
                <w:sz w:val="20"/>
                <w:szCs w:val="20"/>
              </w:rPr>
              <w:t>200</w:t>
            </w:r>
            <w:r w:rsidRPr="00025D1F">
              <w:rPr>
                <w:rFonts w:cs="Times New Roman"/>
                <w:sz w:val="20"/>
                <w:szCs w:val="20"/>
              </w:rPr>
              <w:t xml:space="preserve"> 000 OCTA līdzekļi (06.01.0</w:t>
            </w:r>
            <w:r>
              <w:rPr>
                <w:rFonts w:cs="Times New Roman"/>
                <w:sz w:val="20"/>
                <w:szCs w:val="20"/>
              </w:rPr>
              <w:t>0 “Valsts p</w:t>
            </w:r>
            <w:r w:rsidRPr="00025D1F">
              <w:rPr>
                <w:rFonts w:cs="Times New Roman"/>
                <w:sz w:val="20"/>
                <w:szCs w:val="20"/>
              </w:rPr>
              <w:t>olicija”)</w:t>
            </w:r>
          </w:p>
        </w:tc>
        <w:tc>
          <w:tcPr>
            <w:tcW w:w="1417" w:type="dxa"/>
            <w:shd w:val="clear" w:color="auto" w:fill="DFE4DA" w:themeFill="text2" w:themeFillTint="33"/>
          </w:tcPr>
          <w:p w:rsidR="00D031E0" w:rsidRPr="009D1429" w:rsidRDefault="001C4747" w:rsidP="00E37A06">
            <w:pPr>
              <w:jc w:val="center"/>
              <w:rPr>
                <w:rFonts w:cs="Times New Roman"/>
                <w:sz w:val="20"/>
                <w:szCs w:val="20"/>
              </w:rPr>
            </w:pPr>
            <w:r w:rsidRPr="009D1429">
              <w:rPr>
                <w:rFonts w:cs="Times New Roman"/>
                <w:sz w:val="20"/>
                <w:szCs w:val="20"/>
              </w:rPr>
              <w:t>500 000 OCTA līdzekļi vai valsts budžets (06.01.00 “Valsts policija”)</w:t>
            </w:r>
          </w:p>
        </w:tc>
      </w:tr>
      <w:tr w:rsidR="009A1077" w:rsidRPr="00C737EC" w:rsidTr="00B51EC2">
        <w:trPr>
          <w:jc w:val="center"/>
        </w:trPr>
        <w:tc>
          <w:tcPr>
            <w:tcW w:w="2409" w:type="dxa"/>
            <w:shd w:val="clear" w:color="auto" w:fill="auto"/>
          </w:tcPr>
          <w:p w:rsidR="009A1077" w:rsidRPr="00C737EC" w:rsidRDefault="009A1077" w:rsidP="0025300E">
            <w:pPr>
              <w:jc w:val="both"/>
              <w:rPr>
                <w:rFonts w:cs="Times New Roman"/>
                <w:sz w:val="20"/>
                <w:szCs w:val="20"/>
              </w:rPr>
            </w:pPr>
            <w:r w:rsidRPr="00C737EC">
              <w:rPr>
                <w:rFonts w:cs="Times New Roman"/>
                <w:sz w:val="20"/>
                <w:szCs w:val="20"/>
              </w:rPr>
              <w:t>3.1.4.</w:t>
            </w:r>
          </w:p>
          <w:p w:rsidR="00D26144" w:rsidRPr="00C737EC" w:rsidRDefault="00B51EC2" w:rsidP="0025300E">
            <w:pPr>
              <w:jc w:val="both"/>
              <w:rPr>
                <w:rFonts w:cs="Times New Roman"/>
                <w:sz w:val="20"/>
                <w:szCs w:val="20"/>
              </w:rPr>
            </w:pPr>
            <w:r w:rsidRPr="00C737EC">
              <w:rPr>
                <w:color w:val="000000" w:themeColor="text1"/>
                <w:sz w:val="20"/>
                <w:szCs w:val="20"/>
              </w:rPr>
              <w:t xml:space="preserve">20. </w:t>
            </w:r>
            <w:r w:rsidR="00D26144" w:rsidRPr="00C737EC">
              <w:rPr>
                <w:color w:val="000000" w:themeColor="text1"/>
                <w:sz w:val="20"/>
                <w:szCs w:val="20"/>
              </w:rPr>
              <w:t xml:space="preserve">Nodrošināt nakts redzamības </w:t>
            </w:r>
            <w:proofErr w:type="spellStart"/>
            <w:r w:rsidR="00D26144" w:rsidRPr="00C737EC">
              <w:rPr>
                <w:color w:val="000000" w:themeColor="text1"/>
                <w:sz w:val="20"/>
                <w:szCs w:val="20"/>
              </w:rPr>
              <w:t>termokameru</w:t>
            </w:r>
            <w:proofErr w:type="spellEnd"/>
            <w:r w:rsidR="00D26144" w:rsidRPr="00C737EC">
              <w:rPr>
                <w:color w:val="000000" w:themeColor="text1"/>
                <w:sz w:val="20"/>
                <w:szCs w:val="20"/>
              </w:rPr>
              <w:t xml:space="preserve"> iegādi VP ceļu satiksmes dalībnieku kontrolei.</w:t>
            </w:r>
          </w:p>
          <w:p w:rsidR="009A1077" w:rsidRPr="00C737EC" w:rsidRDefault="009A1077" w:rsidP="0025300E">
            <w:pPr>
              <w:jc w:val="both"/>
              <w:rPr>
                <w:rFonts w:cs="Times New Roman"/>
                <w:sz w:val="20"/>
                <w:szCs w:val="20"/>
              </w:rPr>
            </w:pPr>
          </w:p>
        </w:tc>
        <w:tc>
          <w:tcPr>
            <w:tcW w:w="1418" w:type="dxa"/>
            <w:shd w:val="clear" w:color="auto" w:fill="auto"/>
          </w:tcPr>
          <w:p w:rsidR="009A1077" w:rsidRPr="00C737EC" w:rsidRDefault="009A1077" w:rsidP="00E37A06">
            <w:pPr>
              <w:jc w:val="center"/>
              <w:rPr>
                <w:rFonts w:cs="Times New Roman"/>
                <w:sz w:val="20"/>
                <w:szCs w:val="20"/>
              </w:rPr>
            </w:pPr>
          </w:p>
        </w:tc>
        <w:tc>
          <w:tcPr>
            <w:tcW w:w="1559" w:type="dxa"/>
            <w:shd w:val="clear" w:color="auto" w:fill="auto"/>
          </w:tcPr>
          <w:p w:rsidR="009A1077" w:rsidRPr="00C737EC" w:rsidRDefault="00B51EC2" w:rsidP="00E37A06">
            <w:pPr>
              <w:jc w:val="center"/>
              <w:rPr>
                <w:rFonts w:cs="Times New Roman"/>
                <w:sz w:val="20"/>
                <w:szCs w:val="20"/>
              </w:rPr>
            </w:pPr>
            <w:r w:rsidRPr="00C737EC">
              <w:rPr>
                <w:rFonts w:cs="Times New Roman"/>
                <w:sz w:val="20"/>
                <w:szCs w:val="20"/>
              </w:rPr>
              <w:t>28 000 OCTA līdzekļi (06.01.00 “Valsts policija”)</w:t>
            </w:r>
          </w:p>
        </w:tc>
        <w:tc>
          <w:tcPr>
            <w:tcW w:w="1418" w:type="dxa"/>
            <w:gridSpan w:val="2"/>
            <w:shd w:val="clear" w:color="auto" w:fill="auto"/>
          </w:tcPr>
          <w:p w:rsidR="009A1077" w:rsidRPr="00C737EC" w:rsidRDefault="009A1077" w:rsidP="00E37A06">
            <w:pPr>
              <w:jc w:val="center"/>
              <w:rPr>
                <w:rFonts w:cs="Times New Roman"/>
                <w:sz w:val="20"/>
                <w:szCs w:val="20"/>
              </w:rPr>
            </w:pPr>
          </w:p>
        </w:tc>
        <w:tc>
          <w:tcPr>
            <w:tcW w:w="1417" w:type="dxa"/>
            <w:gridSpan w:val="2"/>
            <w:shd w:val="clear" w:color="auto" w:fill="auto"/>
          </w:tcPr>
          <w:p w:rsidR="009A1077" w:rsidRPr="00C737EC" w:rsidRDefault="009A1077" w:rsidP="00E37A06">
            <w:pPr>
              <w:jc w:val="center"/>
              <w:rPr>
                <w:rFonts w:cs="Times New Roman"/>
                <w:sz w:val="20"/>
                <w:szCs w:val="20"/>
              </w:rPr>
            </w:pPr>
          </w:p>
        </w:tc>
        <w:tc>
          <w:tcPr>
            <w:tcW w:w="1418" w:type="dxa"/>
            <w:gridSpan w:val="2"/>
            <w:shd w:val="clear" w:color="auto" w:fill="auto"/>
          </w:tcPr>
          <w:p w:rsidR="009A1077" w:rsidRPr="00C737EC" w:rsidRDefault="009A1077" w:rsidP="00E37A06">
            <w:pPr>
              <w:jc w:val="center"/>
              <w:rPr>
                <w:rFonts w:cs="Times New Roman"/>
                <w:sz w:val="20"/>
                <w:szCs w:val="20"/>
              </w:rPr>
            </w:pPr>
          </w:p>
        </w:tc>
        <w:tc>
          <w:tcPr>
            <w:tcW w:w="1559" w:type="dxa"/>
            <w:gridSpan w:val="3"/>
            <w:shd w:val="clear" w:color="auto" w:fill="auto"/>
          </w:tcPr>
          <w:p w:rsidR="009A1077" w:rsidRPr="00C737EC" w:rsidRDefault="009A1077" w:rsidP="00E37A06">
            <w:pPr>
              <w:jc w:val="center"/>
              <w:rPr>
                <w:rFonts w:cs="Times New Roman"/>
                <w:sz w:val="20"/>
                <w:szCs w:val="20"/>
              </w:rPr>
            </w:pPr>
          </w:p>
        </w:tc>
        <w:tc>
          <w:tcPr>
            <w:tcW w:w="1417" w:type="dxa"/>
            <w:gridSpan w:val="2"/>
            <w:shd w:val="clear" w:color="auto" w:fill="auto"/>
          </w:tcPr>
          <w:p w:rsidR="009A1077" w:rsidRPr="00C737EC" w:rsidRDefault="009A1077" w:rsidP="00E37A06">
            <w:pPr>
              <w:jc w:val="center"/>
              <w:rPr>
                <w:rFonts w:cs="Times New Roman"/>
                <w:sz w:val="20"/>
                <w:szCs w:val="20"/>
              </w:rPr>
            </w:pPr>
          </w:p>
        </w:tc>
        <w:tc>
          <w:tcPr>
            <w:tcW w:w="1560" w:type="dxa"/>
            <w:gridSpan w:val="3"/>
            <w:shd w:val="clear" w:color="auto" w:fill="auto"/>
          </w:tcPr>
          <w:p w:rsidR="009A1077" w:rsidRPr="00C737EC" w:rsidRDefault="009A1077" w:rsidP="00E37A06">
            <w:pPr>
              <w:jc w:val="center"/>
              <w:rPr>
                <w:rFonts w:cs="Times New Roman"/>
                <w:sz w:val="20"/>
                <w:szCs w:val="20"/>
              </w:rPr>
            </w:pPr>
          </w:p>
        </w:tc>
        <w:tc>
          <w:tcPr>
            <w:tcW w:w="1417" w:type="dxa"/>
            <w:shd w:val="clear" w:color="auto" w:fill="DFE4DA" w:themeFill="text2" w:themeFillTint="33"/>
          </w:tcPr>
          <w:p w:rsidR="009A1077" w:rsidRPr="00C737EC" w:rsidRDefault="00B51EC2" w:rsidP="00E37A06">
            <w:pPr>
              <w:jc w:val="center"/>
              <w:rPr>
                <w:rFonts w:cs="Times New Roman"/>
                <w:sz w:val="20"/>
                <w:szCs w:val="20"/>
              </w:rPr>
            </w:pPr>
            <w:r w:rsidRPr="00C737EC">
              <w:rPr>
                <w:rFonts w:cs="Times New Roman"/>
                <w:sz w:val="20"/>
                <w:szCs w:val="20"/>
              </w:rPr>
              <w:t>28 000 OCTA līdzekļi vai valsts budžets (06.01.00 “Valsts policija”)</w:t>
            </w:r>
          </w:p>
        </w:tc>
      </w:tr>
      <w:tr w:rsidR="009A1077" w:rsidRPr="00C737EC" w:rsidTr="009D1429">
        <w:trPr>
          <w:jc w:val="center"/>
        </w:trPr>
        <w:tc>
          <w:tcPr>
            <w:tcW w:w="2409" w:type="dxa"/>
            <w:shd w:val="clear" w:color="auto" w:fill="auto"/>
          </w:tcPr>
          <w:p w:rsidR="009A1077" w:rsidRPr="00C737EC" w:rsidRDefault="009A1077" w:rsidP="0025300E">
            <w:pPr>
              <w:jc w:val="both"/>
              <w:rPr>
                <w:rFonts w:cs="Times New Roman"/>
                <w:sz w:val="20"/>
                <w:szCs w:val="20"/>
              </w:rPr>
            </w:pPr>
            <w:r w:rsidRPr="00C737EC">
              <w:rPr>
                <w:rFonts w:cs="Times New Roman"/>
                <w:sz w:val="20"/>
                <w:szCs w:val="20"/>
              </w:rPr>
              <w:t>3.1.4.</w:t>
            </w:r>
          </w:p>
          <w:p w:rsidR="00D26144" w:rsidRPr="00C737EC" w:rsidRDefault="00B51EC2" w:rsidP="0025300E">
            <w:pPr>
              <w:jc w:val="both"/>
              <w:rPr>
                <w:rFonts w:cs="Times New Roman"/>
                <w:sz w:val="20"/>
                <w:szCs w:val="20"/>
              </w:rPr>
            </w:pPr>
            <w:r w:rsidRPr="00C737EC">
              <w:rPr>
                <w:rFonts w:eastAsia="Lucida Sans Unicode" w:cs="Times New Roman"/>
                <w:color w:val="000000" w:themeColor="text1"/>
                <w:kern w:val="1"/>
                <w:sz w:val="20"/>
                <w:szCs w:val="20"/>
              </w:rPr>
              <w:t xml:space="preserve">21. </w:t>
            </w:r>
            <w:r w:rsidR="00D26144" w:rsidRPr="00C737EC">
              <w:rPr>
                <w:rFonts w:eastAsia="Lucida Sans Unicode" w:cs="Times New Roman"/>
                <w:color w:val="000000" w:themeColor="text1"/>
                <w:kern w:val="1"/>
                <w:sz w:val="20"/>
                <w:szCs w:val="20"/>
              </w:rPr>
              <w:t>Nodrošināt individuālu kompakto videokameru iegādi VP ceļu satiksmes dalībnieku kontrolei.</w:t>
            </w:r>
          </w:p>
          <w:p w:rsidR="009A1077" w:rsidRPr="00C737EC" w:rsidRDefault="009A1077" w:rsidP="0025300E">
            <w:pPr>
              <w:jc w:val="both"/>
              <w:rPr>
                <w:rFonts w:cs="Times New Roman"/>
                <w:sz w:val="20"/>
                <w:szCs w:val="20"/>
              </w:rPr>
            </w:pPr>
          </w:p>
        </w:tc>
        <w:tc>
          <w:tcPr>
            <w:tcW w:w="1418" w:type="dxa"/>
            <w:shd w:val="clear" w:color="auto" w:fill="auto"/>
          </w:tcPr>
          <w:p w:rsidR="009A1077" w:rsidRPr="00C737EC" w:rsidRDefault="009A1077" w:rsidP="00E37A06">
            <w:pPr>
              <w:jc w:val="center"/>
              <w:rPr>
                <w:rFonts w:cs="Times New Roman"/>
                <w:sz w:val="20"/>
                <w:szCs w:val="20"/>
              </w:rPr>
            </w:pPr>
          </w:p>
        </w:tc>
        <w:tc>
          <w:tcPr>
            <w:tcW w:w="1559" w:type="dxa"/>
            <w:shd w:val="clear" w:color="auto" w:fill="auto"/>
          </w:tcPr>
          <w:p w:rsidR="009A1077" w:rsidRPr="00C737EC" w:rsidRDefault="009A1077" w:rsidP="00E37A06">
            <w:pPr>
              <w:jc w:val="center"/>
              <w:rPr>
                <w:rFonts w:cs="Times New Roman"/>
                <w:sz w:val="20"/>
                <w:szCs w:val="20"/>
              </w:rPr>
            </w:pPr>
          </w:p>
        </w:tc>
        <w:tc>
          <w:tcPr>
            <w:tcW w:w="1418" w:type="dxa"/>
            <w:gridSpan w:val="2"/>
            <w:shd w:val="clear" w:color="auto" w:fill="auto"/>
          </w:tcPr>
          <w:p w:rsidR="009A1077" w:rsidRPr="00C737EC" w:rsidRDefault="009A1077" w:rsidP="00E37A06">
            <w:pPr>
              <w:jc w:val="center"/>
              <w:rPr>
                <w:rFonts w:cs="Times New Roman"/>
                <w:sz w:val="20"/>
                <w:szCs w:val="20"/>
              </w:rPr>
            </w:pPr>
          </w:p>
        </w:tc>
        <w:tc>
          <w:tcPr>
            <w:tcW w:w="1417" w:type="dxa"/>
            <w:gridSpan w:val="2"/>
            <w:shd w:val="clear" w:color="auto" w:fill="auto"/>
          </w:tcPr>
          <w:p w:rsidR="009A1077" w:rsidRPr="00C737EC" w:rsidRDefault="00B51EC2" w:rsidP="00E37A06">
            <w:pPr>
              <w:jc w:val="center"/>
              <w:rPr>
                <w:rFonts w:cs="Times New Roman"/>
                <w:sz w:val="20"/>
                <w:szCs w:val="20"/>
              </w:rPr>
            </w:pPr>
            <w:r w:rsidRPr="00C737EC">
              <w:rPr>
                <w:rFonts w:cs="Times New Roman"/>
                <w:sz w:val="20"/>
                <w:szCs w:val="20"/>
              </w:rPr>
              <w:t>60 000 OCTA līdzekļi vai valsts budžets (06.01.00 “Valsts policija”)</w:t>
            </w:r>
          </w:p>
        </w:tc>
        <w:tc>
          <w:tcPr>
            <w:tcW w:w="1418" w:type="dxa"/>
            <w:gridSpan w:val="2"/>
            <w:shd w:val="clear" w:color="auto" w:fill="auto"/>
          </w:tcPr>
          <w:p w:rsidR="009A1077" w:rsidRPr="00C737EC" w:rsidRDefault="009A1077" w:rsidP="00E37A06">
            <w:pPr>
              <w:jc w:val="center"/>
              <w:rPr>
                <w:rFonts w:cs="Times New Roman"/>
                <w:sz w:val="20"/>
                <w:szCs w:val="20"/>
              </w:rPr>
            </w:pPr>
          </w:p>
        </w:tc>
        <w:tc>
          <w:tcPr>
            <w:tcW w:w="1559" w:type="dxa"/>
            <w:gridSpan w:val="3"/>
            <w:shd w:val="clear" w:color="auto" w:fill="auto"/>
          </w:tcPr>
          <w:p w:rsidR="009A1077" w:rsidRPr="00C737EC" w:rsidRDefault="00B51EC2" w:rsidP="00E37A06">
            <w:pPr>
              <w:jc w:val="center"/>
              <w:rPr>
                <w:rFonts w:cs="Times New Roman"/>
                <w:sz w:val="20"/>
                <w:szCs w:val="20"/>
              </w:rPr>
            </w:pPr>
            <w:r w:rsidRPr="00C737EC">
              <w:rPr>
                <w:rFonts w:cs="Times New Roman"/>
                <w:sz w:val="20"/>
                <w:szCs w:val="20"/>
              </w:rPr>
              <w:t>60 000 OCTA līdzekļi vai valsts budžets (06.01.00 “Valsts policija”)</w:t>
            </w:r>
          </w:p>
        </w:tc>
        <w:tc>
          <w:tcPr>
            <w:tcW w:w="1417" w:type="dxa"/>
            <w:gridSpan w:val="2"/>
            <w:shd w:val="clear" w:color="auto" w:fill="auto"/>
          </w:tcPr>
          <w:p w:rsidR="009A1077" w:rsidRPr="00C737EC" w:rsidRDefault="009A1077" w:rsidP="00E37A06">
            <w:pPr>
              <w:jc w:val="center"/>
              <w:rPr>
                <w:rFonts w:cs="Times New Roman"/>
                <w:sz w:val="20"/>
                <w:szCs w:val="20"/>
              </w:rPr>
            </w:pPr>
          </w:p>
        </w:tc>
        <w:tc>
          <w:tcPr>
            <w:tcW w:w="1560" w:type="dxa"/>
            <w:gridSpan w:val="3"/>
            <w:shd w:val="clear" w:color="auto" w:fill="auto"/>
          </w:tcPr>
          <w:p w:rsidR="009A1077" w:rsidRPr="00C737EC" w:rsidRDefault="00B51EC2" w:rsidP="00E37A06">
            <w:pPr>
              <w:jc w:val="center"/>
              <w:rPr>
                <w:rFonts w:cs="Times New Roman"/>
                <w:sz w:val="20"/>
                <w:szCs w:val="20"/>
              </w:rPr>
            </w:pPr>
            <w:r w:rsidRPr="00C737EC">
              <w:rPr>
                <w:rFonts w:cs="Times New Roman"/>
                <w:sz w:val="20"/>
                <w:szCs w:val="20"/>
              </w:rPr>
              <w:t>60 000 OCTA līdzekļi vai valsts budžets (06.01.00 “Valsts policija”)</w:t>
            </w:r>
          </w:p>
        </w:tc>
        <w:tc>
          <w:tcPr>
            <w:tcW w:w="1417" w:type="dxa"/>
            <w:shd w:val="clear" w:color="auto" w:fill="DFE4DA" w:themeFill="text2" w:themeFillTint="33"/>
          </w:tcPr>
          <w:p w:rsidR="009A1077" w:rsidRPr="00C737EC" w:rsidRDefault="00B51EC2" w:rsidP="00E37A06">
            <w:pPr>
              <w:jc w:val="center"/>
              <w:rPr>
                <w:rFonts w:cs="Times New Roman"/>
                <w:sz w:val="20"/>
                <w:szCs w:val="20"/>
              </w:rPr>
            </w:pPr>
            <w:r w:rsidRPr="00C737EC">
              <w:rPr>
                <w:rFonts w:cs="Times New Roman"/>
                <w:sz w:val="20"/>
                <w:szCs w:val="20"/>
              </w:rPr>
              <w:t>180 000 OCTA līdzekļi vai valsts budžets (06.01.00 “Valsts policija”)</w:t>
            </w:r>
          </w:p>
        </w:tc>
      </w:tr>
      <w:tr w:rsidR="0087671B" w:rsidTr="009D1429">
        <w:trPr>
          <w:jc w:val="center"/>
        </w:trPr>
        <w:tc>
          <w:tcPr>
            <w:tcW w:w="2409" w:type="dxa"/>
          </w:tcPr>
          <w:p w:rsidR="0087671B" w:rsidRPr="00025D1F" w:rsidRDefault="0087671B" w:rsidP="0087671B">
            <w:pPr>
              <w:jc w:val="both"/>
              <w:rPr>
                <w:rFonts w:cs="Times New Roman"/>
                <w:sz w:val="20"/>
                <w:szCs w:val="20"/>
              </w:rPr>
            </w:pPr>
            <w:r w:rsidRPr="00025D1F">
              <w:rPr>
                <w:rFonts w:cs="Times New Roman"/>
                <w:sz w:val="20"/>
                <w:szCs w:val="20"/>
              </w:rPr>
              <w:t>3.1.4.</w:t>
            </w:r>
          </w:p>
          <w:p w:rsidR="0087671B" w:rsidRPr="00025D1F" w:rsidRDefault="00B51EC2" w:rsidP="0087671B">
            <w:pPr>
              <w:jc w:val="both"/>
              <w:rPr>
                <w:rFonts w:cs="Times New Roman"/>
                <w:sz w:val="20"/>
                <w:szCs w:val="20"/>
              </w:rPr>
            </w:pPr>
            <w:r>
              <w:rPr>
                <w:rFonts w:cs="Times New Roman"/>
                <w:sz w:val="20"/>
                <w:szCs w:val="20"/>
              </w:rPr>
              <w:t>22</w:t>
            </w:r>
            <w:r w:rsidR="0087671B" w:rsidRPr="00025D1F">
              <w:rPr>
                <w:rFonts w:cs="Times New Roman"/>
                <w:sz w:val="20"/>
                <w:szCs w:val="20"/>
              </w:rPr>
              <w:t xml:space="preserve">. </w:t>
            </w:r>
            <w:r w:rsidR="0087671B" w:rsidRPr="00025D1F">
              <w:rPr>
                <w:rFonts w:eastAsia="Calibri" w:cs="Times New Roman"/>
                <w:color w:val="000000"/>
                <w:sz w:val="20"/>
                <w:szCs w:val="20"/>
              </w:rPr>
              <w:t>Veikt speciālā aprīkojuma iegādi, lai nodrošinātu VRS uzdevumu izpildi ceļu satiksmes drošības paaugstināšanā</w:t>
            </w:r>
          </w:p>
        </w:tc>
        <w:tc>
          <w:tcPr>
            <w:tcW w:w="1418" w:type="dxa"/>
          </w:tcPr>
          <w:p w:rsidR="0087671B" w:rsidRPr="00025D1F" w:rsidRDefault="0087671B" w:rsidP="00E37A06">
            <w:pPr>
              <w:jc w:val="center"/>
              <w:rPr>
                <w:rFonts w:cs="Times New Roman"/>
                <w:sz w:val="20"/>
                <w:szCs w:val="20"/>
              </w:rPr>
            </w:pPr>
          </w:p>
        </w:tc>
        <w:tc>
          <w:tcPr>
            <w:tcW w:w="1559" w:type="dxa"/>
          </w:tcPr>
          <w:p w:rsidR="0087671B" w:rsidRPr="00025D1F" w:rsidRDefault="0087671B" w:rsidP="00E37A06">
            <w:pPr>
              <w:jc w:val="center"/>
              <w:rPr>
                <w:rFonts w:cs="Times New Roman"/>
                <w:sz w:val="20"/>
                <w:szCs w:val="20"/>
              </w:rPr>
            </w:pPr>
            <w:r w:rsidRPr="00025D1F">
              <w:rPr>
                <w:rFonts w:cs="Times New Roman"/>
                <w:sz w:val="20"/>
                <w:szCs w:val="20"/>
              </w:rPr>
              <w:t>8200</w:t>
            </w:r>
          </w:p>
          <w:p w:rsidR="0087671B" w:rsidRDefault="0087671B" w:rsidP="00E37A06">
            <w:pPr>
              <w:jc w:val="center"/>
              <w:rPr>
                <w:rFonts w:cs="Times New Roman"/>
                <w:sz w:val="20"/>
                <w:szCs w:val="20"/>
              </w:rPr>
            </w:pPr>
            <w:r w:rsidRPr="00025D1F">
              <w:rPr>
                <w:rFonts w:cs="Times New Roman"/>
                <w:sz w:val="20"/>
                <w:szCs w:val="20"/>
              </w:rPr>
              <w:t>OCTA līdzekļi</w:t>
            </w:r>
          </w:p>
          <w:p w:rsidR="00425E03" w:rsidRPr="00025D1F" w:rsidRDefault="00425E03" w:rsidP="00E37A06">
            <w:pPr>
              <w:jc w:val="center"/>
              <w:rPr>
                <w:rFonts w:cs="Times New Roman"/>
                <w:sz w:val="20"/>
                <w:szCs w:val="20"/>
              </w:rPr>
            </w:pPr>
            <w:r>
              <w:rPr>
                <w:rFonts w:cs="Times New Roman"/>
                <w:sz w:val="20"/>
                <w:szCs w:val="20"/>
              </w:rPr>
              <w:t>(10.00.00. “Valsts robežsardzes darbība”)</w:t>
            </w:r>
          </w:p>
        </w:tc>
        <w:tc>
          <w:tcPr>
            <w:tcW w:w="1418" w:type="dxa"/>
            <w:gridSpan w:val="2"/>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r w:rsidRPr="00025D1F">
              <w:rPr>
                <w:rFonts w:cs="Times New Roman"/>
                <w:sz w:val="20"/>
                <w:szCs w:val="20"/>
              </w:rPr>
              <w:t>8200</w:t>
            </w:r>
          </w:p>
          <w:p w:rsidR="0087671B" w:rsidRDefault="0087671B" w:rsidP="00E37A06">
            <w:pPr>
              <w:jc w:val="center"/>
              <w:rPr>
                <w:rFonts w:cs="Times New Roman"/>
                <w:sz w:val="20"/>
                <w:szCs w:val="20"/>
              </w:rPr>
            </w:pPr>
            <w:r w:rsidRPr="00025D1F">
              <w:rPr>
                <w:rFonts w:cs="Times New Roman"/>
                <w:sz w:val="20"/>
                <w:szCs w:val="20"/>
              </w:rPr>
              <w:t>OCTA līdzekļi</w:t>
            </w:r>
          </w:p>
          <w:p w:rsidR="00425E03" w:rsidRPr="00025D1F" w:rsidRDefault="00425E03" w:rsidP="00E37A06">
            <w:pPr>
              <w:jc w:val="center"/>
              <w:rPr>
                <w:rFonts w:cs="Times New Roman"/>
                <w:sz w:val="20"/>
                <w:szCs w:val="20"/>
              </w:rPr>
            </w:pPr>
            <w:r>
              <w:rPr>
                <w:rFonts w:cs="Times New Roman"/>
                <w:sz w:val="20"/>
                <w:szCs w:val="20"/>
              </w:rPr>
              <w:t>(10.00.00. “Valsts robežsardzes darbība”)</w:t>
            </w:r>
          </w:p>
        </w:tc>
        <w:tc>
          <w:tcPr>
            <w:tcW w:w="1418" w:type="dxa"/>
            <w:gridSpan w:val="2"/>
          </w:tcPr>
          <w:p w:rsidR="0087671B" w:rsidRPr="00025D1F" w:rsidRDefault="0087671B" w:rsidP="00E37A06">
            <w:pPr>
              <w:jc w:val="center"/>
              <w:rPr>
                <w:rFonts w:cs="Times New Roman"/>
                <w:sz w:val="20"/>
                <w:szCs w:val="20"/>
              </w:rPr>
            </w:pPr>
          </w:p>
        </w:tc>
        <w:tc>
          <w:tcPr>
            <w:tcW w:w="1559" w:type="dxa"/>
            <w:gridSpan w:val="3"/>
          </w:tcPr>
          <w:p w:rsidR="0087671B" w:rsidRPr="00025D1F" w:rsidRDefault="0087671B" w:rsidP="00E37A06">
            <w:pPr>
              <w:jc w:val="center"/>
              <w:rPr>
                <w:rFonts w:cs="Times New Roman"/>
                <w:sz w:val="20"/>
                <w:szCs w:val="20"/>
              </w:rPr>
            </w:pPr>
            <w:r w:rsidRPr="00025D1F">
              <w:rPr>
                <w:rFonts w:cs="Times New Roman"/>
                <w:sz w:val="20"/>
                <w:szCs w:val="20"/>
              </w:rPr>
              <w:t>4800</w:t>
            </w:r>
          </w:p>
          <w:p w:rsidR="0087671B" w:rsidRDefault="0087671B" w:rsidP="00E37A06">
            <w:pPr>
              <w:jc w:val="center"/>
              <w:rPr>
                <w:rFonts w:cs="Times New Roman"/>
                <w:sz w:val="20"/>
                <w:szCs w:val="20"/>
              </w:rPr>
            </w:pPr>
            <w:r w:rsidRPr="00025D1F">
              <w:rPr>
                <w:rFonts w:cs="Times New Roman"/>
                <w:sz w:val="20"/>
                <w:szCs w:val="20"/>
              </w:rPr>
              <w:t>OCTA līdzekļi</w:t>
            </w:r>
          </w:p>
          <w:p w:rsidR="00425E03" w:rsidRPr="00025D1F" w:rsidRDefault="00425E03" w:rsidP="00E37A06">
            <w:pPr>
              <w:jc w:val="center"/>
              <w:rPr>
                <w:rFonts w:cs="Times New Roman"/>
                <w:sz w:val="20"/>
                <w:szCs w:val="20"/>
              </w:rPr>
            </w:pPr>
            <w:r>
              <w:rPr>
                <w:rFonts w:cs="Times New Roman"/>
                <w:sz w:val="20"/>
                <w:szCs w:val="20"/>
              </w:rPr>
              <w:t>(10.00.00. “Valsts robežsardzes darbība”)</w:t>
            </w:r>
          </w:p>
        </w:tc>
        <w:tc>
          <w:tcPr>
            <w:tcW w:w="1417" w:type="dxa"/>
            <w:gridSpan w:val="2"/>
          </w:tcPr>
          <w:p w:rsidR="0087671B" w:rsidRPr="00025D1F" w:rsidRDefault="0087671B" w:rsidP="00E37A06">
            <w:pPr>
              <w:jc w:val="center"/>
              <w:rPr>
                <w:rFonts w:cs="Times New Roman"/>
                <w:sz w:val="20"/>
                <w:szCs w:val="20"/>
              </w:rPr>
            </w:pPr>
          </w:p>
        </w:tc>
        <w:tc>
          <w:tcPr>
            <w:tcW w:w="1560" w:type="dxa"/>
            <w:gridSpan w:val="3"/>
          </w:tcPr>
          <w:p w:rsidR="0087671B" w:rsidRPr="00025D1F" w:rsidRDefault="0087671B" w:rsidP="00E37A06">
            <w:pPr>
              <w:jc w:val="center"/>
              <w:rPr>
                <w:rFonts w:cs="Times New Roman"/>
                <w:sz w:val="20"/>
                <w:szCs w:val="20"/>
              </w:rPr>
            </w:pPr>
            <w:r w:rsidRPr="00025D1F">
              <w:rPr>
                <w:rFonts w:cs="Times New Roman"/>
                <w:sz w:val="20"/>
                <w:szCs w:val="20"/>
              </w:rPr>
              <w:t>8200</w:t>
            </w:r>
          </w:p>
          <w:p w:rsidR="0087671B" w:rsidRDefault="0087671B" w:rsidP="00E37A06">
            <w:pPr>
              <w:jc w:val="center"/>
              <w:rPr>
                <w:rFonts w:cs="Times New Roman"/>
                <w:sz w:val="20"/>
                <w:szCs w:val="20"/>
              </w:rPr>
            </w:pPr>
            <w:r w:rsidRPr="00025D1F">
              <w:rPr>
                <w:rFonts w:cs="Times New Roman"/>
                <w:sz w:val="20"/>
                <w:szCs w:val="20"/>
              </w:rPr>
              <w:t>OCTA līdzekļi</w:t>
            </w:r>
          </w:p>
          <w:p w:rsidR="00425E03" w:rsidRPr="00025D1F" w:rsidRDefault="00425E03" w:rsidP="00E37A06">
            <w:pPr>
              <w:jc w:val="center"/>
              <w:rPr>
                <w:rFonts w:cs="Times New Roman"/>
                <w:sz w:val="20"/>
                <w:szCs w:val="20"/>
              </w:rPr>
            </w:pPr>
            <w:r>
              <w:rPr>
                <w:rFonts w:cs="Times New Roman"/>
                <w:sz w:val="20"/>
                <w:szCs w:val="20"/>
              </w:rPr>
              <w:t>(10.00.00. “Valsts robežsardzes darbība”)</w:t>
            </w:r>
          </w:p>
        </w:tc>
        <w:tc>
          <w:tcPr>
            <w:tcW w:w="1417" w:type="dxa"/>
            <w:shd w:val="clear" w:color="auto" w:fill="DFE4DA" w:themeFill="text2" w:themeFillTint="33"/>
          </w:tcPr>
          <w:p w:rsidR="0087671B" w:rsidRPr="009D1429" w:rsidRDefault="0087671B" w:rsidP="00E37A06">
            <w:pPr>
              <w:jc w:val="center"/>
              <w:rPr>
                <w:rFonts w:cs="Times New Roman"/>
                <w:sz w:val="20"/>
                <w:szCs w:val="20"/>
              </w:rPr>
            </w:pPr>
            <w:r w:rsidRPr="009D1429">
              <w:rPr>
                <w:rFonts w:cs="Times New Roman"/>
                <w:sz w:val="20"/>
                <w:szCs w:val="20"/>
              </w:rPr>
              <w:t>29 400</w:t>
            </w:r>
          </w:p>
          <w:p w:rsidR="0087671B" w:rsidRPr="009D1429" w:rsidRDefault="0087671B" w:rsidP="00E37A06">
            <w:pPr>
              <w:jc w:val="center"/>
              <w:rPr>
                <w:rFonts w:cs="Times New Roman"/>
                <w:sz w:val="20"/>
                <w:szCs w:val="20"/>
              </w:rPr>
            </w:pPr>
            <w:r w:rsidRPr="009D1429">
              <w:rPr>
                <w:rFonts w:cs="Times New Roman"/>
                <w:sz w:val="20"/>
                <w:szCs w:val="20"/>
              </w:rPr>
              <w:t>OCTA līdzekļi</w:t>
            </w:r>
          </w:p>
          <w:p w:rsidR="00425E03" w:rsidRPr="009D1429" w:rsidRDefault="00425E03" w:rsidP="00E37A06">
            <w:pPr>
              <w:jc w:val="center"/>
              <w:rPr>
                <w:rFonts w:cs="Times New Roman"/>
                <w:sz w:val="20"/>
                <w:szCs w:val="20"/>
              </w:rPr>
            </w:pPr>
            <w:r w:rsidRPr="009D1429">
              <w:rPr>
                <w:rFonts w:cs="Times New Roman"/>
                <w:sz w:val="20"/>
                <w:szCs w:val="20"/>
              </w:rPr>
              <w:t>(10.00.00. “Valsts robežsardzes darbība”)</w:t>
            </w:r>
          </w:p>
        </w:tc>
      </w:tr>
      <w:tr w:rsidR="0087671B" w:rsidTr="009D1429">
        <w:trPr>
          <w:jc w:val="center"/>
        </w:trPr>
        <w:tc>
          <w:tcPr>
            <w:tcW w:w="2409" w:type="dxa"/>
          </w:tcPr>
          <w:p w:rsidR="0087671B" w:rsidRPr="00025D1F" w:rsidRDefault="00BE0FD6" w:rsidP="0087671B">
            <w:pPr>
              <w:jc w:val="both"/>
              <w:rPr>
                <w:rFonts w:cs="Times New Roman"/>
                <w:sz w:val="20"/>
                <w:szCs w:val="20"/>
              </w:rPr>
            </w:pPr>
            <w:r w:rsidRPr="00025D1F">
              <w:rPr>
                <w:rFonts w:cs="Times New Roman"/>
                <w:sz w:val="20"/>
                <w:szCs w:val="20"/>
              </w:rPr>
              <w:t>3.1.4.</w:t>
            </w:r>
          </w:p>
          <w:p w:rsidR="00BE0FD6" w:rsidRPr="00025D1F" w:rsidRDefault="00B51EC2" w:rsidP="0087671B">
            <w:pPr>
              <w:jc w:val="both"/>
              <w:rPr>
                <w:rFonts w:cs="Times New Roman"/>
                <w:sz w:val="20"/>
                <w:szCs w:val="20"/>
              </w:rPr>
            </w:pPr>
            <w:r>
              <w:rPr>
                <w:rFonts w:cs="Times New Roman"/>
                <w:sz w:val="20"/>
                <w:szCs w:val="20"/>
              </w:rPr>
              <w:t>23</w:t>
            </w:r>
            <w:r w:rsidR="001C4747">
              <w:rPr>
                <w:rFonts w:cs="Times New Roman"/>
                <w:sz w:val="20"/>
                <w:szCs w:val="20"/>
              </w:rPr>
              <w:t>.</w:t>
            </w:r>
            <w:r w:rsidR="00BE0FD6" w:rsidRPr="00025D1F">
              <w:rPr>
                <w:rFonts w:cs="Times New Roman"/>
                <w:sz w:val="20"/>
                <w:szCs w:val="20"/>
              </w:rPr>
              <w:t xml:space="preserve"> </w:t>
            </w:r>
            <w:r w:rsidR="00BE0FD6" w:rsidRPr="00025D1F">
              <w:rPr>
                <w:rFonts w:eastAsia="Calibri" w:cs="Times New Roman"/>
                <w:sz w:val="20"/>
                <w:szCs w:val="20"/>
                <w:lang w:eastAsia="ar-SA"/>
              </w:rPr>
              <w:t xml:space="preserve">Veikt </w:t>
            </w:r>
            <w:proofErr w:type="spellStart"/>
            <w:r w:rsidR="00BE0FD6" w:rsidRPr="00025D1F">
              <w:rPr>
                <w:rFonts w:eastAsia="Calibri" w:cs="Times New Roman"/>
                <w:sz w:val="20"/>
                <w:szCs w:val="20"/>
                <w:lang w:eastAsia="ar-SA"/>
              </w:rPr>
              <w:t>videoreģistrator</w:t>
            </w:r>
            <w:r w:rsidR="00CB2259">
              <w:rPr>
                <w:rFonts w:eastAsia="Calibri" w:cs="Times New Roman"/>
                <w:sz w:val="20"/>
                <w:szCs w:val="20"/>
                <w:lang w:eastAsia="ar-SA"/>
              </w:rPr>
              <w:t>u</w:t>
            </w:r>
            <w:proofErr w:type="spellEnd"/>
            <w:r w:rsidR="00CB2259">
              <w:rPr>
                <w:rFonts w:eastAsia="Calibri" w:cs="Times New Roman"/>
                <w:sz w:val="20"/>
                <w:szCs w:val="20"/>
                <w:lang w:eastAsia="ar-SA"/>
              </w:rPr>
              <w:t xml:space="preserve"> iegādi</w:t>
            </w:r>
            <w:r w:rsidR="00BE0FD6" w:rsidRPr="00025D1F">
              <w:rPr>
                <w:rFonts w:eastAsia="Calibri" w:cs="Times New Roman"/>
                <w:sz w:val="20"/>
                <w:szCs w:val="20"/>
                <w:lang w:eastAsia="ar-SA"/>
              </w:rPr>
              <w:t xml:space="preserve"> robežpārkāpēja ceļu satiksmes pārkāpuma pierād</w:t>
            </w:r>
            <w:r w:rsidR="00425E03">
              <w:rPr>
                <w:rFonts w:eastAsia="Calibri" w:cs="Times New Roman"/>
                <w:sz w:val="20"/>
                <w:szCs w:val="20"/>
                <w:lang w:eastAsia="ar-SA"/>
              </w:rPr>
              <w:t xml:space="preserve">ījumu fiksēšanai, sākotnējā </w:t>
            </w:r>
            <w:proofErr w:type="spellStart"/>
            <w:r w:rsidR="00425E03">
              <w:rPr>
                <w:rFonts w:eastAsia="Calibri" w:cs="Times New Roman"/>
                <w:sz w:val="20"/>
                <w:szCs w:val="20"/>
                <w:lang w:eastAsia="ar-SA"/>
              </w:rPr>
              <w:t>CSN</w:t>
            </w:r>
            <w:r w:rsidR="00BE0FD6" w:rsidRPr="00025D1F">
              <w:rPr>
                <w:rFonts w:eastAsia="Calibri" w:cs="Times New Roman"/>
                <w:sz w:val="20"/>
                <w:szCs w:val="20"/>
                <w:lang w:eastAsia="ar-SA"/>
              </w:rPr>
              <w:t>g</w:t>
            </w:r>
            <w:proofErr w:type="spellEnd"/>
            <w:r w:rsidR="00BE0FD6" w:rsidRPr="00025D1F">
              <w:rPr>
                <w:rFonts w:eastAsia="Calibri" w:cs="Times New Roman"/>
                <w:sz w:val="20"/>
                <w:szCs w:val="20"/>
                <w:lang w:eastAsia="ar-SA"/>
              </w:rPr>
              <w:t xml:space="preserve"> apstākļu fiksēšanai.</w:t>
            </w:r>
          </w:p>
        </w:tc>
        <w:tc>
          <w:tcPr>
            <w:tcW w:w="1418" w:type="dxa"/>
          </w:tcPr>
          <w:p w:rsidR="0087671B" w:rsidRPr="00025D1F" w:rsidRDefault="0087671B" w:rsidP="00E37A06">
            <w:pPr>
              <w:jc w:val="center"/>
              <w:rPr>
                <w:rFonts w:cs="Times New Roman"/>
                <w:sz w:val="20"/>
                <w:szCs w:val="20"/>
              </w:rPr>
            </w:pPr>
          </w:p>
        </w:tc>
        <w:tc>
          <w:tcPr>
            <w:tcW w:w="1559" w:type="dxa"/>
          </w:tcPr>
          <w:p w:rsidR="0087671B" w:rsidRPr="00025D1F" w:rsidRDefault="00BE0FD6" w:rsidP="00E37A06">
            <w:pPr>
              <w:jc w:val="center"/>
              <w:rPr>
                <w:rFonts w:cs="Times New Roman"/>
                <w:sz w:val="20"/>
                <w:szCs w:val="20"/>
              </w:rPr>
            </w:pPr>
            <w:r w:rsidRPr="00025D1F">
              <w:rPr>
                <w:rFonts w:cs="Times New Roman"/>
                <w:sz w:val="20"/>
                <w:szCs w:val="20"/>
              </w:rPr>
              <w:t>3000</w:t>
            </w:r>
          </w:p>
          <w:p w:rsidR="00BE0FD6" w:rsidRDefault="00BE0FD6" w:rsidP="00E37A06">
            <w:pPr>
              <w:jc w:val="center"/>
              <w:rPr>
                <w:rFonts w:cs="Times New Roman"/>
                <w:sz w:val="20"/>
                <w:szCs w:val="20"/>
              </w:rPr>
            </w:pPr>
            <w:r w:rsidRPr="00025D1F">
              <w:rPr>
                <w:rFonts w:cs="Times New Roman"/>
                <w:sz w:val="20"/>
                <w:szCs w:val="20"/>
              </w:rPr>
              <w:t>OCTA līdzekļi</w:t>
            </w:r>
          </w:p>
          <w:p w:rsidR="00425E03" w:rsidRPr="00025D1F" w:rsidRDefault="00425E03" w:rsidP="00E37A06">
            <w:pPr>
              <w:jc w:val="center"/>
              <w:rPr>
                <w:rFonts w:cs="Times New Roman"/>
                <w:sz w:val="20"/>
                <w:szCs w:val="20"/>
              </w:rPr>
            </w:pPr>
            <w:r>
              <w:rPr>
                <w:rFonts w:cs="Times New Roman"/>
                <w:sz w:val="20"/>
                <w:szCs w:val="20"/>
              </w:rPr>
              <w:t>(10.00.00. “Valsts robežsardzes darbība”)</w:t>
            </w:r>
          </w:p>
        </w:tc>
        <w:tc>
          <w:tcPr>
            <w:tcW w:w="1418" w:type="dxa"/>
            <w:gridSpan w:val="2"/>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p>
        </w:tc>
        <w:tc>
          <w:tcPr>
            <w:tcW w:w="1418" w:type="dxa"/>
            <w:gridSpan w:val="2"/>
          </w:tcPr>
          <w:p w:rsidR="0087671B" w:rsidRPr="00025D1F" w:rsidRDefault="0087671B" w:rsidP="00E37A06">
            <w:pPr>
              <w:jc w:val="center"/>
              <w:rPr>
                <w:rFonts w:cs="Times New Roman"/>
                <w:sz w:val="20"/>
                <w:szCs w:val="20"/>
              </w:rPr>
            </w:pPr>
          </w:p>
        </w:tc>
        <w:tc>
          <w:tcPr>
            <w:tcW w:w="1559" w:type="dxa"/>
            <w:gridSpan w:val="3"/>
          </w:tcPr>
          <w:p w:rsidR="0087671B" w:rsidRPr="00025D1F" w:rsidRDefault="00BE0FD6" w:rsidP="00E37A06">
            <w:pPr>
              <w:jc w:val="center"/>
              <w:rPr>
                <w:rFonts w:cs="Times New Roman"/>
                <w:sz w:val="20"/>
                <w:szCs w:val="20"/>
              </w:rPr>
            </w:pPr>
            <w:r w:rsidRPr="00025D1F">
              <w:rPr>
                <w:rFonts w:cs="Times New Roman"/>
                <w:sz w:val="20"/>
                <w:szCs w:val="20"/>
              </w:rPr>
              <w:t>17 000</w:t>
            </w:r>
          </w:p>
          <w:p w:rsidR="00BE0FD6" w:rsidRDefault="00BE0FD6" w:rsidP="00E37A06">
            <w:pPr>
              <w:jc w:val="center"/>
              <w:rPr>
                <w:rFonts w:cs="Times New Roman"/>
                <w:sz w:val="20"/>
                <w:szCs w:val="20"/>
              </w:rPr>
            </w:pPr>
            <w:r w:rsidRPr="00025D1F">
              <w:rPr>
                <w:rFonts w:cs="Times New Roman"/>
                <w:sz w:val="20"/>
                <w:szCs w:val="20"/>
              </w:rPr>
              <w:t>OCTA līdzekļi</w:t>
            </w:r>
          </w:p>
          <w:p w:rsidR="00425E03" w:rsidRPr="00025D1F" w:rsidRDefault="00425E03" w:rsidP="00E37A06">
            <w:pPr>
              <w:jc w:val="center"/>
              <w:rPr>
                <w:rFonts w:cs="Times New Roman"/>
                <w:sz w:val="20"/>
                <w:szCs w:val="20"/>
              </w:rPr>
            </w:pPr>
            <w:r>
              <w:rPr>
                <w:rFonts w:cs="Times New Roman"/>
                <w:sz w:val="20"/>
                <w:szCs w:val="20"/>
              </w:rPr>
              <w:t>(10.00.00. “Valsts robežsardzes darbība”)</w:t>
            </w:r>
          </w:p>
        </w:tc>
        <w:tc>
          <w:tcPr>
            <w:tcW w:w="1417" w:type="dxa"/>
            <w:gridSpan w:val="2"/>
          </w:tcPr>
          <w:p w:rsidR="0087671B" w:rsidRPr="00025D1F" w:rsidRDefault="0087671B" w:rsidP="00E37A06">
            <w:pPr>
              <w:jc w:val="center"/>
              <w:rPr>
                <w:rFonts w:cs="Times New Roman"/>
                <w:sz w:val="20"/>
                <w:szCs w:val="20"/>
              </w:rPr>
            </w:pPr>
          </w:p>
        </w:tc>
        <w:tc>
          <w:tcPr>
            <w:tcW w:w="1560" w:type="dxa"/>
            <w:gridSpan w:val="3"/>
          </w:tcPr>
          <w:p w:rsidR="0087671B" w:rsidRPr="00025D1F" w:rsidRDefault="0087671B" w:rsidP="00E37A06">
            <w:pPr>
              <w:jc w:val="center"/>
              <w:rPr>
                <w:rFonts w:cs="Times New Roman"/>
                <w:sz w:val="20"/>
                <w:szCs w:val="20"/>
              </w:rPr>
            </w:pPr>
          </w:p>
        </w:tc>
        <w:tc>
          <w:tcPr>
            <w:tcW w:w="1417" w:type="dxa"/>
            <w:shd w:val="clear" w:color="auto" w:fill="DFE4DA" w:themeFill="text2" w:themeFillTint="33"/>
          </w:tcPr>
          <w:p w:rsidR="0087671B" w:rsidRPr="009D1429" w:rsidRDefault="00BE0FD6" w:rsidP="00E37A06">
            <w:pPr>
              <w:jc w:val="center"/>
              <w:rPr>
                <w:rFonts w:cs="Times New Roman"/>
                <w:sz w:val="20"/>
                <w:szCs w:val="20"/>
              </w:rPr>
            </w:pPr>
            <w:r w:rsidRPr="009D1429">
              <w:rPr>
                <w:rFonts w:cs="Times New Roman"/>
                <w:sz w:val="20"/>
                <w:szCs w:val="20"/>
              </w:rPr>
              <w:t>20 000</w:t>
            </w:r>
          </w:p>
          <w:p w:rsidR="00BE0FD6" w:rsidRPr="009D1429" w:rsidRDefault="00BE0FD6" w:rsidP="00E37A06">
            <w:pPr>
              <w:jc w:val="center"/>
              <w:rPr>
                <w:rFonts w:cs="Times New Roman"/>
                <w:sz w:val="20"/>
                <w:szCs w:val="20"/>
              </w:rPr>
            </w:pPr>
            <w:r w:rsidRPr="009D1429">
              <w:rPr>
                <w:rFonts w:cs="Times New Roman"/>
                <w:sz w:val="20"/>
                <w:szCs w:val="20"/>
              </w:rPr>
              <w:t>OCTA līdzekļi</w:t>
            </w:r>
          </w:p>
          <w:p w:rsidR="00425E03" w:rsidRPr="009D1429" w:rsidRDefault="00425E03" w:rsidP="00E37A06">
            <w:pPr>
              <w:jc w:val="center"/>
              <w:rPr>
                <w:rFonts w:cs="Times New Roman"/>
                <w:sz w:val="20"/>
                <w:szCs w:val="20"/>
              </w:rPr>
            </w:pPr>
            <w:r w:rsidRPr="009D1429">
              <w:rPr>
                <w:rFonts w:cs="Times New Roman"/>
                <w:sz w:val="20"/>
                <w:szCs w:val="20"/>
              </w:rPr>
              <w:t>(10.00.00. “Valsts robežsardzes darbība”)</w:t>
            </w:r>
          </w:p>
        </w:tc>
      </w:tr>
      <w:tr w:rsidR="0087671B" w:rsidTr="00BB19EA">
        <w:trPr>
          <w:jc w:val="center"/>
        </w:trPr>
        <w:tc>
          <w:tcPr>
            <w:tcW w:w="2409" w:type="dxa"/>
            <w:shd w:val="clear" w:color="auto" w:fill="F3B46B" w:themeFill="accent1" w:themeFillTint="99"/>
          </w:tcPr>
          <w:p w:rsidR="0087671B" w:rsidRDefault="00EB5D7D" w:rsidP="0087671B">
            <w:pPr>
              <w:jc w:val="both"/>
              <w:rPr>
                <w:rFonts w:cs="Times New Roman"/>
                <w:b/>
                <w:sz w:val="20"/>
                <w:szCs w:val="20"/>
              </w:rPr>
            </w:pPr>
            <w:r>
              <w:rPr>
                <w:rFonts w:cs="Times New Roman"/>
                <w:b/>
                <w:sz w:val="20"/>
                <w:szCs w:val="20"/>
              </w:rPr>
              <w:t xml:space="preserve">3.2. </w:t>
            </w:r>
            <w:r w:rsidR="0087671B" w:rsidRPr="0025300E">
              <w:rPr>
                <w:rFonts w:cs="Times New Roman"/>
                <w:b/>
                <w:sz w:val="20"/>
                <w:szCs w:val="20"/>
              </w:rPr>
              <w:t>Satiksmes dalībnieku izglītošana un informēšana</w:t>
            </w:r>
          </w:p>
          <w:p w:rsidR="00B02243" w:rsidRPr="00D23634" w:rsidRDefault="00B02243" w:rsidP="0087671B">
            <w:pPr>
              <w:jc w:val="both"/>
              <w:rPr>
                <w:rFonts w:cs="Times New Roman"/>
                <w:sz w:val="20"/>
                <w:szCs w:val="20"/>
              </w:rPr>
            </w:pPr>
          </w:p>
        </w:tc>
        <w:tc>
          <w:tcPr>
            <w:tcW w:w="13183" w:type="dxa"/>
            <w:gridSpan w:val="17"/>
          </w:tcPr>
          <w:p w:rsidR="0087671B" w:rsidRPr="00D23634" w:rsidRDefault="0087671B" w:rsidP="00E37A06">
            <w:pPr>
              <w:jc w:val="center"/>
              <w:rPr>
                <w:rFonts w:cs="Times New Roman"/>
                <w:sz w:val="20"/>
                <w:szCs w:val="20"/>
              </w:rPr>
            </w:pPr>
          </w:p>
        </w:tc>
      </w:tr>
      <w:tr w:rsidR="0087671B" w:rsidTr="00BB19EA">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.1.</w:t>
            </w:r>
          </w:p>
          <w:p w:rsidR="0087671B" w:rsidRPr="00025D1F" w:rsidRDefault="0087671B" w:rsidP="0087671B">
            <w:pPr>
              <w:jc w:val="both"/>
              <w:rPr>
                <w:rFonts w:cs="Times New Roman"/>
                <w:sz w:val="20"/>
                <w:szCs w:val="20"/>
              </w:rPr>
            </w:pPr>
            <w:r w:rsidRPr="00025D1F">
              <w:rPr>
                <w:rFonts w:cs="Times New Roman"/>
                <w:sz w:val="20"/>
                <w:szCs w:val="20"/>
              </w:rPr>
              <w:t xml:space="preserve">1. </w:t>
            </w:r>
            <w:r w:rsidR="007754C1" w:rsidRPr="00A6562D">
              <w:rPr>
                <w:rFonts w:cs="Times New Roman"/>
                <w:color w:val="000000" w:themeColor="text1"/>
                <w:sz w:val="20"/>
                <w:szCs w:val="20"/>
              </w:rPr>
              <w:t xml:space="preserve">Nodrošināt izglītojošo pasākumu norisi pirmsskolas un </w:t>
            </w:r>
            <w:r w:rsidR="007754C1">
              <w:rPr>
                <w:rFonts w:cs="Times New Roman"/>
                <w:color w:val="000000" w:themeColor="text1"/>
                <w:sz w:val="20"/>
                <w:szCs w:val="20"/>
              </w:rPr>
              <w:t>pamatskolas</w:t>
            </w:r>
            <w:r w:rsidR="007754C1" w:rsidRPr="00A6562D">
              <w:rPr>
                <w:rFonts w:cs="Times New Roman"/>
                <w:color w:val="000000" w:themeColor="text1"/>
                <w:sz w:val="20"/>
                <w:szCs w:val="20"/>
              </w:rPr>
              <w:t xml:space="preserve"> skolēniem par ceļu satiksmes drošības jautājumiem.</w:t>
            </w:r>
          </w:p>
        </w:tc>
        <w:tc>
          <w:tcPr>
            <w:tcW w:w="1418" w:type="dxa"/>
          </w:tcPr>
          <w:p w:rsidR="0087671B" w:rsidRPr="00025D1F" w:rsidRDefault="0087671B" w:rsidP="00E37A06">
            <w:pPr>
              <w:jc w:val="center"/>
              <w:rPr>
                <w:rFonts w:cs="Times New Roman"/>
                <w:sz w:val="20"/>
                <w:szCs w:val="20"/>
              </w:rPr>
            </w:pPr>
            <w:r w:rsidRPr="00025D1F">
              <w:rPr>
                <w:rFonts w:cs="Times New Roman"/>
                <w:sz w:val="20"/>
                <w:szCs w:val="20"/>
              </w:rPr>
              <w:t>42.02.00</w:t>
            </w:r>
          </w:p>
          <w:p w:rsidR="0087671B" w:rsidRPr="00025D1F" w:rsidRDefault="00425E03" w:rsidP="00E37A06">
            <w:pPr>
              <w:jc w:val="center"/>
              <w:rPr>
                <w:rFonts w:cs="Times New Roman"/>
                <w:sz w:val="20"/>
                <w:szCs w:val="20"/>
              </w:rPr>
            </w:pPr>
            <w:r>
              <w:rPr>
                <w:rFonts w:cs="Times New Roman"/>
                <w:sz w:val="20"/>
                <w:szCs w:val="20"/>
              </w:rPr>
              <w:t>“</w:t>
            </w:r>
            <w:r w:rsidR="0087671B" w:rsidRPr="00025D1F">
              <w:rPr>
                <w:rFonts w:cs="Times New Roman"/>
                <w:sz w:val="20"/>
                <w:szCs w:val="20"/>
              </w:rPr>
              <w:t>Izglītības satura un vērtēšanas nodrošināšana</w:t>
            </w:r>
            <w:r>
              <w:rPr>
                <w:rFonts w:cs="Times New Roman"/>
                <w:sz w:val="20"/>
                <w:szCs w:val="20"/>
              </w:rPr>
              <w:t>”</w:t>
            </w:r>
          </w:p>
        </w:tc>
        <w:tc>
          <w:tcPr>
            <w:tcW w:w="1559" w:type="dxa"/>
          </w:tcPr>
          <w:p w:rsidR="0087671B" w:rsidRPr="00025D1F" w:rsidRDefault="0087671B" w:rsidP="00E37A06">
            <w:pPr>
              <w:jc w:val="center"/>
              <w:rPr>
                <w:rFonts w:cs="Times New Roman"/>
                <w:sz w:val="20"/>
                <w:szCs w:val="20"/>
              </w:rPr>
            </w:pPr>
          </w:p>
        </w:tc>
        <w:tc>
          <w:tcPr>
            <w:tcW w:w="1418" w:type="dxa"/>
            <w:gridSpan w:val="2"/>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p>
        </w:tc>
        <w:tc>
          <w:tcPr>
            <w:tcW w:w="1418" w:type="dxa"/>
            <w:gridSpan w:val="2"/>
          </w:tcPr>
          <w:p w:rsidR="0087671B" w:rsidRPr="00025D1F" w:rsidRDefault="0087671B" w:rsidP="00E37A06">
            <w:pPr>
              <w:jc w:val="center"/>
              <w:rPr>
                <w:rFonts w:cs="Times New Roman"/>
                <w:sz w:val="20"/>
                <w:szCs w:val="20"/>
              </w:rPr>
            </w:pPr>
            <w:r w:rsidRPr="00025D1F">
              <w:rPr>
                <w:rFonts w:cs="Times New Roman"/>
                <w:sz w:val="20"/>
                <w:szCs w:val="20"/>
              </w:rPr>
              <w:t>42.02.00</w:t>
            </w:r>
          </w:p>
          <w:p w:rsidR="0087671B" w:rsidRPr="00025D1F" w:rsidRDefault="00425E03" w:rsidP="00E37A06">
            <w:pPr>
              <w:jc w:val="center"/>
              <w:rPr>
                <w:rFonts w:cs="Times New Roman"/>
                <w:sz w:val="20"/>
                <w:szCs w:val="20"/>
              </w:rPr>
            </w:pPr>
            <w:r>
              <w:rPr>
                <w:rFonts w:cs="Times New Roman"/>
                <w:sz w:val="20"/>
                <w:szCs w:val="20"/>
              </w:rPr>
              <w:t>“</w:t>
            </w:r>
            <w:r w:rsidR="0087671B" w:rsidRPr="00025D1F">
              <w:rPr>
                <w:rFonts w:cs="Times New Roman"/>
                <w:sz w:val="20"/>
                <w:szCs w:val="20"/>
              </w:rPr>
              <w:t>Izglītības satura un vērtēšanas nodrošināšana</w:t>
            </w:r>
            <w:r>
              <w:rPr>
                <w:rFonts w:cs="Times New Roman"/>
                <w:sz w:val="20"/>
                <w:szCs w:val="20"/>
              </w:rPr>
              <w:t>”</w:t>
            </w:r>
          </w:p>
        </w:tc>
        <w:tc>
          <w:tcPr>
            <w:tcW w:w="1559" w:type="dxa"/>
            <w:gridSpan w:val="3"/>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p>
        </w:tc>
        <w:tc>
          <w:tcPr>
            <w:tcW w:w="1560" w:type="dxa"/>
            <w:gridSpan w:val="3"/>
          </w:tcPr>
          <w:p w:rsidR="0087671B" w:rsidRPr="00025D1F" w:rsidRDefault="0087671B" w:rsidP="00E37A06">
            <w:pPr>
              <w:jc w:val="center"/>
              <w:rPr>
                <w:rFonts w:cs="Times New Roman"/>
                <w:sz w:val="20"/>
                <w:szCs w:val="20"/>
              </w:rPr>
            </w:pPr>
          </w:p>
        </w:tc>
        <w:tc>
          <w:tcPr>
            <w:tcW w:w="1417" w:type="dxa"/>
            <w:shd w:val="clear" w:color="auto" w:fill="DFE4DA" w:themeFill="text2" w:themeFillTint="33"/>
          </w:tcPr>
          <w:p w:rsidR="0087671B" w:rsidRPr="00025D1F" w:rsidRDefault="0087671B" w:rsidP="00E37A06">
            <w:pPr>
              <w:jc w:val="center"/>
              <w:rPr>
                <w:rFonts w:cs="Times New Roman"/>
                <w:sz w:val="20"/>
                <w:szCs w:val="20"/>
              </w:rPr>
            </w:pPr>
            <w:r w:rsidRPr="00025D1F">
              <w:rPr>
                <w:color w:val="000000"/>
                <w:sz w:val="20"/>
                <w:szCs w:val="20"/>
              </w:rPr>
              <w:t>Papildus nav nepieciešamas</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.1.</w:t>
            </w:r>
          </w:p>
          <w:p w:rsidR="0087671B" w:rsidRPr="00025D1F" w:rsidRDefault="007754C1" w:rsidP="008227CD">
            <w:pPr>
              <w:jc w:val="both"/>
              <w:rPr>
                <w:rFonts w:cs="Times New Roman"/>
                <w:sz w:val="20"/>
                <w:szCs w:val="20"/>
              </w:rPr>
            </w:pPr>
            <w:r>
              <w:rPr>
                <w:rFonts w:cs="Times New Roman"/>
                <w:sz w:val="20"/>
                <w:szCs w:val="20"/>
              </w:rPr>
              <w:t>2</w:t>
            </w:r>
            <w:r w:rsidR="008227CD" w:rsidRPr="00025D1F">
              <w:rPr>
                <w:rFonts w:cs="Times New Roman"/>
                <w:sz w:val="20"/>
                <w:szCs w:val="20"/>
              </w:rPr>
              <w:t xml:space="preserve">. </w:t>
            </w:r>
            <w:r w:rsidR="008227CD" w:rsidRPr="00025D1F">
              <w:rPr>
                <w:rFonts w:cs="Times New Roman"/>
                <w:color w:val="000000" w:themeColor="text1"/>
                <w:sz w:val="20"/>
                <w:szCs w:val="20"/>
              </w:rPr>
              <w:t>Veikt 10.-12.klašu skolēnu zināšanu un prasmju diagnostiku par ceļu satiksmes drošības jautājumiem.</w:t>
            </w:r>
          </w:p>
        </w:tc>
        <w:tc>
          <w:tcPr>
            <w:tcW w:w="1418" w:type="dxa"/>
          </w:tcPr>
          <w:p w:rsidR="0087671B" w:rsidRPr="00025D1F" w:rsidRDefault="0087671B" w:rsidP="00E37A06">
            <w:pPr>
              <w:jc w:val="center"/>
              <w:rPr>
                <w:rFonts w:cs="Times New Roman"/>
                <w:sz w:val="20"/>
                <w:szCs w:val="20"/>
              </w:rPr>
            </w:pPr>
          </w:p>
        </w:tc>
        <w:tc>
          <w:tcPr>
            <w:tcW w:w="1559" w:type="dxa"/>
          </w:tcPr>
          <w:p w:rsidR="0087671B" w:rsidRPr="00025D1F" w:rsidRDefault="0087671B" w:rsidP="00E37A06">
            <w:pPr>
              <w:jc w:val="center"/>
              <w:rPr>
                <w:rFonts w:cs="Times New Roman"/>
                <w:sz w:val="20"/>
                <w:szCs w:val="20"/>
              </w:rPr>
            </w:pPr>
          </w:p>
        </w:tc>
        <w:tc>
          <w:tcPr>
            <w:tcW w:w="1418" w:type="dxa"/>
            <w:gridSpan w:val="2"/>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r w:rsidRPr="00025D1F">
              <w:rPr>
                <w:rFonts w:cs="Times New Roman"/>
                <w:sz w:val="20"/>
                <w:szCs w:val="20"/>
              </w:rPr>
              <w:t>14 000, OCTA</w:t>
            </w:r>
          </w:p>
          <w:p w:rsidR="0087671B" w:rsidRPr="00025D1F" w:rsidRDefault="0087671B" w:rsidP="00E37A06">
            <w:pPr>
              <w:jc w:val="center"/>
              <w:rPr>
                <w:rFonts w:cs="Times New Roman"/>
                <w:sz w:val="20"/>
                <w:szCs w:val="20"/>
              </w:rPr>
            </w:pPr>
            <w:r w:rsidRPr="00025D1F">
              <w:rPr>
                <w:rFonts w:cs="Times New Roman"/>
                <w:sz w:val="20"/>
                <w:szCs w:val="20"/>
              </w:rPr>
              <w:t>līdzekļi</w:t>
            </w:r>
          </w:p>
        </w:tc>
        <w:tc>
          <w:tcPr>
            <w:tcW w:w="1418" w:type="dxa"/>
            <w:gridSpan w:val="2"/>
          </w:tcPr>
          <w:p w:rsidR="0087671B" w:rsidRPr="00025D1F" w:rsidRDefault="0087671B" w:rsidP="00E37A06">
            <w:pPr>
              <w:jc w:val="center"/>
              <w:rPr>
                <w:rFonts w:cs="Times New Roman"/>
                <w:sz w:val="20"/>
                <w:szCs w:val="20"/>
              </w:rPr>
            </w:pPr>
          </w:p>
        </w:tc>
        <w:tc>
          <w:tcPr>
            <w:tcW w:w="1559" w:type="dxa"/>
            <w:gridSpan w:val="3"/>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p>
        </w:tc>
        <w:tc>
          <w:tcPr>
            <w:tcW w:w="1560" w:type="dxa"/>
            <w:gridSpan w:val="3"/>
          </w:tcPr>
          <w:p w:rsidR="0087671B" w:rsidRPr="00025D1F" w:rsidRDefault="0087671B" w:rsidP="00E37A06">
            <w:pPr>
              <w:jc w:val="center"/>
              <w:rPr>
                <w:rFonts w:cs="Times New Roman"/>
                <w:sz w:val="20"/>
                <w:szCs w:val="20"/>
              </w:rPr>
            </w:pPr>
          </w:p>
        </w:tc>
        <w:tc>
          <w:tcPr>
            <w:tcW w:w="1417" w:type="dxa"/>
            <w:shd w:val="clear" w:color="auto" w:fill="DFE4DA" w:themeFill="text2" w:themeFillTint="33"/>
          </w:tcPr>
          <w:p w:rsidR="0087671B" w:rsidRPr="00025D1F" w:rsidRDefault="0087671B" w:rsidP="00E37A06">
            <w:pPr>
              <w:jc w:val="center"/>
              <w:rPr>
                <w:rFonts w:cs="Times New Roman"/>
                <w:sz w:val="20"/>
                <w:szCs w:val="20"/>
              </w:rPr>
            </w:pPr>
            <w:r w:rsidRPr="00025D1F">
              <w:rPr>
                <w:rFonts w:cs="Times New Roman"/>
                <w:sz w:val="20"/>
                <w:szCs w:val="20"/>
              </w:rPr>
              <w:t>14 000, OCTA</w:t>
            </w:r>
          </w:p>
          <w:p w:rsidR="0087671B" w:rsidRPr="00025D1F" w:rsidRDefault="0087671B" w:rsidP="00E37A06">
            <w:pPr>
              <w:jc w:val="center"/>
              <w:rPr>
                <w:rFonts w:cs="Times New Roman"/>
                <w:sz w:val="20"/>
                <w:szCs w:val="20"/>
              </w:rPr>
            </w:pPr>
            <w:r w:rsidRPr="00025D1F">
              <w:rPr>
                <w:rFonts w:cs="Times New Roman"/>
                <w:sz w:val="20"/>
                <w:szCs w:val="20"/>
              </w:rPr>
              <w:t>līdzekļi</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.1.</w:t>
            </w:r>
          </w:p>
          <w:p w:rsidR="00FC4FEF" w:rsidRPr="005350B3" w:rsidRDefault="00D64524" w:rsidP="0087671B">
            <w:pPr>
              <w:jc w:val="both"/>
              <w:rPr>
                <w:rFonts w:cs="Times New Roman"/>
                <w:color w:val="000000" w:themeColor="text1"/>
                <w:sz w:val="20"/>
                <w:szCs w:val="20"/>
              </w:rPr>
            </w:pPr>
            <w:r>
              <w:rPr>
                <w:rFonts w:cs="Times New Roman"/>
                <w:sz w:val="20"/>
                <w:szCs w:val="20"/>
              </w:rPr>
              <w:t>3</w:t>
            </w:r>
            <w:r w:rsidR="0087671B" w:rsidRPr="00025D1F">
              <w:rPr>
                <w:rFonts w:cs="Times New Roman"/>
                <w:sz w:val="20"/>
                <w:szCs w:val="20"/>
              </w:rPr>
              <w:t xml:space="preserve">. </w:t>
            </w:r>
            <w:r w:rsidR="0087671B" w:rsidRPr="00025D1F">
              <w:rPr>
                <w:rFonts w:cs="Times New Roman"/>
                <w:color w:val="000000" w:themeColor="text1"/>
                <w:sz w:val="20"/>
                <w:szCs w:val="20"/>
              </w:rPr>
              <w:t>Nodrošināt pedagogu profesionālās kompetences pilnveides semināru norisi un pedagogu labās prakses pieredzes popularizēšanu par ceļu satiksmes drošības jautājumu apguvi mācību saturā.</w:t>
            </w:r>
          </w:p>
        </w:tc>
        <w:tc>
          <w:tcPr>
            <w:tcW w:w="1418" w:type="dxa"/>
          </w:tcPr>
          <w:p w:rsidR="0087671B" w:rsidRPr="00025D1F" w:rsidRDefault="0087671B" w:rsidP="00E37A06">
            <w:pPr>
              <w:jc w:val="center"/>
              <w:rPr>
                <w:rFonts w:cs="Times New Roman"/>
                <w:sz w:val="20"/>
                <w:szCs w:val="20"/>
              </w:rPr>
            </w:pPr>
          </w:p>
        </w:tc>
        <w:tc>
          <w:tcPr>
            <w:tcW w:w="1559" w:type="dxa"/>
          </w:tcPr>
          <w:p w:rsidR="0087671B" w:rsidRPr="00025D1F" w:rsidRDefault="0087671B" w:rsidP="00E37A06">
            <w:pPr>
              <w:jc w:val="center"/>
              <w:rPr>
                <w:rFonts w:cs="Times New Roman"/>
                <w:sz w:val="20"/>
                <w:szCs w:val="20"/>
              </w:rPr>
            </w:pPr>
          </w:p>
        </w:tc>
        <w:tc>
          <w:tcPr>
            <w:tcW w:w="1418" w:type="dxa"/>
            <w:gridSpan w:val="2"/>
          </w:tcPr>
          <w:p w:rsidR="0087671B" w:rsidRPr="00025D1F" w:rsidRDefault="0087671B" w:rsidP="00E37A06">
            <w:pPr>
              <w:jc w:val="center"/>
              <w:rPr>
                <w:rFonts w:cs="Times New Roman"/>
                <w:sz w:val="20"/>
                <w:szCs w:val="20"/>
              </w:rPr>
            </w:pPr>
          </w:p>
        </w:tc>
        <w:tc>
          <w:tcPr>
            <w:tcW w:w="1417" w:type="dxa"/>
            <w:gridSpan w:val="2"/>
          </w:tcPr>
          <w:p w:rsidR="0087671B" w:rsidRPr="00025D1F" w:rsidRDefault="0087671B" w:rsidP="00E37A06">
            <w:pPr>
              <w:jc w:val="center"/>
              <w:rPr>
                <w:rFonts w:cs="Times New Roman"/>
                <w:sz w:val="20"/>
                <w:szCs w:val="20"/>
              </w:rPr>
            </w:pPr>
            <w:r w:rsidRPr="00025D1F">
              <w:rPr>
                <w:rFonts w:cs="Times New Roman"/>
                <w:sz w:val="20"/>
                <w:szCs w:val="20"/>
              </w:rPr>
              <w:t>2 000, OCTA</w:t>
            </w:r>
          </w:p>
          <w:p w:rsidR="0087671B" w:rsidRPr="00025D1F" w:rsidRDefault="0087671B" w:rsidP="00E37A06">
            <w:pPr>
              <w:jc w:val="center"/>
              <w:rPr>
                <w:rFonts w:cs="Times New Roman"/>
                <w:sz w:val="20"/>
                <w:szCs w:val="20"/>
              </w:rPr>
            </w:pPr>
            <w:r w:rsidRPr="00025D1F">
              <w:rPr>
                <w:rFonts w:cs="Times New Roman"/>
                <w:sz w:val="20"/>
                <w:szCs w:val="20"/>
              </w:rPr>
              <w:t>līdzekļi</w:t>
            </w:r>
          </w:p>
        </w:tc>
        <w:tc>
          <w:tcPr>
            <w:tcW w:w="1418" w:type="dxa"/>
            <w:gridSpan w:val="2"/>
          </w:tcPr>
          <w:p w:rsidR="0087671B" w:rsidRPr="00025D1F" w:rsidRDefault="0087671B" w:rsidP="00E37A06">
            <w:pPr>
              <w:jc w:val="center"/>
              <w:rPr>
                <w:rFonts w:cs="Times New Roman"/>
                <w:sz w:val="20"/>
                <w:szCs w:val="20"/>
              </w:rPr>
            </w:pPr>
          </w:p>
        </w:tc>
        <w:tc>
          <w:tcPr>
            <w:tcW w:w="1559" w:type="dxa"/>
            <w:gridSpan w:val="3"/>
          </w:tcPr>
          <w:p w:rsidR="0087671B" w:rsidRPr="00025D1F" w:rsidRDefault="0087671B" w:rsidP="00E37A06">
            <w:pPr>
              <w:jc w:val="center"/>
              <w:rPr>
                <w:rFonts w:cs="Times New Roman"/>
                <w:sz w:val="20"/>
                <w:szCs w:val="20"/>
              </w:rPr>
            </w:pPr>
            <w:r w:rsidRPr="00025D1F">
              <w:rPr>
                <w:rFonts w:cs="Times New Roman"/>
                <w:sz w:val="20"/>
                <w:szCs w:val="20"/>
              </w:rPr>
              <w:t>3 000, OCTA</w:t>
            </w:r>
          </w:p>
          <w:p w:rsidR="0087671B" w:rsidRPr="00025D1F" w:rsidRDefault="0087671B" w:rsidP="00E37A06">
            <w:pPr>
              <w:jc w:val="center"/>
              <w:rPr>
                <w:rFonts w:cs="Times New Roman"/>
                <w:sz w:val="20"/>
                <w:szCs w:val="20"/>
              </w:rPr>
            </w:pPr>
            <w:r w:rsidRPr="00025D1F">
              <w:rPr>
                <w:rFonts w:cs="Times New Roman"/>
                <w:sz w:val="20"/>
                <w:szCs w:val="20"/>
              </w:rPr>
              <w:t>līdzekļi</w:t>
            </w:r>
          </w:p>
        </w:tc>
        <w:tc>
          <w:tcPr>
            <w:tcW w:w="1417" w:type="dxa"/>
            <w:gridSpan w:val="2"/>
          </w:tcPr>
          <w:p w:rsidR="0087671B" w:rsidRPr="00025D1F" w:rsidRDefault="0087671B" w:rsidP="00E37A06">
            <w:pPr>
              <w:jc w:val="center"/>
              <w:rPr>
                <w:rFonts w:cs="Times New Roman"/>
                <w:sz w:val="20"/>
                <w:szCs w:val="20"/>
              </w:rPr>
            </w:pPr>
          </w:p>
        </w:tc>
        <w:tc>
          <w:tcPr>
            <w:tcW w:w="1560" w:type="dxa"/>
            <w:gridSpan w:val="3"/>
          </w:tcPr>
          <w:p w:rsidR="0087671B" w:rsidRPr="00025D1F" w:rsidRDefault="0087671B" w:rsidP="00E37A06">
            <w:pPr>
              <w:jc w:val="center"/>
              <w:rPr>
                <w:rFonts w:cs="Times New Roman"/>
                <w:sz w:val="20"/>
                <w:szCs w:val="20"/>
              </w:rPr>
            </w:pPr>
          </w:p>
        </w:tc>
        <w:tc>
          <w:tcPr>
            <w:tcW w:w="1417" w:type="dxa"/>
            <w:shd w:val="clear" w:color="auto" w:fill="DFE4DA" w:themeFill="text2" w:themeFillTint="33"/>
          </w:tcPr>
          <w:p w:rsidR="0087671B" w:rsidRPr="00025D1F" w:rsidRDefault="0087671B" w:rsidP="00E37A06">
            <w:pPr>
              <w:jc w:val="center"/>
              <w:rPr>
                <w:rFonts w:cs="Times New Roman"/>
                <w:sz w:val="20"/>
                <w:szCs w:val="20"/>
              </w:rPr>
            </w:pPr>
            <w:r w:rsidRPr="00025D1F">
              <w:rPr>
                <w:rFonts w:cs="Times New Roman"/>
                <w:sz w:val="20"/>
                <w:szCs w:val="20"/>
              </w:rPr>
              <w:t>5 000, OCTA</w:t>
            </w:r>
          </w:p>
          <w:p w:rsidR="0087671B" w:rsidRPr="00025D1F" w:rsidRDefault="0087671B" w:rsidP="00E37A06">
            <w:pPr>
              <w:jc w:val="center"/>
              <w:rPr>
                <w:rFonts w:cs="Times New Roman"/>
                <w:sz w:val="20"/>
                <w:szCs w:val="20"/>
              </w:rPr>
            </w:pPr>
            <w:r w:rsidRPr="00025D1F">
              <w:rPr>
                <w:rFonts w:cs="Times New Roman"/>
                <w:sz w:val="20"/>
                <w:szCs w:val="20"/>
              </w:rPr>
              <w:t>līdzekļi</w:t>
            </w:r>
          </w:p>
        </w:tc>
      </w:tr>
      <w:tr w:rsidR="0087671B" w:rsidTr="00BB19EA">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.1.</w:t>
            </w:r>
          </w:p>
          <w:p w:rsidR="0087671B" w:rsidRPr="005350B3" w:rsidRDefault="00D64524" w:rsidP="00CB2259">
            <w:pPr>
              <w:jc w:val="both"/>
              <w:rPr>
                <w:rFonts w:cs="Times New Roman"/>
                <w:color w:val="000000" w:themeColor="text1"/>
                <w:sz w:val="20"/>
                <w:szCs w:val="20"/>
              </w:rPr>
            </w:pPr>
            <w:r>
              <w:rPr>
                <w:rFonts w:cs="Times New Roman"/>
                <w:sz w:val="20"/>
                <w:szCs w:val="20"/>
              </w:rPr>
              <w:t>4</w:t>
            </w:r>
            <w:r w:rsidR="0087671B" w:rsidRPr="00025D1F">
              <w:rPr>
                <w:rFonts w:cs="Times New Roman"/>
                <w:sz w:val="20"/>
                <w:szCs w:val="20"/>
              </w:rPr>
              <w:t>.</w:t>
            </w:r>
            <w:r w:rsidR="0087671B" w:rsidRPr="00025D1F">
              <w:rPr>
                <w:rFonts w:cs="Times New Roman"/>
                <w:color w:val="000000" w:themeColor="text1"/>
                <w:sz w:val="20"/>
                <w:szCs w:val="20"/>
              </w:rPr>
              <w:t xml:space="preserve"> </w:t>
            </w:r>
            <w:r w:rsidR="00CB2259">
              <w:rPr>
                <w:rFonts w:cs="Times New Roman"/>
                <w:color w:val="000000" w:themeColor="text1"/>
                <w:sz w:val="20"/>
                <w:szCs w:val="20"/>
              </w:rPr>
              <w:t xml:space="preserve">Nodrošināt, ka vispārējā izglītības saturā tiek iekļauts </w:t>
            </w:r>
            <w:proofErr w:type="spellStart"/>
            <w:r w:rsidR="00CB2259">
              <w:rPr>
                <w:rFonts w:cs="Times New Roman"/>
                <w:color w:val="000000" w:themeColor="text1"/>
                <w:sz w:val="20"/>
                <w:szCs w:val="20"/>
              </w:rPr>
              <w:t>cilvēkdrošības</w:t>
            </w:r>
            <w:proofErr w:type="spellEnd"/>
            <w:r w:rsidR="00CB2259">
              <w:rPr>
                <w:rFonts w:cs="Times New Roman"/>
                <w:color w:val="000000" w:themeColor="text1"/>
                <w:sz w:val="20"/>
                <w:szCs w:val="20"/>
              </w:rPr>
              <w:t xml:space="preserve"> modulis, kurā ietverti ceļu satiksmes drošības jautājumi</w:t>
            </w:r>
          </w:p>
        </w:tc>
        <w:tc>
          <w:tcPr>
            <w:tcW w:w="1418" w:type="dxa"/>
          </w:tcPr>
          <w:p w:rsidR="0087671B" w:rsidRPr="00025D1F" w:rsidRDefault="004C7ADF" w:rsidP="00E37A06">
            <w:pPr>
              <w:jc w:val="center"/>
              <w:rPr>
                <w:rFonts w:cs="Times New Roman"/>
                <w:sz w:val="20"/>
                <w:szCs w:val="20"/>
              </w:rPr>
            </w:pPr>
            <w:r>
              <w:rPr>
                <w:rFonts w:cs="Times New Roman"/>
                <w:sz w:val="20"/>
                <w:szCs w:val="20"/>
              </w:rPr>
              <w:t xml:space="preserve">SAM 8.3.1. </w:t>
            </w:r>
            <w:r w:rsidR="009B365C">
              <w:rPr>
                <w:rFonts w:cs="Times New Roman"/>
                <w:sz w:val="20"/>
                <w:szCs w:val="20"/>
              </w:rPr>
              <w:t>“</w:t>
            </w:r>
            <w:r w:rsidR="009B365C" w:rsidRPr="009B365C">
              <w:rPr>
                <w:rFonts w:cs="Times New Roman"/>
                <w:sz w:val="20"/>
                <w:szCs w:val="20"/>
              </w:rPr>
              <w:t>Attīstīt kompetenču pieejā balstī</w:t>
            </w:r>
            <w:r w:rsidR="009B365C">
              <w:rPr>
                <w:rFonts w:cs="Times New Roman"/>
                <w:sz w:val="20"/>
                <w:szCs w:val="20"/>
              </w:rPr>
              <w:t xml:space="preserve">tu vispārējās izglītības saturu” </w:t>
            </w:r>
            <w:r>
              <w:rPr>
                <w:rFonts w:cs="Times New Roman"/>
                <w:sz w:val="20"/>
                <w:szCs w:val="20"/>
              </w:rPr>
              <w:t>finansējuma ietvaros</w:t>
            </w:r>
          </w:p>
        </w:tc>
        <w:tc>
          <w:tcPr>
            <w:tcW w:w="1559" w:type="dxa"/>
          </w:tcPr>
          <w:p w:rsidR="0087671B" w:rsidRPr="00025D1F" w:rsidRDefault="0087671B" w:rsidP="00E37A06">
            <w:pPr>
              <w:jc w:val="center"/>
              <w:rPr>
                <w:rFonts w:cs="Times New Roman"/>
                <w:sz w:val="20"/>
                <w:szCs w:val="20"/>
              </w:rPr>
            </w:pPr>
          </w:p>
        </w:tc>
        <w:tc>
          <w:tcPr>
            <w:tcW w:w="1418" w:type="dxa"/>
            <w:gridSpan w:val="2"/>
          </w:tcPr>
          <w:p w:rsidR="0087671B" w:rsidRPr="00025D1F" w:rsidRDefault="009B365C" w:rsidP="00E37A06">
            <w:pPr>
              <w:jc w:val="center"/>
              <w:rPr>
                <w:rFonts w:cs="Times New Roman"/>
                <w:sz w:val="20"/>
                <w:szCs w:val="20"/>
              </w:rPr>
            </w:pPr>
            <w:r>
              <w:rPr>
                <w:rFonts w:cs="Times New Roman"/>
                <w:sz w:val="20"/>
                <w:szCs w:val="20"/>
              </w:rPr>
              <w:t>SAM 8.3.1. “</w:t>
            </w:r>
            <w:r w:rsidRPr="009B365C">
              <w:rPr>
                <w:rFonts w:cs="Times New Roman"/>
                <w:sz w:val="20"/>
                <w:szCs w:val="20"/>
              </w:rPr>
              <w:t>Attīstīt kompetenču pieejā balstī</w:t>
            </w:r>
            <w:r>
              <w:rPr>
                <w:rFonts w:cs="Times New Roman"/>
                <w:sz w:val="20"/>
                <w:szCs w:val="20"/>
              </w:rPr>
              <w:t>tu vispārējās izglītības saturu” finansējuma ietvaros</w:t>
            </w:r>
          </w:p>
        </w:tc>
        <w:tc>
          <w:tcPr>
            <w:tcW w:w="1417" w:type="dxa"/>
            <w:gridSpan w:val="2"/>
          </w:tcPr>
          <w:p w:rsidR="0087671B" w:rsidRPr="00025D1F" w:rsidRDefault="0087671B" w:rsidP="00E37A06">
            <w:pPr>
              <w:jc w:val="center"/>
              <w:rPr>
                <w:rFonts w:cs="Times New Roman"/>
                <w:sz w:val="20"/>
                <w:szCs w:val="20"/>
              </w:rPr>
            </w:pPr>
          </w:p>
        </w:tc>
        <w:tc>
          <w:tcPr>
            <w:tcW w:w="1418" w:type="dxa"/>
            <w:gridSpan w:val="2"/>
          </w:tcPr>
          <w:p w:rsidR="0087671B" w:rsidRPr="00025D1F" w:rsidRDefault="009B365C" w:rsidP="00E37A06">
            <w:pPr>
              <w:jc w:val="center"/>
              <w:rPr>
                <w:rFonts w:cs="Times New Roman"/>
                <w:sz w:val="20"/>
                <w:szCs w:val="20"/>
              </w:rPr>
            </w:pPr>
            <w:r>
              <w:rPr>
                <w:rFonts w:cs="Times New Roman"/>
                <w:sz w:val="20"/>
                <w:szCs w:val="20"/>
              </w:rPr>
              <w:t>SAM 8.3.1. “</w:t>
            </w:r>
            <w:r w:rsidRPr="009B365C">
              <w:rPr>
                <w:rFonts w:cs="Times New Roman"/>
                <w:sz w:val="20"/>
                <w:szCs w:val="20"/>
              </w:rPr>
              <w:t>Attīstīt kompetenču pieejā balstī</w:t>
            </w:r>
            <w:r>
              <w:rPr>
                <w:rFonts w:cs="Times New Roman"/>
                <w:sz w:val="20"/>
                <w:szCs w:val="20"/>
              </w:rPr>
              <w:t>tu vispārējās izglītības saturu” finansējuma ietvaros</w:t>
            </w:r>
          </w:p>
        </w:tc>
        <w:tc>
          <w:tcPr>
            <w:tcW w:w="1559" w:type="dxa"/>
            <w:gridSpan w:val="3"/>
          </w:tcPr>
          <w:p w:rsidR="0087671B" w:rsidRPr="00025D1F" w:rsidRDefault="0087671B" w:rsidP="00E37A06">
            <w:pPr>
              <w:jc w:val="center"/>
              <w:rPr>
                <w:rFonts w:cs="Times New Roman"/>
                <w:sz w:val="20"/>
                <w:szCs w:val="20"/>
              </w:rPr>
            </w:pPr>
          </w:p>
        </w:tc>
        <w:tc>
          <w:tcPr>
            <w:tcW w:w="1417" w:type="dxa"/>
            <w:gridSpan w:val="2"/>
          </w:tcPr>
          <w:p w:rsidR="0087671B" w:rsidRPr="00025D1F" w:rsidRDefault="009B365C" w:rsidP="00E37A06">
            <w:pPr>
              <w:jc w:val="center"/>
              <w:rPr>
                <w:rFonts w:cs="Times New Roman"/>
                <w:sz w:val="20"/>
                <w:szCs w:val="20"/>
              </w:rPr>
            </w:pPr>
            <w:r>
              <w:rPr>
                <w:rFonts w:cs="Times New Roman"/>
                <w:sz w:val="20"/>
                <w:szCs w:val="20"/>
              </w:rPr>
              <w:t>SAM 8.3.1. “</w:t>
            </w:r>
            <w:r w:rsidRPr="009B365C">
              <w:rPr>
                <w:rFonts w:cs="Times New Roman"/>
                <w:sz w:val="20"/>
                <w:szCs w:val="20"/>
              </w:rPr>
              <w:t>Attīstīt kompetenču pieejā balstī</w:t>
            </w:r>
            <w:r>
              <w:rPr>
                <w:rFonts w:cs="Times New Roman"/>
                <w:sz w:val="20"/>
                <w:szCs w:val="20"/>
              </w:rPr>
              <w:t>tu vispārējās izglītības saturu” finansējuma ietvaros</w:t>
            </w:r>
          </w:p>
        </w:tc>
        <w:tc>
          <w:tcPr>
            <w:tcW w:w="1560" w:type="dxa"/>
            <w:gridSpan w:val="3"/>
          </w:tcPr>
          <w:p w:rsidR="0087671B" w:rsidRPr="00025D1F" w:rsidRDefault="0087671B" w:rsidP="00E37A06">
            <w:pPr>
              <w:jc w:val="center"/>
              <w:rPr>
                <w:rFonts w:cs="Times New Roman"/>
                <w:sz w:val="20"/>
                <w:szCs w:val="20"/>
              </w:rPr>
            </w:pPr>
          </w:p>
        </w:tc>
        <w:tc>
          <w:tcPr>
            <w:tcW w:w="1417" w:type="dxa"/>
            <w:shd w:val="clear" w:color="auto" w:fill="DFE4DA" w:themeFill="text2" w:themeFillTint="33"/>
          </w:tcPr>
          <w:p w:rsidR="0087671B" w:rsidRPr="00025D1F" w:rsidRDefault="009B365C" w:rsidP="00E37A06">
            <w:pPr>
              <w:jc w:val="center"/>
              <w:rPr>
                <w:rFonts w:cs="Times New Roman"/>
                <w:sz w:val="20"/>
                <w:szCs w:val="20"/>
              </w:rPr>
            </w:pPr>
            <w:r>
              <w:rPr>
                <w:rFonts w:cs="Times New Roman"/>
                <w:sz w:val="20"/>
                <w:szCs w:val="20"/>
              </w:rPr>
              <w:t>SAM 8.3.1. “</w:t>
            </w:r>
            <w:r w:rsidRPr="009B365C">
              <w:rPr>
                <w:rFonts w:cs="Times New Roman"/>
                <w:sz w:val="20"/>
                <w:szCs w:val="20"/>
              </w:rPr>
              <w:t>Attīstīt kompetenču pieejā balstī</w:t>
            </w:r>
            <w:r>
              <w:rPr>
                <w:rFonts w:cs="Times New Roman"/>
                <w:sz w:val="20"/>
                <w:szCs w:val="20"/>
              </w:rPr>
              <w:t>tu vispārējās izglītības saturu” finansējuma ietvaros</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.2.</w:t>
            </w:r>
          </w:p>
          <w:p w:rsidR="0087671B" w:rsidRPr="00025D1F" w:rsidRDefault="00D64524" w:rsidP="0087671B">
            <w:pPr>
              <w:jc w:val="both"/>
              <w:rPr>
                <w:rFonts w:cs="Times New Roman"/>
                <w:sz w:val="20"/>
                <w:szCs w:val="20"/>
              </w:rPr>
            </w:pPr>
            <w:r>
              <w:rPr>
                <w:rFonts w:cs="Times New Roman"/>
                <w:sz w:val="20"/>
                <w:szCs w:val="20"/>
              </w:rPr>
              <w:t>5</w:t>
            </w:r>
            <w:r w:rsidR="0087671B" w:rsidRPr="00025D1F">
              <w:rPr>
                <w:rFonts w:cs="Times New Roman"/>
                <w:sz w:val="20"/>
                <w:szCs w:val="20"/>
              </w:rPr>
              <w:t xml:space="preserve">. </w:t>
            </w:r>
            <w:r w:rsidR="0087671B" w:rsidRPr="00025D1F">
              <w:rPr>
                <w:rFonts w:eastAsia="Calibri" w:cs="Times New Roman"/>
                <w:color w:val="000000" w:themeColor="text1"/>
                <w:sz w:val="20"/>
                <w:szCs w:val="20"/>
              </w:rPr>
              <w:t>Izgatavot ceļu satiksmes drošības veicināšanai nepieciešamos preventīvos materiālus un uzskates līdzekļus (veicināšanas balvas – pildspalvas, blociņi u.c., īsfilma, spēle mācību klasēm u.c.)</w:t>
            </w:r>
          </w:p>
        </w:tc>
        <w:tc>
          <w:tcPr>
            <w:tcW w:w="1418" w:type="dxa"/>
          </w:tcPr>
          <w:p w:rsidR="0087671B" w:rsidRPr="00C737EC" w:rsidRDefault="0087671B" w:rsidP="00E37A06">
            <w:pPr>
              <w:jc w:val="center"/>
              <w:rPr>
                <w:rFonts w:cs="Times New Roman"/>
                <w:sz w:val="20"/>
                <w:szCs w:val="20"/>
              </w:rPr>
            </w:pPr>
          </w:p>
        </w:tc>
        <w:tc>
          <w:tcPr>
            <w:tcW w:w="1559" w:type="dxa"/>
          </w:tcPr>
          <w:p w:rsidR="0087671B" w:rsidRPr="00C737EC" w:rsidRDefault="00B51EC2" w:rsidP="00E37A06">
            <w:pPr>
              <w:jc w:val="center"/>
              <w:rPr>
                <w:rFonts w:cs="Times New Roman"/>
                <w:sz w:val="20"/>
                <w:szCs w:val="20"/>
              </w:rPr>
            </w:pPr>
            <w:r w:rsidRPr="00C737EC">
              <w:rPr>
                <w:rFonts w:cs="Times New Roman"/>
                <w:sz w:val="20"/>
                <w:szCs w:val="20"/>
              </w:rPr>
              <w:t>75 500</w:t>
            </w:r>
            <w:r w:rsidR="0087671B" w:rsidRPr="00C737EC">
              <w:rPr>
                <w:rFonts w:cs="Times New Roman"/>
                <w:sz w:val="20"/>
                <w:szCs w:val="20"/>
              </w:rPr>
              <w:t xml:space="preserve">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8" w:type="dxa"/>
            <w:gridSpan w:val="2"/>
          </w:tcPr>
          <w:p w:rsidR="0087671B" w:rsidRPr="00C737EC" w:rsidRDefault="0087671B" w:rsidP="00E37A06">
            <w:pPr>
              <w:jc w:val="center"/>
              <w:rPr>
                <w:rFonts w:cs="Times New Roman"/>
                <w:sz w:val="20"/>
                <w:szCs w:val="20"/>
              </w:rPr>
            </w:pPr>
          </w:p>
        </w:tc>
        <w:tc>
          <w:tcPr>
            <w:tcW w:w="1417" w:type="dxa"/>
            <w:gridSpan w:val="2"/>
          </w:tcPr>
          <w:p w:rsidR="0087671B" w:rsidRPr="00C737EC" w:rsidRDefault="0087671B" w:rsidP="00E37A06">
            <w:pPr>
              <w:jc w:val="center"/>
              <w:rPr>
                <w:rFonts w:cs="Times New Roman"/>
                <w:sz w:val="20"/>
                <w:szCs w:val="20"/>
              </w:rPr>
            </w:pPr>
            <w:r w:rsidRPr="00C737EC">
              <w:rPr>
                <w:rFonts w:cs="Times New Roman"/>
                <w:sz w:val="20"/>
                <w:szCs w:val="20"/>
              </w:rPr>
              <w:t>100 000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8" w:type="dxa"/>
            <w:gridSpan w:val="2"/>
          </w:tcPr>
          <w:p w:rsidR="0087671B" w:rsidRPr="00C737EC" w:rsidRDefault="0087671B" w:rsidP="00E37A06">
            <w:pPr>
              <w:jc w:val="center"/>
              <w:rPr>
                <w:rFonts w:cs="Times New Roman"/>
                <w:sz w:val="20"/>
                <w:szCs w:val="20"/>
              </w:rPr>
            </w:pPr>
          </w:p>
          <w:p w:rsidR="0087671B" w:rsidRPr="00C737EC" w:rsidRDefault="0087671B" w:rsidP="00E37A06">
            <w:pPr>
              <w:jc w:val="center"/>
              <w:rPr>
                <w:rFonts w:cs="Times New Roman"/>
                <w:sz w:val="20"/>
                <w:szCs w:val="20"/>
              </w:rPr>
            </w:pPr>
          </w:p>
        </w:tc>
        <w:tc>
          <w:tcPr>
            <w:tcW w:w="1559" w:type="dxa"/>
            <w:gridSpan w:val="3"/>
          </w:tcPr>
          <w:p w:rsidR="0087671B" w:rsidRPr="00C737EC" w:rsidRDefault="0087671B" w:rsidP="00E37A06">
            <w:pPr>
              <w:jc w:val="center"/>
              <w:rPr>
                <w:rFonts w:cs="Times New Roman"/>
                <w:sz w:val="20"/>
                <w:szCs w:val="20"/>
              </w:rPr>
            </w:pPr>
            <w:r w:rsidRPr="00C737EC">
              <w:rPr>
                <w:rFonts w:cs="Times New Roman"/>
                <w:sz w:val="20"/>
                <w:szCs w:val="20"/>
              </w:rPr>
              <w:t>100 000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7" w:type="dxa"/>
            <w:gridSpan w:val="2"/>
          </w:tcPr>
          <w:p w:rsidR="0087671B" w:rsidRPr="00C737EC" w:rsidRDefault="0087671B" w:rsidP="00E37A06">
            <w:pPr>
              <w:jc w:val="center"/>
              <w:rPr>
                <w:rFonts w:cs="Times New Roman"/>
                <w:sz w:val="20"/>
                <w:szCs w:val="20"/>
              </w:rPr>
            </w:pPr>
          </w:p>
        </w:tc>
        <w:tc>
          <w:tcPr>
            <w:tcW w:w="1560" w:type="dxa"/>
            <w:gridSpan w:val="3"/>
          </w:tcPr>
          <w:p w:rsidR="0087671B" w:rsidRPr="00C737EC" w:rsidRDefault="0087671B" w:rsidP="00E37A06">
            <w:pPr>
              <w:jc w:val="center"/>
              <w:rPr>
                <w:rFonts w:cs="Times New Roman"/>
                <w:sz w:val="20"/>
                <w:szCs w:val="20"/>
              </w:rPr>
            </w:pPr>
            <w:r w:rsidRPr="00C737EC">
              <w:rPr>
                <w:rFonts w:cs="Times New Roman"/>
                <w:sz w:val="20"/>
                <w:szCs w:val="20"/>
              </w:rPr>
              <w:t>100 000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7" w:type="dxa"/>
            <w:shd w:val="clear" w:color="auto" w:fill="DFE4DA" w:themeFill="text2" w:themeFillTint="33"/>
          </w:tcPr>
          <w:p w:rsidR="0087671B" w:rsidRPr="00C737EC" w:rsidRDefault="00B51EC2" w:rsidP="00E37A06">
            <w:pPr>
              <w:jc w:val="center"/>
              <w:rPr>
                <w:rFonts w:cs="Times New Roman"/>
                <w:sz w:val="20"/>
                <w:szCs w:val="20"/>
              </w:rPr>
            </w:pPr>
            <w:r w:rsidRPr="00C737EC">
              <w:rPr>
                <w:rFonts w:cs="Times New Roman"/>
                <w:sz w:val="20"/>
                <w:szCs w:val="20"/>
              </w:rPr>
              <w:t>375 500</w:t>
            </w:r>
            <w:r w:rsidR="0087671B" w:rsidRPr="00C737EC">
              <w:rPr>
                <w:rFonts w:cs="Times New Roman"/>
                <w:sz w:val="20"/>
                <w:szCs w:val="20"/>
              </w:rPr>
              <w:t xml:space="preserve">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lastRenderedPageBreak/>
              <w:t>3.2</w:t>
            </w:r>
            <w:r w:rsidR="0087671B" w:rsidRPr="00025D1F">
              <w:rPr>
                <w:rFonts w:cs="Times New Roman"/>
                <w:sz w:val="20"/>
                <w:szCs w:val="20"/>
              </w:rPr>
              <w:t>.2.</w:t>
            </w:r>
          </w:p>
          <w:p w:rsidR="0087671B" w:rsidRPr="00025D1F" w:rsidRDefault="00D64524" w:rsidP="0087671B">
            <w:pPr>
              <w:jc w:val="both"/>
              <w:rPr>
                <w:rFonts w:cs="Times New Roman"/>
                <w:sz w:val="20"/>
                <w:szCs w:val="20"/>
              </w:rPr>
            </w:pPr>
            <w:r>
              <w:rPr>
                <w:rFonts w:cs="Times New Roman"/>
                <w:sz w:val="20"/>
                <w:szCs w:val="20"/>
              </w:rPr>
              <w:t>6</w:t>
            </w:r>
            <w:r w:rsidR="0087671B" w:rsidRPr="00025D1F">
              <w:rPr>
                <w:rFonts w:cs="Times New Roman"/>
                <w:sz w:val="20"/>
                <w:szCs w:val="20"/>
              </w:rPr>
              <w:t xml:space="preserve">. </w:t>
            </w:r>
            <w:r w:rsidR="0087671B" w:rsidRPr="00025D1F">
              <w:rPr>
                <w:rFonts w:eastAsia="Calibri" w:cs="Times New Roman"/>
                <w:color w:val="000000" w:themeColor="text1"/>
                <w:sz w:val="20"/>
                <w:szCs w:val="20"/>
              </w:rPr>
              <w:t>Iegādāties ceļu satiksmes drošības veicināšanas preventīvo pasākumu nodrošināšanai nepieciešamos līdzekļus (Runča Rūda un Bebr</w:t>
            </w:r>
            <w:r w:rsidR="00CB2259">
              <w:rPr>
                <w:rFonts w:eastAsia="Calibri" w:cs="Times New Roman"/>
                <w:color w:val="000000" w:themeColor="text1"/>
                <w:sz w:val="20"/>
                <w:szCs w:val="20"/>
              </w:rPr>
              <w:t>a Bruno maska,</w:t>
            </w:r>
            <w:r w:rsidR="0087671B" w:rsidRPr="00025D1F">
              <w:rPr>
                <w:rFonts w:eastAsia="Calibri" w:cs="Times New Roman"/>
                <w:color w:val="000000" w:themeColor="text1"/>
                <w:sz w:val="20"/>
                <w:szCs w:val="20"/>
              </w:rPr>
              <w:t xml:space="preserve"> kostīmi, atstarotāji, atstarojošās vestes un elementi,</w:t>
            </w:r>
            <w:r w:rsidR="004643E3" w:rsidRPr="00025D1F">
              <w:rPr>
                <w:rFonts w:eastAsia="Calibri" w:cs="Times New Roman"/>
                <w:color w:val="000000" w:themeColor="text1"/>
                <w:sz w:val="20"/>
                <w:szCs w:val="20"/>
              </w:rPr>
              <w:t xml:space="preserve"> velosipēdu lukturi,</w:t>
            </w:r>
            <w:r w:rsidR="0087671B" w:rsidRPr="00025D1F">
              <w:rPr>
                <w:rFonts w:eastAsia="Calibri" w:cs="Times New Roman"/>
                <w:color w:val="000000" w:themeColor="text1"/>
                <w:sz w:val="20"/>
                <w:szCs w:val="20"/>
              </w:rPr>
              <w:t xml:space="preserve"> teltis u.c.)</w:t>
            </w:r>
          </w:p>
        </w:tc>
        <w:tc>
          <w:tcPr>
            <w:tcW w:w="1418" w:type="dxa"/>
          </w:tcPr>
          <w:p w:rsidR="0087671B" w:rsidRPr="00C737EC" w:rsidRDefault="0087671B" w:rsidP="00E37A06">
            <w:pPr>
              <w:jc w:val="center"/>
              <w:rPr>
                <w:rFonts w:cs="Times New Roman"/>
                <w:sz w:val="20"/>
                <w:szCs w:val="20"/>
              </w:rPr>
            </w:pPr>
          </w:p>
        </w:tc>
        <w:tc>
          <w:tcPr>
            <w:tcW w:w="1559" w:type="dxa"/>
          </w:tcPr>
          <w:p w:rsidR="0087671B" w:rsidRPr="00C737EC" w:rsidRDefault="00B51EC2" w:rsidP="00E37A06">
            <w:pPr>
              <w:jc w:val="center"/>
              <w:rPr>
                <w:rFonts w:cs="Times New Roman"/>
                <w:sz w:val="20"/>
                <w:szCs w:val="20"/>
              </w:rPr>
            </w:pPr>
            <w:r w:rsidRPr="00C737EC">
              <w:rPr>
                <w:rFonts w:cs="Times New Roman"/>
                <w:sz w:val="20"/>
                <w:szCs w:val="20"/>
              </w:rPr>
              <w:t>84 500</w:t>
            </w:r>
            <w:r w:rsidR="0087671B" w:rsidRPr="00C737EC">
              <w:rPr>
                <w:rFonts w:cs="Times New Roman"/>
                <w:sz w:val="20"/>
                <w:szCs w:val="20"/>
              </w:rPr>
              <w:t xml:space="preserve">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8" w:type="dxa"/>
            <w:gridSpan w:val="2"/>
          </w:tcPr>
          <w:p w:rsidR="0087671B" w:rsidRPr="00C737EC" w:rsidRDefault="0087671B" w:rsidP="00E37A06">
            <w:pPr>
              <w:jc w:val="center"/>
              <w:rPr>
                <w:rFonts w:cs="Times New Roman"/>
                <w:sz w:val="20"/>
                <w:szCs w:val="20"/>
              </w:rPr>
            </w:pPr>
          </w:p>
        </w:tc>
        <w:tc>
          <w:tcPr>
            <w:tcW w:w="1417" w:type="dxa"/>
            <w:gridSpan w:val="2"/>
          </w:tcPr>
          <w:p w:rsidR="0087671B" w:rsidRPr="00C737EC" w:rsidRDefault="0087671B" w:rsidP="00E37A06">
            <w:pPr>
              <w:jc w:val="center"/>
              <w:rPr>
                <w:rFonts w:cs="Times New Roman"/>
                <w:sz w:val="20"/>
                <w:szCs w:val="20"/>
              </w:rPr>
            </w:pPr>
            <w:r w:rsidRPr="00C737EC">
              <w:rPr>
                <w:rFonts w:cs="Times New Roman"/>
                <w:sz w:val="20"/>
                <w:szCs w:val="20"/>
              </w:rPr>
              <w:t>60 000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8" w:type="dxa"/>
            <w:gridSpan w:val="2"/>
          </w:tcPr>
          <w:p w:rsidR="0087671B" w:rsidRPr="00C737EC" w:rsidRDefault="0087671B" w:rsidP="00E37A06">
            <w:pPr>
              <w:jc w:val="center"/>
              <w:rPr>
                <w:rFonts w:cs="Times New Roman"/>
                <w:sz w:val="20"/>
                <w:szCs w:val="20"/>
              </w:rPr>
            </w:pPr>
          </w:p>
        </w:tc>
        <w:tc>
          <w:tcPr>
            <w:tcW w:w="1559" w:type="dxa"/>
            <w:gridSpan w:val="3"/>
          </w:tcPr>
          <w:p w:rsidR="0087671B" w:rsidRPr="00C737EC" w:rsidRDefault="0087671B" w:rsidP="00E37A06">
            <w:pPr>
              <w:jc w:val="center"/>
              <w:rPr>
                <w:rFonts w:cs="Times New Roman"/>
                <w:sz w:val="20"/>
                <w:szCs w:val="20"/>
              </w:rPr>
            </w:pPr>
            <w:r w:rsidRPr="00C737EC">
              <w:rPr>
                <w:rFonts w:cs="Times New Roman"/>
                <w:sz w:val="20"/>
                <w:szCs w:val="20"/>
              </w:rPr>
              <w:t>60 000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7" w:type="dxa"/>
            <w:gridSpan w:val="2"/>
          </w:tcPr>
          <w:p w:rsidR="0087671B" w:rsidRPr="00C737EC" w:rsidRDefault="0087671B" w:rsidP="00E37A06">
            <w:pPr>
              <w:jc w:val="center"/>
              <w:rPr>
                <w:rFonts w:cs="Times New Roman"/>
                <w:sz w:val="20"/>
                <w:szCs w:val="20"/>
              </w:rPr>
            </w:pPr>
          </w:p>
        </w:tc>
        <w:tc>
          <w:tcPr>
            <w:tcW w:w="1560" w:type="dxa"/>
            <w:gridSpan w:val="3"/>
          </w:tcPr>
          <w:p w:rsidR="0087671B" w:rsidRPr="00C737EC" w:rsidRDefault="0087671B" w:rsidP="00E37A06">
            <w:pPr>
              <w:jc w:val="center"/>
              <w:rPr>
                <w:rFonts w:cs="Times New Roman"/>
                <w:sz w:val="20"/>
                <w:szCs w:val="20"/>
              </w:rPr>
            </w:pPr>
            <w:r w:rsidRPr="00C737EC">
              <w:rPr>
                <w:rFonts w:cs="Times New Roman"/>
                <w:sz w:val="20"/>
                <w:szCs w:val="20"/>
              </w:rPr>
              <w:t>60 000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c>
          <w:tcPr>
            <w:tcW w:w="1417" w:type="dxa"/>
            <w:shd w:val="clear" w:color="auto" w:fill="DFE4DA" w:themeFill="text2" w:themeFillTint="33"/>
          </w:tcPr>
          <w:p w:rsidR="0087671B" w:rsidRPr="00C737EC" w:rsidRDefault="0087671B" w:rsidP="00E37A06">
            <w:pPr>
              <w:jc w:val="center"/>
              <w:rPr>
                <w:rFonts w:cs="Times New Roman"/>
                <w:sz w:val="20"/>
                <w:szCs w:val="20"/>
              </w:rPr>
            </w:pPr>
            <w:r w:rsidRPr="00C737EC">
              <w:rPr>
                <w:rFonts w:cs="Times New Roman"/>
                <w:sz w:val="20"/>
                <w:szCs w:val="20"/>
              </w:rPr>
              <w:t>2</w:t>
            </w:r>
            <w:r w:rsidR="00B51EC2" w:rsidRPr="00C737EC">
              <w:rPr>
                <w:rFonts w:cs="Times New Roman"/>
                <w:sz w:val="20"/>
                <w:szCs w:val="20"/>
              </w:rPr>
              <w:t>64 5</w:t>
            </w:r>
            <w:r w:rsidRPr="00C737EC">
              <w:rPr>
                <w:rFonts w:cs="Times New Roman"/>
                <w:sz w:val="20"/>
                <w:szCs w:val="20"/>
              </w:rPr>
              <w:t>00 OCTA līdzekļi</w:t>
            </w:r>
          </w:p>
          <w:p w:rsidR="00425E03" w:rsidRPr="00C737EC" w:rsidRDefault="00425E03" w:rsidP="00E37A06">
            <w:pPr>
              <w:jc w:val="center"/>
              <w:rPr>
                <w:rFonts w:cs="Times New Roman"/>
                <w:sz w:val="20"/>
                <w:szCs w:val="20"/>
              </w:rPr>
            </w:pPr>
            <w:r w:rsidRPr="00C737EC">
              <w:rPr>
                <w:rFonts w:cs="Times New Roman"/>
                <w:sz w:val="20"/>
                <w:szCs w:val="20"/>
              </w:rPr>
              <w:t>(06.01.00 “Valsts policija”)</w:t>
            </w:r>
          </w:p>
        </w:tc>
      </w:tr>
      <w:tr w:rsidR="0087671B" w:rsidTr="009D1429">
        <w:trPr>
          <w:jc w:val="center"/>
        </w:trPr>
        <w:tc>
          <w:tcPr>
            <w:tcW w:w="2409" w:type="dxa"/>
          </w:tcPr>
          <w:p w:rsidR="0087671B" w:rsidRDefault="00EB5D7D" w:rsidP="0087671B">
            <w:pPr>
              <w:jc w:val="both"/>
              <w:rPr>
                <w:rFonts w:cs="Times New Roman"/>
                <w:sz w:val="20"/>
                <w:szCs w:val="20"/>
              </w:rPr>
            </w:pPr>
            <w:r>
              <w:rPr>
                <w:rFonts w:cs="Times New Roman"/>
                <w:sz w:val="20"/>
                <w:szCs w:val="20"/>
              </w:rPr>
              <w:t>3.2</w:t>
            </w:r>
            <w:r w:rsidR="0087671B">
              <w:rPr>
                <w:rFonts w:cs="Times New Roman"/>
                <w:sz w:val="20"/>
                <w:szCs w:val="20"/>
              </w:rPr>
              <w:t>.2.</w:t>
            </w:r>
          </w:p>
          <w:p w:rsidR="0087671B" w:rsidRPr="00D23634" w:rsidRDefault="00D64524" w:rsidP="0087671B">
            <w:pPr>
              <w:jc w:val="both"/>
              <w:rPr>
                <w:rFonts w:cs="Times New Roman"/>
                <w:sz w:val="20"/>
                <w:szCs w:val="20"/>
              </w:rPr>
            </w:pPr>
            <w:r>
              <w:rPr>
                <w:rFonts w:cs="Times New Roman"/>
                <w:sz w:val="20"/>
                <w:szCs w:val="20"/>
              </w:rPr>
              <w:t>7</w:t>
            </w:r>
            <w:r w:rsidR="0087671B">
              <w:rPr>
                <w:rFonts w:cs="Times New Roman"/>
                <w:sz w:val="20"/>
                <w:szCs w:val="20"/>
              </w:rPr>
              <w:t xml:space="preserve">. </w:t>
            </w:r>
            <w:r w:rsidR="0087671B">
              <w:rPr>
                <w:rFonts w:eastAsia="Calibri" w:cs="Times New Roman"/>
                <w:color w:val="000000" w:themeColor="text1"/>
                <w:sz w:val="20"/>
                <w:szCs w:val="20"/>
              </w:rPr>
              <w:t>Nodrošināt k</w:t>
            </w:r>
            <w:r w:rsidR="0087671B" w:rsidRPr="00F877FC">
              <w:rPr>
                <w:rFonts w:eastAsia="Calibri" w:cs="Times New Roman"/>
                <w:color w:val="000000" w:themeColor="text1"/>
                <w:sz w:val="20"/>
                <w:szCs w:val="20"/>
              </w:rPr>
              <w:t>ampaņa</w:t>
            </w:r>
            <w:r w:rsidR="0087671B">
              <w:rPr>
                <w:rFonts w:eastAsia="Calibri" w:cs="Times New Roman"/>
                <w:color w:val="000000" w:themeColor="text1"/>
                <w:sz w:val="20"/>
                <w:szCs w:val="20"/>
              </w:rPr>
              <w:t>s pret TL</w:t>
            </w:r>
            <w:r w:rsidR="0087671B" w:rsidRPr="00F877FC">
              <w:rPr>
                <w:rFonts w:eastAsia="Calibri" w:cs="Times New Roman"/>
                <w:color w:val="000000" w:themeColor="text1"/>
                <w:sz w:val="20"/>
                <w:szCs w:val="20"/>
              </w:rPr>
              <w:t xml:space="preserve"> vadīšanu reibumā</w:t>
            </w:r>
            <w:r w:rsidR="0087671B">
              <w:rPr>
                <w:rFonts w:eastAsia="Calibri" w:cs="Times New Roman"/>
                <w:color w:val="000000" w:themeColor="text1"/>
                <w:sz w:val="20"/>
                <w:szCs w:val="20"/>
              </w:rPr>
              <w:t xml:space="preserve"> īstenošanu.</w:t>
            </w:r>
          </w:p>
        </w:tc>
        <w:tc>
          <w:tcPr>
            <w:tcW w:w="1418" w:type="dxa"/>
          </w:tcPr>
          <w:p w:rsidR="0087671B" w:rsidRPr="00D23634" w:rsidRDefault="0087671B" w:rsidP="00E37A06">
            <w:pPr>
              <w:jc w:val="center"/>
              <w:rPr>
                <w:rFonts w:cs="Times New Roman"/>
                <w:sz w:val="20"/>
                <w:szCs w:val="20"/>
              </w:rPr>
            </w:pPr>
          </w:p>
        </w:tc>
        <w:tc>
          <w:tcPr>
            <w:tcW w:w="1559" w:type="dxa"/>
          </w:tcPr>
          <w:p w:rsidR="0087671B" w:rsidRPr="00FE7423" w:rsidRDefault="00FE7423" w:rsidP="00E37A06">
            <w:pPr>
              <w:jc w:val="center"/>
              <w:rPr>
                <w:rFonts w:cs="Times New Roman"/>
                <w:sz w:val="20"/>
                <w:szCs w:val="20"/>
              </w:rPr>
            </w:pPr>
            <w:r>
              <w:rPr>
                <w:rFonts w:cs="Times New Roman"/>
                <w:sz w:val="20"/>
                <w:szCs w:val="20"/>
              </w:rPr>
              <w:t>35</w:t>
            </w:r>
            <w:r w:rsidRPr="00FE7423">
              <w:rPr>
                <w:rFonts w:cs="Times New Roman"/>
                <w:sz w:val="20"/>
                <w:szCs w:val="20"/>
              </w:rPr>
              <w:t xml:space="preserve"> 000</w:t>
            </w:r>
            <w:r w:rsidR="000F5756" w:rsidRPr="00FE7423">
              <w:rPr>
                <w:rFonts w:cs="Times New Roman"/>
                <w:sz w:val="20"/>
                <w:szCs w:val="20"/>
              </w:rPr>
              <w:t xml:space="preserve">  OCTA/CSDD/</w:t>
            </w:r>
            <w:r w:rsidR="00E1398D">
              <w:rPr>
                <w:rFonts w:cs="Times New Roman"/>
                <w:sz w:val="20"/>
                <w:szCs w:val="20"/>
              </w:rPr>
              <w:t xml:space="preserve"> </w:t>
            </w:r>
            <w:r w:rsidR="000F5756" w:rsidRPr="00FE7423">
              <w:rPr>
                <w:rFonts w:cs="Times New Roman"/>
                <w:sz w:val="20"/>
                <w:szCs w:val="20"/>
              </w:rPr>
              <w:t>privāti</w:t>
            </w:r>
            <w:r>
              <w:rPr>
                <w:rFonts w:cs="Times New Roman"/>
                <w:sz w:val="20"/>
                <w:szCs w:val="20"/>
              </w:rPr>
              <w:t xml:space="preserve"> līdzekļi</w:t>
            </w:r>
          </w:p>
        </w:tc>
        <w:tc>
          <w:tcPr>
            <w:tcW w:w="1418" w:type="dxa"/>
            <w:gridSpan w:val="2"/>
          </w:tcPr>
          <w:p w:rsidR="0087671B" w:rsidRPr="00FE7423" w:rsidRDefault="0087671B" w:rsidP="00E37A06">
            <w:pPr>
              <w:jc w:val="center"/>
              <w:rPr>
                <w:rFonts w:cs="Times New Roman"/>
                <w:sz w:val="20"/>
                <w:szCs w:val="20"/>
              </w:rPr>
            </w:pPr>
          </w:p>
        </w:tc>
        <w:tc>
          <w:tcPr>
            <w:tcW w:w="1417" w:type="dxa"/>
            <w:gridSpan w:val="2"/>
          </w:tcPr>
          <w:p w:rsidR="0087671B" w:rsidRPr="00FE7423" w:rsidRDefault="00FE7423" w:rsidP="00E37A06">
            <w:pPr>
              <w:jc w:val="center"/>
              <w:rPr>
                <w:rFonts w:cs="Times New Roman"/>
                <w:sz w:val="20"/>
                <w:szCs w:val="20"/>
              </w:rPr>
            </w:pPr>
            <w:r>
              <w:rPr>
                <w:rFonts w:cs="Times New Roman"/>
                <w:sz w:val="20"/>
                <w:szCs w:val="20"/>
              </w:rPr>
              <w:t>35</w:t>
            </w:r>
            <w:r w:rsidRPr="00FE7423">
              <w:rPr>
                <w:rFonts w:cs="Times New Roman"/>
                <w:sz w:val="20"/>
                <w:szCs w:val="20"/>
              </w:rPr>
              <w:t xml:space="preserve"> 000</w:t>
            </w:r>
            <w:r w:rsidR="000F5756" w:rsidRPr="00FE7423">
              <w:rPr>
                <w:rFonts w:cs="Times New Roman"/>
                <w:sz w:val="20"/>
                <w:szCs w:val="20"/>
              </w:rPr>
              <w:t xml:space="preserve"> OCTA/CSDD/privāti</w:t>
            </w:r>
            <w:r>
              <w:rPr>
                <w:rFonts w:cs="Times New Roman"/>
                <w:sz w:val="20"/>
                <w:szCs w:val="20"/>
              </w:rPr>
              <w:t xml:space="preserve"> līdzekļi</w:t>
            </w:r>
          </w:p>
        </w:tc>
        <w:tc>
          <w:tcPr>
            <w:tcW w:w="1418" w:type="dxa"/>
            <w:gridSpan w:val="2"/>
          </w:tcPr>
          <w:p w:rsidR="0087671B" w:rsidRPr="00FE7423" w:rsidRDefault="0087671B" w:rsidP="00E37A06">
            <w:pPr>
              <w:jc w:val="center"/>
              <w:rPr>
                <w:rFonts w:cs="Times New Roman"/>
                <w:sz w:val="20"/>
                <w:szCs w:val="20"/>
              </w:rPr>
            </w:pPr>
          </w:p>
        </w:tc>
        <w:tc>
          <w:tcPr>
            <w:tcW w:w="1559" w:type="dxa"/>
            <w:gridSpan w:val="3"/>
          </w:tcPr>
          <w:p w:rsidR="0087671B" w:rsidRPr="00FE7423" w:rsidRDefault="0087671B" w:rsidP="00E37A06">
            <w:pPr>
              <w:jc w:val="center"/>
              <w:rPr>
                <w:rFonts w:cs="Times New Roman"/>
                <w:sz w:val="20"/>
                <w:szCs w:val="20"/>
              </w:rPr>
            </w:pPr>
          </w:p>
        </w:tc>
        <w:tc>
          <w:tcPr>
            <w:tcW w:w="1417" w:type="dxa"/>
            <w:gridSpan w:val="2"/>
          </w:tcPr>
          <w:p w:rsidR="0087671B" w:rsidRPr="00FE7423" w:rsidRDefault="0087671B" w:rsidP="00E37A06">
            <w:pPr>
              <w:jc w:val="center"/>
              <w:rPr>
                <w:rFonts w:cs="Times New Roman"/>
                <w:sz w:val="20"/>
                <w:szCs w:val="20"/>
              </w:rPr>
            </w:pPr>
          </w:p>
        </w:tc>
        <w:tc>
          <w:tcPr>
            <w:tcW w:w="1560" w:type="dxa"/>
            <w:gridSpan w:val="3"/>
          </w:tcPr>
          <w:p w:rsidR="0087671B" w:rsidRPr="00FE7423" w:rsidRDefault="0087671B" w:rsidP="00E37A06">
            <w:pPr>
              <w:jc w:val="center"/>
              <w:rPr>
                <w:rFonts w:cs="Times New Roman"/>
                <w:sz w:val="20"/>
                <w:szCs w:val="20"/>
              </w:rPr>
            </w:pPr>
          </w:p>
        </w:tc>
        <w:tc>
          <w:tcPr>
            <w:tcW w:w="1417" w:type="dxa"/>
            <w:shd w:val="clear" w:color="auto" w:fill="DFE4DA" w:themeFill="text2" w:themeFillTint="33"/>
          </w:tcPr>
          <w:p w:rsidR="0087671B" w:rsidRPr="00FE7423" w:rsidRDefault="00FE7423" w:rsidP="00E37A06">
            <w:pPr>
              <w:ind w:right="34"/>
              <w:jc w:val="center"/>
              <w:rPr>
                <w:rFonts w:cs="Times New Roman"/>
                <w:sz w:val="20"/>
                <w:szCs w:val="20"/>
              </w:rPr>
            </w:pPr>
            <w:r w:rsidRPr="00FE7423">
              <w:rPr>
                <w:rFonts w:cs="Times New Roman"/>
                <w:sz w:val="20"/>
                <w:szCs w:val="20"/>
              </w:rPr>
              <w:t>70 000</w:t>
            </w:r>
            <w:r w:rsidR="0087671B" w:rsidRPr="00FE7423">
              <w:rPr>
                <w:rFonts w:cs="Times New Roman"/>
                <w:sz w:val="20"/>
                <w:szCs w:val="20"/>
              </w:rPr>
              <w:t xml:space="preserve"> </w:t>
            </w:r>
            <w:r w:rsidR="000F5756" w:rsidRPr="00FE7423">
              <w:rPr>
                <w:rFonts w:cs="Times New Roman"/>
                <w:sz w:val="20"/>
                <w:szCs w:val="20"/>
              </w:rPr>
              <w:t>OCTA/CSDD/privāti</w:t>
            </w:r>
            <w:r>
              <w:rPr>
                <w:rFonts w:cs="Times New Roman"/>
                <w:sz w:val="20"/>
                <w:szCs w:val="20"/>
              </w:rPr>
              <w:t xml:space="preserve"> līdzekļi</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.2.</w:t>
            </w:r>
          </w:p>
          <w:p w:rsidR="00FC4FEF" w:rsidRPr="005350B3" w:rsidRDefault="00D64524" w:rsidP="0087671B">
            <w:pPr>
              <w:jc w:val="both"/>
              <w:rPr>
                <w:rFonts w:eastAsia="Calibri" w:cs="Times New Roman"/>
                <w:color w:val="000000" w:themeColor="text1"/>
                <w:sz w:val="20"/>
                <w:szCs w:val="20"/>
              </w:rPr>
            </w:pPr>
            <w:r>
              <w:rPr>
                <w:rFonts w:cs="Times New Roman"/>
                <w:sz w:val="20"/>
                <w:szCs w:val="20"/>
              </w:rPr>
              <w:t>8</w:t>
            </w:r>
            <w:r w:rsidR="0087671B" w:rsidRPr="00025D1F">
              <w:rPr>
                <w:rFonts w:cs="Times New Roman"/>
                <w:sz w:val="20"/>
                <w:szCs w:val="20"/>
              </w:rPr>
              <w:t xml:space="preserve">. </w:t>
            </w:r>
            <w:r w:rsidR="0087671B" w:rsidRPr="00025D1F">
              <w:rPr>
                <w:rFonts w:eastAsia="Calibri" w:cs="Times New Roman"/>
                <w:color w:val="000000" w:themeColor="text1"/>
                <w:sz w:val="20"/>
                <w:szCs w:val="20"/>
              </w:rPr>
              <w:t>Nodrošināt kampaņas īstenošanu par drošības līdzekļu izmantošanu – drošības jostas, bērnu krēsliņi, ķiveres, atstarojošie elementi u.c.</w:t>
            </w:r>
          </w:p>
        </w:tc>
        <w:tc>
          <w:tcPr>
            <w:tcW w:w="1418" w:type="dxa"/>
          </w:tcPr>
          <w:p w:rsidR="0087671B" w:rsidRPr="000F5756" w:rsidRDefault="0087671B" w:rsidP="00E37A06">
            <w:pPr>
              <w:jc w:val="center"/>
              <w:rPr>
                <w:rFonts w:cs="Times New Roman"/>
                <w:sz w:val="20"/>
                <w:szCs w:val="20"/>
                <w:highlight w:val="yellow"/>
              </w:rPr>
            </w:pPr>
          </w:p>
        </w:tc>
        <w:tc>
          <w:tcPr>
            <w:tcW w:w="1559" w:type="dxa"/>
          </w:tcPr>
          <w:p w:rsidR="0087671B" w:rsidRPr="00D23634" w:rsidRDefault="0087671B" w:rsidP="00E37A06">
            <w:pPr>
              <w:jc w:val="center"/>
              <w:rPr>
                <w:rFonts w:cs="Times New Roman"/>
                <w:sz w:val="20"/>
                <w:szCs w:val="20"/>
              </w:rPr>
            </w:pPr>
          </w:p>
        </w:tc>
        <w:tc>
          <w:tcPr>
            <w:tcW w:w="1418" w:type="dxa"/>
            <w:gridSpan w:val="2"/>
          </w:tcPr>
          <w:p w:rsidR="0087671B" w:rsidRPr="000F5756" w:rsidRDefault="0087671B" w:rsidP="00E37A06">
            <w:pPr>
              <w:jc w:val="center"/>
              <w:rPr>
                <w:rFonts w:cs="Times New Roman"/>
                <w:sz w:val="20"/>
                <w:szCs w:val="20"/>
                <w:highlight w:val="yellow"/>
              </w:rPr>
            </w:pPr>
          </w:p>
        </w:tc>
        <w:tc>
          <w:tcPr>
            <w:tcW w:w="1417" w:type="dxa"/>
            <w:gridSpan w:val="2"/>
          </w:tcPr>
          <w:p w:rsidR="0087671B" w:rsidRPr="00D23634" w:rsidRDefault="0087671B" w:rsidP="00E37A06">
            <w:pPr>
              <w:jc w:val="center"/>
              <w:rPr>
                <w:rFonts w:cs="Times New Roman"/>
                <w:sz w:val="20"/>
                <w:szCs w:val="20"/>
              </w:rPr>
            </w:pPr>
          </w:p>
        </w:tc>
        <w:tc>
          <w:tcPr>
            <w:tcW w:w="1418" w:type="dxa"/>
            <w:gridSpan w:val="2"/>
          </w:tcPr>
          <w:p w:rsidR="0087671B" w:rsidRPr="00D23634" w:rsidRDefault="0087671B" w:rsidP="00E37A06">
            <w:pPr>
              <w:jc w:val="center"/>
              <w:rPr>
                <w:rFonts w:cs="Times New Roman"/>
                <w:sz w:val="20"/>
                <w:szCs w:val="20"/>
              </w:rPr>
            </w:pPr>
          </w:p>
        </w:tc>
        <w:tc>
          <w:tcPr>
            <w:tcW w:w="1559" w:type="dxa"/>
            <w:gridSpan w:val="3"/>
          </w:tcPr>
          <w:p w:rsidR="0087671B" w:rsidRPr="00FE7423" w:rsidRDefault="00FE7423" w:rsidP="00E37A06">
            <w:pPr>
              <w:jc w:val="center"/>
              <w:rPr>
                <w:rFonts w:cs="Times New Roman"/>
                <w:sz w:val="20"/>
                <w:szCs w:val="20"/>
              </w:rPr>
            </w:pPr>
            <w:r w:rsidRPr="00FE7423">
              <w:rPr>
                <w:rFonts w:cs="Times New Roman"/>
                <w:sz w:val="20"/>
                <w:szCs w:val="20"/>
              </w:rPr>
              <w:t>40 000</w:t>
            </w:r>
            <w:r w:rsidR="000F5756" w:rsidRPr="00FE7423">
              <w:rPr>
                <w:rFonts w:cs="Times New Roman"/>
                <w:sz w:val="20"/>
                <w:szCs w:val="20"/>
              </w:rPr>
              <w:t xml:space="preserve"> OCTA/CSDD/</w:t>
            </w:r>
            <w:r w:rsidRPr="00FE7423">
              <w:rPr>
                <w:rFonts w:cs="Times New Roman"/>
                <w:sz w:val="20"/>
                <w:szCs w:val="20"/>
              </w:rPr>
              <w:t xml:space="preserve"> privāti</w:t>
            </w:r>
            <w:r>
              <w:rPr>
                <w:rFonts w:cs="Times New Roman"/>
                <w:sz w:val="20"/>
                <w:szCs w:val="20"/>
              </w:rPr>
              <w:t xml:space="preserve"> līdzekļi</w:t>
            </w:r>
          </w:p>
        </w:tc>
        <w:tc>
          <w:tcPr>
            <w:tcW w:w="1417" w:type="dxa"/>
            <w:gridSpan w:val="2"/>
          </w:tcPr>
          <w:p w:rsidR="0087671B" w:rsidRPr="00FE7423" w:rsidRDefault="0087671B" w:rsidP="00E37A06">
            <w:pPr>
              <w:jc w:val="center"/>
              <w:rPr>
                <w:rFonts w:cs="Times New Roman"/>
                <w:sz w:val="20"/>
                <w:szCs w:val="20"/>
              </w:rPr>
            </w:pPr>
          </w:p>
        </w:tc>
        <w:tc>
          <w:tcPr>
            <w:tcW w:w="1560" w:type="dxa"/>
            <w:gridSpan w:val="3"/>
          </w:tcPr>
          <w:p w:rsidR="0087671B" w:rsidRPr="00FE7423" w:rsidRDefault="0087671B" w:rsidP="00E37A06">
            <w:pPr>
              <w:jc w:val="center"/>
              <w:rPr>
                <w:rFonts w:cs="Times New Roman"/>
                <w:sz w:val="20"/>
                <w:szCs w:val="20"/>
              </w:rPr>
            </w:pPr>
          </w:p>
        </w:tc>
        <w:tc>
          <w:tcPr>
            <w:tcW w:w="1417" w:type="dxa"/>
            <w:shd w:val="clear" w:color="auto" w:fill="DFE4DA" w:themeFill="text2" w:themeFillTint="33"/>
          </w:tcPr>
          <w:p w:rsidR="0087671B" w:rsidRPr="00FE7423" w:rsidRDefault="00FE7423" w:rsidP="00E37A06">
            <w:pPr>
              <w:jc w:val="center"/>
              <w:rPr>
                <w:rFonts w:cs="Times New Roman"/>
                <w:sz w:val="20"/>
                <w:szCs w:val="20"/>
              </w:rPr>
            </w:pPr>
            <w:r w:rsidRPr="00FE7423">
              <w:rPr>
                <w:rFonts w:cs="Times New Roman"/>
                <w:sz w:val="20"/>
                <w:szCs w:val="20"/>
              </w:rPr>
              <w:t>40 000</w:t>
            </w:r>
            <w:r w:rsidR="000F5756" w:rsidRPr="00FE7423">
              <w:rPr>
                <w:rFonts w:cs="Times New Roman"/>
                <w:sz w:val="20"/>
                <w:szCs w:val="20"/>
              </w:rPr>
              <w:t xml:space="preserve"> OCTA/CSDD/</w:t>
            </w:r>
            <w:r w:rsidRPr="00FE7423">
              <w:rPr>
                <w:rFonts w:cs="Times New Roman"/>
                <w:sz w:val="20"/>
                <w:szCs w:val="20"/>
              </w:rPr>
              <w:t xml:space="preserve"> privāti</w:t>
            </w:r>
            <w:r>
              <w:rPr>
                <w:rFonts w:cs="Times New Roman"/>
                <w:sz w:val="20"/>
                <w:szCs w:val="20"/>
              </w:rPr>
              <w:t xml:space="preserve"> līdzekļi</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.2.</w:t>
            </w:r>
          </w:p>
          <w:p w:rsidR="0087671B" w:rsidRPr="00025D1F" w:rsidRDefault="00D64524" w:rsidP="0087671B">
            <w:pPr>
              <w:jc w:val="both"/>
              <w:rPr>
                <w:rFonts w:cs="Times New Roman"/>
                <w:sz w:val="20"/>
                <w:szCs w:val="20"/>
              </w:rPr>
            </w:pPr>
            <w:r>
              <w:rPr>
                <w:rFonts w:cs="Times New Roman"/>
                <w:sz w:val="20"/>
                <w:szCs w:val="20"/>
              </w:rPr>
              <w:t>9</w:t>
            </w:r>
            <w:r w:rsidR="0087671B" w:rsidRPr="00025D1F">
              <w:rPr>
                <w:rFonts w:cs="Times New Roman"/>
                <w:sz w:val="20"/>
                <w:szCs w:val="20"/>
              </w:rPr>
              <w:t xml:space="preserve">. </w:t>
            </w:r>
            <w:r w:rsidR="00FE7423" w:rsidRPr="00FE7423">
              <w:rPr>
                <w:rFonts w:eastAsia="Calibri" w:cs="Times New Roman"/>
                <w:color w:val="000000" w:themeColor="text1"/>
                <w:sz w:val="20"/>
                <w:szCs w:val="20"/>
              </w:rPr>
              <w:t>Nodrošināt kampaņas par atļautā ātruma pārsniegšanu, drošas distances u.c. CSN normu ievērošanu</w:t>
            </w:r>
          </w:p>
        </w:tc>
        <w:tc>
          <w:tcPr>
            <w:tcW w:w="1418" w:type="dxa"/>
          </w:tcPr>
          <w:p w:rsidR="0087671B" w:rsidRPr="00D23634" w:rsidRDefault="0087671B" w:rsidP="00E37A06">
            <w:pPr>
              <w:jc w:val="center"/>
              <w:rPr>
                <w:rFonts w:cs="Times New Roman"/>
                <w:sz w:val="20"/>
                <w:szCs w:val="20"/>
              </w:rPr>
            </w:pPr>
          </w:p>
        </w:tc>
        <w:tc>
          <w:tcPr>
            <w:tcW w:w="1559" w:type="dxa"/>
          </w:tcPr>
          <w:p w:rsidR="0087671B" w:rsidRPr="00E1398D" w:rsidRDefault="00E1398D" w:rsidP="00E37A06">
            <w:pPr>
              <w:jc w:val="center"/>
              <w:rPr>
                <w:rFonts w:cs="Times New Roman"/>
                <w:sz w:val="20"/>
                <w:szCs w:val="20"/>
              </w:rPr>
            </w:pPr>
            <w:r w:rsidRPr="00E1398D">
              <w:rPr>
                <w:rFonts w:cs="Times New Roman"/>
                <w:sz w:val="20"/>
                <w:szCs w:val="20"/>
              </w:rPr>
              <w:t>50 000</w:t>
            </w:r>
            <w:r w:rsidR="000F5756" w:rsidRPr="00E1398D">
              <w:rPr>
                <w:rFonts w:cs="Times New Roman"/>
                <w:sz w:val="20"/>
                <w:szCs w:val="20"/>
              </w:rPr>
              <w:t xml:space="preserve"> OCTA/CSDD/</w:t>
            </w:r>
            <w:r>
              <w:rPr>
                <w:rFonts w:cs="Times New Roman"/>
                <w:sz w:val="20"/>
                <w:szCs w:val="20"/>
              </w:rPr>
              <w:t xml:space="preserve"> </w:t>
            </w:r>
            <w:r w:rsidR="000F5756" w:rsidRPr="00E1398D">
              <w:rPr>
                <w:rFonts w:cs="Times New Roman"/>
                <w:sz w:val="20"/>
                <w:szCs w:val="20"/>
              </w:rPr>
              <w:t>privāti</w:t>
            </w:r>
            <w:r>
              <w:rPr>
                <w:rFonts w:cs="Times New Roman"/>
                <w:sz w:val="20"/>
                <w:szCs w:val="20"/>
              </w:rPr>
              <w:t xml:space="preserve"> līdzekļi</w:t>
            </w:r>
          </w:p>
        </w:tc>
        <w:tc>
          <w:tcPr>
            <w:tcW w:w="1418" w:type="dxa"/>
            <w:gridSpan w:val="2"/>
          </w:tcPr>
          <w:p w:rsidR="0087671B" w:rsidRDefault="0087671B" w:rsidP="00E37A06">
            <w:pPr>
              <w:jc w:val="center"/>
              <w:rPr>
                <w:rFonts w:cs="Times New Roman"/>
                <w:sz w:val="20"/>
                <w:szCs w:val="20"/>
                <w:highlight w:val="yellow"/>
              </w:rPr>
            </w:pPr>
          </w:p>
          <w:p w:rsidR="0087671B" w:rsidRPr="00D23634" w:rsidRDefault="0087671B" w:rsidP="00E37A06">
            <w:pPr>
              <w:jc w:val="center"/>
              <w:rPr>
                <w:rFonts w:cs="Times New Roman"/>
                <w:sz w:val="20"/>
                <w:szCs w:val="20"/>
              </w:rPr>
            </w:pPr>
          </w:p>
        </w:tc>
        <w:tc>
          <w:tcPr>
            <w:tcW w:w="1417" w:type="dxa"/>
            <w:gridSpan w:val="2"/>
          </w:tcPr>
          <w:p w:rsidR="0087671B" w:rsidRPr="00D23634" w:rsidRDefault="0087671B" w:rsidP="00E37A06">
            <w:pPr>
              <w:jc w:val="center"/>
              <w:rPr>
                <w:rFonts w:cs="Times New Roman"/>
                <w:sz w:val="20"/>
                <w:szCs w:val="20"/>
              </w:rPr>
            </w:pPr>
          </w:p>
        </w:tc>
        <w:tc>
          <w:tcPr>
            <w:tcW w:w="1418" w:type="dxa"/>
            <w:gridSpan w:val="2"/>
          </w:tcPr>
          <w:p w:rsidR="0087671B" w:rsidRPr="00D23634" w:rsidRDefault="0087671B" w:rsidP="00E37A06">
            <w:pPr>
              <w:jc w:val="center"/>
              <w:rPr>
                <w:rFonts w:cs="Times New Roman"/>
                <w:sz w:val="20"/>
                <w:szCs w:val="20"/>
              </w:rPr>
            </w:pPr>
          </w:p>
        </w:tc>
        <w:tc>
          <w:tcPr>
            <w:tcW w:w="1559" w:type="dxa"/>
            <w:gridSpan w:val="3"/>
          </w:tcPr>
          <w:p w:rsidR="0087671B" w:rsidRPr="00D23634" w:rsidRDefault="0087671B" w:rsidP="00E37A06">
            <w:pPr>
              <w:jc w:val="center"/>
              <w:rPr>
                <w:rFonts w:cs="Times New Roman"/>
                <w:sz w:val="20"/>
                <w:szCs w:val="20"/>
              </w:rPr>
            </w:pPr>
          </w:p>
        </w:tc>
        <w:tc>
          <w:tcPr>
            <w:tcW w:w="1417" w:type="dxa"/>
            <w:gridSpan w:val="2"/>
          </w:tcPr>
          <w:p w:rsidR="0087671B" w:rsidRPr="00D23634" w:rsidRDefault="0087671B" w:rsidP="00E37A06">
            <w:pPr>
              <w:jc w:val="center"/>
              <w:rPr>
                <w:rFonts w:cs="Times New Roman"/>
                <w:sz w:val="20"/>
                <w:szCs w:val="20"/>
              </w:rPr>
            </w:pPr>
          </w:p>
        </w:tc>
        <w:tc>
          <w:tcPr>
            <w:tcW w:w="1560" w:type="dxa"/>
            <w:gridSpan w:val="3"/>
          </w:tcPr>
          <w:p w:rsidR="0087671B" w:rsidRPr="00D23634" w:rsidRDefault="0087671B" w:rsidP="00E37A06">
            <w:pPr>
              <w:jc w:val="center"/>
              <w:rPr>
                <w:rFonts w:cs="Times New Roman"/>
                <w:sz w:val="20"/>
                <w:szCs w:val="20"/>
              </w:rPr>
            </w:pPr>
          </w:p>
        </w:tc>
        <w:tc>
          <w:tcPr>
            <w:tcW w:w="1417" w:type="dxa"/>
            <w:shd w:val="clear" w:color="auto" w:fill="DFE4DA" w:themeFill="text2" w:themeFillTint="33"/>
          </w:tcPr>
          <w:p w:rsidR="0087671B" w:rsidRPr="00FE7423" w:rsidRDefault="00FE7423" w:rsidP="00E37A06">
            <w:pPr>
              <w:jc w:val="center"/>
              <w:rPr>
                <w:rFonts w:cs="Times New Roman"/>
                <w:sz w:val="20"/>
                <w:szCs w:val="20"/>
              </w:rPr>
            </w:pPr>
            <w:r w:rsidRPr="00FE7423">
              <w:rPr>
                <w:rFonts w:cs="Times New Roman"/>
                <w:sz w:val="20"/>
                <w:szCs w:val="20"/>
              </w:rPr>
              <w:t>50 000</w:t>
            </w:r>
            <w:r w:rsidR="000F5756" w:rsidRPr="00FE7423">
              <w:rPr>
                <w:rFonts w:cs="Times New Roman"/>
                <w:sz w:val="20"/>
                <w:szCs w:val="20"/>
              </w:rPr>
              <w:t xml:space="preserve"> OCTA/CSDD/</w:t>
            </w:r>
            <w:r w:rsidRPr="00FE7423">
              <w:rPr>
                <w:rFonts w:cs="Times New Roman"/>
                <w:sz w:val="20"/>
                <w:szCs w:val="20"/>
              </w:rPr>
              <w:t xml:space="preserve"> privāti</w:t>
            </w:r>
            <w:r>
              <w:rPr>
                <w:rFonts w:cs="Times New Roman"/>
                <w:sz w:val="20"/>
                <w:szCs w:val="20"/>
              </w:rPr>
              <w:t xml:space="preserve"> līdzekļi</w:t>
            </w:r>
          </w:p>
        </w:tc>
      </w:tr>
      <w:tr w:rsidR="000F5756" w:rsidTr="009D1429">
        <w:trPr>
          <w:jc w:val="center"/>
        </w:trPr>
        <w:tc>
          <w:tcPr>
            <w:tcW w:w="2409" w:type="dxa"/>
          </w:tcPr>
          <w:p w:rsidR="000F5756" w:rsidRPr="00025D1F" w:rsidRDefault="00EB5D7D" w:rsidP="0087671B">
            <w:pPr>
              <w:jc w:val="both"/>
              <w:rPr>
                <w:rFonts w:cs="Times New Roman"/>
                <w:sz w:val="20"/>
                <w:szCs w:val="20"/>
              </w:rPr>
            </w:pPr>
            <w:r>
              <w:rPr>
                <w:rFonts w:cs="Times New Roman"/>
                <w:sz w:val="20"/>
                <w:szCs w:val="20"/>
              </w:rPr>
              <w:t>3.2</w:t>
            </w:r>
            <w:r w:rsidR="000F5756" w:rsidRPr="00025D1F">
              <w:rPr>
                <w:rFonts w:cs="Times New Roman"/>
                <w:sz w:val="20"/>
                <w:szCs w:val="20"/>
              </w:rPr>
              <w:t>.2.</w:t>
            </w:r>
          </w:p>
          <w:p w:rsidR="000F5756" w:rsidRPr="00025D1F" w:rsidRDefault="00D64524" w:rsidP="0087671B">
            <w:pPr>
              <w:jc w:val="both"/>
              <w:rPr>
                <w:rFonts w:cs="Times New Roman"/>
                <w:sz w:val="20"/>
                <w:szCs w:val="20"/>
              </w:rPr>
            </w:pPr>
            <w:r>
              <w:rPr>
                <w:rFonts w:cs="Times New Roman"/>
                <w:sz w:val="20"/>
                <w:szCs w:val="20"/>
              </w:rPr>
              <w:t>10</w:t>
            </w:r>
            <w:r w:rsidR="000F5756" w:rsidRPr="00025D1F">
              <w:rPr>
                <w:rFonts w:cs="Times New Roman"/>
                <w:sz w:val="20"/>
                <w:szCs w:val="20"/>
              </w:rPr>
              <w:t xml:space="preserve">. </w:t>
            </w:r>
            <w:r w:rsidR="000F5756" w:rsidRPr="00025D1F">
              <w:rPr>
                <w:rFonts w:eastAsia="Calibri" w:cs="Times New Roman"/>
                <w:color w:val="000000" w:themeColor="text1"/>
                <w:sz w:val="20"/>
                <w:szCs w:val="20"/>
              </w:rPr>
              <w:t xml:space="preserve">Nodrošināt kampaņas par </w:t>
            </w:r>
            <w:proofErr w:type="spellStart"/>
            <w:r w:rsidR="000F5756" w:rsidRPr="00025D1F">
              <w:rPr>
                <w:rFonts w:eastAsia="Calibri" w:cs="Times New Roman"/>
                <w:color w:val="000000" w:themeColor="text1"/>
                <w:sz w:val="20"/>
                <w:szCs w:val="20"/>
              </w:rPr>
              <w:t>mazaizsargāto</w:t>
            </w:r>
            <w:proofErr w:type="spellEnd"/>
            <w:r w:rsidR="000F5756" w:rsidRPr="00025D1F">
              <w:rPr>
                <w:rFonts w:eastAsia="Calibri" w:cs="Times New Roman"/>
                <w:color w:val="000000" w:themeColor="text1"/>
                <w:sz w:val="20"/>
                <w:szCs w:val="20"/>
              </w:rPr>
              <w:t xml:space="preserve"> satiksmes </w:t>
            </w:r>
            <w:r w:rsidR="005A6F6A" w:rsidRPr="00025D1F">
              <w:rPr>
                <w:rFonts w:eastAsia="Calibri" w:cs="Times New Roman"/>
                <w:color w:val="000000" w:themeColor="text1"/>
                <w:sz w:val="20"/>
                <w:szCs w:val="20"/>
              </w:rPr>
              <w:t>dalībnieku</w:t>
            </w:r>
            <w:r w:rsidR="000F5756" w:rsidRPr="00025D1F">
              <w:rPr>
                <w:rFonts w:eastAsia="Calibri" w:cs="Times New Roman"/>
                <w:color w:val="000000" w:themeColor="text1"/>
                <w:sz w:val="20"/>
                <w:szCs w:val="20"/>
              </w:rPr>
              <w:t xml:space="preserve"> (gājēju, velosipēdistu, mopēdistu) drošību īstenošanu.</w:t>
            </w:r>
          </w:p>
        </w:tc>
        <w:tc>
          <w:tcPr>
            <w:tcW w:w="1418" w:type="dxa"/>
          </w:tcPr>
          <w:p w:rsidR="000F5756" w:rsidRPr="000F5756" w:rsidRDefault="000F5756" w:rsidP="00E37A06">
            <w:pPr>
              <w:jc w:val="center"/>
              <w:rPr>
                <w:rFonts w:cs="Times New Roman"/>
                <w:strike/>
                <w:sz w:val="20"/>
                <w:szCs w:val="20"/>
                <w:highlight w:val="cyan"/>
              </w:rPr>
            </w:pPr>
          </w:p>
        </w:tc>
        <w:tc>
          <w:tcPr>
            <w:tcW w:w="1559" w:type="dxa"/>
          </w:tcPr>
          <w:p w:rsidR="000F5756" w:rsidRPr="000F5756" w:rsidRDefault="000F5756" w:rsidP="00E37A06">
            <w:pPr>
              <w:jc w:val="center"/>
              <w:rPr>
                <w:rFonts w:cs="Times New Roman"/>
                <w:strike/>
                <w:sz w:val="20"/>
                <w:szCs w:val="20"/>
                <w:highlight w:val="cyan"/>
              </w:rPr>
            </w:pPr>
          </w:p>
        </w:tc>
        <w:tc>
          <w:tcPr>
            <w:tcW w:w="1418" w:type="dxa"/>
            <w:gridSpan w:val="2"/>
          </w:tcPr>
          <w:p w:rsidR="000F5756" w:rsidRPr="000F5756" w:rsidRDefault="000F5756" w:rsidP="00E37A06">
            <w:pPr>
              <w:jc w:val="center"/>
              <w:rPr>
                <w:rFonts w:cs="Times New Roman"/>
                <w:strike/>
                <w:sz w:val="20"/>
                <w:szCs w:val="20"/>
                <w:highlight w:val="cyan"/>
              </w:rPr>
            </w:pPr>
          </w:p>
        </w:tc>
        <w:tc>
          <w:tcPr>
            <w:tcW w:w="1417" w:type="dxa"/>
            <w:gridSpan w:val="2"/>
          </w:tcPr>
          <w:p w:rsidR="000F5756" w:rsidRPr="00D1556F" w:rsidRDefault="00D1556F" w:rsidP="00E37A06">
            <w:pPr>
              <w:jc w:val="center"/>
              <w:rPr>
                <w:rFonts w:cs="Times New Roman"/>
                <w:strike/>
                <w:sz w:val="20"/>
                <w:szCs w:val="20"/>
                <w:highlight w:val="cyan"/>
              </w:rPr>
            </w:pPr>
            <w:r w:rsidRPr="00D1556F">
              <w:rPr>
                <w:rFonts w:cs="Times New Roman"/>
                <w:sz w:val="20"/>
                <w:szCs w:val="20"/>
              </w:rPr>
              <w:t>50 000</w:t>
            </w:r>
            <w:r w:rsidR="000F5756" w:rsidRPr="00D1556F">
              <w:rPr>
                <w:rFonts w:cs="Times New Roman"/>
                <w:sz w:val="20"/>
                <w:szCs w:val="20"/>
              </w:rPr>
              <w:t xml:space="preserve"> OCTA/CSDD/privāti</w:t>
            </w:r>
            <w:r w:rsidRPr="00D1556F">
              <w:rPr>
                <w:rFonts w:cs="Times New Roman"/>
                <w:sz w:val="20"/>
                <w:szCs w:val="20"/>
              </w:rPr>
              <w:t xml:space="preserve"> līdzekļi</w:t>
            </w:r>
          </w:p>
        </w:tc>
        <w:tc>
          <w:tcPr>
            <w:tcW w:w="1418" w:type="dxa"/>
            <w:gridSpan w:val="2"/>
          </w:tcPr>
          <w:p w:rsidR="000F5756" w:rsidRPr="000F5756" w:rsidRDefault="000F5756" w:rsidP="00E37A06">
            <w:pPr>
              <w:jc w:val="center"/>
              <w:rPr>
                <w:rFonts w:cs="Times New Roman"/>
                <w:strike/>
                <w:sz w:val="20"/>
                <w:szCs w:val="20"/>
                <w:highlight w:val="cyan"/>
              </w:rPr>
            </w:pPr>
          </w:p>
        </w:tc>
        <w:tc>
          <w:tcPr>
            <w:tcW w:w="1559" w:type="dxa"/>
            <w:gridSpan w:val="3"/>
          </w:tcPr>
          <w:p w:rsidR="000F5756" w:rsidRPr="000F5756" w:rsidRDefault="000F5756" w:rsidP="00E37A06">
            <w:pPr>
              <w:jc w:val="center"/>
              <w:rPr>
                <w:rFonts w:cs="Times New Roman"/>
                <w:strike/>
                <w:sz w:val="20"/>
                <w:szCs w:val="20"/>
                <w:highlight w:val="cyan"/>
              </w:rPr>
            </w:pPr>
          </w:p>
        </w:tc>
        <w:tc>
          <w:tcPr>
            <w:tcW w:w="1417" w:type="dxa"/>
            <w:gridSpan w:val="2"/>
          </w:tcPr>
          <w:p w:rsidR="000F5756" w:rsidRPr="000F5756" w:rsidRDefault="000F5756" w:rsidP="00E37A06">
            <w:pPr>
              <w:jc w:val="center"/>
              <w:rPr>
                <w:rFonts w:cs="Times New Roman"/>
                <w:strike/>
                <w:sz w:val="20"/>
                <w:szCs w:val="20"/>
                <w:highlight w:val="cyan"/>
              </w:rPr>
            </w:pPr>
          </w:p>
        </w:tc>
        <w:tc>
          <w:tcPr>
            <w:tcW w:w="1560" w:type="dxa"/>
            <w:gridSpan w:val="3"/>
          </w:tcPr>
          <w:p w:rsidR="000F5756" w:rsidRPr="000F5756" w:rsidRDefault="000F5756" w:rsidP="00E37A06">
            <w:pPr>
              <w:jc w:val="center"/>
              <w:rPr>
                <w:rFonts w:cs="Times New Roman"/>
                <w:strike/>
                <w:sz w:val="20"/>
                <w:szCs w:val="20"/>
                <w:highlight w:val="cyan"/>
              </w:rPr>
            </w:pPr>
          </w:p>
        </w:tc>
        <w:tc>
          <w:tcPr>
            <w:tcW w:w="1417" w:type="dxa"/>
            <w:shd w:val="clear" w:color="auto" w:fill="DFE4DA" w:themeFill="text2" w:themeFillTint="33"/>
          </w:tcPr>
          <w:p w:rsidR="000F5756" w:rsidRPr="00D1556F" w:rsidRDefault="00D1556F" w:rsidP="00E37A06">
            <w:pPr>
              <w:jc w:val="center"/>
              <w:rPr>
                <w:rFonts w:cs="Times New Roman"/>
                <w:strike/>
                <w:sz w:val="20"/>
                <w:szCs w:val="20"/>
                <w:highlight w:val="cyan"/>
              </w:rPr>
            </w:pPr>
            <w:r w:rsidRPr="00D1556F">
              <w:rPr>
                <w:rFonts w:cs="Times New Roman"/>
                <w:sz w:val="20"/>
                <w:szCs w:val="20"/>
              </w:rPr>
              <w:t>50 000</w:t>
            </w:r>
            <w:r w:rsidR="000F5756" w:rsidRPr="00D1556F">
              <w:rPr>
                <w:rFonts w:cs="Times New Roman"/>
                <w:sz w:val="20"/>
                <w:szCs w:val="20"/>
              </w:rPr>
              <w:t xml:space="preserve"> OCTA/CSDD/privāti</w:t>
            </w:r>
            <w:r w:rsidRPr="00D1556F">
              <w:rPr>
                <w:rFonts w:cs="Times New Roman"/>
                <w:sz w:val="20"/>
                <w:szCs w:val="20"/>
              </w:rPr>
              <w:t xml:space="preserve"> līdzekļi</w:t>
            </w:r>
          </w:p>
        </w:tc>
      </w:tr>
      <w:tr w:rsidR="0087671B" w:rsidTr="009D1429">
        <w:trPr>
          <w:jc w:val="center"/>
        </w:trPr>
        <w:tc>
          <w:tcPr>
            <w:tcW w:w="2409" w:type="dxa"/>
          </w:tcPr>
          <w:p w:rsidR="0087671B" w:rsidRPr="00025D1F" w:rsidRDefault="00EB5D7D" w:rsidP="0087671B">
            <w:pPr>
              <w:jc w:val="both"/>
              <w:rPr>
                <w:rFonts w:cs="Times New Roman"/>
                <w:sz w:val="20"/>
                <w:szCs w:val="20"/>
              </w:rPr>
            </w:pPr>
            <w:r>
              <w:rPr>
                <w:rFonts w:cs="Times New Roman"/>
                <w:sz w:val="20"/>
                <w:szCs w:val="20"/>
              </w:rPr>
              <w:t>3.2</w:t>
            </w:r>
            <w:r w:rsidR="0087671B" w:rsidRPr="00025D1F">
              <w:rPr>
                <w:rFonts w:cs="Times New Roman"/>
                <w:sz w:val="20"/>
                <w:szCs w:val="20"/>
              </w:rPr>
              <w:t>.2.</w:t>
            </w:r>
          </w:p>
          <w:p w:rsidR="0087671B" w:rsidRPr="00025D1F" w:rsidRDefault="00D64524" w:rsidP="005A6F6A">
            <w:pPr>
              <w:jc w:val="both"/>
              <w:rPr>
                <w:rFonts w:cs="Times New Roman"/>
                <w:sz w:val="20"/>
                <w:szCs w:val="20"/>
              </w:rPr>
            </w:pPr>
            <w:r>
              <w:rPr>
                <w:rFonts w:cs="Times New Roman"/>
                <w:sz w:val="20"/>
                <w:szCs w:val="20"/>
              </w:rPr>
              <w:t>11</w:t>
            </w:r>
            <w:r w:rsidR="008227CD" w:rsidRPr="00025D1F">
              <w:rPr>
                <w:rFonts w:cs="Times New Roman"/>
                <w:sz w:val="20"/>
                <w:szCs w:val="20"/>
              </w:rPr>
              <w:t>.</w:t>
            </w:r>
            <w:r w:rsidR="0087671B" w:rsidRPr="00025D1F">
              <w:rPr>
                <w:rFonts w:cs="Times New Roman"/>
                <w:sz w:val="20"/>
                <w:szCs w:val="20"/>
              </w:rPr>
              <w:t xml:space="preserve"> </w:t>
            </w:r>
            <w:r w:rsidR="000F5756" w:rsidRPr="00025D1F">
              <w:rPr>
                <w:rFonts w:eastAsia="Calibri" w:cs="Times New Roman"/>
                <w:color w:val="000000" w:themeColor="text1"/>
                <w:sz w:val="20"/>
                <w:szCs w:val="20"/>
              </w:rPr>
              <w:t xml:space="preserve">Nodrošināt kampaņas īstenošanu pret mobilo ierīču lietošana bīstamību  </w:t>
            </w:r>
            <w:r w:rsidR="005A6F6A">
              <w:rPr>
                <w:rFonts w:eastAsia="Calibri" w:cs="Times New Roman"/>
                <w:color w:val="000000" w:themeColor="text1"/>
                <w:sz w:val="20"/>
                <w:szCs w:val="20"/>
              </w:rPr>
              <w:t>TL</w:t>
            </w:r>
            <w:r w:rsidR="005A6F6A" w:rsidRPr="00025D1F">
              <w:rPr>
                <w:rFonts w:eastAsia="Calibri" w:cs="Times New Roman"/>
                <w:color w:val="000000" w:themeColor="text1"/>
                <w:sz w:val="20"/>
                <w:szCs w:val="20"/>
              </w:rPr>
              <w:t xml:space="preserve"> </w:t>
            </w:r>
            <w:r w:rsidR="000F5756" w:rsidRPr="00025D1F">
              <w:rPr>
                <w:rFonts w:eastAsia="Calibri" w:cs="Times New Roman"/>
                <w:color w:val="000000" w:themeColor="text1"/>
                <w:sz w:val="20"/>
                <w:szCs w:val="20"/>
              </w:rPr>
              <w:t xml:space="preserve">vadīšanas laikā vai </w:t>
            </w:r>
            <w:r w:rsidR="000F5756" w:rsidRPr="00025D1F">
              <w:rPr>
                <w:rFonts w:eastAsia="Calibri" w:cs="Times New Roman"/>
                <w:color w:val="000000" w:themeColor="text1"/>
                <w:sz w:val="20"/>
                <w:szCs w:val="20"/>
              </w:rPr>
              <w:lastRenderedPageBreak/>
              <w:t>kādu citu aktuālu tēmu atkarībā no aktualitātes</w:t>
            </w:r>
          </w:p>
        </w:tc>
        <w:tc>
          <w:tcPr>
            <w:tcW w:w="1418" w:type="dxa"/>
          </w:tcPr>
          <w:p w:rsidR="0087671B" w:rsidRPr="000F5756" w:rsidRDefault="0087671B" w:rsidP="00E37A06">
            <w:pPr>
              <w:jc w:val="center"/>
              <w:rPr>
                <w:rFonts w:cs="Times New Roman"/>
                <w:sz w:val="20"/>
                <w:szCs w:val="20"/>
                <w:highlight w:val="yellow"/>
              </w:rPr>
            </w:pPr>
          </w:p>
        </w:tc>
        <w:tc>
          <w:tcPr>
            <w:tcW w:w="1559" w:type="dxa"/>
          </w:tcPr>
          <w:p w:rsidR="0087671B" w:rsidRPr="00D23634" w:rsidRDefault="0087671B" w:rsidP="00E37A06">
            <w:pPr>
              <w:jc w:val="center"/>
              <w:rPr>
                <w:rFonts w:cs="Times New Roman"/>
                <w:sz w:val="20"/>
                <w:szCs w:val="20"/>
              </w:rPr>
            </w:pPr>
          </w:p>
        </w:tc>
        <w:tc>
          <w:tcPr>
            <w:tcW w:w="1418" w:type="dxa"/>
            <w:gridSpan w:val="2"/>
          </w:tcPr>
          <w:p w:rsidR="0087671B" w:rsidRDefault="0087671B" w:rsidP="00E37A06">
            <w:pPr>
              <w:jc w:val="center"/>
              <w:rPr>
                <w:rFonts w:cs="Times New Roman"/>
                <w:sz w:val="20"/>
                <w:szCs w:val="20"/>
                <w:highlight w:val="yellow"/>
              </w:rPr>
            </w:pPr>
          </w:p>
          <w:p w:rsidR="0087671B" w:rsidRPr="00D23634" w:rsidRDefault="0087671B" w:rsidP="00E37A06">
            <w:pPr>
              <w:jc w:val="center"/>
              <w:rPr>
                <w:rFonts w:cs="Times New Roman"/>
                <w:sz w:val="20"/>
                <w:szCs w:val="20"/>
              </w:rPr>
            </w:pPr>
          </w:p>
        </w:tc>
        <w:tc>
          <w:tcPr>
            <w:tcW w:w="1417" w:type="dxa"/>
            <w:gridSpan w:val="2"/>
          </w:tcPr>
          <w:p w:rsidR="0087671B" w:rsidRPr="00D23634" w:rsidRDefault="0087671B" w:rsidP="00E37A06">
            <w:pPr>
              <w:jc w:val="center"/>
              <w:rPr>
                <w:rFonts w:cs="Times New Roman"/>
                <w:sz w:val="20"/>
                <w:szCs w:val="20"/>
              </w:rPr>
            </w:pPr>
          </w:p>
        </w:tc>
        <w:tc>
          <w:tcPr>
            <w:tcW w:w="1418" w:type="dxa"/>
            <w:gridSpan w:val="2"/>
          </w:tcPr>
          <w:p w:rsidR="0087671B" w:rsidRPr="00D23634" w:rsidRDefault="0087671B" w:rsidP="00E37A06">
            <w:pPr>
              <w:jc w:val="center"/>
              <w:rPr>
                <w:rFonts w:cs="Times New Roman"/>
                <w:sz w:val="20"/>
                <w:szCs w:val="20"/>
              </w:rPr>
            </w:pPr>
          </w:p>
        </w:tc>
        <w:tc>
          <w:tcPr>
            <w:tcW w:w="1559" w:type="dxa"/>
            <w:gridSpan w:val="3"/>
          </w:tcPr>
          <w:p w:rsidR="0087671B" w:rsidRPr="00D23634" w:rsidRDefault="0087671B" w:rsidP="00E37A06">
            <w:pPr>
              <w:jc w:val="center"/>
              <w:rPr>
                <w:rFonts w:cs="Times New Roman"/>
                <w:sz w:val="20"/>
                <w:szCs w:val="20"/>
              </w:rPr>
            </w:pPr>
          </w:p>
        </w:tc>
        <w:tc>
          <w:tcPr>
            <w:tcW w:w="1417" w:type="dxa"/>
            <w:gridSpan w:val="2"/>
          </w:tcPr>
          <w:p w:rsidR="0087671B" w:rsidRPr="00D23634" w:rsidRDefault="0087671B" w:rsidP="00E37A06">
            <w:pPr>
              <w:jc w:val="center"/>
              <w:rPr>
                <w:rFonts w:cs="Times New Roman"/>
                <w:sz w:val="20"/>
                <w:szCs w:val="20"/>
              </w:rPr>
            </w:pPr>
          </w:p>
        </w:tc>
        <w:tc>
          <w:tcPr>
            <w:tcW w:w="1560" w:type="dxa"/>
            <w:gridSpan w:val="3"/>
          </w:tcPr>
          <w:p w:rsidR="0087671B" w:rsidRPr="00D1556F" w:rsidRDefault="00D1556F" w:rsidP="00E37A06">
            <w:pPr>
              <w:jc w:val="center"/>
              <w:rPr>
                <w:rFonts w:cs="Times New Roman"/>
                <w:sz w:val="20"/>
                <w:szCs w:val="20"/>
              </w:rPr>
            </w:pPr>
            <w:r w:rsidRPr="00D1556F">
              <w:rPr>
                <w:rFonts w:cs="Times New Roman"/>
                <w:sz w:val="20"/>
                <w:szCs w:val="20"/>
              </w:rPr>
              <w:t xml:space="preserve">40 000 </w:t>
            </w:r>
            <w:r w:rsidR="000F5756" w:rsidRPr="00D1556F">
              <w:rPr>
                <w:rFonts w:cs="Times New Roman"/>
                <w:sz w:val="20"/>
                <w:szCs w:val="20"/>
              </w:rPr>
              <w:t xml:space="preserve"> OCTA/CSDD/</w:t>
            </w:r>
            <w:r>
              <w:rPr>
                <w:rFonts w:cs="Times New Roman"/>
                <w:sz w:val="20"/>
                <w:szCs w:val="20"/>
              </w:rPr>
              <w:t xml:space="preserve"> </w:t>
            </w:r>
            <w:r w:rsidR="000F5756" w:rsidRPr="00D1556F">
              <w:rPr>
                <w:rFonts w:cs="Times New Roman"/>
                <w:sz w:val="20"/>
                <w:szCs w:val="20"/>
              </w:rPr>
              <w:t>privāti</w:t>
            </w:r>
            <w:r w:rsidRPr="00D1556F">
              <w:rPr>
                <w:rFonts w:cs="Times New Roman"/>
                <w:sz w:val="20"/>
                <w:szCs w:val="20"/>
              </w:rPr>
              <w:t xml:space="preserve"> līdzekļi</w:t>
            </w:r>
          </w:p>
        </w:tc>
        <w:tc>
          <w:tcPr>
            <w:tcW w:w="1417" w:type="dxa"/>
            <w:shd w:val="clear" w:color="auto" w:fill="DFE4DA" w:themeFill="text2" w:themeFillTint="33"/>
          </w:tcPr>
          <w:p w:rsidR="0087671B" w:rsidRPr="00D1556F" w:rsidRDefault="00D1556F" w:rsidP="00E37A06">
            <w:pPr>
              <w:jc w:val="center"/>
              <w:rPr>
                <w:rFonts w:cs="Times New Roman"/>
                <w:sz w:val="20"/>
                <w:szCs w:val="20"/>
              </w:rPr>
            </w:pPr>
            <w:r w:rsidRPr="00D1556F">
              <w:rPr>
                <w:rFonts w:cs="Times New Roman"/>
                <w:sz w:val="20"/>
                <w:szCs w:val="20"/>
              </w:rPr>
              <w:t>40 000</w:t>
            </w:r>
            <w:r w:rsidR="000F5756" w:rsidRPr="00D1556F">
              <w:rPr>
                <w:rFonts w:cs="Times New Roman"/>
                <w:sz w:val="20"/>
                <w:szCs w:val="20"/>
              </w:rPr>
              <w:t xml:space="preserve"> OCTA/CSDD/privāti</w:t>
            </w:r>
            <w:r w:rsidRPr="00D1556F">
              <w:rPr>
                <w:rFonts w:cs="Times New Roman"/>
                <w:sz w:val="20"/>
                <w:szCs w:val="20"/>
              </w:rPr>
              <w:t xml:space="preserve"> līdzekļi</w:t>
            </w:r>
          </w:p>
        </w:tc>
      </w:tr>
      <w:tr w:rsidR="000010D0" w:rsidTr="009D1429">
        <w:trPr>
          <w:jc w:val="center"/>
        </w:trPr>
        <w:tc>
          <w:tcPr>
            <w:tcW w:w="2409" w:type="dxa"/>
          </w:tcPr>
          <w:p w:rsidR="000010D0" w:rsidRPr="00025D1F" w:rsidRDefault="00EB5D7D" w:rsidP="000010D0">
            <w:pPr>
              <w:jc w:val="both"/>
              <w:rPr>
                <w:rFonts w:cs="Times New Roman"/>
                <w:sz w:val="20"/>
                <w:szCs w:val="20"/>
              </w:rPr>
            </w:pPr>
            <w:r>
              <w:rPr>
                <w:rFonts w:cs="Times New Roman"/>
                <w:sz w:val="20"/>
                <w:szCs w:val="20"/>
              </w:rPr>
              <w:t>3.2</w:t>
            </w:r>
            <w:r w:rsidR="000010D0" w:rsidRPr="00025D1F">
              <w:rPr>
                <w:rFonts w:cs="Times New Roman"/>
                <w:sz w:val="20"/>
                <w:szCs w:val="20"/>
              </w:rPr>
              <w:t>.2.</w:t>
            </w:r>
          </w:p>
          <w:p w:rsidR="000010D0" w:rsidRPr="00025D1F" w:rsidRDefault="00D64524" w:rsidP="000010D0">
            <w:pPr>
              <w:jc w:val="both"/>
              <w:rPr>
                <w:rFonts w:cs="Times New Roman"/>
                <w:sz w:val="20"/>
                <w:szCs w:val="20"/>
              </w:rPr>
            </w:pPr>
            <w:r>
              <w:rPr>
                <w:rFonts w:cs="Times New Roman"/>
                <w:sz w:val="20"/>
                <w:szCs w:val="20"/>
              </w:rPr>
              <w:t>12</w:t>
            </w:r>
            <w:r w:rsidR="000010D0" w:rsidRPr="00025D1F">
              <w:rPr>
                <w:rFonts w:cs="Times New Roman"/>
                <w:sz w:val="20"/>
                <w:szCs w:val="20"/>
              </w:rPr>
              <w:t xml:space="preserve">. </w:t>
            </w:r>
            <w:r w:rsidR="000010D0" w:rsidRPr="00025D1F">
              <w:rPr>
                <w:rFonts w:cs="Times New Roman"/>
                <w:color w:val="000000" w:themeColor="text1"/>
                <w:sz w:val="20"/>
                <w:szCs w:val="20"/>
              </w:rPr>
              <w:t xml:space="preserve">Īstenot informatīvo kampaņu: “Iedzīvotāju izglītošana par rīcību pēc </w:t>
            </w:r>
            <w:proofErr w:type="spellStart"/>
            <w:r w:rsidR="000010D0" w:rsidRPr="00025D1F">
              <w:rPr>
                <w:rFonts w:cs="Times New Roman"/>
                <w:color w:val="000000" w:themeColor="text1"/>
                <w:sz w:val="20"/>
                <w:szCs w:val="20"/>
              </w:rPr>
              <w:t>CSNg</w:t>
            </w:r>
            <w:proofErr w:type="spellEnd"/>
            <w:r w:rsidR="000010D0" w:rsidRPr="00025D1F">
              <w:rPr>
                <w:rFonts w:cs="Times New Roman"/>
                <w:color w:val="000000" w:themeColor="text1"/>
                <w:sz w:val="20"/>
                <w:szCs w:val="20"/>
              </w:rPr>
              <w:t>”.</w:t>
            </w:r>
          </w:p>
        </w:tc>
        <w:tc>
          <w:tcPr>
            <w:tcW w:w="1418" w:type="dxa"/>
          </w:tcPr>
          <w:p w:rsidR="000010D0" w:rsidRPr="00025D1F" w:rsidRDefault="000010D0" w:rsidP="00E37A06">
            <w:pPr>
              <w:jc w:val="center"/>
              <w:rPr>
                <w:rFonts w:cs="Times New Roman"/>
                <w:sz w:val="20"/>
                <w:szCs w:val="20"/>
              </w:rPr>
            </w:pPr>
          </w:p>
        </w:tc>
        <w:tc>
          <w:tcPr>
            <w:tcW w:w="1559" w:type="dxa"/>
          </w:tcPr>
          <w:p w:rsidR="000010D0" w:rsidRDefault="000010D0" w:rsidP="00E37A06">
            <w:pPr>
              <w:jc w:val="center"/>
              <w:rPr>
                <w:rFonts w:cs="Times New Roman"/>
                <w:sz w:val="20"/>
                <w:szCs w:val="20"/>
              </w:rPr>
            </w:pPr>
            <w:r w:rsidRPr="00025D1F">
              <w:rPr>
                <w:rFonts w:cs="Times New Roman"/>
                <w:sz w:val="20"/>
                <w:szCs w:val="20"/>
              </w:rPr>
              <w:t>50 000, OCTA līdzekļi</w:t>
            </w:r>
          </w:p>
          <w:p w:rsidR="00425E03" w:rsidRPr="00025D1F" w:rsidRDefault="00425E03"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8" w:type="dxa"/>
            <w:gridSpan w:val="2"/>
          </w:tcPr>
          <w:p w:rsidR="000010D0" w:rsidRPr="00025D1F" w:rsidRDefault="000010D0" w:rsidP="00E37A06">
            <w:pPr>
              <w:jc w:val="center"/>
              <w:rPr>
                <w:rFonts w:cs="Times New Roman"/>
                <w:sz w:val="20"/>
                <w:szCs w:val="20"/>
              </w:rPr>
            </w:pPr>
          </w:p>
        </w:tc>
        <w:tc>
          <w:tcPr>
            <w:tcW w:w="1417" w:type="dxa"/>
            <w:gridSpan w:val="2"/>
          </w:tcPr>
          <w:p w:rsidR="000010D0" w:rsidRDefault="000010D0" w:rsidP="00E37A06">
            <w:pPr>
              <w:jc w:val="center"/>
              <w:rPr>
                <w:rFonts w:cs="Times New Roman"/>
                <w:sz w:val="20"/>
                <w:szCs w:val="20"/>
              </w:rPr>
            </w:pPr>
            <w:r w:rsidRPr="00025D1F">
              <w:rPr>
                <w:rFonts w:cs="Times New Roman"/>
                <w:sz w:val="20"/>
                <w:szCs w:val="20"/>
              </w:rPr>
              <w:t>35 000, OCTA līdzekļi</w:t>
            </w:r>
          </w:p>
          <w:p w:rsidR="00425E03" w:rsidRPr="00025D1F" w:rsidRDefault="00425E03"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8" w:type="dxa"/>
            <w:gridSpan w:val="2"/>
          </w:tcPr>
          <w:p w:rsidR="000010D0" w:rsidRPr="00025D1F" w:rsidRDefault="000010D0" w:rsidP="00E37A06">
            <w:pPr>
              <w:jc w:val="center"/>
              <w:rPr>
                <w:rFonts w:cs="Times New Roman"/>
                <w:sz w:val="20"/>
                <w:szCs w:val="20"/>
              </w:rPr>
            </w:pPr>
          </w:p>
        </w:tc>
        <w:tc>
          <w:tcPr>
            <w:tcW w:w="1559" w:type="dxa"/>
            <w:gridSpan w:val="3"/>
          </w:tcPr>
          <w:p w:rsidR="000010D0" w:rsidRDefault="000010D0" w:rsidP="00E37A06">
            <w:pPr>
              <w:jc w:val="center"/>
              <w:rPr>
                <w:rFonts w:cs="Times New Roman"/>
                <w:sz w:val="20"/>
                <w:szCs w:val="20"/>
              </w:rPr>
            </w:pPr>
            <w:r w:rsidRPr="00025D1F">
              <w:rPr>
                <w:rFonts w:cs="Times New Roman"/>
                <w:sz w:val="20"/>
                <w:szCs w:val="20"/>
              </w:rPr>
              <w:t>35 000, OCTA līdzekļi</w:t>
            </w:r>
          </w:p>
          <w:p w:rsidR="00425E03" w:rsidRPr="00025D1F" w:rsidRDefault="00425E03"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7" w:type="dxa"/>
            <w:gridSpan w:val="2"/>
          </w:tcPr>
          <w:p w:rsidR="000010D0" w:rsidRPr="00025D1F" w:rsidRDefault="000010D0" w:rsidP="00E37A06">
            <w:pPr>
              <w:jc w:val="center"/>
              <w:rPr>
                <w:rFonts w:cs="Times New Roman"/>
                <w:sz w:val="20"/>
                <w:szCs w:val="20"/>
              </w:rPr>
            </w:pPr>
          </w:p>
        </w:tc>
        <w:tc>
          <w:tcPr>
            <w:tcW w:w="1560" w:type="dxa"/>
            <w:gridSpan w:val="3"/>
          </w:tcPr>
          <w:p w:rsidR="000010D0" w:rsidRDefault="000010D0" w:rsidP="00E37A06">
            <w:pPr>
              <w:jc w:val="center"/>
              <w:rPr>
                <w:rFonts w:cs="Times New Roman"/>
                <w:sz w:val="20"/>
                <w:szCs w:val="20"/>
              </w:rPr>
            </w:pPr>
            <w:r w:rsidRPr="00025D1F">
              <w:rPr>
                <w:rFonts w:cs="Times New Roman"/>
                <w:sz w:val="20"/>
                <w:szCs w:val="20"/>
              </w:rPr>
              <w:t>20 000, OCTA līdzekļi</w:t>
            </w:r>
          </w:p>
          <w:p w:rsidR="00425E03" w:rsidRPr="00025D1F" w:rsidRDefault="00425E03"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7" w:type="dxa"/>
            <w:shd w:val="clear" w:color="auto" w:fill="DFE4DA" w:themeFill="text2" w:themeFillTint="33"/>
          </w:tcPr>
          <w:p w:rsidR="000010D0" w:rsidRDefault="000010D0" w:rsidP="00E37A06">
            <w:pPr>
              <w:ind w:right="-108"/>
              <w:jc w:val="center"/>
              <w:rPr>
                <w:rFonts w:cs="Times New Roman"/>
                <w:sz w:val="20"/>
                <w:szCs w:val="20"/>
              </w:rPr>
            </w:pPr>
            <w:r w:rsidRPr="00025D1F">
              <w:rPr>
                <w:rFonts w:cs="Times New Roman"/>
                <w:sz w:val="20"/>
                <w:szCs w:val="20"/>
              </w:rPr>
              <w:t>140 000, OCTA līdzekļi</w:t>
            </w:r>
          </w:p>
          <w:p w:rsidR="00425E03" w:rsidRPr="00025D1F" w:rsidRDefault="00425E03" w:rsidP="00E37A06">
            <w:pPr>
              <w:ind w:right="-108"/>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r>
      <w:tr w:rsidR="000010D0" w:rsidTr="009D1429">
        <w:trPr>
          <w:jc w:val="center"/>
        </w:trPr>
        <w:tc>
          <w:tcPr>
            <w:tcW w:w="2409" w:type="dxa"/>
          </w:tcPr>
          <w:p w:rsidR="000010D0" w:rsidRPr="00025D1F" w:rsidRDefault="00EB5D7D" w:rsidP="000010D0">
            <w:pPr>
              <w:jc w:val="both"/>
              <w:rPr>
                <w:rFonts w:cs="Times New Roman"/>
                <w:sz w:val="20"/>
                <w:szCs w:val="20"/>
              </w:rPr>
            </w:pPr>
            <w:r>
              <w:rPr>
                <w:rFonts w:cs="Times New Roman"/>
                <w:sz w:val="20"/>
                <w:szCs w:val="20"/>
              </w:rPr>
              <w:t>3.2</w:t>
            </w:r>
            <w:r w:rsidR="000010D0" w:rsidRPr="00025D1F">
              <w:rPr>
                <w:rFonts w:cs="Times New Roman"/>
                <w:sz w:val="20"/>
                <w:szCs w:val="20"/>
              </w:rPr>
              <w:t>.2.</w:t>
            </w:r>
          </w:p>
          <w:p w:rsidR="000010D0" w:rsidRPr="00025D1F" w:rsidRDefault="00D64524" w:rsidP="000010D0">
            <w:pPr>
              <w:jc w:val="both"/>
              <w:rPr>
                <w:rFonts w:cs="Times New Roman"/>
                <w:sz w:val="20"/>
                <w:szCs w:val="20"/>
              </w:rPr>
            </w:pPr>
            <w:r>
              <w:rPr>
                <w:rFonts w:cs="Times New Roman"/>
                <w:sz w:val="20"/>
                <w:szCs w:val="20"/>
              </w:rPr>
              <w:t>13</w:t>
            </w:r>
            <w:r w:rsidR="000010D0" w:rsidRPr="00025D1F">
              <w:rPr>
                <w:rFonts w:cs="Times New Roman"/>
                <w:sz w:val="20"/>
                <w:szCs w:val="20"/>
              </w:rPr>
              <w:t xml:space="preserve">. </w:t>
            </w:r>
            <w:r w:rsidR="000010D0" w:rsidRPr="00025D1F">
              <w:rPr>
                <w:rFonts w:eastAsia="Calibri" w:cs="Times New Roman"/>
                <w:color w:val="000000" w:themeColor="text1"/>
                <w:sz w:val="20"/>
                <w:szCs w:val="20"/>
              </w:rPr>
              <w:t>Preventīvo pasākumu īstenošana ceļu satiksmes drošības uzlabošanai. Gaismas atstarotāju, priekšmetu ar gaismu atstarojošiem elementiem iegāde izsniegšanai uz robežas un pierobežā</w:t>
            </w:r>
          </w:p>
        </w:tc>
        <w:tc>
          <w:tcPr>
            <w:tcW w:w="1418" w:type="dxa"/>
          </w:tcPr>
          <w:p w:rsidR="000010D0" w:rsidRPr="00025D1F" w:rsidRDefault="000010D0" w:rsidP="00E37A06">
            <w:pPr>
              <w:jc w:val="center"/>
              <w:rPr>
                <w:rFonts w:cs="Times New Roman"/>
                <w:sz w:val="20"/>
                <w:szCs w:val="20"/>
              </w:rPr>
            </w:pPr>
          </w:p>
        </w:tc>
        <w:tc>
          <w:tcPr>
            <w:tcW w:w="1559" w:type="dxa"/>
          </w:tcPr>
          <w:p w:rsidR="000010D0" w:rsidRDefault="000010D0" w:rsidP="00E37A06">
            <w:pPr>
              <w:jc w:val="center"/>
              <w:rPr>
                <w:rFonts w:cs="Times New Roman"/>
                <w:sz w:val="20"/>
                <w:szCs w:val="20"/>
              </w:rPr>
            </w:pPr>
            <w:r w:rsidRPr="00025D1F">
              <w:rPr>
                <w:rFonts w:cs="Times New Roman"/>
                <w:sz w:val="20"/>
                <w:szCs w:val="20"/>
              </w:rPr>
              <w:t>5000, OCTA līdzekļi</w:t>
            </w:r>
          </w:p>
          <w:p w:rsidR="00C1352C" w:rsidRPr="00025D1F" w:rsidRDefault="00C1352C" w:rsidP="00E37A06">
            <w:pPr>
              <w:jc w:val="center"/>
              <w:rPr>
                <w:rFonts w:cs="Times New Roman"/>
                <w:sz w:val="20"/>
                <w:szCs w:val="20"/>
              </w:rPr>
            </w:pPr>
            <w:r>
              <w:rPr>
                <w:rFonts w:cs="Times New Roman"/>
                <w:sz w:val="20"/>
                <w:szCs w:val="20"/>
              </w:rPr>
              <w:t>(10.00.00. “Valsts robežsardzes darbība”)</w:t>
            </w:r>
          </w:p>
        </w:tc>
        <w:tc>
          <w:tcPr>
            <w:tcW w:w="1418" w:type="dxa"/>
            <w:gridSpan w:val="2"/>
          </w:tcPr>
          <w:p w:rsidR="000010D0" w:rsidRPr="00025D1F" w:rsidRDefault="000010D0" w:rsidP="00E37A06">
            <w:pPr>
              <w:jc w:val="center"/>
              <w:rPr>
                <w:rFonts w:cs="Times New Roman"/>
                <w:sz w:val="20"/>
                <w:szCs w:val="20"/>
              </w:rPr>
            </w:pPr>
          </w:p>
        </w:tc>
        <w:tc>
          <w:tcPr>
            <w:tcW w:w="1417" w:type="dxa"/>
            <w:gridSpan w:val="2"/>
          </w:tcPr>
          <w:p w:rsidR="000010D0" w:rsidRDefault="000010D0" w:rsidP="00E37A06">
            <w:pPr>
              <w:jc w:val="center"/>
              <w:rPr>
                <w:rFonts w:cs="Times New Roman"/>
                <w:sz w:val="20"/>
                <w:szCs w:val="20"/>
              </w:rPr>
            </w:pPr>
            <w:r w:rsidRPr="00025D1F">
              <w:rPr>
                <w:rFonts w:cs="Times New Roman"/>
                <w:sz w:val="20"/>
                <w:szCs w:val="20"/>
              </w:rPr>
              <w:t>5000, OCTA līdzekļi</w:t>
            </w:r>
          </w:p>
          <w:p w:rsidR="00C1352C" w:rsidRPr="00025D1F" w:rsidRDefault="00C1352C" w:rsidP="00E37A06">
            <w:pPr>
              <w:jc w:val="center"/>
              <w:rPr>
                <w:rFonts w:cs="Times New Roman"/>
                <w:sz w:val="20"/>
                <w:szCs w:val="20"/>
              </w:rPr>
            </w:pPr>
            <w:r>
              <w:rPr>
                <w:rFonts w:cs="Times New Roman"/>
                <w:sz w:val="20"/>
                <w:szCs w:val="20"/>
              </w:rPr>
              <w:t>(10.00.00. “Valsts robežsardzes darbība”)</w:t>
            </w:r>
          </w:p>
        </w:tc>
        <w:tc>
          <w:tcPr>
            <w:tcW w:w="1418" w:type="dxa"/>
            <w:gridSpan w:val="2"/>
          </w:tcPr>
          <w:p w:rsidR="000010D0" w:rsidRPr="00025D1F" w:rsidRDefault="000010D0" w:rsidP="00E37A06">
            <w:pPr>
              <w:jc w:val="center"/>
              <w:rPr>
                <w:rFonts w:cs="Times New Roman"/>
                <w:sz w:val="20"/>
                <w:szCs w:val="20"/>
              </w:rPr>
            </w:pPr>
          </w:p>
        </w:tc>
        <w:tc>
          <w:tcPr>
            <w:tcW w:w="1559" w:type="dxa"/>
            <w:gridSpan w:val="3"/>
          </w:tcPr>
          <w:p w:rsidR="000010D0" w:rsidRDefault="000010D0" w:rsidP="00E37A06">
            <w:pPr>
              <w:jc w:val="center"/>
              <w:rPr>
                <w:rFonts w:cs="Times New Roman"/>
                <w:sz w:val="20"/>
                <w:szCs w:val="20"/>
              </w:rPr>
            </w:pPr>
            <w:r w:rsidRPr="00025D1F">
              <w:rPr>
                <w:rFonts w:cs="Times New Roman"/>
                <w:sz w:val="20"/>
                <w:szCs w:val="20"/>
              </w:rPr>
              <w:t>5000, OCTA līdzekļi</w:t>
            </w:r>
          </w:p>
          <w:p w:rsidR="00C1352C" w:rsidRPr="00025D1F" w:rsidRDefault="00C1352C" w:rsidP="00E37A06">
            <w:pPr>
              <w:jc w:val="center"/>
              <w:rPr>
                <w:rFonts w:cs="Times New Roman"/>
                <w:sz w:val="20"/>
                <w:szCs w:val="20"/>
              </w:rPr>
            </w:pPr>
            <w:r>
              <w:rPr>
                <w:rFonts w:cs="Times New Roman"/>
                <w:sz w:val="20"/>
                <w:szCs w:val="20"/>
              </w:rPr>
              <w:t>(10.00.00. “Valsts robežsardzes darbība”)</w:t>
            </w:r>
          </w:p>
        </w:tc>
        <w:tc>
          <w:tcPr>
            <w:tcW w:w="1417" w:type="dxa"/>
            <w:gridSpan w:val="2"/>
          </w:tcPr>
          <w:p w:rsidR="000010D0" w:rsidRPr="00025D1F" w:rsidRDefault="000010D0" w:rsidP="00E37A06">
            <w:pPr>
              <w:jc w:val="center"/>
              <w:rPr>
                <w:rFonts w:cs="Times New Roman"/>
                <w:sz w:val="20"/>
                <w:szCs w:val="20"/>
              </w:rPr>
            </w:pPr>
          </w:p>
        </w:tc>
        <w:tc>
          <w:tcPr>
            <w:tcW w:w="1560" w:type="dxa"/>
            <w:gridSpan w:val="3"/>
          </w:tcPr>
          <w:p w:rsidR="000010D0" w:rsidRDefault="000010D0" w:rsidP="00E37A06">
            <w:pPr>
              <w:jc w:val="center"/>
              <w:rPr>
                <w:rFonts w:cs="Times New Roman"/>
                <w:sz w:val="20"/>
                <w:szCs w:val="20"/>
              </w:rPr>
            </w:pPr>
            <w:r w:rsidRPr="00025D1F">
              <w:rPr>
                <w:rFonts w:cs="Times New Roman"/>
                <w:sz w:val="20"/>
                <w:szCs w:val="20"/>
              </w:rPr>
              <w:t>5000, OCTA līdzekļi</w:t>
            </w:r>
          </w:p>
          <w:p w:rsidR="00C1352C" w:rsidRPr="00025D1F" w:rsidRDefault="00C1352C" w:rsidP="00E37A06">
            <w:pPr>
              <w:jc w:val="center"/>
              <w:rPr>
                <w:rFonts w:cs="Times New Roman"/>
                <w:sz w:val="20"/>
                <w:szCs w:val="20"/>
              </w:rPr>
            </w:pPr>
            <w:r>
              <w:rPr>
                <w:rFonts w:cs="Times New Roman"/>
                <w:sz w:val="20"/>
                <w:szCs w:val="20"/>
              </w:rPr>
              <w:t>(10.00.00. “Valsts robežsardzes darbība”)</w:t>
            </w:r>
          </w:p>
        </w:tc>
        <w:tc>
          <w:tcPr>
            <w:tcW w:w="1417" w:type="dxa"/>
            <w:shd w:val="clear" w:color="auto" w:fill="DFE4DA" w:themeFill="text2" w:themeFillTint="33"/>
          </w:tcPr>
          <w:p w:rsidR="000010D0" w:rsidRDefault="000010D0" w:rsidP="00E37A06">
            <w:pPr>
              <w:ind w:right="-108"/>
              <w:jc w:val="center"/>
              <w:rPr>
                <w:rFonts w:cs="Times New Roman"/>
                <w:sz w:val="20"/>
                <w:szCs w:val="20"/>
              </w:rPr>
            </w:pPr>
            <w:r w:rsidRPr="00025D1F">
              <w:rPr>
                <w:rFonts w:cs="Times New Roman"/>
                <w:sz w:val="20"/>
                <w:szCs w:val="20"/>
              </w:rPr>
              <w:t>20 000, OCTA līdzekļi</w:t>
            </w:r>
          </w:p>
          <w:p w:rsidR="00C1352C" w:rsidRPr="00025D1F" w:rsidRDefault="00C1352C" w:rsidP="00E37A06">
            <w:pPr>
              <w:ind w:right="-108"/>
              <w:jc w:val="center"/>
              <w:rPr>
                <w:rFonts w:cs="Times New Roman"/>
                <w:sz w:val="20"/>
                <w:szCs w:val="20"/>
              </w:rPr>
            </w:pPr>
            <w:r>
              <w:rPr>
                <w:rFonts w:cs="Times New Roman"/>
                <w:sz w:val="20"/>
                <w:szCs w:val="20"/>
              </w:rPr>
              <w:t>(10.00.00. “Valsts robežsardzes darbība”)</w:t>
            </w:r>
          </w:p>
        </w:tc>
      </w:tr>
      <w:tr w:rsidR="000010D0" w:rsidTr="00BB19EA">
        <w:trPr>
          <w:jc w:val="center"/>
        </w:trPr>
        <w:tc>
          <w:tcPr>
            <w:tcW w:w="2409" w:type="dxa"/>
            <w:shd w:val="clear" w:color="auto" w:fill="F3B46B" w:themeFill="accent1" w:themeFillTint="99"/>
          </w:tcPr>
          <w:p w:rsidR="000010D0" w:rsidRDefault="00BB19EA" w:rsidP="000010D0">
            <w:pPr>
              <w:jc w:val="both"/>
              <w:rPr>
                <w:rFonts w:cs="Times New Roman"/>
                <w:b/>
                <w:sz w:val="20"/>
                <w:szCs w:val="20"/>
              </w:rPr>
            </w:pPr>
            <w:r>
              <w:rPr>
                <w:rFonts w:cs="Times New Roman"/>
                <w:b/>
                <w:sz w:val="20"/>
                <w:szCs w:val="20"/>
              </w:rPr>
              <w:t>3.3</w:t>
            </w:r>
            <w:r w:rsidR="000010D0" w:rsidRPr="006344A6">
              <w:rPr>
                <w:rFonts w:cs="Times New Roman"/>
                <w:b/>
                <w:sz w:val="20"/>
                <w:szCs w:val="20"/>
              </w:rPr>
              <w:t>. Satiksmes drošības risinājumu ieviešana autoceļu un ielu tīklā.</w:t>
            </w:r>
          </w:p>
          <w:p w:rsidR="00B02243" w:rsidRPr="006344A6" w:rsidRDefault="00B02243" w:rsidP="000010D0">
            <w:pPr>
              <w:jc w:val="both"/>
              <w:rPr>
                <w:rFonts w:cs="Times New Roman"/>
                <w:b/>
                <w:sz w:val="20"/>
                <w:szCs w:val="20"/>
              </w:rPr>
            </w:pPr>
          </w:p>
        </w:tc>
        <w:tc>
          <w:tcPr>
            <w:tcW w:w="1418" w:type="dxa"/>
          </w:tcPr>
          <w:p w:rsidR="000010D0" w:rsidRPr="00D23634" w:rsidRDefault="000010D0" w:rsidP="00E37A06">
            <w:pPr>
              <w:jc w:val="center"/>
              <w:rPr>
                <w:rFonts w:cs="Times New Roman"/>
                <w:sz w:val="20"/>
                <w:szCs w:val="20"/>
              </w:rPr>
            </w:pPr>
          </w:p>
        </w:tc>
        <w:tc>
          <w:tcPr>
            <w:tcW w:w="1559" w:type="dxa"/>
          </w:tcPr>
          <w:p w:rsidR="000010D0" w:rsidRPr="00D23634" w:rsidRDefault="000010D0" w:rsidP="00E37A06">
            <w:pPr>
              <w:jc w:val="center"/>
              <w:rPr>
                <w:rFonts w:cs="Times New Roman"/>
                <w:sz w:val="20"/>
                <w:szCs w:val="20"/>
              </w:rPr>
            </w:pPr>
          </w:p>
        </w:tc>
        <w:tc>
          <w:tcPr>
            <w:tcW w:w="1418" w:type="dxa"/>
            <w:gridSpan w:val="2"/>
          </w:tcPr>
          <w:p w:rsidR="000010D0" w:rsidRPr="00D23634" w:rsidRDefault="000010D0" w:rsidP="00E37A06">
            <w:pPr>
              <w:jc w:val="center"/>
              <w:rPr>
                <w:rFonts w:cs="Times New Roman"/>
                <w:sz w:val="20"/>
                <w:szCs w:val="20"/>
              </w:rPr>
            </w:pPr>
          </w:p>
        </w:tc>
        <w:tc>
          <w:tcPr>
            <w:tcW w:w="1417" w:type="dxa"/>
            <w:gridSpan w:val="2"/>
          </w:tcPr>
          <w:p w:rsidR="000010D0" w:rsidRPr="00D23634" w:rsidRDefault="000010D0" w:rsidP="00E37A06">
            <w:pPr>
              <w:jc w:val="center"/>
              <w:rPr>
                <w:rFonts w:cs="Times New Roman"/>
                <w:sz w:val="20"/>
                <w:szCs w:val="20"/>
              </w:rPr>
            </w:pPr>
          </w:p>
        </w:tc>
        <w:tc>
          <w:tcPr>
            <w:tcW w:w="1418" w:type="dxa"/>
            <w:gridSpan w:val="2"/>
          </w:tcPr>
          <w:p w:rsidR="000010D0" w:rsidRPr="00D23634" w:rsidRDefault="000010D0" w:rsidP="00E37A06">
            <w:pPr>
              <w:jc w:val="center"/>
              <w:rPr>
                <w:rFonts w:cs="Times New Roman"/>
                <w:sz w:val="20"/>
                <w:szCs w:val="20"/>
              </w:rPr>
            </w:pPr>
          </w:p>
        </w:tc>
        <w:tc>
          <w:tcPr>
            <w:tcW w:w="1559" w:type="dxa"/>
            <w:gridSpan w:val="3"/>
          </w:tcPr>
          <w:p w:rsidR="000010D0" w:rsidRPr="00D23634" w:rsidRDefault="000010D0" w:rsidP="00E37A06">
            <w:pPr>
              <w:jc w:val="center"/>
              <w:rPr>
                <w:rFonts w:cs="Times New Roman"/>
                <w:sz w:val="20"/>
                <w:szCs w:val="20"/>
              </w:rPr>
            </w:pPr>
          </w:p>
        </w:tc>
        <w:tc>
          <w:tcPr>
            <w:tcW w:w="1417" w:type="dxa"/>
            <w:gridSpan w:val="2"/>
          </w:tcPr>
          <w:p w:rsidR="000010D0" w:rsidRPr="00D23634" w:rsidRDefault="000010D0" w:rsidP="00E37A06">
            <w:pPr>
              <w:jc w:val="center"/>
              <w:rPr>
                <w:rFonts w:cs="Times New Roman"/>
                <w:sz w:val="20"/>
                <w:szCs w:val="20"/>
              </w:rPr>
            </w:pPr>
          </w:p>
        </w:tc>
        <w:tc>
          <w:tcPr>
            <w:tcW w:w="1560" w:type="dxa"/>
            <w:gridSpan w:val="3"/>
          </w:tcPr>
          <w:p w:rsidR="000010D0" w:rsidRPr="00D23634" w:rsidRDefault="000010D0" w:rsidP="00E37A06">
            <w:pPr>
              <w:jc w:val="center"/>
              <w:rPr>
                <w:rFonts w:cs="Times New Roman"/>
                <w:sz w:val="20"/>
                <w:szCs w:val="20"/>
              </w:rPr>
            </w:pPr>
          </w:p>
        </w:tc>
        <w:tc>
          <w:tcPr>
            <w:tcW w:w="1417" w:type="dxa"/>
            <w:shd w:val="clear" w:color="auto" w:fill="DFE4DA" w:themeFill="text2" w:themeFillTint="33"/>
          </w:tcPr>
          <w:p w:rsidR="000010D0" w:rsidRPr="00D23634" w:rsidRDefault="000010D0" w:rsidP="00E37A06">
            <w:pPr>
              <w:jc w:val="center"/>
              <w:rPr>
                <w:rFonts w:cs="Times New Roman"/>
                <w:sz w:val="20"/>
                <w:szCs w:val="20"/>
              </w:rPr>
            </w:pPr>
          </w:p>
        </w:tc>
      </w:tr>
      <w:tr w:rsidR="000010D0" w:rsidTr="00BB19EA">
        <w:trPr>
          <w:jc w:val="center"/>
        </w:trPr>
        <w:tc>
          <w:tcPr>
            <w:tcW w:w="2409" w:type="dxa"/>
          </w:tcPr>
          <w:p w:rsidR="000010D0" w:rsidRDefault="00BB19EA" w:rsidP="000010D0">
            <w:pPr>
              <w:jc w:val="both"/>
              <w:rPr>
                <w:rFonts w:cs="Times New Roman"/>
                <w:sz w:val="20"/>
                <w:szCs w:val="20"/>
              </w:rPr>
            </w:pPr>
            <w:r>
              <w:rPr>
                <w:rFonts w:cs="Times New Roman"/>
                <w:sz w:val="20"/>
                <w:szCs w:val="20"/>
              </w:rPr>
              <w:t>3.3</w:t>
            </w:r>
            <w:r w:rsidR="000010D0">
              <w:rPr>
                <w:rFonts w:cs="Times New Roman"/>
                <w:sz w:val="20"/>
                <w:szCs w:val="20"/>
              </w:rPr>
              <w:t>.1.</w:t>
            </w:r>
          </w:p>
          <w:p w:rsidR="000010D0" w:rsidRPr="00D23634" w:rsidRDefault="000010D0" w:rsidP="000010D0">
            <w:pPr>
              <w:jc w:val="both"/>
              <w:rPr>
                <w:rFonts w:cs="Times New Roman"/>
                <w:sz w:val="20"/>
                <w:szCs w:val="20"/>
              </w:rPr>
            </w:pPr>
            <w:r>
              <w:rPr>
                <w:rFonts w:cs="Times New Roman"/>
                <w:sz w:val="20"/>
                <w:szCs w:val="20"/>
              </w:rPr>
              <w:t xml:space="preserve">2. </w:t>
            </w:r>
            <w:r w:rsidR="00A45EFF">
              <w:rPr>
                <w:rFonts w:cs="Times New Roman"/>
                <w:sz w:val="20"/>
                <w:szCs w:val="20"/>
              </w:rPr>
              <w:t xml:space="preserve">Veikt sākotnējo izpēti </w:t>
            </w:r>
            <w:proofErr w:type="spellStart"/>
            <w:r w:rsidR="00A45EFF">
              <w:rPr>
                <w:rFonts w:cs="Times New Roman"/>
                <w:sz w:val="20"/>
                <w:szCs w:val="20"/>
              </w:rPr>
              <w:t>ribjoslu</w:t>
            </w:r>
            <w:proofErr w:type="spellEnd"/>
            <w:r w:rsidR="00A45EFF">
              <w:rPr>
                <w:rFonts w:cs="Times New Roman"/>
                <w:sz w:val="20"/>
                <w:szCs w:val="20"/>
              </w:rPr>
              <w:t xml:space="preserve"> ieviešanai uz a/c P80 (E22) Tīnūži – Koknese.</w:t>
            </w:r>
          </w:p>
        </w:tc>
        <w:tc>
          <w:tcPr>
            <w:tcW w:w="1418" w:type="dxa"/>
          </w:tcPr>
          <w:p w:rsidR="000010D0" w:rsidRPr="00D23634" w:rsidRDefault="000010D0" w:rsidP="00E37A06">
            <w:pPr>
              <w:jc w:val="center"/>
              <w:rPr>
                <w:rFonts w:cs="Times New Roman"/>
                <w:sz w:val="20"/>
                <w:szCs w:val="20"/>
              </w:rPr>
            </w:pPr>
          </w:p>
        </w:tc>
        <w:tc>
          <w:tcPr>
            <w:tcW w:w="1559" w:type="dxa"/>
          </w:tcPr>
          <w:p w:rsidR="000010D0" w:rsidRPr="00D23634" w:rsidRDefault="000010D0" w:rsidP="00E37A06">
            <w:pPr>
              <w:jc w:val="center"/>
              <w:rPr>
                <w:rFonts w:cs="Times New Roman"/>
                <w:sz w:val="20"/>
                <w:szCs w:val="20"/>
              </w:rPr>
            </w:pPr>
          </w:p>
        </w:tc>
        <w:tc>
          <w:tcPr>
            <w:tcW w:w="1418" w:type="dxa"/>
            <w:gridSpan w:val="2"/>
          </w:tcPr>
          <w:p w:rsidR="000010D0" w:rsidRPr="00D23634" w:rsidRDefault="000010D0" w:rsidP="00E37A06">
            <w:pPr>
              <w:jc w:val="center"/>
              <w:rPr>
                <w:rFonts w:cs="Times New Roman"/>
                <w:sz w:val="20"/>
                <w:szCs w:val="20"/>
              </w:rPr>
            </w:pPr>
          </w:p>
        </w:tc>
        <w:tc>
          <w:tcPr>
            <w:tcW w:w="1417" w:type="dxa"/>
            <w:gridSpan w:val="2"/>
          </w:tcPr>
          <w:p w:rsidR="000010D0" w:rsidRPr="00D23634" w:rsidRDefault="000010D0" w:rsidP="00E37A06">
            <w:pPr>
              <w:jc w:val="center"/>
              <w:rPr>
                <w:rFonts w:cs="Times New Roman"/>
                <w:sz w:val="20"/>
                <w:szCs w:val="20"/>
              </w:rPr>
            </w:pPr>
          </w:p>
        </w:tc>
        <w:tc>
          <w:tcPr>
            <w:tcW w:w="1418" w:type="dxa"/>
            <w:gridSpan w:val="2"/>
          </w:tcPr>
          <w:p w:rsidR="000010D0" w:rsidRPr="00D23634" w:rsidRDefault="000010D0" w:rsidP="00E37A06">
            <w:pPr>
              <w:jc w:val="center"/>
              <w:rPr>
                <w:rFonts w:cs="Times New Roman"/>
                <w:sz w:val="20"/>
                <w:szCs w:val="20"/>
              </w:rPr>
            </w:pPr>
          </w:p>
        </w:tc>
        <w:tc>
          <w:tcPr>
            <w:tcW w:w="1559" w:type="dxa"/>
            <w:gridSpan w:val="3"/>
          </w:tcPr>
          <w:p w:rsidR="000010D0" w:rsidRPr="00D23634" w:rsidRDefault="000010D0" w:rsidP="00E37A06">
            <w:pPr>
              <w:jc w:val="center"/>
              <w:rPr>
                <w:rFonts w:cs="Times New Roman"/>
                <w:sz w:val="20"/>
                <w:szCs w:val="20"/>
              </w:rPr>
            </w:pPr>
          </w:p>
        </w:tc>
        <w:tc>
          <w:tcPr>
            <w:tcW w:w="1417" w:type="dxa"/>
            <w:gridSpan w:val="2"/>
          </w:tcPr>
          <w:p w:rsidR="000010D0" w:rsidRPr="00D23634" w:rsidRDefault="000010D0" w:rsidP="00E37A06">
            <w:pPr>
              <w:jc w:val="center"/>
              <w:rPr>
                <w:rFonts w:cs="Times New Roman"/>
                <w:sz w:val="20"/>
                <w:szCs w:val="20"/>
              </w:rPr>
            </w:pPr>
          </w:p>
        </w:tc>
        <w:tc>
          <w:tcPr>
            <w:tcW w:w="1560" w:type="dxa"/>
            <w:gridSpan w:val="3"/>
          </w:tcPr>
          <w:p w:rsidR="000010D0" w:rsidRPr="002C6A17" w:rsidRDefault="000010D0" w:rsidP="00E37A06">
            <w:pPr>
              <w:jc w:val="center"/>
              <w:rPr>
                <w:rFonts w:cs="Times New Roman"/>
                <w:sz w:val="20"/>
                <w:szCs w:val="20"/>
              </w:rPr>
            </w:pPr>
          </w:p>
        </w:tc>
        <w:tc>
          <w:tcPr>
            <w:tcW w:w="1417" w:type="dxa"/>
            <w:shd w:val="clear" w:color="auto" w:fill="DFE4DA" w:themeFill="text2" w:themeFillTint="33"/>
          </w:tcPr>
          <w:p w:rsidR="00DF73F0" w:rsidRPr="002C6A17" w:rsidRDefault="00A45EFF" w:rsidP="00E37A06">
            <w:pPr>
              <w:jc w:val="center"/>
              <w:rPr>
                <w:rFonts w:cs="Times New Roman"/>
                <w:sz w:val="20"/>
                <w:szCs w:val="20"/>
              </w:rPr>
            </w:pPr>
            <w:r>
              <w:rPr>
                <w:rFonts w:cs="Times New Roman"/>
                <w:sz w:val="20"/>
                <w:szCs w:val="20"/>
              </w:rPr>
              <w:t>Papildus finansējums nav nepieciešams</w:t>
            </w:r>
          </w:p>
          <w:p w:rsidR="000010D0" w:rsidRPr="002C6A17" w:rsidRDefault="000010D0" w:rsidP="00E37A06">
            <w:pPr>
              <w:jc w:val="center"/>
              <w:rPr>
                <w:rFonts w:cs="Times New Roman"/>
                <w:sz w:val="20"/>
                <w:szCs w:val="20"/>
              </w:rPr>
            </w:pPr>
          </w:p>
        </w:tc>
      </w:tr>
      <w:tr w:rsidR="000010D0" w:rsidTr="00BB19EA">
        <w:trPr>
          <w:jc w:val="center"/>
        </w:trPr>
        <w:tc>
          <w:tcPr>
            <w:tcW w:w="2409" w:type="dxa"/>
          </w:tcPr>
          <w:p w:rsidR="000010D0" w:rsidRPr="00025D1F" w:rsidRDefault="00BB19EA" w:rsidP="000010D0">
            <w:pPr>
              <w:jc w:val="both"/>
              <w:rPr>
                <w:rFonts w:cs="Times New Roman"/>
                <w:sz w:val="20"/>
                <w:szCs w:val="20"/>
              </w:rPr>
            </w:pPr>
            <w:r>
              <w:rPr>
                <w:rFonts w:cs="Times New Roman"/>
                <w:sz w:val="20"/>
                <w:szCs w:val="20"/>
              </w:rPr>
              <w:t>3.3</w:t>
            </w:r>
            <w:r w:rsidR="000010D0" w:rsidRPr="00025D1F">
              <w:rPr>
                <w:rFonts w:cs="Times New Roman"/>
                <w:sz w:val="20"/>
                <w:szCs w:val="20"/>
              </w:rPr>
              <w:t>.1.</w:t>
            </w:r>
          </w:p>
          <w:p w:rsidR="000010D0" w:rsidRPr="00025D1F" w:rsidRDefault="000010D0" w:rsidP="000010D0">
            <w:pPr>
              <w:jc w:val="both"/>
              <w:rPr>
                <w:rFonts w:cs="Times New Roman"/>
                <w:sz w:val="20"/>
                <w:szCs w:val="20"/>
                <w:highlight w:val="cyan"/>
              </w:rPr>
            </w:pPr>
            <w:r w:rsidRPr="00025D1F">
              <w:rPr>
                <w:rFonts w:cs="Times New Roman"/>
                <w:sz w:val="20"/>
                <w:szCs w:val="20"/>
              </w:rPr>
              <w:t>4. Nodrošināt minimālās distances informatīvo apzīmējumu ieviešanu.</w:t>
            </w:r>
          </w:p>
        </w:tc>
        <w:tc>
          <w:tcPr>
            <w:tcW w:w="1418" w:type="dxa"/>
          </w:tcPr>
          <w:p w:rsidR="000010D0" w:rsidRPr="00025D1F" w:rsidRDefault="000010D0" w:rsidP="00E37A06">
            <w:pPr>
              <w:jc w:val="center"/>
              <w:rPr>
                <w:rFonts w:cs="Times New Roman"/>
                <w:sz w:val="20"/>
                <w:szCs w:val="20"/>
                <w:highlight w:val="cyan"/>
              </w:rPr>
            </w:pPr>
          </w:p>
        </w:tc>
        <w:tc>
          <w:tcPr>
            <w:tcW w:w="1559" w:type="dxa"/>
          </w:tcPr>
          <w:p w:rsidR="000010D0" w:rsidRPr="00025D1F" w:rsidRDefault="00025D1F" w:rsidP="00E37A06">
            <w:pPr>
              <w:jc w:val="center"/>
              <w:rPr>
                <w:rFonts w:cs="Times New Roman"/>
                <w:sz w:val="20"/>
                <w:szCs w:val="20"/>
              </w:rPr>
            </w:pPr>
            <w:r w:rsidRPr="00025D1F">
              <w:rPr>
                <w:rFonts w:cs="Times New Roman"/>
                <w:sz w:val="20"/>
                <w:szCs w:val="20"/>
              </w:rPr>
              <w:t>Tiks noteikts pēc izpētes</w:t>
            </w:r>
          </w:p>
        </w:tc>
        <w:tc>
          <w:tcPr>
            <w:tcW w:w="1418" w:type="dxa"/>
            <w:gridSpan w:val="2"/>
          </w:tcPr>
          <w:p w:rsidR="000010D0" w:rsidRPr="00025D1F" w:rsidRDefault="000010D0" w:rsidP="00E37A06">
            <w:pPr>
              <w:jc w:val="center"/>
              <w:rPr>
                <w:rFonts w:cs="Times New Roman"/>
                <w:sz w:val="20"/>
                <w:szCs w:val="20"/>
              </w:rPr>
            </w:pPr>
          </w:p>
        </w:tc>
        <w:tc>
          <w:tcPr>
            <w:tcW w:w="1417" w:type="dxa"/>
            <w:gridSpan w:val="2"/>
          </w:tcPr>
          <w:p w:rsidR="000010D0" w:rsidRPr="00025D1F" w:rsidRDefault="00025D1F" w:rsidP="00E37A06">
            <w:pPr>
              <w:jc w:val="center"/>
              <w:rPr>
                <w:rFonts w:cs="Times New Roman"/>
                <w:sz w:val="20"/>
                <w:szCs w:val="20"/>
              </w:rPr>
            </w:pPr>
            <w:r w:rsidRPr="00025D1F">
              <w:rPr>
                <w:rFonts w:cs="Times New Roman"/>
                <w:sz w:val="20"/>
                <w:szCs w:val="20"/>
              </w:rPr>
              <w:t>Tiks noteikts pēc izpētes</w:t>
            </w:r>
          </w:p>
        </w:tc>
        <w:tc>
          <w:tcPr>
            <w:tcW w:w="1418" w:type="dxa"/>
            <w:gridSpan w:val="2"/>
          </w:tcPr>
          <w:p w:rsidR="000010D0" w:rsidRPr="00025D1F" w:rsidRDefault="000010D0" w:rsidP="00E37A06">
            <w:pPr>
              <w:jc w:val="center"/>
              <w:rPr>
                <w:rFonts w:cs="Times New Roman"/>
                <w:sz w:val="20"/>
                <w:szCs w:val="20"/>
              </w:rPr>
            </w:pPr>
          </w:p>
        </w:tc>
        <w:tc>
          <w:tcPr>
            <w:tcW w:w="1559" w:type="dxa"/>
            <w:gridSpan w:val="3"/>
          </w:tcPr>
          <w:p w:rsidR="000010D0" w:rsidRPr="00025D1F" w:rsidRDefault="000010D0" w:rsidP="00E37A06">
            <w:pPr>
              <w:jc w:val="center"/>
              <w:rPr>
                <w:rFonts w:cs="Times New Roman"/>
                <w:sz w:val="20"/>
                <w:szCs w:val="20"/>
              </w:rPr>
            </w:pPr>
          </w:p>
        </w:tc>
        <w:tc>
          <w:tcPr>
            <w:tcW w:w="1417" w:type="dxa"/>
            <w:gridSpan w:val="2"/>
          </w:tcPr>
          <w:p w:rsidR="000010D0" w:rsidRPr="00025D1F" w:rsidRDefault="000010D0" w:rsidP="00E37A06">
            <w:pPr>
              <w:jc w:val="center"/>
              <w:rPr>
                <w:rFonts w:cs="Times New Roman"/>
                <w:sz w:val="20"/>
                <w:szCs w:val="20"/>
              </w:rPr>
            </w:pPr>
          </w:p>
        </w:tc>
        <w:tc>
          <w:tcPr>
            <w:tcW w:w="1560" w:type="dxa"/>
            <w:gridSpan w:val="3"/>
          </w:tcPr>
          <w:p w:rsidR="000010D0" w:rsidRPr="00025D1F" w:rsidRDefault="000010D0" w:rsidP="00E37A06">
            <w:pPr>
              <w:jc w:val="center"/>
              <w:rPr>
                <w:rFonts w:cs="Times New Roman"/>
                <w:sz w:val="20"/>
                <w:szCs w:val="20"/>
              </w:rPr>
            </w:pPr>
          </w:p>
        </w:tc>
        <w:tc>
          <w:tcPr>
            <w:tcW w:w="1417" w:type="dxa"/>
            <w:shd w:val="clear" w:color="auto" w:fill="DFE4DA" w:themeFill="text2" w:themeFillTint="33"/>
          </w:tcPr>
          <w:p w:rsidR="000010D0" w:rsidRPr="00025D1F" w:rsidRDefault="00025D1F" w:rsidP="00E37A06">
            <w:pPr>
              <w:jc w:val="center"/>
              <w:rPr>
                <w:rFonts w:cs="Times New Roman"/>
                <w:sz w:val="20"/>
                <w:szCs w:val="20"/>
              </w:rPr>
            </w:pPr>
            <w:r w:rsidRPr="00025D1F">
              <w:rPr>
                <w:rFonts w:cs="Times New Roman"/>
                <w:sz w:val="20"/>
                <w:szCs w:val="20"/>
              </w:rPr>
              <w:t>Tiks noteikts pēc izpētes</w:t>
            </w:r>
          </w:p>
        </w:tc>
      </w:tr>
      <w:tr w:rsidR="000010D0" w:rsidTr="00BB19EA">
        <w:trPr>
          <w:jc w:val="center"/>
        </w:trPr>
        <w:tc>
          <w:tcPr>
            <w:tcW w:w="2409" w:type="dxa"/>
          </w:tcPr>
          <w:p w:rsidR="000010D0" w:rsidRDefault="00BB19EA" w:rsidP="000010D0">
            <w:pPr>
              <w:jc w:val="both"/>
              <w:rPr>
                <w:rFonts w:cs="Times New Roman"/>
                <w:sz w:val="20"/>
                <w:szCs w:val="20"/>
              </w:rPr>
            </w:pPr>
            <w:r>
              <w:rPr>
                <w:rFonts w:cs="Times New Roman"/>
                <w:sz w:val="20"/>
                <w:szCs w:val="20"/>
              </w:rPr>
              <w:t>3.3</w:t>
            </w:r>
            <w:r w:rsidR="000010D0">
              <w:rPr>
                <w:rFonts w:cs="Times New Roman"/>
                <w:sz w:val="20"/>
                <w:szCs w:val="20"/>
              </w:rPr>
              <w:t>.2.</w:t>
            </w:r>
          </w:p>
          <w:p w:rsidR="000010D0" w:rsidRPr="00D23634" w:rsidRDefault="004A4A45" w:rsidP="000010D0">
            <w:pPr>
              <w:jc w:val="both"/>
              <w:rPr>
                <w:rFonts w:cs="Times New Roman"/>
                <w:sz w:val="20"/>
                <w:szCs w:val="20"/>
              </w:rPr>
            </w:pPr>
            <w:r>
              <w:rPr>
                <w:rFonts w:cs="Times New Roman"/>
                <w:sz w:val="20"/>
                <w:szCs w:val="20"/>
              </w:rPr>
              <w:t>4</w:t>
            </w:r>
            <w:r w:rsidR="000010D0" w:rsidRPr="00054668">
              <w:rPr>
                <w:rFonts w:cs="Times New Roman"/>
                <w:sz w:val="20"/>
                <w:szCs w:val="20"/>
              </w:rPr>
              <w:t xml:space="preserve">. Izveidot </w:t>
            </w:r>
            <w:r w:rsidR="007A0FA5" w:rsidRPr="00054668">
              <w:rPr>
                <w:rFonts w:cs="Times New Roman"/>
                <w:sz w:val="20"/>
                <w:szCs w:val="20"/>
              </w:rPr>
              <w:t xml:space="preserve">kopīgus </w:t>
            </w:r>
            <w:r w:rsidR="000010D0" w:rsidRPr="00054668">
              <w:rPr>
                <w:rFonts w:cs="Times New Roman"/>
                <w:sz w:val="20"/>
                <w:szCs w:val="20"/>
              </w:rPr>
              <w:t>velosipēdu</w:t>
            </w:r>
            <w:r w:rsidR="007A0FA5" w:rsidRPr="00054668">
              <w:rPr>
                <w:rFonts w:cs="Times New Roman"/>
                <w:sz w:val="20"/>
                <w:szCs w:val="20"/>
              </w:rPr>
              <w:t>-gājēju</w:t>
            </w:r>
            <w:r w:rsidR="000010D0" w:rsidRPr="00054668">
              <w:rPr>
                <w:rFonts w:cs="Times New Roman"/>
                <w:sz w:val="20"/>
                <w:szCs w:val="20"/>
              </w:rPr>
              <w:t xml:space="preserve"> ceļus valsts autoceļu tīklā.</w:t>
            </w:r>
          </w:p>
        </w:tc>
        <w:tc>
          <w:tcPr>
            <w:tcW w:w="1418" w:type="dxa"/>
          </w:tcPr>
          <w:p w:rsidR="007A0FA5" w:rsidRPr="00A67416" w:rsidRDefault="001C7831" w:rsidP="00E37A06">
            <w:pPr>
              <w:jc w:val="center"/>
              <w:rPr>
                <w:rFonts w:cs="Times New Roman"/>
                <w:color w:val="000000" w:themeColor="text1"/>
                <w:sz w:val="20"/>
                <w:szCs w:val="20"/>
              </w:rPr>
            </w:pPr>
            <w:r>
              <w:rPr>
                <w:rFonts w:cs="Times New Roman"/>
                <w:color w:val="000000" w:themeColor="text1"/>
                <w:sz w:val="20"/>
                <w:szCs w:val="20"/>
              </w:rPr>
              <w:t>2 900 000,</w:t>
            </w:r>
          </w:p>
          <w:p w:rsidR="007A0FA5" w:rsidRPr="00A67416" w:rsidRDefault="007A0FA5" w:rsidP="00E37A06">
            <w:pPr>
              <w:jc w:val="center"/>
              <w:rPr>
                <w:rFonts w:cs="Times New Roman"/>
                <w:color w:val="000000" w:themeColor="text1"/>
                <w:sz w:val="20"/>
                <w:szCs w:val="20"/>
              </w:rPr>
            </w:pPr>
            <w:r w:rsidRPr="00A67416">
              <w:rPr>
                <w:rFonts w:cs="Times New Roman"/>
                <w:color w:val="000000" w:themeColor="text1"/>
                <w:sz w:val="20"/>
                <w:szCs w:val="20"/>
              </w:rPr>
              <w:t>valsts budžets</w:t>
            </w:r>
          </w:p>
          <w:p w:rsidR="000010D0" w:rsidRPr="00A67416" w:rsidRDefault="007A0FA5" w:rsidP="00790FF5">
            <w:pPr>
              <w:jc w:val="center"/>
              <w:rPr>
                <w:rFonts w:cs="Times New Roman"/>
                <w:color w:val="000000" w:themeColor="text1"/>
                <w:sz w:val="20"/>
                <w:szCs w:val="20"/>
              </w:rPr>
            </w:pPr>
            <w:r w:rsidRPr="00A67416">
              <w:rPr>
                <w:rFonts w:cs="Times New Roman"/>
                <w:color w:val="000000" w:themeColor="text1"/>
                <w:sz w:val="20"/>
                <w:szCs w:val="20"/>
              </w:rPr>
              <w:t>(</w:t>
            </w:r>
            <w:r w:rsidR="00A67416" w:rsidRPr="00A67416">
              <w:rPr>
                <w:rFonts w:cs="Times New Roman"/>
                <w:color w:val="000000" w:themeColor="text1"/>
                <w:sz w:val="20"/>
                <w:szCs w:val="20"/>
              </w:rPr>
              <w:t xml:space="preserve">23.06.00. </w:t>
            </w:r>
            <w:r w:rsidR="00790FF5">
              <w:rPr>
                <w:rFonts w:cs="Times New Roman"/>
                <w:color w:val="000000" w:themeColor="text1"/>
                <w:sz w:val="20"/>
                <w:szCs w:val="20"/>
              </w:rPr>
              <w:t>Valsts autoceļu pārvaldība, uzturēšana un atjaunošana</w:t>
            </w:r>
            <w:r w:rsidR="00A67416" w:rsidRPr="00A67416">
              <w:rPr>
                <w:rFonts w:cs="Times New Roman"/>
                <w:color w:val="000000" w:themeColor="text1"/>
                <w:sz w:val="20"/>
                <w:szCs w:val="20"/>
              </w:rPr>
              <w:t>)</w:t>
            </w:r>
          </w:p>
        </w:tc>
        <w:tc>
          <w:tcPr>
            <w:tcW w:w="1559" w:type="dxa"/>
          </w:tcPr>
          <w:p w:rsidR="000010D0" w:rsidRPr="00D23634" w:rsidRDefault="000010D0" w:rsidP="00E37A06">
            <w:pPr>
              <w:jc w:val="center"/>
              <w:rPr>
                <w:rFonts w:cs="Times New Roman"/>
                <w:sz w:val="20"/>
                <w:szCs w:val="20"/>
              </w:rPr>
            </w:pPr>
          </w:p>
        </w:tc>
        <w:tc>
          <w:tcPr>
            <w:tcW w:w="1418" w:type="dxa"/>
            <w:gridSpan w:val="2"/>
          </w:tcPr>
          <w:p w:rsidR="00A67416" w:rsidRPr="00A67416" w:rsidRDefault="001C7831" w:rsidP="00E37A06">
            <w:pPr>
              <w:jc w:val="center"/>
              <w:rPr>
                <w:rFonts w:cs="Times New Roman"/>
                <w:color w:val="000000" w:themeColor="text1"/>
                <w:sz w:val="20"/>
                <w:szCs w:val="20"/>
              </w:rPr>
            </w:pPr>
            <w:r>
              <w:rPr>
                <w:rFonts w:cs="Times New Roman"/>
                <w:sz w:val="20"/>
                <w:szCs w:val="20"/>
              </w:rPr>
              <w:t>1 000 000</w:t>
            </w:r>
            <w:r w:rsidR="007A0FA5" w:rsidRPr="00A67416">
              <w:rPr>
                <w:rFonts w:cs="Times New Roman"/>
                <w:sz w:val="20"/>
                <w:szCs w:val="20"/>
              </w:rPr>
              <w:t>,</w:t>
            </w:r>
          </w:p>
          <w:p w:rsidR="00A67416" w:rsidRPr="00A67416" w:rsidRDefault="00A67416" w:rsidP="00E37A06">
            <w:pPr>
              <w:jc w:val="center"/>
              <w:rPr>
                <w:rFonts w:cs="Times New Roman"/>
                <w:color w:val="000000" w:themeColor="text1"/>
                <w:sz w:val="20"/>
                <w:szCs w:val="20"/>
              </w:rPr>
            </w:pPr>
            <w:r w:rsidRPr="00A67416">
              <w:rPr>
                <w:rFonts w:cs="Times New Roman"/>
                <w:color w:val="000000" w:themeColor="text1"/>
                <w:sz w:val="20"/>
                <w:szCs w:val="20"/>
              </w:rPr>
              <w:t>valsts budžets</w:t>
            </w:r>
          </w:p>
          <w:p w:rsidR="000010D0" w:rsidRPr="00D23634" w:rsidRDefault="001C7831" w:rsidP="00E37A06">
            <w:pPr>
              <w:jc w:val="center"/>
              <w:rPr>
                <w:rFonts w:cs="Times New Roman"/>
                <w:sz w:val="20"/>
                <w:szCs w:val="20"/>
              </w:rPr>
            </w:pPr>
            <w:r>
              <w:rPr>
                <w:rFonts w:cs="Times New Roman"/>
                <w:color w:val="000000" w:themeColor="text1"/>
                <w:sz w:val="20"/>
                <w:szCs w:val="20"/>
              </w:rPr>
              <w:t xml:space="preserve">(23.06.00. </w:t>
            </w:r>
            <w:r w:rsidR="00790FF5">
              <w:rPr>
                <w:rFonts w:cs="Times New Roman"/>
                <w:color w:val="000000" w:themeColor="text1"/>
                <w:sz w:val="20"/>
                <w:szCs w:val="20"/>
              </w:rPr>
              <w:t>Valsts autoceļu pārvaldība, uzturēšana un atjaunošana</w:t>
            </w:r>
            <w:r>
              <w:rPr>
                <w:rFonts w:cs="Times New Roman"/>
                <w:color w:val="000000" w:themeColor="text1"/>
                <w:sz w:val="20"/>
                <w:szCs w:val="20"/>
              </w:rPr>
              <w:t>)</w:t>
            </w:r>
          </w:p>
        </w:tc>
        <w:tc>
          <w:tcPr>
            <w:tcW w:w="1417" w:type="dxa"/>
            <w:gridSpan w:val="2"/>
          </w:tcPr>
          <w:p w:rsidR="000010D0" w:rsidRPr="00D23634" w:rsidRDefault="000010D0" w:rsidP="00E37A06">
            <w:pPr>
              <w:jc w:val="center"/>
              <w:rPr>
                <w:rFonts w:cs="Times New Roman"/>
                <w:sz w:val="20"/>
                <w:szCs w:val="20"/>
              </w:rPr>
            </w:pPr>
          </w:p>
        </w:tc>
        <w:tc>
          <w:tcPr>
            <w:tcW w:w="1418" w:type="dxa"/>
            <w:gridSpan w:val="2"/>
          </w:tcPr>
          <w:p w:rsidR="0048240B" w:rsidRPr="00A67416" w:rsidRDefault="001C7831" w:rsidP="00E37A06">
            <w:pPr>
              <w:jc w:val="center"/>
              <w:rPr>
                <w:rFonts w:cs="Times New Roman"/>
                <w:color w:val="000000" w:themeColor="text1"/>
                <w:sz w:val="20"/>
                <w:szCs w:val="20"/>
              </w:rPr>
            </w:pPr>
            <w:r>
              <w:rPr>
                <w:rFonts w:cs="Times New Roman"/>
                <w:sz w:val="20"/>
                <w:szCs w:val="20"/>
              </w:rPr>
              <w:t>1 1</w:t>
            </w:r>
            <w:r w:rsidR="007A0FA5" w:rsidRPr="0048240B">
              <w:rPr>
                <w:rFonts w:cs="Times New Roman"/>
                <w:sz w:val="20"/>
                <w:szCs w:val="20"/>
              </w:rPr>
              <w:t>00 000,</w:t>
            </w:r>
            <w:r w:rsidR="0048240B">
              <w:rPr>
                <w:rFonts w:cs="Times New Roman"/>
                <w:sz w:val="20"/>
                <w:szCs w:val="20"/>
              </w:rPr>
              <w:t xml:space="preserve"> </w:t>
            </w:r>
            <w:r w:rsidR="0048240B" w:rsidRPr="00A67416">
              <w:rPr>
                <w:rFonts w:cs="Times New Roman"/>
                <w:color w:val="000000" w:themeColor="text1"/>
                <w:sz w:val="20"/>
                <w:szCs w:val="20"/>
              </w:rPr>
              <w:t>valsts budžets</w:t>
            </w:r>
          </w:p>
          <w:p w:rsidR="000010D0" w:rsidRPr="00D23634" w:rsidRDefault="0048240B" w:rsidP="00E37A06">
            <w:pPr>
              <w:jc w:val="center"/>
              <w:rPr>
                <w:rFonts w:cs="Times New Roman"/>
                <w:sz w:val="20"/>
                <w:szCs w:val="20"/>
              </w:rPr>
            </w:pPr>
            <w:r w:rsidRPr="00A67416">
              <w:rPr>
                <w:rFonts w:cs="Times New Roman"/>
                <w:color w:val="000000" w:themeColor="text1"/>
                <w:sz w:val="20"/>
                <w:szCs w:val="20"/>
              </w:rPr>
              <w:t xml:space="preserve">(23.06.00. </w:t>
            </w:r>
            <w:r w:rsidR="00790FF5">
              <w:rPr>
                <w:rFonts w:cs="Times New Roman"/>
                <w:color w:val="000000" w:themeColor="text1"/>
                <w:sz w:val="20"/>
                <w:szCs w:val="20"/>
              </w:rPr>
              <w:t>Valsts autoceļu pārvaldība, uzturēšana un atjaunošana</w:t>
            </w:r>
            <w:r w:rsidRPr="00A67416">
              <w:rPr>
                <w:rFonts w:cs="Times New Roman"/>
                <w:color w:val="000000" w:themeColor="text1"/>
                <w:sz w:val="20"/>
                <w:szCs w:val="20"/>
              </w:rPr>
              <w:t>)</w:t>
            </w:r>
          </w:p>
        </w:tc>
        <w:tc>
          <w:tcPr>
            <w:tcW w:w="1559" w:type="dxa"/>
            <w:gridSpan w:val="3"/>
          </w:tcPr>
          <w:p w:rsidR="000010D0" w:rsidRPr="00D23634" w:rsidRDefault="000010D0" w:rsidP="00E37A06">
            <w:pPr>
              <w:jc w:val="center"/>
              <w:rPr>
                <w:rFonts w:cs="Times New Roman"/>
                <w:sz w:val="20"/>
                <w:szCs w:val="20"/>
              </w:rPr>
            </w:pPr>
          </w:p>
        </w:tc>
        <w:tc>
          <w:tcPr>
            <w:tcW w:w="1417" w:type="dxa"/>
            <w:gridSpan w:val="2"/>
          </w:tcPr>
          <w:p w:rsidR="000010D0" w:rsidRDefault="001C7831" w:rsidP="00E37A06">
            <w:pPr>
              <w:jc w:val="center"/>
              <w:rPr>
                <w:rFonts w:cs="Times New Roman"/>
                <w:sz w:val="20"/>
                <w:szCs w:val="20"/>
              </w:rPr>
            </w:pPr>
            <w:r>
              <w:rPr>
                <w:rFonts w:cs="Times New Roman"/>
                <w:sz w:val="20"/>
                <w:szCs w:val="20"/>
              </w:rPr>
              <w:t>800 000</w:t>
            </w:r>
          </w:p>
          <w:p w:rsidR="001C7831" w:rsidRPr="00A67416" w:rsidRDefault="001C7831" w:rsidP="00E37A06">
            <w:pPr>
              <w:jc w:val="center"/>
              <w:rPr>
                <w:rFonts w:cs="Times New Roman"/>
                <w:color w:val="000000" w:themeColor="text1"/>
                <w:sz w:val="20"/>
                <w:szCs w:val="20"/>
              </w:rPr>
            </w:pPr>
            <w:r w:rsidRPr="00A67416">
              <w:rPr>
                <w:rFonts w:cs="Times New Roman"/>
                <w:color w:val="000000" w:themeColor="text1"/>
                <w:sz w:val="20"/>
                <w:szCs w:val="20"/>
              </w:rPr>
              <w:t>valsts budžets</w:t>
            </w:r>
          </w:p>
          <w:p w:rsidR="001C7831" w:rsidRPr="00D23634" w:rsidRDefault="001C7831" w:rsidP="00E37A06">
            <w:pPr>
              <w:jc w:val="center"/>
              <w:rPr>
                <w:rFonts w:cs="Times New Roman"/>
                <w:sz w:val="20"/>
                <w:szCs w:val="20"/>
              </w:rPr>
            </w:pPr>
            <w:r w:rsidRPr="00A67416">
              <w:rPr>
                <w:rFonts w:cs="Times New Roman"/>
                <w:color w:val="000000" w:themeColor="text1"/>
                <w:sz w:val="20"/>
                <w:szCs w:val="20"/>
              </w:rPr>
              <w:t xml:space="preserve">(23.06.00. </w:t>
            </w:r>
            <w:r w:rsidR="00790FF5">
              <w:rPr>
                <w:rFonts w:cs="Times New Roman"/>
                <w:color w:val="000000" w:themeColor="text1"/>
                <w:sz w:val="20"/>
                <w:szCs w:val="20"/>
              </w:rPr>
              <w:t>Valsts autoceļu pārvaldība, uzturēšana un atjaunošana</w:t>
            </w:r>
            <w:r w:rsidRPr="00A67416">
              <w:rPr>
                <w:rFonts w:cs="Times New Roman"/>
                <w:color w:val="000000" w:themeColor="text1"/>
                <w:sz w:val="20"/>
                <w:szCs w:val="20"/>
              </w:rPr>
              <w:t>)</w:t>
            </w:r>
          </w:p>
        </w:tc>
        <w:tc>
          <w:tcPr>
            <w:tcW w:w="1560" w:type="dxa"/>
            <w:gridSpan w:val="3"/>
          </w:tcPr>
          <w:p w:rsidR="000010D0" w:rsidRPr="00D23634" w:rsidRDefault="000010D0" w:rsidP="00E37A06">
            <w:pPr>
              <w:jc w:val="center"/>
              <w:rPr>
                <w:rFonts w:cs="Times New Roman"/>
                <w:sz w:val="20"/>
                <w:szCs w:val="20"/>
              </w:rPr>
            </w:pPr>
          </w:p>
        </w:tc>
        <w:tc>
          <w:tcPr>
            <w:tcW w:w="1417" w:type="dxa"/>
            <w:shd w:val="clear" w:color="auto" w:fill="DFE4DA" w:themeFill="text2" w:themeFillTint="33"/>
          </w:tcPr>
          <w:p w:rsidR="007A0FA5" w:rsidRPr="009D1429" w:rsidRDefault="00393E37" w:rsidP="009D1429">
            <w:pPr>
              <w:shd w:val="clear" w:color="auto" w:fill="DFE4DA" w:themeFill="text2" w:themeFillTint="33"/>
              <w:jc w:val="center"/>
              <w:rPr>
                <w:rFonts w:cs="Times New Roman"/>
                <w:sz w:val="20"/>
                <w:szCs w:val="20"/>
              </w:rPr>
            </w:pPr>
            <w:r w:rsidRPr="009D1429">
              <w:rPr>
                <w:rFonts w:cs="Times New Roman"/>
                <w:sz w:val="20"/>
                <w:szCs w:val="20"/>
              </w:rPr>
              <w:t>5 8</w:t>
            </w:r>
            <w:r w:rsidR="001C7831" w:rsidRPr="009D1429">
              <w:rPr>
                <w:rFonts w:cs="Times New Roman"/>
                <w:sz w:val="20"/>
                <w:szCs w:val="20"/>
              </w:rPr>
              <w:t>0</w:t>
            </w:r>
            <w:r w:rsidR="007A0FA5" w:rsidRPr="009D1429">
              <w:rPr>
                <w:rFonts w:cs="Times New Roman"/>
                <w:sz w:val="20"/>
                <w:szCs w:val="20"/>
              </w:rPr>
              <w:t>0 000,</w:t>
            </w:r>
          </w:p>
          <w:p w:rsidR="0048240B" w:rsidRPr="009D1429" w:rsidRDefault="007A0FA5" w:rsidP="009D1429">
            <w:pPr>
              <w:shd w:val="clear" w:color="auto" w:fill="DFE4DA" w:themeFill="text2" w:themeFillTint="33"/>
              <w:jc w:val="center"/>
              <w:rPr>
                <w:rFonts w:cs="Times New Roman"/>
                <w:sz w:val="20"/>
                <w:szCs w:val="20"/>
              </w:rPr>
            </w:pPr>
            <w:r w:rsidRPr="009D1429">
              <w:rPr>
                <w:rFonts w:cs="Times New Roman"/>
                <w:sz w:val="20"/>
                <w:szCs w:val="20"/>
              </w:rPr>
              <w:t>v</w:t>
            </w:r>
            <w:r w:rsidR="0048240B" w:rsidRPr="009D1429">
              <w:rPr>
                <w:rFonts w:cs="Times New Roman"/>
                <w:sz w:val="20"/>
                <w:szCs w:val="20"/>
              </w:rPr>
              <w:t>alsts budžets</w:t>
            </w:r>
          </w:p>
          <w:p w:rsidR="000010D0" w:rsidRPr="00D23634" w:rsidRDefault="0048240B" w:rsidP="009D1429">
            <w:pPr>
              <w:shd w:val="clear" w:color="auto" w:fill="DFE4DA" w:themeFill="text2" w:themeFillTint="33"/>
              <w:jc w:val="center"/>
              <w:rPr>
                <w:rFonts w:cs="Times New Roman"/>
                <w:sz w:val="20"/>
                <w:szCs w:val="20"/>
              </w:rPr>
            </w:pPr>
            <w:r w:rsidRPr="009D1429">
              <w:rPr>
                <w:rFonts w:cs="Times New Roman"/>
                <w:color w:val="000000" w:themeColor="text1"/>
                <w:sz w:val="20"/>
                <w:szCs w:val="20"/>
              </w:rPr>
              <w:t xml:space="preserve">(23.06.00. </w:t>
            </w:r>
            <w:r w:rsidR="00790FF5" w:rsidRPr="009D1429">
              <w:rPr>
                <w:rFonts w:cs="Times New Roman"/>
                <w:color w:val="000000" w:themeColor="text1"/>
                <w:sz w:val="20"/>
                <w:szCs w:val="20"/>
              </w:rPr>
              <w:t>Valsts autoceļu pārvaldība, uzturēšana un atjaunošana</w:t>
            </w:r>
            <w:r w:rsidRPr="0048240B">
              <w:rPr>
                <w:rFonts w:cs="Times New Roman"/>
                <w:color w:val="000000" w:themeColor="text1"/>
                <w:sz w:val="20"/>
                <w:szCs w:val="20"/>
              </w:rPr>
              <w:t>)</w:t>
            </w:r>
          </w:p>
        </w:tc>
      </w:tr>
      <w:tr w:rsidR="0073720E" w:rsidRPr="00D23634" w:rsidTr="009D1429">
        <w:trPr>
          <w:jc w:val="center"/>
        </w:trPr>
        <w:tc>
          <w:tcPr>
            <w:tcW w:w="2409" w:type="dxa"/>
            <w:shd w:val="clear" w:color="auto" w:fill="F3B46B" w:themeFill="accent1" w:themeFillTint="99"/>
          </w:tcPr>
          <w:p w:rsidR="0073720E" w:rsidRDefault="00BB19EA" w:rsidP="0073720E">
            <w:pPr>
              <w:jc w:val="both"/>
              <w:rPr>
                <w:rFonts w:cs="Times New Roman"/>
                <w:b/>
                <w:sz w:val="20"/>
                <w:szCs w:val="20"/>
              </w:rPr>
            </w:pPr>
            <w:r>
              <w:rPr>
                <w:rFonts w:cs="Times New Roman"/>
                <w:b/>
                <w:sz w:val="20"/>
                <w:szCs w:val="20"/>
              </w:rPr>
              <w:t>3.4</w:t>
            </w:r>
            <w:r w:rsidR="0073720E" w:rsidRPr="00762567">
              <w:rPr>
                <w:rFonts w:cs="Times New Roman"/>
                <w:b/>
                <w:sz w:val="20"/>
                <w:szCs w:val="20"/>
              </w:rPr>
              <w:t xml:space="preserve">. Reaģēšana uz ceļu satiksmes negadījumiem </w:t>
            </w:r>
            <w:r w:rsidR="0073720E" w:rsidRPr="00762567">
              <w:rPr>
                <w:rFonts w:cs="Times New Roman"/>
                <w:b/>
                <w:sz w:val="20"/>
                <w:szCs w:val="20"/>
              </w:rPr>
              <w:lastRenderedPageBreak/>
              <w:t>un to seku mazināšana un novēršana.</w:t>
            </w:r>
          </w:p>
          <w:p w:rsidR="00B02243" w:rsidRPr="00762567" w:rsidRDefault="00B02243" w:rsidP="0073720E">
            <w:pPr>
              <w:jc w:val="both"/>
              <w:rPr>
                <w:rFonts w:cs="Times New Roman"/>
                <w:b/>
                <w:sz w:val="20"/>
                <w:szCs w:val="20"/>
              </w:rPr>
            </w:pPr>
          </w:p>
        </w:tc>
        <w:tc>
          <w:tcPr>
            <w:tcW w:w="13183" w:type="dxa"/>
            <w:gridSpan w:val="17"/>
            <w:shd w:val="clear" w:color="auto" w:fill="DFE4DA" w:themeFill="text2" w:themeFillTint="33"/>
          </w:tcPr>
          <w:p w:rsidR="0073720E" w:rsidRPr="00D23634" w:rsidRDefault="0073720E" w:rsidP="00E37A06">
            <w:pPr>
              <w:jc w:val="center"/>
              <w:rPr>
                <w:rFonts w:cs="Times New Roman"/>
                <w:sz w:val="20"/>
                <w:szCs w:val="20"/>
              </w:rPr>
            </w:pPr>
          </w:p>
        </w:tc>
      </w:tr>
      <w:tr w:rsidR="0073720E" w:rsidRPr="00D23634" w:rsidTr="009D1429">
        <w:trPr>
          <w:jc w:val="center"/>
        </w:trPr>
        <w:tc>
          <w:tcPr>
            <w:tcW w:w="2409" w:type="dxa"/>
          </w:tcPr>
          <w:p w:rsidR="0073720E" w:rsidRPr="00054668" w:rsidRDefault="00BB19EA" w:rsidP="0073720E">
            <w:pPr>
              <w:jc w:val="both"/>
              <w:rPr>
                <w:rFonts w:cs="Times New Roman"/>
                <w:sz w:val="20"/>
                <w:szCs w:val="20"/>
              </w:rPr>
            </w:pPr>
            <w:r>
              <w:rPr>
                <w:rFonts w:cs="Times New Roman"/>
                <w:sz w:val="20"/>
                <w:szCs w:val="20"/>
              </w:rPr>
              <w:t>3.4</w:t>
            </w:r>
            <w:r w:rsidR="0073720E" w:rsidRPr="00054668">
              <w:rPr>
                <w:rFonts w:cs="Times New Roman"/>
                <w:sz w:val="20"/>
                <w:szCs w:val="20"/>
              </w:rPr>
              <w:t>.1.</w:t>
            </w:r>
          </w:p>
          <w:p w:rsidR="0073720E" w:rsidRPr="00054668" w:rsidRDefault="0073720E" w:rsidP="0073720E">
            <w:pPr>
              <w:jc w:val="both"/>
              <w:rPr>
                <w:rFonts w:cs="Times New Roman"/>
                <w:sz w:val="20"/>
                <w:szCs w:val="20"/>
              </w:rPr>
            </w:pPr>
            <w:r w:rsidRPr="00054668">
              <w:rPr>
                <w:rFonts w:cs="Times New Roman"/>
                <w:sz w:val="20"/>
                <w:szCs w:val="20"/>
              </w:rPr>
              <w:t xml:space="preserve">1. </w:t>
            </w:r>
            <w:r w:rsidRPr="00054668">
              <w:rPr>
                <w:rFonts w:cs="Times New Roman"/>
                <w:color w:val="000000" w:themeColor="text1"/>
                <w:sz w:val="20"/>
                <w:szCs w:val="20"/>
              </w:rPr>
              <w:t xml:space="preserve">Paplašināt un nostiprināt VUGD materiāli tehnisko bāzi glābšanas darbu veikšanai un ceļu braucamās daļas atbrīvošanai </w:t>
            </w:r>
            <w:proofErr w:type="spellStart"/>
            <w:r w:rsidRPr="00054668">
              <w:rPr>
                <w:rFonts w:cs="Times New Roman"/>
                <w:color w:val="000000" w:themeColor="text1"/>
                <w:sz w:val="20"/>
                <w:szCs w:val="20"/>
              </w:rPr>
              <w:t>CSNg</w:t>
            </w:r>
            <w:proofErr w:type="spellEnd"/>
            <w:r w:rsidRPr="00054668">
              <w:rPr>
                <w:rFonts w:cs="Times New Roman"/>
                <w:color w:val="000000" w:themeColor="text1"/>
                <w:sz w:val="20"/>
                <w:szCs w:val="20"/>
              </w:rPr>
              <w:t>.</w:t>
            </w:r>
          </w:p>
        </w:tc>
        <w:tc>
          <w:tcPr>
            <w:tcW w:w="1418" w:type="dxa"/>
          </w:tcPr>
          <w:p w:rsidR="0073720E" w:rsidRPr="00054668" w:rsidRDefault="0073720E" w:rsidP="00E37A06">
            <w:pPr>
              <w:jc w:val="center"/>
              <w:rPr>
                <w:rFonts w:cs="Times New Roman"/>
                <w:sz w:val="20"/>
                <w:szCs w:val="20"/>
              </w:rPr>
            </w:pPr>
          </w:p>
        </w:tc>
        <w:tc>
          <w:tcPr>
            <w:tcW w:w="1559" w:type="dxa"/>
          </w:tcPr>
          <w:p w:rsidR="0073720E" w:rsidRDefault="0073720E" w:rsidP="00E37A06">
            <w:pPr>
              <w:jc w:val="center"/>
              <w:rPr>
                <w:rFonts w:cs="Times New Roman"/>
                <w:sz w:val="20"/>
                <w:szCs w:val="20"/>
              </w:rPr>
            </w:pPr>
            <w:r w:rsidRPr="00054668">
              <w:rPr>
                <w:rFonts w:cs="Times New Roman"/>
                <w:sz w:val="20"/>
                <w:szCs w:val="20"/>
              </w:rPr>
              <w:t>150 000, OCTA līdzekļi</w:t>
            </w:r>
          </w:p>
          <w:p w:rsidR="00C1352C"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p w:rsidR="00C1352C" w:rsidRPr="00054668" w:rsidRDefault="00C1352C" w:rsidP="00E37A06">
            <w:pPr>
              <w:jc w:val="center"/>
              <w:rPr>
                <w:rFonts w:cs="Times New Roman"/>
                <w:sz w:val="20"/>
                <w:szCs w:val="20"/>
              </w:rPr>
            </w:pPr>
          </w:p>
        </w:tc>
        <w:tc>
          <w:tcPr>
            <w:tcW w:w="1418" w:type="dxa"/>
            <w:gridSpan w:val="2"/>
          </w:tcPr>
          <w:p w:rsidR="0073720E" w:rsidRPr="00054668" w:rsidRDefault="0073720E" w:rsidP="00E37A06">
            <w:pPr>
              <w:jc w:val="center"/>
              <w:rPr>
                <w:rFonts w:cs="Times New Roman"/>
                <w:sz w:val="20"/>
                <w:szCs w:val="20"/>
              </w:rPr>
            </w:pPr>
          </w:p>
          <w:p w:rsidR="0073720E" w:rsidRPr="00054668" w:rsidRDefault="0073720E" w:rsidP="00E37A06">
            <w:pPr>
              <w:jc w:val="center"/>
              <w:rPr>
                <w:rFonts w:cs="Times New Roman"/>
                <w:sz w:val="20"/>
                <w:szCs w:val="20"/>
              </w:rPr>
            </w:pPr>
          </w:p>
        </w:tc>
        <w:tc>
          <w:tcPr>
            <w:tcW w:w="1417" w:type="dxa"/>
            <w:gridSpan w:val="2"/>
          </w:tcPr>
          <w:p w:rsidR="0073720E" w:rsidRDefault="0073720E" w:rsidP="00E37A06">
            <w:pPr>
              <w:jc w:val="center"/>
              <w:rPr>
                <w:rFonts w:cs="Times New Roman"/>
                <w:sz w:val="20"/>
                <w:szCs w:val="20"/>
              </w:rPr>
            </w:pPr>
            <w:r w:rsidRPr="00054668">
              <w:rPr>
                <w:rFonts w:cs="Times New Roman"/>
                <w:sz w:val="20"/>
                <w:szCs w:val="20"/>
              </w:rPr>
              <w:t>150 000,</w:t>
            </w:r>
            <w:r w:rsidR="003D5A7D" w:rsidRPr="00054668">
              <w:rPr>
                <w:rFonts w:cs="Times New Roman"/>
                <w:sz w:val="20"/>
                <w:szCs w:val="20"/>
              </w:rPr>
              <w:t xml:space="preserve"> </w:t>
            </w:r>
            <w:r w:rsidRPr="00054668">
              <w:rPr>
                <w:rFonts w:cs="Times New Roman"/>
                <w:sz w:val="20"/>
                <w:szCs w:val="20"/>
              </w:rPr>
              <w:t>OCTA līdzekļi</w:t>
            </w:r>
          </w:p>
          <w:p w:rsidR="00C1352C" w:rsidRPr="00054668"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8" w:type="dxa"/>
            <w:gridSpan w:val="2"/>
          </w:tcPr>
          <w:p w:rsidR="0073720E" w:rsidRPr="00054668" w:rsidRDefault="0073720E" w:rsidP="00E37A06">
            <w:pPr>
              <w:jc w:val="center"/>
              <w:rPr>
                <w:rFonts w:cs="Times New Roman"/>
                <w:sz w:val="20"/>
                <w:szCs w:val="20"/>
              </w:rPr>
            </w:pPr>
          </w:p>
        </w:tc>
        <w:tc>
          <w:tcPr>
            <w:tcW w:w="1559" w:type="dxa"/>
            <w:gridSpan w:val="3"/>
          </w:tcPr>
          <w:p w:rsidR="0073720E" w:rsidRDefault="0073720E" w:rsidP="00E37A06">
            <w:pPr>
              <w:jc w:val="center"/>
              <w:rPr>
                <w:rFonts w:cs="Times New Roman"/>
                <w:sz w:val="20"/>
                <w:szCs w:val="20"/>
              </w:rPr>
            </w:pPr>
            <w:r w:rsidRPr="00054668">
              <w:rPr>
                <w:rFonts w:cs="Times New Roman"/>
                <w:sz w:val="20"/>
                <w:szCs w:val="20"/>
              </w:rPr>
              <w:t>150 000, OCTA līdzekļi</w:t>
            </w:r>
          </w:p>
          <w:p w:rsidR="00C1352C" w:rsidRPr="00054668"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7" w:type="dxa"/>
            <w:gridSpan w:val="2"/>
          </w:tcPr>
          <w:p w:rsidR="0073720E" w:rsidRPr="00054668" w:rsidRDefault="0073720E" w:rsidP="00E37A06">
            <w:pPr>
              <w:jc w:val="center"/>
              <w:rPr>
                <w:rFonts w:cs="Times New Roman"/>
                <w:sz w:val="20"/>
                <w:szCs w:val="20"/>
              </w:rPr>
            </w:pPr>
          </w:p>
        </w:tc>
        <w:tc>
          <w:tcPr>
            <w:tcW w:w="1560" w:type="dxa"/>
            <w:gridSpan w:val="3"/>
          </w:tcPr>
          <w:p w:rsidR="0073720E" w:rsidRDefault="0073720E" w:rsidP="00E37A06">
            <w:pPr>
              <w:jc w:val="center"/>
              <w:rPr>
                <w:rFonts w:cs="Times New Roman"/>
                <w:sz w:val="20"/>
                <w:szCs w:val="20"/>
              </w:rPr>
            </w:pPr>
            <w:r w:rsidRPr="00054668">
              <w:rPr>
                <w:rFonts w:cs="Times New Roman"/>
                <w:sz w:val="20"/>
                <w:szCs w:val="20"/>
              </w:rPr>
              <w:t>150 000, OCTA līdzekļi</w:t>
            </w:r>
          </w:p>
          <w:p w:rsidR="00C1352C" w:rsidRPr="00054668"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7" w:type="dxa"/>
            <w:shd w:val="clear" w:color="auto" w:fill="DFE4DA" w:themeFill="text2" w:themeFillTint="33"/>
          </w:tcPr>
          <w:p w:rsidR="0073720E" w:rsidRDefault="0073720E" w:rsidP="00E37A06">
            <w:pPr>
              <w:jc w:val="center"/>
              <w:rPr>
                <w:rFonts w:cs="Times New Roman"/>
                <w:sz w:val="20"/>
                <w:szCs w:val="20"/>
              </w:rPr>
            </w:pPr>
            <w:r w:rsidRPr="00054668">
              <w:rPr>
                <w:rFonts w:cs="Times New Roman"/>
                <w:sz w:val="20"/>
                <w:szCs w:val="20"/>
              </w:rPr>
              <w:t>600 000, OCTA līdzekļi</w:t>
            </w:r>
          </w:p>
          <w:p w:rsidR="00C1352C" w:rsidRPr="00054668"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r>
      <w:tr w:rsidR="0073720E" w:rsidRPr="00D23634" w:rsidTr="009D1429">
        <w:trPr>
          <w:jc w:val="center"/>
        </w:trPr>
        <w:tc>
          <w:tcPr>
            <w:tcW w:w="2409" w:type="dxa"/>
          </w:tcPr>
          <w:p w:rsidR="0073720E" w:rsidRPr="00054668" w:rsidRDefault="00BB19EA" w:rsidP="0073720E">
            <w:pPr>
              <w:jc w:val="both"/>
              <w:rPr>
                <w:rFonts w:cs="Times New Roman"/>
                <w:sz w:val="20"/>
                <w:szCs w:val="20"/>
              </w:rPr>
            </w:pPr>
            <w:r>
              <w:rPr>
                <w:rFonts w:cs="Times New Roman"/>
                <w:sz w:val="20"/>
                <w:szCs w:val="20"/>
              </w:rPr>
              <w:t>3.4</w:t>
            </w:r>
            <w:r w:rsidR="0073720E" w:rsidRPr="00054668">
              <w:rPr>
                <w:rFonts w:cs="Times New Roman"/>
                <w:sz w:val="20"/>
                <w:szCs w:val="20"/>
              </w:rPr>
              <w:t>.1.</w:t>
            </w:r>
          </w:p>
          <w:p w:rsidR="0073720E" w:rsidRPr="00054668" w:rsidRDefault="0073720E" w:rsidP="0073720E">
            <w:pPr>
              <w:jc w:val="both"/>
              <w:rPr>
                <w:rFonts w:cs="Times New Roman"/>
                <w:sz w:val="20"/>
                <w:szCs w:val="20"/>
              </w:rPr>
            </w:pPr>
            <w:r w:rsidRPr="00054668">
              <w:rPr>
                <w:rFonts w:cs="Times New Roman"/>
                <w:sz w:val="20"/>
                <w:szCs w:val="20"/>
              </w:rPr>
              <w:t>2.</w:t>
            </w:r>
            <w:r w:rsidRPr="00054668">
              <w:rPr>
                <w:rFonts w:cs="Times New Roman"/>
                <w:color w:val="000000" w:themeColor="text1"/>
                <w:sz w:val="20"/>
                <w:szCs w:val="20"/>
              </w:rPr>
              <w:t xml:space="preserve">Iegādāties </w:t>
            </w:r>
            <w:proofErr w:type="spellStart"/>
            <w:r w:rsidRPr="00054668">
              <w:rPr>
                <w:rFonts w:cs="Times New Roman"/>
                <w:color w:val="000000" w:themeColor="text1"/>
                <w:sz w:val="20"/>
                <w:szCs w:val="20"/>
              </w:rPr>
              <w:t>videoreģistratorus</w:t>
            </w:r>
            <w:proofErr w:type="spellEnd"/>
            <w:r w:rsidRPr="00054668">
              <w:rPr>
                <w:rFonts w:cs="Times New Roman"/>
                <w:color w:val="000000" w:themeColor="text1"/>
                <w:sz w:val="20"/>
                <w:szCs w:val="20"/>
              </w:rPr>
              <w:t xml:space="preserve"> sākotnējā </w:t>
            </w:r>
            <w:proofErr w:type="spellStart"/>
            <w:r w:rsidRPr="00054668">
              <w:rPr>
                <w:rFonts w:cs="Times New Roman"/>
                <w:color w:val="000000" w:themeColor="text1"/>
                <w:sz w:val="20"/>
                <w:szCs w:val="20"/>
              </w:rPr>
              <w:t>CSNg</w:t>
            </w:r>
            <w:proofErr w:type="spellEnd"/>
            <w:r w:rsidRPr="00054668">
              <w:rPr>
                <w:rFonts w:cs="Times New Roman"/>
                <w:color w:val="000000" w:themeColor="text1"/>
                <w:sz w:val="20"/>
                <w:szCs w:val="20"/>
              </w:rPr>
              <w:t xml:space="preserve"> apstākļu fiksēšanai ar fototehniku.</w:t>
            </w:r>
          </w:p>
        </w:tc>
        <w:tc>
          <w:tcPr>
            <w:tcW w:w="1418" w:type="dxa"/>
          </w:tcPr>
          <w:p w:rsidR="0073720E" w:rsidRPr="00054668" w:rsidRDefault="0073720E" w:rsidP="00E37A06">
            <w:pPr>
              <w:jc w:val="center"/>
              <w:rPr>
                <w:rFonts w:cs="Times New Roman"/>
                <w:sz w:val="20"/>
                <w:szCs w:val="20"/>
              </w:rPr>
            </w:pPr>
          </w:p>
        </w:tc>
        <w:tc>
          <w:tcPr>
            <w:tcW w:w="1559" w:type="dxa"/>
          </w:tcPr>
          <w:p w:rsidR="0073720E" w:rsidRDefault="00960EF2" w:rsidP="00E37A06">
            <w:pPr>
              <w:jc w:val="center"/>
              <w:rPr>
                <w:rFonts w:cs="Times New Roman"/>
                <w:sz w:val="20"/>
                <w:szCs w:val="20"/>
              </w:rPr>
            </w:pPr>
            <w:r>
              <w:rPr>
                <w:rFonts w:cs="Times New Roman"/>
                <w:sz w:val="20"/>
                <w:szCs w:val="20"/>
              </w:rPr>
              <w:t>28</w:t>
            </w:r>
            <w:r w:rsidR="0073720E" w:rsidRPr="00054668">
              <w:rPr>
                <w:rFonts w:cs="Times New Roman"/>
                <w:sz w:val="20"/>
                <w:szCs w:val="20"/>
              </w:rPr>
              <w:t> 000, OCTA līdzekļi</w:t>
            </w:r>
          </w:p>
          <w:p w:rsidR="00C1352C" w:rsidRPr="00054668"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c>
          <w:tcPr>
            <w:tcW w:w="1418" w:type="dxa"/>
            <w:gridSpan w:val="2"/>
          </w:tcPr>
          <w:p w:rsidR="0073720E" w:rsidRPr="00054668" w:rsidRDefault="0073720E" w:rsidP="00E37A06">
            <w:pPr>
              <w:jc w:val="center"/>
              <w:rPr>
                <w:rFonts w:cs="Times New Roman"/>
                <w:sz w:val="20"/>
                <w:szCs w:val="20"/>
              </w:rPr>
            </w:pPr>
          </w:p>
        </w:tc>
        <w:tc>
          <w:tcPr>
            <w:tcW w:w="1417" w:type="dxa"/>
            <w:gridSpan w:val="2"/>
          </w:tcPr>
          <w:p w:rsidR="0073720E" w:rsidRPr="00054668" w:rsidRDefault="0073720E" w:rsidP="00E37A06">
            <w:pPr>
              <w:jc w:val="center"/>
              <w:rPr>
                <w:rFonts w:cs="Times New Roman"/>
                <w:sz w:val="20"/>
                <w:szCs w:val="20"/>
              </w:rPr>
            </w:pPr>
          </w:p>
        </w:tc>
        <w:tc>
          <w:tcPr>
            <w:tcW w:w="1418" w:type="dxa"/>
            <w:gridSpan w:val="2"/>
          </w:tcPr>
          <w:p w:rsidR="0073720E" w:rsidRPr="00054668" w:rsidRDefault="0073720E" w:rsidP="00E37A06">
            <w:pPr>
              <w:jc w:val="center"/>
              <w:rPr>
                <w:rFonts w:cs="Times New Roman"/>
                <w:sz w:val="20"/>
                <w:szCs w:val="20"/>
              </w:rPr>
            </w:pPr>
          </w:p>
        </w:tc>
        <w:tc>
          <w:tcPr>
            <w:tcW w:w="1559" w:type="dxa"/>
            <w:gridSpan w:val="3"/>
          </w:tcPr>
          <w:p w:rsidR="0073720E" w:rsidRPr="00054668" w:rsidRDefault="0073720E" w:rsidP="00E37A06">
            <w:pPr>
              <w:jc w:val="center"/>
              <w:rPr>
                <w:rFonts w:cs="Times New Roman"/>
                <w:sz w:val="20"/>
                <w:szCs w:val="20"/>
              </w:rPr>
            </w:pPr>
          </w:p>
        </w:tc>
        <w:tc>
          <w:tcPr>
            <w:tcW w:w="1417" w:type="dxa"/>
            <w:gridSpan w:val="2"/>
          </w:tcPr>
          <w:p w:rsidR="0073720E" w:rsidRPr="00054668" w:rsidRDefault="0073720E" w:rsidP="00E37A06">
            <w:pPr>
              <w:jc w:val="center"/>
              <w:rPr>
                <w:rFonts w:cs="Times New Roman"/>
                <w:sz w:val="20"/>
                <w:szCs w:val="20"/>
              </w:rPr>
            </w:pPr>
          </w:p>
        </w:tc>
        <w:tc>
          <w:tcPr>
            <w:tcW w:w="1560" w:type="dxa"/>
            <w:gridSpan w:val="3"/>
          </w:tcPr>
          <w:p w:rsidR="0073720E" w:rsidRPr="00054668" w:rsidRDefault="0073720E" w:rsidP="00E37A06">
            <w:pPr>
              <w:jc w:val="center"/>
              <w:rPr>
                <w:rFonts w:cs="Times New Roman"/>
                <w:sz w:val="20"/>
                <w:szCs w:val="20"/>
              </w:rPr>
            </w:pPr>
          </w:p>
        </w:tc>
        <w:tc>
          <w:tcPr>
            <w:tcW w:w="1417" w:type="dxa"/>
            <w:shd w:val="clear" w:color="auto" w:fill="DFE4DA" w:themeFill="text2" w:themeFillTint="33"/>
          </w:tcPr>
          <w:p w:rsidR="0073720E" w:rsidRDefault="00960EF2" w:rsidP="00E37A06">
            <w:pPr>
              <w:jc w:val="center"/>
              <w:rPr>
                <w:rFonts w:cs="Times New Roman"/>
                <w:sz w:val="20"/>
                <w:szCs w:val="20"/>
              </w:rPr>
            </w:pPr>
            <w:r>
              <w:rPr>
                <w:rFonts w:cs="Times New Roman"/>
                <w:sz w:val="20"/>
                <w:szCs w:val="20"/>
              </w:rPr>
              <w:t>28</w:t>
            </w:r>
            <w:r w:rsidR="0073720E" w:rsidRPr="00054668">
              <w:rPr>
                <w:rFonts w:cs="Times New Roman"/>
                <w:sz w:val="20"/>
                <w:szCs w:val="20"/>
              </w:rPr>
              <w:t> 000, OCTA līdzekļi</w:t>
            </w:r>
          </w:p>
          <w:p w:rsidR="00C1352C" w:rsidRPr="00054668" w:rsidRDefault="00C1352C" w:rsidP="00E37A06">
            <w:pPr>
              <w:jc w:val="center"/>
              <w:rPr>
                <w:rFonts w:cs="Times New Roman"/>
                <w:sz w:val="20"/>
                <w:szCs w:val="20"/>
              </w:rPr>
            </w:pPr>
            <w:r>
              <w:rPr>
                <w:rFonts w:cs="Times New Roman"/>
                <w:sz w:val="20"/>
                <w:szCs w:val="20"/>
              </w:rPr>
              <w:t>(07.00.00. “</w:t>
            </w:r>
            <w:r w:rsidRPr="00425E03">
              <w:rPr>
                <w:rFonts w:cs="Times New Roman"/>
                <w:sz w:val="20"/>
                <w:szCs w:val="20"/>
              </w:rPr>
              <w:t>Ugunsdrošība, glābšana un civilā aizsardzība</w:t>
            </w:r>
            <w:r>
              <w:rPr>
                <w:rFonts w:cs="Times New Roman"/>
                <w:sz w:val="20"/>
                <w:szCs w:val="20"/>
              </w:rPr>
              <w:t>”)</w:t>
            </w:r>
          </w:p>
        </w:tc>
      </w:tr>
      <w:tr w:rsidR="0073720E" w:rsidRPr="00D23634" w:rsidTr="009D1429">
        <w:trPr>
          <w:jc w:val="center"/>
        </w:trPr>
        <w:tc>
          <w:tcPr>
            <w:tcW w:w="2409" w:type="dxa"/>
          </w:tcPr>
          <w:p w:rsidR="0073720E" w:rsidRPr="00054668" w:rsidRDefault="00BB19EA" w:rsidP="0073720E">
            <w:pPr>
              <w:jc w:val="both"/>
              <w:rPr>
                <w:rFonts w:cs="Times New Roman"/>
                <w:sz w:val="20"/>
                <w:szCs w:val="20"/>
              </w:rPr>
            </w:pPr>
            <w:r>
              <w:rPr>
                <w:rFonts w:cs="Times New Roman"/>
                <w:sz w:val="20"/>
                <w:szCs w:val="20"/>
              </w:rPr>
              <w:t>3.4</w:t>
            </w:r>
            <w:r w:rsidR="0073720E" w:rsidRPr="00054668">
              <w:rPr>
                <w:rFonts w:cs="Times New Roman"/>
                <w:sz w:val="20"/>
                <w:szCs w:val="20"/>
              </w:rPr>
              <w:t>.2.</w:t>
            </w:r>
          </w:p>
          <w:p w:rsidR="0073720E" w:rsidRPr="00054668" w:rsidRDefault="0073720E" w:rsidP="0073720E">
            <w:pPr>
              <w:jc w:val="both"/>
              <w:rPr>
                <w:rFonts w:cs="Times New Roman"/>
                <w:sz w:val="20"/>
                <w:szCs w:val="20"/>
              </w:rPr>
            </w:pPr>
            <w:r w:rsidRPr="00054668">
              <w:rPr>
                <w:rFonts w:cs="Times New Roman"/>
                <w:sz w:val="20"/>
                <w:szCs w:val="20"/>
              </w:rPr>
              <w:t xml:space="preserve">3. </w:t>
            </w:r>
            <w:proofErr w:type="spellStart"/>
            <w:r w:rsidRPr="00054668">
              <w:rPr>
                <w:rFonts w:cs="Times New Roman"/>
                <w:color w:val="000000" w:themeColor="text1"/>
                <w:sz w:val="20"/>
                <w:szCs w:val="20"/>
              </w:rPr>
              <w:t>eZvana</w:t>
            </w:r>
            <w:proofErr w:type="spellEnd"/>
            <w:r w:rsidRPr="00054668">
              <w:rPr>
                <w:rFonts w:cs="Times New Roman"/>
                <w:color w:val="000000" w:themeColor="text1"/>
                <w:sz w:val="20"/>
                <w:szCs w:val="20"/>
              </w:rPr>
              <w:t xml:space="preserve"> tehniskā risinājuma sertificēšana</w:t>
            </w:r>
          </w:p>
        </w:tc>
        <w:tc>
          <w:tcPr>
            <w:tcW w:w="1418" w:type="dxa"/>
          </w:tcPr>
          <w:p w:rsidR="0073720E" w:rsidRPr="00054668" w:rsidRDefault="0073720E" w:rsidP="00E37A06">
            <w:pPr>
              <w:jc w:val="center"/>
              <w:rPr>
                <w:rFonts w:cs="Times New Roman"/>
                <w:sz w:val="20"/>
                <w:szCs w:val="20"/>
              </w:rPr>
            </w:pPr>
          </w:p>
        </w:tc>
        <w:tc>
          <w:tcPr>
            <w:tcW w:w="1559" w:type="dxa"/>
          </w:tcPr>
          <w:p w:rsidR="00C1352C" w:rsidRPr="00054668" w:rsidRDefault="00C1352C" w:rsidP="00E37A06">
            <w:pPr>
              <w:jc w:val="center"/>
              <w:rPr>
                <w:rFonts w:cs="Times New Roman"/>
                <w:sz w:val="20"/>
                <w:szCs w:val="20"/>
              </w:rPr>
            </w:pPr>
          </w:p>
        </w:tc>
        <w:tc>
          <w:tcPr>
            <w:tcW w:w="1418" w:type="dxa"/>
            <w:gridSpan w:val="2"/>
          </w:tcPr>
          <w:p w:rsidR="0073720E" w:rsidRPr="00054668" w:rsidRDefault="0073720E" w:rsidP="00E37A06">
            <w:pPr>
              <w:jc w:val="center"/>
              <w:rPr>
                <w:rFonts w:cs="Times New Roman"/>
                <w:sz w:val="20"/>
                <w:szCs w:val="20"/>
              </w:rPr>
            </w:pPr>
          </w:p>
        </w:tc>
        <w:tc>
          <w:tcPr>
            <w:tcW w:w="1417" w:type="dxa"/>
            <w:gridSpan w:val="2"/>
          </w:tcPr>
          <w:p w:rsidR="0023391F" w:rsidRDefault="0023391F" w:rsidP="0023391F">
            <w:pPr>
              <w:jc w:val="center"/>
              <w:rPr>
                <w:rFonts w:cs="Times New Roman"/>
                <w:sz w:val="20"/>
                <w:szCs w:val="20"/>
              </w:rPr>
            </w:pPr>
            <w:r w:rsidRPr="00054668">
              <w:rPr>
                <w:rFonts w:cs="Times New Roman"/>
                <w:sz w:val="20"/>
                <w:szCs w:val="20"/>
              </w:rPr>
              <w:t>150 000, OCTA līdzekļi</w:t>
            </w:r>
          </w:p>
          <w:p w:rsidR="0073720E" w:rsidRPr="00054668" w:rsidRDefault="0023391F" w:rsidP="0023391F">
            <w:pPr>
              <w:jc w:val="center"/>
              <w:rPr>
                <w:rFonts w:cs="Times New Roman"/>
                <w:sz w:val="20"/>
                <w:szCs w:val="20"/>
              </w:rPr>
            </w:pPr>
            <w:r>
              <w:rPr>
                <w:rFonts w:cs="Times New Roman"/>
                <w:sz w:val="20"/>
                <w:szCs w:val="20"/>
              </w:rPr>
              <w:t>(02.00.00 “</w:t>
            </w:r>
            <w:proofErr w:type="spellStart"/>
            <w:r w:rsidRPr="00C1352C">
              <w:rPr>
                <w:rFonts w:cs="Times New Roman"/>
                <w:sz w:val="20"/>
                <w:szCs w:val="20"/>
              </w:rPr>
              <w:t>Iekšlietu</w:t>
            </w:r>
            <w:proofErr w:type="spellEnd"/>
            <w:r w:rsidRPr="00C1352C">
              <w:rPr>
                <w:rFonts w:cs="Times New Roman"/>
                <w:sz w:val="20"/>
                <w:szCs w:val="20"/>
              </w:rPr>
              <w:t xml:space="preserve"> ministrijas vienotā sakaru un informācijas sistēma</w:t>
            </w:r>
            <w:r>
              <w:rPr>
                <w:rFonts w:cs="Times New Roman"/>
                <w:sz w:val="20"/>
                <w:szCs w:val="20"/>
              </w:rPr>
              <w:t>”)</w:t>
            </w:r>
          </w:p>
        </w:tc>
        <w:tc>
          <w:tcPr>
            <w:tcW w:w="1418" w:type="dxa"/>
            <w:gridSpan w:val="2"/>
          </w:tcPr>
          <w:p w:rsidR="0073720E" w:rsidRPr="00054668" w:rsidRDefault="0073720E" w:rsidP="00E37A06">
            <w:pPr>
              <w:jc w:val="center"/>
              <w:rPr>
                <w:rFonts w:cs="Times New Roman"/>
                <w:sz w:val="20"/>
                <w:szCs w:val="20"/>
              </w:rPr>
            </w:pPr>
          </w:p>
        </w:tc>
        <w:tc>
          <w:tcPr>
            <w:tcW w:w="1559" w:type="dxa"/>
            <w:gridSpan w:val="3"/>
          </w:tcPr>
          <w:p w:rsidR="0073720E" w:rsidRPr="00054668" w:rsidRDefault="0073720E" w:rsidP="00E37A06">
            <w:pPr>
              <w:jc w:val="center"/>
              <w:rPr>
                <w:rFonts w:cs="Times New Roman"/>
                <w:sz w:val="20"/>
                <w:szCs w:val="20"/>
              </w:rPr>
            </w:pPr>
          </w:p>
        </w:tc>
        <w:tc>
          <w:tcPr>
            <w:tcW w:w="1417" w:type="dxa"/>
            <w:gridSpan w:val="2"/>
          </w:tcPr>
          <w:p w:rsidR="0073720E" w:rsidRPr="00054668" w:rsidRDefault="0073720E" w:rsidP="00E37A06">
            <w:pPr>
              <w:jc w:val="center"/>
              <w:rPr>
                <w:rFonts w:cs="Times New Roman"/>
                <w:sz w:val="20"/>
                <w:szCs w:val="20"/>
              </w:rPr>
            </w:pPr>
          </w:p>
        </w:tc>
        <w:tc>
          <w:tcPr>
            <w:tcW w:w="1560" w:type="dxa"/>
            <w:gridSpan w:val="3"/>
          </w:tcPr>
          <w:p w:rsidR="0073720E" w:rsidRPr="00054668" w:rsidRDefault="0073720E" w:rsidP="00E37A06">
            <w:pPr>
              <w:jc w:val="center"/>
              <w:rPr>
                <w:rFonts w:cs="Times New Roman"/>
                <w:sz w:val="20"/>
                <w:szCs w:val="20"/>
              </w:rPr>
            </w:pPr>
          </w:p>
        </w:tc>
        <w:tc>
          <w:tcPr>
            <w:tcW w:w="1417" w:type="dxa"/>
            <w:shd w:val="clear" w:color="auto" w:fill="DFE4DA" w:themeFill="text2" w:themeFillTint="33"/>
          </w:tcPr>
          <w:p w:rsidR="0073720E" w:rsidRDefault="0073720E" w:rsidP="00E37A06">
            <w:pPr>
              <w:jc w:val="center"/>
              <w:rPr>
                <w:rFonts w:cs="Times New Roman"/>
                <w:sz w:val="20"/>
                <w:szCs w:val="20"/>
              </w:rPr>
            </w:pPr>
            <w:r w:rsidRPr="00054668">
              <w:rPr>
                <w:rFonts w:cs="Times New Roman"/>
                <w:sz w:val="20"/>
                <w:szCs w:val="20"/>
              </w:rPr>
              <w:t>150 000, OCTA līdzekļi</w:t>
            </w:r>
          </w:p>
          <w:p w:rsidR="00C1352C" w:rsidRPr="00054668" w:rsidRDefault="00C1352C" w:rsidP="00E37A06">
            <w:pPr>
              <w:jc w:val="center"/>
              <w:rPr>
                <w:rFonts w:cs="Times New Roman"/>
                <w:sz w:val="20"/>
                <w:szCs w:val="20"/>
              </w:rPr>
            </w:pPr>
            <w:r>
              <w:rPr>
                <w:rFonts w:cs="Times New Roman"/>
                <w:sz w:val="20"/>
                <w:szCs w:val="20"/>
              </w:rPr>
              <w:t>(02.00.00 “</w:t>
            </w:r>
            <w:proofErr w:type="spellStart"/>
            <w:r w:rsidRPr="00C1352C">
              <w:rPr>
                <w:rFonts w:cs="Times New Roman"/>
                <w:sz w:val="20"/>
                <w:szCs w:val="20"/>
              </w:rPr>
              <w:t>Iekšlietu</w:t>
            </w:r>
            <w:proofErr w:type="spellEnd"/>
            <w:r w:rsidRPr="00C1352C">
              <w:rPr>
                <w:rFonts w:cs="Times New Roman"/>
                <w:sz w:val="20"/>
                <w:szCs w:val="20"/>
              </w:rPr>
              <w:t xml:space="preserve"> ministrijas vienotā sakaru un informācijas sistēma</w:t>
            </w:r>
            <w:r>
              <w:rPr>
                <w:rFonts w:cs="Times New Roman"/>
                <w:sz w:val="20"/>
                <w:szCs w:val="20"/>
              </w:rPr>
              <w:t>”)</w:t>
            </w:r>
          </w:p>
        </w:tc>
      </w:tr>
      <w:tr w:rsidR="0073720E" w:rsidRPr="00D23634" w:rsidTr="009D1429">
        <w:trPr>
          <w:trHeight w:val="433"/>
          <w:jc w:val="center"/>
        </w:trPr>
        <w:tc>
          <w:tcPr>
            <w:tcW w:w="2409" w:type="dxa"/>
          </w:tcPr>
          <w:p w:rsidR="0073720E" w:rsidRPr="00054668" w:rsidRDefault="00BB19EA" w:rsidP="0073720E">
            <w:pPr>
              <w:jc w:val="both"/>
              <w:rPr>
                <w:rFonts w:cs="Times New Roman"/>
                <w:sz w:val="20"/>
                <w:szCs w:val="20"/>
              </w:rPr>
            </w:pPr>
            <w:r>
              <w:rPr>
                <w:rFonts w:cs="Times New Roman"/>
                <w:sz w:val="20"/>
                <w:szCs w:val="20"/>
              </w:rPr>
              <w:t>3.4</w:t>
            </w:r>
            <w:r w:rsidR="0073720E" w:rsidRPr="00054668">
              <w:rPr>
                <w:rFonts w:cs="Times New Roman"/>
                <w:sz w:val="20"/>
                <w:szCs w:val="20"/>
              </w:rPr>
              <w:t>.3.</w:t>
            </w:r>
          </w:p>
          <w:p w:rsidR="00B65DF9" w:rsidRDefault="00A528CE" w:rsidP="0073720E">
            <w:pPr>
              <w:jc w:val="both"/>
              <w:rPr>
                <w:rFonts w:cs="Times New Roman"/>
                <w:sz w:val="20"/>
                <w:szCs w:val="20"/>
              </w:rPr>
            </w:pPr>
            <w:r w:rsidRPr="00054668">
              <w:rPr>
                <w:rFonts w:cs="Times New Roman"/>
                <w:sz w:val="20"/>
                <w:szCs w:val="20"/>
              </w:rPr>
              <w:t>4.</w:t>
            </w:r>
            <w:r w:rsidRPr="00054668">
              <w:t xml:space="preserve"> </w:t>
            </w:r>
            <w:r w:rsidRPr="00E41A2D">
              <w:rPr>
                <w:rFonts w:cs="Times New Roman"/>
                <w:sz w:val="20"/>
                <w:szCs w:val="20"/>
              </w:rPr>
              <w:t xml:space="preserve">OCTA zaudējumu pieteikšanas un administrēšanas procesa pilnveidošana, lai nodrošinātu ātrāku un efektīvāku </w:t>
            </w:r>
            <w:proofErr w:type="spellStart"/>
            <w:r w:rsidRPr="00E41A2D">
              <w:rPr>
                <w:rFonts w:cs="Times New Roman"/>
                <w:sz w:val="20"/>
                <w:szCs w:val="20"/>
              </w:rPr>
              <w:t>CSNg</w:t>
            </w:r>
            <w:proofErr w:type="spellEnd"/>
            <w:r w:rsidRPr="00E41A2D">
              <w:rPr>
                <w:rFonts w:cs="Times New Roman"/>
                <w:sz w:val="20"/>
                <w:szCs w:val="20"/>
              </w:rPr>
              <w:t xml:space="preserve"> rezultātā nodarīto zaudējumu atlīdzināšanu cietušajiem</w:t>
            </w:r>
            <w:r>
              <w:rPr>
                <w:rFonts w:cs="Times New Roman"/>
                <w:sz w:val="20"/>
                <w:szCs w:val="20"/>
              </w:rPr>
              <w:t>.</w:t>
            </w:r>
          </w:p>
          <w:p w:rsidR="000C30F0" w:rsidRDefault="000C30F0" w:rsidP="0073720E">
            <w:pPr>
              <w:jc w:val="both"/>
              <w:rPr>
                <w:rFonts w:cs="Times New Roman"/>
                <w:sz w:val="20"/>
                <w:szCs w:val="20"/>
              </w:rPr>
            </w:pPr>
          </w:p>
          <w:p w:rsidR="000C30F0" w:rsidRDefault="000C30F0" w:rsidP="0073720E">
            <w:pPr>
              <w:jc w:val="both"/>
              <w:rPr>
                <w:rFonts w:cs="Times New Roman"/>
                <w:sz w:val="20"/>
                <w:szCs w:val="20"/>
              </w:rPr>
            </w:pPr>
          </w:p>
          <w:p w:rsidR="00B02243" w:rsidRPr="00054668" w:rsidRDefault="00B02243" w:rsidP="0073720E">
            <w:pPr>
              <w:jc w:val="both"/>
              <w:rPr>
                <w:rFonts w:cs="Times New Roman"/>
                <w:sz w:val="20"/>
                <w:szCs w:val="20"/>
              </w:rPr>
            </w:pPr>
          </w:p>
        </w:tc>
        <w:tc>
          <w:tcPr>
            <w:tcW w:w="1418" w:type="dxa"/>
          </w:tcPr>
          <w:p w:rsidR="0073720E" w:rsidRPr="00054668" w:rsidRDefault="0073720E" w:rsidP="00E37A06">
            <w:pPr>
              <w:jc w:val="center"/>
              <w:rPr>
                <w:rFonts w:cs="Times New Roman"/>
                <w:sz w:val="20"/>
                <w:szCs w:val="20"/>
              </w:rPr>
            </w:pPr>
          </w:p>
        </w:tc>
        <w:tc>
          <w:tcPr>
            <w:tcW w:w="1559" w:type="dxa"/>
          </w:tcPr>
          <w:p w:rsidR="0073720E" w:rsidRPr="00054668" w:rsidRDefault="0073720E" w:rsidP="00E37A06">
            <w:pPr>
              <w:jc w:val="center"/>
              <w:rPr>
                <w:rFonts w:cs="Times New Roman"/>
                <w:sz w:val="20"/>
                <w:szCs w:val="20"/>
              </w:rPr>
            </w:pPr>
          </w:p>
        </w:tc>
        <w:tc>
          <w:tcPr>
            <w:tcW w:w="1418" w:type="dxa"/>
            <w:gridSpan w:val="2"/>
          </w:tcPr>
          <w:p w:rsidR="0073720E" w:rsidRPr="00054668" w:rsidRDefault="0073720E" w:rsidP="00E37A06">
            <w:pPr>
              <w:jc w:val="center"/>
              <w:rPr>
                <w:rFonts w:cs="Times New Roman"/>
                <w:sz w:val="20"/>
                <w:szCs w:val="20"/>
              </w:rPr>
            </w:pPr>
          </w:p>
        </w:tc>
        <w:tc>
          <w:tcPr>
            <w:tcW w:w="1417" w:type="dxa"/>
            <w:gridSpan w:val="2"/>
          </w:tcPr>
          <w:p w:rsidR="0073720E" w:rsidRDefault="0073720E" w:rsidP="00E37A06">
            <w:pPr>
              <w:jc w:val="center"/>
              <w:rPr>
                <w:rFonts w:cs="Times New Roman"/>
                <w:sz w:val="20"/>
                <w:szCs w:val="20"/>
              </w:rPr>
            </w:pPr>
            <w:r w:rsidRPr="00054668">
              <w:rPr>
                <w:rFonts w:cs="Times New Roman"/>
                <w:sz w:val="20"/>
                <w:szCs w:val="20"/>
              </w:rPr>
              <w:t>50 000, OCTA līdzekļi</w:t>
            </w:r>
            <w:r w:rsidR="00C1352C">
              <w:rPr>
                <w:rStyle w:val="FootnoteReference"/>
                <w:rFonts w:cs="Times New Roman"/>
                <w:sz w:val="20"/>
                <w:szCs w:val="20"/>
              </w:rPr>
              <w:footnoteReference w:id="26"/>
            </w:r>
          </w:p>
          <w:p w:rsidR="00C1352C" w:rsidRPr="00054668" w:rsidRDefault="00C1352C" w:rsidP="00E37A06">
            <w:pPr>
              <w:jc w:val="center"/>
              <w:rPr>
                <w:rFonts w:cs="Times New Roman"/>
                <w:sz w:val="20"/>
                <w:szCs w:val="20"/>
              </w:rPr>
            </w:pPr>
          </w:p>
        </w:tc>
        <w:tc>
          <w:tcPr>
            <w:tcW w:w="1418" w:type="dxa"/>
            <w:gridSpan w:val="2"/>
          </w:tcPr>
          <w:p w:rsidR="0073720E" w:rsidRPr="00054668" w:rsidRDefault="0073720E" w:rsidP="00E37A06">
            <w:pPr>
              <w:jc w:val="center"/>
              <w:rPr>
                <w:rFonts w:cs="Times New Roman"/>
                <w:sz w:val="20"/>
                <w:szCs w:val="20"/>
              </w:rPr>
            </w:pPr>
          </w:p>
        </w:tc>
        <w:tc>
          <w:tcPr>
            <w:tcW w:w="1559" w:type="dxa"/>
            <w:gridSpan w:val="3"/>
          </w:tcPr>
          <w:p w:rsidR="0073720E" w:rsidRPr="00054668" w:rsidRDefault="0073720E" w:rsidP="00E37A06">
            <w:pPr>
              <w:jc w:val="center"/>
              <w:rPr>
                <w:rFonts w:cs="Times New Roman"/>
                <w:sz w:val="20"/>
                <w:szCs w:val="20"/>
              </w:rPr>
            </w:pPr>
          </w:p>
        </w:tc>
        <w:tc>
          <w:tcPr>
            <w:tcW w:w="1417" w:type="dxa"/>
            <w:gridSpan w:val="2"/>
          </w:tcPr>
          <w:p w:rsidR="0073720E" w:rsidRPr="00054668" w:rsidRDefault="0073720E" w:rsidP="00E37A06">
            <w:pPr>
              <w:jc w:val="center"/>
              <w:rPr>
                <w:rFonts w:cs="Times New Roman"/>
                <w:sz w:val="20"/>
                <w:szCs w:val="20"/>
              </w:rPr>
            </w:pPr>
          </w:p>
        </w:tc>
        <w:tc>
          <w:tcPr>
            <w:tcW w:w="1560" w:type="dxa"/>
            <w:gridSpan w:val="3"/>
          </w:tcPr>
          <w:p w:rsidR="0073720E" w:rsidRPr="00054668" w:rsidRDefault="0073720E" w:rsidP="00E37A06">
            <w:pPr>
              <w:jc w:val="center"/>
              <w:rPr>
                <w:rFonts w:cs="Times New Roman"/>
                <w:sz w:val="20"/>
                <w:szCs w:val="20"/>
              </w:rPr>
            </w:pPr>
          </w:p>
        </w:tc>
        <w:tc>
          <w:tcPr>
            <w:tcW w:w="1417" w:type="dxa"/>
            <w:shd w:val="clear" w:color="auto" w:fill="DFE4DA" w:themeFill="text2" w:themeFillTint="33"/>
          </w:tcPr>
          <w:p w:rsidR="0073720E" w:rsidRPr="00C1352C" w:rsidRDefault="0073720E" w:rsidP="00E37A06">
            <w:pPr>
              <w:jc w:val="center"/>
              <w:rPr>
                <w:rFonts w:cs="Times New Roman"/>
                <w:sz w:val="20"/>
                <w:szCs w:val="20"/>
                <w:vertAlign w:val="superscript"/>
              </w:rPr>
            </w:pPr>
            <w:r w:rsidRPr="00054668">
              <w:rPr>
                <w:rFonts w:cs="Times New Roman"/>
                <w:sz w:val="20"/>
                <w:szCs w:val="20"/>
              </w:rPr>
              <w:t>50 000,  OCTA līdzekļi</w:t>
            </w:r>
            <w:r w:rsidR="00C1352C">
              <w:rPr>
                <w:rFonts w:cs="Times New Roman"/>
                <w:sz w:val="20"/>
                <w:szCs w:val="20"/>
                <w:vertAlign w:val="superscript"/>
              </w:rPr>
              <w:t>23</w:t>
            </w:r>
          </w:p>
        </w:tc>
      </w:tr>
      <w:tr w:rsidR="00B65DF9" w:rsidRPr="00D23634" w:rsidTr="00B65DF9">
        <w:trPr>
          <w:jc w:val="center"/>
        </w:trPr>
        <w:tc>
          <w:tcPr>
            <w:tcW w:w="15592" w:type="dxa"/>
            <w:gridSpan w:val="18"/>
            <w:shd w:val="clear" w:color="auto" w:fill="FBE6CD" w:themeFill="accent1" w:themeFillTint="33"/>
          </w:tcPr>
          <w:p w:rsidR="00B65DF9" w:rsidRPr="00B65DF9" w:rsidRDefault="00B65DF9" w:rsidP="00E37A06">
            <w:pPr>
              <w:jc w:val="center"/>
              <w:rPr>
                <w:rFonts w:cs="Times New Roman"/>
                <w:b/>
              </w:rPr>
            </w:pPr>
          </w:p>
          <w:p w:rsidR="00B65DF9" w:rsidRPr="00B65DF9" w:rsidRDefault="00B65DF9" w:rsidP="00E37A06">
            <w:pPr>
              <w:jc w:val="center"/>
              <w:rPr>
                <w:rFonts w:cs="Times New Roman"/>
                <w:b/>
                <w:sz w:val="20"/>
                <w:szCs w:val="20"/>
              </w:rPr>
            </w:pPr>
            <w:r w:rsidRPr="00B65DF9">
              <w:rPr>
                <w:rFonts w:cs="Times New Roman"/>
                <w:b/>
              </w:rPr>
              <w:t>Plāna ietekmes novērtējums uz valsts un pašvaldību budžetu</w:t>
            </w:r>
            <w:r w:rsidR="00A44C8A">
              <w:rPr>
                <w:rStyle w:val="FootnoteReference"/>
                <w:rFonts w:cs="Times New Roman"/>
                <w:b/>
              </w:rPr>
              <w:footnoteReference w:id="27"/>
            </w:r>
            <w:r w:rsidR="005C131E">
              <w:rPr>
                <w:rFonts w:cs="Times New Roman"/>
                <w:b/>
              </w:rPr>
              <w:t xml:space="preserve"> </w:t>
            </w:r>
            <w:r w:rsidR="005C131E" w:rsidRPr="005C131E">
              <w:rPr>
                <w:rFonts w:cs="Times New Roman"/>
                <w:b/>
                <w:i/>
              </w:rPr>
              <w:t>(</w:t>
            </w:r>
            <w:proofErr w:type="spellStart"/>
            <w:r w:rsidR="005C131E" w:rsidRPr="005C131E">
              <w:rPr>
                <w:rFonts w:cs="Times New Roman"/>
                <w:b/>
                <w:i/>
              </w:rPr>
              <w:t>euro</w:t>
            </w:r>
            <w:proofErr w:type="spellEnd"/>
            <w:r w:rsidR="005C131E" w:rsidRPr="005C131E">
              <w:rPr>
                <w:rFonts w:cs="Times New Roman"/>
                <w:b/>
                <w:i/>
              </w:rPr>
              <w:t>)</w:t>
            </w:r>
          </w:p>
          <w:p w:rsidR="00B65DF9" w:rsidRPr="00054668" w:rsidRDefault="00B65DF9" w:rsidP="00E37A06">
            <w:pPr>
              <w:jc w:val="center"/>
              <w:rPr>
                <w:rFonts w:cs="Times New Roman"/>
                <w:sz w:val="20"/>
                <w:szCs w:val="20"/>
              </w:rPr>
            </w:pPr>
          </w:p>
        </w:tc>
      </w:tr>
      <w:tr w:rsidR="00003973" w:rsidRPr="00D23634" w:rsidTr="00C64F3A">
        <w:trPr>
          <w:jc w:val="center"/>
        </w:trPr>
        <w:tc>
          <w:tcPr>
            <w:tcW w:w="2409" w:type="dxa"/>
            <w:vMerge w:val="restart"/>
            <w:shd w:val="clear" w:color="auto" w:fill="DFE4DA" w:themeFill="text2" w:themeFillTint="33"/>
          </w:tcPr>
          <w:p w:rsidR="00003973" w:rsidRPr="00C64F3A" w:rsidRDefault="00003973" w:rsidP="007A1ABB">
            <w:pPr>
              <w:jc w:val="center"/>
              <w:rPr>
                <w:rFonts w:cs="Times New Roman"/>
                <w:b/>
                <w:color w:val="000000" w:themeColor="text1"/>
                <w:sz w:val="20"/>
                <w:szCs w:val="20"/>
              </w:rPr>
            </w:pPr>
            <w:r w:rsidRPr="00C64F3A">
              <w:rPr>
                <w:rFonts w:cs="Times New Roman"/>
                <w:b/>
                <w:color w:val="000000" w:themeColor="text1"/>
                <w:sz w:val="20"/>
                <w:szCs w:val="20"/>
              </w:rPr>
              <w:t>Uzdevums</w:t>
            </w:r>
          </w:p>
          <w:p w:rsidR="00003973" w:rsidRPr="00C64F3A" w:rsidRDefault="00003973" w:rsidP="00C64F3A">
            <w:pPr>
              <w:jc w:val="center"/>
              <w:rPr>
                <w:rFonts w:cs="Times New Roman"/>
                <w:b/>
                <w:color w:val="000000" w:themeColor="text1"/>
                <w:sz w:val="20"/>
                <w:szCs w:val="20"/>
              </w:rPr>
            </w:pPr>
          </w:p>
        </w:tc>
        <w:tc>
          <w:tcPr>
            <w:tcW w:w="1418" w:type="dxa"/>
            <w:vMerge w:val="restart"/>
            <w:shd w:val="clear" w:color="auto" w:fill="DFE4DA" w:themeFill="text2" w:themeFillTint="33"/>
          </w:tcPr>
          <w:p w:rsidR="00003973" w:rsidRPr="00C64F3A" w:rsidRDefault="00003973" w:rsidP="00C64F3A">
            <w:pPr>
              <w:jc w:val="center"/>
              <w:rPr>
                <w:rFonts w:cs="Times New Roman"/>
                <w:b/>
                <w:color w:val="000000" w:themeColor="text1"/>
                <w:sz w:val="20"/>
                <w:szCs w:val="20"/>
              </w:rPr>
            </w:pPr>
            <w:r w:rsidRPr="00C64F3A">
              <w:rPr>
                <w:rFonts w:cs="Times New Roman"/>
                <w:b/>
                <w:color w:val="000000" w:themeColor="text1"/>
                <w:sz w:val="20"/>
                <w:szCs w:val="20"/>
              </w:rPr>
              <w:t>Pasākums</w:t>
            </w:r>
          </w:p>
        </w:tc>
        <w:tc>
          <w:tcPr>
            <w:tcW w:w="1559" w:type="dxa"/>
            <w:vMerge w:val="restart"/>
            <w:shd w:val="clear" w:color="auto" w:fill="DFE4DA" w:themeFill="text2" w:themeFillTint="33"/>
          </w:tcPr>
          <w:p w:rsidR="00003973" w:rsidRPr="00C64F3A" w:rsidRDefault="00003973" w:rsidP="00C64F3A">
            <w:pPr>
              <w:jc w:val="center"/>
              <w:rPr>
                <w:rFonts w:cs="Times New Roman"/>
                <w:b/>
                <w:color w:val="000000" w:themeColor="text1"/>
                <w:sz w:val="20"/>
                <w:szCs w:val="20"/>
              </w:rPr>
            </w:pPr>
            <w:r w:rsidRPr="001F4299">
              <w:rPr>
                <w:rFonts w:eastAsia="Times New Roman" w:cs="Times New Roman"/>
                <w:b/>
                <w:bCs/>
                <w:color w:val="000000" w:themeColor="text1"/>
                <w:sz w:val="20"/>
                <w:szCs w:val="20"/>
                <w:lang w:eastAsia="lv-LV"/>
              </w:rPr>
              <w:t>Budžeta programmas (apakš-</w:t>
            </w:r>
            <w:r w:rsidRPr="001F4299">
              <w:rPr>
                <w:rFonts w:eastAsia="Times New Roman" w:cs="Times New Roman"/>
                <w:b/>
                <w:bCs/>
                <w:color w:val="000000" w:themeColor="text1"/>
                <w:sz w:val="20"/>
                <w:szCs w:val="20"/>
                <w:lang w:eastAsia="lv-LV"/>
              </w:rPr>
              <w:br/>
              <w:t>programmas)</w:t>
            </w:r>
            <w:r w:rsidRPr="001F4299">
              <w:rPr>
                <w:rFonts w:eastAsia="Times New Roman" w:cs="Times New Roman"/>
                <w:b/>
                <w:bCs/>
                <w:color w:val="000000" w:themeColor="text1"/>
                <w:sz w:val="20"/>
                <w:szCs w:val="20"/>
                <w:lang w:eastAsia="lv-LV"/>
              </w:rPr>
              <w:br/>
              <w:t>kods un nosaukums</w:t>
            </w:r>
          </w:p>
        </w:tc>
        <w:tc>
          <w:tcPr>
            <w:tcW w:w="4253" w:type="dxa"/>
            <w:gridSpan w:val="6"/>
            <w:shd w:val="clear" w:color="auto" w:fill="DFE4DA" w:themeFill="text2" w:themeFillTint="33"/>
          </w:tcPr>
          <w:p w:rsidR="00003973" w:rsidRPr="00C64F3A" w:rsidRDefault="00003973" w:rsidP="00C64F3A">
            <w:pPr>
              <w:jc w:val="center"/>
              <w:rPr>
                <w:rFonts w:cs="Times New Roman"/>
                <w:b/>
                <w:color w:val="000000" w:themeColor="text1"/>
                <w:sz w:val="20"/>
                <w:szCs w:val="20"/>
              </w:rPr>
            </w:pPr>
            <w:r w:rsidRPr="001F4299">
              <w:rPr>
                <w:rFonts w:eastAsia="Times New Roman" w:cs="Times New Roman"/>
                <w:b/>
                <w:bCs/>
                <w:color w:val="000000" w:themeColor="text1"/>
                <w:sz w:val="20"/>
                <w:szCs w:val="20"/>
                <w:lang w:eastAsia="lv-LV"/>
              </w:rPr>
              <w:t>Vidēja termiņa budžeta ietvara likumā plānotais finansējums</w:t>
            </w:r>
          </w:p>
        </w:tc>
        <w:tc>
          <w:tcPr>
            <w:tcW w:w="4536" w:type="dxa"/>
            <w:gridSpan w:val="8"/>
            <w:shd w:val="clear" w:color="auto" w:fill="DFE4DA" w:themeFill="text2" w:themeFillTint="33"/>
          </w:tcPr>
          <w:p w:rsidR="00003973" w:rsidRPr="00C64F3A" w:rsidRDefault="00003973" w:rsidP="00C64F3A">
            <w:pPr>
              <w:jc w:val="center"/>
              <w:rPr>
                <w:rFonts w:cs="Times New Roman"/>
                <w:b/>
                <w:color w:val="000000" w:themeColor="text1"/>
                <w:sz w:val="20"/>
                <w:szCs w:val="20"/>
              </w:rPr>
            </w:pPr>
            <w:r w:rsidRPr="001F4299">
              <w:rPr>
                <w:rFonts w:eastAsia="Times New Roman" w:cs="Times New Roman"/>
                <w:b/>
                <w:bCs/>
                <w:color w:val="000000" w:themeColor="text1"/>
                <w:sz w:val="20"/>
                <w:szCs w:val="20"/>
                <w:lang w:eastAsia="lv-LV"/>
              </w:rPr>
              <w:t>Nepieciešamais papildu finansējums</w:t>
            </w:r>
          </w:p>
        </w:tc>
        <w:tc>
          <w:tcPr>
            <w:tcW w:w="1417" w:type="dxa"/>
            <w:vMerge w:val="restart"/>
            <w:shd w:val="clear" w:color="auto" w:fill="DFE4DA" w:themeFill="text2" w:themeFillTint="33"/>
          </w:tcPr>
          <w:p w:rsidR="00003973" w:rsidRPr="00C64F3A" w:rsidRDefault="00003973" w:rsidP="00C64F3A">
            <w:pPr>
              <w:jc w:val="center"/>
              <w:rPr>
                <w:rFonts w:cs="Times New Roman"/>
                <w:b/>
                <w:color w:val="000000" w:themeColor="text1"/>
                <w:sz w:val="20"/>
                <w:szCs w:val="20"/>
              </w:rPr>
            </w:pPr>
            <w:r w:rsidRPr="001F4299">
              <w:rPr>
                <w:rFonts w:eastAsia="Times New Roman" w:cs="Times New Roman"/>
                <w:b/>
                <w:bCs/>
                <w:color w:val="000000" w:themeColor="text1"/>
                <w:sz w:val="20"/>
                <w:szCs w:val="20"/>
                <w:lang w:eastAsia="lv-LV"/>
              </w:rPr>
              <w:t>Pasākuma īstenošanas gads</w:t>
            </w:r>
            <w:r w:rsidRPr="001F4299">
              <w:rPr>
                <w:rFonts w:eastAsia="Times New Roman" w:cs="Times New Roman"/>
                <w:b/>
                <w:bCs/>
                <w:color w:val="000000" w:themeColor="text1"/>
                <w:sz w:val="20"/>
                <w:szCs w:val="20"/>
                <w:lang w:eastAsia="lv-LV"/>
              </w:rPr>
              <w:br/>
              <w:t>(ja pasākuma īstenošana ir terminēta)</w:t>
            </w:r>
          </w:p>
        </w:tc>
      </w:tr>
      <w:tr w:rsidR="00D80A59" w:rsidRPr="00D23634" w:rsidTr="00C64F3A">
        <w:trPr>
          <w:jc w:val="center"/>
        </w:trPr>
        <w:tc>
          <w:tcPr>
            <w:tcW w:w="2409" w:type="dxa"/>
            <w:vMerge/>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418" w:type="dxa"/>
            <w:vMerge/>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559" w:type="dxa"/>
            <w:vMerge/>
            <w:shd w:val="clear" w:color="auto" w:fill="DFE4DA" w:themeFill="text2" w:themeFillTint="33"/>
          </w:tcPr>
          <w:p w:rsidR="00D80A59" w:rsidRPr="00C64F3A" w:rsidRDefault="00D80A59" w:rsidP="00C64F3A">
            <w:pPr>
              <w:jc w:val="center"/>
              <w:rPr>
                <w:rFonts w:eastAsia="Times New Roman" w:cs="Times New Roman"/>
                <w:b/>
                <w:bCs/>
                <w:color w:val="000000" w:themeColor="text1"/>
                <w:sz w:val="20"/>
                <w:szCs w:val="20"/>
                <w:lang w:eastAsia="lv-LV"/>
              </w:rPr>
            </w:pPr>
          </w:p>
        </w:tc>
        <w:tc>
          <w:tcPr>
            <w:tcW w:w="1063" w:type="dxa"/>
            <w:shd w:val="clear" w:color="auto" w:fill="DFE4DA" w:themeFill="text2" w:themeFillTint="33"/>
          </w:tcPr>
          <w:p w:rsidR="00D80A59" w:rsidRPr="00C64F3A" w:rsidRDefault="00D80A59" w:rsidP="00D61BC6">
            <w:pPr>
              <w:tabs>
                <w:tab w:val="left" w:pos="720"/>
              </w:tabs>
              <w:jc w:val="center"/>
              <w:rPr>
                <w:rFonts w:cs="Times New Roman"/>
                <w:b/>
                <w:color w:val="000000" w:themeColor="text1"/>
                <w:sz w:val="20"/>
                <w:szCs w:val="20"/>
              </w:rPr>
            </w:pPr>
            <w:r w:rsidRPr="00C64F3A">
              <w:rPr>
                <w:rFonts w:cs="Times New Roman"/>
                <w:b/>
                <w:color w:val="000000" w:themeColor="text1"/>
                <w:sz w:val="20"/>
                <w:szCs w:val="20"/>
              </w:rPr>
              <w:t>2017</w:t>
            </w:r>
          </w:p>
        </w:tc>
        <w:tc>
          <w:tcPr>
            <w:tcW w:w="1063"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cs="Times New Roman"/>
                <w:b/>
                <w:color w:val="000000" w:themeColor="text1"/>
                <w:sz w:val="20"/>
                <w:szCs w:val="20"/>
              </w:rPr>
              <w:t>2018</w:t>
            </w:r>
          </w:p>
        </w:tc>
        <w:tc>
          <w:tcPr>
            <w:tcW w:w="1063"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cs="Times New Roman"/>
                <w:b/>
                <w:color w:val="000000" w:themeColor="text1"/>
                <w:sz w:val="20"/>
                <w:szCs w:val="20"/>
              </w:rPr>
              <w:t>2019</w:t>
            </w:r>
          </w:p>
        </w:tc>
        <w:tc>
          <w:tcPr>
            <w:tcW w:w="1064"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cs="Times New Roman"/>
                <w:b/>
                <w:color w:val="000000" w:themeColor="text1"/>
                <w:sz w:val="20"/>
                <w:szCs w:val="20"/>
              </w:rPr>
              <w:t>2020</w:t>
            </w: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cs="Times New Roman"/>
                <w:b/>
                <w:color w:val="000000" w:themeColor="text1"/>
                <w:sz w:val="20"/>
                <w:szCs w:val="20"/>
              </w:rPr>
              <w:t>2017</w:t>
            </w: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cs="Times New Roman"/>
                <w:b/>
                <w:color w:val="000000" w:themeColor="text1"/>
                <w:sz w:val="20"/>
                <w:szCs w:val="20"/>
              </w:rPr>
              <w:t>2018</w:t>
            </w:r>
          </w:p>
        </w:tc>
        <w:tc>
          <w:tcPr>
            <w:tcW w:w="756"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cs="Times New Roman"/>
                <w:b/>
                <w:color w:val="000000" w:themeColor="text1"/>
                <w:sz w:val="20"/>
                <w:szCs w:val="20"/>
              </w:rPr>
              <w:t>2019</w:t>
            </w:r>
          </w:p>
        </w:tc>
        <w:tc>
          <w:tcPr>
            <w:tcW w:w="756"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eastAsia="Times New Roman" w:cs="Times New Roman"/>
                <w:b/>
                <w:bCs/>
                <w:color w:val="000000" w:themeColor="text1"/>
                <w:sz w:val="20"/>
                <w:szCs w:val="20"/>
                <w:lang w:eastAsia="lv-LV"/>
              </w:rPr>
              <w:t>2020</w:t>
            </w: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eastAsia="Times New Roman" w:cs="Times New Roman"/>
                <w:b/>
                <w:bCs/>
                <w:color w:val="000000" w:themeColor="text1"/>
                <w:sz w:val="20"/>
                <w:szCs w:val="20"/>
                <w:lang w:eastAsia="lv-LV"/>
              </w:rPr>
              <w:t>t</w:t>
            </w:r>
            <w:r w:rsidRPr="001F4299">
              <w:rPr>
                <w:rFonts w:eastAsia="Times New Roman" w:cs="Times New Roman"/>
                <w:b/>
                <w:bCs/>
                <w:color w:val="000000" w:themeColor="text1"/>
                <w:sz w:val="20"/>
                <w:szCs w:val="20"/>
                <w:lang w:eastAsia="lv-LV"/>
              </w:rPr>
              <w:t>urpmākajā laikposmā līdz pasākuma pabeigšanai</w:t>
            </w:r>
            <w:r w:rsidRPr="001F4299">
              <w:rPr>
                <w:rFonts w:eastAsia="Times New Roman" w:cs="Times New Roman"/>
                <w:b/>
                <w:bCs/>
                <w:color w:val="000000" w:themeColor="text1"/>
                <w:sz w:val="20"/>
                <w:szCs w:val="20"/>
                <w:lang w:eastAsia="lv-LV"/>
              </w:rPr>
              <w:br/>
              <w:t>(ja pasākuma īstenošana ir terminēta)</w:t>
            </w: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r w:rsidRPr="00C64F3A">
              <w:rPr>
                <w:rFonts w:eastAsia="Times New Roman" w:cs="Times New Roman"/>
                <w:b/>
                <w:bCs/>
                <w:color w:val="000000" w:themeColor="text1"/>
                <w:sz w:val="20"/>
                <w:szCs w:val="20"/>
                <w:lang w:eastAsia="lv-LV"/>
              </w:rPr>
              <w:t>turpmāk ik gadu</w:t>
            </w:r>
            <w:r w:rsidRPr="00C64F3A">
              <w:rPr>
                <w:rFonts w:eastAsia="Times New Roman" w:cs="Times New Roman"/>
                <w:b/>
                <w:bCs/>
                <w:color w:val="000000" w:themeColor="text1"/>
                <w:sz w:val="20"/>
                <w:szCs w:val="20"/>
                <w:lang w:eastAsia="lv-LV"/>
              </w:rPr>
              <w:br/>
              <w:t>(ja risinājuma (risinājuma varianta) izpilde nav terminēta)</w:t>
            </w:r>
          </w:p>
        </w:tc>
        <w:tc>
          <w:tcPr>
            <w:tcW w:w="1417" w:type="dxa"/>
            <w:vMerge/>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r>
      <w:tr w:rsidR="00D80A59" w:rsidRPr="00D23634" w:rsidTr="00C64F3A">
        <w:trPr>
          <w:jc w:val="center"/>
        </w:trPr>
        <w:tc>
          <w:tcPr>
            <w:tcW w:w="2409"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p w:rsidR="00D80A59" w:rsidRDefault="00D80A59" w:rsidP="007A1ABB">
            <w:pPr>
              <w:jc w:val="center"/>
              <w:rPr>
                <w:rFonts w:eastAsia="Times New Roman" w:cs="Times New Roman"/>
                <w:b/>
                <w:bCs/>
                <w:color w:val="000000" w:themeColor="text1"/>
                <w:sz w:val="20"/>
                <w:szCs w:val="20"/>
                <w:lang w:eastAsia="lv-LV"/>
              </w:rPr>
            </w:pPr>
            <w:r w:rsidRPr="001F4299">
              <w:rPr>
                <w:rFonts w:eastAsia="Times New Roman" w:cs="Times New Roman"/>
                <w:b/>
                <w:bCs/>
                <w:color w:val="000000" w:themeColor="text1"/>
                <w:sz w:val="20"/>
                <w:szCs w:val="20"/>
                <w:lang w:eastAsia="lv-LV"/>
              </w:rPr>
              <w:t>Finansējums plāna realizācijai kopā</w:t>
            </w:r>
          </w:p>
          <w:p w:rsidR="00B02243" w:rsidRPr="00C64F3A" w:rsidRDefault="00B02243" w:rsidP="007A1ABB">
            <w:pPr>
              <w:jc w:val="center"/>
              <w:rPr>
                <w:rFonts w:cs="Times New Roman"/>
                <w:b/>
                <w:color w:val="000000" w:themeColor="text1"/>
                <w:sz w:val="20"/>
                <w:szCs w:val="20"/>
              </w:rPr>
            </w:pPr>
          </w:p>
        </w:tc>
        <w:tc>
          <w:tcPr>
            <w:tcW w:w="1418"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559"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063"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063"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063"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064"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756"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756" w:type="dxa"/>
            <w:gridSpan w:val="2"/>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756"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c>
          <w:tcPr>
            <w:tcW w:w="1417" w:type="dxa"/>
            <w:shd w:val="clear" w:color="auto" w:fill="DFE4DA" w:themeFill="text2" w:themeFillTint="33"/>
          </w:tcPr>
          <w:p w:rsidR="00D80A59" w:rsidRPr="00C64F3A" w:rsidRDefault="00D80A59" w:rsidP="00C64F3A">
            <w:pPr>
              <w:jc w:val="center"/>
              <w:rPr>
                <w:rFonts w:cs="Times New Roman"/>
                <w:b/>
                <w:color w:val="000000" w:themeColor="text1"/>
                <w:sz w:val="20"/>
                <w:szCs w:val="20"/>
              </w:rPr>
            </w:pPr>
          </w:p>
        </w:tc>
      </w:tr>
      <w:tr w:rsidR="00D80A59" w:rsidRPr="00D23634" w:rsidTr="001A586A">
        <w:trPr>
          <w:jc w:val="center"/>
        </w:trPr>
        <w:tc>
          <w:tcPr>
            <w:tcW w:w="2409" w:type="dxa"/>
            <w:shd w:val="clear" w:color="auto" w:fill="E9ECE7" w:themeFill="accent6" w:themeFillTint="33"/>
            <w:vAlign w:val="center"/>
          </w:tcPr>
          <w:p w:rsidR="00D80A59" w:rsidRPr="001F4299" w:rsidRDefault="00D80A59" w:rsidP="00D80A59">
            <w:pPr>
              <w:jc w:val="center"/>
              <w:rPr>
                <w:rFonts w:eastAsia="Times New Roman" w:cs="Times New Roman"/>
                <w:b/>
                <w:color w:val="000000" w:themeColor="text1"/>
                <w:sz w:val="20"/>
                <w:szCs w:val="20"/>
                <w:lang w:eastAsia="lv-LV"/>
              </w:rPr>
            </w:pPr>
            <w:r w:rsidRPr="001F4299">
              <w:rPr>
                <w:rFonts w:eastAsia="Times New Roman" w:cs="Times New Roman"/>
                <w:b/>
                <w:color w:val="000000" w:themeColor="text1"/>
                <w:sz w:val="20"/>
                <w:szCs w:val="20"/>
                <w:lang w:eastAsia="lv-LV"/>
              </w:rPr>
              <w:t>tajā skaitā</w:t>
            </w:r>
          </w:p>
        </w:tc>
        <w:tc>
          <w:tcPr>
            <w:tcW w:w="1418" w:type="dxa"/>
            <w:shd w:val="clear" w:color="auto" w:fill="E9ECE7" w:themeFill="accent6" w:themeFillTint="33"/>
          </w:tcPr>
          <w:p w:rsidR="00D80A59" w:rsidRPr="00054668" w:rsidRDefault="00D80A59" w:rsidP="00D80A59">
            <w:pPr>
              <w:jc w:val="center"/>
              <w:rPr>
                <w:rFonts w:cs="Times New Roman"/>
                <w:sz w:val="20"/>
                <w:szCs w:val="20"/>
              </w:rPr>
            </w:pPr>
          </w:p>
        </w:tc>
        <w:tc>
          <w:tcPr>
            <w:tcW w:w="1559"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4"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1417" w:type="dxa"/>
            <w:shd w:val="clear" w:color="auto" w:fill="E9ECE7" w:themeFill="accent6" w:themeFillTint="33"/>
          </w:tcPr>
          <w:p w:rsidR="00D80A59" w:rsidRPr="00054668" w:rsidRDefault="00D80A59" w:rsidP="00D80A59">
            <w:pPr>
              <w:jc w:val="center"/>
              <w:rPr>
                <w:rFonts w:cs="Times New Roman"/>
                <w:sz w:val="20"/>
                <w:szCs w:val="20"/>
              </w:rPr>
            </w:pPr>
          </w:p>
        </w:tc>
      </w:tr>
      <w:tr w:rsidR="00D80A59" w:rsidRPr="00D23634" w:rsidTr="001A586A">
        <w:trPr>
          <w:jc w:val="center"/>
        </w:trPr>
        <w:tc>
          <w:tcPr>
            <w:tcW w:w="2409" w:type="dxa"/>
            <w:shd w:val="clear" w:color="auto" w:fill="E9ECE7" w:themeFill="accent6" w:themeFillTint="33"/>
            <w:vAlign w:val="center"/>
          </w:tcPr>
          <w:p w:rsidR="001A586A" w:rsidRPr="001F4299" w:rsidRDefault="007A1ABB" w:rsidP="007A1ABB">
            <w:pPr>
              <w:jc w:val="center"/>
              <w:rPr>
                <w:rFonts w:eastAsia="Times New Roman" w:cs="Times New Roman"/>
                <w:b/>
                <w:color w:val="000000" w:themeColor="text1"/>
                <w:sz w:val="20"/>
                <w:szCs w:val="20"/>
                <w:lang w:eastAsia="lv-LV"/>
              </w:rPr>
            </w:pPr>
            <w:r>
              <w:rPr>
                <w:rFonts w:eastAsia="Times New Roman" w:cs="Times New Roman"/>
                <w:b/>
                <w:color w:val="000000" w:themeColor="text1"/>
                <w:sz w:val="20"/>
                <w:szCs w:val="20"/>
                <w:lang w:eastAsia="lv-LV"/>
              </w:rPr>
              <w:t>Satiksmes ministrija</w:t>
            </w:r>
          </w:p>
        </w:tc>
        <w:tc>
          <w:tcPr>
            <w:tcW w:w="1418" w:type="dxa"/>
            <w:shd w:val="clear" w:color="auto" w:fill="E9ECE7" w:themeFill="accent6" w:themeFillTint="33"/>
          </w:tcPr>
          <w:p w:rsidR="00D80A59" w:rsidRPr="00054668" w:rsidRDefault="00D80A59" w:rsidP="00D80A59">
            <w:pPr>
              <w:jc w:val="center"/>
              <w:rPr>
                <w:rFonts w:cs="Times New Roman"/>
                <w:sz w:val="20"/>
                <w:szCs w:val="20"/>
              </w:rPr>
            </w:pPr>
          </w:p>
        </w:tc>
        <w:tc>
          <w:tcPr>
            <w:tcW w:w="1559"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4"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1417" w:type="dxa"/>
            <w:shd w:val="clear" w:color="auto" w:fill="E9ECE7" w:themeFill="accent6" w:themeFillTint="33"/>
          </w:tcPr>
          <w:p w:rsidR="00D80A59" w:rsidRPr="00054668" w:rsidRDefault="00D80A59" w:rsidP="00D80A59">
            <w:pPr>
              <w:jc w:val="center"/>
              <w:rPr>
                <w:rFonts w:cs="Times New Roman"/>
                <w:sz w:val="20"/>
                <w:szCs w:val="20"/>
              </w:rPr>
            </w:pPr>
          </w:p>
        </w:tc>
      </w:tr>
      <w:tr w:rsidR="00D80A59" w:rsidRPr="00D23634" w:rsidTr="001A586A">
        <w:trPr>
          <w:jc w:val="center"/>
        </w:trPr>
        <w:tc>
          <w:tcPr>
            <w:tcW w:w="2409" w:type="dxa"/>
            <w:shd w:val="clear" w:color="auto" w:fill="E9ECE7" w:themeFill="accent6" w:themeFillTint="33"/>
            <w:vAlign w:val="center"/>
          </w:tcPr>
          <w:p w:rsidR="00D80A59" w:rsidRPr="001F4299" w:rsidRDefault="001A586A" w:rsidP="00D80A59">
            <w:pPr>
              <w:jc w:val="center"/>
              <w:rPr>
                <w:rFonts w:eastAsia="Times New Roman" w:cs="Times New Roman"/>
                <w:b/>
                <w:color w:val="000000" w:themeColor="text1"/>
                <w:sz w:val="20"/>
                <w:szCs w:val="20"/>
                <w:lang w:eastAsia="lv-LV"/>
              </w:rPr>
            </w:pPr>
            <w:proofErr w:type="spellStart"/>
            <w:r w:rsidRPr="001A586A">
              <w:rPr>
                <w:rFonts w:eastAsia="Times New Roman" w:cs="Times New Roman"/>
                <w:b/>
                <w:color w:val="000000" w:themeColor="text1"/>
                <w:sz w:val="20"/>
                <w:szCs w:val="20"/>
                <w:lang w:eastAsia="lv-LV"/>
              </w:rPr>
              <w:t>Iekšlietu</w:t>
            </w:r>
            <w:proofErr w:type="spellEnd"/>
            <w:r w:rsidRPr="001A586A">
              <w:rPr>
                <w:rFonts w:eastAsia="Times New Roman" w:cs="Times New Roman"/>
                <w:b/>
                <w:color w:val="000000" w:themeColor="text1"/>
                <w:sz w:val="20"/>
                <w:szCs w:val="20"/>
                <w:lang w:eastAsia="lv-LV"/>
              </w:rPr>
              <w:t xml:space="preserve"> ministrija</w:t>
            </w:r>
          </w:p>
        </w:tc>
        <w:tc>
          <w:tcPr>
            <w:tcW w:w="1418" w:type="dxa"/>
            <w:shd w:val="clear" w:color="auto" w:fill="E9ECE7" w:themeFill="accent6" w:themeFillTint="33"/>
          </w:tcPr>
          <w:p w:rsidR="00D80A59" w:rsidRPr="00054668" w:rsidRDefault="00D80A59" w:rsidP="00D80A59">
            <w:pPr>
              <w:jc w:val="center"/>
              <w:rPr>
                <w:rFonts w:cs="Times New Roman"/>
                <w:sz w:val="20"/>
                <w:szCs w:val="20"/>
              </w:rPr>
            </w:pPr>
          </w:p>
        </w:tc>
        <w:tc>
          <w:tcPr>
            <w:tcW w:w="1559"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4"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1417" w:type="dxa"/>
            <w:shd w:val="clear" w:color="auto" w:fill="E9ECE7" w:themeFill="accent6" w:themeFillTint="33"/>
          </w:tcPr>
          <w:p w:rsidR="00D80A59" w:rsidRPr="00054668" w:rsidRDefault="00D80A59" w:rsidP="00D80A59">
            <w:pPr>
              <w:jc w:val="center"/>
              <w:rPr>
                <w:rFonts w:cs="Times New Roman"/>
                <w:sz w:val="20"/>
                <w:szCs w:val="20"/>
              </w:rPr>
            </w:pPr>
          </w:p>
        </w:tc>
      </w:tr>
      <w:tr w:rsidR="00D80A59" w:rsidRPr="00D23634" w:rsidTr="001A586A">
        <w:trPr>
          <w:jc w:val="center"/>
        </w:trPr>
        <w:tc>
          <w:tcPr>
            <w:tcW w:w="2409" w:type="dxa"/>
            <w:shd w:val="clear" w:color="auto" w:fill="E9ECE7" w:themeFill="accent6" w:themeFillTint="33"/>
            <w:vAlign w:val="center"/>
          </w:tcPr>
          <w:p w:rsidR="00D80A59" w:rsidRPr="001F4299" w:rsidRDefault="00D80A59" w:rsidP="00D80A59">
            <w:pPr>
              <w:jc w:val="center"/>
              <w:rPr>
                <w:rFonts w:eastAsia="Times New Roman" w:cs="Times New Roman"/>
                <w:b/>
                <w:color w:val="000000" w:themeColor="text1"/>
                <w:sz w:val="20"/>
                <w:szCs w:val="20"/>
                <w:lang w:eastAsia="lv-LV"/>
              </w:rPr>
            </w:pPr>
            <w:r w:rsidRPr="001F4299">
              <w:rPr>
                <w:rFonts w:eastAsia="Times New Roman" w:cs="Times New Roman"/>
                <w:b/>
                <w:color w:val="000000" w:themeColor="text1"/>
                <w:sz w:val="20"/>
                <w:szCs w:val="20"/>
                <w:lang w:eastAsia="lv-LV"/>
              </w:rPr>
              <w:t>Pašvaldību budžets</w:t>
            </w:r>
          </w:p>
        </w:tc>
        <w:tc>
          <w:tcPr>
            <w:tcW w:w="1418" w:type="dxa"/>
            <w:shd w:val="clear" w:color="auto" w:fill="E9ECE7" w:themeFill="accent6" w:themeFillTint="33"/>
          </w:tcPr>
          <w:p w:rsidR="00D80A59" w:rsidRPr="00054668" w:rsidRDefault="00D80A59" w:rsidP="00D80A59">
            <w:pPr>
              <w:jc w:val="center"/>
              <w:rPr>
                <w:rFonts w:cs="Times New Roman"/>
                <w:sz w:val="20"/>
                <w:szCs w:val="20"/>
              </w:rPr>
            </w:pPr>
          </w:p>
        </w:tc>
        <w:tc>
          <w:tcPr>
            <w:tcW w:w="1559"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3"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1064"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gridSpan w:val="2"/>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756" w:type="dxa"/>
            <w:shd w:val="clear" w:color="auto" w:fill="E9ECE7" w:themeFill="accent6" w:themeFillTint="33"/>
          </w:tcPr>
          <w:p w:rsidR="00D80A59" w:rsidRPr="00054668" w:rsidRDefault="00D80A59" w:rsidP="00D80A59">
            <w:pPr>
              <w:jc w:val="center"/>
              <w:rPr>
                <w:rFonts w:cs="Times New Roman"/>
                <w:sz w:val="20"/>
                <w:szCs w:val="20"/>
              </w:rPr>
            </w:pPr>
          </w:p>
        </w:tc>
        <w:tc>
          <w:tcPr>
            <w:tcW w:w="1417" w:type="dxa"/>
            <w:shd w:val="clear" w:color="auto" w:fill="E9ECE7" w:themeFill="accent6" w:themeFillTint="33"/>
          </w:tcPr>
          <w:p w:rsidR="00D80A59" w:rsidRPr="00054668" w:rsidRDefault="00D80A59" w:rsidP="00D80A59">
            <w:pPr>
              <w:jc w:val="center"/>
              <w:rPr>
                <w:rFonts w:cs="Times New Roman"/>
                <w:sz w:val="20"/>
                <w:szCs w:val="20"/>
              </w:rPr>
            </w:pPr>
          </w:p>
        </w:tc>
      </w:tr>
      <w:tr w:rsidR="002A3C6D" w:rsidRPr="00D23634" w:rsidTr="00A44C8A">
        <w:trPr>
          <w:jc w:val="center"/>
        </w:trPr>
        <w:tc>
          <w:tcPr>
            <w:tcW w:w="2409" w:type="dxa"/>
            <w:shd w:val="clear" w:color="auto" w:fill="BEC6B7" w:themeFill="accent6" w:themeFillTint="99"/>
          </w:tcPr>
          <w:p w:rsidR="002A3C6D" w:rsidRPr="001A586A" w:rsidRDefault="002A3C6D" w:rsidP="00D80A59">
            <w:pPr>
              <w:jc w:val="both"/>
              <w:rPr>
                <w:rFonts w:cs="Times New Roman"/>
                <w:b/>
                <w:sz w:val="20"/>
                <w:szCs w:val="20"/>
              </w:rPr>
            </w:pPr>
          </w:p>
        </w:tc>
        <w:tc>
          <w:tcPr>
            <w:tcW w:w="13183" w:type="dxa"/>
            <w:gridSpan w:val="17"/>
            <w:shd w:val="clear" w:color="auto" w:fill="BEC6B7" w:themeFill="accent6" w:themeFillTint="99"/>
          </w:tcPr>
          <w:p w:rsidR="002A3C6D" w:rsidRPr="00054668" w:rsidRDefault="002A3C6D" w:rsidP="00D80A59">
            <w:pPr>
              <w:jc w:val="center"/>
              <w:rPr>
                <w:rFonts w:cs="Times New Roman"/>
                <w:sz w:val="20"/>
                <w:szCs w:val="20"/>
              </w:rPr>
            </w:pPr>
          </w:p>
        </w:tc>
      </w:tr>
      <w:tr w:rsidR="002A3C6D" w:rsidRPr="00D23634" w:rsidTr="00A44C8A">
        <w:trPr>
          <w:jc w:val="center"/>
        </w:trPr>
        <w:tc>
          <w:tcPr>
            <w:tcW w:w="2409" w:type="dxa"/>
            <w:shd w:val="clear" w:color="auto" w:fill="C0C9B5" w:themeFill="text2" w:themeFillTint="66"/>
          </w:tcPr>
          <w:p w:rsidR="002A3C6D" w:rsidRPr="002A3C6D" w:rsidRDefault="0052266E" w:rsidP="00D80A59">
            <w:pPr>
              <w:jc w:val="both"/>
              <w:rPr>
                <w:rFonts w:cs="Times New Roman"/>
                <w:b/>
                <w:sz w:val="20"/>
                <w:szCs w:val="20"/>
              </w:rPr>
            </w:pPr>
            <w:r>
              <w:rPr>
                <w:rFonts w:cs="Times New Roman"/>
                <w:b/>
                <w:sz w:val="20"/>
                <w:szCs w:val="20"/>
              </w:rPr>
              <w:t>1</w:t>
            </w:r>
            <w:r w:rsidR="002A3C6D" w:rsidRPr="002A3C6D">
              <w:rPr>
                <w:rFonts w:cs="Times New Roman"/>
                <w:b/>
                <w:sz w:val="20"/>
                <w:szCs w:val="20"/>
              </w:rPr>
              <w:t>.uzdevums</w:t>
            </w:r>
          </w:p>
        </w:tc>
        <w:tc>
          <w:tcPr>
            <w:tcW w:w="13183" w:type="dxa"/>
            <w:gridSpan w:val="17"/>
            <w:shd w:val="clear" w:color="auto" w:fill="C0C9B5" w:themeFill="text2" w:themeFillTint="66"/>
          </w:tcPr>
          <w:p w:rsidR="002A3C6D" w:rsidRPr="00054668" w:rsidRDefault="002A3C6D" w:rsidP="00D80A59">
            <w:pPr>
              <w:jc w:val="center"/>
              <w:rPr>
                <w:rFonts w:cs="Times New Roman"/>
                <w:sz w:val="20"/>
                <w:szCs w:val="20"/>
              </w:rPr>
            </w:pPr>
          </w:p>
        </w:tc>
      </w:tr>
      <w:tr w:rsidR="00A44C8A" w:rsidRPr="00D23634" w:rsidTr="00A44C8A">
        <w:trPr>
          <w:jc w:val="center"/>
        </w:trPr>
        <w:tc>
          <w:tcPr>
            <w:tcW w:w="2409" w:type="dxa"/>
          </w:tcPr>
          <w:p w:rsidR="00A44C8A" w:rsidRDefault="00A44C8A" w:rsidP="00A44C8A">
            <w:pPr>
              <w:jc w:val="both"/>
              <w:rPr>
                <w:rFonts w:cs="Times New Roman"/>
                <w:sz w:val="20"/>
                <w:szCs w:val="20"/>
              </w:rPr>
            </w:pPr>
          </w:p>
        </w:tc>
        <w:tc>
          <w:tcPr>
            <w:tcW w:w="1418" w:type="dxa"/>
          </w:tcPr>
          <w:p w:rsidR="00A44C8A" w:rsidRDefault="00A44C8A" w:rsidP="00A44C8A">
            <w:pPr>
              <w:jc w:val="center"/>
              <w:rPr>
                <w:rFonts w:cs="Times New Roman"/>
                <w:sz w:val="20"/>
                <w:szCs w:val="20"/>
              </w:rPr>
            </w:pPr>
            <w:r>
              <w:rPr>
                <w:rFonts w:cs="Times New Roman"/>
                <w:sz w:val="20"/>
                <w:szCs w:val="20"/>
              </w:rPr>
              <w:t>3.1.4.</w:t>
            </w:r>
          </w:p>
          <w:p w:rsidR="007A1ABB" w:rsidRPr="00132AD9" w:rsidRDefault="00A44C8A" w:rsidP="00132AD9">
            <w:pPr>
              <w:jc w:val="center"/>
              <w:rPr>
                <w:rFonts w:eastAsia="Times New Roman" w:cs="Times New Roman"/>
                <w:kern w:val="24"/>
                <w:sz w:val="20"/>
                <w:szCs w:val="20"/>
                <w:lang w:eastAsia="lv-LV"/>
              </w:rPr>
            </w:pPr>
            <w:r>
              <w:rPr>
                <w:rFonts w:cs="Times New Roman"/>
                <w:sz w:val="20"/>
                <w:szCs w:val="20"/>
              </w:rPr>
              <w:t xml:space="preserve">17. </w:t>
            </w:r>
            <w:r w:rsidRPr="0025300E">
              <w:rPr>
                <w:rFonts w:eastAsia="Times New Roman" w:cs="Times New Roman"/>
                <w:kern w:val="24"/>
                <w:sz w:val="20"/>
                <w:szCs w:val="20"/>
                <w:lang w:eastAsia="lv-LV"/>
              </w:rPr>
              <w:t xml:space="preserve">Nodrošināt ierīču, kas veic </w:t>
            </w:r>
            <w:r w:rsidRPr="0025300E">
              <w:rPr>
                <w:rFonts w:eastAsia="Times New Roman" w:cs="Times New Roman"/>
                <w:kern w:val="24"/>
                <w:sz w:val="20"/>
                <w:szCs w:val="20"/>
                <w:lang w:eastAsia="lv-LV"/>
              </w:rPr>
              <w:lastRenderedPageBreak/>
              <w:t xml:space="preserve">automātisku </w:t>
            </w:r>
            <w:r w:rsidRPr="005A6F6A">
              <w:rPr>
                <w:rFonts w:eastAsia="Times New Roman" w:cs="Times New Roman"/>
                <w:kern w:val="24"/>
                <w:sz w:val="20"/>
                <w:szCs w:val="20"/>
                <w:lang w:eastAsia="lv-LV"/>
              </w:rPr>
              <w:t>TL</w:t>
            </w:r>
            <w:r w:rsidRPr="0025300E">
              <w:rPr>
                <w:rFonts w:eastAsia="Times New Roman" w:cs="Times New Roman"/>
                <w:kern w:val="24"/>
                <w:sz w:val="20"/>
                <w:szCs w:val="20"/>
                <w:lang w:eastAsia="lv-LV"/>
              </w:rPr>
              <w:t xml:space="preserve"> reģistrācijas numura zīmju nolasīšanu iegādi.</w:t>
            </w:r>
          </w:p>
        </w:tc>
        <w:tc>
          <w:tcPr>
            <w:tcW w:w="1559" w:type="dxa"/>
          </w:tcPr>
          <w:p w:rsidR="00A44C8A" w:rsidRPr="00054668" w:rsidRDefault="00A44C8A" w:rsidP="00A44C8A">
            <w:pPr>
              <w:jc w:val="center"/>
              <w:rPr>
                <w:rFonts w:cs="Times New Roman"/>
                <w:sz w:val="20"/>
                <w:szCs w:val="20"/>
              </w:rPr>
            </w:pPr>
          </w:p>
        </w:tc>
        <w:tc>
          <w:tcPr>
            <w:tcW w:w="1063" w:type="dxa"/>
          </w:tcPr>
          <w:p w:rsidR="00A44C8A" w:rsidRPr="00054668" w:rsidRDefault="00A44C8A" w:rsidP="00A44C8A">
            <w:pPr>
              <w:jc w:val="center"/>
              <w:rPr>
                <w:rFonts w:cs="Times New Roman"/>
                <w:sz w:val="20"/>
                <w:szCs w:val="20"/>
              </w:rPr>
            </w:pPr>
          </w:p>
        </w:tc>
        <w:tc>
          <w:tcPr>
            <w:tcW w:w="1063" w:type="dxa"/>
            <w:gridSpan w:val="2"/>
          </w:tcPr>
          <w:p w:rsidR="00A44C8A" w:rsidRPr="00054668" w:rsidRDefault="00A44C8A" w:rsidP="00A44C8A">
            <w:pPr>
              <w:jc w:val="center"/>
              <w:rPr>
                <w:rFonts w:cs="Times New Roman"/>
                <w:sz w:val="20"/>
                <w:szCs w:val="20"/>
              </w:rPr>
            </w:pPr>
          </w:p>
        </w:tc>
        <w:tc>
          <w:tcPr>
            <w:tcW w:w="1063" w:type="dxa"/>
            <w:gridSpan w:val="2"/>
          </w:tcPr>
          <w:p w:rsidR="00A44C8A" w:rsidRPr="00054668" w:rsidRDefault="00A44C8A" w:rsidP="00A44C8A">
            <w:pPr>
              <w:jc w:val="center"/>
              <w:rPr>
                <w:rFonts w:cs="Times New Roman"/>
                <w:sz w:val="20"/>
                <w:szCs w:val="20"/>
              </w:rPr>
            </w:pPr>
          </w:p>
        </w:tc>
        <w:tc>
          <w:tcPr>
            <w:tcW w:w="1064" w:type="dxa"/>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756" w:type="dxa"/>
            <w:gridSpan w:val="2"/>
          </w:tcPr>
          <w:p w:rsidR="00A44C8A" w:rsidRPr="00054668" w:rsidRDefault="00A44C8A" w:rsidP="00A44C8A">
            <w:pPr>
              <w:jc w:val="center"/>
              <w:rPr>
                <w:rFonts w:cs="Times New Roman"/>
                <w:sz w:val="20"/>
                <w:szCs w:val="20"/>
              </w:rPr>
            </w:pPr>
          </w:p>
        </w:tc>
        <w:tc>
          <w:tcPr>
            <w:tcW w:w="756" w:type="dxa"/>
            <w:gridSpan w:val="2"/>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1417" w:type="dxa"/>
            <w:shd w:val="clear" w:color="auto" w:fill="DFE4DA" w:themeFill="text2" w:themeFillTint="33"/>
          </w:tcPr>
          <w:p w:rsidR="00A44C8A" w:rsidRPr="00054668" w:rsidRDefault="00A44C8A" w:rsidP="00A44C8A">
            <w:pPr>
              <w:jc w:val="center"/>
              <w:rPr>
                <w:rFonts w:cs="Times New Roman"/>
                <w:sz w:val="20"/>
                <w:szCs w:val="20"/>
              </w:rPr>
            </w:pPr>
          </w:p>
        </w:tc>
      </w:tr>
      <w:tr w:rsidR="00A44C8A" w:rsidRPr="00D23634" w:rsidTr="00A44C8A">
        <w:trPr>
          <w:jc w:val="center"/>
        </w:trPr>
        <w:tc>
          <w:tcPr>
            <w:tcW w:w="2409" w:type="dxa"/>
          </w:tcPr>
          <w:p w:rsidR="00A44C8A" w:rsidRDefault="00A44C8A" w:rsidP="00A44C8A">
            <w:pPr>
              <w:jc w:val="both"/>
              <w:rPr>
                <w:rFonts w:cs="Times New Roman"/>
                <w:sz w:val="20"/>
                <w:szCs w:val="20"/>
              </w:rPr>
            </w:pPr>
          </w:p>
        </w:tc>
        <w:tc>
          <w:tcPr>
            <w:tcW w:w="1418" w:type="dxa"/>
          </w:tcPr>
          <w:p w:rsidR="00A44C8A" w:rsidRPr="00054668" w:rsidRDefault="00A44C8A" w:rsidP="00A44C8A">
            <w:pPr>
              <w:jc w:val="center"/>
              <w:rPr>
                <w:rFonts w:cs="Times New Roman"/>
                <w:sz w:val="20"/>
                <w:szCs w:val="20"/>
              </w:rPr>
            </w:pPr>
          </w:p>
        </w:tc>
        <w:tc>
          <w:tcPr>
            <w:tcW w:w="1559" w:type="dxa"/>
          </w:tcPr>
          <w:p w:rsidR="00A44C8A" w:rsidRPr="00054668" w:rsidRDefault="00A44C8A" w:rsidP="00A44C8A">
            <w:pPr>
              <w:jc w:val="center"/>
              <w:rPr>
                <w:rFonts w:cs="Times New Roman"/>
                <w:sz w:val="20"/>
                <w:szCs w:val="20"/>
              </w:rPr>
            </w:pPr>
            <w:r>
              <w:rPr>
                <w:rFonts w:cs="Times New Roman"/>
                <w:sz w:val="20"/>
                <w:szCs w:val="20"/>
              </w:rPr>
              <w:t>06.01.00 “Valsts policija”</w:t>
            </w:r>
          </w:p>
        </w:tc>
        <w:tc>
          <w:tcPr>
            <w:tcW w:w="1063" w:type="dxa"/>
          </w:tcPr>
          <w:p w:rsidR="00A44C8A" w:rsidRPr="00054668" w:rsidRDefault="00A44C8A" w:rsidP="00A44C8A">
            <w:pPr>
              <w:jc w:val="center"/>
              <w:rPr>
                <w:rFonts w:cs="Times New Roman"/>
                <w:sz w:val="20"/>
                <w:szCs w:val="20"/>
              </w:rPr>
            </w:pPr>
            <w:r>
              <w:rPr>
                <w:rFonts w:cs="Times New Roman"/>
                <w:sz w:val="20"/>
                <w:szCs w:val="20"/>
              </w:rPr>
              <w:t>x</w:t>
            </w:r>
          </w:p>
        </w:tc>
        <w:tc>
          <w:tcPr>
            <w:tcW w:w="1063"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1063"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1064"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0F1AB6"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50 000</w:t>
            </w:r>
          </w:p>
        </w:tc>
        <w:tc>
          <w:tcPr>
            <w:tcW w:w="756" w:type="dxa"/>
            <w:gridSpan w:val="2"/>
          </w:tcPr>
          <w:p w:rsidR="00A44C8A" w:rsidRPr="00054668" w:rsidRDefault="00A44C8A" w:rsidP="00A44C8A">
            <w:pPr>
              <w:jc w:val="center"/>
              <w:rPr>
                <w:rFonts w:cs="Times New Roman"/>
                <w:sz w:val="20"/>
                <w:szCs w:val="20"/>
              </w:rPr>
            </w:pPr>
            <w:r>
              <w:rPr>
                <w:rFonts w:cs="Times New Roman"/>
                <w:sz w:val="20"/>
                <w:szCs w:val="20"/>
              </w:rPr>
              <w:t>50 000</w:t>
            </w:r>
          </w:p>
        </w:tc>
        <w:tc>
          <w:tcPr>
            <w:tcW w:w="756" w:type="dxa"/>
            <w:gridSpan w:val="2"/>
          </w:tcPr>
          <w:p w:rsidR="00A44C8A" w:rsidRPr="00054668" w:rsidRDefault="00A44C8A" w:rsidP="00A44C8A">
            <w:pPr>
              <w:jc w:val="center"/>
              <w:rPr>
                <w:rFonts w:cs="Times New Roman"/>
                <w:sz w:val="20"/>
                <w:szCs w:val="20"/>
              </w:rPr>
            </w:pPr>
            <w:r>
              <w:rPr>
                <w:rFonts w:cs="Times New Roman"/>
                <w:sz w:val="20"/>
                <w:szCs w:val="20"/>
              </w:rPr>
              <w:t>50 000</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1417" w:type="dxa"/>
            <w:shd w:val="clear" w:color="auto" w:fill="DFE4DA" w:themeFill="text2" w:themeFillTint="33"/>
          </w:tcPr>
          <w:p w:rsidR="00A44C8A" w:rsidRPr="00054668" w:rsidRDefault="00A44C8A" w:rsidP="00A44C8A">
            <w:pPr>
              <w:jc w:val="center"/>
              <w:rPr>
                <w:rFonts w:cs="Times New Roman"/>
                <w:sz w:val="20"/>
                <w:szCs w:val="20"/>
              </w:rPr>
            </w:pPr>
            <w:r>
              <w:rPr>
                <w:rFonts w:cs="Times New Roman"/>
                <w:sz w:val="20"/>
                <w:szCs w:val="20"/>
              </w:rPr>
              <w:t>2020.gads</w:t>
            </w:r>
          </w:p>
        </w:tc>
      </w:tr>
      <w:tr w:rsidR="00A44C8A" w:rsidRPr="00D23634" w:rsidTr="00A44C8A">
        <w:trPr>
          <w:jc w:val="center"/>
        </w:trPr>
        <w:tc>
          <w:tcPr>
            <w:tcW w:w="2409" w:type="dxa"/>
          </w:tcPr>
          <w:p w:rsidR="00A44C8A" w:rsidRDefault="00A44C8A" w:rsidP="00A44C8A">
            <w:pPr>
              <w:jc w:val="both"/>
              <w:rPr>
                <w:rFonts w:cs="Times New Roman"/>
                <w:sz w:val="20"/>
                <w:szCs w:val="20"/>
              </w:rPr>
            </w:pPr>
          </w:p>
        </w:tc>
        <w:tc>
          <w:tcPr>
            <w:tcW w:w="1418" w:type="dxa"/>
          </w:tcPr>
          <w:p w:rsidR="00A44C8A" w:rsidRPr="00054668" w:rsidRDefault="00A44C8A" w:rsidP="00A44C8A">
            <w:pPr>
              <w:jc w:val="center"/>
              <w:rPr>
                <w:rFonts w:cs="Times New Roman"/>
                <w:sz w:val="20"/>
                <w:szCs w:val="20"/>
              </w:rPr>
            </w:pPr>
            <w:r>
              <w:rPr>
                <w:rFonts w:cs="Times New Roman"/>
                <w:sz w:val="20"/>
                <w:szCs w:val="20"/>
              </w:rPr>
              <w:t>Pašvaldību budžets</w:t>
            </w:r>
          </w:p>
        </w:tc>
        <w:tc>
          <w:tcPr>
            <w:tcW w:w="1559" w:type="dxa"/>
          </w:tcPr>
          <w:p w:rsidR="00A44C8A" w:rsidRPr="00054668" w:rsidRDefault="00A44C8A" w:rsidP="00A44C8A">
            <w:pPr>
              <w:jc w:val="center"/>
              <w:rPr>
                <w:rFonts w:cs="Times New Roman"/>
                <w:sz w:val="20"/>
                <w:szCs w:val="20"/>
              </w:rPr>
            </w:pPr>
            <w:r>
              <w:rPr>
                <w:rFonts w:cs="Times New Roman"/>
                <w:sz w:val="20"/>
                <w:szCs w:val="20"/>
              </w:rPr>
              <w:t>x</w:t>
            </w:r>
          </w:p>
        </w:tc>
        <w:tc>
          <w:tcPr>
            <w:tcW w:w="1063" w:type="dxa"/>
          </w:tcPr>
          <w:p w:rsidR="00A44C8A" w:rsidRPr="00054668" w:rsidRDefault="00A44C8A" w:rsidP="00A44C8A">
            <w:pPr>
              <w:jc w:val="center"/>
              <w:rPr>
                <w:rFonts w:cs="Times New Roman"/>
                <w:sz w:val="20"/>
                <w:szCs w:val="20"/>
              </w:rPr>
            </w:pPr>
            <w:r>
              <w:rPr>
                <w:rFonts w:cs="Times New Roman"/>
                <w:sz w:val="20"/>
                <w:szCs w:val="20"/>
              </w:rPr>
              <w:t>x</w:t>
            </w:r>
          </w:p>
        </w:tc>
        <w:tc>
          <w:tcPr>
            <w:tcW w:w="1063"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1063"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1064"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756"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1417" w:type="dxa"/>
            <w:shd w:val="clear" w:color="auto" w:fill="DFE4DA" w:themeFill="text2" w:themeFillTint="33"/>
          </w:tcPr>
          <w:p w:rsidR="00A44C8A" w:rsidRPr="00054668" w:rsidRDefault="00A44C8A" w:rsidP="00A44C8A">
            <w:pPr>
              <w:jc w:val="center"/>
              <w:rPr>
                <w:rFonts w:cs="Times New Roman"/>
                <w:sz w:val="20"/>
                <w:szCs w:val="20"/>
              </w:rPr>
            </w:pPr>
            <w:r>
              <w:rPr>
                <w:rFonts w:cs="Times New Roman"/>
                <w:sz w:val="20"/>
                <w:szCs w:val="20"/>
              </w:rPr>
              <w:t>x</w:t>
            </w:r>
          </w:p>
        </w:tc>
      </w:tr>
      <w:tr w:rsidR="00A44C8A" w:rsidRPr="00D23634" w:rsidTr="00A44C8A">
        <w:trPr>
          <w:jc w:val="center"/>
        </w:trPr>
        <w:tc>
          <w:tcPr>
            <w:tcW w:w="2409" w:type="dxa"/>
            <w:shd w:val="clear" w:color="auto" w:fill="C0C9B5" w:themeFill="text2" w:themeFillTint="66"/>
          </w:tcPr>
          <w:p w:rsidR="00A44C8A" w:rsidRPr="00A44C8A" w:rsidRDefault="0052266E" w:rsidP="00A44C8A">
            <w:pPr>
              <w:jc w:val="both"/>
              <w:rPr>
                <w:rFonts w:cs="Times New Roman"/>
                <w:b/>
                <w:sz w:val="20"/>
                <w:szCs w:val="20"/>
              </w:rPr>
            </w:pPr>
            <w:r>
              <w:rPr>
                <w:rFonts w:cs="Times New Roman"/>
                <w:b/>
                <w:sz w:val="20"/>
                <w:szCs w:val="20"/>
              </w:rPr>
              <w:t>2</w:t>
            </w:r>
            <w:r w:rsidR="00A44C8A" w:rsidRPr="00A44C8A">
              <w:rPr>
                <w:rFonts w:cs="Times New Roman"/>
                <w:b/>
                <w:sz w:val="20"/>
                <w:szCs w:val="20"/>
              </w:rPr>
              <w:t>.uzdevums</w:t>
            </w:r>
          </w:p>
        </w:tc>
        <w:tc>
          <w:tcPr>
            <w:tcW w:w="13183" w:type="dxa"/>
            <w:gridSpan w:val="17"/>
            <w:shd w:val="clear" w:color="auto" w:fill="C0C9B5" w:themeFill="text2" w:themeFillTint="66"/>
          </w:tcPr>
          <w:p w:rsidR="00A44C8A" w:rsidRPr="00054668" w:rsidRDefault="00A44C8A" w:rsidP="00A44C8A">
            <w:pPr>
              <w:jc w:val="center"/>
              <w:rPr>
                <w:rFonts w:cs="Times New Roman"/>
                <w:sz w:val="20"/>
                <w:szCs w:val="20"/>
              </w:rPr>
            </w:pPr>
          </w:p>
        </w:tc>
      </w:tr>
      <w:tr w:rsidR="00A44C8A" w:rsidRPr="00D23634" w:rsidTr="00A44C8A">
        <w:trPr>
          <w:jc w:val="center"/>
        </w:trPr>
        <w:tc>
          <w:tcPr>
            <w:tcW w:w="2409" w:type="dxa"/>
          </w:tcPr>
          <w:p w:rsidR="00A44C8A" w:rsidRPr="00A44C8A" w:rsidRDefault="00A44C8A" w:rsidP="00A44C8A">
            <w:pPr>
              <w:jc w:val="both"/>
              <w:rPr>
                <w:rFonts w:cs="Times New Roman"/>
                <w:b/>
                <w:sz w:val="20"/>
                <w:szCs w:val="20"/>
              </w:rPr>
            </w:pPr>
          </w:p>
        </w:tc>
        <w:tc>
          <w:tcPr>
            <w:tcW w:w="1418" w:type="dxa"/>
          </w:tcPr>
          <w:p w:rsidR="00A44C8A" w:rsidRDefault="00A44C8A" w:rsidP="00A44C8A">
            <w:pPr>
              <w:jc w:val="center"/>
              <w:rPr>
                <w:rFonts w:cs="Times New Roman"/>
                <w:sz w:val="20"/>
                <w:szCs w:val="20"/>
              </w:rPr>
            </w:pPr>
            <w:r>
              <w:rPr>
                <w:rFonts w:cs="Times New Roman"/>
                <w:sz w:val="20"/>
                <w:szCs w:val="20"/>
              </w:rPr>
              <w:t>3.3.2.</w:t>
            </w:r>
          </w:p>
          <w:p w:rsidR="00A44C8A" w:rsidRPr="00054668" w:rsidRDefault="00A44C8A" w:rsidP="00A44C8A">
            <w:pPr>
              <w:jc w:val="center"/>
              <w:rPr>
                <w:rFonts w:cs="Times New Roman"/>
                <w:sz w:val="20"/>
                <w:szCs w:val="20"/>
              </w:rPr>
            </w:pPr>
            <w:r>
              <w:rPr>
                <w:rFonts w:cs="Times New Roman"/>
                <w:sz w:val="20"/>
                <w:szCs w:val="20"/>
              </w:rPr>
              <w:t>4</w:t>
            </w:r>
            <w:r w:rsidRPr="00054668">
              <w:rPr>
                <w:rFonts w:cs="Times New Roman"/>
                <w:sz w:val="20"/>
                <w:szCs w:val="20"/>
              </w:rPr>
              <w:t>. Izveidot kopīgus velosipēdu-gājēju ceļus valsts autoceļu tīklā.</w:t>
            </w:r>
          </w:p>
        </w:tc>
        <w:tc>
          <w:tcPr>
            <w:tcW w:w="1559" w:type="dxa"/>
          </w:tcPr>
          <w:p w:rsidR="00A44C8A" w:rsidRPr="00054668" w:rsidRDefault="00A44C8A" w:rsidP="00A44C8A">
            <w:pPr>
              <w:jc w:val="center"/>
              <w:rPr>
                <w:rFonts w:cs="Times New Roman"/>
                <w:sz w:val="20"/>
                <w:szCs w:val="20"/>
              </w:rPr>
            </w:pPr>
          </w:p>
        </w:tc>
        <w:tc>
          <w:tcPr>
            <w:tcW w:w="1063" w:type="dxa"/>
          </w:tcPr>
          <w:p w:rsidR="00A44C8A" w:rsidRPr="00054668" w:rsidRDefault="00A44C8A" w:rsidP="00A44C8A">
            <w:pPr>
              <w:jc w:val="center"/>
              <w:rPr>
                <w:rFonts w:cs="Times New Roman"/>
                <w:sz w:val="20"/>
                <w:szCs w:val="20"/>
              </w:rPr>
            </w:pPr>
          </w:p>
        </w:tc>
        <w:tc>
          <w:tcPr>
            <w:tcW w:w="1063" w:type="dxa"/>
            <w:gridSpan w:val="2"/>
          </w:tcPr>
          <w:p w:rsidR="00A44C8A" w:rsidRPr="00054668" w:rsidRDefault="00A44C8A" w:rsidP="00A44C8A">
            <w:pPr>
              <w:jc w:val="center"/>
              <w:rPr>
                <w:rFonts w:cs="Times New Roman"/>
                <w:sz w:val="20"/>
                <w:szCs w:val="20"/>
              </w:rPr>
            </w:pPr>
          </w:p>
        </w:tc>
        <w:tc>
          <w:tcPr>
            <w:tcW w:w="1063" w:type="dxa"/>
            <w:gridSpan w:val="2"/>
          </w:tcPr>
          <w:p w:rsidR="00A44C8A" w:rsidRPr="00054668" w:rsidRDefault="00A44C8A" w:rsidP="00A44C8A">
            <w:pPr>
              <w:jc w:val="center"/>
              <w:rPr>
                <w:rFonts w:cs="Times New Roman"/>
                <w:sz w:val="20"/>
                <w:szCs w:val="20"/>
              </w:rPr>
            </w:pPr>
          </w:p>
        </w:tc>
        <w:tc>
          <w:tcPr>
            <w:tcW w:w="1064" w:type="dxa"/>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756" w:type="dxa"/>
            <w:gridSpan w:val="2"/>
          </w:tcPr>
          <w:p w:rsidR="00A44C8A" w:rsidRPr="00054668" w:rsidRDefault="00A44C8A" w:rsidP="00A44C8A">
            <w:pPr>
              <w:jc w:val="center"/>
              <w:rPr>
                <w:rFonts w:cs="Times New Roman"/>
                <w:sz w:val="20"/>
                <w:szCs w:val="20"/>
              </w:rPr>
            </w:pPr>
          </w:p>
        </w:tc>
        <w:tc>
          <w:tcPr>
            <w:tcW w:w="756" w:type="dxa"/>
            <w:gridSpan w:val="2"/>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756" w:type="dxa"/>
          </w:tcPr>
          <w:p w:rsidR="00A44C8A" w:rsidRPr="00054668" w:rsidRDefault="00A44C8A" w:rsidP="00A44C8A">
            <w:pPr>
              <w:jc w:val="center"/>
              <w:rPr>
                <w:rFonts w:cs="Times New Roman"/>
                <w:sz w:val="20"/>
                <w:szCs w:val="20"/>
              </w:rPr>
            </w:pPr>
          </w:p>
        </w:tc>
        <w:tc>
          <w:tcPr>
            <w:tcW w:w="1417" w:type="dxa"/>
            <w:shd w:val="clear" w:color="auto" w:fill="DFE4DA" w:themeFill="text2" w:themeFillTint="33"/>
          </w:tcPr>
          <w:p w:rsidR="00A44C8A" w:rsidRPr="00054668" w:rsidRDefault="00A44C8A" w:rsidP="00A44C8A">
            <w:pPr>
              <w:jc w:val="center"/>
              <w:rPr>
                <w:rFonts w:cs="Times New Roman"/>
                <w:sz w:val="20"/>
                <w:szCs w:val="20"/>
              </w:rPr>
            </w:pPr>
          </w:p>
        </w:tc>
      </w:tr>
      <w:tr w:rsidR="00A44C8A" w:rsidRPr="00D23634" w:rsidTr="00A44C8A">
        <w:trPr>
          <w:jc w:val="center"/>
        </w:trPr>
        <w:tc>
          <w:tcPr>
            <w:tcW w:w="2409" w:type="dxa"/>
          </w:tcPr>
          <w:p w:rsidR="00A44C8A" w:rsidRDefault="00A44C8A" w:rsidP="00A44C8A">
            <w:pPr>
              <w:jc w:val="both"/>
              <w:rPr>
                <w:rFonts w:cs="Times New Roman"/>
                <w:sz w:val="20"/>
                <w:szCs w:val="20"/>
              </w:rPr>
            </w:pPr>
          </w:p>
        </w:tc>
        <w:tc>
          <w:tcPr>
            <w:tcW w:w="1418" w:type="dxa"/>
          </w:tcPr>
          <w:p w:rsidR="00A44C8A" w:rsidRPr="00054668" w:rsidRDefault="00A44C8A" w:rsidP="00A44C8A">
            <w:pPr>
              <w:jc w:val="center"/>
              <w:rPr>
                <w:rFonts w:cs="Times New Roman"/>
                <w:sz w:val="20"/>
                <w:szCs w:val="20"/>
              </w:rPr>
            </w:pPr>
          </w:p>
        </w:tc>
        <w:tc>
          <w:tcPr>
            <w:tcW w:w="1559" w:type="dxa"/>
          </w:tcPr>
          <w:p w:rsidR="00A44C8A" w:rsidRPr="00054668" w:rsidRDefault="00A44C8A" w:rsidP="00A44C8A">
            <w:pPr>
              <w:jc w:val="center"/>
              <w:rPr>
                <w:rFonts w:cs="Times New Roman"/>
                <w:sz w:val="20"/>
                <w:szCs w:val="20"/>
              </w:rPr>
            </w:pPr>
            <w:r>
              <w:rPr>
                <w:rFonts w:cs="Times New Roman"/>
                <w:color w:val="000000" w:themeColor="text1"/>
                <w:sz w:val="20"/>
                <w:szCs w:val="20"/>
              </w:rPr>
              <w:t xml:space="preserve">23.06.00. </w:t>
            </w:r>
            <w:r w:rsidR="00790FF5">
              <w:rPr>
                <w:rFonts w:cs="Times New Roman"/>
                <w:color w:val="000000" w:themeColor="text1"/>
                <w:sz w:val="20"/>
                <w:szCs w:val="20"/>
              </w:rPr>
              <w:t xml:space="preserve">  Valsts autoceļu pārvaldība, uzturēšana un atjaunošana</w:t>
            </w:r>
          </w:p>
        </w:tc>
        <w:tc>
          <w:tcPr>
            <w:tcW w:w="1063" w:type="dxa"/>
          </w:tcPr>
          <w:p w:rsidR="00A44C8A" w:rsidRPr="00054668" w:rsidRDefault="00A44C8A" w:rsidP="00A44C8A">
            <w:pPr>
              <w:jc w:val="center"/>
              <w:rPr>
                <w:rFonts w:cs="Times New Roman"/>
                <w:sz w:val="20"/>
                <w:szCs w:val="20"/>
              </w:rPr>
            </w:pPr>
            <w:r>
              <w:rPr>
                <w:rFonts w:cs="Times New Roman"/>
                <w:sz w:val="20"/>
                <w:szCs w:val="20"/>
              </w:rPr>
              <w:t>2 900 000</w:t>
            </w:r>
          </w:p>
        </w:tc>
        <w:tc>
          <w:tcPr>
            <w:tcW w:w="1063" w:type="dxa"/>
            <w:gridSpan w:val="2"/>
          </w:tcPr>
          <w:p w:rsidR="00A44C8A" w:rsidRPr="00054668" w:rsidRDefault="00A44C8A" w:rsidP="00A44C8A">
            <w:pPr>
              <w:jc w:val="center"/>
              <w:rPr>
                <w:rFonts w:cs="Times New Roman"/>
                <w:sz w:val="20"/>
                <w:szCs w:val="20"/>
              </w:rPr>
            </w:pPr>
            <w:r>
              <w:rPr>
                <w:rFonts w:cs="Times New Roman"/>
                <w:sz w:val="20"/>
                <w:szCs w:val="20"/>
              </w:rPr>
              <w:t>1 000 000</w:t>
            </w:r>
          </w:p>
        </w:tc>
        <w:tc>
          <w:tcPr>
            <w:tcW w:w="1063" w:type="dxa"/>
            <w:gridSpan w:val="2"/>
          </w:tcPr>
          <w:p w:rsidR="00A44C8A" w:rsidRPr="00054668" w:rsidRDefault="00A44C8A" w:rsidP="00A44C8A">
            <w:pPr>
              <w:jc w:val="center"/>
              <w:rPr>
                <w:rFonts w:cs="Times New Roman"/>
                <w:sz w:val="20"/>
                <w:szCs w:val="20"/>
              </w:rPr>
            </w:pPr>
            <w:r>
              <w:rPr>
                <w:rFonts w:cs="Times New Roman"/>
                <w:sz w:val="20"/>
                <w:szCs w:val="20"/>
              </w:rPr>
              <w:t>1 100 000</w:t>
            </w:r>
          </w:p>
        </w:tc>
        <w:tc>
          <w:tcPr>
            <w:tcW w:w="1064" w:type="dxa"/>
          </w:tcPr>
          <w:p w:rsidR="00A44C8A" w:rsidRPr="00054668" w:rsidRDefault="00A44C8A" w:rsidP="00A44C8A">
            <w:pPr>
              <w:jc w:val="center"/>
              <w:rPr>
                <w:rFonts w:cs="Times New Roman"/>
                <w:sz w:val="20"/>
                <w:szCs w:val="20"/>
              </w:rPr>
            </w:pPr>
            <w:r>
              <w:rPr>
                <w:rFonts w:cs="Times New Roman"/>
                <w:sz w:val="20"/>
                <w:szCs w:val="20"/>
              </w:rPr>
              <w:t>800 000</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756" w:type="dxa"/>
            <w:gridSpan w:val="2"/>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756" w:type="dxa"/>
          </w:tcPr>
          <w:p w:rsidR="00A44C8A" w:rsidRPr="00054668" w:rsidRDefault="00A44C8A" w:rsidP="00A44C8A">
            <w:pPr>
              <w:jc w:val="center"/>
              <w:rPr>
                <w:rFonts w:cs="Times New Roman"/>
                <w:sz w:val="20"/>
                <w:szCs w:val="20"/>
              </w:rPr>
            </w:pPr>
            <w:r>
              <w:rPr>
                <w:rFonts w:cs="Times New Roman"/>
                <w:sz w:val="20"/>
                <w:szCs w:val="20"/>
              </w:rPr>
              <w:t>x</w:t>
            </w:r>
          </w:p>
        </w:tc>
        <w:tc>
          <w:tcPr>
            <w:tcW w:w="1417" w:type="dxa"/>
            <w:shd w:val="clear" w:color="auto" w:fill="DFE4DA" w:themeFill="text2" w:themeFillTint="33"/>
          </w:tcPr>
          <w:p w:rsidR="00A44C8A" w:rsidRPr="00054668" w:rsidRDefault="00A44C8A" w:rsidP="00A44C8A">
            <w:pPr>
              <w:jc w:val="center"/>
              <w:rPr>
                <w:rFonts w:cs="Times New Roman"/>
                <w:sz w:val="20"/>
                <w:szCs w:val="20"/>
              </w:rPr>
            </w:pPr>
            <w:r>
              <w:rPr>
                <w:rFonts w:cs="Times New Roman"/>
                <w:sz w:val="20"/>
                <w:szCs w:val="20"/>
              </w:rPr>
              <w:t>2020.gads</w:t>
            </w:r>
          </w:p>
        </w:tc>
      </w:tr>
      <w:tr w:rsidR="007A1ABB" w:rsidRPr="00D23634" w:rsidTr="00A44C8A">
        <w:trPr>
          <w:jc w:val="center"/>
        </w:trPr>
        <w:tc>
          <w:tcPr>
            <w:tcW w:w="2409" w:type="dxa"/>
          </w:tcPr>
          <w:p w:rsidR="007A1ABB" w:rsidRDefault="007A1ABB" w:rsidP="007A1ABB">
            <w:pPr>
              <w:jc w:val="both"/>
              <w:rPr>
                <w:rFonts w:cs="Times New Roman"/>
                <w:sz w:val="20"/>
                <w:szCs w:val="20"/>
              </w:rPr>
            </w:pPr>
          </w:p>
        </w:tc>
        <w:tc>
          <w:tcPr>
            <w:tcW w:w="1418" w:type="dxa"/>
          </w:tcPr>
          <w:p w:rsidR="007A1ABB" w:rsidRPr="00054668" w:rsidRDefault="007A1ABB" w:rsidP="007A1ABB">
            <w:pPr>
              <w:jc w:val="center"/>
              <w:rPr>
                <w:rFonts w:cs="Times New Roman"/>
                <w:sz w:val="20"/>
                <w:szCs w:val="20"/>
              </w:rPr>
            </w:pPr>
            <w:r>
              <w:rPr>
                <w:rFonts w:cs="Times New Roman"/>
                <w:sz w:val="20"/>
                <w:szCs w:val="20"/>
              </w:rPr>
              <w:t>Pašvaldību budžets</w:t>
            </w:r>
          </w:p>
        </w:tc>
        <w:tc>
          <w:tcPr>
            <w:tcW w:w="1559" w:type="dxa"/>
          </w:tcPr>
          <w:p w:rsidR="007A1ABB" w:rsidRPr="00054668" w:rsidRDefault="007A1ABB" w:rsidP="007A1ABB">
            <w:pPr>
              <w:jc w:val="center"/>
              <w:rPr>
                <w:rFonts w:cs="Times New Roman"/>
                <w:sz w:val="20"/>
                <w:szCs w:val="20"/>
              </w:rPr>
            </w:pPr>
            <w:r>
              <w:rPr>
                <w:rFonts w:cs="Times New Roman"/>
                <w:sz w:val="20"/>
                <w:szCs w:val="20"/>
              </w:rPr>
              <w:t>x</w:t>
            </w:r>
          </w:p>
        </w:tc>
        <w:tc>
          <w:tcPr>
            <w:tcW w:w="1063" w:type="dxa"/>
          </w:tcPr>
          <w:p w:rsidR="007A1ABB" w:rsidRPr="00054668" w:rsidRDefault="007A1ABB" w:rsidP="007A1ABB">
            <w:pPr>
              <w:jc w:val="center"/>
              <w:rPr>
                <w:rFonts w:cs="Times New Roman"/>
                <w:sz w:val="20"/>
                <w:szCs w:val="20"/>
              </w:rPr>
            </w:pPr>
            <w:r>
              <w:rPr>
                <w:rFonts w:cs="Times New Roman"/>
                <w:sz w:val="20"/>
                <w:szCs w:val="20"/>
              </w:rPr>
              <w:t>x</w:t>
            </w:r>
          </w:p>
        </w:tc>
        <w:tc>
          <w:tcPr>
            <w:tcW w:w="1063" w:type="dxa"/>
            <w:gridSpan w:val="2"/>
          </w:tcPr>
          <w:p w:rsidR="007A1ABB" w:rsidRPr="00054668" w:rsidRDefault="007A1ABB" w:rsidP="007A1ABB">
            <w:pPr>
              <w:jc w:val="center"/>
              <w:rPr>
                <w:rFonts w:cs="Times New Roman"/>
                <w:sz w:val="20"/>
                <w:szCs w:val="20"/>
              </w:rPr>
            </w:pPr>
            <w:r>
              <w:rPr>
                <w:rFonts w:cs="Times New Roman"/>
                <w:sz w:val="20"/>
                <w:szCs w:val="20"/>
              </w:rPr>
              <w:t>x</w:t>
            </w:r>
          </w:p>
        </w:tc>
        <w:tc>
          <w:tcPr>
            <w:tcW w:w="1063" w:type="dxa"/>
            <w:gridSpan w:val="2"/>
          </w:tcPr>
          <w:p w:rsidR="007A1ABB" w:rsidRPr="00054668" w:rsidRDefault="007A1ABB" w:rsidP="007A1ABB">
            <w:pPr>
              <w:jc w:val="center"/>
              <w:rPr>
                <w:rFonts w:cs="Times New Roman"/>
                <w:sz w:val="20"/>
                <w:szCs w:val="20"/>
              </w:rPr>
            </w:pPr>
            <w:r>
              <w:rPr>
                <w:rFonts w:cs="Times New Roman"/>
                <w:sz w:val="20"/>
                <w:szCs w:val="20"/>
              </w:rPr>
              <w:t>x</w:t>
            </w:r>
          </w:p>
        </w:tc>
        <w:tc>
          <w:tcPr>
            <w:tcW w:w="1064" w:type="dxa"/>
          </w:tcPr>
          <w:p w:rsidR="007A1ABB" w:rsidRPr="00054668" w:rsidRDefault="007A1ABB" w:rsidP="007A1ABB">
            <w:pPr>
              <w:jc w:val="center"/>
              <w:rPr>
                <w:rFonts w:cs="Times New Roman"/>
                <w:sz w:val="20"/>
                <w:szCs w:val="20"/>
              </w:rPr>
            </w:pPr>
            <w:r>
              <w:rPr>
                <w:rFonts w:cs="Times New Roman"/>
                <w:sz w:val="20"/>
                <w:szCs w:val="20"/>
              </w:rPr>
              <w:t>x</w:t>
            </w:r>
          </w:p>
        </w:tc>
        <w:tc>
          <w:tcPr>
            <w:tcW w:w="756" w:type="dxa"/>
          </w:tcPr>
          <w:p w:rsidR="007A1ABB" w:rsidRPr="00054668" w:rsidRDefault="007A1ABB" w:rsidP="007A1ABB">
            <w:pPr>
              <w:jc w:val="center"/>
              <w:rPr>
                <w:rFonts w:cs="Times New Roman"/>
                <w:sz w:val="20"/>
                <w:szCs w:val="20"/>
              </w:rPr>
            </w:pPr>
            <w:r>
              <w:rPr>
                <w:rFonts w:cs="Times New Roman"/>
                <w:sz w:val="20"/>
                <w:szCs w:val="20"/>
              </w:rPr>
              <w:t>x</w:t>
            </w:r>
          </w:p>
        </w:tc>
        <w:tc>
          <w:tcPr>
            <w:tcW w:w="756" w:type="dxa"/>
          </w:tcPr>
          <w:p w:rsidR="007A1ABB" w:rsidRPr="00054668" w:rsidRDefault="007A1ABB" w:rsidP="007A1ABB">
            <w:pPr>
              <w:jc w:val="center"/>
              <w:rPr>
                <w:rFonts w:cs="Times New Roman"/>
                <w:sz w:val="20"/>
                <w:szCs w:val="20"/>
              </w:rPr>
            </w:pPr>
            <w:r>
              <w:rPr>
                <w:rFonts w:cs="Times New Roman"/>
                <w:sz w:val="20"/>
                <w:szCs w:val="20"/>
              </w:rPr>
              <w:t>x</w:t>
            </w:r>
          </w:p>
        </w:tc>
        <w:tc>
          <w:tcPr>
            <w:tcW w:w="756" w:type="dxa"/>
            <w:gridSpan w:val="2"/>
          </w:tcPr>
          <w:p w:rsidR="007A1ABB" w:rsidRPr="00054668" w:rsidRDefault="007A1ABB" w:rsidP="007A1ABB">
            <w:pPr>
              <w:jc w:val="center"/>
              <w:rPr>
                <w:rFonts w:cs="Times New Roman"/>
                <w:sz w:val="20"/>
                <w:szCs w:val="20"/>
              </w:rPr>
            </w:pPr>
            <w:r>
              <w:rPr>
                <w:rFonts w:cs="Times New Roman"/>
                <w:sz w:val="20"/>
                <w:szCs w:val="20"/>
              </w:rPr>
              <w:t>x</w:t>
            </w:r>
          </w:p>
        </w:tc>
        <w:tc>
          <w:tcPr>
            <w:tcW w:w="756" w:type="dxa"/>
            <w:gridSpan w:val="2"/>
          </w:tcPr>
          <w:p w:rsidR="007A1ABB" w:rsidRPr="00054668" w:rsidRDefault="007A1ABB" w:rsidP="007A1ABB">
            <w:pPr>
              <w:jc w:val="center"/>
              <w:rPr>
                <w:rFonts w:cs="Times New Roman"/>
                <w:sz w:val="20"/>
                <w:szCs w:val="20"/>
              </w:rPr>
            </w:pPr>
            <w:r>
              <w:rPr>
                <w:rFonts w:cs="Times New Roman"/>
                <w:sz w:val="20"/>
                <w:szCs w:val="20"/>
              </w:rPr>
              <w:t>x</w:t>
            </w:r>
          </w:p>
        </w:tc>
        <w:tc>
          <w:tcPr>
            <w:tcW w:w="756" w:type="dxa"/>
          </w:tcPr>
          <w:p w:rsidR="007A1ABB" w:rsidRPr="00054668" w:rsidRDefault="007A1ABB" w:rsidP="007A1ABB">
            <w:pPr>
              <w:jc w:val="center"/>
              <w:rPr>
                <w:rFonts w:cs="Times New Roman"/>
                <w:sz w:val="20"/>
                <w:szCs w:val="20"/>
              </w:rPr>
            </w:pPr>
            <w:r>
              <w:rPr>
                <w:rFonts w:cs="Times New Roman"/>
                <w:sz w:val="20"/>
                <w:szCs w:val="20"/>
              </w:rPr>
              <w:t>x</w:t>
            </w:r>
          </w:p>
        </w:tc>
        <w:tc>
          <w:tcPr>
            <w:tcW w:w="756" w:type="dxa"/>
          </w:tcPr>
          <w:p w:rsidR="007A1ABB" w:rsidRPr="00054668" w:rsidRDefault="007A1ABB" w:rsidP="007A1ABB">
            <w:pPr>
              <w:jc w:val="center"/>
              <w:rPr>
                <w:rFonts w:cs="Times New Roman"/>
                <w:sz w:val="20"/>
                <w:szCs w:val="20"/>
              </w:rPr>
            </w:pPr>
            <w:r>
              <w:rPr>
                <w:rFonts w:cs="Times New Roman"/>
                <w:sz w:val="20"/>
                <w:szCs w:val="20"/>
              </w:rPr>
              <w:t>x</w:t>
            </w:r>
          </w:p>
        </w:tc>
        <w:tc>
          <w:tcPr>
            <w:tcW w:w="1417" w:type="dxa"/>
            <w:shd w:val="clear" w:color="auto" w:fill="DFE4DA" w:themeFill="text2" w:themeFillTint="33"/>
          </w:tcPr>
          <w:p w:rsidR="007A1ABB" w:rsidRPr="00054668" w:rsidRDefault="007A1ABB" w:rsidP="007A1ABB">
            <w:pPr>
              <w:jc w:val="center"/>
              <w:rPr>
                <w:rFonts w:cs="Times New Roman"/>
                <w:sz w:val="20"/>
                <w:szCs w:val="20"/>
              </w:rPr>
            </w:pPr>
            <w:r>
              <w:rPr>
                <w:rFonts w:cs="Times New Roman"/>
                <w:sz w:val="20"/>
                <w:szCs w:val="20"/>
              </w:rPr>
              <w:t>x</w:t>
            </w:r>
          </w:p>
        </w:tc>
      </w:tr>
      <w:tr w:rsidR="007A1ABB" w:rsidRPr="00D23634" w:rsidTr="00BB19EA">
        <w:trPr>
          <w:jc w:val="center"/>
        </w:trPr>
        <w:tc>
          <w:tcPr>
            <w:tcW w:w="15592" w:type="dxa"/>
            <w:gridSpan w:val="18"/>
            <w:shd w:val="clear" w:color="auto" w:fill="ADC8DD" w:themeFill="background2" w:themeFillShade="E6"/>
          </w:tcPr>
          <w:p w:rsidR="007A1ABB" w:rsidRPr="00064A1E" w:rsidRDefault="007A1ABB" w:rsidP="007A1ABB">
            <w:pPr>
              <w:rPr>
                <w:rFonts w:cs="Times New Roman"/>
                <w:b/>
              </w:rPr>
            </w:pPr>
          </w:p>
          <w:p w:rsidR="007A1ABB" w:rsidRPr="00064A1E" w:rsidRDefault="00DD45FE" w:rsidP="007A1ABB">
            <w:pPr>
              <w:jc w:val="center"/>
              <w:rPr>
                <w:rFonts w:cs="Times New Roman"/>
                <w:b/>
              </w:rPr>
            </w:pPr>
            <w:r>
              <w:rPr>
                <w:rFonts w:cs="Times New Roman"/>
                <w:b/>
              </w:rPr>
              <w:t>Valsts budžeta f</w:t>
            </w:r>
            <w:r w:rsidR="007A1ABB" w:rsidRPr="00064A1E">
              <w:rPr>
                <w:rFonts w:cs="Times New Roman"/>
                <w:b/>
              </w:rPr>
              <w:t>inansējuma sadalījums starp ministrijām</w:t>
            </w:r>
            <w:r w:rsidR="007A1ABB">
              <w:rPr>
                <w:rFonts w:cs="Times New Roman"/>
                <w:b/>
              </w:rPr>
              <w:t>, (</w:t>
            </w:r>
            <w:proofErr w:type="spellStart"/>
            <w:r w:rsidR="007A1ABB" w:rsidRPr="0000395E">
              <w:rPr>
                <w:rFonts w:cs="Times New Roman"/>
                <w:b/>
                <w:i/>
              </w:rPr>
              <w:t>euro</w:t>
            </w:r>
            <w:proofErr w:type="spellEnd"/>
            <w:r w:rsidR="007A1ABB">
              <w:rPr>
                <w:rFonts w:cs="Times New Roman"/>
                <w:b/>
              </w:rPr>
              <w:t>)</w:t>
            </w:r>
          </w:p>
          <w:p w:rsidR="007A1ABB" w:rsidRPr="00054668" w:rsidRDefault="007A1ABB" w:rsidP="007A1ABB">
            <w:pPr>
              <w:jc w:val="both"/>
              <w:rPr>
                <w:rFonts w:cs="Times New Roman"/>
                <w:sz w:val="20"/>
                <w:szCs w:val="20"/>
              </w:rPr>
            </w:pPr>
          </w:p>
        </w:tc>
      </w:tr>
      <w:tr w:rsidR="007A1ABB" w:rsidRPr="00D23634" w:rsidTr="008207FF">
        <w:trPr>
          <w:jc w:val="center"/>
        </w:trPr>
        <w:tc>
          <w:tcPr>
            <w:tcW w:w="2409" w:type="dxa"/>
            <w:vMerge w:val="restart"/>
            <w:shd w:val="clear" w:color="auto" w:fill="DFE4DA" w:themeFill="text2" w:themeFillTint="33"/>
          </w:tcPr>
          <w:p w:rsidR="007A1ABB" w:rsidRPr="00064A1E" w:rsidRDefault="007A1ABB" w:rsidP="007A1ABB">
            <w:pPr>
              <w:jc w:val="both"/>
              <w:rPr>
                <w:rFonts w:cs="Times New Roman"/>
                <w:b/>
              </w:rPr>
            </w:pPr>
          </w:p>
        </w:tc>
        <w:tc>
          <w:tcPr>
            <w:tcW w:w="2977" w:type="dxa"/>
            <w:gridSpan w:val="2"/>
            <w:shd w:val="clear" w:color="auto" w:fill="DFE4DA" w:themeFill="text2" w:themeFillTint="33"/>
          </w:tcPr>
          <w:p w:rsidR="007A1ABB" w:rsidRPr="00064A1E" w:rsidRDefault="007A1ABB" w:rsidP="007A1ABB">
            <w:pPr>
              <w:jc w:val="both"/>
              <w:rPr>
                <w:rFonts w:cs="Times New Roman"/>
                <w:b/>
              </w:rPr>
            </w:pPr>
            <w:r w:rsidRPr="00064A1E">
              <w:rPr>
                <w:rFonts w:cs="Times New Roman"/>
                <w:b/>
              </w:rPr>
              <w:t>2017.gadā</w:t>
            </w:r>
          </w:p>
        </w:tc>
        <w:tc>
          <w:tcPr>
            <w:tcW w:w="2835" w:type="dxa"/>
            <w:gridSpan w:val="4"/>
            <w:shd w:val="clear" w:color="auto" w:fill="DFE4DA" w:themeFill="text2" w:themeFillTint="33"/>
          </w:tcPr>
          <w:p w:rsidR="007A1ABB" w:rsidRPr="00064A1E" w:rsidRDefault="007A1ABB" w:rsidP="007A1ABB">
            <w:pPr>
              <w:jc w:val="both"/>
              <w:rPr>
                <w:rFonts w:cs="Times New Roman"/>
                <w:b/>
              </w:rPr>
            </w:pPr>
            <w:r w:rsidRPr="00064A1E">
              <w:rPr>
                <w:rFonts w:cs="Times New Roman"/>
                <w:b/>
              </w:rPr>
              <w:t>2018.gadā</w:t>
            </w:r>
          </w:p>
        </w:tc>
        <w:tc>
          <w:tcPr>
            <w:tcW w:w="2977" w:type="dxa"/>
            <w:gridSpan w:val="5"/>
            <w:shd w:val="clear" w:color="auto" w:fill="DFE4DA" w:themeFill="text2" w:themeFillTint="33"/>
          </w:tcPr>
          <w:p w:rsidR="007A1ABB" w:rsidRPr="00064A1E" w:rsidRDefault="007A1ABB" w:rsidP="007A1ABB">
            <w:pPr>
              <w:jc w:val="both"/>
              <w:rPr>
                <w:rFonts w:cs="Times New Roman"/>
                <w:b/>
              </w:rPr>
            </w:pPr>
            <w:r w:rsidRPr="00064A1E">
              <w:rPr>
                <w:rFonts w:cs="Times New Roman"/>
                <w:b/>
              </w:rPr>
              <w:t>2019.gadā</w:t>
            </w:r>
          </w:p>
        </w:tc>
        <w:tc>
          <w:tcPr>
            <w:tcW w:w="2977" w:type="dxa"/>
            <w:gridSpan w:val="5"/>
            <w:shd w:val="clear" w:color="auto" w:fill="DFE4DA" w:themeFill="text2" w:themeFillTint="33"/>
          </w:tcPr>
          <w:p w:rsidR="007A1ABB" w:rsidRPr="00064A1E" w:rsidRDefault="007A1ABB" w:rsidP="007A1ABB">
            <w:pPr>
              <w:jc w:val="both"/>
              <w:rPr>
                <w:rFonts w:cs="Times New Roman"/>
                <w:b/>
              </w:rPr>
            </w:pPr>
            <w:r w:rsidRPr="00064A1E">
              <w:rPr>
                <w:rFonts w:cs="Times New Roman"/>
                <w:b/>
              </w:rPr>
              <w:t>2020.gadā</w:t>
            </w:r>
          </w:p>
        </w:tc>
        <w:tc>
          <w:tcPr>
            <w:tcW w:w="1417" w:type="dxa"/>
            <w:vMerge w:val="restart"/>
            <w:shd w:val="clear" w:color="auto" w:fill="D4D9CF" w:themeFill="accent6" w:themeFillTint="66"/>
          </w:tcPr>
          <w:p w:rsidR="007A1ABB" w:rsidRDefault="007A1ABB" w:rsidP="007A1ABB">
            <w:pPr>
              <w:jc w:val="center"/>
              <w:rPr>
                <w:rFonts w:cs="Times New Roman"/>
                <w:b/>
              </w:rPr>
            </w:pPr>
          </w:p>
          <w:p w:rsidR="007A1ABB" w:rsidRPr="00054668" w:rsidRDefault="007A1ABB" w:rsidP="007A1ABB">
            <w:pPr>
              <w:jc w:val="center"/>
              <w:rPr>
                <w:rFonts w:cs="Times New Roman"/>
                <w:sz w:val="20"/>
                <w:szCs w:val="20"/>
              </w:rPr>
            </w:pPr>
            <w:r w:rsidRPr="00064A1E">
              <w:rPr>
                <w:rFonts w:cs="Times New Roman"/>
                <w:b/>
              </w:rPr>
              <w:t>Kopā</w:t>
            </w:r>
          </w:p>
        </w:tc>
      </w:tr>
      <w:tr w:rsidR="007A1ABB" w:rsidRPr="00D23634" w:rsidTr="008207FF">
        <w:trPr>
          <w:jc w:val="center"/>
        </w:trPr>
        <w:tc>
          <w:tcPr>
            <w:tcW w:w="2409" w:type="dxa"/>
            <w:vMerge/>
            <w:shd w:val="clear" w:color="auto" w:fill="DFE4DA" w:themeFill="text2" w:themeFillTint="33"/>
          </w:tcPr>
          <w:p w:rsidR="007A1ABB" w:rsidRPr="00064A1E" w:rsidRDefault="007A1ABB" w:rsidP="007A1ABB">
            <w:pPr>
              <w:jc w:val="both"/>
              <w:rPr>
                <w:rFonts w:cs="Times New Roman"/>
                <w:b/>
              </w:rPr>
            </w:pPr>
          </w:p>
        </w:tc>
        <w:tc>
          <w:tcPr>
            <w:tcW w:w="1418" w:type="dxa"/>
            <w:shd w:val="clear" w:color="auto" w:fill="DFE4DA" w:themeFill="text2" w:themeFillTint="33"/>
          </w:tcPr>
          <w:p w:rsidR="007A1ABB" w:rsidRPr="00064A1E" w:rsidRDefault="007A1ABB" w:rsidP="007A1ABB">
            <w:pPr>
              <w:jc w:val="both"/>
              <w:rPr>
                <w:rFonts w:cs="Times New Roman"/>
                <w:b/>
              </w:rPr>
            </w:pPr>
            <w:r w:rsidRPr="00064A1E">
              <w:rPr>
                <w:rFonts w:cs="Times New Roman"/>
                <w:b/>
              </w:rPr>
              <w:t>Piešķirts</w:t>
            </w:r>
          </w:p>
        </w:tc>
        <w:tc>
          <w:tcPr>
            <w:tcW w:w="1559" w:type="dxa"/>
            <w:shd w:val="clear" w:color="auto" w:fill="DFE4DA" w:themeFill="text2" w:themeFillTint="33"/>
          </w:tcPr>
          <w:p w:rsidR="007A1ABB" w:rsidRPr="00064A1E" w:rsidRDefault="007A1ABB" w:rsidP="007A1ABB">
            <w:pPr>
              <w:jc w:val="both"/>
              <w:rPr>
                <w:rFonts w:cs="Times New Roman"/>
                <w:b/>
              </w:rPr>
            </w:pPr>
            <w:r w:rsidRPr="00064A1E">
              <w:rPr>
                <w:rFonts w:cs="Times New Roman"/>
                <w:b/>
              </w:rPr>
              <w:t>Papildus</w:t>
            </w:r>
          </w:p>
        </w:tc>
        <w:tc>
          <w:tcPr>
            <w:tcW w:w="1418" w:type="dxa"/>
            <w:gridSpan w:val="2"/>
            <w:shd w:val="clear" w:color="auto" w:fill="DFE4DA" w:themeFill="text2" w:themeFillTint="33"/>
          </w:tcPr>
          <w:p w:rsidR="007A1ABB" w:rsidRPr="00064A1E" w:rsidRDefault="007A1ABB" w:rsidP="007A1ABB">
            <w:pPr>
              <w:jc w:val="both"/>
              <w:rPr>
                <w:rFonts w:cs="Times New Roman"/>
                <w:b/>
              </w:rPr>
            </w:pPr>
            <w:r w:rsidRPr="00064A1E">
              <w:rPr>
                <w:rFonts w:cs="Times New Roman"/>
                <w:b/>
              </w:rPr>
              <w:t>Piešķirts</w:t>
            </w:r>
          </w:p>
        </w:tc>
        <w:tc>
          <w:tcPr>
            <w:tcW w:w="1417" w:type="dxa"/>
            <w:gridSpan w:val="2"/>
            <w:shd w:val="clear" w:color="auto" w:fill="DFE4DA" w:themeFill="text2" w:themeFillTint="33"/>
          </w:tcPr>
          <w:p w:rsidR="007A1ABB" w:rsidRPr="00064A1E" w:rsidRDefault="007A1ABB" w:rsidP="007A1ABB">
            <w:pPr>
              <w:jc w:val="both"/>
              <w:rPr>
                <w:rFonts w:cs="Times New Roman"/>
                <w:b/>
              </w:rPr>
            </w:pPr>
            <w:r w:rsidRPr="00064A1E">
              <w:rPr>
                <w:rFonts w:cs="Times New Roman"/>
                <w:b/>
              </w:rPr>
              <w:t>Papildus</w:t>
            </w:r>
          </w:p>
        </w:tc>
        <w:tc>
          <w:tcPr>
            <w:tcW w:w="1418" w:type="dxa"/>
            <w:gridSpan w:val="2"/>
            <w:shd w:val="clear" w:color="auto" w:fill="DFE4DA" w:themeFill="text2" w:themeFillTint="33"/>
          </w:tcPr>
          <w:p w:rsidR="007A1ABB" w:rsidRPr="00064A1E" w:rsidRDefault="007A1ABB" w:rsidP="007A1ABB">
            <w:pPr>
              <w:jc w:val="both"/>
              <w:rPr>
                <w:rFonts w:cs="Times New Roman"/>
                <w:b/>
              </w:rPr>
            </w:pPr>
            <w:r w:rsidRPr="00064A1E">
              <w:rPr>
                <w:rFonts w:cs="Times New Roman"/>
                <w:b/>
              </w:rPr>
              <w:t>Piešķirts</w:t>
            </w:r>
          </w:p>
        </w:tc>
        <w:tc>
          <w:tcPr>
            <w:tcW w:w="1559" w:type="dxa"/>
            <w:gridSpan w:val="3"/>
            <w:shd w:val="clear" w:color="auto" w:fill="DFE4DA" w:themeFill="text2" w:themeFillTint="33"/>
          </w:tcPr>
          <w:p w:rsidR="007A1ABB" w:rsidRPr="00064A1E" w:rsidRDefault="007A1ABB" w:rsidP="007A1ABB">
            <w:pPr>
              <w:jc w:val="both"/>
              <w:rPr>
                <w:rFonts w:cs="Times New Roman"/>
                <w:b/>
              </w:rPr>
            </w:pPr>
            <w:r w:rsidRPr="00064A1E">
              <w:rPr>
                <w:rFonts w:cs="Times New Roman"/>
                <w:b/>
              </w:rPr>
              <w:t>Papildus</w:t>
            </w:r>
          </w:p>
        </w:tc>
        <w:tc>
          <w:tcPr>
            <w:tcW w:w="1417" w:type="dxa"/>
            <w:gridSpan w:val="2"/>
            <w:shd w:val="clear" w:color="auto" w:fill="DFE4DA" w:themeFill="text2" w:themeFillTint="33"/>
          </w:tcPr>
          <w:p w:rsidR="007A1ABB" w:rsidRPr="00064A1E" w:rsidRDefault="007A1ABB" w:rsidP="007A1ABB">
            <w:pPr>
              <w:jc w:val="both"/>
              <w:rPr>
                <w:rFonts w:cs="Times New Roman"/>
                <w:b/>
              </w:rPr>
            </w:pPr>
            <w:r w:rsidRPr="00064A1E">
              <w:rPr>
                <w:rFonts w:cs="Times New Roman"/>
                <w:b/>
              </w:rPr>
              <w:t>Piešķirts</w:t>
            </w:r>
          </w:p>
        </w:tc>
        <w:tc>
          <w:tcPr>
            <w:tcW w:w="1560" w:type="dxa"/>
            <w:gridSpan w:val="3"/>
            <w:shd w:val="clear" w:color="auto" w:fill="DFE4DA" w:themeFill="text2" w:themeFillTint="33"/>
          </w:tcPr>
          <w:p w:rsidR="007A1ABB" w:rsidRPr="00064A1E" w:rsidRDefault="007A1ABB" w:rsidP="007A1ABB">
            <w:pPr>
              <w:jc w:val="both"/>
              <w:rPr>
                <w:rFonts w:cs="Times New Roman"/>
                <w:b/>
              </w:rPr>
            </w:pPr>
            <w:r w:rsidRPr="00064A1E">
              <w:rPr>
                <w:rFonts w:cs="Times New Roman"/>
                <w:b/>
              </w:rPr>
              <w:t>Papildus</w:t>
            </w:r>
          </w:p>
        </w:tc>
        <w:tc>
          <w:tcPr>
            <w:tcW w:w="1417" w:type="dxa"/>
            <w:vMerge/>
            <w:shd w:val="clear" w:color="auto" w:fill="D4D9CF" w:themeFill="accent6" w:themeFillTint="66"/>
          </w:tcPr>
          <w:p w:rsidR="007A1ABB" w:rsidRPr="00064A1E" w:rsidRDefault="007A1ABB" w:rsidP="007A1ABB">
            <w:pPr>
              <w:jc w:val="both"/>
              <w:rPr>
                <w:rFonts w:cs="Times New Roman"/>
                <w:b/>
              </w:rPr>
            </w:pPr>
          </w:p>
        </w:tc>
      </w:tr>
      <w:tr w:rsidR="007A1ABB" w:rsidRPr="00D23634" w:rsidTr="00675FF2">
        <w:trPr>
          <w:jc w:val="center"/>
        </w:trPr>
        <w:tc>
          <w:tcPr>
            <w:tcW w:w="2409" w:type="dxa"/>
            <w:shd w:val="clear" w:color="auto" w:fill="DFE4DA" w:themeFill="text2" w:themeFillTint="33"/>
          </w:tcPr>
          <w:p w:rsidR="007A1ABB" w:rsidRPr="00064A1E" w:rsidRDefault="007A1ABB" w:rsidP="007A1ABB">
            <w:pPr>
              <w:jc w:val="both"/>
              <w:rPr>
                <w:rFonts w:cs="Times New Roman"/>
                <w:b/>
              </w:rPr>
            </w:pPr>
            <w:r w:rsidRPr="00064A1E">
              <w:rPr>
                <w:rFonts w:cs="Times New Roman"/>
                <w:b/>
              </w:rPr>
              <w:t>Satiksmes ministrija</w:t>
            </w:r>
          </w:p>
        </w:tc>
        <w:tc>
          <w:tcPr>
            <w:tcW w:w="1418" w:type="dxa"/>
            <w:shd w:val="clear" w:color="auto" w:fill="DFE4DA" w:themeFill="text2" w:themeFillTint="33"/>
          </w:tcPr>
          <w:p w:rsidR="007A1ABB" w:rsidRPr="003833E6" w:rsidRDefault="007A1ABB" w:rsidP="007A1ABB">
            <w:pPr>
              <w:jc w:val="both"/>
              <w:rPr>
                <w:rFonts w:cs="Times New Roman"/>
                <w:b/>
                <w:sz w:val="20"/>
                <w:szCs w:val="20"/>
              </w:rPr>
            </w:pPr>
            <w:r w:rsidRPr="003833E6">
              <w:rPr>
                <w:rFonts w:cs="Times New Roman"/>
                <w:b/>
                <w:sz w:val="20"/>
                <w:szCs w:val="20"/>
              </w:rPr>
              <w:t>2 900 000</w:t>
            </w:r>
          </w:p>
        </w:tc>
        <w:tc>
          <w:tcPr>
            <w:tcW w:w="1559" w:type="dxa"/>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1 000 000</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1 100 000</w:t>
            </w:r>
          </w:p>
        </w:tc>
        <w:tc>
          <w:tcPr>
            <w:tcW w:w="1559"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800 000</w:t>
            </w:r>
          </w:p>
        </w:tc>
        <w:tc>
          <w:tcPr>
            <w:tcW w:w="1560"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shd w:val="clear" w:color="auto" w:fill="D4D9CF" w:themeFill="accent6" w:themeFillTint="66"/>
          </w:tcPr>
          <w:p w:rsidR="007A1ABB" w:rsidRPr="003833E6" w:rsidRDefault="007A1ABB" w:rsidP="007A1ABB">
            <w:pPr>
              <w:jc w:val="both"/>
              <w:rPr>
                <w:rFonts w:cs="Times New Roman"/>
                <w:b/>
                <w:sz w:val="20"/>
                <w:szCs w:val="20"/>
              </w:rPr>
            </w:pPr>
            <w:r>
              <w:rPr>
                <w:rFonts w:cs="Times New Roman"/>
                <w:b/>
                <w:sz w:val="20"/>
                <w:szCs w:val="20"/>
              </w:rPr>
              <w:t>5 800 000</w:t>
            </w:r>
          </w:p>
        </w:tc>
      </w:tr>
      <w:tr w:rsidR="007A1ABB" w:rsidRPr="00D23634" w:rsidTr="00675FF2">
        <w:trPr>
          <w:jc w:val="center"/>
        </w:trPr>
        <w:tc>
          <w:tcPr>
            <w:tcW w:w="2409" w:type="dxa"/>
            <w:shd w:val="clear" w:color="auto" w:fill="DFE4DA" w:themeFill="text2" w:themeFillTint="33"/>
          </w:tcPr>
          <w:p w:rsidR="007A1ABB" w:rsidRPr="00064A1E" w:rsidRDefault="007A1ABB" w:rsidP="007A1ABB">
            <w:pPr>
              <w:jc w:val="both"/>
              <w:rPr>
                <w:rFonts w:cs="Times New Roman"/>
                <w:b/>
              </w:rPr>
            </w:pPr>
            <w:proofErr w:type="spellStart"/>
            <w:r w:rsidRPr="00064A1E">
              <w:rPr>
                <w:rFonts w:cs="Times New Roman"/>
                <w:b/>
              </w:rPr>
              <w:t>Iekšlietu</w:t>
            </w:r>
            <w:proofErr w:type="spellEnd"/>
            <w:r w:rsidRPr="00064A1E">
              <w:rPr>
                <w:rFonts w:cs="Times New Roman"/>
                <w:b/>
              </w:rPr>
              <w:t xml:space="preserve"> ministrija</w:t>
            </w:r>
          </w:p>
        </w:tc>
        <w:tc>
          <w:tcPr>
            <w:tcW w:w="1418" w:type="dxa"/>
            <w:shd w:val="clear" w:color="auto" w:fill="DFE4DA" w:themeFill="text2" w:themeFillTint="33"/>
          </w:tcPr>
          <w:p w:rsidR="007A1ABB" w:rsidRPr="003833E6" w:rsidRDefault="00A11015" w:rsidP="007A1ABB">
            <w:pPr>
              <w:jc w:val="both"/>
              <w:rPr>
                <w:rFonts w:cs="Times New Roman"/>
                <w:b/>
                <w:sz w:val="20"/>
                <w:szCs w:val="20"/>
              </w:rPr>
            </w:pPr>
            <w:r>
              <w:rPr>
                <w:rFonts w:cs="Times New Roman"/>
                <w:b/>
                <w:sz w:val="20"/>
                <w:szCs w:val="20"/>
              </w:rPr>
              <w:t>x</w:t>
            </w:r>
          </w:p>
        </w:tc>
        <w:tc>
          <w:tcPr>
            <w:tcW w:w="1559" w:type="dxa"/>
            <w:shd w:val="clear" w:color="auto" w:fill="DFE4DA" w:themeFill="text2" w:themeFillTint="33"/>
          </w:tcPr>
          <w:p w:rsidR="007A1ABB" w:rsidRPr="003833E6" w:rsidRDefault="0052266E"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A11015" w:rsidP="007A1ABB">
            <w:pPr>
              <w:jc w:val="both"/>
              <w:rPr>
                <w:rFonts w:cs="Times New Roman"/>
                <w:b/>
                <w:sz w:val="20"/>
                <w:szCs w:val="20"/>
              </w:rPr>
            </w:pPr>
            <w:r>
              <w:rPr>
                <w:rFonts w:cs="Times New Roman"/>
                <w:b/>
                <w:sz w:val="20"/>
                <w:szCs w:val="20"/>
              </w:rPr>
              <w:t>x</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50 000</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59"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50 000</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60"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50 000</w:t>
            </w:r>
          </w:p>
        </w:tc>
        <w:tc>
          <w:tcPr>
            <w:tcW w:w="1417" w:type="dxa"/>
            <w:shd w:val="clear" w:color="auto" w:fill="D4D9CF" w:themeFill="accent6" w:themeFillTint="66"/>
          </w:tcPr>
          <w:p w:rsidR="007A1ABB" w:rsidRPr="003833E6" w:rsidRDefault="008207FF" w:rsidP="007A1ABB">
            <w:pPr>
              <w:jc w:val="both"/>
              <w:rPr>
                <w:rFonts w:cs="Times New Roman"/>
                <w:b/>
                <w:sz w:val="20"/>
                <w:szCs w:val="20"/>
              </w:rPr>
            </w:pPr>
            <w:r>
              <w:rPr>
                <w:rFonts w:cs="Times New Roman"/>
                <w:b/>
                <w:sz w:val="20"/>
                <w:szCs w:val="20"/>
              </w:rPr>
              <w:t>150 000</w:t>
            </w:r>
          </w:p>
        </w:tc>
      </w:tr>
      <w:tr w:rsidR="007A1ABB" w:rsidRPr="00D23634" w:rsidTr="00675FF2">
        <w:trPr>
          <w:jc w:val="center"/>
        </w:trPr>
        <w:tc>
          <w:tcPr>
            <w:tcW w:w="2409" w:type="dxa"/>
            <w:shd w:val="clear" w:color="auto" w:fill="DFE4DA" w:themeFill="text2" w:themeFillTint="33"/>
          </w:tcPr>
          <w:p w:rsidR="007A1ABB" w:rsidRPr="00064A1E" w:rsidRDefault="007A1ABB" w:rsidP="007A1ABB">
            <w:pPr>
              <w:jc w:val="both"/>
              <w:rPr>
                <w:rFonts w:cs="Times New Roman"/>
                <w:b/>
              </w:rPr>
            </w:pPr>
            <w:r w:rsidRPr="00064A1E">
              <w:rPr>
                <w:rFonts w:cs="Times New Roman"/>
                <w:b/>
              </w:rPr>
              <w:t>Veselības ministrija</w:t>
            </w:r>
          </w:p>
        </w:tc>
        <w:tc>
          <w:tcPr>
            <w:tcW w:w="1418" w:type="dxa"/>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59" w:type="dxa"/>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59"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60"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shd w:val="clear" w:color="auto" w:fill="D4D9CF" w:themeFill="accent6" w:themeFillTint="66"/>
          </w:tcPr>
          <w:p w:rsidR="007A1ABB" w:rsidRPr="003833E6" w:rsidRDefault="007A1ABB" w:rsidP="007A1ABB">
            <w:pPr>
              <w:jc w:val="both"/>
              <w:rPr>
                <w:rFonts w:cs="Times New Roman"/>
                <w:b/>
                <w:sz w:val="20"/>
                <w:szCs w:val="20"/>
              </w:rPr>
            </w:pPr>
            <w:r>
              <w:rPr>
                <w:rFonts w:cs="Times New Roman"/>
                <w:b/>
                <w:sz w:val="20"/>
                <w:szCs w:val="20"/>
              </w:rPr>
              <w:t>0</w:t>
            </w:r>
          </w:p>
        </w:tc>
      </w:tr>
      <w:tr w:rsidR="007A1ABB" w:rsidRPr="00D23634" w:rsidTr="00675FF2">
        <w:trPr>
          <w:jc w:val="center"/>
        </w:trPr>
        <w:tc>
          <w:tcPr>
            <w:tcW w:w="2409" w:type="dxa"/>
            <w:shd w:val="clear" w:color="auto" w:fill="DFE4DA" w:themeFill="text2" w:themeFillTint="33"/>
          </w:tcPr>
          <w:p w:rsidR="007A1ABB" w:rsidRPr="00064A1E" w:rsidRDefault="007A1ABB" w:rsidP="007A1ABB">
            <w:pPr>
              <w:jc w:val="both"/>
              <w:rPr>
                <w:rFonts w:cs="Times New Roman"/>
                <w:b/>
              </w:rPr>
            </w:pPr>
            <w:r w:rsidRPr="00064A1E">
              <w:rPr>
                <w:rFonts w:cs="Times New Roman"/>
                <w:b/>
              </w:rPr>
              <w:t>Izglītības un zinātnes ministrija</w:t>
            </w:r>
          </w:p>
        </w:tc>
        <w:tc>
          <w:tcPr>
            <w:tcW w:w="1418" w:type="dxa"/>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59" w:type="dxa"/>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59"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560"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x</w:t>
            </w:r>
          </w:p>
        </w:tc>
        <w:tc>
          <w:tcPr>
            <w:tcW w:w="1417" w:type="dxa"/>
            <w:shd w:val="clear" w:color="auto" w:fill="D4D9CF" w:themeFill="accent6" w:themeFillTint="66"/>
          </w:tcPr>
          <w:p w:rsidR="007A1ABB" w:rsidRPr="003833E6" w:rsidRDefault="007A1ABB" w:rsidP="007A1ABB">
            <w:pPr>
              <w:jc w:val="both"/>
              <w:rPr>
                <w:rFonts w:cs="Times New Roman"/>
                <w:b/>
                <w:sz w:val="20"/>
                <w:szCs w:val="20"/>
              </w:rPr>
            </w:pPr>
            <w:r>
              <w:rPr>
                <w:rFonts w:cs="Times New Roman"/>
                <w:b/>
                <w:sz w:val="20"/>
                <w:szCs w:val="20"/>
              </w:rPr>
              <w:t>0</w:t>
            </w:r>
          </w:p>
        </w:tc>
      </w:tr>
      <w:tr w:rsidR="007A1ABB" w:rsidRPr="00D23634" w:rsidTr="00675FF2">
        <w:trPr>
          <w:jc w:val="center"/>
        </w:trPr>
        <w:tc>
          <w:tcPr>
            <w:tcW w:w="2409" w:type="dxa"/>
            <w:shd w:val="clear" w:color="auto" w:fill="DFE4DA" w:themeFill="text2" w:themeFillTint="33"/>
          </w:tcPr>
          <w:p w:rsidR="007A1ABB" w:rsidRPr="00064A1E" w:rsidRDefault="007A1ABB" w:rsidP="007A1ABB">
            <w:pPr>
              <w:jc w:val="both"/>
              <w:rPr>
                <w:rFonts w:cs="Times New Roman"/>
                <w:b/>
              </w:rPr>
            </w:pPr>
            <w:r>
              <w:rPr>
                <w:rFonts w:cs="Times New Roman"/>
                <w:b/>
              </w:rPr>
              <w:t xml:space="preserve">Kopā </w:t>
            </w:r>
          </w:p>
        </w:tc>
        <w:tc>
          <w:tcPr>
            <w:tcW w:w="1418" w:type="dxa"/>
            <w:shd w:val="clear" w:color="auto" w:fill="DFE4DA" w:themeFill="text2" w:themeFillTint="33"/>
          </w:tcPr>
          <w:p w:rsidR="007A1ABB" w:rsidRPr="003833E6" w:rsidRDefault="008207FF" w:rsidP="007A1ABB">
            <w:pPr>
              <w:jc w:val="both"/>
              <w:rPr>
                <w:rFonts w:cs="Times New Roman"/>
                <w:b/>
                <w:sz w:val="20"/>
                <w:szCs w:val="20"/>
              </w:rPr>
            </w:pPr>
            <w:r>
              <w:rPr>
                <w:rFonts w:cs="Times New Roman"/>
                <w:b/>
                <w:sz w:val="20"/>
                <w:szCs w:val="20"/>
              </w:rPr>
              <w:t>2 900 000</w:t>
            </w:r>
          </w:p>
        </w:tc>
        <w:tc>
          <w:tcPr>
            <w:tcW w:w="1559" w:type="dxa"/>
            <w:shd w:val="clear" w:color="auto" w:fill="DFE4DA" w:themeFill="text2" w:themeFillTint="33"/>
          </w:tcPr>
          <w:p w:rsidR="007A1ABB" w:rsidRPr="003833E6" w:rsidRDefault="007A1ABB" w:rsidP="007A1ABB">
            <w:pPr>
              <w:jc w:val="both"/>
              <w:rPr>
                <w:rFonts w:cs="Times New Roman"/>
                <w:b/>
                <w:sz w:val="20"/>
                <w:szCs w:val="20"/>
              </w:rPr>
            </w:pPr>
          </w:p>
        </w:tc>
        <w:tc>
          <w:tcPr>
            <w:tcW w:w="1418" w:type="dxa"/>
            <w:gridSpan w:val="2"/>
            <w:shd w:val="clear" w:color="auto" w:fill="DFE4DA" w:themeFill="text2" w:themeFillTint="33"/>
          </w:tcPr>
          <w:p w:rsidR="007A1ABB" w:rsidRPr="003833E6" w:rsidRDefault="008207FF" w:rsidP="007A1ABB">
            <w:pPr>
              <w:jc w:val="both"/>
              <w:rPr>
                <w:rFonts w:cs="Times New Roman"/>
                <w:b/>
                <w:sz w:val="20"/>
                <w:szCs w:val="20"/>
              </w:rPr>
            </w:pPr>
            <w:r>
              <w:rPr>
                <w:rFonts w:cs="Times New Roman"/>
                <w:b/>
                <w:sz w:val="20"/>
                <w:szCs w:val="20"/>
              </w:rPr>
              <w:t>1 000 000</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50 000</w:t>
            </w:r>
          </w:p>
        </w:tc>
        <w:tc>
          <w:tcPr>
            <w:tcW w:w="1418"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1 100 000</w:t>
            </w:r>
          </w:p>
        </w:tc>
        <w:tc>
          <w:tcPr>
            <w:tcW w:w="1559"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50 000</w:t>
            </w:r>
          </w:p>
        </w:tc>
        <w:tc>
          <w:tcPr>
            <w:tcW w:w="1417" w:type="dxa"/>
            <w:gridSpan w:val="2"/>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800 000</w:t>
            </w:r>
          </w:p>
        </w:tc>
        <w:tc>
          <w:tcPr>
            <w:tcW w:w="1560" w:type="dxa"/>
            <w:gridSpan w:val="3"/>
            <w:shd w:val="clear" w:color="auto" w:fill="DFE4DA" w:themeFill="text2" w:themeFillTint="33"/>
          </w:tcPr>
          <w:p w:rsidR="007A1ABB" w:rsidRPr="003833E6" w:rsidRDefault="007A1ABB" w:rsidP="007A1ABB">
            <w:pPr>
              <w:jc w:val="both"/>
              <w:rPr>
                <w:rFonts w:cs="Times New Roman"/>
                <w:b/>
                <w:sz w:val="20"/>
                <w:szCs w:val="20"/>
              </w:rPr>
            </w:pPr>
            <w:r>
              <w:rPr>
                <w:rFonts w:cs="Times New Roman"/>
                <w:b/>
                <w:sz w:val="20"/>
                <w:szCs w:val="20"/>
              </w:rPr>
              <w:t>50 000</w:t>
            </w:r>
          </w:p>
        </w:tc>
        <w:tc>
          <w:tcPr>
            <w:tcW w:w="1417" w:type="dxa"/>
            <w:shd w:val="clear" w:color="auto" w:fill="D4D9CF" w:themeFill="accent6" w:themeFillTint="66"/>
          </w:tcPr>
          <w:p w:rsidR="007A1ABB" w:rsidRDefault="0027014E" w:rsidP="007A1ABB">
            <w:pPr>
              <w:jc w:val="both"/>
              <w:rPr>
                <w:rFonts w:cs="Times New Roman"/>
                <w:b/>
                <w:sz w:val="20"/>
                <w:szCs w:val="20"/>
              </w:rPr>
            </w:pPr>
            <w:r>
              <w:rPr>
                <w:rFonts w:cs="Times New Roman"/>
                <w:b/>
                <w:sz w:val="20"/>
                <w:szCs w:val="20"/>
              </w:rPr>
              <w:t>5 95</w:t>
            </w:r>
            <w:r w:rsidR="008207FF">
              <w:rPr>
                <w:rFonts w:cs="Times New Roman"/>
                <w:b/>
                <w:sz w:val="20"/>
                <w:szCs w:val="20"/>
              </w:rPr>
              <w:t>0 000</w:t>
            </w:r>
          </w:p>
        </w:tc>
      </w:tr>
      <w:tr w:rsidR="007A1ABB" w:rsidRPr="00D23634" w:rsidTr="00BB19EA">
        <w:trPr>
          <w:trHeight w:val="470"/>
          <w:jc w:val="center"/>
        </w:trPr>
        <w:tc>
          <w:tcPr>
            <w:tcW w:w="15592" w:type="dxa"/>
            <w:gridSpan w:val="18"/>
            <w:shd w:val="clear" w:color="auto" w:fill="DF9778" w:themeFill="accent2" w:themeFillTint="99"/>
          </w:tcPr>
          <w:p w:rsidR="007A1ABB" w:rsidRDefault="007A1ABB" w:rsidP="005350B3">
            <w:pPr>
              <w:rPr>
                <w:rFonts w:cs="Times New Roman"/>
                <w:b/>
                <w:sz w:val="20"/>
                <w:szCs w:val="20"/>
              </w:rPr>
            </w:pPr>
          </w:p>
          <w:p w:rsidR="007A1ABB" w:rsidRDefault="007A1ABB" w:rsidP="007A1ABB">
            <w:pPr>
              <w:jc w:val="center"/>
              <w:rPr>
                <w:rFonts w:cs="Times New Roman"/>
                <w:b/>
                <w:sz w:val="28"/>
                <w:szCs w:val="28"/>
              </w:rPr>
            </w:pPr>
            <w:r w:rsidRPr="00BA1F6C">
              <w:rPr>
                <w:rFonts w:cs="Times New Roman"/>
                <w:b/>
                <w:sz w:val="28"/>
                <w:szCs w:val="28"/>
              </w:rPr>
              <w:t>Kopējais plāna finansējums</w:t>
            </w:r>
          </w:p>
          <w:p w:rsidR="007A1ABB" w:rsidRPr="00132AD9" w:rsidRDefault="007A1ABB" w:rsidP="007A1ABB">
            <w:pPr>
              <w:jc w:val="center"/>
              <w:rPr>
                <w:rFonts w:cs="Times New Roman"/>
                <w:b/>
                <w:sz w:val="20"/>
                <w:szCs w:val="20"/>
              </w:rPr>
            </w:pPr>
          </w:p>
        </w:tc>
      </w:tr>
      <w:tr w:rsidR="007A1ABB" w:rsidRPr="00D23634" w:rsidTr="008207FF">
        <w:trPr>
          <w:trHeight w:val="470"/>
          <w:jc w:val="center"/>
        </w:trPr>
        <w:tc>
          <w:tcPr>
            <w:tcW w:w="11198" w:type="dxa"/>
            <w:gridSpan w:val="12"/>
            <w:shd w:val="clear" w:color="auto" w:fill="BEC6B7" w:themeFill="accent6" w:themeFillTint="99"/>
          </w:tcPr>
          <w:p w:rsidR="007A1ABB" w:rsidRDefault="007A1ABB" w:rsidP="007A1ABB">
            <w:pPr>
              <w:jc w:val="both"/>
              <w:rPr>
                <w:rFonts w:cs="Times New Roman"/>
                <w:sz w:val="20"/>
                <w:szCs w:val="20"/>
              </w:rPr>
            </w:pPr>
          </w:p>
          <w:p w:rsidR="007A1ABB" w:rsidRPr="00836330" w:rsidRDefault="007A1ABB" w:rsidP="007A1ABB">
            <w:pPr>
              <w:jc w:val="right"/>
              <w:rPr>
                <w:rFonts w:cs="Times New Roman"/>
                <w:b/>
              </w:rPr>
            </w:pPr>
            <w:r w:rsidRPr="00836330">
              <w:rPr>
                <w:rFonts w:cs="Times New Roman"/>
                <w:b/>
              </w:rPr>
              <w:t>Valsts budžets</w:t>
            </w:r>
            <w:r>
              <w:rPr>
                <w:rStyle w:val="FootnoteReference"/>
                <w:rFonts w:cs="Times New Roman"/>
                <w:b/>
              </w:rPr>
              <w:footnoteReference w:id="28"/>
            </w:r>
            <w:r w:rsidRPr="00836330">
              <w:rPr>
                <w:rFonts w:cs="Times New Roman"/>
                <w:b/>
              </w:rPr>
              <w:t>, summa</w:t>
            </w:r>
            <w:r>
              <w:rPr>
                <w:rFonts w:cs="Times New Roman"/>
                <w:b/>
              </w:rPr>
              <w:t xml:space="preserve"> (</w:t>
            </w:r>
            <w:proofErr w:type="spellStart"/>
            <w:r w:rsidRPr="0000395E">
              <w:rPr>
                <w:rFonts w:cs="Times New Roman"/>
                <w:b/>
                <w:i/>
              </w:rPr>
              <w:t>euro</w:t>
            </w:r>
            <w:proofErr w:type="spellEnd"/>
            <w:r>
              <w:rPr>
                <w:rFonts w:cs="Times New Roman"/>
                <w:b/>
              </w:rPr>
              <w:t>)</w:t>
            </w:r>
          </w:p>
        </w:tc>
        <w:tc>
          <w:tcPr>
            <w:tcW w:w="4394" w:type="dxa"/>
            <w:gridSpan w:val="6"/>
            <w:shd w:val="clear" w:color="auto" w:fill="BEC6B7" w:themeFill="accent6" w:themeFillTint="99"/>
          </w:tcPr>
          <w:p w:rsidR="008207FF" w:rsidRDefault="008207FF" w:rsidP="007A1ABB">
            <w:pPr>
              <w:jc w:val="both"/>
              <w:rPr>
                <w:rFonts w:cs="Times New Roman"/>
                <w:b/>
              </w:rPr>
            </w:pPr>
          </w:p>
          <w:p w:rsidR="007A1ABB" w:rsidRPr="0000395E" w:rsidRDefault="0027014E" w:rsidP="007A1ABB">
            <w:pPr>
              <w:jc w:val="both"/>
              <w:rPr>
                <w:rFonts w:cs="Times New Roman"/>
                <w:b/>
              </w:rPr>
            </w:pPr>
            <w:r>
              <w:rPr>
                <w:rFonts w:cs="Times New Roman"/>
                <w:b/>
              </w:rPr>
              <w:t>5 95</w:t>
            </w:r>
            <w:r w:rsidR="008207FF" w:rsidRPr="008207FF">
              <w:rPr>
                <w:rFonts w:cs="Times New Roman"/>
                <w:b/>
              </w:rPr>
              <w:t>0 000</w:t>
            </w:r>
          </w:p>
        </w:tc>
      </w:tr>
      <w:tr w:rsidR="007A1ABB" w:rsidRPr="00D23634" w:rsidTr="008207FF">
        <w:trPr>
          <w:trHeight w:val="470"/>
          <w:jc w:val="center"/>
        </w:trPr>
        <w:tc>
          <w:tcPr>
            <w:tcW w:w="11198" w:type="dxa"/>
            <w:gridSpan w:val="12"/>
            <w:shd w:val="clear" w:color="auto" w:fill="BEC6B7" w:themeFill="accent6" w:themeFillTint="99"/>
          </w:tcPr>
          <w:p w:rsidR="007A1ABB" w:rsidRPr="00836330" w:rsidRDefault="007A1ABB" w:rsidP="007A1ABB">
            <w:pPr>
              <w:jc w:val="right"/>
              <w:rPr>
                <w:rFonts w:cs="Times New Roman"/>
                <w:b/>
              </w:rPr>
            </w:pPr>
            <w:r w:rsidRPr="00836330">
              <w:rPr>
                <w:rFonts w:cs="Times New Roman"/>
                <w:b/>
              </w:rPr>
              <w:t>OCTA budžets</w:t>
            </w:r>
            <w:r w:rsidR="008207FF">
              <w:rPr>
                <w:rStyle w:val="FootnoteReference"/>
                <w:rFonts w:cs="Times New Roman"/>
                <w:b/>
              </w:rPr>
              <w:footnoteReference w:id="29"/>
            </w:r>
            <w:r w:rsidRPr="00836330">
              <w:rPr>
                <w:rFonts w:cs="Times New Roman"/>
                <w:b/>
              </w:rPr>
              <w:t>, summa</w:t>
            </w:r>
            <w:r>
              <w:rPr>
                <w:rFonts w:cs="Times New Roman"/>
                <w:b/>
              </w:rPr>
              <w:t xml:space="preserve"> (</w:t>
            </w:r>
            <w:proofErr w:type="spellStart"/>
            <w:r w:rsidRPr="0000395E">
              <w:rPr>
                <w:rFonts w:cs="Times New Roman"/>
                <w:b/>
                <w:i/>
              </w:rPr>
              <w:t>euro</w:t>
            </w:r>
            <w:proofErr w:type="spellEnd"/>
            <w:r>
              <w:rPr>
                <w:rFonts w:cs="Times New Roman"/>
                <w:b/>
              </w:rPr>
              <w:t>)</w:t>
            </w:r>
          </w:p>
        </w:tc>
        <w:tc>
          <w:tcPr>
            <w:tcW w:w="4394" w:type="dxa"/>
            <w:gridSpan w:val="6"/>
            <w:shd w:val="clear" w:color="auto" w:fill="BEC6B7" w:themeFill="accent6" w:themeFillTint="99"/>
          </w:tcPr>
          <w:p w:rsidR="007A1ABB" w:rsidRPr="0000395E" w:rsidRDefault="007A1ABB" w:rsidP="00832A17">
            <w:pPr>
              <w:jc w:val="both"/>
              <w:rPr>
                <w:rFonts w:cs="Times New Roman"/>
                <w:b/>
              </w:rPr>
            </w:pPr>
            <w:r w:rsidRPr="00E54D8B">
              <w:rPr>
                <w:rFonts w:cs="Times New Roman"/>
                <w:b/>
              </w:rPr>
              <w:t>3</w:t>
            </w:r>
            <w:r w:rsidR="00832A17">
              <w:rPr>
                <w:rFonts w:cs="Times New Roman"/>
                <w:b/>
              </w:rPr>
              <w:t> 901 890</w:t>
            </w:r>
          </w:p>
        </w:tc>
      </w:tr>
      <w:tr w:rsidR="00A11015" w:rsidRPr="00D23634" w:rsidTr="008207FF">
        <w:trPr>
          <w:trHeight w:val="470"/>
          <w:jc w:val="center"/>
        </w:trPr>
        <w:tc>
          <w:tcPr>
            <w:tcW w:w="11198" w:type="dxa"/>
            <w:gridSpan w:val="12"/>
            <w:shd w:val="clear" w:color="auto" w:fill="BEC6B7" w:themeFill="accent6" w:themeFillTint="99"/>
          </w:tcPr>
          <w:p w:rsidR="00A11015" w:rsidRPr="00836330" w:rsidRDefault="00A11015" w:rsidP="007A1ABB">
            <w:pPr>
              <w:jc w:val="right"/>
              <w:rPr>
                <w:rFonts w:cs="Times New Roman"/>
                <w:b/>
              </w:rPr>
            </w:pPr>
            <w:r>
              <w:rPr>
                <w:rFonts w:cs="Times New Roman"/>
                <w:b/>
              </w:rPr>
              <w:t>CSDD dividendes</w:t>
            </w:r>
            <w:r w:rsidR="00021A4E">
              <w:rPr>
                <w:rFonts w:cs="Times New Roman"/>
                <w:b/>
              </w:rPr>
              <w:t xml:space="preserve">, summa </w:t>
            </w:r>
            <w:r w:rsidR="009A4FBF">
              <w:rPr>
                <w:rFonts w:cs="Times New Roman"/>
                <w:b/>
              </w:rPr>
              <w:t>(</w:t>
            </w:r>
            <w:proofErr w:type="spellStart"/>
            <w:r w:rsidR="008207FF" w:rsidRPr="0000395E">
              <w:rPr>
                <w:rFonts w:cs="Times New Roman"/>
                <w:b/>
                <w:i/>
              </w:rPr>
              <w:t>euro</w:t>
            </w:r>
            <w:proofErr w:type="spellEnd"/>
            <w:r w:rsidR="008207FF">
              <w:rPr>
                <w:rFonts w:cs="Times New Roman"/>
                <w:b/>
                <w:i/>
              </w:rPr>
              <w:t>)</w:t>
            </w:r>
            <w:r w:rsidR="008207FF" w:rsidRPr="008207FF">
              <w:rPr>
                <w:rStyle w:val="FootnoteReference"/>
                <w:rFonts w:cs="Times New Roman"/>
                <w:b/>
              </w:rPr>
              <w:footnoteReference w:id="30"/>
            </w:r>
          </w:p>
        </w:tc>
        <w:tc>
          <w:tcPr>
            <w:tcW w:w="4394" w:type="dxa"/>
            <w:gridSpan w:val="6"/>
            <w:shd w:val="clear" w:color="auto" w:fill="BEC6B7" w:themeFill="accent6" w:themeFillTint="99"/>
          </w:tcPr>
          <w:p w:rsidR="00A11015" w:rsidRPr="0000395E" w:rsidRDefault="008207FF" w:rsidP="007A1ABB">
            <w:pPr>
              <w:jc w:val="both"/>
              <w:rPr>
                <w:rFonts w:cs="Times New Roman"/>
                <w:b/>
              </w:rPr>
            </w:pPr>
            <w:r>
              <w:rPr>
                <w:rFonts w:cs="Times New Roman"/>
                <w:b/>
              </w:rPr>
              <w:t>4 322 635</w:t>
            </w:r>
          </w:p>
        </w:tc>
      </w:tr>
      <w:tr w:rsidR="007A1ABB" w:rsidRPr="00D23634" w:rsidTr="00BB19EA">
        <w:trPr>
          <w:trHeight w:val="470"/>
          <w:jc w:val="center"/>
        </w:trPr>
        <w:tc>
          <w:tcPr>
            <w:tcW w:w="11198" w:type="dxa"/>
            <w:gridSpan w:val="12"/>
            <w:shd w:val="clear" w:color="auto" w:fill="A2AE91" w:themeFill="text2" w:themeFillTint="99"/>
          </w:tcPr>
          <w:p w:rsidR="007A1ABB" w:rsidRPr="00836330" w:rsidRDefault="007A1ABB" w:rsidP="007A1ABB">
            <w:pPr>
              <w:jc w:val="right"/>
              <w:rPr>
                <w:rFonts w:cs="Times New Roman"/>
                <w:b/>
              </w:rPr>
            </w:pPr>
            <w:r w:rsidRPr="00836330">
              <w:rPr>
                <w:rFonts w:cs="Times New Roman"/>
                <w:b/>
              </w:rPr>
              <w:t>KOPĀ</w:t>
            </w:r>
            <w:r>
              <w:rPr>
                <w:rFonts w:cs="Times New Roman"/>
                <w:b/>
              </w:rPr>
              <w:t xml:space="preserve"> (</w:t>
            </w:r>
            <w:proofErr w:type="spellStart"/>
            <w:r w:rsidRPr="0000395E">
              <w:rPr>
                <w:rFonts w:cs="Times New Roman"/>
                <w:b/>
                <w:i/>
              </w:rPr>
              <w:t>euro</w:t>
            </w:r>
            <w:proofErr w:type="spellEnd"/>
            <w:r>
              <w:rPr>
                <w:rFonts w:cs="Times New Roman"/>
                <w:b/>
              </w:rPr>
              <w:t>)</w:t>
            </w:r>
          </w:p>
        </w:tc>
        <w:tc>
          <w:tcPr>
            <w:tcW w:w="4394" w:type="dxa"/>
            <w:gridSpan w:val="6"/>
            <w:shd w:val="clear" w:color="auto" w:fill="DF9778" w:themeFill="accent2" w:themeFillTint="99"/>
          </w:tcPr>
          <w:p w:rsidR="007A1ABB" w:rsidRPr="0000395E" w:rsidRDefault="00E54D8B" w:rsidP="00832A17">
            <w:pPr>
              <w:jc w:val="both"/>
              <w:rPr>
                <w:rFonts w:cs="Times New Roman"/>
                <w:b/>
              </w:rPr>
            </w:pPr>
            <w:r>
              <w:rPr>
                <w:b/>
                <w:bCs/>
              </w:rPr>
              <w:t>14</w:t>
            </w:r>
            <w:r w:rsidR="00832A17">
              <w:rPr>
                <w:b/>
                <w:bCs/>
              </w:rPr>
              <w:t> 174 525</w:t>
            </w:r>
          </w:p>
        </w:tc>
      </w:tr>
    </w:tbl>
    <w:p w:rsidR="00460E2E" w:rsidRDefault="00460E2E" w:rsidP="00CB5C17">
      <w:pPr>
        <w:jc w:val="both"/>
        <w:rPr>
          <w:rFonts w:cs="Times New Roman"/>
        </w:rPr>
      </w:pPr>
    </w:p>
    <w:p w:rsidR="005350B3" w:rsidRDefault="005350B3" w:rsidP="00CB5C17">
      <w:pPr>
        <w:jc w:val="both"/>
        <w:rPr>
          <w:rFonts w:cs="Times New Roman"/>
        </w:rPr>
      </w:pPr>
    </w:p>
    <w:p w:rsidR="003C0A45" w:rsidRDefault="003C0A45" w:rsidP="00CB5C17">
      <w:pPr>
        <w:jc w:val="both"/>
        <w:rPr>
          <w:rFonts w:cs="Times New Roman"/>
        </w:rPr>
      </w:pPr>
    </w:p>
    <w:p w:rsidR="00460E2E" w:rsidRPr="00460E2E" w:rsidRDefault="00460E2E" w:rsidP="00460E2E">
      <w:pPr>
        <w:tabs>
          <w:tab w:val="left" w:pos="993"/>
        </w:tabs>
        <w:ind w:left="993"/>
        <w:contextualSpacing/>
        <w:rPr>
          <w:sz w:val="28"/>
          <w:szCs w:val="28"/>
        </w:rPr>
      </w:pPr>
      <w:r w:rsidRPr="00460E2E">
        <w:rPr>
          <w:sz w:val="28"/>
          <w:szCs w:val="28"/>
        </w:rPr>
        <w:t xml:space="preserve">Satiksmes ministrs </w:t>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Pr="00460E2E">
        <w:rPr>
          <w:sz w:val="28"/>
          <w:szCs w:val="28"/>
        </w:rPr>
        <w:tab/>
      </w:r>
      <w:r w:rsidR="00B82C35">
        <w:rPr>
          <w:sz w:val="28"/>
          <w:szCs w:val="28"/>
        </w:rPr>
        <w:tab/>
      </w:r>
      <w:r w:rsidR="00B82C35">
        <w:rPr>
          <w:sz w:val="28"/>
          <w:szCs w:val="28"/>
        </w:rPr>
        <w:tab/>
      </w:r>
      <w:proofErr w:type="spellStart"/>
      <w:r w:rsidRPr="00460E2E">
        <w:rPr>
          <w:sz w:val="28"/>
          <w:szCs w:val="28"/>
        </w:rPr>
        <w:t>U.Augulis</w:t>
      </w:r>
      <w:proofErr w:type="spellEnd"/>
    </w:p>
    <w:p w:rsidR="00460E2E" w:rsidRPr="00460E2E" w:rsidRDefault="00460E2E" w:rsidP="00460E2E">
      <w:pPr>
        <w:tabs>
          <w:tab w:val="left" w:pos="993"/>
        </w:tabs>
        <w:ind w:left="993"/>
        <w:contextualSpacing/>
        <w:rPr>
          <w:sz w:val="28"/>
          <w:szCs w:val="28"/>
        </w:rPr>
      </w:pPr>
    </w:p>
    <w:p w:rsidR="00460E2E" w:rsidRPr="00460E2E" w:rsidRDefault="00460E2E" w:rsidP="00460E2E">
      <w:pPr>
        <w:tabs>
          <w:tab w:val="left" w:pos="993"/>
        </w:tabs>
        <w:ind w:left="993"/>
        <w:contextualSpacing/>
        <w:rPr>
          <w:sz w:val="28"/>
          <w:szCs w:val="28"/>
        </w:rPr>
      </w:pPr>
    </w:p>
    <w:p w:rsidR="006826E2" w:rsidRPr="006826E2" w:rsidRDefault="00460E2E" w:rsidP="006826E2">
      <w:pPr>
        <w:tabs>
          <w:tab w:val="left" w:pos="993"/>
        </w:tabs>
        <w:ind w:left="993"/>
        <w:rPr>
          <w:sz w:val="28"/>
          <w:szCs w:val="28"/>
        </w:rPr>
      </w:pPr>
      <w:r w:rsidRPr="00460E2E">
        <w:rPr>
          <w:sz w:val="28"/>
          <w:szCs w:val="28"/>
        </w:rPr>
        <w:t xml:space="preserve">Vīza: </w:t>
      </w:r>
      <w:r w:rsidR="006826E2">
        <w:rPr>
          <w:sz w:val="28"/>
          <w:szCs w:val="28"/>
        </w:rPr>
        <w:t>v</w:t>
      </w:r>
      <w:r w:rsidR="006826E2" w:rsidRPr="006826E2">
        <w:rPr>
          <w:sz w:val="28"/>
          <w:szCs w:val="28"/>
        </w:rPr>
        <w:t>alsts sekretāra vietā</w:t>
      </w:r>
    </w:p>
    <w:p w:rsidR="00460E2E" w:rsidRPr="00460E2E" w:rsidRDefault="006826E2" w:rsidP="006826E2">
      <w:pPr>
        <w:tabs>
          <w:tab w:val="left" w:pos="993"/>
        </w:tabs>
        <w:ind w:left="993"/>
        <w:rPr>
          <w:sz w:val="28"/>
          <w:szCs w:val="28"/>
        </w:rPr>
      </w:pPr>
      <w:r w:rsidRPr="006826E2">
        <w:rPr>
          <w:sz w:val="28"/>
          <w:szCs w:val="28"/>
        </w:rPr>
        <w:t xml:space="preserve">valsts sekretāra vietniece </w:t>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r>
      <w:r w:rsidRPr="006826E2">
        <w:rPr>
          <w:sz w:val="28"/>
          <w:szCs w:val="28"/>
        </w:rPr>
        <w:tab/>
        <w:t xml:space="preserve">          </w:t>
      </w:r>
      <w:r w:rsidRPr="006826E2">
        <w:rPr>
          <w:sz w:val="28"/>
          <w:szCs w:val="28"/>
        </w:rPr>
        <w:tab/>
      </w:r>
      <w:r w:rsidRPr="006826E2">
        <w:rPr>
          <w:sz w:val="28"/>
          <w:szCs w:val="28"/>
        </w:rPr>
        <w:tab/>
      </w:r>
      <w:proofErr w:type="spellStart"/>
      <w:r w:rsidRPr="006826E2">
        <w:rPr>
          <w:sz w:val="28"/>
          <w:szCs w:val="28"/>
        </w:rPr>
        <w:t>Dž.Innusa</w:t>
      </w:r>
      <w:proofErr w:type="spellEnd"/>
    </w:p>
    <w:p w:rsidR="003C0A45" w:rsidRPr="003C0A45" w:rsidRDefault="003C0A45" w:rsidP="00CB5C17">
      <w:pPr>
        <w:jc w:val="both"/>
        <w:rPr>
          <w:rFonts w:cs="Times New Roman"/>
        </w:rPr>
      </w:pPr>
    </w:p>
    <w:p w:rsidR="002E7A79" w:rsidRDefault="002E7A79" w:rsidP="00CB5C17">
      <w:pPr>
        <w:jc w:val="both"/>
        <w:rPr>
          <w:rFonts w:cs="Times New Roman"/>
          <w:b/>
          <w:sz w:val="28"/>
          <w:szCs w:val="28"/>
        </w:rPr>
      </w:pPr>
    </w:p>
    <w:p w:rsidR="00017686" w:rsidRPr="003C0A45" w:rsidRDefault="005A0E23" w:rsidP="005A0E23">
      <w:pPr>
        <w:tabs>
          <w:tab w:val="left" w:pos="5175"/>
        </w:tabs>
        <w:jc w:val="both"/>
        <w:rPr>
          <w:rFonts w:cs="Times New Roman"/>
          <w:b/>
          <w:sz w:val="28"/>
          <w:szCs w:val="28"/>
        </w:rPr>
      </w:pPr>
      <w:r>
        <w:rPr>
          <w:rFonts w:cs="Times New Roman"/>
          <w:b/>
          <w:sz w:val="28"/>
          <w:szCs w:val="28"/>
        </w:rPr>
        <w:tab/>
      </w:r>
      <w:bookmarkStart w:id="58" w:name="_GoBack"/>
      <w:bookmarkEnd w:id="58"/>
    </w:p>
    <w:p w:rsidR="002F3126" w:rsidRPr="003C0A45" w:rsidRDefault="005A0E23" w:rsidP="00A70D56">
      <w:pPr>
        <w:pStyle w:val="ListParagraph"/>
        <w:tabs>
          <w:tab w:val="left" w:pos="284"/>
        </w:tabs>
        <w:ind w:left="709" w:right="425" w:firstLine="426"/>
        <w:rPr>
          <w:rFonts w:cs="Times New Roman"/>
        </w:rPr>
      </w:pPr>
      <w:r>
        <w:rPr>
          <w:rFonts w:cs="Times New Roman"/>
        </w:rPr>
        <w:t>22.03</w:t>
      </w:r>
      <w:r w:rsidR="00EB4337">
        <w:rPr>
          <w:rFonts w:cs="Times New Roman"/>
        </w:rPr>
        <w:t>.</w:t>
      </w:r>
      <w:r w:rsidR="00EA5B8E">
        <w:rPr>
          <w:rFonts w:cs="Times New Roman"/>
        </w:rPr>
        <w:t>2017</w:t>
      </w:r>
      <w:r w:rsidR="003C5009">
        <w:rPr>
          <w:rFonts w:cs="Times New Roman"/>
        </w:rPr>
        <w:t>. 16:10</w:t>
      </w:r>
    </w:p>
    <w:p w:rsidR="002F3126" w:rsidRPr="003C0A45" w:rsidRDefault="00B61B57" w:rsidP="00017686">
      <w:pPr>
        <w:pStyle w:val="ListParagraph"/>
        <w:tabs>
          <w:tab w:val="left" w:pos="284"/>
        </w:tabs>
        <w:ind w:left="709" w:right="425" w:firstLine="426"/>
        <w:rPr>
          <w:rFonts w:cs="Times New Roman"/>
        </w:rPr>
      </w:pPr>
      <w:r>
        <w:rPr>
          <w:rFonts w:cs="Times New Roman"/>
        </w:rPr>
        <w:t>19726</w:t>
      </w:r>
    </w:p>
    <w:p w:rsidR="002F3126" w:rsidRPr="003C0A45" w:rsidRDefault="002F3126" w:rsidP="00A70D56">
      <w:pPr>
        <w:pStyle w:val="ListParagraph"/>
        <w:tabs>
          <w:tab w:val="left" w:pos="284"/>
        </w:tabs>
        <w:ind w:left="709" w:right="425" w:firstLine="426"/>
        <w:rPr>
          <w:rFonts w:cs="Times New Roman"/>
        </w:rPr>
      </w:pPr>
      <w:proofErr w:type="spellStart"/>
      <w:r w:rsidRPr="003C0A45">
        <w:rPr>
          <w:rFonts w:cs="Times New Roman"/>
        </w:rPr>
        <w:t>J.Kalniņš</w:t>
      </w:r>
      <w:proofErr w:type="spellEnd"/>
    </w:p>
    <w:p w:rsidR="002F3126" w:rsidRPr="003C0A45" w:rsidRDefault="002F3126" w:rsidP="00A70D56">
      <w:pPr>
        <w:pStyle w:val="ListParagraph"/>
        <w:tabs>
          <w:tab w:val="left" w:pos="284"/>
        </w:tabs>
        <w:ind w:left="709" w:right="425" w:firstLine="426"/>
        <w:rPr>
          <w:rFonts w:cs="Times New Roman"/>
        </w:rPr>
      </w:pPr>
      <w:r w:rsidRPr="003C0A45">
        <w:rPr>
          <w:rFonts w:cs="Times New Roman"/>
        </w:rPr>
        <w:t>67028118;</w:t>
      </w:r>
    </w:p>
    <w:p w:rsidR="003A5E4E" w:rsidRPr="00172EFE" w:rsidRDefault="002F3126" w:rsidP="00172EFE">
      <w:pPr>
        <w:pStyle w:val="ListParagraph"/>
        <w:tabs>
          <w:tab w:val="left" w:pos="284"/>
        </w:tabs>
        <w:ind w:left="709" w:right="425" w:firstLine="426"/>
        <w:rPr>
          <w:rFonts w:cs="Times New Roman"/>
        </w:rPr>
      </w:pPr>
      <w:r w:rsidRPr="003C0A45">
        <w:rPr>
          <w:rFonts w:cs="Times New Roman"/>
        </w:rPr>
        <w:t xml:space="preserve">janis.kalnins@sam.gov.lv                                                  </w:t>
      </w:r>
      <w:r w:rsidR="00172EFE">
        <w:rPr>
          <w:rFonts w:cs="Times New Roman"/>
        </w:rPr>
        <w:t xml:space="preserve">                        </w:t>
      </w:r>
    </w:p>
    <w:p w:rsidR="003A5E4E" w:rsidRPr="003A5E4E" w:rsidRDefault="003A5E4E" w:rsidP="003A5E4E"/>
    <w:p w:rsidR="002F3126" w:rsidRPr="003A5E4E" w:rsidRDefault="002F3126" w:rsidP="003A5E4E">
      <w:pPr>
        <w:tabs>
          <w:tab w:val="left" w:pos="4545"/>
        </w:tabs>
      </w:pPr>
    </w:p>
    <w:sectPr w:rsidR="002F3126" w:rsidRPr="003A5E4E" w:rsidSect="00CE1DED">
      <w:pgSz w:w="16838" w:h="11906" w:orient="landscape"/>
      <w:pgMar w:top="993" w:right="851" w:bottom="849" w:left="426" w:header="708" w:footer="1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8C" w:rsidRDefault="0094068C" w:rsidP="005E6810">
      <w:r>
        <w:separator/>
      </w:r>
    </w:p>
  </w:endnote>
  <w:endnote w:type="continuationSeparator" w:id="0">
    <w:p w:rsidR="0094068C" w:rsidRDefault="0094068C" w:rsidP="005E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8C" w:rsidRPr="004C5A8F" w:rsidRDefault="005A0E23">
    <w:pPr>
      <w:pStyle w:val="Footer"/>
      <w:rPr>
        <w:sz w:val="20"/>
        <w:szCs w:val="20"/>
      </w:rPr>
    </w:pPr>
    <w:r>
      <w:rPr>
        <w:sz w:val="20"/>
        <w:szCs w:val="20"/>
      </w:rPr>
      <w:t>2203</w:t>
    </w:r>
    <w:r w:rsidR="0094068C">
      <w:rPr>
        <w:sz w:val="20"/>
        <w:szCs w:val="20"/>
      </w:rPr>
      <w:t>17</w:t>
    </w:r>
    <w:r w:rsidR="0094068C" w:rsidRPr="004C5A8F">
      <w:rPr>
        <w:sz w:val="20"/>
        <w:szCs w:val="20"/>
      </w:rPr>
      <w:t>_CSDPlans; “Ceļu satiksmes drošības plāns 2017.-2020.gadam.”</w:t>
    </w:r>
  </w:p>
  <w:p w:rsidR="0094068C" w:rsidRDefault="0094068C">
    <w:pPr>
      <w:pStyle w:val="Footer"/>
    </w:pPr>
  </w:p>
  <w:p w:rsidR="0094068C" w:rsidRDefault="0094068C" w:rsidP="000F62DB">
    <w:pPr>
      <w:tabs>
        <w:tab w:val="left" w:pos="9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8C" w:rsidRDefault="0094068C" w:rsidP="005E6810">
      <w:r>
        <w:separator/>
      </w:r>
    </w:p>
  </w:footnote>
  <w:footnote w:type="continuationSeparator" w:id="0">
    <w:p w:rsidR="0094068C" w:rsidRDefault="0094068C" w:rsidP="005E6810">
      <w:r>
        <w:continuationSeparator/>
      </w:r>
    </w:p>
  </w:footnote>
  <w:footnote w:id="1">
    <w:p w:rsidR="0094068C" w:rsidRDefault="0094068C" w:rsidP="00B87E23">
      <w:pPr>
        <w:pStyle w:val="FootnoteText"/>
        <w:jc w:val="both"/>
      </w:pPr>
      <w:r>
        <w:rPr>
          <w:rStyle w:val="FootnoteReference"/>
        </w:rPr>
        <w:footnoteRef/>
      </w:r>
      <w:r>
        <w:t xml:space="preserve"> “</w:t>
      </w:r>
      <w:proofErr w:type="spellStart"/>
      <w:r>
        <w:t>Zero</w:t>
      </w:r>
      <w:proofErr w:type="spellEnd"/>
      <w:r>
        <w:t xml:space="preserve"> </w:t>
      </w:r>
      <w:proofErr w:type="spellStart"/>
      <w:r>
        <w:t>vision</w:t>
      </w:r>
      <w:proofErr w:type="spellEnd"/>
      <w:r>
        <w:t xml:space="preserve">” (angļu val.) -  vīzija par ceļu satiksmes drošību nākotnes autotransporta sistēmās. Tā galvenokārt ir saistīta ar vairākiem faktoriem,  kas ilgtermiņā būtu jāņem vērā ceļu satiksmes drošības uzlabošanai. Galvenais vīzijas mērķis pilnībā novērst </w:t>
      </w:r>
      <w:proofErr w:type="spellStart"/>
      <w:r>
        <w:t>CSNg</w:t>
      </w:r>
      <w:proofErr w:type="spellEnd"/>
      <w:r>
        <w:t xml:space="preserve"> cilvēku bojāeju un smagus ievainojumu gadījumus. “Baltā Grāmata” arī paredz šādu mērķi, nosakot, ka l</w:t>
      </w:r>
      <w:r w:rsidRPr="00B87E23">
        <w:t>īdz 2050. gadam</w:t>
      </w:r>
      <w:r>
        <w:t xml:space="preserve"> ir</w:t>
      </w:r>
      <w:r w:rsidRPr="00B87E23">
        <w:t xml:space="preserve"> </w:t>
      </w:r>
      <w:r>
        <w:t>jāpanāk</w:t>
      </w:r>
      <w:r w:rsidRPr="00B87E23">
        <w:t>, lai uz autoceļiem bojāgājušo skaits tuvotos nullei. Saskaņā ar šo uzdevumu ES mērķis ir uz pusi samazināt bojāgājušo skaitu līdz 2020. gadam. Nodrošināt, ka ES ieņem vadošo vietu pasaulē visu transporta veidu drošības un drošuma jomā.</w:t>
      </w:r>
    </w:p>
  </w:footnote>
  <w:footnote w:id="2">
    <w:p w:rsidR="0094068C" w:rsidRDefault="0094068C">
      <w:pPr>
        <w:pStyle w:val="FootnoteText"/>
      </w:pPr>
      <w:r>
        <w:rPr>
          <w:rStyle w:val="FootnoteReference"/>
        </w:rPr>
        <w:footnoteRef/>
      </w:r>
      <w:r>
        <w:t xml:space="preserve"> </w:t>
      </w:r>
      <w:r w:rsidRPr="00B47A01">
        <w:t xml:space="preserve">ITF (2016), </w:t>
      </w:r>
      <w:proofErr w:type="spellStart"/>
      <w:r w:rsidRPr="00B47A01">
        <w:t>Zero</w:t>
      </w:r>
      <w:proofErr w:type="spellEnd"/>
      <w:r w:rsidRPr="00B47A01">
        <w:t xml:space="preserve"> </w:t>
      </w:r>
      <w:proofErr w:type="spellStart"/>
      <w:r w:rsidRPr="00B47A01">
        <w:t>Road</w:t>
      </w:r>
      <w:proofErr w:type="spellEnd"/>
      <w:r w:rsidRPr="00B47A01">
        <w:t xml:space="preserve"> </w:t>
      </w:r>
      <w:proofErr w:type="spellStart"/>
      <w:r w:rsidRPr="00B47A01">
        <w:t>Deaths</w:t>
      </w:r>
      <w:proofErr w:type="spellEnd"/>
      <w:r w:rsidRPr="00B47A01">
        <w:t xml:space="preserve"> </w:t>
      </w:r>
      <w:proofErr w:type="spellStart"/>
      <w:r w:rsidRPr="00B47A01">
        <w:t>and</w:t>
      </w:r>
      <w:proofErr w:type="spellEnd"/>
      <w:r w:rsidRPr="00B47A01">
        <w:t xml:space="preserve"> </w:t>
      </w:r>
      <w:proofErr w:type="spellStart"/>
      <w:r w:rsidRPr="00B47A01">
        <w:t>Serious</w:t>
      </w:r>
      <w:proofErr w:type="spellEnd"/>
      <w:r w:rsidRPr="00B47A01">
        <w:t xml:space="preserve"> </w:t>
      </w:r>
      <w:proofErr w:type="spellStart"/>
      <w:r w:rsidRPr="00B47A01">
        <w:t>Injuries</w:t>
      </w:r>
      <w:proofErr w:type="spellEnd"/>
      <w:r w:rsidRPr="00B47A01">
        <w:t xml:space="preserve">: </w:t>
      </w:r>
      <w:proofErr w:type="spellStart"/>
      <w:r w:rsidRPr="00B47A01">
        <w:t>Leading</w:t>
      </w:r>
      <w:proofErr w:type="spellEnd"/>
      <w:r w:rsidRPr="00B47A01">
        <w:t xml:space="preserve"> a </w:t>
      </w:r>
      <w:proofErr w:type="spellStart"/>
      <w:r w:rsidRPr="00B47A01">
        <w:t>Paradigm</w:t>
      </w:r>
      <w:proofErr w:type="spellEnd"/>
      <w:r w:rsidRPr="00B47A01">
        <w:t xml:space="preserve"> </w:t>
      </w:r>
      <w:proofErr w:type="spellStart"/>
      <w:r w:rsidRPr="00B47A01">
        <w:t>Shift</w:t>
      </w:r>
      <w:proofErr w:type="spellEnd"/>
      <w:r w:rsidRPr="00B47A01">
        <w:t xml:space="preserve"> to a </w:t>
      </w:r>
      <w:proofErr w:type="spellStart"/>
      <w:r w:rsidRPr="00B47A01">
        <w:t>Safe</w:t>
      </w:r>
      <w:proofErr w:type="spellEnd"/>
      <w:r w:rsidRPr="00B47A01">
        <w:t xml:space="preserve"> </w:t>
      </w:r>
      <w:proofErr w:type="spellStart"/>
      <w:r w:rsidRPr="00B47A01">
        <w:t>System</w:t>
      </w:r>
      <w:proofErr w:type="spellEnd"/>
      <w:r w:rsidRPr="00B47A01">
        <w:t xml:space="preserve">, OECD </w:t>
      </w:r>
      <w:proofErr w:type="spellStart"/>
      <w:r w:rsidRPr="00B47A01">
        <w:t>Publishing</w:t>
      </w:r>
      <w:proofErr w:type="spellEnd"/>
      <w:r w:rsidRPr="00B47A01">
        <w:t>, Paris. http://dx.doi.org/10.1787/9789282108055-en</w:t>
      </w:r>
    </w:p>
  </w:footnote>
  <w:footnote w:id="3">
    <w:p w:rsidR="0094068C" w:rsidRDefault="0094068C">
      <w:pPr>
        <w:pStyle w:val="FootnoteText"/>
      </w:pPr>
      <w:r>
        <w:rPr>
          <w:rStyle w:val="FootnoteReference"/>
        </w:rPr>
        <w:footnoteRef/>
      </w:r>
      <w:r>
        <w:t xml:space="preserve"> Informācijas avots: Eiropas Komisija.</w:t>
      </w:r>
    </w:p>
  </w:footnote>
  <w:footnote w:id="4">
    <w:p w:rsidR="0094068C" w:rsidRDefault="0094068C">
      <w:pPr>
        <w:pStyle w:val="FootnoteText"/>
      </w:pPr>
      <w:r>
        <w:rPr>
          <w:rStyle w:val="FootnoteReference"/>
        </w:rPr>
        <w:footnoteRef/>
      </w:r>
      <w:r>
        <w:t xml:space="preserve"> Informācijas avots:  “</w:t>
      </w:r>
      <w:r w:rsidRPr="00007370">
        <w:t xml:space="preserve">10th </w:t>
      </w:r>
      <w:proofErr w:type="spellStart"/>
      <w:r w:rsidRPr="00007370">
        <w:t>Annual</w:t>
      </w:r>
      <w:proofErr w:type="spellEnd"/>
      <w:r w:rsidRPr="00007370">
        <w:t xml:space="preserve"> </w:t>
      </w:r>
      <w:proofErr w:type="spellStart"/>
      <w:r w:rsidRPr="00007370">
        <w:t>Road</w:t>
      </w:r>
      <w:proofErr w:type="spellEnd"/>
      <w:r w:rsidRPr="00007370">
        <w:t xml:space="preserve"> </w:t>
      </w:r>
      <w:proofErr w:type="spellStart"/>
      <w:r w:rsidRPr="00007370">
        <w:t>Safety</w:t>
      </w:r>
      <w:proofErr w:type="spellEnd"/>
      <w:r w:rsidRPr="00007370">
        <w:t xml:space="preserve"> Performance </w:t>
      </w:r>
      <w:proofErr w:type="spellStart"/>
      <w:r w:rsidRPr="00007370">
        <w:t>Index</w:t>
      </w:r>
      <w:proofErr w:type="spellEnd"/>
      <w:r w:rsidRPr="00007370">
        <w:t xml:space="preserve"> (PIN) </w:t>
      </w:r>
      <w:proofErr w:type="spellStart"/>
      <w:r w:rsidRPr="00007370">
        <w:t>Report</w:t>
      </w:r>
      <w:proofErr w:type="spellEnd"/>
      <w:r>
        <w:t xml:space="preserve">”, izdevējs – </w:t>
      </w:r>
      <w:proofErr w:type="spellStart"/>
      <w:r>
        <w:t>European</w:t>
      </w:r>
      <w:proofErr w:type="spellEnd"/>
      <w:r>
        <w:t xml:space="preserve"> Transport </w:t>
      </w:r>
      <w:proofErr w:type="spellStart"/>
      <w:r>
        <w:t>Safety</w:t>
      </w:r>
      <w:proofErr w:type="spellEnd"/>
      <w:r>
        <w:t xml:space="preserve"> </w:t>
      </w:r>
      <w:proofErr w:type="spellStart"/>
      <w:r>
        <w:t>Council</w:t>
      </w:r>
      <w:proofErr w:type="spellEnd"/>
      <w:r>
        <w:t>”</w:t>
      </w:r>
    </w:p>
  </w:footnote>
  <w:footnote w:id="5">
    <w:p w:rsidR="0094068C" w:rsidRDefault="0094068C" w:rsidP="000F191E">
      <w:pPr>
        <w:pStyle w:val="FootnoteText"/>
        <w:jc w:val="both"/>
      </w:pPr>
      <w:r>
        <w:rPr>
          <w:rStyle w:val="FootnoteReference"/>
        </w:rPr>
        <w:footnoteRef/>
      </w:r>
      <w:r>
        <w:t xml:space="preserve"> </w:t>
      </w:r>
      <w:proofErr w:type="spellStart"/>
      <w:r w:rsidRPr="0000308A">
        <w:t>Aprēkinos</w:t>
      </w:r>
      <w:proofErr w:type="spellEnd"/>
      <w:r w:rsidRPr="0000308A">
        <w:t xml:space="preserve"> 2008.-2013. gada datiem izmantots iedzīvotāju skaits, kas novērtēts izmantojot 2011.gada tautas skaitīšanas galīgos rezultātus</w:t>
      </w:r>
      <w:r>
        <w:t xml:space="preserve">. </w:t>
      </w:r>
    </w:p>
  </w:footnote>
  <w:footnote w:id="6">
    <w:p w:rsidR="0094068C" w:rsidRDefault="0094068C">
      <w:pPr>
        <w:pStyle w:val="FootnoteText"/>
      </w:pPr>
      <w:r>
        <w:rPr>
          <w:rStyle w:val="FootnoteReference"/>
        </w:rPr>
        <w:footnoteRef/>
      </w:r>
      <w:r>
        <w:t xml:space="preserve"> Valsts policijas statistika – 187, CSDD statistika 188.</w:t>
      </w:r>
    </w:p>
  </w:footnote>
  <w:footnote w:id="7">
    <w:p w:rsidR="0094068C" w:rsidRDefault="0094068C">
      <w:pPr>
        <w:pStyle w:val="FootnoteText"/>
      </w:pPr>
      <w:r>
        <w:rPr>
          <w:rStyle w:val="FootnoteReference"/>
        </w:rPr>
        <w:footnoteRef/>
      </w:r>
      <w:r>
        <w:t xml:space="preserve"> Par bērnu šajā statistikā ir uzskatāmas personas, kas ir vecumā līdz 15 gadiem.</w:t>
      </w:r>
    </w:p>
  </w:footnote>
  <w:footnote w:id="8">
    <w:p w:rsidR="0094068C" w:rsidRDefault="0094068C">
      <w:pPr>
        <w:pStyle w:val="FootnoteText"/>
      </w:pPr>
      <w:r>
        <w:rPr>
          <w:rStyle w:val="FootnoteReference"/>
        </w:rPr>
        <w:footnoteRef/>
      </w:r>
      <w:r>
        <w:t xml:space="preserve"> 2017.gada 2.februārī ir pieejami 2016.gada provizoriskie dati.</w:t>
      </w:r>
    </w:p>
  </w:footnote>
  <w:footnote w:id="9">
    <w:p w:rsidR="0094068C" w:rsidRDefault="0094068C">
      <w:pPr>
        <w:pStyle w:val="FootnoteText"/>
      </w:pPr>
      <w:r>
        <w:rPr>
          <w:rStyle w:val="FootnoteReference"/>
        </w:rPr>
        <w:footnoteRef/>
      </w:r>
      <w:r>
        <w:t xml:space="preserve"> </w:t>
      </w:r>
      <w:proofErr w:type="spellStart"/>
      <w:r w:rsidRPr="00DF3B37">
        <w:t>Global</w:t>
      </w:r>
      <w:proofErr w:type="spellEnd"/>
      <w:r w:rsidRPr="00DF3B37">
        <w:t xml:space="preserve"> </w:t>
      </w:r>
      <w:proofErr w:type="spellStart"/>
      <w:r w:rsidRPr="00DF3B37">
        <w:t>Positioning</w:t>
      </w:r>
      <w:proofErr w:type="spellEnd"/>
      <w:r w:rsidRPr="00DF3B37">
        <w:t xml:space="preserve"> </w:t>
      </w:r>
      <w:proofErr w:type="spellStart"/>
      <w:r w:rsidRPr="00DF3B37">
        <w:t>System</w:t>
      </w:r>
      <w:proofErr w:type="spellEnd"/>
      <w:r>
        <w:t xml:space="preserve">  (angļu val.) –globālā pozicionēšanas sistēma.</w:t>
      </w:r>
    </w:p>
  </w:footnote>
  <w:footnote w:id="10">
    <w:p w:rsidR="0094068C" w:rsidRPr="00571BA3" w:rsidRDefault="0094068C" w:rsidP="00CD5044">
      <w:pPr>
        <w:pStyle w:val="FootnoteText"/>
      </w:pPr>
      <w:r>
        <w:rPr>
          <w:rStyle w:val="FootnoteReference"/>
        </w:rPr>
        <w:footnoteRef/>
      </w:r>
      <w:r>
        <w:t xml:space="preserve"> </w:t>
      </w:r>
      <w:r w:rsidRPr="00571BA3">
        <w:t>Ministru kabineta 2003.gada 11.februāra noteikumi Nr.74 „</w:t>
      </w:r>
      <w:r w:rsidRPr="00571BA3">
        <w:rPr>
          <w:i/>
        </w:rPr>
        <w:t>Prasības individuālajiem aizsardzības līdzekļiem, to atbilstības novērtēšanas kārtība un tirgus uzraudzība</w:t>
      </w:r>
      <w:r>
        <w:t xml:space="preserve">”  un </w:t>
      </w:r>
      <w:r w:rsidRPr="00571BA3">
        <w:t>Eiropas Padomes Direktīva 89/686/EEK</w:t>
      </w:r>
      <w:r>
        <w:t xml:space="preserve"> </w:t>
      </w:r>
      <w:r w:rsidRPr="005044A7">
        <w:t>par dalībvalstu tiesību aktu tuvināšanu attiecībā uz individuālajiem aizsardzības līdzekļiem</w:t>
      </w:r>
      <w:r w:rsidRPr="00571BA3">
        <w:t xml:space="preserve">; </w:t>
      </w:r>
    </w:p>
    <w:p w:rsidR="0094068C" w:rsidRDefault="0094068C">
      <w:pPr>
        <w:pStyle w:val="FootnoteText"/>
      </w:pPr>
    </w:p>
  </w:footnote>
  <w:footnote w:id="11">
    <w:p w:rsidR="0094068C" w:rsidRDefault="0094068C">
      <w:pPr>
        <w:pStyle w:val="FootnoteText"/>
      </w:pPr>
      <w:r w:rsidRPr="00320E52">
        <w:rPr>
          <w:rStyle w:val="FootnoteReference"/>
        </w:rPr>
        <w:footnoteRef/>
      </w:r>
      <w:r w:rsidRPr="00320E52">
        <w:t xml:space="preserve"> 2015.gadā CSDD īstenotās kampaņas „Dzīvības josta” ietvaros veiktā aptauja un pētījums.</w:t>
      </w:r>
    </w:p>
  </w:footnote>
  <w:footnote w:id="12">
    <w:p w:rsidR="0094068C" w:rsidRPr="00302156" w:rsidRDefault="0094068C" w:rsidP="001167A7">
      <w:pPr>
        <w:pStyle w:val="NoSpacing"/>
        <w:rPr>
          <w:b/>
          <w:color w:val="FF0000"/>
        </w:rPr>
      </w:pPr>
      <w:r>
        <w:rPr>
          <w:rStyle w:val="FootnoteReference"/>
        </w:rPr>
        <w:footnoteRef/>
      </w:r>
      <w:r>
        <w:t xml:space="preserve"> </w:t>
      </w:r>
      <w:proofErr w:type="spellStart"/>
      <w:r w:rsidR="005E6027">
        <w:rPr>
          <w:color w:val="000000" w:themeColor="text1"/>
          <w:sz w:val="20"/>
          <w:szCs w:val="20"/>
        </w:rPr>
        <w:t>L.Blumfelda</w:t>
      </w:r>
      <w:proofErr w:type="spellEnd"/>
      <w:r w:rsidR="005E6027">
        <w:rPr>
          <w:color w:val="000000" w:themeColor="text1"/>
          <w:sz w:val="20"/>
          <w:szCs w:val="20"/>
        </w:rPr>
        <w:t xml:space="preserve"> pētījums</w:t>
      </w:r>
      <w:r w:rsidRPr="00FA7C2A">
        <w:rPr>
          <w:color w:val="000000" w:themeColor="text1"/>
          <w:sz w:val="20"/>
          <w:szCs w:val="20"/>
        </w:rPr>
        <w:t>: “Miegainības sastopamības biežums Latvijas transporta līdzekļu vadītāju vidū” rezultāti un secinājumi</w:t>
      </w:r>
      <w:r>
        <w:rPr>
          <w:color w:val="000000" w:themeColor="text1"/>
          <w:sz w:val="20"/>
          <w:szCs w:val="20"/>
        </w:rPr>
        <w:t xml:space="preserve"> (2014.gads)</w:t>
      </w:r>
      <w:r w:rsidRPr="00FA7C2A">
        <w:rPr>
          <w:color w:val="000000" w:themeColor="text1"/>
          <w:sz w:val="20"/>
          <w:szCs w:val="20"/>
        </w:rPr>
        <w:t>.</w:t>
      </w:r>
    </w:p>
    <w:p w:rsidR="0094068C" w:rsidRDefault="0094068C" w:rsidP="001167A7">
      <w:pPr>
        <w:pStyle w:val="FootnoteText"/>
      </w:pPr>
    </w:p>
  </w:footnote>
  <w:footnote w:id="13">
    <w:p w:rsidR="0094068C" w:rsidRDefault="0094068C">
      <w:pPr>
        <w:pStyle w:val="FootnoteText"/>
      </w:pPr>
      <w:r>
        <w:rPr>
          <w:rStyle w:val="FootnoteReference"/>
        </w:rPr>
        <w:footnoteRef/>
      </w:r>
      <w:r>
        <w:t xml:space="preserve"> </w:t>
      </w:r>
      <w:r w:rsidRPr="00067F26">
        <w:t xml:space="preserve">ITF (2016), </w:t>
      </w:r>
      <w:proofErr w:type="spellStart"/>
      <w:r w:rsidRPr="00067F26">
        <w:t>Zero</w:t>
      </w:r>
      <w:proofErr w:type="spellEnd"/>
      <w:r w:rsidRPr="00067F26">
        <w:t xml:space="preserve"> </w:t>
      </w:r>
      <w:proofErr w:type="spellStart"/>
      <w:r w:rsidRPr="00067F26">
        <w:t>Road</w:t>
      </w:r>
      <w:proofErr w:type="spellEnd"/>
      <w:r w:rsidRPr="00067F26">
        <w:t xml:space="preserve"> </w:t>
      </w:r>
      <w:proofErr w:type="spellStart"/>
      <w:r w:rsidRPr="00067F26">
        <w:t>Deaths</w:t>
      </w:r>
      <w:proofErr w:type="spellEnd"/>
      <w:r w:rsidRPr="00067F26">
        <w:t xml:space="preserve"> </w:t>
      </w:r>
      <w:proofErr w:type="spellStart"/>
      <w:r w:rsidRPr="00067F26">
        <w:t>and</w:t>
      </w:r>
      <w:proofErr w:type="spellEnd"/>
      <w:r w:rsidRPr="00067F26">
        <w:t xml:space="preserve"> </w:t>
      </w:r>
      <w:proofErr w:type="spellStart"/>
      <w:r w:rsidRPr="00067F26">
        <w:t>Serious</w:t>
      </w:r>
      <w:proofErr w:type="spellEnd"/>
      <w:r w:rsidRPr="00067F26">
        <w:t xml:space="preserve"> </w:t>
      </w:r>
      <w:proofErr w:type="spellStart"/>
      <w:r w:rsidRPr="00067F26">
        <w:t>Injuries</w:t>
      </w:r>
      <w:proofErr w:type="spellEnd"/>
      <w:r w:rsidRPr="00067F26">
        <w:t xml:space="preserve">: </w:t>
      </w:r>
      <w:proofErr w:type="spellStart"/>
      <w:r w:rsidRPr="00067F26">
        <w:t>Leading</w:t>
      </w:r>
      <w:proofErr w:type="spellEnd"/>
      <w:r w:rsidRPr="00067F26">
        <w:t xml:space="preserve"> a </w:t>
      </w:r>
      <w:proofErr w:type="spellStart"/>
      <w:r w:rsidRPr="00067F26">
        <w:t>Paradigm</w:t>
      </w:r>
      <w:proofErr w:type="spellEnd"/>
      <w:r w:rsidRPr="00067F26">
        <w:t xml:space="preserve"> </w:t>
      </w:r>
      <w:proofErr w:type="spellStart"/>
      <w:r w:rsidRPr="00067F26">
        <w:t>Shift</w:t>
      </w:r>
      <w:proofErr w:type="spellEnd"/>
      <w:r w:rsidRPr="00067F26">
        <w:t xml:space="preserve"> to a </w:t>
      </w:r>
      <w:proofErr w:type="spellStart"/>
      <w:r w:rsidRPr="00067F26">
        <w:t>Safe</w:t>
      </w:r>
      <w:proofErr w:type="spellEnd"/>
      <w:r w:rsidRPr="00067F26">
        <w:t xml:space="preserve"> </w:t>
      </w:r>
      <w:proofErr w:type="spellStart"/>
      <w:r w:rsidRPr="00067F26">
        <w:t>System</w:t>
      </w:r>
      <w:proofErr w:type="spellEnd"/>
      <w:r w:rsidRPr="00067F26">
        <w:t xml:space="preserve">, OECD </w:t>
      </w:r>
      <w:proofErr w:type="spellStart"/>
      <w:r w:rsidRPr="00067F26">
        <w:t>Publishing</w:t>
      </w:r>
      <w:proofErr w:type="spellEnd"/>
      <w:r w:rsidRPr="00067F26">
        <w:t>, Paris. http://dx.doi.org/10.1787/9789282108055-en</w:t>
      </w:r>
    </w:p>
  </w:footnote>
  <w:footnote w:id="14">
    <w:p w:rsidR="0094068C" w:rsidRDefault="0094068C">
      <w:pPr>
        <w:pStyle w:val="FootnoteText"/>
      </w:pPr>
      <w:r>
        <w:rPr>
          <w:rStyle w:val="FootnoteReference"/>
        </w:rPr>
        <w:footnoteRef/>
      </w:r>
      <w:r>
        <w:t xml:space="preserve"> Kognitīvs - a</w:t>
      </w:r>
      <w:r w:rsidRPr="008A0A1A">
        <w:t>r izziņu (</w:t>
      </w:r>
      <w:proofErr w:type="spellStart"/>
      <w:r w:rsidRPr="008A0A1A">
        <w:t>izzinātājdarbību</w:t>
      </w:r>
      <w:proofErr w:type="spellEnd"/>
      <w:r w:rsidRPr="008A0A1A">
        <w:t>) saistīts; tāds, ka pamatā ir izziņa (</w:t>
      </w:r>
      <w:proofErr w:type="spellStart"/>
      <w:r w:rsidRPr="008A0A1A">
        <w:t>izzinātājdarbība</w:t>
      </w:r>
      <w:proofErr w:type="spellEnd"/>
      <w:r w:rsidRPr="008A0A1A">
        <w:t>).</w:t>
      </w:r>
      <w:r>
        <w:t xml:space="preserve"> Avots: </w:t>
      </w:r>
      <w:r w:rsidRPr="008A0A1A">
        <w:t>http://www.vardnica.lv/</w:t>
      </w:r>
    </w:p>
  </w:footnote>
  <w:footnote w:id="15">
    <w:p w:rsidR="0094068C" w:rsidRDefault="0094068C">
      <w:pPr>
        <w:pStyle w:val="FootnoteText"/>
      </w:pPr>
      <w:r>
        <w:rPr>
          <w:rStyle w:val="FootnoteReference"/>
        </w:rPr>
        <w:footnoteRef/>
      </w:r>
      <w:r>
        <w:t xml:space="preserve"> </w:t>
      </w:r>
      <w:r w:rsidRPr="00067F26">
        <w:t xml:space="preserve">ITF (2016), </w:t>
      </w:r>
      <w:proofErr w:type="spellStart"/>
      <w:r w:rsidRPr="00067F26">
        <w:t>Zero</w:t>
      </w:r>
      <w:proofErr w:type="spellEnd"/>
      <w:r w:rsidRPr="00067F26">
        <w:t xml:space="preserve"> </w:t>
      </w:r>
      <w:proofErr w:type="spellStart"/>
      <w:r w:rsidRPr="00067F26">
        <w:t>Road</w:t>
      </w:r>
      <w:proofErr w:type="spellEnd"/>
      <w:r w:rsidRPr="00067F26">
        <w:t xml:space="preserve"> </w:t>
      </w:r>
      <w:proofErr w:type="spellStart"/>
      <w:r w:rsidRPr="00067F26">
        <w:t>Deaths</w:t>
      </w:r>
      <w:proofErr w:type="spellEnd"/>
      <w:r w:rsidRPr="00067F26">
        <w:t xml:space="preserve"> </w:t>
      </w:r>
      <w:proofErr w:type="spellStart"/>
      <w:r w:rsidRPr="00067F26">
        <w:t>and</w:t>
      </w:r>
      <w:proofErr w:type="spellEnd"/>
      <w:r w:rsidRPr="00067F26">
        <w:t xml:space="preserve"> </w:t>
      </w:r>
      <w:proofErr w:type="spellStart"/>
      <w:r w:rsidRPr="00067F26">
        <w:t>Serious</w:t>
      </w:r>
      <w:proofErr w:type="spellEnd"/>
      <w:r w:rsidRPr="00067F26">
        <w:t xml:space="preserve"> </w:t>
      </w:r>
      <w:proofErr w:type="spellStart"/>
      <w:r w:rsidRPr="00067F26">
        <w:t>Injuries</w:t>
      </w:r>
      <w:proofErr w:type="spellEnd"/>
      <w:r w:rsidRPr="00067F26">
        <w:t xml:space="preserve">: </w:t>
      </w:r>
      <w:proofErr w:type="spellStart"/>
      <w:r w:rsidRPr="00067F26">
        <w:t>Leading</w:t>
      </w:r>
      <w:proofErr w:type="spellEnd"/>
      <w:r w:rsidRPr="00067F26">
        <w:t xml:space="preserve"> a </w:t>
      </w:r>
      <w:proofErr w:type="spellStart"/>
      <w:r w:rsidRPr="00067F26">
        <w:t>Paradigm</w:t>
      </w:r>
      <w:proofErr w:type="spellEnd"/>
      <w:r w:rsidRPr="00067F26">
        <w:t xml:space="preserve"> </w:t>
      </w:r>
      <w:proofErr w:type="spellStart"/>
      <w:r w:rsidRPr="00067F26">
        <w:t>Shift</w:t>
      </w:r>
      <w:proofErr w:type="spellEnd"/>
      <w:r w:rsidRPr="00067F26">
        <w:t xml:space="preserve"> to a </w:t>
      </w:r>
      <w:proofErr w:type="spellStart"/>
      <w:r w:rsidRPr="00067F26">
        <w:t>Safe</w:t>
      </w:r>
      <w:proofErr w:type="spellEnd"/>
      <w:r w:rsidRPr="00067F26">
        <w:t xml:space="preserve"> </w:t>
      </w:r>
      <w:proofErr w:type="spellStart"/>
      <w:r w:rsidRPr="00067F26">
        <w:t>System</w:t>
      </w:r>
      <w:proofErr w:type="spellEnd"/>
      <w:r w:rsidRPr="00067F26">
        <w:t xml:space="preserve">, OECD </w:t>
      </w:r>
      <w:proofErr w:type="spellStart"/>
      <w:r w:rsidRPr="00067F26">
        <w:t>Publishing</w:t>
      </w:r>
      <w:proofErr w:type="spellEnd"/>
      <w:r w:rsidRPr="00067F26">
        <w:t>, Paris. http://dx.doi.org/10.1787/9789282108055-en</w:t>
      </w:r>
    </w:p>
  </w:footnote>
  <w:footnote w:id="16">
    <w:p w:rsidR="0094068C" w:rsidRDefault="0094068C">
      <w:pPr>
        <w:pStyle w:val="FootnoteText"/>
      </w:pPr>
      <w:r>
        <w:rPr>
          <w:rStyle w:val="FootnoteReference"/>
        </w:rPr>
        <w:footnoteRef/>
      </w:r>
      <w:r>
        <w:t xml:space="preserve"> </w:t>
      </w:r>
      <w:r w:rsidRPr="008037A8">
        <w:t xml:space="preserve">ITF (2016), </w:t>
      </w:r>
      <w:proofErr w:type="spellStart"/>
      <w:r w:rsidRPr="008037A8">
        <w:t>Zero</w:t>
      </w:r>
      <w:proofErr w:type="spellEnd"/>
      <w:r w:rsidRPr="008037A8">
        <w:t xml:space="preserve"> </w:t>
      </w:r>
      <w:proofErr w:type="spellStart"/>
      <w:r w:rsidRPr="008037A8">
        <w:t>Road</w:t>
      </w:r>
      <w:proofErr w:type="spellEnd"/>
      <w:r w:rsidRPr="008037A8">
        <w:t xml:space="preserve"> </w:t>
      </w:r>
      <w:proofErr w:type="spellStart"/>
      <w:r w:rsidRPr="008037A8">
        <w:t>Deaths</w:t>
      </w:r>
      <w:proofErr w:type="spellEnd"/>
      <w:r w:rsidRPr="008037A8">
        <w:t xml:space="preserve"> </w:t>
      </w:r>
      <w:proofErr w:type="spellStart"/>
      <w:r w:rsidRPr="008037A8">
        <w:t>and</w:t>
      </w:r>
      <w:proofErr w:type="spellEnd"/>
      <w:r w:rsidRPr="008037A8">
        <w:t xml:space="preserve"> </w:t>
      </w:r>
      <w:proofErr w:type="spellStart"/>
      <w:r w:rsidRPr="008037A8">
        <w:t>Serious</w:t>
      </w:r>
      <w:proofErr w:type="spellEnd"/>
      <w:r w:rsidRPr="008037A8">
        <w:t xml:space="preserve"> </w:t>
      </w:r>
      <w:proofErr w:type="spellStart"/>
      <w:r w:rsidRPr="008037A8">
        <w:t>Injuries</w:t>
      </w:r>
      <w:proofErr w:type="spellEnd"/>
      <w:r w:rsidRPr="008037A8">
        <w:t xml:space="preserve">: </w:t>
      </w:r>
      <w:proofErr w:type="spellStart"/>
      <w:r w:rsidRPr="008037A8">
        <w:t>Leading</w:t>
      </w:r>
      <w:proofErr w:type="spellEnd"/>
      <w:r w:rsidRPr="008037A8">
        <w:t xml:space="preserve"> a </w:t>
      </w:r>
      <w:proofErr w:type="spellStart"/>
      <w:r w:rsidRPr="008037A8">
        <w:t>Paradigm</w:t>
      </w:r>
      <w:proofErr w:type="spellEnd"/>
      <w:r w:rsidRPr="008037A8">
        <w:t xml:space="preserve"> </w:t>
      </w:r>
      <w:proofErr w:type="spellStart"/>
      <w:r w:rsidRPr="008037A8">
        <w:t>Shift</w:t>
      </w:r>
      <w:proofErr w:type="spellEnd"/>
      <w:r w:rsidRPr="008037A8">
        <w:t xml:space="preserve"> to a </w:t>
      </w:r>
      <w:proofErr w:type="spellStart"/>
      <w:r w:rsidRPr="008037A8">
        <w:t>Safe</w:t>
      </w:r>
      <w:proofErr w:type="spellEnd"/>
      <w:r w:rsidRPr="008037A8">
        <w:t xml:space="preserve"> </w:t>
      </w:r>
      <w:proofErr w:type="spellStart"/>
      <w:r w:rsidRPr="008037A8">
        <w:t>System</w:t>
      </w:r>
      <w:proofErr w:type="spellEnd"/>
      <w:r w:rsidRPr="008037A8">
        <w:t xml:space="preserve">, OECD </w:t>
      </w:r>
      <w:proofErr w:type="spellStart"/>
      <w:r w:rsidRPr="008037A8">
        <w:t>Publishing</w:t>
      </w:r>
      <w:proofErr w:type="spellEnd"/>
      <w:r w:rsidRPr="008037A8">
        <w:t>, Paris. http://dx.doi.org/10.1787/9789282108055-en</w:t>
      </w:r>
    </w:p>
  </w:footnote>
  <w:footnote w:id="17">
    <w:p w:rsidR="0094068C" w:rsidRDefault="0094068C">
      <w:pPr>
        <w:pStyle w:val="FootnoteText"/>
      </w:pPr>
      <w:r>
        <w:rPr>
          <w:rStyle w:val="FootnoteReference"/>
        </w:rPr>
        <w:footnoteRef/>
      </w:r>
      <w:r>
        <w:t xml:space="preserve"> </w:t>
      </w:r>
      <w:r w:rsidRPr="002A7939">
        <w:t xml:space="preserve">ITF (2016), </w:t>
      </w:r>
      <w:proofErr w:type="spellStart"/>
      <w:r w:rsidRPr="002A7939">
        <w:t>Zero</w:t>
      </w:r>
      <w:proofErr w:type="spellEnd"/>
      <w:r w:rsidRPr="002A7939">
        <w:t xml:space="preserve"> </w:t>
      </w:r>
      <w:proofErr w:type="spellStart"/>
      <w:r w:rsidRPr="002A7939">
        <w:t>Road</w:t>
      </w:r>
      <w:proofErr w:type="spellEnd"/>
      <w:r w:rsidRPr="002A7939">
        <w:t xml:space="preserve"> </w:t>
      </w:r>
      <w:proofErr w:type="spellStart"/>
      <w:r w:rsidRPr="002A7939">
        <w:t>Deaths</w:t>
      </w:r>
      <w:proofErr w:type="spellEnd"/>
      <w:r w:rsidRPr="002A7939">
        <w:t xml:space="preserve"> </w:t>
      </w:r>
      <w:proofErr w:type="spellStart"/>
      <w:r w:rsidRPr="002A7939">
        <w:t>and</w:t>
      </w:r>
      <w:proofErr w:type="spellEnd"/>
      <w:r w:rsidRPr="002A7939">
        <w:t xml:space="preserve"> </w:t>
      </w:r>
      <w:proofErr w:type="spellStart"/>
      <w:r w:rsidRPr="002A7939">
        <w:t>Serious</w:t>
      </w:r>
      <w:proofErr w:type="spellEnd"/>
      <w:r w:rsidRPr="002A7939">
        <w:t xml:space="preserve"> </w:t>
      </w:r>
      <w:proofErr w:type="spellStart"/>
      <w:r w:rsidRPr="002A7939">
        <w:t>Injuries</w:t>
      </w:r>
      <w:proofErr w:type="spellEnd"/>
      <w:r w:rsidRPr="002A7939">
        <w:t xml:space="preserve">: </w:t>
      </w:r>
      <w:proofErr w:type="spellStart"/>
      <w:r w:rsidRPr="002A7939">
        <w:t>Leading</w:t>
      </w:r>
      <w:proofErr w:type="spellEnd"/>
      <w:r w:rsidRPr="002A7939">
        <w:t xml:space="preserve"> a </w:t>
      </w:r>
      <w:proofErr w:type="spellStart"/>
      <w:r w:rsidRPr="002A7939">
        <w:t>Paradigm</w:t>
      </w:r>
      <w:proofErr w:type="spellEnd"/>
      <w:r w:rsidRPr="002A7939">
        <w:t xml:space="preserve"> </w:t>
      </w:r>
      <w:proofErr w:type="spellStart"/>
      <w:r w:rsidRPr="002A7939">
        <w:t>Shift</w:t>
      </w:r>
      <w:proofErr w:type="spellEnd"/>
      <w:r w:rsidRPr="002A7939">
        <w:t xml:space="preserve"> to a </w:t>
      </w:r>
      <w:proofErr w:type="spellStart"/>
      <w:r w:rsidRPr="002A7939">
        <w:t>Safe</w:t>
      </w:r>
      <w:proofErr w:type="spellEnd"/>
      <w:r w:rsidRPr="002A7939">
        <w:t xml:space="preserve"> </w:t>
      </w:r>
      <w:proofErr w:type="spellStart"/>
      <w:r w:rsidRPr="002A7939">
        <w:t>System</w:t>
      </w:r>
      <w:proofErr w:type="spellEnd"/>
      <w:r w:rsidRPr="002A7939">
        <w:t xml:space="preserve">, OECD </w:t>
      </w:r>
      <w:proofErr w:type="spellStart"/>
      <w:r w:rsidRPr="002A7939">
        <w:t>Publishing</w:t>
      </w:r>
      <w:proofErr w:type="spellEnd"/>
      <w:r w:rsidRPr="002A7939">
        <w:t>, Paris. http://dx.doi.org/10.1787/9789282108055-en</w:t>
      </w:r>
    </w:p>
  </w:footnote>
  <w:footnote w:id="18">
    <w:p w:rsidR="0094068C" w:rsidRDefault="0094068C">
      <w:pPr>
        <w:pStyle w:val="FootnoteText"/>
      </w:pPr>
      <w:r>
        <w:rPr>
          <w:rStyle w:val="FootnoteReference"/>
        </w:rPr>
        <w:footnoteRef/>
      </w:r>
      <w:r>
        <w:t xml:space="preserve"> </w:t>
      </w:r>
      <w:r w:rsidRPr="002A7939">
        <w:t xml:space="preserve">ITF (2016), </w:t>
      </w:r>
      <w:proofErr w:type="spellStart"/>
      <w:r w:rsidRPr="002A7939">
        <w:t>Zero</w:t>
      </w:r>
      <w:proofErr w:type="spellEnd"/>
      <w:r w:rsidRPr="002A7939">
        <w:t xml:space="preserve"> </w:t>
      </w:r>
      <w:proofErr w:type="spellStart"/>
      <w:r w:rsidRPr="002A7939">
        <w:t>Road</w:t>
      </w:r>
      <w:proofErr w:type="spellEnd"/>
      <w:r w:rsidRPr="002A7939">
        <w:t xml:space="preserve"> </w:t>
      </w:r>
      <w:proofErr w:type="spellStart"/>
      <w:r w:rsidRPr="002A7939">
        <w:t>Deaths</w:t>
      </w:r>
      <w:proofErr w:type="spellEnd"/>
      <w:r w:rsidRPr="002A7939">
        <w:t xml:space="preserve"> </w:t>
      </w:r>
      <w:proofErr w:type="spellStart"/>
      <w:r w:rsidRPr="002A7939">
        <w:t>and</w:t>
      </w:r>
      <w:proofErr w:type="spellEnd"/>
      <w:r w:rsidRPr="002A7939">
        <w:t xml:space="preserve"> </w:t>
      </w:r>
      <w:proofErr w:type="spellStart"/>
      <w:r w:rsidRPr="002A7939">
        <w:t>Serious</w:t>
      </w:r>
      <w:proofErr w:type="spellEnd"/>
      <w:r w:rsidRPr="002A7939">
        <w:t xml:space="preserve"> </w:t>
      </w:r>
      <w:proofErr w:type="spellStart"/>
      <w:r w:rsidRPr="002A7939">
        <w:t>Injuries</w:t>
      </w:r>
      <w:proofErr w:type="spellEnd"/>
      <w:r w:rsidRPr="002A7939">
        <w:t xml:space="preserve">: </w:t>
      </w:r>
      <w:proofErr w:type="spellStart"/>
      <w:r w:rsidRPr="002A7939">
        <w:t>Leading</w:t>
      </w:r>
      <w:proofErr w:type="spellEnd"/>
      <w:r w:rsidRPr="002A7939">
        <w:t xml:space="preserve"> a </w:t>
      </w:r>
      <w:proofErr w:type="spellStart"/>
      <w:r w:rsidRPr="002A7939">
        <w:t>Paradigm</w:t>
      </w:r>
      <w:proofErr w:type="spellEnd"/>
      <w:r w:rsidRPr="002A7939">
        <w:t xml:space="preserve"> </w:t>
      </w:r>
      <w:proofErr w:type="spellStart"/>
      <w:r w:rsidRPr="002A7939">
        <w:t>Shift</w:t>
      </w:r>
      <w:proofErr w:type="spellEnd"/>
      <w:r w:rsidRPr="002A7939">
        <w:t xml:space="preserve"> to a </w:t>
      </w:r>
      <w:proofErr w:type="spellStart"/>
      <w:r w:rsidRPr="002A7939">
        <w:t>Safe</w:t>
      </w:r>
      <w:proofErr w:type="spellEnd"/>
      <w:r w:rsidRPr="002A7939">
        <w:t xml:space="preserve"> </w:t>
      </w:r>
      <w:proofErr w:type="spellStart"/>
      <w:r w:rsidRPr="002A7939">
        <w:t>System</w:t>
      </w:r>
      <w:proofErr w:type="spellEnd"/>
      <w:r w:rsidRPr="002A7939">
        <w:t xml:space="preserve">, OECD </w:t>
      </w:r>
      <w:proofErr w:type="spellStart"/>
      <w:r w:rsidRPr="002A7939">
        <w:t>Publishing</w:t>
      </w:r>
      <w:proofErr w:type="spellEnd"/>
      <w:r w:rsidRPr="002A7939">
        <w:t>, Paris. http://dx.doi.org/10.1787/9789282108055-en</w:t>
      </w:r>
    </w:p>
  </w:footnote>
  <w:footnote w:id="19">
    <w:p w:rsidR="0094068C" w:rsidRDefault="0094068C" w:rsidP="00566A32">
      <w:pPr>
        <w:pStyle w:val="FootnoteText"/>
      </w:pPr>
      <w:r>
        <w:rPr>
          <w:rStyle w:val="FootnoteReference"/>
        </w:rPr>
        <w:footnoteRef/>
      </w:r>
      <w:r>
        <w:t xml:space="preserve"> Eiropas Savienības</w:t>
      </w:r>
      <w:r w:rsidRPr="00CA44E6">
        <w:t xml:space="preserve"> jau</w:t>
      </w:r>
      <w:r>
        <w:t>nu</w:t>
      </w:r>
      <w:r w:rsidRPr="00CA44E6">
        <w:t xml:space="preserve"> automobiļu </w:t>
      </w:r>
      <w:r>
        <w:t xml:space="preserve">sadursmju drošības </w:t>
      </w:r>
      <w:r w:rsidRPr="00CA44E6">
        <w:t>novē</w:t>
      </w:r>
      <w:r>
        <w:t>rtēšanas programma (</w:t>
      </w:r>
      <w:proofErr w:type="spellStart"/>
      <w:r>
        <w:t>Euro</w:t>
      </w:r>
      <w:proofErr w:type="spellEnd"/>
      <w:r>
        <w:t xml:space="preserve"> NCAP)</w:t>
      </w:r>
      <w:r w:rsidRPr="00CA44E6">
        <w:t xml:space="preserve">, </w:t>
      </w:r>
      <w:r>
        <w:t xml:space="preserve">vadība </w:t>
      </w:r>
      <w:r w:rsidRPr="00CA44E6">
        <w:t xml:space="preserve">atrodas Briselē </w:t>
      </w:r>
      <w:r>
        <w:t>(Beļģijā) un dibināta 1997.gadā.</w:t>
      </w:r>
    </w:p>
  </w:footnote>
  <w:footnote w:id="20">
    <w:p w:rsidR="0094068C" w:rsidRDefault="0094068C" w:rsidP="00566A32">
      <w:pPr>
        <w:pStyle w:val="FootnoteText"/>
      </w:pPr>
      <w:r>
        <w:rPr>
          <w:rStyle w:val="FootnoteReference"/>
        </w:rPr>
        <w:footnoteRef/>
      </w:r>
      <w:r>
        <w:t xml:space="preserve"> </w:t>
      </w:r>
      <w:r w:rsidRPr="00CA44E6">
        <w:t>Eiropas Ceļu novērtēšanas programma (</w:t>
      </w:r>
      <w:proofErr w:type="spellStart"/>
      <w:r w:rsidRPr="00CA44E6">
        <w:t>EuroRAP</w:t>
      </w:r>
      <w:proofErr w:type="spellEnd"/>
      <w:r w:rsidRPr="00CA44E6">
        <w:t>) ir starpt</w:t>
      </w:r>
      <w:r>
        <w:t>autiska bezpeļņas organizācija, kas reģistrēta</w:t>
      </w:r>
      <w:r w:rsidRPr="00CA44E6">
        <w:t xml:space="preserve"> Beļģijā.</w:t>
      </w:r>
    </w:p>
  </w:footnote>
  <w:footnote w:id="21">
    <w:p w:rsidR="0094068C" w:rsidRDefault="0094068C">
      <w:pPr>
        <w:pStyle w:val="FootnoteText"/>
      </w:pPr>
      <w:r>
        <w:rPr>
          <w:rStyle w:val="FootnoteReference"/>
        </w:rPr>
        <w:footnoteRef/>
      </w:r>
      <w:r>
        <w:t xml:space="preserve"> </w:t>
      </w:r>
      <w:r w:rsidRPr="00566A32">
        <w:t xml:space="preserve">ITF (2016), </w:t>
      </w:r>
      <w:proofErr w:type="spellStart"/>
      <w:r w:rsidRPr="00566A32">
        <w:t>Zero</w:t>
      </w:r>
      <w:proofErr w:type="spellEnd"/>
      <w:r w:rsidRPr="00566A32">
        <w:t xml:space="preserve"> </w:t>
      </w:r>
      <w:proofErr w:type="spellStart"/>
      <w:r w:rsidRPr="00566A32">
        <w:t>Road</w:t>
      </w:r>
      <w:proofErr w:type="spellEnd"/>
      <w:r w:rsidRPr="00566A32">
        <w:t xml:space="preserve"> </w:t>
      </w:r>
      <w:proofErr w:type="spellStart"/>
      <w:r w:rsidRPr="00566A32">
        <w:t>Deaths</w:t>
      </w:r>
      <w:proofErr w:type="spellEnd"/>
      <w:r w:rsidRPr="00566A32">
        <w:t xml:space="preserve"> </w:t>
      </w:r>
      <w:proofErr w:type="spellStart"/>
      <w:r w:rsidRPr="00566A32">
        <w:t>and</w:t>
      </w:r>
      <w:proofErr w:type="spellEnd"/>
      <w:r w:rsidRPr="00566A32">
        <w:t xml:space="preserve"> </w:t>
      </w:r>
      <w:proofErr w:type="spellStart"/>
      <w:r w:rsidRPr="00566A32">
        <w:t>Serious</w:t>
      </w:r>
      <w:proofErr w:type="spellEnd"/>
      <w:r w:rsidRPr="00566A32">
        <w:t xml:space="preserve"> </w:t>
      </w:r>
      <w:proofErr w:type="spellStart"/>
      <w:r w:rsidRPr="00566A32">
        <w:t>Injuries</w:t>
      </w:r>
      <w:proofErr w:type="spellEnd"/>
      <w:r w:rsidRPr="00566A32">
        <w:t xml:space="preserve">: </w:t>
      </w:r>
      <w:proofErr w:type="spellStart"/>
      <w:r w:rsidRPr="00566A32">
        <w:t>Leading</w:t>
      </w:r>
      <w:proofErr w:type="spellEnd"/>
      <w:r w:rsidRPr="00566A32">
        <w:t xml:space="preserve"> a </w:t>
      </w:r>
      <w:proofErr w:type="spellStart"/>
      <w:r w:rsidRPr="00566A32">
        <w:t>Paradigm</w:t>
      </w:r>
      <w:proofErr w:type="spellEnd"/>
      <w:r w:rsidRPr="00566A32">
        <w:t xml:space="preserve"> </w:t>
      </w:r>
      <w:proofErr w:type="spellStart"/>
      <w:r w:rsidRPr="00566A32">
        <w:t>Shift</w:t>
      </w:r>
      <w:proofErr w:type="spellEnd"/>
      <w:r w:rsidRPr="00566A32">
        <w:t xml:space="preserve"> to a </w:t>
      </w:r>
      <w:proofErr w:type="spellStart"/>
      <w:r w:rsidRPr="00566A32">
        <w:t>Safe</w:t>
      </w:r>
      <w:proofErr w:type="spellEnd"/>
      <w:r w:rsidRPr="00566A32">
        <w:t xml:space="preserve"> </w:t>
      </w:r>
      <w:proofErr w:type="spellStart"/>
      <w:r w:rsidRPr="00566A32">
        <w:t>System</w:t>
      </w:r>
      <w:proofErr w:type="spellEnd"/>
      <w:r w:rsidRPr="00566A32">
        <w:t xml:space="preserve">, OECD </w:t>
      </w:r>
      <w:proofErr w:type="spellStart"/>
      <w:r w:rsidRPr="00566A32">
        <w:t>Publishing</w:t>
      </w:r>
      <w:proofErr w:type="spellEnd"/>
      <w:r w:rsidRPr="00566A32">
        <w:t>, Paris. http://dx.doi.org/10.1787/9789282108055-en</w:t>
      </w:r>
    </w:p>
  </w:footnote>
  <w:footnote w:id="22">
    <w:p w:rsidR="0094068C" w:rsidRDefault="0094068C">
      <w:pPr>
        <w:pStyle w:val="FootnoteText"/>
      </w:pPr>
      <w:r>
        <w:rPr>
          <w:rStyle w:val="FootnoteReference"/>
        </w:rPr>
        <w:footnoteRef/>
      </w:r>
      <w:r>
        <w:t xml:space="preserve"> Izkārtojums nav veidots prioritārā secībā – visu faktoru ietekme jāņem vērā ceļu satiksmes drošības uzlabošanai.</w:t>
      </w:r>
    </w:p>
  </w:footnote>
  <w:footnote w:id="23">
    <w:p w:rsidR="0094068C" w:rsidRDefault="0094068C" w:rsidP="00CE1DED">
      <w:pPr>
        <w:pStyle w:val="FootnoteText"/>
      </w:pPr>
      <w:r>
        <w:rPr>
          <w:rStyle w:val="FootnoteReference"/>
        </w:rPr>
        <w:footnoteRef/>
      </w:r>
      <w:r>
        <w:t xml:space="preserve"> Pasākumiem, kas tiek finansēti no valsts budžeta, tiek norādīts valsts budžeta </w:t>
      </w:r>
      <w:proofErr w:type="spellStart"/>
      <w:r>
        <w:t>Budžeta</w:t>
      </w:r>
      <w:proofErr w:type="spellEnd"/>
      <w:r>
        <w:t xml:space="preserve"> programmas (apakšprogrammas) kods un nosaukums.</w:t>
      </w:r>
    </w:p>
  </w:footnote>
  <w:footnote w:id="24">
    <w:p w:rsidR="0094068C" w:rsidRDefault="0094068C">
      <w:pPr>
        <w:pStyle w:val="FootnoteText"/>
      </w:pPr>
      <w:r>
        <w:rPr>
          <w:rStyle w:val="FootnoteReference"/>
        </w:rPr>
        <w:footnoteRef/>
      </w:r>
      <w:r>
        <w:t xml:space="preserve"> Budžeta </w:t>
      </w:r>
      <w:proofErr w:type="spellStart"/>
      <w:r>
        <w:t>apakšprogramams</w:t>
      </w:r>
      <w:proofErr w:type="spellEnd"/>
      <w:r>
        <w:t xml:space="preserve"> kods un numurs tiks noskaidrots pētījuma uzdevuma sagatavošanas laikā.</w:t>
      </w:r>
    </w:p>
  </w:footnote>
  <w:footnote w:id="25">
    <w:p w:rsidR="0094068C" w:rsidRDefault="0094068C">
      <w:pPr>
        <w:pStyle w:val="FootnoteText"/>
      </w:pPr>
      <w:r>
        <w:rPr>
          <w:rStyle w:val="FootnoteReference"/>
        </w:rPr>
        <w:footnoteRef/>
      </w:r>
      <w:r>
        <w:t xml:space="preserve"> Detalizēts pasākuma izpildei plānotā finansējuma aprēķins ir pieejams konceptuālajā ziņojumā "Par valsts akciju sabiedrības "Ceļu satiksmes drošības direkcija" uzstādīto stacionāro </w:t>
      </w:r>
      <w:proofErr w:type="spellStart"/>
      <w:r>
        <w:t>fotoradaru</w:t>
      </w:r>
      <w:proofErr w:type="spellEnd"/>
      <w:r>
        <w:t xml:space="preserve"> darbības rezultātiem, priekšlikumiem par tehnisko līdzekļu (</w:t>
      </w:r>
      <w:proofErr w:type="spellStart"/>
      <w:r>
        <w:t>fotoiekārtu</w:t>
      </w:r>
      <w:proofErr w:type="spellEnd"/>
      <w:r>
        <w:t xml:space="preserve"> vai videoiekārtu) turpmāko izmantošanu un </w:t>
      </w:r>
      <w:proofErr w:type="spellStart"/>
      <w:r>
        <w:t>fotoradaru</w:t>
      </w:r>
      <w:proofErr w:type="spellEnd"/>
      <w:r>
        <w:t xml:space="preserve"> iegādes, uzstādīšanas un darbības nodrošināšanas finansēšanu" (apstiprināts ar Ministru kabineta 2016. gada 14. novembra rīkojumu Nr.678)</w:t>
      </w:r>
    </w:p>
  </w:footnote>
  <w:footnote w:id="26">
    <w:p w:rsidR="0094068C" w:rsidRDefault="0094068C">
      <w:pPr>
        <w:pStyle w:val="FootnoteText"/>
      </w:pPr>
      <w:r>
        <w:rPr>
          <w:rStyle w:val="FootnoteReference"/>
        </w:rPr>
        <w:footnoteRef/>
      </w:r>
      <w:r>
        <w:t xml:space="preserve"> LTAB budžeta plāns</w:t>
      </w:r>
    </w:p>
  </w:footnote>
  <w:footnote w:id="27">
    <w:p w:rsidR="0094068C" w:rsidRDefault="0094068C">
      <w:pPr>
        <w:pStyle w:val="FootnoteText"/>
      </w:pPr>
      <w:r>
        <w:rPr>
          <w:rStyle w:val="FootnoteReference"/>
        </w:rPr>
        <w:footnoteRef/>
      </w:r>
      <w:r>
        <w:t xml:space="preserve"> Tabulā iekļauti pasākumi, kuriem tiek plānots prioritāri piešķirt finansējumu no valsts vai pašvaldību budžeta, nevis alternatīva finansējuma avota (OCTA līdzekļi).</w:t>
      </w:r>
    </w:p>
  </w:footnote>
  <w:footnote w:id="28">
    <w:p w:rsidR="0094068C" w:rsidRDefault="0094068C">
      <w:pPr>
        <w:pStyle w:val="FootnoteText"/>
      </w:pPr>
      <w:r>
        <w:rPr>
          <w:rStyle w:val="FootnoteReference"/>
        </w:rPr>
        <w:footnoteRef/>
      </w:r>
      <w:r>
        <w:t xml:space="preserve"> Pasākumos, kur norādīti vairāki finansējuma avoti, tiek ņemts vērā prioritārais finansējuma avots.</w:t>
      </w:r>
    </w:p>
  </w:footnote>
  <w:footnote w:id="29">
    <w:p w:rsidR="0094068C" w:rsidRDefault="0094068C">
      <w:pPr>
        <w:pStyle w:val="FootnoteText"/>
      </w:pPr>
      <w:r>
        <w:rPr>
          <w:rStyle w:val="FootnoteReference"/>
        </w:rPr>
        <w:footnoteRef/>
      </w:r>
      <w:r>
        <w:t xml:space="preserve"> Saskaņā ar </w:t>
      </w:r>
      <w:r w:rsidRPr="00021A4E">
        <w:t>Sauszemes transportlīdzekļu īpašnieku civiltiesiskās atbildības</w:t>
      </w:r>
      <w:r>
        <w:t xml:space="preserve"> obligātās apdrošināšanas likuma 57.pantu - </w:t>
      </w:r>
      <w:r w:rsidRPr="00021A4E">
        <w:t>Par naudas izlietojumu lemj</w:t>
      </w:r>
      <w:r>
        <w:t xml:space="preserve"> Ceļu satiksmes drošības padome (Ministru kabineta 2003.gada 23.septembra noteikumu</w:t>
      </w:r>
      <w:r w:rsidRPr="00021A4E">
        <w:t xml:space="preserve"> Nr.530</w:t>
      </w:r>
      <w:r>
        <w:t xml:space="preserve"> “</w:t>
      </w:r>
      <w:r w:rsidRPr="00021A4E">
        <w:t>Ceļu satiksmes drošības padomes nolikums</w:t>
      </w:r>
      <w:r>
        <w:t>” 2.10.apakšpunkts).</w:t>
      </w:r>
    </w:p>
  </w:footnote>
  <w:footnote w:id="30">
    <w:p w:rsidR="0094068C" w:rsidRDefault="0094068C">
      <w:pPr>
        <w:pStyle w:val="FootnoteText"/>
      </w:pPr>
      <w:r>
        <w:rPr>
          <w:rStyle w:val="FootnoteReference"/>
        </w:rPr>
        <w:footnoteRef/>
      </w:r>
      <w:r>
        <w:t xml:space="preserve"> Detalizēts pasākuma izpildei plānotā finansējuma aprēķins ir pieejams konceptuālajā ziņojumā "Par valsts akciju sabiedrības "Ceļu satiksmes drošības direkcija" uzstādīto stacionāro </w:t>
      </w:r>
      <w:proofErr w:type="spellStart"/>
      <w:r>
        <w:t>fotoradaru</w:t>
      </w:r>
      <w:proofErr w:type="spellEnd"/>
      <w:r>
        <w:t xml:space="preserve"> darbības rezultātiem, priekšlikumiem par tehnisko līdzekļu (</w:t>
      </w:r>
      <w:proofErr w:type="spellStart"/>
      <w:r>
        <w:t>fotoiekārtu</w:t>
      </w:r>
      <w:proofErr w:type="spellEnd"/>
      <w:r>
        <w:t xml:space="preserve"> vai videoiekārtu) turpmāko izmantošanu un </w:t>
      </w:r>
      <w:proofErr w:type="spellStart"/>
      <w:r>
        <w:t>fotoradaru</w:t>
      </w:r>
      <w:proofErr w:type="spellEnd"/>
      <w:r>
        <w:t xml:space="preserve"> iegādes, uzstādīšanas un darbības nodrošināšanas finansēšanu" (apstiprināts ar Ministru kabineta 2016. gada 14. novembra rīkojumu Nr.678)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72811"/>
      <w:docPartObj>
        <w:docPartGallery w:val="Page Numbers (Top of Page)"/>
        <w:docPartUnique/>
      </w:docPartObj>
    </w:sdtPr>
    <w:sdtEndPr>
      <w:rPr>
        <w:noProof/>
      </w:rPr>
    </w:sdtEndPr>
    <w:sdtContent>
      <w:p w:rsidR="0094068C" w:rsidRDefault="0094068C">
        <w:pPr>
          <w:pStyle w:val="Header"/>
          <w:jc w:val="center"/>
        </w:pPr>
        <w:r>
          <w:fldChar w:fldCharType="begin"/>
        </w:r>
        <w:r>
          <w:instrText xml:space="preserve"> PAGE   \* MERGEFORMAT </w:instrText>
        </w:r>
        <w:r>
          <w:fldChar w:fldCharType="separate"/>
        </w:r>
        <w:r w:rsidR="005A0E23">
          <w:rPr>
            <w:noProof/>
          </w:rPr>
          <w:t>61</w:t>
        </w:r>
        <w:r>
          <w:rPr>
            <w:noProof/>
          </w:rPr>
          <w:fldChar w:fldCharType="end"/>
        </w:r>
      </w:p>
    </w:sdtContent>
  </w:sdt>
  <w:p w:rsidR="0094068C" w:rsidRDefault="0094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909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47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6A3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88C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40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4CD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A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87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029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DE9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459"/>
    <w:multiLevelType w:val="hybridMultilevel"/>
    <w:tmpl w:val="8E50335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042A650F"/>
    <w:multiLevelType w:val="multilevel"/>
    <w:tmpl w:val="B6C05D78"/>
    <w:lvl w:ilvl="0">
      <w:start w:val="3"/>
      <w:numFmt w:val="decimal"/>
      <w:lvlText w:val="%1."/>
      <w:lvlJc w:val="left"/>
      <w:pPr>
        <w:ind w:left="450" w:hanging="450"/>
      </w:pPr>
      <w:rPr>
        <w:rFonts w:hint="default"/>
        <w:u w:val="single"/>
      </w:rPr>
    </w:lvl>
    <w:lvl w:ilvl="1">
      <w:start w:val="3"/>
      <w:numFmt w:val="decimal"/>
      <w:lvlText w:val="%1.%2."/>
      <w:lvlJc w:val="left"/>
      <w:pPr>
        <w:ind w:left="1004" w:hanging="72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12" w15:restartNumberingAfterBreak="0">
    <w:nsid w:val="07766B66"/>
    <w:multiLevelType w:val="multilevel"/>
    <w:tmpl w:val="15A0DD0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9D26905"/>
    <w:multiLevelType w:val="multilevel"/>
    <w:tmpl w:val="7C601516"/>
    <w:lvl w:ilvl="0">
      <w:start w:val="3"/>
      <w:numFmt w:val="decimal"/>
      <w:lvlText w:val="%1."/>
      <w:lvlJc w:val="left"/>
      <w:pPr>
        <w:ind w:left="450" w:hanging="450"/>
      </w:pPr>
      <w:rPr>
        <w:rFonts w:hint="default"/>
        <w:u w:val="single"/>
      </w:rPr>
    </w:lvl>
    <w:lvl w:ilvl="1">
      <w:start w:val="4"/>
      <w:numFmt w:val="decimal"/>
      <w:lvlText w:val="%1.%2."/>
      <w:lvlJc w:val="left"/>
      <w:pPr>
        <w:ind w:left="1146" w:hanging="720"/>
      </w:pPr>
      <w:rPr>
        <w:rFonts w:hint="default"/>
        <w:b/>
        <w:i w:val="0"/>
        <w:sz w:val="28"/>
        <w:szCs w:val="28"/>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14" w15:restartNumberingAfterBreak="0">
    <w:nsid w:val="10AB1F8F"/>
    <w:multiLevelType w:val="hybridMultilevel"/>
    <w:tmpl w:val="ADC2A07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1291736C"/>
    <w:multiLevelType w:val="hybridMultilevel"/>
    <w:tmpl w:val="4B600718"/>
    <w:lvl w:ilvl="0" w:tplc="CCB6EDF8">
      <w:start w:val="7"/>
      <w:numFmt w:val="decimal"/>
      <w:lvlText w:val="%1)"/>
      <w:lvlJc w:val="left"/>
      <w:pPr>
        <w:ind w:left="1080" w:hanging="360"/>
      </w:pPr>
      <w:rPr>
        <w:rFonts w:hint="default"/>
      </w:rPr>
    </w:lvl>
    <w:lvl w:ilvl="1" w:tplc="43047574">
      <w:start w:val="1"/>
      <w:numFmt w:val="lowerLetter"/>
      <w:lvlText w:val="%2)"/>
      <w:lvlJc w:val="left"/>
      <w:pPr>
        <w:ind w:left="1800" w:hanging="360"/>
      </w:pPr>
      <w:rPr>
        <w:rFonts w:ascii="Times New Roman" w:eastAsiaTheme="minorHAnsi" w:hAnsi="Times New Roman" w:cs="Times New Roman"/>
      </w:rPr>
    </w:lvl>
    <w:lvl w:ilvl="2" w:tplc="60D2C634">
      <w:start w:val="1"/>
      <w:numFmt w:val="decimal"/>
      <w:lvlText w:val="%3."/>
      <w:lvlJc w:val="left"/>
      <w:pPr>
        <w:ind w:left="2700" w:hanging="360"/>
      </w:pPr>
      <w:rPr>
        <w:rFonts w:hint="default"/>
        <w:b/>
        <w:color w:val="000000" w:themeColor="text1"/>
        <w:sz w:val="28"/>
        <w:szCs w:val="28"/>
      </w:rPr>
    </w:lvl>
    <w:lvl w:ilvl="3" w:tplc="C128ADDA">
      <w:start w:val="1"/>
      <w:numFmt w:val="decimal"/>
      <w:lvlText w:val="%4"/>
      <w:lvlJc w:val="left"/>
      <w:pPr>
        <w:ind w:left="3240" w:hanging="360"/>
      </w:pPr>
      <w:rPr>
        <w:rFonts w:hint="default"/>
        <w:b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A1C4C2D"/>
    <w:multiLevelType w:val="hybridMultilevel"/>
    <w:tmpl w:val="A6802A0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A961AA4"/>
    <w:multiLevelType w:val="hybridMultilevel"/>
    <w:tmpl w:val="570CDF2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1AE322A4"/>
    <w:multiLevelType w:val="hybridMultilevel"/>
    <w:tmpl w:val="6D747AA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1BF54EFB"/>
    <w:multiLevelType w:val="multilevel"/>
    <w:tmpl w:val="858009D8"/>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E8519DB"/>
    <w:multiLevelType w:val="multilevel"/>
    <w:tmpl w:val="0770D2D6"/>
    <w:lvl w:ilvl="0">
      <w:start w:val="3"/>
      <w:numFmt w:val="decimal"/>
      <w:lvlText w:val="%1"/>
      <w:lvlJc w:val="left"/>
      <w:pPr>
        <w:ind w:left="375" w:hanging="375"/>
      </w:pPr>
      <w:rPr>
        <w:rFonts w:hint="default"/>
        <w:u w:val="single"/>
      </w:rPr>
    </w:lvl>
    <w:lvl w:ilvl="1">
      <w:start w:val="3"/>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1" w15:restartNumberingAfterBreak="0">
    <w:nsid w:val="23327CE3"/>
    <w:multiLevelType w:val="hybridMultilevel"/>
    <w:tmpl w:val="D7520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49E0A3E"/>
    <w:multiLevelType w:val="multilevel"/>
    <w:tmpl w:val="2CDAF842"/>
    <w:lvl w:ilvl="0">
      <w:start w:val="2"/>
      <w:numFmt w:val="decimal"/>
      <w:lvlText w:val="%1."/>
      <w:lvlJc w:val="left"/>
      <w:pPr>
        <w:ind w:left="360" w:hanging="360"/>
      </w:pPr>
      <w:rPr>
        <w:rFonts w:hint="default"/>
        <w:sz w:val="24"/>
      </w:rPr>
    </w:lvl>
    <w:lvl w:ilvl="1">
      <w:start w:val="4"/>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23" w15:restartNumberingAfterBreak="0">
    <w:nsid w:val="264D0ACE"/>
    <w:multiLevelType w:val="multilevel"/>
    <w:tmpl w:val="8256C2A6"/>
    <w:lvl w:ilvl="0">
      <w:start w:val="3"/>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68C08C5"/>
    <w:multiLevelType w:val="hybridMultilevel"/>
    <w:tmpl w:val="36E8D3B8"/>
    <w:lvl w:ilvl="0" w:tplc="EECC90AA">
      <w:start w:val="1"/>
      <w:numFmt w:val="bullet"/>
      <w:lvlText w:val="•"/>
      <w:lvlJc w:val="left"/>
      <w:pPr>
        <w:tabs>
          <w:tab w:val="num" w:pos="720"/>
        </w:tabs>
        <w:ind w:left="720" w:hanging="360"/>
      </w:pPr>
      <w:rPr>
        <w:rFonts w:ascii="Arial" w:hAnsi="Arial" w:hint="default"/>
      </w:rPr>
    </w:lvl>
    <w:lvl w:ilvl="1" w:tplc="31804BD4" w:tentative="1">
      <w:start w:val="1"/>
      <w:numFmt w:val="bullet"/>
      <w:lvlText w:val="•"/>
      <w:lvlJc w:val="left"/>
      <w:pPr>
        <w:tabs>
          <w:tab w:val="num" w:pos="1440"/>
        </w:tabs>
        <w:ind w:left="1440" w:hanging="360"/>
      </w:pPr>
      <w:rPr>
        <w:rFonts w:ascii="Arial" w:hAnsi="Arial" w:hint="default"/>
      </w:rPr>
    </w:lvl>
    <w:lvl w:ilvl="2" w:tplc="643484EC" w:tentative="1">
      <w:start w:val="1"/>
      <w:numFmt w:val="bullet"/>
      <w:lvlText w:val="•"/>
      <w:lvlJc w:val="left"/>
      <w:pPr>
        <w:tabs>
          <w:tab w:val="num" w:pos="2160"/>
        </w:tabs>
        <w:ind w:left="2160" w:hanging="360"/>
      </w:pPr>
      <w:rPr>
        <w:rFonts w:ascii="Arial" w:hAnsi="Arial" w:hint="default"/>
      </w:rPr>
    </w:lvl>
    <w:lvl w:ilvl="3" w:tplc="C8E0BF86" w:tentative="1">
      <w:start w:val="1"/>
      <w:numFmt w:val="bullet"/>
      <w:lvlText w:val="•"/>
      <w:lvlJc w:val="left"/>
      <w:pPr>
        <w:tabs>
          <w:tab w:val="num" w:pos="2880"/>
        </w:tabs>
        <w:ind w:left="2880" w:hanging="360"/>
      </w:pPr>
      <w:rPr>
        <w:rFonts w:ascii="Arial" w:hAnsi="Arial" w:hint="default"/>
      </w:rPr>
    </w:lvl>
    <w:lvl w:ilvl="4" w:tplc="F2E83B70" w:tentative="1">
      <w:start w:val="1"/>
      <w:numFmt w:val="bullet"/>
      <w:lvlText w:val="•"/>
      <w:lvlJc w:val="left"/>
      <w:pPr>
        <w:tabs>
          <w:tab w:val="num" w:pos="3600"/>
        </w:tabs>
        <w:ind w:left="3600" w:hanging="360"/>
      </w:pPr>
      <w:rPr>
        <w:rFonts w:ascii="Arial" w:hAnsi="Arial" w:hint="default"/>
      </w:rPr>
    </w:lvl>
    <w:lvl w:ilvl="5" w:tplc="AB0095EC" w:tentative="1">
      <w:start w:val="1"/>
      <w:numFmt w:val="bullet"/>
      <w:lvlText w:val="•"/>
      <w:lvlJc w:val="left"/>
      <w:pPr>
        <w:tabs>
          <w:tab w:val="num" w:pos="4320"/>
        </w:tabs>
        <w:ind w:left="4320" w:hanging="360"/>
      </w:pPr>
      <w:rPr>
        <w:rFonts w:ascii="Arial" w:hAnsi="Arial" w:hint="default"/>
      </w:rPr>
    </w:lvl>
    <w:lvl w:ilvl="6" w:tplc="267A7A52" w:tentative="1">
      <w:start w:val="1"/>
      <w:numFmt w:val="bullet"/>
      <w:lvlText w:val="•"/>
      <w:lvlJc w:val="left"/>
      <w:pPr>
        <w:tabs>
          <w:tab w:val="num" w:pos="5040"/>
        </w:tabs>
        <w:ind w:left="5040" w:hanging="360"/>
      </w:pPr>
      <w:rPr>
        <w:rFonts w:ascii="Arial" w:hAnsi="Arial" w:hint="default"/>
      </w:rPr>
    </w:lvl>
    <w:lvl w:ilvl="7" w:tplc="F86E3556" w:tentative="1">
      <w:start w:val="1"/>
      <w:numFmt w:val="bullet"/>
      <w:lvlText w:val="•"/>
      <w:lvlJc w:val="left"/>
      <w:pPr>
        <w:tabs>
          <w:tab w:val="num" w:pos="5760"/>
        </w:tabs>
        <w:ind w:left="5760" w:hanging="360"/>
      </w:pPr>
      <w:rPr>
        <w:rFonts w:ascii="Arial" w:hAnsi="Arial" w:hint="default"/>
      </w:rPr>
    </w:lvl>
    <w:lvl w:ilvl="8" w:tplc="9CAE4A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7940F0E"/>
    <w:multiLevelType w:val="hybridMultilevel"/>
    <w:tmpl w:val="A10EFCE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27EF3D56"/>
    <w:multiLevelType w:val="multilevel"/>
    <w:tmpl w:val="8536CD72"/>
    <w:lvl w:ilvl="0">
      <w:start w:val="2"/>
      <w:numFmt w:val="decimal"/>
      <w:lvlText w:val="%1."/>
      <w:lvlJc w:val="left"/>
      <w:pPr>
        <w:ind w:left="390" w:hanging="390"/>
      </w:pPr>
      <w:rPr>
        <w:rFonts w:hint="default"/>
        <w:color w:val="000000" w:themeColor="text1"/>
      </w:rPr>
    </w:lvl>
    <w:lvl w:ilvl="1">
      <w:start w:val="4"/>
      <w:numFmt w:val="decimal"/>
      <w:lvlText w:val="%1.%2."/>
      <w:lvlJc w:val="left"/>
      <w:pPr>
        <w:ind w:left="1080" w:hanging="7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7" w15:restartNumberingAfterBreak="0">
    <w:nsid w:val="297B0145"/>
    <w:multiLevelType w:val="hybridMultilevel"/>
    <w:tmpl w:val="C57A8CA2"/>
    <w:lvl w:ilvl="0" w:tplc="6D302976">
      <w:start w:val="1"/>
      <w:numFmt w:val="bullet"/>
      <w:lvlText w:val=""/>
      <w:lvlJc w:val="left"/>
      <w:pPr>
        <w:tabs>
          <w:tab w:val="num" w:pos="1458"/>
        </w:tabs>
        <w:ind w:left="324" w:firstLine="720"/>
      </w:pPr>
      <w:rPr>
        <w:rFonts w:ascii="Symbol" w:hAnsi="Symbol" w:hint="default"/>
      </w:rPr>
    </w:lvl>
    <w:lvl w:ilvl="1" w:tplc="04260003" w:tentative="1">
      <w:start w:val="1"/>
      <w:numFmt w:val="bullet"/>
      <w:lvlText w:val="o"/>
      <w:lvlJc w:val="left"/>
      <w:pPr>
        <w:tabs>
          <w:tab w:val="num" w:pos="2124"/>
        </w:tabs>
        <w:ind w:left="2124" w:hanging="360"/>
      </w:pPr>
      <w:rPr>
        <w:rFonts w:ascii="Courier New" w:hAnsi="Courier New" w:cs="Courier New" w:hint="default"/>
      </w:rPr>
    </w:lvl>
    <w:lvl w:ilvl="2" w:tplc="04260005" w:tentative="1">
      <w:start w:val="1"/>
      <w:numFmt w:val="bullet"/>
      <w:lvlText w:val=""/>
      <w:lvlJc w:val="left"/>
      <w:pPr>
        <w:tabs>
          <w:tab w:val="num" w:pos="2844"/>
        </w:tabs>
        <w:ind w:left="2844" w:hanging="360"/>
      </w:pPr>
      <w:rPr>
        <w:rFonts w:ascii="Wingdings" w:hAnsi="Wingdings" w:hint="default"/>
      </w:rPr>
    </w:lvl>
    <w:lvl w:ilvl="3" w:tplc="04260001" w:tentative="1">
      <w:start w:val="1"/>
      <w:numFmt w:val="bullet"/>
      <w:lvlText w:val=""/>
      <w:lvlJc w:val="left"/>
      <w:pPr>
        <w:tabs>
          <w:tab w:val="num" w:pos="3564"/>
        </w:tabs>
        <w:ind w:left="3564" w:hanging="360"/>
      </w:pPr>
      <w:rPr>
        <w:rFonts w:ascii="Symbol" w:hAnsi="Symbol" w:hint="default"/>
      </w:rPr>
    </w:lvl>
    <w:lvl w:ilvl="4" w:tplc="04260003" w:tentative="1">
      <w:start w:val="1"/>
      <w:numFmt w:val="bullet"/>
      <w:lvlText w:val="o"/>
      <w:lvlJc w:val="left"/>
      <w:pPr>
        <w:tabs>
          <w:tab w:val="num" w:pos="4284"/>
        </w:tabs>
        <w:ind w:left="4284" w:hanging="360"/>
      </w:pPr>
      <w:rPr>
        <w:rFonts w:ascii="Courier New" w:hAnsi="Courier New" w:cs="Courier New" w:hint="default"/>
      </w:rPr>
    </w:lvl>
    <w:lvl w:ilvl="5" w:tplc="04260005" w:tentative="1">
      <w:start w:val="1"/>
      <w:numFmt w:val="bullet"/>
      <w:lvlText w:val=""/>
      <w:lvlJc w:val="left"/>
      <w:pPr>
        <w:tabs>
          <w:tab w:val="num" w:pos="5004"/>
        </w:tabs>
        <w:ind w:left="5004" w:hanging="360"/>
      </w:pPr>
      <w:rPr>
        <w:rFonts w:ascii="Wingdings" w:hAnsi="Wingdings" w:hint="default"/>
      </w:rPr>
    </w:lvl>
    <w:lvl w:ilvl="6" w:tplc="04260001" w:tentative="1">
      <w:start w:val="1"/>
      <w:numFmt w:val="bullet"/>
      <w:lvlText w:val=""/>
      <w:lvlJc w:val="left"/>
      <w:pPr>
        <w:tabs>
          <w:tab w:val="num" w:pos="5724"/>
        </w:tabs>
        <w:ind w:left="5724" w:hanging="360"/>
      </w:pPr>
      <w:rPr>
        <w:rFonts w:ascii="Symbol" w:hAnsi="Symbol" w:hint="default"/>
      </w:rPr>
    </w:lvl>
    <w:lvl w:ilvl="7" w:tplc="04260003" w:tentative="1">
      <w:start w:val="1"/>
      <w:numFmt w:val="bullet"/>
      <w:lvlText w:val="o"/>
      <w:lvlJc w:val="left"/>
      <w:pPr>
        <w:tabs>
          <w:tab w:val="num" w:pos="6444"/>
        </w:tabs>
        <w:ind w:left="6444" w:hanging="360"/>
      </w:pPr>
      <w:rPr>
        <w:rFonts w:ascii="Courier New" w:hAnsi="Courier New" w:cs="Courier New" w:hint="default"/>
      </w:rPr>
    </w:lvl>
    <w:lvl w:ilvl="8" w:tplc="04260005" w:tentative="1">
      <w:start w:val="1"/>
      <w:numFmt w:val="bullet"/>
      <w:lvlText w:val=""/>
      <w:lvlJc w:val="left"/>
      <w:pPr>
        <w:tabs>
          <w:tab w:val="num" w:pos="7164"/>
        </w:tabs>
        <w:ind w:left="7164" w:hanging="360"/>
      </w:pPr>
      <w:rPr>
        <w:rFonts w:ascii="Wingdings" w:hAnsi="Wingdings" w:hint="default"/>
      </w:rPr>
    </w:lvl>
  </w:abstractNum>
  <w:abstractNum w:abstractNumId="28" w15:restartNumberingAfterBreak="0">
    <w:nsid w:val="2A08260E"/>
    <w:multiLevelType w:val="multilevel"/>
    <w:tmpl w:val="7FFC496C"/>
    <w:lvl w:ilvl="0">
      <w:start w:val="3"/>
      <w:numFmt w:val="decimal"/>
      <w:lvlText w:val="%1."/>
      <w:lvlJc w:val="left"/>
      <w:pPr>
        <w:ind w:left="450" w:hanging="450"/>
      </w:pPr>
      <w:rPr>
        <w:rFonts w:hint="default"/>
        <w:u w:val="single"/>
      </w:rPr>
    </w:lvl>
    <w:lvl w:ilvl="1">
      <w:start w:val="4"/>
      <w:numFmt w:val="decimal"/>
      <w:lvlText w:val="%1.%2."/>
      <w:lvlJc w:val="left"/>
      <w:pPr>
        <w:ind w:left="1146" w:hanging="720"/>
      </w:pPr>
      <w:rPr>
        <w:rFonts w:hint="default"/>
        <w:i w:val="0"/>
        <w:sz w:val="28"/>
        <w:szCs w:val="28"/>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29" w15:restartNumberingAfterBreak="0">
    <w:nsid w:val="326A56AF"/>
    <w:multiLevelType w:val="hybridMultilevel"/>
    <w:tmpl w:val="EE0E48E4"/>
    <w:lvl w:ilvl="0" w:tplc="79F07D4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59E2EAA"/>
    <w:multiLevelType w:val="multilevel"/>
    <w:tmpl w:val="B6C05D78"/>
    <w:lvl w:ilvl="0">
      <w:start w:val="3"/>
      <w:numFmt w:val="decimal"/>
      <w:lvlText w:val="%1."/>
      <w:lvlJc w:val="left"/>
      <w:pPr>
        <w:ind w:left="450" w:hanging="450"/>
      </w:pPr>
      <w:rPr>
        <w:rFonts w:hint="default"/>
        <w:u w:val="single"/>
      </w:rPr>
    </w:lvl>
    <w:lvl w:ilvl="1">
      <w:start w:val="3"/>
      <w:numFmt w:val="decimal"/>
      <w:lvlText w:val="%1.%2."/>
      <w:lvlJc w:val="left"/>
      <w:pPr>
        <w:ind w:left="1004" w:hanging="72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31" w15:restartNumberingAfterBreak="0">
    <w:nsid w:val="37462917"/>
    <w:multiLevelType w:val="hybridMultilevel"/>
    <w:tmpl w:val="034CC1A8"/>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2" w15:restartNumberingAfterBreak="0">
    <w:nsid w:val="3C7C17D9"/>
    <w:multiLevelType w:val="hybridMultilevel"/>
    <w:tmpl w:val="0E425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DBB010F"/>
    <w:multiLevelType w:val="hybridMultilevel"/>
    <w:tmpl w:val="A8CE6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EAF7FC6"/>
    <w:multiLevelType w:val="multilevel"/>
    <w:tmpl w:val="62E0C5C6"/>
    <w:lvl w:ilvl="0">
      <w:start w:val="4"/>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F5C7311"/>
    <w:multiLevelType w:val="hybridMultilevel"/>
    <w:tmpl w:val="0B0E7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B13556"/>
    <w:multiLevelType w:val="multilevel"/>
    <w:tmpl w:val="7C601516"/>
    <w:lvl w:ilvl="0">
      <w:start w:val="3"/>
      <w:numFmt w:val="decimal"/>
      <w:lvlText w:val="%1."/>
      <w:lvlJc w:val="left"/>
      <w:pPr>
        <w:ind w:left="450" w:hanging="450"/>
      </w:pPr>
      <w:rPr>
        <w:rFonts w:hint="default"/>
        <w:u w:val="single"/>
      </w:rPr>
    </w:lvl>
    <w:lvl w:ilvl="1">
      <w:start w:val="4"/>
      <w:numFmt w:val="decimal"/>
      <w:lvlText w:val="%1.%2."/>
      <w:lvlJc w:val="left"/>
      <w:pPr>
        <w:ind w:left="1146" w:hanging="720"/>
      </w:pPr>
      <w:rPr>
        <w:rFonts w:hint="default"/>
        <w:b/>
        <w:i w:val="0"/>
        <w:sz w:val="28"/>
        <w:szCs w:val="28"/>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37" w15:restartNumberingAfterBreak="0">
    <w:nsid w:val="49C25A63"/>
    <w:multiLevelType w:val="hybridMultilevel"/>
    <w:tmpl w:val="A9C6BD82"/>
    <w:lvl w:ilvl="0" w:tplc="B8CA98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A3C2478"/>
    <w:multiLevelType w:val="multilevel"/>
    <w:tmpl w:val="257C5ABE"/>
    <w:lvl w:ilvl="0">
      <w:start w:val="3"/>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B7921C7"/>
    <w:multiLevelType w:val="multilevel"/>
    <w:tmpl w:val="27AEB54C"/>
    <w:lvl w:ilvl="0">
      <w:start w:val="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4F9D0FF7"/>
    <w:multiLevelType w:val="hybridMultilevel"/>
    <w:tmpl w:val="63AAD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570220B8"/>
    <w:multiLevelType w:val="multilevel"/>
    <w:tmpl w:val="E5EC3D30"/>
    <w:lvl w:ilvl="0">
      <w:start w:val="1"/>
      <w:numFmt w:val="decimal"/>
      <w:lvlText w:val="%1."/>
      <w:lvlJc w:val="left"/>
      <w:pPr>
        <w:ind w:left="720" w:hanging="360"/>
      </w:pPr>
      <w:rPr>
        <w:rFonts w:ascii="Times New Roman" w:eastAsia="+mn-ea" w:hAnsi="Times New Roman" w:cs="Times New Roman" w:hint="default"/>
        <w:b/>
        <w:color w:val="000000"/>
      </w:rPr>
    </w:lvl>
    <w:lvl w:ilvl="1">
      <w:start w:val="1"/>
      <w:numFmt w:val="decimal"/>
      <w:isLgl/>
      <w:lvlText w:val="%1.%2."/>
      <w:lvlJc w:val="left"/>
      <w:pPr>
        <w:ind w:left="720" w:hanging="360"/>
      </w:pPr>
      <w:rPr>
        <w:rFonts w:eastAsia="+mn-ea" w:cs="+mn-cs" w:hint="default"/>
        <w:b/>
        <w:color w:val="000000"/>
      </w:rPr>
    </w:lvl>
    <w:lvl w:ilvl="2">
      <w:start w:val="1"/>
      <w:numFmt w:val="decimal"/>
      <w:isLgl/>
      <w:lvlText w:val="%1.%2.%3."/>
      <w:lvlJc w:val="left"/>
      <w:pPr>
        <w:ind w:left="1080" w:hanging="720"/>
      </w:pPr>
      <w:rPr>
        <w:rFonts w:eastAsia="+mn-ea" w:cs="+mn-cs" w:hint="default"/>
        <w:b/>
        <w:color w:val="000000"/>
      </w:rPr>
    </w:lvl>
    <w:lvl w:ilvl="3">
      <w:start w:val="1"/>
      <w:numFmt w:val="decimal"/>
      <w:isLgl/>
      <w:lvlText w:val="%1.%2.%3.%4."/>
      <w:lvlJc w:val="left"/>
      <w:pPr>
        <w:ind w:left="1080" w:hanging="720"/>
      </w:pPr>
      <w:rPr>
        <w:rFonts w:eastAsia="+mn-ea" w:cs="+mn-cs" w:hint="default"/>
        <w:b/>
        <w:color w:val="000000"/>
      </w:rPr>
    </w:lvl>
    <w:lvl w:ilvl="4">
      <w:start w:val="1"/>
      <w:numFmt w:val="decimal"/>
      <w:isLgl/>
      <w:lvlText w:val="%1.%2.%3.%4.%5."/>
      <w:lvlJc w:val="left"/>
      <w:pPr>
        <w:ind w:left="1440" w:hanging="1080"/>
      </w:pPr>
      <w:rPr>
        <w:rFonts w:eastAsia="+mn-ea" w:cs="+mn-cs" w:hint="default"/>
        <w:b/>
        <w:color w:val="000000"/>
      </w:rPr>
    </w:lvl>
    <w:lvl w:ilvl="5">
      <w:start w:val="1"/>
      <w:numFmt w:val="decimal"/>
      <w:isLgl/>
      <w:lvlText w:val="%1.%2.%3.%4.%5.%6."/>
      <w:lvlJc w:val="left"/>
      <w:pPr>
        <w:ind w:left="1440" w:hanging="1080"/>
      </w:pPr>
      <w:rPr>
        <w:rFonts w:eastAsia="+mn-ea" w:cs="+mn-cs" w:hint="default"/>
        <w:b/>
        <w:color w:val="000000"/>
      </w:rPr>
    </w:lvl>
    <w:lvl w:ilvl="6">
      <w:start w:val="1"/>
      <w:numFmt w:val="decimal"/>
      <w:isLgl/>
      <w:lvlText w:val="%1.%2.%3.%4.%5.%6.%7."/>
      <w:lvlJc w:val="left"/>
      <w:pPr>
        <w:ind w:left="1800" w:hanging="1440"/>
      </w:pPr>
      <w:rPr>
        <w:rFonts w:eastAsia="+mn-ea" w:cs="+mn-cs" w:hint="default"/>
        <w:b/>
        <w:color w:val="000000"/>
      </w:rPr>
    </w:lvl>
    <w:lvl w:ilvl="7">
      <w:start w:val="1"/>
      <w:numFmt w:val="decimal"/>
      <w:isLgl/>
      <w:lvlText w:val="%1.%2.%3.%4.%5.%6.%7.%8."/>
      <w:lvlJc w:val="left"/>
      <w:pPr>
        <w:ind w:left="1800" w:hanging="1440"/>
      </w:pPr>
      <w:rPr>
        <w:rFonts w:eastAsia="+mn-ea" w:cs="+mn-cs" w:hint="default"/>
        <w:b/>
        <w:color w:val="000000"/>
      </w:rPr>
    </w:lvl>
    <w:lvl w:ilvl="8">
      <w:start w:val="1"/>
      <w:numFmt w:val="decimal"/>
      <w:isLgl/>
      <w:lvlText w:val="%1.%2.%3.%4.%5.%6.%7.%8.%9."/>
      <w:lvlJc w:val="left"/>
      <w:pPr>
        <w:ind w:left="2160" w:hanging="1800"/>
      </w:pPr>
      <w:rPr>
        <w:rFonts w:eastAsia="+mn-ea" w:cs="+mn-cs" w:hint="default"/>
        <w:b/>
        <w:color w:val="000000"/>
      </w:rPr>
    </w:lvl>
  </w:abstractNum>
  <w:abstractNum w:abstractNumId="42" w15:restartNumberingAfterBreak="0">
    <w:nsid w:val="5AAC4174"/>
    <w:multiLevelType w:val="hybridMultilevel"/>
    <w:tmpl w:val="D6AE8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0978F1"/>
    <w:multiLevelType w:val="multilevel"/>
    <w:tmpl w:val="5B203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mn-ea" w:hint="default"/>
      </w:rPr>
    </w:lvl>
    <w:lvl w:ilvl="2">
      <w:start w:val="1"/>
      <w:numFmt w:val="decimal"/>
      <w:isLgl/>
      <w:lvlText w:val="%1.%2.%3."/>
      <w:lvlJc w:val="left"/>
      <w:pPr>
        <w:ind w:left="1080" w:hanging="720"/>
      </w:pPr>
      <w:rPr>
        <w:rFonts w:eastAsia="+mn-ea" w:hint="default"/>
      </w:rPr>
    </w:lvl>
    <w:lvl w:ilvl="3">
      <w:start w:val="1"/>
      <w:numFmt w:val="decimal"/>
      <w:isLgl/>
      <w:lvlText w:val="%1.%2.%3.%4."/>
      <w:lvlJc w:val="left"/>
      <w:pPr>
        <w:ind w:left="1440" w:hanging="1080"/>
      </w:pPr>
      <w:rPr>
        <w:rFonts w:eastAsia="+mn-ea" w:hint="default"/>
      </w:rPr>
    </w:lvl>
    <w:lvl w:ilvl="4">
      <w:start w:val="1"/>
      <w:numFmt w:val="decimal"/>
      <w:isLgl/>
      <w:lvlText w:val="%1.%2.%3.%4.%5."/>
      <w:lvlJc w:val="left"/>
      <w:pPr>
        <w:ind w:left="1440" w:hanging="1080"/>
      </w:pPr>
      <w:rPr>
        <w:rFonts w:eastAsia="+mn-ea" w:hint="default"/>
      </w:rPr>
    </w:lvl>
    <w:lvl w:ilvl="5">
      <w:start w:val="1"/>
      <w:numFmt w:val="decimal"/>
      <w:isLgl/>
      <w:lvlText w:val="%1.%2.%3.%4.%5.%6."/>
      <w:lvlJc w:val="left"/>
      <w:pPr>
        <w:ind w:left="1800" w:hanging="1440"/>
      </w:pPr>
      <w:rPr>
        <w:rFonts w:eastAsia="+mn-ea" w:hint="default"/>
      </w:rPr>
    </w:lvl>
    <w:lvl w:ilvl="6">
      <w:start w:val="1"/>
      <w:numFmt w:val="decimal"/>
      <w:isLgl/>
      <w:lvlText w:val="%1.%2.%3.%4.%5.%6.%7."/>
      <w:lvlJc w:val="left"/>
      <w:pPr>
        <w:ind w:left="1800" w:hanging="1440"/>
      </w:pPr>
      <w:rPr>
        <w:rFonts w:eastAsia="+mn-ea" w:hint="default"/>
      </w:rPr>
    </w:lvl>
    <w:lvl w:ilvl="7">
      <w:start w:val="1"/>
      <w:numFmt w:val="decimal"/>
      <w:isLgl/>
      <w:lvlText w:val="%1.%2.%3.%4.%5.%6.%7.%8."/>
      <w:lvlJc w:val="left"/>
      <w:pPr>
        <w:ind w:left="2160" w:hanging="1800"/>
      </w:pPr>
      <w:rPr>
        <w:rFonts w:eastAsia="+mn-ea" w:hint="default"/>
      </w:rPr>
    </w:lvl>
    <w:lvl w:ilvl="8">
      <w:start w:val="1"/>
      <w:numFmt w:val="decimal"/>
      <w:isLgl/>
      <w:lvlText w:val="%1.%2.%3.%4.%5.%6.%7.%8.%9."/>
      <w:lvlJc w:val="left"/>
      <w:pPr>
        <w:ind w:left="2160" w:hanging="1800"/>
      </w:pPr>
      <w:rPr>
        <w:rFonts w:eastAsia="+mn-ea" w:hint="default"/>
      </w:rPr>
    </w:lvl>
  </w:abstractNum>
  <w:abstractNum w:abstractNumId="44" w15:restartNumberingAfterBreak="0">
    <w:nsid w:val="5EFF2750"/>
    <w:multiLevelType w:val="multilevel"/>
    <w:tmpl w:val="7C601516"/>
    <w:lvl w:ilvl="0">
      <w:start w:val="3"/>
      <w:numFmt w:val="decimal"/>
      <w:lvlText w:val="%1."/>
      <w:lvlJc w:val="left"/>
      <w:pPr>
        <w:ind w:left="450" w:hanging="450"/>
      </w:pPr>
      <w:rPr>
        <w:rFonts w:hint="default"/>
        <w:u w:val="single"/>
      </w:rPr>
    </w:lvl>
    <w:lvl w:ilvl="1">
      <w:start w:val="4"/>
      <w:numFmt w:val="decimal"/>
      <w:lvlText w:val="%1.%2."/>
      <w:lvlJc w:val="left"/>
      <w:pPr>
        <w:ind w:left="1146" w:hanging="720"/>
      </w:pPr>
      <w:rPr>
        <w:rFonts w:hint="default"/>
        <w:b/>
        <w:i w:val="0"/>
        <w:sz w:val="28"/>
        <w:szCs w:val="28"/>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45" w15:restartNumberingAfterBreak="0">
    <w:nsid w:val="6B992767"/>
    <w:multiLevelType w:val="multilevel"/>
    <w:tmpl w:val="54BE921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B23E8C"/>
    <w:multiLevelType w:val="hybridMultilevel"/>
    <w:tmpl w:val="F3A8020E"/>
    <w:lvl w:ilvl="0" w:tplc="86DC2E26">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7758344E"/>
    <w:multiLevelType w:val="hybridMultilevel"/>
    <w:tmpl w:val="860CF65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8" w15:restartNumberingAfterBreak="0">
    <w:nsid w:val="7C79019F"/>
    <w:multiLevelType w:val="hybridMultilevel"/>
    <w:tmpl w:val="4474931C"/>
    <w:lvl w:ilvl="0" w:tplc="BE6A77D2">
      <w:start w:val="199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13"/>
  </w:num>
  <w:num w:numId="4">
    <w:abstractNumId w:val="28"/>
  </w:num>
  <w:num w:numId="5">
    <w:abstractNumId w:val="24"/>
  </w:num>
  <w:num w:numId="6">
    <w:abstractNumId w:val="16"/>
  </w:num>
  <w:num w:numId="7">
    <w:abstractNumId w:val="15"/>
  </w:num>
  <w:num w:numId="8">
    <w:abstractNumId w:val="47"/>
  </w:num>
  <w:num w:numId="9">
    <w:abstractNumId w:val="27"/>
  </w:num>
  <w:num w:numId="10">
    <w:abstractNumId w:val="48"/>
  </w:num>
  <w:num w:numId="11">
    <w:abstractNumId w:val="37"/>
  </w:num>
  <w:num w:numId="12">
    <w:abstractNumId w:val="29"/>
  </w:num>
  <w:num w:numId="13">
    <w:abstractNumId w:val="35"/>
  </w:num>
  <w:num w:numId="14">
    <w:abstractNumId w:val="43"/>
  </w:num>
  <w:num w:numId="15">
    <w:abstractNumId w:val="22"/>
  </w:num>
  <w:num w:numId="16">
    <w:abstractNumId w:val="26"/>
  </w:num>
  <w:num w:numId="17">
    <w:abstractNumId w:val="30"/>
  </w:num>
  <w:num w:numId="18">
    <w:abstractNumId w:val="11"/>
  </w:num>
  <w:num w:numId="19">
    <w:abstractNumId w:val="20"/>
  </w:num>
  <w:num w:numId="20">
    <w:abstractNumId w:val="36"/>
  </w:num>
  <w:num w:numId="21">
    <w:abstractNumId w:val="45"/>
  </w:num>
  <w:num w:numId="22">
    <w:abstractNumId w:val="44"/>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2"/>
  </w:num>
  <w:num w:numId="34">
    <w:abstractNumId w:val="19"/>
  </w:num>
  <w:num w:numId="35">
    <w:abstractNumId w:val="38"/>
  </w:num>
  <w:num w:numId="36">
    <w:abstractNumId w:val="34"/>
  </w:num>
  <w:num w:numId="37">
    <w:abstractNumId w:val="39"/>
  </w:num>
  <w:num w:numId="38">
    <w:abstractNumId w:val="23"/>
  </w:num>
  <w:num w:numId="39">
    <w:abstractNumId w:val="42"/>
  </w:num>
  <w:num w:numId="40">
    <w:abstractNumId w:val="32"/>
  </w:num>
  <w:num w:numId="41">
    <w:abstractNumId w:val="40"/>
  </w:num>
  <w:num w:numId="42">
    <w:abstractNumId w:val="31"/>
  </w:num>
  <w:num w:numId="43">
    <w:abstractNumId w:val="17"/>
  </w:num>
  <w:num w:numId="44">
    <w:abstractNumId w:val="21"/>
  </w:num>
  <w:num w:numId="45">
    <w:abstractNumId w:val="25"/>
  </w:num>
  <w:num w:numId="46">
    <w:abstractNumId w:val="14"/>
  </w:num>
  <w:num w:numId="47">
    <w:abstractNumId w:val="10"/>
  </w:num>
  <w:num w:numId="48">
    <w:abstractNumId w:val="18"/>
  </w:num>
  <w:num w:numId="4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2"/>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17"/>
    <w:rsid w:val="000009A6"/>
    <w:rsid w:val="000010D0"/>
    <w:rsid w:val="000014AE"/>
    <w:rsid w:val="00002BCB"/>
    <w:rsid w:val="00002D8B"/>
    <w:rsid w:val="0000308A"/>
    <w:rsid w:val="0000395E"/>
    <w:rsid w:val="00003973"/>
    <w:rsid w:val="00003992"/>
    <w:rsid w:val="00004B44"/>
    <w:rsid w:val="00004F53"/>
    <w:rsid w:val="00006085"/>
    <w:rsid w:val="00006A3C"/>
    <w:rsid w:val="00006B22"/>
    <w:rsid w:val="00007370"/>
    <w:rsid w:val="00007A26"/>
    <w:rsid w:val="00010E97"/>
    <w:rsid w:val="00013210"/>
    <w:rsid w:val="000137E8"/>
    <w:rsid w:val="00013B5B"/>
    <w:rsid w:val="00016F0E"/>
    <w:rsid w:val="0001715F"/>
    <w:rsid w:val="00017686"/>
    <w:rsid w:val="00020D9E"/>
    <w:rsid w:val="000212C9"/>
    <w:rsid w:val="0002149F"/>
    <w:rsid w:val="00021A4E"/>
    <w:rsid w:val="0002276F"/>
    <w:rsid w:val="0002369C"/>
    <w:rsid w:val="00024092"/>
    <w:rsid w:val="00025033"/>
    <w:rsid w:val="00025D1F"/>
    <w:rsid w:val="000267D6"/>
    <w:rsid w:val="00030AEC"/>
    <w:rsid w:val="00031673"/>
    <w:rsid w:val="000324A6"/>
    <w:rsid w:val="0003622B"/>
    <w:rsid w:val="00041FBF"/>
    <w:rsid w:val="00045D6E"/>
    <w:rsid w:val="00047581"/>
    <w:rsid w:val="00050346"/>
    <w:rsid w:val="00052703"/>
    <w:rsid w:val="00053A42"/>
    <w:rsid w:val="00054668"/>
    <w:rsid w:val="00056485"/>
    <w:rsid w:val="00056F91"/>
    <w:rsid w:val="00060587"/>
    <w:rsid w:val="00063734"/>
    <w:rsid w:val="000644DC"/>
    <w:rsid w:val="00064A1E"/>
    <w:rsid w:val="00065DFE"/>
    <w:rsid w:val="0006712D"/>
    <w:rsid w:val="00067700"/>
    <w:rsid w:val="0006798F"/>
    <w:rsid w:val="00067E2C"/>
    <w:rsid w:val="00067F26"/>
    <w:rsid w:val="0007270D"/>
    <w:rsid w:val="0007317C"/>
    <w:rsid w:val="00077C9C"/>
    <w:rsid w:val="000807B7"/>
    <w:rsid w:val="00081839"/>
    <w:rsid w:val="00082118"/>
    <w:rsid w:val="000843F2"/>
    <w:rsid w:val="000855F0"/>
    <w:rsid w:val="00086D50"/>
    <w:rsid w:val="00086F04"/>
    <w:rsid w:val="000871AC"/>
    <w:rsid w:val="00087345"/>
    <w:rsid w:val="00091D49"/>
    <w:rsid w:val="00091FD5"/>
    <w:rsid w:val="00092D68"/>
    <w:rsid w:val="00096B1A"/>
    <w:rsid w:val="000A01E6"/>
    <w:rsid w:val="000A1EEF"/>
    <w:rsid w:val="000A37CD"/>
    <w:rsid w:val="000A4179"/>
    <w:rsid w:val="000A4EF4"/>
    <w:rsid w:val="000A7320"/>
    <w:rsid w:val="000A740A"/>
    <w:rsid w:val="000A7FF3"/>
    <w:rsid w:val="000B0A01"/>
    <w:rsid w:val="000B15B5"/>
    <w:rsid w:val="000B1F39"/>
    <w:rsid w:val="000B2F51"/>
    <w:rsid w:val="000B30A2"/>
    <w:rsid w:val="000B5016"/>
    <w:rsid w:val="000C00F6"/>
    <w:rsid w:val="000C30F0"/>
    <w:rsid w:val="000C4B31"/>
    <w:rsid w:val="000C5220"/>
    <w:rsid w:val="000C6B14"/>
    <w:rsid w:val="000D4062"/>
    <w:rsid w:val="000D4B6C"/>
    <w:rsid w:val="000D7A9C"/>
    <w:rsid w:val="000E0994"/>
    <w:rsid w:val="000E34FE"/>
    <w:rsid w:val="000E3D1F"/>
    <w:rsid w:val="000E5481"/>
    <w:rsid w:val="000E6D07"/>
    <w:rsid w:val="000F0680"/>
    <w:rsid w:val="000F191E"/>
    <w:rsid w:val="000F1AB6"/>
    <w:rsid w:val="000F45AA"/>
    <w:rsid w:val="000F5756"/>
    <w:rsid w:val="000F62DB"/>
    <w:rsid w:val="00101101"/>
    <w:rsid w:val="0010123E"/>
    <w:rsid w:val="00103FE8"/>
    <w:rsid w:val="001050E3"/>
    <w:rsid w:val="00106328"/>
    <w:rsid w:val="00106FE7"/>
    <w:rsid w:val="00111F96"/>
    <w:rsid w:val="00112FB2"/>
    <w:rsid w:val="00116162"/>
    <w:rsid w:val="001167A7"/>
    <w:rsid w:val="001173EF"/>
    <w:rsid w:val="00117B36"/>
    <w:rsid w:val="00120FA1"/>
    <w:rsid w:val="00121529"/>
    <w:rsid w:val="001221E6"/>
    <w:rsid w:val="001223B7"/>
    <w:rsid w:val="00123CD4"/>
    <w:rsid w:val="00124C72"/>
    <w:rsid w:val="00125B20"/>
    <w:rsid w:val="00126CB1"/>
    <w:rsid w:val="00127D28"/>
    <w:rsid w:val="00132232"/>
    <w:rsid w:val="00132AD9"/>
    <w:rsid w:val="0013423D"/>
    <w:rsid w:val="001414B3"/>
    <w:rsid w:val="00146D5B"/>
    <w:rsid w:val="00150A31"/>
    <w:rsid w:val="00151B54"/>
    <w:rsid w:val="00152212"/>
    <w:rsid w:val="00155443"/>
    <w:rsid w:val="0015589A"/>
    <w:rsid w:val="001604C2"/>
    <w:rsid w:val="00164785"/>
    <w:rsid w:val="00165499"/>
    <w:rsid w:val="00165C94"/>
    <w:rsid w:val="00172EFE"/>
    <w:rsid w:val="00174C24"/>
    <w:rsid w:val="00175B14"/>
    <w:rsid w:val="00175CC0"/>
    <w:rsid w:val="00175F62"/>
    <w:rsid w:val="0017603E"/>
    <w:rsid w:val="00176ABF"/>
    <w:rsid w:val="00176F2F"/>
    <w:rsid w:val="00181B07"/>
    <w:rsid w:val="00182F9B"/>
    <w:rsid w:val="001846EE"/>
    <w:rsid w:val="00190F10"/>
    <w:rsid w:val="00191EB4"/>
    <w:rsid w:val="00191FF0"/>
    <w:rsid w:val="00193DE0"/>
    <w:rsid w:val="00193DE8"/>
    <w:rsid w:val="0019748E"/>
    <w:rsid w:val="00197BC5"/>
    <w:rsid w:val="001A1B49"/>
    <w:rsid w:val="001A1CBB"/>
    <w:rsid w:val="001A586A"/>
    <w:rsid w:val="001A6D78"/>
    <w:rsid w:val="001A7757"/>
    <w:rsid w:val="001B0EC6"/>
    <w:rsid w:val="001B1FAC"/>
    <w:rsid w:val="001B2792"/>
    <w:rsid w:val="001B3737"/>
    <w:rsid w:val="001B49A1"/>
    <w:rsid w:val="001B5F4F"/>
    <w:rsid w:val="001C15E4"/>
    <w:rsid w:val="001C4747"/>
    <w:rsid w:val="001C48E0"/>
    <w:rsid w:val="001C5A71"/>
    <w:rsid w:val="001C671E"/>
    <w:rsid w:val="001C7831"/>
    <w:rsid w:val="001D0514"/>
    <w:rsid w:val="001D1231"/>
    <w:rsid w:val="001D228D"/>
    <w:rsid w:val="001D242D"/>
    <w:rsid w:val="001D2D02"/>
    <w:rsid w:val="001E10D1"/>
    <w:rsid w:val="001E5059"/>
    <w:rsid w:val="001E5B87"/>
    <w:rsid w:val="001F00B1"/>
    <w:rsid w:val="001F194E"/>
    <w:rsid w:val="001F4010"/>
    <w:rsid w:val="001F4112"/>
    <w:rsid w:val="001F62D0"/>
    <w:rsid w:val="001F7AD8"/>
    <w:rsid w:val="00203A6E"/>
    <w:rsid w:val="00210011"/>
    <w:rsid w:val="00210E9B"/>
    <w:rsid w:val="002157FF"/>
    <w:rsid w:val="0022047A"/>
    <w:rsid w:val="00221E92"/>
    <w:rsid w:val="00224755"/>
    <w:rsid w:val="00225AC6"/>
    <w:rsid w:val="00226517"/>
    <w:rsid w:val="00232F29"/>
    <w:rsid w:val="002333FE"/>
    <w:rsid w:val="0023391F"/>
    <w:rsid w:val="00233DD0"/>
    <w:rsid w:val="00234725"/>
    <w:rsid w:val="002355D6"/>
    <w:rsid w:val="00236B04"/>
    <w:rsid w:val="002418FA"/>
    <w:rsid w:val="00244AD6"/>
    <w:rsid w:val="00244F3A"/>
    <w:rsid w:val="00246830"/>
    <w:rsid w:val="00250B60"/>
    <w:rsid w:val="00250C8C"/>
    <w:rsid w:val="00250C9E"/>
    <w:rsid w:val="0025300E"/>
    <w:rsid w:val="00254D4D"/>
    <w:rsid w:val="00255349"/>
    <w:rsid w:val="002570DD"/>
    <w:rsid w:val="0025734C"/>
    <w:rsid w:val="002608BE"/>
    <w:rsid w:val="00264460"/>
    <w:rsid w:val="0026711B"/>
    <w:rsid w:val="0027014E"/>
    <w:rsid w:val="002703AD"/>
    <w:rsid w:val="002724B3"/>
    <w:rsid w:val="00272698"/>
    <w:rsid w:val="00273950"/>
    <w:rsid w:val="002749CF"/>
    <w:rsid w:val="00275C37"/>
    <w:rsid w:val="002844B9"/>
    <w:rsid w:val="00285D94"/>
    <w:rsid w:val="00286CB5"/>
    <w:rsid w:val="00287103"/>
    <w:rsid w:val="00291921"/>
    <w:rsid w:val="00293F42"/>
    <w:rsid w:val="002949A3"/>
    <w:rsid w:val="00294C8D"/>
    <w:rsid w:val="0029602A"/>
    <w:rsid w:val="00297062"/>
    <w:rsid w:val="0029746D"/>
    <w:rsid w:val="002978AC"/>
    <w:rsid w:val="00297F47"/>
    <w:rsid w:val="002A03FA"/>
    <w:rsid w:val="002A0B4D"/>
    <w:rsid w:val="002A22A4"/>
    <w:rsid w:val="002A2656"/>
    <w:rsid w:val="002A3C6D"/>
    <w:rsid w:val="002A64DC"/>
    <w:rsid w:val="002A6505"/>
    <w:rsid w:val="002A72E3"/>
    <w:rsid w:val="002A7939"/>
    <w:rsid w:val="002A7AF7"/>
    <w:rsid w:val="002B107F"/>
    <w:rsid w:val="002B2236"/>
    <w:rsid w:val="002B4818"/>
    <w:rsid w:val="002B4BB4"/>
    <w:rsid w:val="002B6953"/>
    <w:rsid w:val="002B6C0F"/>
    <w:rsid w:val="002B745A"/>
    <w:rsid w:val="002B7B5E"/>
    <w:rsid w:val="002C0F19"/>
    <w:rsid w:val="002C3EAE"/>
    <w:rsid w:val="002C6A17"/>
    <w:rsid w:val="002D027C"/>
    <w:rsid w:val="002D420D"/>
    <w:rsid w:val="002D4928"/>
    <w:rsid w:val="002D64C2"/>
    <w:rsid w:val="002E1E44"/>
    <w:rsid w:val="002E1F91"/>
    <w:rsid w:val="002E20B2"/>
    <w:rsid w:val="002E2802"/>
    <w:rsid w:val="002E5B1E"/>
    <w:rsid w:val="002E6AB2"/>
    <w:rsid w:val="002E7A79"/>
    <w:rsid w:val="002E7BEB"/>
    <w:rsid w:val="002F2B4A"/>
    <w:rsid w:val="002F3126"/>
    <w:rsid w:val="002F33D5"/>
    <w:rsid w:val="002F43C8"/>
    <w:rsid w:val="002F5A42"/>
    <w:rsid w:val="002F6F5E"/>
    <w:rsid w:val="00300E71"/>
    <w:rsid w:val="00302156"/>
    <w:rsid w:val="0030243A"/>
    <w:rsid w:val="003027B9"/>
    <w:rsid w:val="00306CA8"/>
    <w:rsid w:val="003072D5"/>
    <w:rsid w:val="0031234A"/>
    <w:rsid w:val="00312B28"/>
    <w:rsid w:val="00313FA6"/>
    <w:rsid w:val="00315A9B"/>
    <w:rsid w:val="00317A89"/>
    <w:rsid w:val="00317EB3"/>
    <w:rsid w:val="0032006C"/>
    <w:rsid w:val="00320D12"/>
    <w:rsid w:val="00320E52"/>
    <w:rsid w:val="003222B4"/>
    <w:rsid w:val="003238A5"/>
    <w:rsid w:val="00324750"/>
    <w:rsid w:val="00324A2B"/>
    <w:rsid w:val="00324EC6"/>
    <w:rsid w:val="00327CAA"/>
    <w:rsid w:val="00330450"/>
    <w:rsid w:val="00330FCF"/>
    <w:rsid w:val="003329C0"/>
    <w:rsid w:val="00333D56"/>
    <w:rsid w:val="003351E5"/>
    <w:rsid w:val="0033686A"/>
    <w:rsid w:val="003368B0"/>
    <w:rsid w:val="003377BF"/>
    <w:rsid w:val="00337A8D"/>
    <w:rsid w:val="00341A33"/>
    <w:rsid w:val="003425BB"/>
    <w:rsid w:val="003501FE"/>
    <w:rsid w:val="0035478E"/>
    <w:rsid w:val="003604EB"/>
    <w:rsid w:val="00360C6E"/>
    <w:rsid w:val="00362C72"/>
    <w:rsid w:val="0036426F"/>
    <w:rsid w:val="00366840"/>
    <w:rsid w:val="00370440"/>
    <w:rsid w:val="0037105D"/>
    <w:rsid w:val="00374E96"/>
    <w:rsid w:val="00377BB5"/>
    <w:rsid w:val="003803AB"/>
    <w:rsid w:val="003806D3"/>
    <w:rsid w:val="003833E6"/>
    <w:rsid w:val="00386E61"/>
    <w:rsid w:val="00387237"/>
    <w:rsid w:val="00391DB6"/>
    <w:rsid w:val="00393E37"/>
    <w:rsid w:val="00395927"/>
    <w:rsid w:val="003A0ACF"/>
    <w:rsid w:val="003A15EC"/>
    <w:rsid w:val="003A2C73"/>
    <w:rsid w:val="003A45EB"/>
    <w:rsid w:val="003A5E4E"/>
    <w:rsid w:val="003A6DFD"/>
    <w:rsid w:val="003B0DCE"/>
    <w:rsid w:val="003B10BA"/>
    <w:rsid w:val="003B1812"/>
    <w:rsid w:val="003B4D8C"/>
    <w:rsid w:val="003C0103"/>
    <w:rsid w:val="003C0A45"/>
    <w:rsid w:val="003C1F0B"/>
    <w:rsid w:val="003C1FF4"/>
    <w:rsid w:val="003C5009"/>
    <w:rsid w:val="003C7048"/>
    <w:rsid w:val="003D1DEA"/>
    <w:rsid w:val="003D5A7D"/>
    <w:rsid w:val="003D6783"/>
    <w:rsid w:val="003D7018"/>
    <w:rsid w:val="003E3833"/>
    <w:rsid w:val="003E499B"/>
    <w:rsid w:val="003E7107"/>
    <w:rsid w:val="003F1D65"/>
    <w:rsid w:val="003F2DDD"/>
    <w:rsid w:val="003F4655"/>
    <w:rsid w:val="003F530F"/>
    <w:rsid w:val="003F57AA"/>
    <w:rsid w:val="00400E18"/>
    <w:rsid w:val="0040162F"/>
    <w:rsid w:val="00401C83"/>
    <w:rsid w:val="0040266E"/>
    <w:rsid w:val="00402A4D"/>
    <w:rsid w:val="00405886"/>
    <w:rsid w:val="00407708"/>
    <w:rsid w:val="00413AC9"/>
    <w:rsid w:val="004151FF"/>
    <w:rsid w:val="004165E5"/>
    <w:rsid w:val="00417F5F"/>
    <w:rsid w:val="00421347"/>
    <w:rsid w:val="004228DD"/>
    <w:rsid w:val="00425A26"/>
    <w:rsid w:val="00425E03"/>
    <w:rsid w:val="00426241"/>
    <w:rsid w:val="004351CE"/>
    <w:rsid w:val="00435F90"/>
    <w:rsid w:val="0044036A"/>
    <w:rsid w:val="00441BEE"/>
    <w:rsid w:val="0044242A"/>
    <w:rsid w:val="004436C9"/>
    <w:rsid w:val="0044470C"/>
    <w:rsid w:val="004470A0"/>
    <w:rsid w:val="0045156C"/>
    <w:rsid w:val="00451695"/>
    <w:rsid w:val="00451B99"/>
    <w:rsid w:val="00453943"/>
    <w:rsid w:val="00453B00"/>
    <w:rsid w:val="004566A7"/>
    <w:rsid w:val="00460E2E"/>
    <w:rsid w:val="00461F66"/>
    <w:rsid w:val="00462943"/>
    <w:rsid w:val="004643E3"/>
    <w:rsid w:val="004667FB"/>
    <w:rsid w:val="00467813"/>
    <w:rsid w:val="00471A87"/>
    <w:rsid w:val="00471BC0"/>
    <w:rsid w:val="00473386"/>
    <w:rsid w:val="004735A5"/>
    <w:rsid w:val="00473A17"/>
    <w:rsid w:val="00481DC5"/>
    <w:rsid w:val="0048240B"/>
    <w:rsid w:val="0048289C"/>
    <w:rsid w:val="00482B74"/>
    <w:rsid w:val="0048441F"/>
    <w:rsid w:val="004914A4"/>
    <w:rsid w:val="00492381"/>
    <w:rsid w:val="00492482"/>
    <w:rsid w:val="004928B4"/>
    <w:rsid w:val="00495025"/>
    <w:rsid w:val="00495229"/>
    <w:rsid w:val="00495D7B"/>
    <w:rsid w:val="00496996"/>
    <w:rsid w:val="004A07C7"/>
    <w:rsid w:val="004A291E"/>
    <w:rsid w:val="004A4989"/>
    <w:rsid w:val="004A4A45"/>
    <w:rsid w:val="004B3880"/>
    <w:rsid w:val="004B3F13"/>
    <w:rsid w:val="004B691E"/>
    <w:rsid w:val="004C419C"/>
    <w:rsid w:val="004C4869"/>
    <w:rsid w:val="004C5277"/>
    <w:rsid w:val="004C5A8F"/>
    <w:rsid w:val="004C70D4"/>
    <w:rsid w:val="004C7ADF"/>
    <w:rsid w:val="004D1587"/>
    <w:rsid w:val="004D2F7C"/>
    <w:rsid w:val="004D3561"/>
    <w:rsid w:val="004D5BC7"/>
    <w:rsid w:val="004D6D34"/>
    <w:rsid w:val="004E0B42"/>
    <w:rsid w:val="004E3B50"/>
    <w:rsid w:val="004E3F06"/>
    <w:rsid w:val="004E4584"/>
    <w:rsid w:val="004F251C"/>
    <w:rsid w:val="004F3141"/>
    <w:rsid w:val="004F400A"/>
    <w:rsid w:val="004F7CA1"/>
    <w:rsid w:val="004F7CD8"/>
    <w:rsid w:val="005030F8"/>
    <w:rsid w:val="00503E98"/>
    <w:rsid w:val="005051FC"/>
    <w:rsid w:val="005073C0"/>
    <w:rsid w:val="00510160"/>
    <w:rsid w:val="0051059B"/>
    <w:rsid w:val="0051104F"/>
    <w:rsid w:val="005130BB"/>
    <w:rsid w:val="00513DAE"/>
    <w:rsid w:val="00514843"/>
    <w:rsid w:val="00514F01"/>
    <w:rsid w:val="00520391"/>
    <w:rsid w:val="00520E97"/>
    <w:rsid w:val="00520F19"/>
    <w:rsid w:val="0052266E"/>
    <w:rsid w:val="00527730"/>
    <w:rsid w:val="00527957"/>
    <w:rsid w:val="00531D75"/>
    <w:rsid w:val="00532F00"/>
    <w:rsid w:val="005350B3"/>
    <w:rsid w:val="00536659"/>
    <w:rsid w:val="00540D0C"/>
    <w:rsid w:val="00541458"/>
    <w:rsid w:val="00541C52"/>
    <w:rsid w:val="005438E4"/>
    <w:rsid w:val="0054570F"/>
    <w:rsid w:val="005469D1"/>
    <w:rsid w:val="00552806"/>
    <w:rsid w:val="005568A0"/>
    <w:rsid w:val="005617F4"/>
    <w:rsid w:val="005618C4"/>
    <w:rsid w:val="00563841"/>
    <w:rsid w:val="005638FE"/>
    <w:rsid w:val="00563BA8"/>
    <w:rsid w:val="005647A8"/>
    <w:rsid w:val="00566A32"/>
    <w:rsid w:val="00570011"/>
    <w:rsid w:val="00571209"/>
    <w:rsid w:val="00573410"/>
    <w:rsid w:val="00573DAE"/>
    <w:rsid w:val="00574D13"/>
    <w:rsid w:val="0058006D"/>
    <w:rsid w:val="005808CD"/>
    <w:rsid w:val="0058195F"/>
    <w:rsid w:val="00583B7A"/>
    <w:rsid w:val="0058436D"/>
    <w:rsid w:val="005867F1"/>
    <w:rsid w:val="00591557"/>
    <w:rsid w:val="005921C8"/>
    <w:rsid w:val="0059432F"/>
    <w:rsid w:val="00594553"/>
    <w:rsid w:val="0059635A"/>
    <w:rsid w:val="0059752F"/>
    <w:rsid w:val="005A05D2"/>
    <w:rsid w:val="005A0E23"/>
    <w:rsid w:val="005A2D27"/>
    <w:rsid w:val="005A5820"/>
    <w:rsid w:val="005A600E"/>
    <w:rsid w:val="005A61B1"/>
    <w:rsid w:val="005A6F6A"/>
    <w:rsid w:val="005A7182"/>
    <w:rsid w:val="005A73E0"/>
    <w:rsid w:val="005A77A0"/>
    <w:rsid w:val="005B0183"/>
    <w:rsid w:val="005B2F0C"/>
    <w:rsid w:val="005B400B"/>
    <w:rsid w:val="005B4C2E"/>
    <w:rsid w:val="005B4C54"/>
    <w:rsid w:val="005B508C"/>
    <w:rsid w:val="005B736D"/>
    <w:rsid w:val="005C0329"/>
    <w:rsid w:val="005C0CD6"/>
    <w:rsid w:val="005C131E"/>
    <w:rsid w:val="005C4349"/>
    <w:rsid w:val="005C5B67"/>
    <w:rsid w:val="005D4D4D"/>
    <w:rsid w:val="005D4E38"/>
    <w:rsid w:val="005E285F"/>
    <w:rsid w:val="005E6027"/>
    <w:rsid w:val="005E62C7"/>
    <w:rsid w:val="005E6457"/>
    <w:rsid w:val="005E6810"/>
    <w:rsid w:val="005F1C5C"/>
    <w:rsid w:val="005F2CE4"/>
    <w:rsid w:val="005F31C3"/>
    <w:rsid w:val="00600702"/>
    <w:rsid w:val="00600E43"/>
    <w:rsid w:val="00602AAA"/>
    <w:rsid w:val="00602FE9"/>
    <w:rsid w:val="006031A3"/>
    <w:rsid w:val="00604E97"/>
    <w:rsid w:val="00605C5C"/>
    <w:rsid w:val="00606BD2"/>
    <w:rsid w:val="00606C22"/>
    <w:rsid w:val="00606C60"/>
    <w:rsid w:val="00613A1D"/>
    <w:rsid w:val="00614813"/>
    <w:rsid w:val="00617530"/>
    <w:rsid w:val="006204D2"/>
    <w:rsid w:val="006215D9"/>
    <w:rsid w:val="00621D8F"/>
    <w:rsid w:val="00622B17"/>
    <w:rsid w:val="00622E21"/>
    <w:rsid w:val="006230EE"/>
    <w:rsid w:val="00625336"/>
    <w:rsid w:val="006256FB"/>
    <w:rsid w:val="00626110"/>
    <w:rsid w:val="00627B49"/>
    <w:rsid w:val="0063036C"/>
    <w:rsid w:val="006315A4"/>
    <w:rsid w:val="0063198E"/>
    <w:rsid w:val="0063321D"/>
    <w:rsid w:val="006344A6"/>
    <w:rsid w:val="00634633"/>
    <w:rsid w:val="00634BBF"/>
    <w:rsid w:val="006459E1"/>
    <w:rsid w:val="006524EF"/>
    <w:rsid w:val="00654AFD"/>
    <w:rsid w:val="00662920"/>
    <w:rsid w:val="00662A5E"/>
    <w:rsid w:val="0067138F"/>
    <w:rsid w:val="00671C41"/>
    <w:rsid w:val="00671D27"/>
    <w:rsid w:val="00671D9F"/>
    <w:rsid w:val="0067229D"/>
    <w:rsid w:val="00672940"/>
    <w:rsid w:val="00675D8B"/>
    <w:rsid w:val="00675FF2"/>
    <w:rsid w:val="00676E18"/>
    <w:rsid w:val="00680E32"/>
    <w:rsid w:val="006826E2"/>
    <w:rsid w:val="00684177"/>
    <w:rsid w:val="0068488F"/>
    <w:rsid w:val="006858D3"/>
    <w:rsid w:val="006863A7"/>
    <w:rsid w:val="00691482"/>
    <w:rsid w:val="00691AFC"/>
    <w:rsid w:val="00691B45"/>
    <w:rsid w:val="0069273E"/>
    <w:rsid w:val="00696F51"/>
    <w:rsid w:val="006A0E95"/>
    <w:rsid w:val="006A3230"/>
    <w:rsid w:val="006A4307"/>
    <w:rsid w:val="006A70FB"/>
    <w:rsid w:val="006A7B47"/>
    <w:rsid w:val="006B0795"/>
    <w:rsid w:val="006B3C20"/>
    <w:rsid w:val="006B7D9A"/>
    <w:rsid w:val="006C06F9"/>
    <w:rsid w:val="006C17E2"/>
    <w:rsid w:val="006C5460"/>
    <w:rsid w:val="006C7D3F"/>
    <w:rsid w:val="006D15BE"/>
    <w:rsid w:val="006D21C6"/>
    <w:rsid w:val="006D2FD4"/>
    <w:rsid w:val="006D521D"/>
    <w:rsid w:val="006D5C34"/>
    <w:rsid w:val="006D71AD"/>
    <w:rsid w:val="006E0406"/>
    <w:rsid w:val="006E423E"/>
    <w:rsid w:val="006E546D"/>
    <w:rsid w:val="006E5611"/>
    <w:rsid w:val="006E6287"/>
    <w:rsid w:val="006E783F"/>
    <w:rsid w:val="006F033C"/>
    <w:rsid w:val="006F0F7E"/>
    <w:rsid w:val="006F2398"/>
    <w:rsid w:val="006F3DB7"/>
    <w:rsid w:val="006F44E7"/>
    <w:rsid w:val="006F7EEA"/>
    <w:rsid w:val="0070157B"/>
    <w:rsid w:val="0070255F"/>
    <w:rsid w:val="00707519"/>
    <w:rsid w:val="00710F8A"/>
    <w:rsid w:val="00716D4D"/>
    <w:rsid w:val="00717A1F"/>
    <w:rsid w:val="007202BB"/>
    <w:rsid w:val="00720588"/>
    <w:rsid w:val="007210FD"/>
    <w:rsid w:val="0072202E"/>
    <w:rsid w:val="00724984"/>
    <w:rsid w:val="0072632E"/>
    <w:rsid w:val="00726B20"/>
    <w:rsid w:val="0073194F"/>
    <w:rsid w:val="00733C50"/>
    <w:rsid w:val="007349BE"/>
    <w:rsid w:val="0073504A"/>
    <w:rsid w:val="00736367"/>
    <w:rsid w:val="0073720E"/>
    <w:rsid w:val="00743C91"/>
    <w:rsid w:val="007449D9"/>
    <w:rsid w:val="00746DD5"/>
    <w:rsid w:val="0074770A"/>
    <w:rsid w:val="00747729"/>
    <w:rsid w:val="0075100C"/>
    <w:rsid w:val="00754F0B"/>
    <w:rsid w:val="00756DBE"/>
    <w:rsid w:val="00760FCB"/>
    <w:rsid w:val="00762567"/>
    <w:rsid w:val="00762C4F"/>
    <w:rsid w:val="007637EB"/>
    <w:rsid w:val="007754C1"/>
    <w:rsid w:val="00775BCB"/>
    <w:rsid w:val="00777308"/>
    <w:rsid w:val="00781A91"/>
    <w:rsid w:val="00782268"/>
    <w:rsid w:val="007849E0"/>
    <w:rsid w:val="00784A40"/>
    <w:rsid w:val="00785293"/>
    <w:rsid w:val="007875CD"/>
    <w:rsid w:val="00790FF5"/>
    <w:rsid w:val="00791014"/>
    <w:rsid w:val="00791271"/>
    <w:rsid w:val="007958BA"/>
    <w:rsid w:val="007A0FA5"/>
    <w:rsid w:val="007A1ABB"/>
    <w:rsid w:val="007A1E03"/>
    <w:rsid w:val="007A20DD"/>
    <w:rsid w:val="007A4525"/>
    <w:rsid w:val="007A4DD2"/>
    <w:rsid w:val="007A5F28"/>
    <w:rsid w:val="007A6151"/>
    <w:rsid w:val="007B04DC"/>
    <w:rsid w:val="007B2BA9"/>
    <w:rsid w:val="007B33D9"/>
    <w:rsid w:val="007B4566"/>
    <w:rsid w:val="007B4719"/>
    <w:rsid w:val="007B5777"/>
    <w:rsid w:val="007B6C1F"/>
    <w:rsid w:val="007C1AA9"/>
    <w:rsid w:val="007C327F"/>
    <w:rsid w:val="007C4E7D"/>
    <w:rsid w:val="007C5F3D"/>
    <w:rsid w:val="007D09D1"/>
    <w:rsid w:val="007D2837"/>
    <w:rsid w:val="007D3549"/>
    <w:rsid w:val="007D5743"/>
    <w:rsid w:val="007E4E06"/>
    <w:rsid w:val="007E4F07"/>
    <w:rsid w:val="007E56B9"/>
    <w:rsid w:val="007F0ECD"/>
    <w:rsid w:val="007F0F2D"/>
    <w:rsid w:val="007F12EB"/>
    <w:rsid w:val="007F1FB0"/>
    <w:rsid w:val="007F600A"/>
    <w:rsid w:val="007F6212"/>
    <w:rsid w:val="007F63D3"/>
    <w:rsid w:val="008037A8"/>
    <w:rsid w:val="00805ECE"/>
    <w:rsid w:val="0080656C"/>
    <w:rsid w:val="00806F51"/>
    <w:rsid w:val="0080748A"/>
    <w:rsid w:val="008136AA"/>
    <w:rsid w:val="00814104"/>
    <w:rsid w:val="008144C3"/>
    <w:rsid w:val="00820477"/>
    <w:rsid w:val="008207FF"/>
    <w:rsid w:val="008227CD"/>
    <w:rsid w:val="00822969"/>
    <w:rsid w:val="00824CE2"/>
    <w:rsid w:val="00825505"/>
    <w:rsid w:val="00825E69"/>
    <w:rsid w:val="00826EB9"/>
    <w:rsid w:val="00830418"/>
    <w:rsid w:val="008306B7"/>
    <w:rsid w:val="008311E0"/>
    <w:rsid w:val="00832085"/>
    <w:rsid w:val="00832A17"/>
    <w:rsid w:val="0083333F"/>
    <w:rsid w:val="00833BBB"/>
    <w:rsid w:val="00835190"/>
    <w:rsid w:val="00836330"/>
    <w:rsid w:val="00836748"/>
    <w:rsid w:val="008438F5"/>
    <w:rsid w:val="008528CC"/>
    <w:rsid w:val="00853C29"/>
    <w:rsid w:val="008555D1"/>
    <w:rsid w:val="0085676B"/>
    <w:rsid w:val="00861BDF"/>
    <w:rsid w:val="00861BFE"/>
    <w:rsid w:val="00862149"/>
    <w:rsid w:val="00862889"/>
    <w:rsid w:val="00863F0E"/>
    <w:rsid w:val="008650E5"/>
    <w:rsid w:val="008700D3"/>
    <w:rsid w:val="00870FD0"/>
    <w:rsid w:val="008716DA"/>
    <w:rsid w:val="00872624"/>
    <w:rsid w:val="00872D92"/>
    <w:rsid w:val="00874289"/>
    <w:rsid w:val="00874622"/>
    <w:rsid w:val="0087671B"/>
    <w:rsid w:val="00877507"/>
    <w:rsid w:val="00877536"/>
    <w:rsid w:val="00883880"/>
    <w:rsid w:val="00883D36"/>
    <w:rsid w:val="00884B65"/>
    <w:rsid w:val="00885846"/>
    <w:rsid w:val="00887406"/>
    <w:rsid w:val="00887DB8"/>
    <w:rsid w:val="00895176"/>
    <w:rsid w:val="00895F0E"/>
    <w:rsid w:val="008964F6"/>
    <w:rsid w:val="008974CD"/>
    <w:rsid w:val="00897B2E"/>
    <w:rsid w:val="008A0A1A"/>
    <w:rsid w:val="008A0F2C"/>
    <w:rsid w:val="008A6A09"/>
    <w:rsid w:val="008A6F96"/>
    <w:rsid w:val="008B0B63"/>
    <w:rsid w:val="008B1069"/>
    <w:rsid w:val="008B1D73"/>
    <w:rsid w:val="008B3F3C"/>
    <w:rsid w:val="008B5197"/>
    <w:rsid w:val="008C2D4B"/>
    <w:rsid w:val="008C4160"/>
    <w:rsid w:val="008C70BB"/>
    <w:rsid w:val="008C721A"/>
    <w:rsid w:val="008D02E6"/>
    <w:rsid w:val="008D0D80"/>
    <w:rsid w:val="008D392B"/>
    <w:rsid w:val="008D538D"/>
    <w:rsid w:val="008D6FAD"/>
    <w:rsid w:val="008E2E48"/>
    <w:rsid w:val="008E30B4"/>
    <w:rsid w:val="008E755F"/>
    <w:rsid w:val="008F151B"/>
    <w:rsid w:val="008F2392"/>
    <w:rsid w:val="008F468C"/>
    <w:rsid w:val="008F5021"/>
    <w:rsid w:val="008F5361"/>
    <w:rsid w:val="008F57E4"/>
    <w:rsid w:val="008F6DCD"/>
    <w:rsid w:val="00912C8C"/>
    <w:rsid w:val="0091345A"/>
    <w:rsid w:val="009154BD"/>
    <w:rsid w:val="00916B63"/>
    <w:rsid w:val="00917E69"/>
    <w:rsid w:val="00922D1C"/>
    <w:rsid w:val="00923C26"/>
    <w:rsid w:val="00924536"/>
    <w:rsid w:val="00932C2E"/>
    <w:rsid w:val="00940263"/>
    <w:rsid w:val="0094068C"/>
    <w:rsid w:val="009420C2"/>
    <w:rsid w:val="00942514"/>
    <w:rsid w:val="00943B50"/>
    <w:rsid w:val="009451F5"/>
    <w:rsid w:val="00945CBC"/>
    <w:rsid w:val="00946537"/>
    <w:rsid w:val="00946AA1"/>
    <w:rsid w:val="00950714"/>
    <w:rsid w:val="00952E29"/>
    <w:rsid w:val="00953D61"/>
    <w:rsid w:val="00954B3F"/>
    <w:rsid w:val="009550D8"/>
    <w:rsid w:val="009554BD"/>
    <w:rsid w:val="00955DE4"/>
    <w:rsid w:val="00956690"/>
    <w:rsid w:val="00960EF2"/>
    <w:rsid w:val="00961C9D"/>
    <w:rsid w:val="009630C5"/>
    <w:rsid w:val="00965BBE"/>
    <w:rsid w:val="009662B6"/>
    <w:rsid w:val="0097460D"/>
    <w:rsid w:val="00975E7D"/>
    <w:rsid w:val="00976A72"/>
    <w:rsid w:val="00977695"/>
    <w:rsid w:val="00982C61"/>
    <w:rsid w:val="00984124"/>
    <w:rsid w:val="009851E0"/>
    <w:rsid w:val="00985C85"/>
    <w:rsid w:val="00987699"/>
    <w:rsid w:val="009876C0"/>
    <w:rsid w:val="0099019B"/>
    <w:rsid w:val="009904EC"/>
    <w:rsid w:val="00991520"/>
    <w:rsid w:val="00996572"/>
    <w:rsid w:val="00997206"/>
    <w:rsid w:val="009A05FB"/>
    <w:rsid w:val="009A08B2"/>
    <w:rsid w:val="009A1077"/>
    <w:rsid w:val="009A2B91"/>
    <w:rsid w:val="009A3326"/>
    <w:rsid w:val="009A4FBF"/>
    <w:rsid w:val="009A5786"/>
    <w:rsid w:val="009A5BDA"/>
    <w:rsid w:val="009A723D"/>
    <w:rsid w:val="009B0191"/>
    <w:rsid w:val="009B365C"/>
    <w:rsid w:val="009B460B"/>
    <w:rsid w:val="009B5456"/>
    <w:rsid w:val="009B7491"/>
    <w:rsid w:val="009C0295"/>
    <w:rsid w:val="009C20DD"/>
    <w:rsid w:val="009C3383"/>
    <w:rsid w:val="009C4F11"/>
    <w:rsid w:val="009C7251"/>
    <w:rsid w:val="009C73C7"/>
    <w:rsid w:val="009D1429"/>
    <w:rsid w:val="009D2BB2"/>
    <w:rsid w:val="009D394A"/>
    <w:rsid w:val="009D425C"/>
    <w:rsid w:val="009D7E17"/>
    <w:rsid w:val="009E0054"/>
    <w:rsid w:val="009E2F13"/>
    <w:rsid w:val="009E3114"/>
    <w:rsid w:val="009E3B82"/>
    <w:rsid w:val="009E4F04"/>
    <w:rsid w:val="009E500C"/>
    <w:rsid w:val="009E51A5"/>
    <w:rsid w:val="009E6C8F"/>
    <w:rsid w:val="009E6D32"/>
    <w:rsid w:val="009F0270"/>
    <w:rsid w:val="009F04A1"/>
    <w:rsid w:val="009F2B2E"/>
    <w:rsid w:val="009F5611"/>
    <w:rsid w:val="009F7452"/>
    <w:rsid w:val="009F75BA"/>
    <w:rsid w:val="00A03FB1"/>
    <w:rsid w:val="00A065F6"/>
    <w:rsid w:val="00A06AC9"/>
    <w:rsid w:val="00A11015"/>
    <w:rsid w:val="00A113D2"/>
    <w:rsid w:val="00A16A1F"/>
    <w:rsid w:val="00A200B2"/>
    <w:rsid w:val="00A21FA2"/>
    <w:rsid w:val="00A224B0"/>
    <w:rsid w:val="00A2467F"/>
    <w:rsid w:val="00A31581"/>
    <w:rsid w:val="00A31C7F"/>
    <w:rsid w:val="00A32CBC"/>
    <w:rsid w:val="00A332B2"/>
    <w:rsid w:val="00A426CD"/>
    <w:rsid w:val="00A43FAF"/>
    <w:rsid w:val="00A44C8A"/>
    <w:rsid w:val="00A44F6A"/>
    <w:rsid w:val="00A4503B"/>
    <w:rsid w:val="00A45947"/>
    <w:rsid w:val="00A45EFF"/>
    <w:rsid w:val="00A46D72"/>
    <w:rsid w:val="00A47717"/>
    <w:rsid w:val="00A528CE"/>
    <w:rsid w:val="00A56746"/>
    <w:rsid w:val="00A57113"/>
    <w:rsid w:val="00A5737B"/>
    <w:rsid w:val="00A6048F"/>
    <w:rsid w:val="00A614F6"/>
    <w:rsid w:val="00A63617"/>
    <w:rsid w:val="00A6562D"/>
    <w:rsid w:val="00A67416"/>
    <w:rsid w:val="00A67872"/>
    <w:rsid w:val="00A70127"/>
    <w:rsid w:val="00A70B10"/>
    <w:rsid w:val="00A70D56"/>
    <w:rsid w:val="00A70F23"/>
    <w:rsid w:val="00A71A6D"/>
    <w:rsid w:val="00A71B3E"/>
    <w:rsid w:val="00A721C7"/>
    <w:rsid w:val="00A73FDC"/>
    <w:rsid w:val="00A74281"/>
    <w:rsid w:val="00A74463"/>
    <w:rsid w:val="00A74A61"/>
    <w:rsid w:val="00A819D1"/>
    <w:rsid w:val="00A81DB4"/>
    <w:rsid w:val="00A83439"/>
    <w:rsid w:val="00A878D7"/>
    <w:rsid w:val="00A90CFD"/>
    <w:rsid w:val="00A91EE6"/>
    <w:rsid w:val="00AA0110"/>
    <w:rsid w:val="00AA0D1F"/>
    <w:rsid w:val="00AA2DF5"/>
    <w:rsid w:val="00AA362E"/>
    <w:rsid w:val="00AA3AC8"/>
    <w:rsid w:val="00AA3B9E"/>
    <w:rsid w:val="00AB0313"/>
    <w:rsid w:val="00AB28C3"/>
    <w:rsid w:val="00AB3287"/>
    <w:rsid w:val="00AB3424"/>
    <w:rsid w:val="00AB6201"/>
    <w:rsid w:val="00AB6E16"/>
    <w:rsid w:val="00AB759D"/>
    <w:rsid w:val="00AC036E"/>
    <w:rsid w:val="00AC07B8"/>
    <w:rsid w:val="00AC2523"/>
    <w:rsid w:val="00AC2973"/>
    <w:rsid w:val="00AC58E1"/>
    <w:rsid w:val="00AD0CE8"/>
    <w:rsid w:val="00AD738C"/>
    <w:rsid w:val="00AE0D06"/>
    <w:rsid w:val="00AE22F9"/>
    <w:rsid w:val="00AE5699"/>
    <w:rsid w:val="00AE56E2"/>
    <w:rsid w:val="00AE7CFE"/>
    <w:rsid w:val="00AF3CCC"/>
    <w:rsid w:val="00AF5DC6"/>
    <w:rsid w:val="00AF66B9"/>
    <w:rsid w:val="00AF6E71"/>
    <w:rsid w:val="00B01E1C"/>
    <w:rsid w:val="00B02243"/>
    <w:rsid w:val="00B028CD"/>
    <w:rsid w:val="00B03BCF"/>
    <w:rsid w:val="00B073F4"/>
    <w:rsid w:val="00B07E7E"/>
    <w:rsid w:val="00B15232"/>
    <w:rsid w:val="00B233E0"/>
    <w:rsid w:val="00B259B5"/>
    <w:rsid w:val="00B25AC1"/>
    <w:rsid w:val="00B25FBB"/>
    <w:rsid w:val="00B31DCF"/>
    <w:rsid w:val="00B31F68"/>
    <w:rsid w:val="00B3269D"/>
    <w:rsid w:val="00B3615D"/>
    <w:rsid w:val="00B37459"/>
    <w:rsid w:val="00B4087E"/>
    <w:rsid w:val="00B42DFA"/>
    <w:rsid w:val="00B436D8"/>
    <w:rsid w:val="00B43F54"/>
    <w:rsid w:val="00B4715A"/>
    <w:rsid w:val="00B47A01"/>
    <w:rsid w:val="00B501D7"/>
    <w:rsid w:val="00B506FC"/>
    <w:rsid w:val="00B50F65"/>
    <w:rsid w:val="00B51EC2"/>
    <w:rsid w:val="00B53B12"/>
    <w:rsid w:val="00B5435F"/>
    <w:rsid w:val="00B54853"/>
    <w:rsid w:val="00B55BF0"/>
    <w:rsid w:val="00B61B57"/>
    <w:rsid w:val="00B632BA"/>
    <w:rsid w:val="00B658B5"/>
    <w:rsid w:val="00B65C95"/>
    <w:rsid w:val="00B65DF9"/>
    <w:rsid w:val="00B732BD"/>
    <w:rsid w:val="00B77127"/>
    <w:rsid w:val="00B774EA"/>
    <w:rsid w:val="00B81544"/>
    <w:rsid w:val="00B82C35"/>
    <w:rsid w:val="00B84BAB"/>
    <w:rsid w:val="00B86CD0"/>
    <w:rsid w:val="00B87E23"/>
    <w:rsid w:val="00B87F22"/>
    <w:rsid w:val="00B91A9F"/>
    <w:rsid w:val="00B91F9D"/>
    <w:rsid w:val="00B92D53"/>
    <w:rsid w:val="00B94A34"/>
    <w:rsid w:val="00BA0835"/>
    <w:rsid w:val="00BA153A"/>
    <w:rsid w:val="00BA1F6C"/>
    <w:rsid w:val="00BA28A2"/>
    <w:rsid w:val="00BA47B2"/>
    <w:rsid w:val="00BA5EFA"/>
    <w:rsid w:val="00BA7171"/>
    <w:rsid w:val="00BB19EA"/>
    <w:rsid w:val="00BB1EF5"/>
    <w:rsid w:val="00BB20E2"/>
    <w:rsid w:val="00BB234A"/>
    <w:rsid w:val="00BB3B7C"/>
    <w:rsid w:val="00BB531D"/>
    <w:rsid w:val="00BB75E2"/>
    <w:rsid w:val="00BC1989"/>
    <w:rsid w:val="00BC214B"/>
    <w:rsid w:val="00BC3C26"/>
    <w:rsid w:val="00BC487A"/>
    <w:rsid w:val="00BD1768"/>
    <w:rsid w:val="00BD2454"/>
    <w:rsid w:val="00BD2C58"/>
    <w:rsid w:val="00BD6789"/>
    <w:rsid w:val="00BD693E"/>
    <w:rsid w:val="00BD6FF1"/>
    <w:rsid w:val="00BE0FD6"/>
    <w:rsid w:val="00BE1DDA"/>
    <w:rsid w:val="00BE4652"/>
    <w:rsid w:val="00BE5B88"/>
    <w:rsid w:val="00BF254E"/>
    <w:rsid w:val="00BF5899"/>
    <w:rsid w:val="00BF6868"/>
    <w:rsid w:val="00C017C0"/>
    <w:rsid w:val="00C02F97"/>
    <w:rsid w:val="00C03A91"/>
    <w:rsid w:val="00C065B7"/>
    <w:rsid w:val="00C06A63"/>
    <w:rsid w:val="00C06F05"/>
    <w:rsid w:val="00C12556"/>
    <w:rsid w:val="00C130ED"/>
    <w:rsid w:val="00C1352C"/>
    <w:rsid w:val="00C13729"/>
    <w:rsid w:val="00C163C9"/>
    <w:rsid w:val="00C23E5E"/>
    <w:rsid w:val="00C24036"/>
    <w:rsid w:val="00C24A85"/>
    <w:rsid w:val="00C31881"/>
    <w:rsid w:val="00C32B60"/>
    <w:rsid w:val="00C3437B"/>
    <w:rsid w:val="00C36562"/>
    <w:rsid w:val="00C36E08"/>
    <w:rsid w:val="00C409CF"/>
    <w:rsid w:val="00C43154"/>
    <w:rsid w:val="00C44754"/>
    <w:rsid w:val="00C4630A"/>
    <w:rsid w:val="00C52D99"/>
    <w:rsid w:val="00C54AE2"/>
    <w:rsid w:val="00C5543D"/>
    <w:rsid w:val="00C555A9"/>
    <w:rsid w:val="00C56A2C"/>
    <w:rsid w:val="00C61150"/>
    <w:rsid w:val="00C64F3A"/>
    <w:rsid w:val="00C667FB"/>
    <w:rsid w:val="00C719AA"/>
    <w:rsid w:val="00C71B11"/>
    <w:rsid w:val="00C737EC"/>
    <w:rsid w:val="00C76863"/>
    <w:rsid w:val="00C77593"/>
    <w:rsid w:val="00C777C1"/>
    <w:rsid w:val="00C80DA1"/>
    <w:rsid w:val="00C81751"/>
    <w:rsid w:val="00C836E6"/>
    <w:rsid w:val="00C838C4"/>
    <w:rsid w:val="00C93567"/>
    <w:rsid w:val="00C94B76"/>
    <w:rsid w:val="00C96CF2"/>
    <w:rsid w:val="00CA43BA"/>
    <w:rsid w:val="00CA4629"/>
    <w:rsid w:val="00CA4DBD"/>
    <w:rsid w:val="00CA4F73"/>
    <w:rsid w:val="00CA6840"/>
    <w:rsid w:val="00CB0BFD"/>
    <w:rsid w:val="00CB2259"/>
    <w:rsid w:val="00CB3D76"/>
    <w:rsid w:val="00CB4638"/>
    <w:rsid w:val="00CB5371"/>
    <w:rsid w:val="00CB5C17"/>
    <w:rsid w:val="00CB796D"/>
    <w:rsid w:val="00CC1D85"/>
    <w:rsid w:val="00CC2CD3"/>
    <w:rsid w:val="00CC3ADF"/>
    <w:rsid w:val="00CC3C3D"/>
    <w:rsid w:val="00CC557A"/>
    <w:rsid w:val="00CD12A0"/>
    <w:rsid w:val="00CD12BA"/>
    <w:rsid w:val="00CD2BA8"/>
    <w:rsid w:val="00CD36CC"/>
    <w:rsid w:val="00CD375F"/>
    <w:rsid w:val="00CD4D45"/>
    <w:rsid w:val="00CD5044"/>
    <w:rsid w:val="00CD5B1D"/>
    <w:rsid w:val="00CD7039"/>
    <w:rsid w:val="00CD7355"/>
    <w:rsid w:val="00CD7918"/>
    <w:rsid w:val="00CE11DF"/>
    <w:rsid w:val="00CE1DED"/>
    <w:rsid w:val="00CE5C05"/>
    <w:rsid w:val="00CE696E"/>
    <w:rsid w:val="00CF2D12"/>
    <w:rsid w:val="00CF31D2"/>
    <w:rsid w:val="00CF7559"/>
    <w:rsid w:val="00D013C5"/>
    <w:rsid w:val="00D031E0"/>
    <w:rsid w:val="00D052EC"/>
    <w:rsid w:val="00D05A7D"/>
    <w:rsid w:val="00D10EAF"/>
    <w:rsid w:val="00D1125E"/>
    <w:rsid w:val="00D1203A"/>
    <w:rsid w:val="00D12455"/>
    <w:rsid w:val="00D13775"/>
    <w:rsid w:val="00D1556F"/>
    <w:rsid w:val="00D17099"/>
    <w:rsid w:val="00D17830"/>
    <w:rsid w:val="00D21381"/>
    <w:rsid w:val="00D21456"/>
    <w:rsid w:val="00D23634"/>
    <w:rsid w:val="00D26144"/>
    <w:rsid w:val="00D2620A"/>
    <w:rsid w:val="00D27DDA"/>
    <w:rsid w:val="00D32BB2"/>
    <w:rsid w:val="00D33EE0"/>
    <w:rsid w:val="00D3770C"/>
    <w:rsid w:val="00D41552"/>
    <w:rsid w:val="00D470DA"/>
    <w:rsid w:val="00D47681"/>
    <w:rsid w:val="00D5051B"/>
    <w:rsid w:val="00D50656"/>
    <w:rsid w:val="00D52202"/>
    <w:rsid w:val="00D5771B"/>
    <w:rsid w:val="00D61953"/>
    <w:rsid w:val="00D61BC6"/>
    <w:rsid w:val="00D61F7D"/>
    <w:rsid w:val="00D6362C"/>
    <w:rsid w:val="00D64524"/>
    <w:rsid w:val="00D64A4E"/>
    <w:rsid w:val="00D654B4"/>
    <w:rsid w:val="00D67130"/>
    <w:rsid w:val="00D7108E"/>
    <w:rsid w:val="00D76341"/>
    <w:rsid w:val="00D766CC"/>
    <w:rsid w:val="00D76FEF"/>
    <w:rsid w:val="00D80A59"/>
    <w:rsid w:val="00D81869"/>
    <w:rsid w:val="00D826BC"/>
    <w:rsid w:val="00D829C1"/>
    <w:rsid w:val="00D835DC"/>
    <w:rsid w:val="00D83778"/>
    <w:rsid w:val="00D8788B"/>
    <w:rsid w:val="00D92834"/>
    <w:rsid w:val="00D96BF3"/>
    <w:rsid w:val="00D9772B"/>
    <w:rsid w:val="00DA14C2"/>
    <w:rsid w:val="00DA337F"/>
    <w:rsid w:val="00DA4B62"/>
    <w:rsid w:val="00DA4F32"/>
    <w:rsid w:val="00DA691B"/>
    <w:rsid w:val="00DA7186"/>
    <w:rsid w:val="00DA7311"/>
    <w:rsid w:val="00DA7AD8"/>
    <w:rsid w:val="00DB4F89"/>
    <w:rsid w:val="00DB7188"/>
    <w:rsid w:val="00DC0FE8"/>
    <w:rsid w:val="00DC141B"/>
    <w:rsid w:val="00DC1422"/>
    <w:rsid w:val="00DC1655"/>
    <w:rsid w:val="00DC304D"/>
    <w:rsid w:val="00DC3D99"/>
    <w:rsid w:val="00DC4B5C"/>
    <w:rsid w:val="00DC4C94"/>
    <w:rsid w:val="00DC5399"/>
    <w:rsid w:val="00DC57D4"/>
    <w:rsid w:val="00DD07CF"/>
    <w:rsid w:val="00DD117F"/>
    <w:rsid w:val="00DD45FE"/>
    <w:rsid w:val="00DE1754"/>
    <w:rsid w:val="00DE3709"/>
    <w:rsid w:val="00DE52F3"/>
    <w:rsid w:val="00DE5AE9"/>
    <w:rsid w:val="00DE6812"/>
    <w:rsid w:val="00DE732E"/>
    <w:rsid w:val="00DF2084"/>
    <w:rsid w:val="00DF3714"/>
    <w:rsid w:val="00DF3B37"/>
    <w:rsid w:val="00DF499A"/>
    <w:rsid w:val="00DF73F0"/>
    <w:rsid w:val="00DF7917"/>
    <w:rsid w:val="00E00D23"/>
    <w:rsid w:val="00E01416"/>
    <w:rsid w:val="00E02606"/>
    <w:rsid w:val="00E048AB"/>
    <w:rsid w:val="00E064E8"/>
    <w:rsid w:val="00E10811"/>
    <w:rsid w:val="00E10BE1"/>
    <w:rsid w:val="00E12702"/>
    <w:rsid w:val="00E12B8B"/>
    <w:rsid w:val="00E1398D"/>
    <w:rsid w:val="00E1462C"/>
    <w:rsid w:val="00E1667B"/>
    <w:rsid w:val="00E16A0A"/>
    <w:rsid w:val="00E179BF"/>
    <w:rsid w:val="00E20926"/>
    <w:rsid w:val="00E20989"/>
    <w:rsid w:val="00E213C4"/>
    <w:rsid w:val="00E23D60"/>
    <w:rsid w:val="00E24A6A"/>
    <w:rsid w:val="00E27F5B"/>
    <w:rsid w:val="00E32224"/>
    <w:rsid w:val="00E327CE"/>
    <w:rsid w:val="00E35554"/>
    <w:rsid w:val="00E37A06"/>
    <w:rsid w:val="00E41B9B"/>
    <w:rsid w:val="00E4425D"/>
    <w:rsid w:val="00E448ED"/>
    <w:rsid w:val="00E44F22"/>
    <w:rsid w:val="00E467BA"/>
    <w:rsid w:val="00E46FE2"/>
    <w:rsid w:val="00E471CC"/>
    <w:rsid w:val="00E475F4"/>
    <w:rsid w:val="00E47DC6"/>
    <w:rsid w:val="00E50CF0"/>
    <w:rsid w:val="00E528F8"/>
    <w:rsid w:val="00E53821"/>
    <w:rsid w:val="00E539BF"/>
    <w:rsid w:val="00E548DF"/>
    <w:rsid w:val="00E54951"/>
    <w:rsid w:val="00E54D8B"/>
    <w:rsid w:val="00E56479"/>
    <w:rsid w:val="00E60992"/>
    <w:rsid w:val="00E60E5A"/>
    <w:rsid w:val="00E624B4"/>
    <w:rsid w:val="00E639A5"/>
    <w:rsid w:val="00E65AC0"/>
    <w:rsid w:val="00E72BBE"/>
    <w:rsid w:val="00E72DD3"/>
    <w:rsid w:val="00E73971"/>
    <w:rsid w:val="00E75E92"/>
    <w:rsid w:val="00E802CE"/>
    <w:rsid w:val="00E82B58"/>
    <w:rsid w:val="00E85393"/>
    <w:rsid w:val="00E85FD6"/>
    <w:rsid w:val="00E91A5A"/>
    <w:rsid w:val="00E9368A"/>
    <w:rsid w:val="00E9417F"/>
    <w:rsid w:val="00E9510A"/>
    <w:rsid w:val="00E95BBF"/>
    <w:rsid w:val="00EA1596"/>
    <w:rsid w:val="00EA4AB7"/>
    <w:rsid w:val="00EA5B8E"/>
    <w:rsid w:val="00EA7E99"/>
    <w:rsid w:val="00EB0ACD"/>
    <w:rsid w:val="00EB2A5E"/>
    <w:rsid w:val="00EB2CF9"/>
    <w:rsid w:val="00EB39B7"/>
    <w:rsid w:val="00EB4337"/>
    <w:rsid w:val="00EB5891"/>
    <w:rsid w:val="00EB5B74"/>
    <w:rsid w:val="00EB5D7D"/>
    <w:rsid w:val="00EC2DAF"/>
    <w:rsid w:val="00EC7F26"/>
    <w:rsid w:val="00ED0CC5"/>
    <w:rsid w:val="00ED1FBA"/>
    <w:rsid w:val="00ED240D"/>
    <w:rsid w:val="00ED4138"/>
    <w:rsid w:val="00ED52F5"/>
    <w:rsid w:val="00ED6CD2"/>
    <w:rsid w:val="00EE3278"/>
    <w:rsid w:val="00EE3EED"/>
    <w:rsid w:val="00EE737D"/>
    <w:rsid w:val="00EF1531"/>
    <w:rsid w:val="00EF2B26"/>
    <w:rsid w:val="00EF2BB5"/>
    <w:rsid w:val="00EF34D6"/>
    <w:rsid w:val="00EF36CD"/>
    <w:rsid w:val="00EF3D79"/>
    <w:rsid w:val="00EF57FA"/>
    <w:rsid w:val="00F03906"/>
    <w:rsid w:val="00F04EA9"/>
    <w:rsid w:val="00F06A68"/>
    <w:rsid w:val="00F0708C"/>
    <w:rsid w:val="00F07DD0"/>
    <w:rsid w:val="00F102D1"/>
    <w:rsid w:val="00F13DB9"/>
    <w:rsid w:val="00F14F48"/>
    <w:rsid w:val="00F2021E"/>
    <w:rsid w:val="00F20AB6"/>
    <w:rsid w:val="00F20B3E"/>
    <w:rsid w:val="00F2106A"/>
    <w:rsid w:val="00F2170A"/>
    <w:rsid w:val="00F220C7"/>
    <w:rsid w:val="00F22A97"/>
    <w:rsid w:val="00F22D16"/>
    <w:rsid w:val="00F24C6D"/>
    <w:rsid w:val="00F25A7A"/>
    <w:rsid w:val="00F26525"/>
    <w:rsid w:val="00F26BEA"/>
    <w:rsid w:val="00F315FD"/>
    <w:rsid w:val="00F31680"/>
    <w:rsid w:val="00F32662"/>
    <w:rsid w:val="00F33C8B"/>
    <w:rsid w:val="00F3425D"/>
    <w:rsid w:val="00F35979"/>
    <w:rsid w:val="00F40BA6"/>
    <w:rsid w:val="00F41351"/>
    <w:rsid w:val="00F426C6"/>
    <w:rsid w:val="00F469E8"/>
    <w:rsid w:val="00F46A9A"/>
    <w:rsid w:val="00F46BDD"/>
    <w:rsid w:val="00F510F3"/>
    <w:rsid w:val="00F54DA5"/>
    <w:rsid w:val="00F55581"/>
    <w:rsid w:val="00F561A1"/>
    <w:rsid w:val="00F57D09"/>
    <w:rsid w:val="00F6100B"/>
    <w:rsid w:val="00F61375"/>
    <w:rsid w:val="00F61878"/>
    <w:rsid w:val="00F61AF6"/>
    <w:rsid w:val="00F644C2"/>
    <w:rsid w:val="00F67A7B"/>
    <w:rsid w:val="00F73009"/>
    <w:rsid w:val="00F740A2"/>
    <w:rsid w:val="00F759E2"/>
    <w:rsid w:val="00F77380"/>
    <w:rsid w:val="00F81EC7"/>
    <w:rsid w:val="00F81FE2"/>
    <w:rsid w:val="00F825F4"/>
    <w:rsid w:val="00F853B2"/>
    <w:rsid w:val="00F8672F"/>
    <w:rsid w:val="00F877FC"/>
    <w:rsid w:val="00F922DA"/>
    <w:rsid w:val="00F92D1E"/>
    <w:rsid w:val="00F92F50"/>
    <w:rsid w:val="00F94653"/>
    <w:rsid w:val="00F9502F"/>
    <w:rsid w:val="00F95074"/>
    <w:rsid w:val="00F969A5"/>
    <w:rsid w:val="00F969EC"/>
    <w:rsid w:val="00FA4C3F"/>
    <w:rsid w:val="00FA4FF6"/>
    <w:rsid w:val="00FA561E"/>
    <w:rsid w:val="00FA5A5A"/>
    <w:rsid w:val="00FA7264"/>
    <w:rsid w:val="00FA7C2A"/>
    <w:rsid w:val="00FB0051"/>
    <w:rsid w:val="00FB0739"/>
    <w:rsid w:val="00FB0DB2"/>
    <w:rsid w:val="00FB3187"/>
    <w:rsid w:val="00FB6C9D"/>
    <w:rsid w:val="00FC3A4B"/>
    <w:rsid w:val="00FC4FEF"/>
    <w:rsid w:val="00FC6044"/>
    <w:rsid w:val="00FD0C64"/>
    <w:rsid w:val="00FD16A1"/>
    <w:rsid w:val="00FD3163"/>
    <w:rsid w:val="00FD4B31"/>
    <w:rsid w:val="00FD4F2D"/>
    <w:rsid w:val="00FD5522"/>
    <w:rsid w:val="00FD5CF7"/>
    <w:rsid w:val="00FD6938"/>
    <w:rsid w:val="00FE18F0"/>
    <w:rsid w:val="00FE4F1C"/>
    <w:rsid w:val="00FE5171"/>
    <w:rsid w:val="00FE7423"/>
    <w:rsid w:val="00FF13CD"/>
    <w:rsid w:val="00FF415F"/>
    <w:rsid w:val="00FF5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B780FD1-DD03-41A2-A9F1-4B357B08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5E"/>
  </w:style>
  <w:style w:type="paragraph" w:styleId="Heading1">
    <w:name w:val="heading 1"/>
    <w:basedOn w:val="Normal"/>
    <w:next w:val="Normal"/>
    <w:link w:val="Heading1Char"/>
    <w:uiPriority w:val="9"/>
    <w:qFormat/>
    <w:rsid w:val="00D1125E"/>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1125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qFormat/>
    <w:rsid w:val="00D1125E"/>
    <w:pPr>
      <w:keepNext/>
      <w:spacing w:before="240" w:after="60"/>
      <w:outlineLvl w:val="2"/>
    </w:pPr>
    <w:rPr>
      <w:rFonts w:eastAsia="Times New Roman" w:cs="Arial"/>
      <w:b/>
      <w:bCs/>
      <w:i/>
      <w:szCs w:val="26"/>
      <w:lang w:eastAsia="lv-LV"/>
    </w:rPr>
  </w:style>
  <w:style w:type="paragraph" w:styleId="Heading4">
    <w:name w:val="heading 4"/>
    <w:basedOn w:val="Normal"/>
    <w:next w:val="Normal"/>
    <w:link w:val="Heading4Char"/>
    <w:uiPriority w:val="9"/>
    <w:unhideWhenUsed/>
    <w:qFormat/>
    <w:rsid w:val="00A91EE6"/>
    <w:pPr>
      <w:keepNext/>
      <w:keepLines/>
      <w:spacing w:before="40"/>
      <w:outlineLvl w:val="3"/>
    </w:pPr>
    <w:rPr>
      <w:rFonts w:asciiTheme="majorHAnsi" w:eastAsiaTheme="majorEastAsia" w:hAnsiTheme="majorHAnsi" w:cstheme="majorBidi"/>
      <w:i/>
      <w:iCs/>
      <w:color w:val="AA610D" w:themeColor="accent1" w:themeShade="BF"/>
    </w:rPr>
  </w:style>
  <w:style w:type="paragraph" w:styleId="Heading5">
    <w:name w:val="heading 5"/>
    <w:basedOn w:val="Normal"/>
    <w:next w:val="Normal"/>
    <w:link w:val="Heading5Char"/>
    <w:uiPriority w:val="9"/>
    <w:semiHidden/>
    <w:unhideWhenUsed/>
    <w:qFormat/>
    <w:rsid w:val="007F6212"/>
    <w:pPr>
      <w:keepNext/>
      <w:keepLines/>
      <w:spacing w:before="40"/>
      <w:outlineLvl w:val="4"/>
    </w:pPr>
    <w:rPr>
      <w:rFonts w:asciiTheme="majorHAnsi" w:eastAsiaTheme="majorEastAsia" w:hAnsiTheme="majorHAnsi" w:cstheme="majorBidi"/>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uiPriority w:val="34"/>
    <w:qFormat/>
    <w:rsid w:val="00AC2523"/>
    <w:pPr>
      <w:ind w:left="720"/>
      <w:contextualSpacing/>
    </w:pPr>
  </w:style>
  <w:style w:type="paragraph" w:styleId="BalloonText">
    <w:name w:val="Balloon Text"/>
    <w:basedOn w:val="Normal"/>
    <w:link w:val="BalloonTextChar"/>
    <w:uiPriority w:val="99"/>
    <w:semiHidden/>
    <w:unhideWhenUsed/>
    <w:rsid w:val="00510160"/>
    <w:rPr>
      <w:rFonts w:ascii="Tahoma" w:hAnsi="Tahoma" w:cs="Tahoma"/>
      <w:sz w:val="16"/>
      <w:szCs w:val="16"/>
    </w:rPr>
  </w:style>
  <w:style w:type="character" w:customStyle="1" w:styleId="BalloonTextChar">
    <w:name w:val="Balloon Text Char"/>
    <w:basedOn w:val="DefaultParagraphFont"/>
    <w:link w:val="BalloonText"/>
    <w:uiPriority w:val="99"/>
    <w:semiHidden/>
    <w:rsid w:val="00510160"/>
    <w:rPr>
      <w:rFonts w:ascii="Tahoma" w:hAnsi="Tahoma" w:cs="Tahoma"/>
      <w:sz w:val="16"/>
      <w:szCs w:val="16"/>
    </w:rPr>
  </w:style>
  <w:style w:type="character" w:styleId="CommentReference">
    <w:name w:val="annotation reference"/>
    <w:basedOn w:val="DefaultParagraphFont"/>
    <w:uiPriority w:val="99"/>
    <w:semiHidden/>
    <w:unhideWhenUsed/>
    <w:rsid w:val="00510160"/>
    <w:rPr>
      <w:sz w:val="16"/>
      <w:szCs w:val="16"/>
    </w:rPr>
  </w:style>
  <w:style w:type="paragraph" w:styleId="CommentText">
    <w:name w:val="annotation text"/>
    <w:basedOn w:val="Normal"/>
    <w:link w:val="CommentTextChar"/>
    <w:unhideWhenUsed/>
    <w:rsid w:val="00510160"/>
    <w:rPr>
      <w:sz w:val="20"/>
      <w:szCs w:val="20"/>
    </w:rPr>
  </w:style>
  <w:style w:type="character" w:customStyle="1" w:styleId="CommentTextChar">
    <w:name w:val="Comment Text Char"/>
    <w:basedOn w:val="DefaultParagraphFont"/>
    <w:link w:val="CommentText"/>
    <w:rsid w:val="00510160"/>
    <w:rPr>
      <w:sz w:val="20"/>
      <w:szCs w:val="20"/>
    </w:rPr>
  </w:style>
  <w:style w:type="paragraph" w:styleId="CommentSubject">
    <w:name w:val="annotation subject"/>
    <w:basedOn w:val="CommentText"/>
    <w:next w:val="CommentText"/>
    <w:link w:val="CommentSubjectChar"/>
    <w:uiPriority w:val="99"/>
    <w:semiHidden/>
    <w:unhideWhenUsed/>
    <w:rsid w:val="00510160"/>
    <w:rPr>
      <w:b/>
      <w:bCs/>
    </w:rPr>
  </w:style>
  <w:style w:type="character" w:customStyle="1" w:styleId="CommentSubjectChar">
    <w:name w:val="Comment Subject Char"/>
    <w:basedOn w:val="CommentTextChar"/>
    <w:link w:val="CommentSubject"/>
    <w:uiPriority w:val="99"/>
    <w:semiHidden/>
    <w:rsid w:val="00510160"/>
    <w:rPr>
      <w:b/>
      <w:bCs/>
      <w:sz w:val="20"/>
      <w:szCs w:val="20"/>
    </w:rPr>
  </w:style>
  <w:style w:type="paragraph" w:styleId="NormalWeb">
    <w:name w:val="Normal (Web)"/>
    <w:basedOn w:val="Normal"/>
    <w:unhideWhenUsed/>
    <w:rsid w:val="00041FBF"/>
    <w:pPr>
      <w:spacing w:before="100" w:beforeAutospacing="1" w:after="100" w:afterAutospacing="1"/>
    </w:pPr>
    <w:rPr>
      <w:rFonts w:eastAsia="Times New Roman" w:cs="Times New Roman"/>
      <w:lang w:eastAsia="lv-LV"/>
    </w:rPr>
  </w:style>
  <w:style w:type="table" w:styleId="TableGrid">
    <w:name w:val="Table Grid"/>
    <w:basedOn w:val="TableNormal"/>
    <w:uiPriority w:val="39"/>
    <w:rsid w:val="0087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00B1"/>
  </w:style>
  <w:style w:type="paragraph" w:styleId="Header">
    <w:name w:val="header"/>
    <w:basedOn w:val="Normal"/>
    <w:link w:val="HeaderChar"/>
    <w:uiPriority w:val="99"/>
    <w:unhideWhenUsed/>
    <w:rsid w:val="005E6810"/>
    <w:pPr>
      <w:tabs>
        <w:tab w:val="center" w:pos="4153"/>
        <w:tab w:val="right" w:pos="8306"/>
      </w:tabs>
    </w:pPr>
  </w:style>
  <w:style w:type="character" w:customStyle="1" w:styleId="HeaderChar">
    <w:name w:val="Header Char"/>
    <w:basedOn w:val="DefaultParagraphFont"/>
    <w:link w:val="Header"/>
    <w:uiPriority w:val="99"/>
    <w:rsid w:val="005E6810"/>
  </w:style>
  <w:style w:type="paragraph" w:styleId="Footer">
    <w:name w:val="footer"/>
    <w:basedOn w:val="Normal"/>
    <w:link w:val="FooterChar"/>
    <w:uiPriority w:val="99"/>
    <w:unhideWhenUsed/>
    <w:rsid w:val="005E6810"/>
    <w:pPr>
      <w:tabs>
        <w:tab w:val="center" w:pos="4153"/>
        <w:tab w:val="right" w:pos="8306"/>
      </w:tabs>
    </w:pPr>
  </w:style>
  <w:style w:type="character" w:customStyle="1" w:styleId="FooterChar">
    <w:name w:val="Footer Char"/>
    <w:basedOn w:val="DefaultParagraphFont"/>
    <w:link w:val="Footer"/>
    <w:uiPriority w:val="99"/>
    <w:rsid w:val="005E6810"/>
  </w:style>
  <w:style w:type="paragraph" w:styleId="FootnoteText">
    <w:name w:val="footnote text"/>
    <w:aliases w:val="Footnote,Fußnote"/>
    <w:basedOn w:val="Normal"/>
    <w:link w:val="FootnoteTextChar"/>
    <w:semiHidden/>
    <w:unhideWhenUsed/>
    <w:rsid w:val="00DE1754"/>
    <w:rPr>
      <w:sz w:val="20"/>
      <w:szCs w:val="20"/>
    </w:rPr>
  </w:style>
  <w:style w:type="character" w:customStyle="1" w:styleId="FootnoteTextChar">
    <w:name w:val="Footnote Text Char"/>
    <w:aliases w:val="Footnote Char,Fußnote Char"/>
    <w:basedOn w:val="DefaultParagraphFont"/>
    <w:link w:val="FootnoteText"/>
    <w:rsid w:val="00DE1754"/>
    <w:rPr>
      <w:sz w:val="20"/>
      <w:szCs w:val="20"/>
    </w:rPr>
  </w:style>
  <w:style w:type="character" w:styleId="FootnoteReference">
    <w:name w:val="footnote reference"/>
    <w:aliases w:val="Footnote Reference Number"/>
    <w:basedOn w:val="DefaultParagraphFont"/>
    <w:uiPriority w:val="99"/>
    <w:semiHidden/>
    <w:unhideWhenUsed/>
    <w:rsid w:val="00DE1754"/>
    <w:rPr>
      <w:vertAlign w:val="superscript"/>
    </w:rPr>
  </w:style>
  <w:style w:type="paragraph" w:customStyle="1" w:styleId="Default">
    <w:name w:val="Default"/>
    <w:rsid w:val="00746DD5"/>
    <w:pPr>
      <w:autoSpaceDE w:val="0"/>
      <w:autoSpaceDN w:val="0"/>
      <w:adjustRightInd w:val="0"/>
    </w:pPr>
    <w:rPr>
      <w:rFonts w:ascii="Arial" w:eastAsia="Times New Roman" w:hAnsi="Arial" w:cs="Arial"/>
      <w:color w:val="000000"/>
      <w:lang w:eastAsia="lv-LV"/>
    </w:rPr>
  </w:style>
  <w:style w:type="table" w:customStyle="1" w:styleId="PlainTable51">
    <w:name w:val="Plain Table 51"/>
    <w:basedOn w:val="TableNormal"/>
    <w:uiPriority w:val="45"/>
    <w:rsid w:val="00E538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E538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538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538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E53821"/>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53821"/>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53821"/>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53821"/>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E538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uiPriority w:val="99"/>
    <w:unhideWhenUsed/>
    <w:rsid w:val="00E60992"/>
    <w:rPr>
      <w:color w:val="0563C1"/>
      <w:u w:val="single"/>
    </w:rPr>
  </w:style>
  <w:style w:type="paragraph" w:styleId="BodyText">
    <w:name w:val="Body Text"/>
    <w:basedOn w:val="Normal"/>
    <w:link w:val="BodyTextChar"/>
    <w:unhideWhenUsed/>
    <w:rsid w:val="00E60992"/>
    <w:pPr>
      <w:numPr>
        <w:ilvl w:val="12"/>
      </w:numPr>
      <w:jc w:val="both"/>
    </w:pPr>
    <w:rPr>
      <w:rFonts w:eastAsia="Times New Roman" w:cs="Times New Roman"/>
      <w:b/>
      <w:lang w:val="en-GB"/>
    </w:rPr>
  </w:style>
  <w:style w:type="character" w:customStyle="1" w:styleId="BodyTextChar">
    <w:name w:val="Body Text Char"/>
    <w:basedOn w:val="DefaultParagraphFont"/>
    <w:link w:val="BodyText"/>
    <w:rsid w:val="00E60992"/>
    <w:rPr>
      <w:rFonts w:eastAsia="Times New Roman" w:cs="Times New Roman"/>
      <w:b/>
      <w:szCs w:val="24"/>
      <w:lang w:val="en-GB"/>
    </w:rPr>
  </w:style>
  <w:style w:type="paragraph" w:styleId="EndnoteText">
    <w:name w:val="endnote text"/>
    <w:basedOn w:val="Normal"/>
    <w:link w:val="EndnoteTextChar"/>
    <w:uiPriority w:val="99"/>
    <w:semiHidden/>
    <w:unhideWhenUsed/>
    <w:rsid w:val="00720588"/>
    <w:rPr>
      <w:sz w:val="20"/>
      <w:szCs w:val="20"/>
    </w:rPr>
  </w:style>
  <w:style w:type="character" w:customStyle="1" w:styleId="EndnoteTextChar">
    <w:name w:val="Endnote Text Char"/>
    <w:basedOn w:val="DefaultParagraphFont"/>
    <w:link w:val="EndnoteText"/>
    <w:uiPriority w:val="99"/>
    <w:semiHidden/>
    <w:rsid w:val="00720588"/>
    <w:rPr>
      <w:sz w:val="20"/>
      <w:szCs w:val="20"/>
    </w:rPr>
  </w:style>
  <w:style w:type="character" w:styleId="EndnoteReference">
    <w:name w:val="endnote reference"/>
    <w:basedOn w:val="DefaultParagraphFont"/>
    <w:uiPriority w:val="99"/>
    <w:semiHidden/>
    <w:unhideWhenUsed/>
    <w:rsid w:val="00720588"/>
    <w:rPr>
      <w:vertAlign w:val="superscript"/>
    </w:rPr>
  </w:style>
  <w:style w:type="character" w:customStyle="1" w:styleId="Heading3Char">
    <w:name w:val="Heading 3 Char"/>
    <w:basedOn w:val="DefaultParagraphFont"/>
    <w:link w:val="Heading3"/>
    <w:rsid w:val="00D1125E"/>
    <w:rPr>
      <w:rFonts w:eastAsia="Times New Roman" w:cs="Arial"/>
      <w:b/>
      <w:bCs/>
      <w:i/>
      <w:szCs w:val="26"/>
      <w:lang w:eastAsia="lv-LV"/>
    </w:rPr>
  </w:style>
  <w:style w:type="character" w:customStyle="1" w:styleId="Heading2Char">
    <w:name w:val="Heading 2 Char"/>
    <w:basedOn w:val="DefaultParagraphFont"/>
    <w:link w:val="Heading2"/>
    <w:uiPriority w:val="9"/>
    <w:rsid w:val="00D1125E"/>
    <w:rPr>
      <w:rFonts w:eastAsiaTheme="majorEastAsia" w:cstheme="majorBidi"/>
      <w:b/>
      <w:color w:val="000000" w:themeColor="text1"/>
      <w:sz w:val="26"/>
      <w:szCs w:val="26"/>
    </w:rPr>
  </w:style>
  <w:style w:type="character" w:customStyle="1" w:styleId="Heading1Char">
    <w:name w:val="Heading 1 Char"/>
    <w:basedOn w:val="DefaultParagraphFont"/>
    <w:link w:val="Heading1"/>
    <w:uiPriority w:val="9"/>
    <w:rsid w:val="00D1125E"/>
    <w:rPr>
      <w:rFonts w:eastAsiaTheme="majorEastAsia" w:cstheme="majorBidi"/>
      <w:b/>
      <w:sz w:val="28"/>
      <w:szCs w:val="32"/>
    </w:rPr>
  </w:style>
  <w:style w:type="character" w:customStyle="1" w:styleId="Heading4Char">
    <w:name w:val="Heading 4 Char"/>
    <w:basedOn w:val="DefaultParagraphFont"/>
    <w:link w:val="Heading4"/>
    <w:uiPriority w:val="9"/>
    <w:rsid w:val="00A91EE6"/>
    <w:rPr>
      <w:rFonts w:asciiTheme="majorHAnsi" w:eastAsiaTheme="majorEastAsia" w:hAnsiTheme="majorHAnsi" w:cstheme="majorBidi"/>
      <w:i/>
      <w:iCs/>
      <w:color w:val="AA610D" w:themeColor="accent1" w:themeShade="BF"/>
    </w:rPr>
  </w:style>
  <w:style w:type="paragraph" w:styleId="TOCHeading">
    <w:name w:val="TOC Heading"/>
    <w:basedOn w:val="Heading1"/>
    <w:next w:val="Normal"/>
    <w:uiPriority w:val="39"/>
    <w:unhideWhenUsed/>
    <w:qFormat/>
    <w:rsid w:val="00954B3F"/>
    <w:pPr>
      <w:spacing w:line="259" w:lineRule="auto"/>
      <w:outlineLvl w:val="9"/>
    </w:pPr>
    <w:rPr>
      <w:lang w:val="en-US"/>
    </w:rPr>
  </w:style>
  <w:style w:type="paragraph" w:styleId="TOC2">
    <w:name w:val="toc 2"/>
    <w:basedOn w:val="Normal"/>
    <w:next w:val="Normal"/>
    <w:autoRedefine/>
    <w:uiPriority w:val="39"/>
    <w:unhideWhenUsed/>
    <w:rsid w:val="00954B3F"/>
    <w:pPr>
      <w:spacing w:before="240"/>
    </w:pPr>
    <w:rPr>
      <w:rFonts w:asciiTheme="minorHAnsi" w:hAnsiTheme="minorHAnsi"/>
      <w:b/>
      <w:bCs/>
      <w:sz w:val="20"/>
      <w:szCs w:val="20"/>
    </w:rPr>
  </w:style>
  <w:style w:type="paragraph" w:styleId="TOC1">
    <w:name w:val="toc 1"/>
    <w:basedOn w:val="Normal"/>
    <w:next w:val="Normal"/>
    <w:autoRedefine/>
    <w:uiPriority w:val="39"/>
    <w:unhideWhenUsed/>
    <w:rsid w:val="00954B3F"/>
    <w:pPr>
      <w:spacing w:before="360"/>
    </w:pPr>
    <w:rPr>
      <w:rFonts w:asciiTheme="majorHAnsi" w:hAnsiTheme="majorHAnsi"/>
      <w:b/>
      <w:bCs/>
      <w:caps/>
    </w:rPr>
  </w:style>
  <w:style w:type="paragraph" w:styleId="TOC3">
    <w:name w:val="toc 3"/>
    <w:basedOn w:val="Normal"/>
    <w:next w:val="Normal"/>
    <w:autoRedefine/>
    <w:uiPriority w:val="39"/>
    <w:unhideWhenUsed/>
    <w:rsid w:val="00954B3F"/>
    <w:pPr>
      <w:ind w:left="240"/>
    </w:pPr>
    <w:rPr>
      <w:rFonts w:asciiTheme="minorHAnsi" w:hAnsiTheme="minorHAnsi"/>
      <w:sz w:val="20"/>
      <w:szCs w:val="20"/>
    </w:rPr>
  </w:style>
  <w:style w:type="paragraph" w:styleId="TOC4">
    <w:name w:val="toc 4"/>
    <w:basedOn w:val="Normal"/>
    <w:next w:val="Normal"/>
    <w:autoRedefine/>
    <w:uiPriority w:val="39"/>
    <w:unhideWhenUsed/>
    <w:rsid w:val="00954B3F"/>
    <w:pPr>
      <w:ind w:left="480"/>
    </w:pPr>
    <w:rPr>
      <w:rFonts w:asciiTheme="minorHAnsi" w:hAnsiTheme="minorHAnsi"/>
      <w:sz w:val="20"/>
      <w:szCs w:val="20"/>
    </w:rPr>
  </w:style>
  <w:style w:type="paragraph" w:styleId="TOC5">
    <w:name w:val="toc 5"/>
    <w:basedOn w:val="Normal"/>
    <w:next w:val="Normal"/>
    <w:autoRedefine/>
    <w:uiPriority w:val="39"/>
    <w:unhideWhenUsed/>
    <w:rsid w:val="00954B3F"/>
    <w:pPr>
      <w:ind w:left="720"/>
    </w:pPr>
    <w:rPr>
      <w:rFonts w:asciiTheme="minorHAnsi" w:hAnsiTheme="minorHAnsi"/>
      <w:sz w:val="20"/>
      <w:szCs w:val="20"/>
    </w:rPr>
  </w:style>
  <w:style w:type="paragraph" w:styleId="TOC6">
    <w:name w:val="toc 6"/>
    <w:basedOn w:val="Normal"/>
    <w:next w:val="Normal"/>
    <w:autoRedefine/>
    <w:uiPriority w:val="39"/>
    <w:unhideWhenUsed/>
    <w:rsid w:val="00954B3F"/>
    <w:pPr>
      <w:ind w:left="960"/>
    </w:pPr>
    <w:rPr>
      <w:rFonts w:asciiTheme="minorHAnsi" w:hAnsiTheme="minorHAnsi"/>
      <w:sz w:val="20"/>
      <w:szCs w:val="20"/>
    </w:rPr>
  </w:style>
  <w:style w:type="paragraph" w:styleId="TOC7">
    <w:name w:val="toc 7"/>
    <w:basedOn w:val="Normal"/>
    <w:next w:val="Normal"/>
    <w:autoRedefine/>
    <w:uiPriority w:val="39"/>
    <w:unhideWhenUsed/>
    <w:rsid w:val="00954B3F"/>
    <w:pPr>
      <w:ind w:left="1200"/>
    </w:pPr>
    <w:rPr>
      <w:rFonts w:asciiTheme="minorHAnsi" w:hAnsiTheme="minorHAnsi"/>
      <w:sz w:val="20"/>
      <w:szCs w:val="20"/>
    </w:rPr>
  </w:style>
  <w:style w:type="paragraph" w:styleId="TOC8">
    <w:name w:val="toc 8"/>
    <w:basedOn w:val="Normal"/>
    <w:next w:val="Normal"/>
    <w:autoRedefine/>
    <w:uiPriority w:val="39"/>
    <w:unhideWhenUsed/>
    <w:rsid w:val="00954B3F"/>
    <w:pPr>
      <w:ind w:left="1440"/>
    </w:pPr>
    <w:rPr>
      <w:rFonts w:asciiTheme="minorHAnsi" w:hAnsiTheme="minorHAnsi"/>
      <w:sz w:val="20"/>
      <w:szCs w:val="20"/>
    </w:rPr>
  </w:style>
  <w:style w:type="paragraph" w:styleId="TOC9">
    <w:name w:val="toc 9"/>
    <w:basedOn w:val="Normal"/>
    <w:next w:val="Normal"/>
    <w:autoRedefine/>
    <w:uiPriority w:val="39"/>
    <w:unhideWhenUsed/>
    <w:rsid w:val="00954B3F"/>
    <w:pPr>
      <w:ind w:left="1680"/>
    </w:pPr>
    <w:rPr>
      <w:rFonts w:asciiTheme="minorHAnsi" w:hAnsiTheme="minorHAnsi"/>
      <w:sz w:val="20"/>
      <w:szCs w:val="20"/>
    </w:rPr>
  </w:style>
  <w:style w:type="character" w:customStyle="1" w:styleId="Heading5Char">
    <w:name w:val="Heading 5 Char"/>
    <w:basedOn w:val="DefaultParagraphFont"/>
    <w:link w:val="Heading5"/>
    <w:uiPriority w:val="9"/>
    <w:semiHidden/>
    <w:rsid w:val="007F6212"/>
    <w:rPr>
      <w:rFonts w:asciiTheme="majorHAnsi" w:eastAsiaTheme="majorEastAsia" w:hAnsiTheme="majorHAnsi" w:cstheme="majorBidi"/>
      <w:color w:val="AA610D" w:themeColor="accent1" w:themeShade="BF"/>
    </w:rPr>
  </w:style>
  <w:style w:type="paragraph" w:styleId="Revision">
    <w:name w:val="Revision"/>
    <w:hidden/>
    <w:uiPriority w:val="99"/>
    <w:semiHidden/>
    <w:rsid w:val="00DC57D4"/>
  </w:style>
  <w:style w:type="character" w:customStyle="1" w:styleId="ListParagraphChar">
    <w:name w:val="List Paragraph Char"/>
    <w:aliases w:val="2 Char,Saraksta rindkopa1 Char"/>
    <w:link w:val="ListParagraph"/>
    <w:uiPriority w:val="99"/>
    <w:locked/>
    <w:rsid w:val="00EB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498">
      <w:bodyDiv w:val="1"/>
      <w:marLeft w:val="0"/>
      <w:marRight w:val="0"/>
      <w:marTop w:val="0"/>
      <w:marBottom w:val="0"/>
      <w:divBdr>
        <w:top w:val="none" w:sz="0" w:space="0" w:color="auto"/>
        <w:left w:val="none" w:sz="0" w:space="0" w:color="auto"/>
        <w:bottom w:val="none" w:sz="0" w:space="0" w:color="auto"/>
        <w:right w:val="none" w:sz="0" w:space="0" w:color="auto"/>
      </w:divBdr>
    </w:div>
    <w:div w:id="27028668">
      <w:bodyDiv w:val="1"/>
      <w:marLeft w:val="0"/>
      <w:marRight w:val="0"/>
      <w:marTop w:val="0"/>
      <w:marBottom w:val="0"/>
      <w:divBdr>
        <w:top w:val="none" w:sz="0" w:space="0" w:color="auto"/>
        <w:left w:val="none" w:sz="0" w:space="0" w:color="auto"/>
        <w:bottom w:val="none" w:sz="0" w:space="0" w:color="auto"/>
        <w:right w:val="none" w:sz="0" w:space="0" w:color="auto"/>
      </w:divBdr>
    </w:div>
    <w:div w:id="40177257">
      <w:bodyDiv w:val="1"/>
      <w:marLeft w:val="0"/>
      <w:marRight w:val="0"/>
      <w:marTop w:val="0"/>
      <w:marBottom w:val="0"/>
      <w:divBdr>
        <w:top w:val="none" w:sz="0" w:space="0" w:color="auto"/>
        <w:left w:val="none" w:sz="0" w:space="0" w:color="auto"/>
        <w:bottom w:val="none" w:sz="0" w:space="0" w:color="auto"/>
        <w:right w:val="none" w:sz="0" w:space="0" w:color="auto"/>
      </w:divBdr>
    </w:div>
    <w:div w:id="46609692">
      <w:bodyDiv w:val="1"/>
      <w:marLeft w:val="0"/>
      <w:marRight w:val="0"/>
      <w:marTop w:val="0"/>
      <w:marBottom w:val="0"/>
      <w:divBdr>
        <w:top w:val="none" w:sz="0" w:space="0" w:color="auto"/>
        <w:left w:val="none" w:sz="0" w:space="0" w:color="auto"/>
        <w:bottom w:val="none" w:sz="0" w:space="0" w:color="auto"/>
        <w:right w:val="none" w:sz="0" w:space="0" w:color="auto"/>
      </w:divBdr>
    </w:div>
    <w:div w:id="48501653">
      <w:bodyDiv w:val="1"/>
      <w:marLeft w:val="0"/>
      <w:marRight w:val="0"/>
      <w:marTop w:val="0"/>
      <w:marBottom w:val="0"/>
      <w:divBdr>
        <w:top w:val="none" w:sz="0" w:space="0" w:color="auto"/>
        <w:left w:val="none" w:sz="0" w:space="0" w:color="auto"/>
        <w:bottom w:val="none" w:sz="0" w:space="0" w:color="auto"/>
        <w:right w:val="none" w:sz="0" w:space="0" w:color="auto"/>
      </w:divBdr>
    </w:div>
    <w:div w:id="56321402">
      <w:bodyDiv w:val="1"/>
      <w:marLeft w:val="0"/>
      <w:marRight w:val="0"/>
      <w:marTop w:val="0"/>
      <w:marBottom w:val="0"/>
      <w:divBdr>
        <w:top w:val="none" w:sz="0" w:space="0" w:color="auto"/>
        <w:left w:val="none" w:sz="0" w:space="0" w:color="auto"/>
        <w:bottom w:val="none" w:sz="0" w:space="0" w:color="auto"/>
        <w:right w:val="none" w:sz="0" w:space="0" w:color="auto"/>
      </w:divBdr>
    </w:div>
    <w:div w:id="61145782">
      <w:bodyDiv w:val="1"/>
      <w:marLeft w:val="0"/>
      <w:marRight w:val="0"/>
      <w:marTop w:val="0"/>
      <w:marBottom w:val="0"/>
      <w:divBdr>
        <w:top w:val="none" w:sz="0" w:space="0" w:color="auto"/>
        <w:left w:val="none" w:sz="0" w:space="0" w:color="auto"/>
        <w:bottom w:val="none" w:sz="0" w:space="0" w:color="auto"/>
        <w:right w:val="none" w:sz="0" w:space="0" w:color="auto"/>
      </w:divBdr>
    </w:div>
    <w:div w:id="66802547">
      <w:bodyDiv w:val="1"/>
      <w:marLeft w:val="0"/>
      <w:marRight w:val="0"/>
      <w:marTop w:val="0"/>
      <w:marBottom w:val="0"/>
      <w:divBdr>
        <w:top w:val="none" w:sz="0" w:space="0" w:color="auto"/>
        <w:left w:val="none" w:sz="0" w:space="0" w:color="auto"/>
        <w:bottom w:val="none" w:sz="0" w:space="0" w:color="auto"/>
        <w:right w:val="none" w:sz="0" w:space="0" w:color="auto"/>
      </w:divBdr>
    </w:div>
    <w:div w:id="81803064">
      <w:bodyDiv w:val="1"/>
      <w:marLeft w:val="0"/>
      <w:marRight w:val="0"/>
      <w:marTop w:val="0"/>
      <w:marBottom w:val="0"/>
      <w:divBdr>
        <w:top w:val="none" w:sz="0" w:space="0" w:color="auto"/>
        <w:left w:val="none" w:sz="0" w:space="0" w:color="auto"/>
        <w:bottom w:val="none" w:sz="0" w:space="0" w:color="auto"/>
        <w:right w:val="none" w:sz="0" w:space="0" w:color="auto"/>
      </w:divBdr>
    </w:div>
    <w:div w:id="86922510">
      <w:bodyDiv w:val="1"/>
      <w:marLeft w:val="0"/>
      <w:marRight w:val="0"/>
      <w:marTop w:val="0"/>
      <w:marBottom w:val="0"/>
      <w:divBdr>
        <w:top w:val="none" w:sz="0" w:space="0" w:color="auto"/>
        <w:left w:val="none" w:sz="0" w:space="0" w:color="auto"/>
        <w:bottom w:val="none" w:sz="0" w:space="0" w:color="auto"/>
        <w:right w:val="none" w:sz="0" w:space="0" w:color="auto"/>
      </w:divBdr>
    </w:div>
    <w:div w:id="88041642">
      <w:bodyDiv w:val="1"/>
      <w:marLeft w:val="0"/>
      <w:marRight w:val="0"/>
      <w:marTop w:val="0"/>
      <w:marBottom w:val="0"/>
      <w:divBdr>
        <w:top w:val="none" w:sz="0" w:space="0" w:color="auto"/>
        <w:left w:val="none" w:sz="0" w:space="0" w:color="auto"/>
        <w:bottom w:val="none" w:sz="0" w:space="0" w:color="auto"/>
        <w:right w:val="none" w:sz="0" w:space="0" w:color="auto"/>
      </w:divBdr>
      <w:divsChild>
        <w:div w:id="1411006445">
          <w:marLeft w:val="446"/>
          <w:marRight w:val="0"/>
          <w:marTop w:val="0"/>
          <w:marBottom w:val="0"/>
          <w:divBdr>
            <w:top w:val="none" w:sz="0" w:space="0" w:color="auto"/>
            <w:left w:val="none" w:sz="0" w:space="0" w:color="auto"/>
            <w:bottom w:val="none" w:sz="0" w:space="0" w:color="auto"/>
            <w:right w:val="none" w:sz="0" w:space="0" w:color="auto"/>
          </w:divBdr>
        </w:div>
      </w:divsChild>
    </w:div>
    <w:div w:id="101727199">
      <w:bodyDiv w:val="1"/>
      <w:marLeft w:val="0"/>
      <w:marRight w:val="0"/>
      <w:marTop w:val="0"/>
      <w:marBottom w:val="0"/>
      <w:divBdr>
        <w:top w:val="none" w:sz="0" w:space="0" w:color="auto"/>
        <w:left w:val="none" w:sz="0" w:space="0" w:color="auto"/>
        <w:bottom w:val="none" w:sz="0" w:space="0" w:color="auto"/>
        <w:right w:val="none" w:sz="0" w:space="0" w:color="auto"/>
      </w:divBdr>
    </w:div>
    <w:div w:id="117720517">
      <w:bodyDiv w:val="1"/>
      <w:marLeft w:val="0"/>
      <w:marRight w:val="0"/>
      <w:marTop w:val="0"/>
      <w:marBottom w:val="0"/>
      <w:divBdr>
        <w:top w:val="none" w:sz="0" w:space="0" w:color="auto"/>
        <w:left w:val="none" w:sz="0" w:space="0" w:color="auto"/>
        <w:bottom w:val="none" w:sz="0" w:space="0" w:color="auto"/>
        <w:right w:val="none" w:sz="0" w:space="0" w:color="auto"/>
      </w:divBdr>
    </w:div>
    <w:div w:id="131095374">
      <w:bodyDiv w:val="1"/>
      <w:marLeft w:val="0"/>
      <w:marRight w:val="0"/>
      <w:marTop w:val="0"/>
      <w:marBottom w:val="0"/>
      <w:divBdr>
        <w:top w:val="none" w:sz="0" w:space="0" w:color="auto"/>
        <w:left w:val="none" w:sz="0" w:space="0" w:color="auto"/>
        <w:bottom w:val="none" w:sz="0" w:space="0" w:color="auto"/>
        <w:right w:val="none" w:sz="0" w:space="0" w:color="auto"/>
      </w:divBdr>
      <w:divsChild>
        <w:div w:id="763768719">
          <w:marLeft w:val="446"/>
          <w:marRight w:val="0"/>
          <w:marTop w:val="0"/>
          <w:marBottom w:val="0"/>
          <w:divBdr>
            <w:top w:val="none" w:sz="0" w:space="0" w:color="auto"/>
            <w:left w:val="none" w:sz="0" w:space="0" w:color="auto"/>
            <w:bottom w:val="none" w:sz="0" w:space="0" w:color="auto"/>
            <w:right w:val="none" w:sz="0" w:space="0" w:color="auto"/>
          </w:divBdr>
        </w:div>
      </w:divsChild>
    </w:div>
    <w:div w:id="131289826">
      <w:bodyDiv w:val="1"/>
      <w:marLeft w:val="0"/>
      <w:marRight w:val="0"/>
      <w:marTop w:val="0"/>
      <w:marBottom w:val="0"/>
      <w:divBdr>
        <w:top w:val="none" w:sz="0" w:space="0" w:color="auto"/>
        <w:left w:val="none" w:sz="0" w:space="0" w:color="auto"/>
        <w:bottom w:val="none" w:sz="0" w:space="0" w:color="auto"/>
        <w:right w:val="none" w:sz="0" w:space="0" w:color="auto"/>
      </w:divBdr>
    </w:div>
    <w:div w:id="146675940">
      <w:bodyDiv w:val="1"/>
      <w:marLeft w:val="0"/>
      <w:marRight w:val="0"/>
      <w:marTop w:val="0"/>
      <w:marBottom w:val="0"/>
      <w:divBdr>
        <w:top w:val="none" w:sz="0" w:space="0" w:color="auto"/>
        <w:left w:val="none" w:sz="0" w:space="0" w:color="auto"/>
        <w:bottom w:val="none" w:sz="0" w:space="0" w:color="auto"/>
        <w:right w:val="none" w:sz="0" w:space="0" w:color="auto"/>
      </w:divBdr>
    </w:div>
    <w:div w:id="154302589">
      <w:bodyDiv w:val="1"/>
      <w:marLeft w:val="0"/>
      <w:marRight w:val="0"/>
      <w:marTop w:val="0"/>
      <w:marBottom w:val="0"/>
      <w:divBdr>
        <w:top w:val="none" w:sz="0" w:space="0" w:color="auto"/>
        <w:left w:val="none" w:sz="0" w:space="0" w:color="auto"/>
        <w:bottom w:val="none" w:sz="0" w:space="0" w:color="auto"/>
        <w:right w:val="none" w:sz="0" w:space="0" w:color="auto"/>
      </w:divBdr>
    </w:div>
    <w:div w:id="154996402">
      <w:bodyDiv w:val="1"/>
      <w:marLeft w:val="0"/>
      <w:marRight w:val="0"/>
      <w:marTop w:val="0"/>
      <w:marBottom w:val="0"/>
      <w:divBdr>
        <w:top w:val="none" w:sz="0" w:space="0" w:color="auto"/>
        <w:left w:val="none" w:sz="0" w:space="0" w:color="auto"/>
        <w:bottom w:val="none" w:sz="0" w:space="0" w:color="auto"/>
        <w:right w:val="none" w:sz="0" w:space="0" w:color="auto"/>
      </w:divBdr>
    </w:div>
    <w:div w:id="170072672">
      <w:bodyDiv w:val="1"/>
      <w:marLeft w:val="0"/>
      <w:marRight w:val="0"/>
      <w:marTop w:val="0"/>
      <w:marBottom w:val="0"/>
      <w:divBdr>
        <w:top w:val="none" w:sz="0" w:space="0" w:color="auto"/>
        <w:left w:val="none" w:sz="0" w:space="0" w:color="auto"/>
        <w:bottom w:val="none" w:sz="0" w:space="0" w:color="auto"/>
        <w:right w:val="none" w:sz="0" w:space="0" w:color="auto"/>
      </w:divBdr>
      <w:divsChild>
        <w:div w:id="1118061181">
          <w:marLeft w:val="0"/>
          <w:marRight w:val="0"/>
          <w:marTop w:val="0"/>
          <w:marBottom w:val="0"/>
          <w:divBdr>
            <w:top w:val="none" w:sz="0" w:space="0" w:color="auto"/>
            <w:left w:val="none" w:sz="0" w:space="0" w:color="auto"/>
            <w:bottom w:val="dashed" w:sz="6" w:space="11" w:color="D6D2CE"/>
            <w:right w:val="none" w:sz="0" w:space="0" w:color="auto"/>
          </w:divBdr>
        </w:div>
        <w:div w:id="925454545">
          <w:marLeft w:val="0"/>
          <w:marRight w:val="0"/>
          <w:marTop w:val="0"/>
          <w:marBottom w:val="0"/>
          <w:divBdr>
            <w:top w:val="none" w:sz="0" w:space="0" w:color="auto"/>
            <w:left w:val="none" w:sz="0" w:space="0" w:color="auto"/>
            <w:bottom w:val="none" w:sz="0" w:space="0" w:color="auto"/>
            <w:right w:val="none" w:sz="0" w:space="0" w:color="auto"/>
          </w:divBdr>
        </w:div>
      </w:divsChild>
    </w:div>
    <w:div w:id="172188096">
      <w:bodyDiv w:val="1"/>
      <w:marLeft w:val="0"/>
      <w:marRight w:val="0"/>
      <w:marTop w:val="0"/>
      <w:marBottom w:val="0"/>
      <w:divBdr>
        <w:top w:val="none" w:sz="0" w:space="0" w:color="auto"/>
        <w:left w:val="none" w:sz="0" w:space="0" w:color="auto"/>
        <w:bottom w:val="none" w:sz="0" w:space="0" w:color="auto"/>
        <w:right w:val="none" w:sz="0" w:space="0" w:color="auto"/>
      </w:divBdr>
    </w:div>
    <w:div w:id="206454962">
      <w:bodyDiv w:val="1"/>
      <w:marLeft w:val="0"/>
      <w:marRight w:val="0"/>
      <w:marTop w:val="0"/>
      <w:marBottom w:val="0"/>
      <w:divBdr>
        <w:top w:val="none" w:sz="0" w:space="0" w:color="auto"/>
        <w:left w:val="none" w:sz="0" w:space="0" w:color="auto"/>
        <w:bottom w:val="none" w:sz="0" w:space="0" w:color="auto"/>
        <w:right w:val="none" w:sz="0" w:space="0" w:color="auto"/>
      </w:divBdr>
    </w:div>
    <w:div w:id="243539663">
      <w:bodyDiv w:val="1"/>
      <w:marLeft w:val="0"/>
      <w:marRight w:val="0"/>
      <w:marTop w:val="0"/>
      <w:marBottom w:val="0"/>
      <w:divBdr>
        <w:top w:val="none" w:sz="0" w:space="0" w:color="auto"/>
        <w:left w:val="none" w:sz="0" w:space="0" w:color="auto"/>
        <w:bottom w:val="none" w:sz="0" w:space="0" w:color="auto"/>
        <w:right w:val="none" w:sz="0" w:space="0" w:color="auto"/>
      </w:divBdr>
    </w:div>
    <w:div w:id="246423126">
      <w:bodyDiv w:val="1"/>
      <w:marLeft w:val="0"/>
      <w:marRight w:val="0"/>
      <w:marTop w:val="0"/>
      <w:marBottom w:val="0"/>
      <w:divBdr>
        <w:top w:val="none" w:sz="0" w:space="0" w:color="auto"/>
        <w:left w:val="none" w:sz="0" w:space="0" w:color="auto"/>
        <w:bottom w:val="none" w:sz="0" w:space="0" w:color="auto"/>
        <w:right w:val="none" w:sz="0" w:space="0" w:color="auto"/>
      </w:divBdr>
    </w:div>
    <w:div w:id="258173987">
      <w:bodyDiv w:val="1"/>
      <w:marLeft w:val="0"/>
      <w:marRight w:val="0"/>
      <w:marTop w:val="0"/>
      <w:marBottom w:val="0"/>
      <w:divBdr>
        <w:top w:val="none" w:sz="0" w:space="0" w:color="auto"/>
        <w:left w:val="none" w:sz="0" w:space="0" w:color="auto"/>
        <w:bottom w:val="none" w:sz="0" w:space="0" w:color="auto"/>
        <w:right w:val="none" w:sz="0" w:space="0" w:color="auto"/>
      </w:divBdr>
    </w:div>
    <w:div w:id="268467924">
      <w:bodyDiv w:val="1"/>
      <w:marLeft w:val="0"/>
      <w:marRight w:val="0"/>
      <w:marTop w:val="0"/>
      <w:marBottom w:val="0"/>
      <w:divBdr>
        <w:top w:val="none" w:sz="0" w:space="0" w:color="auto"/>
        <w:left w:val="none" w:sz="0" w:space="0" w:color="auto"/>
        <w:bottom w:val="none" w:sz="0" w:space="0" w:color="auto"/>
        <w:right w:val="none" w:sz="0" w:space="0" w:color="auto"/>
      </w:divBdr>
    </w:div>
    <w:div w:id="310061420">
      <w:bodyDiv w:val="1"/>
      <w:marLeft w:val="0"/>
      <w:marRight w:val="0"/>
      <w:marTop w:val="0"/>
      <w:marBottom w:val="0"/>
      <w:divBdr>
        <w:top w:val="none" w:sz="0" w:space="0" w:color="auto"/>
        <w:left w:val="none" w:sz="0" w:space="0" w:color="auto"/>
        <w:bottom w:val="none" w:sz="0" w:space="0" w:color="auto"/>
        <w:right w:val="none" w:sz="0" w:space="0" w:color="auto"/>
      </w:divBdr>
    </w:div>
    <w:div w:id="318387079">
      <w:bodyDiv w:val="1"/>
      <w:marLeft w:val="0"/>
      <w:marRight w:val="0"/>
      <w:marTop w:val="0"/>
      <w:marBottom w:val="0"/>
      <w:divBdr>
        <w:top w:val="none" w:sz="0" w:space="0" w:color="auto"/>
        <w:left w:val="none" w:sz="0" w:space="0" w:color="auto"/>
        <w:bottom w:val="none" w:sz="0" w:space="0" w:color="auto"/>
        <w:right w:val="none" w:sz="0" w:space="0" w:color="auto"/>
      </w:divBdr>
    </w:div>
    <w:div w:id="328485804">
      <w:bodyDiv w:val="1"/>
      <w:marLeft w:val="0"/>
      <w:marRight w:val="0"/>
      <w:marTop w:val="0"/>
      <w:marBottom w:val="0"/>
      <w:divBdr>
        <w:top w:val="none" w:sz="0" w:space="0" w:color="auto"/>
        <w:left w:val="none" w:sz="0" w:space="0" w:color="auto"/>
        <w:bottom w:val="none" w:sz="0" w:space="0" w:color="auto"/>
        <w:right w:val="none" w:sz="0" w:space="0" w:color="auto"/>
      </w:divBdr>
    </w:div>
    <w:div w:id="337854118">
      <w:bodyDiv w:val="1"/>
      <w:marLeft w:val="0"/>
      <w:marRight w:val="0"/>
      <w:marTop w:val="0"/>
      <w:marBottom w:val="0"/>
      <w:divBdr>
        <w:top w:val="none" w:sz="0" w:space="0" w:color="auto"/>
        <w:left w:val="none" w:sz="0" w:space="0" w:color="auto"/>
        <w:bottom w:val="none" w:sz="0" w:space="0" w:color="auto"/>
        <w:right w:val="none" w:sz="0" w:space="0" w:color="auto"/>
      </w:divBdr>
    </w:div>
    <w:div w:id="339695847">
      <w:bodyDiv w:val="1"/>
      <w:marLeft w:val="0"/>
      <w:marRight w:val="0"/>
      <w:marTop w:val="0"/>
      <w:marBottom w:val="0"/>
      <w:divBdr>
        <w:top w:val="none" w:sz="0" w:space="0" w:color="auto"/>
        <w:left w:val="none" w:sz="0" w:space="0" w:color="auto"/>
        <w:bottom w:val="none" w:sz="0" w:space="0" w:color="auto"/>
        <w:right w:val="none" w:sz="0" w:space="0" w:color="auto"/>
      </w:divBdr>
    </w:div>
    <w:div w:id="344014558">
      <w:bodyDiv w:val="1"/>
      <w:marLeft w:val="0"/>
      <w:marRight w:val="0"/>
      <w:marTop w:val="0"/>
      <w:marBottom w:val="0"/>
      <w:divBdr>
        <w:top w:val="none" w:sz="0" w:space="0" w:color="auto"/>
        <w:left w:val="none" w:sz="0" w:space="0" w:color="auto"/>
        <w:bottom w:val="none" w:sz="0" w:space="0" w:color="auto"/>
        <w:right w:val="none" w:sz="0" w:space="0" w:color="auto"/>
      </w:divBdr>
    </w:div>
    <w:div w:id="351803385">
      <w:bodyDiv w:val="1"/>
      <w:marLeft w:val="0"/>
      <w:marRight w:val="0"/>
      <w:marTop w:val="0"/>
      <w:marBottom w:val="0"/>
      <w:divBdr>
        <w:top w:val="none" w:sz="0" w:space="0" w:color="auto"/>
        <w:left w:val="none" w:sz="0" w:space="0" w:color="auto"/>
        <w:bottom w:val="none" w:sz="0" w:space="0" w:color="auto"/>
        <w:right w:val="none" w:sz="0" w:space="0" w:color="auto"/>
      </w:divBdr>
    </w:div>
    <w:div w:id="413820573">
      <w:bodyDiv w:val="1"/>
      <w:marLeft w:val="0"/>
      <w:marRight w:val="0"/>
      <w:marTop w:val="0"/>
      <w:marBottom w:val="0"/>
      <w:divBdr>
        <w:top w:val="none" w:sz="0" w:space="0" w:color="auto"/>
        <w:left w:val="none" w:sz="0" w:space="0" w:color="auto"/>
        <w:bottom w:val="none" w:sz="0" w:space="0" w:color="auto"/>
        <w:right w:val="none" w:sz="0" w:space="0" w:color="auto"/>
      </w:divBdr>
    </w:div>
    <w:div w:id="415369044">
      <w:bodyDiv w:val="1"/>
      <w:marLeft w:val="0"/>
      <w:marRight w:val="0"/>
      <w:marTop w:val="0"/>
      <w:marBottom w:val="0"/>
      <w:divBdr>
        <w:top w:val="none" w:sz="0" w:space="0" w:color="auto"/>
        <w:left w:val="none" w:sz="0" w:space="0" w:color="auto"/>
        <w:bottom w:val="none" w:sz="0" w:space="0" w:color="auto"/>
        <w:right w:val="none" w:sz="0" w:space="0" w:color="auto"/>
      </w:divBdr>
    </w:div>
    <w:div w:id="418410157">
      <w:bodyDiv w:val="1"/>
      <w:marLeft w:val="0"/>
      <w:marRight w:val="0"/>
      <w:marTop w:val="0"/>
      <w:marBottom w:val="0"/>
      <w:divBdr>
        <w:top w:val="none" w:sz="0" w:space="0" w:color="auto"/>
        <w:left w:val="none" w:sz="0" w:space="0" w:color="auto"/>
        <w:bottom w:val="none" w:sz="0" w:space="0" w:color="auto"/>
        <w:right w:val="none" w:sz="0" w:space="0" w:color="auto"/>
      </w:divBdr>
    </w:div>
    <w:div w:id="425611096">
      <w:bodyDiv w:val="1"/>
      <w:marLeft w:val="0"/>
      <w:marRight w:val="0"/>
      <w:marTop w:val="0"/>
      <w:marBottom w:val="0"/>
      <w:divBdr>
        <w:top w:val="none" w:sz="0" w:space="0" w:color="auto"/>
        <w:left w:val="none" w:sz="0" w:space="0" w:color="auto"/>
        <w:bottom w:val="none" w:sz="0" w:space="0" w:color="auto"/>
        <w:right w:val="none" w:sz="0" w:space="0" w:color="auto"/>
      </w:divBdr>
    </w:div>
    <w:div w:id="437527785">
      <w:bodyDiv w:val="1"/>
      <w:marLeft w:val="0"/>
      <w:marRight w:val="0"/>
      <w:marTop w:val="0"/>
      <w:marBottom w:val="0"/>
      <w:divBdr>
        <w:top w:val="none" w:sz="0" w:space="0" w:color="auto"/>
        <w:left w:val="none" w:sz="0" w:space="0" w:color="auto"/>
        <w:bottom w:val="none" w:sz="0" w:space="0" w:color="auto"/>
        <w:right w:val="none" w:sz="0" w:space="0" w:color="auto"/>
      </w:divBdr>
    </w:div>
    <w:div w:id="449252485">
      <w:bodyDiv w:val="1"/>
      <w:marLeft w:val="0"/>
      <w:marRight w:val="0"/>
      <w:marTop w:val="0"/>
      <w:marBottom w:val="0"/>
      <w:divBdr>
        <w:top w:val="none" w:sz="0" w:space="0" w:color="auto"/>
        <w:left w:val="none" w:sz="0" w:space="0" w:color="auto"/>
        <w:bottom w:val="none" w:sz="0" w:space="0" w:color="auto"/>
        <w:right w:val="none" w:sz="0" w:space="0" w:color="auto"/>
      </w:divBdr>
    </w:div>
    <w:div w:id="454910090">
      <w:bodyDiv w:val="1"/>
      <w:marLeft w:val="0"/>
      <w:marRight w:val="0"/>
      <w:marTop w:val="0"/>
      <w:marBottom w:val="0"/>
      <w:divBdr>
        <w:top w:val="none" w:sz="0" w:space="0" w:color="auto"/>
        <w:left w:val="none" w:sz="0" w:space="0" w:color="auto"/>
        <w:bottom w:val="none" w:sz="0" w:space="0" w:color="auto"/>
        <w:right w:val="none" w:sz="0" w:space="0" w:color="auto"/>
      </w:divBdr>
    </w:div>
    <w:div w:id="468397614">
      <w:bodyDiv w:val="1"/>
      <w:marLeft w:val="0"/>
      <w:marRight w:val="0"/>
      <w:marTop w:val="0"/>
      <w:marBottom w:val="0"/>
      <w:divBdr>
        <w:top w:val="none" w:sz="0" w:space="0" w:color="auto"/>
        <w:left w:val="none" w:sz="0" w:space="0" w:color="auto"/>
        <w:bottom w:val="none" w:sz="0" w:space="0" w:color="auto"/>
        <w:right w:val="none" w:sz="0" w:space="0" w:color="auto"/>
      </w:divBdr>
    </w:div>
    <w:div w:id="477889492">
      <w:bodyDiv w:val="1"/>
      <w:marLeft w:val="0"/>
      <w:marRight w:val="0"/>
      <w:marTop w:val="0"/>
      <w:marBottom w:val="0"/>
      <w:divBdr>
        <w:top w:val="none" w:sz="0" w:space="0" w:color="auto"/>
        <w:left w:val="none" w:sz="0" w:space="0" w:color="auto"/>
        <w:bottom w:val="none" w:sz="0" w:space="0" w:color="auto"/>
        <w:right w:val="none" w:sz="0" w:space="0" w:color="auto"/>
      </w:divBdr>
    </w:div>
    <w:div w:id="488912083">
      <w:bodyDiv w:val="1"/>
      <w:marLeft w:val="0"/>
      <w:marRight w:val="0"/>
      <w:marTop w:val="0"/>
      <w:marBottom w:val="0"/>
      <w:divBdr>
        <w:top w:val="none" w:sz="0" w:space="0" w:color="auto"/>
        <w:left w:val="none" w:sz="0" w:space="0" w:color="auto"/>
        <w:bottom w:val="none" w:sz="0" w:space="0" w:color="auto"/>
        <w:right w:val="none" w:sz="0" w:space="0" w:color="auto"/>
      </w:divBdr>
    </w:div>
    <w:div w:id="544490083">
      <w:bodyDiv w:val="1"/>
      <w:marLeft w:val="0"/>
      <w:marRight w:val="0"/>
      <w:marTop w:val="0"/>
      <w:marBottom w:val="0"/>
      <w:divBdr>
        <w:top w:val="none" w:sz="0" w:space="0" w:color="auto"/>
        <w:left w:val="none" w:sz="0" w:space="0" w:color="auto"/>
        <w:bottom w:val="none" w:sz="0" w:space="0" w:color="auto"/>
        <w:right w:val="none" w:sz="0" w:space="0" w:color="auto"/>
      </w:divBdr>
      <w:divsChild>
        <w:div w:id="231501863">
          <w:marLeft w:val="0"/>
          <w:marRight w:val="0"/>
          <w:marTop w:val="480"/>
          <w:marBottom w:val="240"/>
          <w:divBdr>
            <w:top w:val="none" w:sz="0" w:space="0" w:color="auto"/>
            <w:left w:val="none" w:sz="0" w:space="0" w:color="auto"/>
            <w:bottom w:val="none" w:sz="0" w:space="0" w:color="auto"/>
            <w:right w:val="none" w:sz="0" w:space="0" w:color="auto"/>
          </w:divBdr>
        </w:div>
        <w:div w:id="588931967">
          <w:marLeft w:val="0"/>
          <w:marRight w:val="0"/>
          <w:marTop w:val="0"/>
          <w:marBottom w:val="567"/>
          <w:divBdr>
            <w:top w:val="none" w:sz="0" w:space="0" w:color="auto"/>
            <w:left w:val="none" w:sz="0" w:space="0" w:color="auto"/>
            <w:bottom w:val="none" w:sz="0" w:space="0" w:color="auto"/>
            <w:right w:val="none" w:sz="0" w:space="0" w:color="auto"/>
          </w:divBdr>
        </w:div>
      </w:divsChild>
    </w:div>
    <w:div w:id="556859744">
      <w:bodyDiv w:val="1"/>
      <w:marLeft w:val="0"/>
      <w:marRight w:val="0"/>
      <w:marTop w:val="0"/>
      <w:marBottom w:val="0"/>
      <w:divBdr>
        <w:top w:val="none" w:sz="0" w:space="0" w:color="auto"/>
        <w:left w:val="none" w:sz="0" w:space="0" w:color="auto"/>
        <w:bottom w:val="none" w:sz="0" w:space="0" w:color="auto"/>
        <w:right w:val="none" w:sz="0" w:space="0" w:color="auto"/>
      </w:divBdr>
    </w:div>
    <w:div w:id="574165008">
      <w:bodyDiv w:val="1"/>
      <w:marLeft w:val="0"/>
      <w:marRight w:val="0"/>
      <w:marTop w:val="0"/>
      <w:marBottom w:val="0"/>
      <w:divBdr>
        <w:top w:val="none" w:sz="0" w:space="0" w:color="auto"/>
        <w:left w:val="none" w:sz="0" w:space="0" w:color="auto"/>
        <w:bottom w:val="none" w:sz="0" w:space="0" w:color="auto"/>
        <w:right w:val="none" w:sz="0" w:space="0" w:color="auto"/>
      </w:divBdr>
    </w:div>
    <w:div w:id="596404561">
      <w:bodyDiv w:val="1"/>
      <w:marLeft w:val="0"/>
      <w:marRight w:val="0"/>
      <w:marTop w:val="0"/>
      <w:marBottom w:val="0"/>
      <w:divBdr>
        <w:top w:val="none" w:sz="0" w:space="0" w:color="auto"/>
        <w:left w:val="none" w:sz="0" w:space="0" w:color="auto"/>
        <w:bottom w:val="none" w:sz="0" w:space="0" w:color="auto"/>
        <w:right w:val="none" w:sz="0" w:space="0" w:color="auto"/>
      </w:divBdr>
    </w:div>
    <w:div w:id="607929405">
      <w:bodyDiv w:val="1"/>
      <w:marLeft w:val="0"/>
      <w:marRight w:val="0"/>
      <w:marTop w:val="0"/>
      <w:marBottom w:val="0"/>
      <w:divBdr>
        <w:top w:val="none" w:sz="0" w:space="0" w:color="auto"/>
        <w:left w:val="none" w:sz="0" w:space="0" w:color="auto"/>
        <w:bottom w:val="none" w:sz="0" w:space="0" w:color="auto"/>
        <w:right w:val="none" w:sz="0" w:space="0" w:color="auto"/>
      </w:divBdr>
    </w:div>
    <w:div w:id="612515793">
      <w:bodyDiv w:val="1"/>
      <w:marLeft w:val="0"/>
      <w:marRight w:val="0"/>
      <w:marTop w:val="0"/>
      <w:marBottom w:val="0"/>
      <w:divBdr>
        <w:top w:val="none" w:sz="0" w:space="0" w:color="auto"/>
        <w:left w:val="none" w:sz="0" w:space="0" w:color="auto"/>
        <w:bottom w:val="none" w:sz="0" w:space="0" w:color="auto"/>
        <w:right w:val="none" w:sz="0" w:space="0" w:color="auto"/>
      </w:divBdr>
    </w:div>
    <w:div w:id="691959848">
      <w:bodyDiv w:val="1"/>
      <w:marLeft w:val="0"/>
      <w:marRight w:val="0"/>
      <w:marTop w:val="0"/>
      <w:marBottom w:val="0"/>
      <w:divBdr>
        <w:top w:val="none" w:sz="0" w:space="0" w:color="auto"/>
        <w:left w:val="none" w:sz="0" w:space="0" w:color="auto"/>
        <w:bottom w:val="none" w:sz="0" w:space="0" w:color="auto"/>
        <w:right w:val="none" w:sz="0" w:space="0" w:color="auto"/>
      </w:divBdr>
    </w:div>
    <w:div w:id="692655470">
      <w:bodyDiv w:val="1"/>
      <w:marLeft w:val="0"/>
      <w:marRight w:val="0"/>
      <w:marTop w:val="0"/>
      <w:marBottom w:val="0"/>
      <w:divBdr>
        <w:top w:val="none" w:sz="0" w:space="0" w:color="auto"/>
        <w:left w:val="none" w:sz="0" w:space="0" w:color="auto"/>
        <w:bottom w:val="none" w:sz="0" w:space="0" w:color="auto"/>
        <w:right w:val="none" w:sz="0" w:space="0" w:color="auto"/>
      </w:divBdr>
    </w:div>
    <w:div w:id="699093748">
      <w:bodyDiv w:val="1"/>
      <w:marLeft w:val="0"/>
      <w:marRight w:val="0"/>
      <w:marTop w:val="0"/>
      <w:marBottom w:val="0"/>
      <w:divBdr>
        <w:top w:val="none" w:sz="0" w:space="0" w:color="auto"/>
        <w:left w:val="none" w:sz="0" w:space="0" w:color="auto"/>
        <w:bottom w:val="none" w:sz="0" w:space="0" w:color="auto"/>
        <w:right w:val="none" w:sz="0" w:space="0" w:color="auto"/>
      </w:divBdr>
    </w:div>
    <w:div w:id="703485397">
      <w:bodyDiv w:val="1"/>
      <w:marLeft w:val="0"/>
      <w:marRight w:val="0"/>
      <w:marTop w:val="0"/>
      <w:marBottom w:val="0"/>
      <w:divBdr>
        <w:top w:val="none" w:sz="0" w:space="0" w:color="auto"/>
        <w:left w:val="none" w:sz="0" w:space="0" w:color="auto"/>
        <w:bottom w:val="none" w:sz="0" w:space="0" w:color="auto"/>
        <w:right w:val="none" w:sz="0" w:space="0" w:color="auto"/>
      </w:divBdr>
    </w:div>
    <w:div w:id="716903480">
      <w:bodyDiv w:val="1"/>
      <w:marLeft w:val="0"/>
      <w:marRight w:val="0"/>
      <w:marTop w:val="0"/>
      <w:marBottom w:val="0"/>
      <w:divBdr>
        <w:top w:val="none" w:sz="0" w:space="0" w:color="auto"/>
        <w:left w:val="none" w:sz="0" w:space="0" w:color="auto"/>
        <w:bottom w:val="none" w:sz="0" w:space="0" w:color="auto"/>
        <w:right w:val="none" w:sz="0" w:space="0" w:color="auto"/>
      </w:divBdr>
    </w:div>
    <w:div w:id="745760818">
      <w:bodyDiv w:val="1"/>
      <w:marLeft w:val="0"/>
      <w:marRight w:val="0"/>
      <w:marTop w:val="0"/>
      <w:marBottom w:val="0"/>
      <w:divBdr>
        <w:top w:val="none" w:sz="0" w:space="0" w:color="auto"/>
        <w:left w:val="none" w:sz="0" w:space="0" w:color="auto"/>
        <w:bottom w:val="none" w:sz="0" w:space="0" w:color="auto"/>
        <w:right w:val="none" w:sz="0" w:space="0" w:color="auto"/>
      </w:divBdr>
    </w:div>
    <w:div w:id="756095731">
      <w:bodyDiv w:val="1"/>
      <w:marLeft w:val="0"/>
      <w:marRight w:val="0"/>
      <w:marTop w:val="0"/>
      <w:marBottom w:val="0"/>
      <w:divBdr>
        <w:top w:val="none" w:sz="0" w:space="0" w:color="auto"/>
        <w:left w:val="none" w:sz="0" w:space="0" w:color="auto"/>
        <w:bottom w:val="none" w:sz="0" w:space="0" w:color="auto"/>
        <w:right w:val="none" w:sz="0" w:space="0" w:color="auto"/>
      </w:divBdr>
      <w:divsChild>
        <w:div w:id="10189483">
          <w:marLeft w:val="547"/>
          <w:marRight w:val="0"/>
          <w:marTop w:val="77"/>
          <w:marBottom w:val="0"/>
          <w:divBdr>
            <w:top w:val="none" w:sz="0" w:space="0" w:color="auto"/>
            <w:left w:val="none" w:sz="0" w:space="0" w:color="auto"/>
            <w:bottom w:val="none" w:sz="0" w:space="0" w:color="auto"/>
            <w:right w:val="none" w:sz="0" w:space="0" w:color="auto"/>
          </w:divBdr>
        </w:div>
      </w:divsChild>
    </w:div>
    <w:div w:id="756560101">
      <w:bodyDiv w:val="1"/>
      <w:marLeft w:val="0"/>
      <w:marRight w:val="0"/>
      <w:marTop w:val="0"/>
      <w:marBottom w:val="0"/>
      <w:divBdr>
        <w:top w:val="none" w:sz="0" w:space="0" w:color="auto"/>
        <w:left w:val="none" w:sz="0" w:space="0" w:color="auto"/>
        <w:bottom w:val="none" w:sz="0" w:space="0" w:color="auto"/>
        <w:right w:val="none" w:sz="0" w:space="0" w:color="auto"/>
      </w:divBdr>
    </w:div>
    <w:div w:id="777914834">
      <w:bodyDiv w:val="1"/>
      <w:marLeft w:val="0"/>
      <w:marRight w:val="0"/>
      <w:marTop w:val="0"/>
      <w:marBottom w:val="0"/>
      <w:divBdr>
        <w:top w:val="none" w:sz="0" w:space="0" w:color="auto"/>
        <w:left w:val="none" w:sz="0" w:space="0" w:color="auto"/>
        <w:bottom w:val="none" w:sz="0" w:space="0" w:color="auto"/>
        <w:right w:val="none" w:sz="0" w:space="0" w:color="auto"/>
      </w:divBdr>
    </w:div>
    <w:div w:id="778531419">
      <w:bodyDiv w:val="1"/>
      <w:marLeft w:val="0"/>
      <w:marRight w:val="0"/>
      <w:marTop w:val="0"/>
      <w:marBottom w:val="0"/>
      <w:divBdr>
        <w:top w:val="none" w:sz="0" w:space="0" w:color="auto"/>
        <w:left w:val="none" w:sz="0" w:space="0" w:color="auto"/>
        <w:bottom w:val="none" w:sz="0" w:space="0" w:color="auto"/>
        <w:right w:val="none" w:sz="0" w:space="0" w:color="auto"/>
      </w:divBdr>
    </w:div>
    <w:div w:id="791289946">
      <w:bodyDiv w:val="1"/>
      <w:marLeft w:val="0"/>
      <w:marRight w:val="0"/>
      <w:marTop w:val="0"/>
      <w:marBottom w:val="0"/>
      <w:divBdr>
        <w:top w:val="none" w:sz="0" w:space="0" w:color="auto"/>
        <w:left w:val="none" w:sz="0" w:space="0" w:color="auto"/>
        <w:bottom w:val="none" w:sz="0" w:space="0" w:color="auto"/>
        <w:right w:val="none" w:sz="0" w:space="0" w:color="auto"/>
      </w:divBdr>
    </w:div>
    <w:div w:id="800155030">
      <w:bodyDiv w:val="1"/>
      <w:marLeft w:val="0"/>
      <w:marRight w:val="0"/>
      <w:marTop w:val="0"/>
      <w:marBottom w:val="0"/>
      <w:divBdr>
        <w:top w:val="none" w:sz="0" w:space="0" w:color="auto"/>
        <w:left w:val="none" w:sz="0" w:space="0" w:color="auto"/>
        <w:bottom w:val="none" w:sz="0" w:space="0" w:color="auto"/>
        <w:right w:val="none" w:sz="0" w:space="0" w:color="auto"/>
      </w:divBdr>
      <w:divsChild>
        <w:div w:id="993606039">
          <w:blockQuote w:val="1"/>
          <w:marLeft w:val="0"/>
          <w:marRight w:val="0"/>
          <w:marTop w:val="0"/>
          <w:marBottom w:val="330"/>
          <w:divBdr>
            <w:top w:val="none" w:sz="0" w:space="0" w:color="auto"/>
            <w:left w:val="none" w:sz="0" w:space="0" w:color="auto"/>
            <w:bottom w:val="none" w:sz="0" w:space="0" w:color="auto"/>
            <w:right w:val="none" w:sz="0" w:space="0" w:color="auto"/>
          </w:divBdr>
        </w:div>
        <w:div w:id="214226477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848450943">
      <w:bodyDiv w:val="1"/>
      <w:marLeft w:val="0"/>
      <w:marRight w:val="0"/>
      <w:marTop w:val="0"/>
      <w:marBottom w:val="0"/>
      <w:divBdr>
        <w:top w:val="none" w:sz="0" w:space="0" w:color="auto"/>
        <w:left w:val="none" w:sz="0" w:space="0" w:color="auto"/>
        <w:bottom w:val="none" w:sz="0" w:space="0" w:color="auto"/>
        <w:right w:val="none" w:sz="0" w:space="0" w:color="auto"/>
      </w:divBdr>
    </w:div>
    <w:div w:id="895434080">
      <w:bodyDiv w:val="1"/>
      <w:marLeft w:val="0"/>
      <w:marRight w:val="0"/>
      <w:marTop w:val="0"/>
      <w:marBottom w:val="0"/>
      <w:divBdr>
        <w:top w:val="none" w:sz="0" w:space="0" w:color="auto"/>
        <w:left w:val="none" w:sz="0" w:space="0" w:color="auto"/>
        <w:bottom w:val="none" w:sz="0" w:space="0" w:color="auto"/>
        <w:right w:val="none" w:sz="0" w:space="0" w:color="auto"/>
      </w:divBdr>
    </w:div>
    <w:div w:id="901983470">
      <w:bodyDiv w:val="1"/>
      <w:marLeft w:val="0"/>
      <w:marRight w:val="0"/>
      <w:marTop w:val="0"/>
      <w:marBottom w:val="0"/>
      <w:divBdr>
        <w:top w:val="none" w:sz="0" w:space="0" w:color="auto"/>
        <w:left w:val="none" w:sz="0" w:space="0" w:color="auto"/>
        <w:bottom w:val="none" w:sz="0" w:space="0" w:color="auto"/>
        <w:right w:val="none" w:sz="0" w:space="0" w:color="auto"/>
      </w:divBdr>
    </w:div>
    <w:div w:id="907106553">
      <w:bodyDiv w:val="1"/>
      <w:marLeft w:val="0"/>
      <w:marRight w:val="0"/>
      <w:marTop w:val="0"/>
      <w:marBottom w:val="0"/>
      <w:divBdr>
        <w:top w:val="none" w:sz="0" w:space="0" w:color="auto"/>
        <w:left w:val="none" w:sz="0" w:space="0" w:color="auto"/>
        <w:bottom w:val="none" w:sz="0" w:space="0" w:color="auto"/>
        <w:right w:val="none" w:sz="0" w:space="0" w:color="auto"/>
      </w:divBdr>
    </w:div>
    <w:div w:id="920796569">
      <w:bodyDiv w:val="1"/>
      <w:marLeft w:val="0"/>
      <w:marRight w:val="0"/>
      <w:marTop w:val="0"/>
      <w:marBottom w:val="0"/>
      <w:divBdr>
        <w:top w:val="none" w:sz="0" w:space="0" w:color="auto"/>
        <w:left w:val="none" w:sz="0" w:space="0" w:color="auto"/>
        <w:bottom w:val="none" w:sz="0" w:space="0" w:color="auto"/>
        <w:right w:val="none" w:sz="0" w:space="0" w:color="auto"/>
      </w:divBdr>
      <w:divsChild>
        <w:div w:id="1719040879">
          <w:marLeft w:val="446"/>
          <w:marRight w:val="0"/>
          <w:marTop w:val="0"/>
          <w:marBottom w:val="0"/>
          <w:divBdr>
            <w:top w:val="none" w:sz="0" w:space="0" w:color="auto"/>
            <w:left w:val="none" w:sz="0" w:space="0" w:color="auto"/>
            <w:bottom w:val="none" w:sz="0" w:space="0" w:color="auto"/>
            <w:right w:val="none" w:sz="0" w:space="0" w:color="auto"/>
          </w:divBdr>
        </w:div>
        <w:div w:id="2061980300">
          <w:marLeft w:val="446"/>
          <w:marRight w:val="0"/>
          <w:marTop w:val="0"/>
          <w:marBottom w:val="0"/>
          <w:divBdr>
            <w:top w:val="none" w:sz="0" w:space="0" w:color="auto"/>
            <w:left w:val="none" w:sz="0" w:space="0" w:color="auto"/>
            <w:bottom w:val="none" w:sz="0" w:space="0" w:color="auto"/>
            <w:right w:val="none" w:sz="0" w:space="0" w:color="auto"/>
          </w:divBdr>
        </w:div>
        <w:div w:id="783889997">
          <w:marLeft w:val="446"/>
          <w:marRight w:val="0"/>
          <w:marTop w:val="0"/>
          <w:marBottom w:val="0"/>
          <w:divBdr>
            <w:top w:val="none" w:sz="0" w:space="0" w:color="auto"/>
            <w:left w:val="none" w:sz="0" w:space="0" w:color="auto"/>
            <w:bottom w:val="none" w:sz="0" w:space="0" w:color="auto"/>
            <w:right w:val="none" w:sz="0" w:space="0" w:color="auto"/>
          </w:divBdr>
        </w:div>
        <w:div w:id="1282229945">
          <w:marLeft w:val="446"/>
          <w:marRight w:val="0"/>
          <w:marTop w:val="0"/>
          <w:marBottom w:val="0"/>
          <w:divBdr>
            <w:top w:val="none" w:sz="0" w:space="0" w:color="auto"/>
            <w:left w:val="none" w:sz="0" w:space="0" w:color="auto"/>
            <w:bottom w:val="none" w:sz="0" w:space="0" w:color="auto"/>
            <w:right w:val="none" w:sz="0" w:space="0" w:color="auto"/>
          </w:divBdr>
        </w:div>
      </w:divsChild>
    </w:div>
    <w:div w:id="928851905">
      <w:bodyDiv w:val="1"/>
      <w:marLeft w:val="0"/>
      <w:marRight w:val="0"/>
      <w:marTop w:val="0"/>
      <w:marBottom w:val="0"/>
      <w:divBdr>
        <w:top w:val="none" w:sz="0" w:space="0" w:color="auto"/>
        <w:left w:val="none" w:sz="0" w:space="0" w:color="auto"/>
        <w:bottom w:val="none" w:sz="0" w:space="0" w:color="auto"/>
        <w:right w:val="none" w:sz="0" w:space="0" w:color="auto"/>
      </w:divBdr>
    </w:div>
    <w:div w:id="938607716">
      <w:bodyDiv w:val="1"/>
      <w:marLeft w:val="0"/>
      <w:marRight w:val="0"/>
      <w:marTop w:val="0"/>
      <w:marBottom w:val="0"/>
      <w:divBdr>
        <w:top w:val="none" w:sz="0" w:space="0" w:color="auto"/>
        <w:left w:val="none" w:sz="0" w:space="0" w:color="auto"/>
        <w:bottom w:val="none" w:sz="0" w:space="0" w:color="auto"/>
        <w:right w:val="none" w:sz="0" w:space="0" w:color="auto"/>
      </w:divBdr>
    </w:div>
    <w:div w:id="942302220">
      <w:bodyDiv w:val="1"/>
      <w:marLeft w:val="0"/>
      <w:marRight w:val="0"/>
      <w:marTop w:val="0"/>
      <w:marBottom w:val="0"/>
      <w:divBdr>
        <w:top w:val="none" w:sz="0" w:space="0" w:color="auto"/>
        <w:left w:val="none" w:sz="0" w:space="0" w:color="auto"/>
        <w:bottom w:val="none" w:sz="0" w:space="0" w:color="auto"/>
        <w:right w:val="none" w:sz="0" w:space="0" w:color="auto"/>
      </w:divBdr>
    </w:div>
    <w:div w:id="964189654">
      <w:bodyDiv w:val="1"/>
      <w:marLeft w:val="0"/>
      <w:marRight w:val="0"/>
      <w:marTop w:val="0"/>
      <w:marBottom w:val="0"/>
      <w:divBdr>
        <w:top w:val="none" w:sz="0" w:space="0" w:color="auto"/>
        <w:left w:val="none" w:sz="0" w:space="0" w:color="auto"/>
        <w:bottom w:val="none" w:sz="0" w:space="0" w:color="auto"/>
        <w:right w:val="none" w:sz="0" w:space="0" w:color="auto"/>
      </w:divBdr>
    </w:div>
    <w:div w:id="983002662">
      <w:bodyDiv w:val="1"/>
      <w:marLeft w:val="0"/>
      <w:marRight w:val="0"/>
      <w:marTop w:val="0"/>
      <w:marBottom w:val="0"/>
      <w:divBdr>
        <w:top w:val="none" w:sz="0" w:space="0" w:color="auto"/>
        <w:left w:val="none" w:sz="0" w:space="0" w:color="auto"/>
        <w:bottom w:val="none" w:sz="0" w:space="0" w:color="auto"/>
        <w:right w:val="none" w:sz="0" w:space="0" w:color="auto"/>
      </w:divBdr>
    </w:div>
    <w:div w:id="985207801">
      <w:bodyDiv w:val="1"/>
      <w:marLeft w:val="0"/>
      <w:marRight w:val="0"/>
      <w:marTop w:val="0"/>
      <w:marBottom w:val="0"/>
      <w:divBdr>
        <w:top w:val="none" w:sz="0" w:space="0" w:color="auto"/>
        <w:left w:val="none" w:sz="0" w:space="0" w:color="auto"/>
        <w:bottom w:val="none" w:sz="0" w:space="0" w:color="auto"/>
        <w:right w:val="none" w:sz="0" w:space="0" w:color="auto"/>
      </w:divBdr>
    </w:div>
    <w:div w:id="1006594253">
      <w:bodyDiv w:val="1"/>
      <w:marLeft w:val="0"/>
      <w:marRight w:val="0"/>
      <w:marTop w:val="0"/>
      <w:marBottom w:val="0"/>
      <w:divBdr>
        <w:top w:val="none" w:sz="0" w:space="0" w:color="auto"/>
        <w:left w:val="none" w:sz="0" w:space="0" w:color="auto"/>
        <w:bottom w:val="none" w:sz="0" w:space="0" w:color="auto"/>
        <w:right w:val="none" w:sz="0" w:space="0" w:color="auto"/>
      </w:divBdr>
      <w:divsChild>
        <w:div w:id="1429539405">
          <w:marLeft w:val="1123"/>
          <w:marRight w:val="0"/>
          <w:marTop w:val="154"/>
          <w:marBottom w:val="0"/>
          <w:divBdr>
            <w:top w:val="none" w:sz="0" w:space="0" w:color="auto"/>
            <w:left w:val="none" w:sz="0" w:space="0" w:color="auto"/>
            <w:bottom w:val="none" w:sz="0" w:space="0" w:color="auto"/>
            <w:right w:val="none" w:sz="0" w:space="0" w:color="auto"/>
          </w:divBdr>
        </w:div>
      </w:divsChild>
    </w:div>
    <w:div w:id="1013534599">
      <w:bodyDiv w:val="1"/>
      <w:marLeft w:val="0"/>
      <w:marRight w:val="0"/>
      <w:marTop w:val="0"/>
      <w:marBottom w:val="0"/>
      <w:divBdr>
        <w:top w:val="none" w:sz="0" w:space="0" w:color="auto"/>
        <w:left w:val="none" w:sz="0" w:space="0" w:color="auto"/>
        <w:bottom w:val="none" w:sz="0" w:space="0" w:color="auto"/>
        <w:right w:val="none" w:sz="0" w:space="0" w:color="auto"/>
      </w:divBdr>
    </w:div>
    <w:div w:id="1056782468">
      <w:bodyDiv w:val="1"/>
      <w:marLeft w:val="0"/>
      <w:marRight w:val="0"/>
      <w:marTop w:val="0"/>
      <w:marBottom w:val="0"/>
      <w:divBdr>
        <w:top w:val="none" w:sz="0" w:space="0" w:color="auto"/>
        <w:left w:val="none" w:sz="0" w:space="0" w:color="auto"/>
        <w:bottom w:val="none" w:sz="0" w:space="0" w:color="auto"/>
        <w:right w:val="none" w:sz="0" w:space="0" w:color="auto"/>
      </w:divBdr>
    </w:div>
    <w:div w:id="1081633891">
      <w:bodyDiv w:val="1"/>
      <w:marLeft w:val="0"/>
      <w:marRight w:val="0"/>
      <w:marTop w:val="0"/>
      <w:marBottom w:val="0"/>
      <w:divBdr>
        <w:top w:val="none" w:sz="0" w:space="0" w:color="auto"/>
        <w:left w:val="none" w:sz="0" w:space="0" w:color="auto"/>
        <w:bottom w:val="none" w:sz="0" w:space="0" w:color="auto"/>
        <w:right w:val="none" w:sz="0" w:space="0" w:color="auto"/>
      </w:divBdr>
    </w:div>
    <w:div w:id="1084374194">
      <w:bodyDiv w:val="1"/>
      <w:marLeft w:val="0"/>
      <w:marRight w:val="0"/>
      <w:marTop w:val="0"/>
      <w:marBottom w:val="0"/>
      <w:divBdr>
        <w:top w:val="none" w:sz="0" w:space="0" w:color="auto"/>
        <w:left w:val="none" w:sz="0" w:space="0" w:color="auto"/>
        <w:bottom w:val="none" w:sz="0" w:space="0" w:color="auto"/>
        <w:right w:val="none" w:sz="0" w:space="0" w:color="auto"/>
      </w:divBdr>
      <w:divsChild>
        <w:div w:id="1507480073">
          <w:marLeft w:val="446"/>
          <w:marRight w:val="0"/>
          <w:marTop w:val="0"/>
          <w:marBottom w:val="0"/>
          <w:divBdr>
            <w:top w:val="none" w:sz="0" w:space="0" w:color="auto"/>
            <w:left w:val="none" w:sz="0" w:space="0" w:color="auto"/>
            <w:bottom w:val="none" w:sz="0" w:space="0" w:color="auto"/>
            <w:right w:val="none" w:sz="0" w:space="0" w:color="auto"/>
          </w:divBdr>
        </w:div>
      </w:divsChild>
    </w:div>
    <w:div w:id="1092631245">
      <w:bodyDiv w:val="1"/>
      <w:marLeft w:val="0"/>
      <w:marRight w:val="0"/>
      <w:marTop w:val="0"/>
      <w:marBottom w:val="0"/>
      <w:divBdr>
        <w:top w:val="none" w:sz="0" w:space="0" w:color="auto"/>
        <w:left w:val="none" w:sz="0" w:space="0" w:color="auto"/>
        <w:bottom w:val="none" w:sz="0" w:space="0" w:color="auto"/>
        <w:right w:val="none" w:sz="0" w:space="0" w:color="auto"/>
      </w:divBdr>
    </w:div>
    <w:div w:id="1108352693">
      <w:bodyDiv w:val="1"/>
      <w:marLeft w:val="0"/>
      <w:marRight w:val="0"/>
      <w:marTop w:val="0"/>
      <w:marBottom w:val="0"/>
      <w:divBdr>
        <w:top w:val="none" w:sz="0" w:space="0" w:color="auto"/>
        <w:left w:val="none" w:sz="0" w:space="0" w:color="auto"/>
        <w:bottom w:val="none" w:sz="0" w:space="0" w:color="auto"/>
        <w:right w:val="none" w:sz="0" w:space="0" w:color="auto"/>
      </w:divBdr>
    </w:div>
    <w:div w:id="1110777986">
      <w:bodyDiv w:val="1"/>
      <w:marLeft w:val="0"/>
      <w:marRight w:val="0"/>
      <w:marTop w:val="0"/>
      <w:marBottom w:val="0"/>
      <w:divBdr>
        <w:top w:val="none" w:sz="0" w:space="0" w:color="auto"/>
        <w:left w:val="none" w:sz="0" w:space="0" w:color="auto"/>
        <w:bottom w:val="none" w:sz="0" w:space="0" w:color="auto"/>
        <w:right w:val="none" w:sz="0" w:space="0" w:color="auto"/>
      </w:divBdr>
    </w:div>
    <w:div w:id="1117679206">
      <w:bodyDiv w:val="1"/>
      <w:marLeft w:val="0"/>
      <w:marRight w:val="0"/>
      <w:marTop w:val="0"/>
      <w:marBottom w:val="0"/>
      <w:divBdr>
        <w:top w:val="none" w:sz="0" w:space="0" w:color="auto"/>
        <w:left w:val="none" w:sz="0" w:space="0" w:color="auto"/>
        <w:bottom w:val="none" w:sz="0" w:space="0" w:color="auto"/>
        <w:right w:val="none" w:sz="0" w:space="0" w:color="auto"/>
      </w:divBdr>
    </w:div>
    <w:div w:id="1118178089">
      <w:bodyDiv w:val="1"/>
      <w:marLeft w:val="0"/>
      <w:marRight w:val="0"/>
      <w:marTop w:val="0"/>
      <w:marBottom w:val="0"/>
      <w:divBdr>
        <w:top w:val="none" w:sz="0" w:space="0" w:color="auto"/>
        <w:left w:val="none" w:sz="0" w:space="0" w:color="auto"/>
        <w:bottom w:val="none" w:sz="0" w:space="0" w:color="auto"/>
        <w:right w:val="none" w:sz="0" w:space="0" w:color="auto"/>
      </w:divBdr>
    </w:div>
    <w:div w:id="1129276478">
      <w:bodyDiv w:val="1"/>
      <w:marLeft w:val="0"/>
      <w:marRight w:val="0"/>
      <w:marTop w:val="0"/>
      <w:marBottom w:val="0"/>
      <w:divBdr>
        <w:top w:val="none" w:sz="0" w:space="0" w:color="auto"/>
        <w:left w:val="none" w:sz="0" w:space="0" w:color="auto"/>
        <w:bottom w:val="none" w:sz="0" w:space="0" w:color="auto"/>
        <w:right w:val="none" w:sz="0" w:space="0" w:color="auto"/>
      </w:divBdr>
    </w:div>
    <w:div w:id="1150247009">
      <w:bodyDiv w:val="1"/>
      <w:marLeft w:val="0"/>
      <w:marRight w:val="0"/>
      <w:marTop w:val="0"/>
      <w:marBottom w:val="0"/>
      <w:divBdr>
        <w:top w:val="none" w:sz="0" w:space="0" w:color="auto"/>
        <w:left w:val="none" w:sz="0" w:space="0" w:color="auto"/>
        <w:bottom w:val="none" w:sz="0" w:space="0" w:color="auto"/>
        <w:right w:val="none" w:sz="0" w:space="0" w:color="auto"/>
      </w:divBdr>
    </w:div>
    <w:div w:id="1165390971">
      <w:bodyDiv w:val="1"/>
      <w:marLeft w:val="0"/>
      <w:marRight w:val="0"/>
      <w:marTop w:val="0"/>
      <w:marBottom w:val="0"/>
      <w:divBdr>
        <w:top w:val="none" w:sz="0" w:space="0" w:color="auto"/>
        <w:left w:val="none" w:sz="0" w:space="0" w:color="auto"/>
        <w:bottom w:val="none" w:sz="0" w:space="0" w:color="auto"/>
        <w:right w:val="none" w:sz="0" w:space="0" w:color="auto"/>
      </w:divBdr>
    </w:div>
    <w:div w:id="1177843282">
      <w:bodyDiv w:val="1"/>
      <w:marLeft w:val="0"/>
      <w:marRight w:val="0"/>
      <w:marTop w:val="0"/>
      <w:marBottom w:val="0"/>
      <w:divBdr>
        <w:top w:val="none" w:sz="0" w:space="0" w:color="auto"/>
        <w:left w:val="none" w:sz="0" w:space="0" w:color="auto"/>
        <w:bottom w:val="none" w:sz="0" w:space="0" w:color="auto"/>
        <w:right w:val="none" w:sz="0" w:space="0" w:color="auto"/>
      </w:divBdr>
    </w:div>
    <w:div w:id="1203445471">
      <w:bodyDiv w:val="1"/>
      <w:marLeft w:val="0"/>
      <w:marRight w:val="0"/>
      <w:marTop w:val="0"/>
      <w:marBottom w:val="0"/>
      <w:divBdr>
        <w:top w:val="none" w:sz="0" w:space="0" w:color="auto"/>
        <w:left w:val="none" w:sz="0" w:space="0" w:color="auto"/>
        <w:bottom w:val="none" w:sz="0" w:space="0" w:color="auto"/>
        <w:right w:val="none" w:sz="0" w:space="0" w:color="auto"/>
      </w:divBdr>
      <w:divsChild>
        <w:div w:id="1439450432">
          <w:marLeft w:val="547"/>
          <w:marRight w:val="0"/>
          <w:marTop w:val="77"/>
          <w:marBottom w:val="0"/>
          <w:divBdr>
            <w:top w:val="none" w:sz="0" w:space="0" w:color="auto"/>
            <w:left w:val="none" w:sz="0" w:space="0" w:color="auto"/>
            <w:bottom w:val="none" w:sz="0" w:space="0" w:color="auto"/>
            <w:right w:val="none" w:sz="0" w:space="0" w:color="auto"/>
          </w:divBdr>
        </w:div>
      </w:divsChild>
    </w:div>
    <w:div w:id="1230843759">
      <w:bodyDiv w:val="1"/>
      <w:marLeft w:val="0"/>
      <w:marRight w:val="0"/>
      <w:marTop w:val="0"/>
      <w:marBottom w:val="0"/>
      <w:divBdr>
        <w:top w:val="none" w:sz="0" w:space="0" w:color="auto"/>
        <w:left w:val="none" w:sz="0" w:space="0" w:color="auto"/>
        <w:bottom w:val="none" w:sz="0" w:space="0" w:color="auto"/>
        <w:right w:val="none" w:sz="0" w:space="0" w:color="auto"/>
      </w:divBdr>
    </w:div>
    <w:div w:id="1237787229">
      <w:bodyDiv w:val="1"/>
      <w:marLeft w:val="0"/>
      <w:marRight w:val="0"/>
      <w:marTop w:val="0"/>
      <w:marBottom w:val="0"/>
      <w:divBdr>
        <w:top w:val="none" w:sz="0" w:space="0" w:color="auto"/>
        <w:left w:val="none" w:sz="0" w:space="0" w:color="auto"/>
        <w:bottom w:val="none" w:sz="0" w:space="0" w:color="auto"/>
        <w:right w:val="none" w:sz="0" w:space="0" w:color="auto"/>
      </w:divBdr>
    </w:div>
    <w:div w:id="1255047129">
      <w:bodyDiv w:val="1"/>
      <w:marLeft w:val="0"/>
      <w:marRight w:val="0"/>
      <w:marTop w:val="0"/>
      <w:marBottom w:val="0"/>
      <w:divBdr>
        <w:top w:val="none" w:sz="0" w:space="0" w:color="auto"/>
        <w:left w:val="none" w:sz="0" w:space="0" w:color="auto"/>
        <w:bottom w:val="none" w:sz="0" w:space="0" w:color="auto"/>
        <w:right w:val="none" w:sz="0" w:space="0" w:color="auto"/>
      </w:divBdr>
    </w:div>
    <w:div w:id="1264147765">
      <w:bodyDiv w:val="1"/>
      <w:marLeft w:val="0"/>
      <w:marRight w:val="0"/>
      <w:marTop w:val="0"/>
      <w:marBottom w:val="0"/>
      <w:divBdr>
        <w:top w:val="none" w:sz="0" w:space="0" w:color="auto"/>
        <w:left w:val="none" w:sz="0" w:space="0" w:color="auto"/>
        <w:bottom w:val="none" w:sz="0" w:space="0" w:color="auto"/>
        <w:right w:val="none" w:sz="0" w:space="0" w:color="auto"/>
      </w:divBdr>
    </w:div>
    <w:div w:id="1276598226">
      <w:bodyDiv w:val="1"/>
      <w:marLeft w:val="0"/>
      <w:marRight w:val="0"/>
      <w:marTop w:val="0"/>
      <w:marBottom w:val="0"/>
      <w:divBdr>
        <w:top w:val="none" w:sz="0" w:space="0" w:color="auto"/>
        <w:left w:val="none" w:sz="0" w:space="0" w:color="auto"/>
        <w:bottom w:val="none" w:sz="0" w:space="0" w:color="auto"/>
        <w:right w:val="none" w:sz="0" w:space="0" w:color="auto"/>
      </w:divBdr>
      <w:divsChild>
        <w:div w:id="1697345869">
          <w:marLeft w:val="1440"/>
          <w:marRight w:val="0"/>
          <w:marTop w:val="154"/>
          <w:marBottom w:val="0"/>
          <w:divBdr>
            <w:top w:val="none" w:sz="0" w:space="0" w:color="auto"/>
            <w:left w:val="none" w:sz="0" w:space="0" w:color="auto"/>
            <w:bottom w:val="none" w:sz="0" w:space="0" w:color="auto"/>
            <w:right w:val="none" w:sz="0" w:space="0" w:color="auto"/>
          </w:divBdr>
        </w:div>
      </w:divsChild>
    </w:div>
    <w:div w:id="1291978391">
      <w:bodyDiv w:val="1"/>
      <w:marLeft w:val="0"/>
      <w:marRight w:val="0"/>
      <w:marTop w:val="0"/>
      <w:marBottom w:val="0"/>
      <w:divBdr>
        <w:top w:val="none" w:sz="0" w:space="0" w:color="auto"/>
        <w:left w:val="none" w:sz="0" w:space="0" w:color="auto"/>
        <w:bottom w:val="none" w:sz="0" w:space="0" w:color="auto"/>
        <w:right w:val="none" w:sz="0" w:space="0" w:color="auto"/>
      </w:divBdr>
    </w:div>
    <w:div w:id="131976798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1123"/>
          <w:marRight w:val="0"/>
          <w:marTop w:val="154"/>
          <w:marBottom w:val="0"/>
          <w:divBdr>
            <w:top w:val="none" w:sz="0" w:space="0" w:color="auto"/>
            <w:left w:val="none" w:sz="0" w:space="0" w:color="auto"/>
            <w:bottom w:val="none" w:sz="0" w:space="0" w:color="auto"/>
            <w:right w:val="none" w:sz="0" w:space="0" w:color="auto"/>
          </w:divBdr>
        </w:div>
      </w:divsChild>
    </w:div>
    <w:div w:id="1320310638">
      <w:bodyDiv w:val="1"/>
      <w:marLeft w:val="0"/>
      <w:marRight w:val="0"/>
      <w:marTop w:val="0"/>
      <w:marBottom w:val="0"/>
      <w:divBdr>
        <w:top w:val="none" w:sz="0" w:space="0" w:color="auto"/>
        <w:left w:val="none" w:sz="0" w:space="0" w:color="auto"/>
        <w:bottom w:val="none" w:sz="0" w:space="0" w:color="auto"/>
        <w:right w:val="none" w:sz="0" w:space="0" w:color="auto"/>
      </w:divBdr>
    </w:div>
    <w:div w:id="1334142141">
      <w:bodyDiv w:val="1"/>
      <w:marLeft w:val="0"/>
      <w:marRight w:val="0"/>
      <w:marTop w:val="0"/>
      <w:marBottom w:val="0"/>
      <w:divBdr>
        <w:top w:val="none" w:sz="0" w:space="0" w:color="auto"/>
        <w:left w:val="none" w:sz="0" w:space="0" w:color="auto"/>
        <w:bottom w:val="none" w:sz="0" w:space="0" w:color="auto"/>
        <w:right w:val="none" w:sz="0" w:space="0" w:color="auto"/>
      </w:divBdr>
    </w:div>
    <w:div w:id="1334797366">
      <w:bodyDiv w:val="1"/>
      <w:marLeft w:val="0"/>
      <w:marRight w:val="0"/>
      <w:marTop w:val="0"/>
      <w:marBottom w:val="0"/>
      <w:divBdr>
        <w:top w:val="none" w:sz="0" w:space="0" w:color="auto"/>
        <w:left w:val="none" w:sz="0" w:space="0" w:color="auto"/>
        <w:bottom w:val="none" w:sz="0" w:space="0" w:color="auto"/>
        <w:right w:val="none" w:sz="0" w:space="0" w:color="auto"/>
      </w:divBdr>
    </w:div>
    <w:div w:id="1336572287">
      <w:bodyDiv w:val="1"/>
      <w:marLeft w:val="0"/>
      <w:marRight w:val="0"/>
      <w:marTop w:val="0"/>
      <w:marBottom w:val="0"/>
      <w:divBdr>
        <w:top w:val="none" w:sz="0" w:space="0" w:color="auto"/>
        <w:left w:val="none" w:sz="0" w:space="0" w:color="auto"/>
        <w:bottom w:val="none" w:sz="0" w:space="0" w:color="auto"/>
        <w:right w:val="none" w:sz="0" w:space="0" w:color="auto"/>
      </w:divBdr>
    </w:div>
    <w:div w:id="1337683185">
      <w:bodyDiv w:val="1"/>
      <w:marLeft w:val="0"/>
      <w:marRight w:val="0"/>
      <w:marTop w:val="0"/>
      <w:marBottom w:val="0"/>
      <w:divBdr>
        <w:top w:val="none" w:sz="0" w:space="0" w:color="auto"/>
        <w:left w:val="none" w:sz="0" w:space="0" w:color="auto"/>
        <w:bottom w:val="none" w:sz="0" w:space="0" w:color="auto"/>
        <w:right w:val="none" w:sz="0" w:space="0" w:color="auto"/>
      </w:divBdr>
    </w:div>
    <w:div w:id="1339651322">
      <w:bodyDiv w:val="1"/>
      <w:marLeft w:val="0"/>
      <w:marRight w:val="0"/>
      <w:marTop w:val="0"/>
      <w:marBottom w:val="0"/>
      <w:divBdr>
        <w:top w:val="none" w:sz="0" w:space="0" w:color="auto"/>
        <w:left w:val="none" w:sz="0" w:space="0" w:color="auto"/>
        <w:bottom w:val="none" w:sz="0" w:space="0" w:color="auto"/>
        <w:right w:val="none" w:sz="0" w:space="0" w:color="auto"/>
      </w:divBdr>
    </w:div>
    <w:div w:id="1342857742">
      <w:bodyDiv w:val="1"/>
      <w:marLeft w:val="0"/>
      <w:marRight w:val="0"/>
      <w:marTop w:val="0"/>
      <w:marBottom w:val="0"/>
      <w:divBdr>
        <w:top w:val="none" w:sz="0" w:space="0" w:color="auto"/>
        <w:left w:val="none" w:sz="0" w:space="0" w:color="auto"/>
        <w:bottom w:val="none" w:sz="0" w:space="0" w:color="auto"/>
        <w:right w:val="none" w:sz="0" w:space="0" w:color="auto"/>
      </w:divBdr>
    </w:div>
    <w:div w:id="1350135834">
      <w:bodyDiv w:val="1"/>
      <w:marLeft w:val="0"/>
      <w:marRight w:val="0"/>
      <w:marTop w:val="0"/>
      <w:marBottom w:val="0"/>
      <w:divBdr>
        <w:top w:val="none" w:sz="0" w:space="0" w:color="auto"/>
        <w:left w:val="none" w:sz="0" w:space="0" w:color="auto"/>
        <w:bottom w:val="none" w:sz="0" w:space="0" w:color="auto"/>
        <w:right w:val="none" w:sz="0" w:space="0" w:color="auto"/>
      </w:divBdr>
    </w:div>
    <w:div w:id="1351955758">
      <w:bodyDiv w:val="1"/>
      <w:marLeft w:val="0"/>
      <w:marRight w:val="0"/>
      <w:marTop w:val="0"/>
      <w:marBottom w:val="0"/>
      <w:divBdr>
        <w:top w:val="none" w:sz="0" w:space="0" w:color="auto"/>
        <w:left w:val="none" w:sz="0" w:space="0" w:color="auto"/>
        <w:bottom w:val="none" w:sz="0" w:space="0" w:color="auto"/>
        <w:right w:val="none" w:sz="0" w:space="0" w:color="auto"/>
      </w:divBdr>
    </w:div>
    <w:div w:id="1388409854">
      <w:bodyDiv w:val="1"/>
      <w:marLeft w:val="0"/>
      <w:marRight w:val="0"/>
      <w:marTop w:val="0"/>
      <w:marBottom w:val="0"/>
      <w:divBdr>
        <w:top w:val="none" w:sz="0" w:space="0" w:color="auto"/>
        <w:left w:val="none" w:sz="0" w:space="0" w:color="auto"/>
        <w:bottom w:val="none" w:sz="0" w:space="0" w:color="auto"/>
        <w:right w:val="none" w:sz="0" w:space="0" w:color="auto"/>
      </w:divBdr>
    </w:div>
    <w:div w:id="1396394925">
      <w:bodyDiv w:val="1"/>
      <w:marLeft w:val="0"/>
      <w:marRight w:val="0"/>
      <w:marTop w:val="0"/>
      <w:marBottom w:val="0"/>
      <w:divBdr>
        <w:top w:val="none" w:sz="0" w:space="0" w:color="auto"/>
        <w:left w:val="none" w:sz="0" w:space="0" w:color="auto"/>
        <w:bottom w:val="none" w:sz="0" w:space="0" w:color="auto"/>
        <w:right w:val="none" w:sz="0" w:space="0" w:color="auto"/>
      </w:divBdr>
    </w:div>
    <w:div w:id="1408530149">
      <w:bodyDiv w:val="1"/>
      <w:marLeft w:val="0"/>
      <w:marRight w:val="0"/>
      <w:marTop w:val="0"/>
      <w:marBottom w:val="0"/>
      <w:divBdr>
        <w:top w:val="none" w:sz="0" w:space="0" w:color="auto"/>
        <w:left w:val="none" w:sz="0" w:space="0" w:color="auto"/>
        <w:bottom w:val="none" w:sz="0" w:space="0" w:color="auto"/>
        <w:right w:val="none" w:sz="0" w:space="0" w:color="auto"/>
      </w:divBdr>
    </w:div>
    <w:div w:id="1424304005">
      <w:bodyDiv w:val="1"/>
      <w:marLeft w:val="0"/>
      <w:marRight w:val="0"/>
      <w:marTop w:val="0"/>
      <w:marBottom w:val="0"/>
      <w:divBdr>
        <w:top w:val="none" w:sz="0" w:space="0" w:color="auto"/>
        <w:left w:val="none" w:sz="0" w:space="0" w:color="auto"/>
        <w:bottom w:val="none" w:sz="0" w:space="0" w:color="auto"/>
        <w:right w:val="none" w:sz="0" w:space="0" w:color="auto"/>
      </w:divBdr>
    </w:div>
    <w:div w:id="1432552560">
      <w:bodyDiv w:val="1"/>
      <w:marLeft w:val="0"/>
      <w:marRight w:val="0"/>
      <w:marTop w:val="0"/>
      <w:marBottom w:val="0"/>
      <w:divBdr>
        <w:top w:val="none" w:sz="0" w:space="0" w:color="auto"/>
        <w:left w:val="none" w:sz="0" w:space="0" w:color="auto"/>
        <w:bottom w:val="none" w:sz="0" w:space="0" w:color="auto"/>
        <w:right w:val="none" w:sz="0" w:space="0" w:color="auto"/>
      </w:divBdr>
    </w:div>
    <w:div w:id="1460417485">
      <w:bodyDiv w:val="1"/>
      <w:marLeft w:val="0"/>
      <w:marRight w:val="0"/>
      <w:marTop w:val="0"/>
      <w:marBottom w:val="0"/>
      <w:divBdr>
        <w:top w:val="none" w:sz="0" w:space="0" w:color="auto"/>
        <w:left w:val="none" w:sz="0" w:space="0" w:color="auto"/>
        <w:bottom w:val="none" w:sz="0" w:space="0" w:color="auto"/>
        <w:right w:val="none" w:sz="0" w:space="0" w:color="auto"/>
      </w:divBdr>
    </w:div>
    <w:div w:id="1481119307">
      <w:bodyDiv w:val="1"/>
      <w:marLeft w:val="0"/>
      <w:marRight w:val="0"/>
      <w:marTop w:val="0"/>
      <w:marBottom w:val="0"/>
      <w:divBdr>
        <w:top w:val="none" w:sz="0" w:space="0" w:color="auto"/>
        <w:left w:val="none" w:sz="0" w:space="0" w:color="auto"/>
        <w:bottom w:val="none" w:sz="0" w:space="0" w:color="auto"/>
        <w:right w:val="none" w:sz="0" w:space="0" w:color="auto"/>
      </w:divBdr>
    </w:div>
    <w:div w:id="1488672724">
      <w:bodyDiv w:val="1"/>
      <w:marLeft w:val="0"/>
      <w:marRight w:val="0"/>
      <w:marTop w:val="0"/>
      <w:marBottom w:val="0"/>
      <w:divBdr>
        <w:top w:val="none" w:sz="0" w:space="0" w:color="auto"/>
        <w:left w:val="none" w:sz="0" w:space="0" w:color="auto"/>
        <w:bottom w:val="none" w:sz="0" w:space="0" w:color="auto"/>
        <w:right w:val="none" w:sz="0" w:space="0" w:color="auto"/>
      </w:divBdr>
    </w:div>
    <w:div w:id="1516191541">
      <w:bodyDiv w:val="1"/>
      <w:marLeft w:val="0"/>
      <w:marRight w:val="0"/>
      <w:marTop w:val="0"/>
      <w:marBottom w:val="0"/>
      <w:divBdr>
        <w:top w:val="none" w:sz="0" w:space="0" w:color="auto"/>
        <w:left w:val="none" w:sz="0" w:space="0" w:color="auto"/>
        <w:bottom w:val="none" w:sz="0" w:space="0" w:color="auto"/>
        <w:right w:val="none" w:sz="0" w:space="0" w:color="auto"/>
      </w:divBdr>
    </w:div>
    <w:div w:id="1524393825">
      <w:bodyDiv w:val="1"/>
      <w:marLeft w:val="0"/>
      <w:marRight w:val="0"/>
      <w:marTop w:val="0"/>
      <w:marBottom w:val="0"/>
      <w:divBdr>
        <w:top w:val="none" w:sz="0" w:space="0" w:color="auto"/>
        <w:left w:val="none" w:sz="0" w:space="0" w:color="auto"/>
        <w:bottom w:val="none" w:sz="0" w:space="0" w:color="auto"/>
        <w:right w:val="none" w:sz="0" w:space="0" w:color="auto"/>
      </w:divBdr>
    </w:div>
    <w:div w:id="1530221520">
      <w:bodyDiv w:val="1"/>
      <w:marLeft w:val="0"/>
      <w:marRight w:val="0"/>
      <w:marTop w:val="0"/>
      <w:marBottom w:val="0"/>
      <w:divBdr>
        <w:top w:val="none" w:sz="0" w:space="0" w:color="auto"/>
        <w:left w:val="none" w:sz="0" w:space="0" w:color="auto"/>
        <w:bottom w:val="none" w:sz="0" w:space="0" w:color="auto"/>
        <w:right w:val="none" w:sz="0" w:space="0" w:color="auto"/>
      </w:divBdr>
    </w:div>
    <w:div w:id="1533760292">
      <w:bodyDiv w:val="1"/>
      <w:marLeft w:val="0"/>
      <w:marRight w:val="0"/>
      <w:marTop w:val="0"/>
      <w:marBottom w:val="0"/>
      <w:divBdr>
        <w:top w:val="none" w:sz="0" w:space="0" w:color="auto"/>
        <w:left w:val="none" w:sz="0" w:space="0" w:color="auto"/>
        <w:bottom w:val="none" w:sz="0" w:space="0" w:color="auto"/>
        <w:right w:val="none" w:sz="0" w:space="0" w:color="auto"/>
      </w:divBdr>
    </w:div>
    <w:div w:id="1542941132">
      <w:bodyDiv w:val="1"/>
      <w:marLeft w:val="0"/>
      <w:marRight w:val="0"/>
      <w:marTop w:val="0"/>
      <w:marBottom w:val="0"/>
      <w:divBdr>
        <w:top w:val="none" w:sz="0" w:space="0" w:color="auto"/>
        <w:left w:val="none" w:sz="0" w:space="0" w:color="auto"/>
        <w:bottom w:val="none" w:sz="0" w:space="0" w:color="auto"/>
        <w:right w:val="none" w:sz="0" w:space="0" w:color="auto"/>
      </w:divBdr>
    </w:div>
    <w:div w:id="1579825188">
      <w:bodyDiv w:val="1"/>
      <w:marLeft w:val="0"/>
      <w:marRight w:val="0"/>
      <w:marTop w:val="0"/>
      <w:marBottom w:val="0"/>
      <w:divBdr>
        <w:top w:val="none" w:sz="0" w:space="0" w:color="auto"/>
        <w:left w:val="none" w:sz="0" w:space="0" w:color="auto"/>
        <w:bottom w:val="none" w:sz="0" w:space="0" w:color="auto"/>
        <w:right w:val="none" w:sz="0" w:space="0" w:color="auto"/>
      </w:divBdr>
    </w:div>
    <w:div w:id="1605529370">
      <w:bodyDiv w:val="1"/>
      <w:marLeft w:val="0"/>
      <w:marRight w:val="0"/>
      <w:marTop w:val="0"/>
      <w:marBottom w:val="0"/>
      <w:divBdr>
        <w:top w:val="none" w:sz="0" w:space="0" w:color="auto"/>
        <w:left w:val="none" w:sz="0" w:space="0" w:color="auto"/>
        <w:bottom w:val="none" w:sz="0" w:space="0" w:color="auto"/>
        <w:right w:val="none" w:sz="0" w:space="0" w:color="auto"/>
      </w:divBdr>
    </w:div>
    <w:div w:id="1651715295">
      <w:bodyDiv w:val="1"/>
      <w:marLeft w:val="0"/>
      <w:marRight w:val="0"/>
      <w:marTop w:val="0"/>
      <w:marBottom w:val="0"/>
      <w:divBdr>
        <w:top w:val="none" w:sz="0" w:space="0" w:color="auto"/>
        <w:left w:val="none" w:sz="0" w:space="0" w:color="auto"/>
        <w:bottom w:val="none" w:sz="0" w:space="0" w:color="auto"/>
        <w:right w:val="none" w:sz="0" w:space="0" w:color="auto"/>
      </w:divBdr>
    </w:div>
    <w:div w:id="1660765040">
      <w:bodyDiv w:val="1"/>
      <w:marLeft w:val="0"/>
      <w:marRight w:val="0"/>
      <w:marTop w:val="0"/>
      <w:marBottom w:val="0"/>
      <w:divBdr>
        <w:top w:val="none" w:sz="0" w:space="0" w:color="auto"/>
        <w:left w:val="none" w:sz="0" w:space="0" w:color="auto"/>
        <w:bottom w:val="none" w:sz="0" w:space="0" w:color="auto"/>
        <w:right w:val="none" w:sz="0" w:space="0" w:color="auto"/>
      </w:divBdr>
    </w:div>
    <w:div w:id="1686976428">
      <w:bodyDiv w:val="1"/>
      <w:marLeft w:val="0"/>
      <w:marRight w:val="0"/>
      <w:marTop w:val="0"/>
      <w:marBottom w:val="0"/>
      <w:divBdr>
        <w:top w:val="none" w:sz="0" w:space="0" w:color="auto"/>
        <w:left w:val="none" w:sz="0" w:space="0" w:color="auto"/>
        <w:bottom w:val="none" w:sz="0" w:space="0" w:color="auto"/>
        <w:right w:val="none" w:sz="0" w:space="0" w:color="auto"/>
      </w:divBdr>
    </w:div>
    <w:div w:id="1709404861">
      <w:bodyDiv w:val="1"/>
      <w:marLeft w:val="0"/>
      <w:marRight w:val="0"/>
      <w:marTop w:val="0"/>
      <w:marBottom w:val="0"/>
      <w:divBdr>
        <w:top w:val="none" w:sz="0" w:space="0" w:color="auto"/>
        <w:left w:val="none" w:sz="0" w:space="0" w:color="auto"/>
        <w:bottom w:val="none" w:sz="0" w:space="0" w:color="auto"/>
        <w:right w:val="none" w:sz="0" w:space="0" w:color="auto"/>
      </w:divBdr>
    </w:div>
    <w:div w:id="1724794278">
      <w:bodyDiv w:val="1"/>
      <w:marLeft w:val="0"/>
      <w:marRight w:val="0"/>
      <w:marTop w:val="0"/>
      <w:marBottom w:val="0"/>
      <w:divBdr>
        <w:top w:val="none" w:sz="0" w:space="0" w:color="auto"/>
        <w:left w:val="none" w:sz="0" w:space="0" w:color="auto"/>
        <w:bottom w:val="none" w:sz="0" w:space="0" w:color="auto"/>
        <w:right w:val="none" w:sz="0" w:space="0" w:color="auto"/>
      </w:divBdr>
    </w:div>
    <w:div w:id="1742634316">
      <w:bodyDiv w:val="1"/>
      <w:marLeft w:val="0"/>
      <w:marRight w:val="0"/>
      <w:marTop w:val="0"/>
      <w:marBottom w:val="0"/>
      <w:divBdr>
        <w:top w:val="none" w:sz="0" w:space="0" w:color="auto"/>
        <w:left w:val="none" w:sz="0" w:space="0" w:color="auto"/>
        <w:bottom w:val="none" w:sz="0" w:space="0" w:color="auto"/>
        <w:right w:val="none" w:sz="0" w:space="0" w:color="auto"/>
      </w:divBdr>
    </w:div>
    <w:div w:id="1743134188">
      <w:bodyDiv w:val="1"/>
      <w:marLeft w:val="0"/>
      <w:marRight w:val="0"/>
      <w:marTop w:val="0"/>
      <w:marBottom w:val="0"/>
      <w:divBdr>
        <w:top w:val="none" w:sz="0" w:space="0" w:color="auto"/>
        <w:left w:val="none" w:sz="0" w:space="0" w:color="auto"/>
        <w:bottom w:val="none" w:sz="0" w:space="0" w:color="auto"/>
        <w:right w:val="none" w:sz="0" w:space="0" w:color="auto"/>
      </w:divBdr>
    </w:div>
    <w:div w:id="1802309184">
      <w:bodyDiv w:val="1"/>
      <w:marLeft w:val="0"/>
      <w:marRight w:val="0"/>
      <w:marTop w:val="0"/>
      <w:marBottom w:val="0"/>
      <w:divBdr>
        <w:top w:val="none" w:sz="0" w:space="0" w:color="auto"/>
        <w:left w:val="none" w:sz="0" w:space="0" w:color="auto"/>
        <w:bottom w:val="none" w:sz="0" w:space="0" w:color="auto"/>
        <w:right w:val="none" w:sz="0" w:space="0" w:color="auto"/>
      </w:divBdr>
    </w:div>
    <w:div w:id="1807896276">
      <w:bodyDiv w:val="1"/>
      <w:marLeft w:val="0"/>
      <w:marRight w:val="0"/>
      <w:marTop w:val="0"/>
      <w:marBottom w:val="0"/>
      <w:divBdr>
        <w:top w:val="none" w:sz="0" w:space="0" w:color="auto"/>
        <w:left w:val="none" w:sz="0" w:space="0" w:color="auto"/>
        <w:bottom w:val="none" w:sz="0" w:space="0" w:color="auto"/>
        <w:right w:val="none" w:sz="0" w:space="0" w:color="auto"/>
      </w:divBdr>
    </w:div>
    <w:div w:id="1814247474">
      <w:bodyDiv w:val="1"/>
      <w:marLeft w:val="0"/>
      <w:marRight w:val="0"/>
      <w:marTop w:val="0"/>
      <w:marBottom w:val="0"/>
      <w:divBdr>
        <w:top w:val="none" w:sz="0" w:space="0" w:color="auto"/>
        <w:left w:val="none" w:sz="0" w:space="0" w:color="auto"/>
        <w:bottom w:val="none" w:sz="0" w:space="0" w:color="auto"/>
        <w:right w:val="none" w:sz="0" w:space="0" w:color="auto"/>
      </w:divBdr>
      <w:divsChild>
        <w:div w:id="1539128617">
          <w:marLeft w:val="547"/>
          <w:marRight w:val="0"/>
          <w:marTop w:val="77"/>
          <w:marBottom w:val="0"/>
          <w:divBdr>
            <w:top w:val="none" w:sz="0" w:space="0" w:color="auto"/>
            <w:left w:val="none" w:sz="0" w:space="0" w:color="auto"/>
            <w:bottom w:val="none" w:sz="0" w:space="0" w:color="auto"/>
            <w:right w:val="none" w:sz="0" w:space="0" w:color="auto"/>
          </w:divBdr>
        </w:div>
      </w:divsChild>
    </w:div>
    <w:div w:id="1820271163">
      <w:bodyDiv w:val="1"/>
      <w:marLeft w:val="0"/>
      <w:marRight w:val="0"/>
      <w:marTop w:val="0"/>
      <w:marBottom w:val="0"/>
      <w:divBdr>
        <w:top w:val="none" w:sz="0" w:space="0" w:color="auto"/>
        <w:left w:val="none" w:sz="0" w:space="0" w:color="auto"/>
        <w:bottom w:val="none" w:sz="0" w:space="0" w:color="auto"/>
        <w:right w:val="none" w:sz="0" w:space="0" w:color="auto"/>
      </w:divBdr>
    </w:div>
    <w:div w:id="1849372494">
      <w:bodyDiv w:val="1"/>
      <w:marLeft w:val="0"/>
      <w:marRight w:val="0"/>
      <w:marTop w:val="0"/>
      <w:marBottom w:val="0"/>
      <w:divBdr>
        <w:top w:val="none" w:sz="0" w:space="0" w:color="auto"/>
        <w:left w:val="none" w:sz="0" w:space="0" w:color="auto"/>
        <w:bottom w:val="none" w:sz="0" w:space="0" w:color="auto"/>
        <w:right w:val="none" w:sz="0" w:space="0" w:color="auto"/>
      </w:divBdr>
      <w:divsChild>
        <w:div w:id="1582644131">
          <w:marLeft w:val="547"/>
          <w:marRight w:val="0"/>
          <w:marTop w:val="91"/>
          <w:marBottom w:val="0"/>
          <w:divBdr>
            <w:top w:val="none" w:sz="0" w:space="0" w:color="auto"/>
            <w:left w:val="none" w:sz="0" w:space="0" w:color="auto"/>
            <w:bottom w:val="none" w:sz="0" w:space="0" w:color="auto"/>
            <w:right w:val="none" w:sz="0" w:space="0" w:color="auto"/>
          </w:divBdr>
        </w:div>
      </w:divsChild>
    </w:div>
    <w:div w:id="1852403623">
      <w:bodyDiv w:val="1"/>
      <w:marLeft w:val="0"/>
      <w:marRight w:val="0"/>
      <w:marTop w:val="0"/>
      <w:marBottom w:val="0"/>
      <w:divBdr>
        <w:top w:val="none" w:sz="0" w:space="0" w:color="auto"/>
        <w:left w:val="none" w:sz="0" w:space="0" w:color="auto"/>
        <w:bottom w:val="none" w:sz="0" w:space="0" w:color="auto"/>
        <w:right w:val="none" w:sz="0" w:space="0" w:color="auto"/>
      </w:divBdr>
    </w:div>
    <w:div w:id="1863470314">
      <w:bodyDiv w:val="1"/>
      <w:marLeft w:val="0"/>
      <w:marRight w:val="0"/>
      <w:marTop w:val="0"/>
      <w:marBottom w:val="0"/>
      <w:divBdr>
        <w:top w:val="none" w:sz="0" w:space="0" w:color="auto"/>
        <w:left w:val="none" w:sz="0" w:space="0" w:color="auto"/>
        <w:bottom w:val="none" w:sz="0" w:space="0" w:color="auto"/>
        <w:right w:val="none" w:sz="0" w:space="0" w:color="auto"/>
      </w:divBdr>
    </w:div>
    <w:div w:id="1880972812">
      <w:bodyDiv w:val="1"/>
      <w:marLeft w:val="0"/>
      <w:marRight w:val="0"/>
      <w:marTop w:val="0"/>
      <w:marBottom w:val="0"/>
      <w:divBdr>
        <w:top w:val="none" w:sz="0" w:space="0" w:color="auto"/>
        <w:left w:val="none" w:sz="0" w:space="0" w:color="auto"/>
        <w:bottom w:val="none" w:sz="0" w:space="0" w:color="auto"/>
        <w:right w:val="none" w:sz="0" w:space="0" w:color="auto"/>
      </w:divBdr>
      <w:divsChild>
        <w:div w:id="1071544845">
          <w:marLeft w:val="446"/>
          <w:marRight w:val="0"/>
          <w:marTop w:val="0"/>
          <w:marBottom w:val="0"/>
          <w:divBdr>
            <w:top w:val="none" w:sz="0" w:space="0" w:color="auto"/>
            <w:left w:val="none" w:sz="0" w:space="0" w:color="auto"/>
            <w:bottom w:val="none" w:sz="0" w:space="0" w:color="auto"/>
            <w:right w:val="none" w:sz="0" w:space="0" w:color="auto"/>
          </w:divBdr>
        </w:div>
      </w:divsChild>
    </w:div>
    <w:div w:id="1922368539">
      <w:bodyDiv w:val="1"/>
      <w:marLeft w:val="0"/>
      <w:marRight w:val="0"/>
      <w:marTop w:val="0"/>
      <w:marBottom w:val="0"/>
      <w:divBdr>
        <w:top w:val="none" w:sz="0" w:space="0" w:color="auto"/>
        <w:left w:val="none" w:sz="0" w:space="0" w:color="auto"/>
        <w:bottom w:val="none" w:sz="0" w:space="0" w:color="auto"/>
        <w:right w:val="none" w:sz="0" w:space="0" w:color="auto"/>
      </w:divBdr>
    </w:div>
    <w:div w:id="1925601902">
      <w:bodyDiv w:val="1"/>
      <w:marLeft w:val="0"/>
      <w:marRight w:val="0"/>
      <w:marTop w:val="0"/>
      <w:marBottom w:val="0"/>
      <w:divBdr>
        <w:top w:val="none" w:sz="0" w:space="0" w:color="auto"/>
        <w:left w:val="none" w:sz="0" w:space="0" w:color="auto"/>
        <w:bottom w:val="none" w:sz="0" w:space="0" w:color="auto"/>
        <w:right w:val="none" w:sz="0" w:space="0" w:color="auto"/>
      </w:divBdr>
    </w:div>
    <w:div w:id="1938127266">
      <w:bodyDiv w:val="1"/>
      <w:marLeft w:val="0"/>
      <w:marRight w:val="0"/>
      <w:marTop w:val="0"/>
      <w:marBottom w:val="0"/>
      <w:divBdr>
        <w:top w:val="none" w:sz="0" w:space="0" w:color="auto"/>
        <w:left w:val="none" w:sz="0" w:space="0" w:color="auto"/>
        <w:bottom w:val="none" w:sz="0" w:space="0" w:color="auto"/>
        <w:right w:val="none" w:sz="0" w:space="0" w:color="auto"/>
      </w:divBdr>
      <w:divsChild>
        <w:div w:id="1190072988">
          <w:marLeft w:val="547"/>
          <w:marRight w:val="0"/>
          <w:marTop w:val="77"/>
          <w:marBottom w:val="0"/>
          <w:divBdr>
            <w:top w:val="none" w:sz="0" w:space="0" w:color="auto"/>
            <w:left w:val="none" w:sz="0" w:space="0" w:color="auto"/>
            <w:bottom w:val="none" w:sz="0" w:space="0" w:color="auto"/>
            <w:right w:val="none" w:sz="0" w:space="0" w:color="auto"/>
          </w:divBdr>
        </w:div>
      </w:divsChild>
    </w:div>
    <w:div w:id="1952278709">
      <w:bodyDiv w:val="1"/>
      <w:marLeft w:val="0"/>
      <w:marRight w:val="0"/>
      <w:marTop w:val="0"/>
      <w:marBottom w:val="0"/>
      <w:divBdr>
        <w:top w:val="none" w:sz="0" w:space="0" w:color="auto"/>
        <w:left w:val="none" w:sz="0" w:space="0" w:color="auto"/>
        <w:bottom w:val="none" w:sz="0" w:space="0" w:color="auto"/>
        <w:right w:val="none" w:sz="0" w:space="0" w:color="auto"/>
      </w:divBdr>
    </w:div>
    <w:div w:id="1958364763">
      <w:bodyDiv w:val="1"/>
      <w:marLeft w:val="0"/>
      <w:marRight w:val="0"/>
      <w:marTop w:val="0"/>
      <w:marBottom w:val="0"/>
      <w:divBdr>
        <w:top w:val="none" w:sz="0" w:space="0" w:color="auto"/>
        <w:left w:val="none" w:sz="0" w:space="0" w:color="auto"/>
        <w:bottom w:val="none" w:sz="0" w:space="0" w:color="auto"/>
        <w:right w:val="none" w:sz="0" w:space="0" w:color="auto"/>
      </w:divBdr>
    </w:div>
    <w:div w:id="1958564610">
      <w:bodyDiv w:val="1"/>
      <w:marLeft w:val="0"/>
      <w:marRight w:val="0"/>
      <w:marTop w:val="0"/>
      <w:marBottom w:val="0"/>
      <w:divBdr>
        <w:top w:val="none" w:sz="0" w:space="0" w:color="auto"/>
        <w:left w:val="none" w:sz="0" w:space="0" w:color="auto"/>
        <w:bottom w:val="none" w:sz="0" w:space="0" w:color="auto"/>
        <w:right w:val="none" w:sz="0" w:space="0" w:color="auto"/>
      </w:divBdr>
      <w:divsChild>
        <w:div w:id="1918243661">
          <w:marLeft w:val="720"/>
          <w:marRight w:val="0"/>
          <w:marTop w:val="0"/>
          <w:marBottom w:val="0"/>
          <w:divBdr>
            <w:top w:val="none" w:sz="0" w:space="0" w:color="auto"/>
            <w:left w:val="none" w:sz="0" w:space="0" w:color="auto"/>
            <w:bottom w:val="none" w:sz="0" w:space="0" w:color="auto"/>
            <w:right w:val="none" w:sz="0" w:space="0" w:color="auto"/>
          </w:divBdr>
        </w:div>
      </w:divsChild>
    </w:div>
    <w:div w:id="1961640192">
      <w:bodyDiv w:val="1"/>
      <w:marLeft w:val="0"/>
      <w:marRight w:val="0"/>
      <w:marTop w:val="0"/>
      <w:marBottom w:val="0"/>
      <w:divBdr>
        <w:top w:val="none" w:sz="0" w:space="0" w:color="auto"/>
        <w:left w:val="none" w:sz="0" w:space="0" w:color="auto"/>
        <w:bottom w:val="none" w:sz="0" w:space="0" w:color="auto"/>
        <w:right w:val="none" w:sz="0" w:space="0" w:color="auto"/>
      </w:divBdr>
      <w:divsChild>
        <w:div w:id="94984254">
          <w:marLeft w:val="547"/>
          <w:marRight w:val="0"/>
          <w:marTop w:val="77"/>
          <w:marBottom w:val="0"/>
          <w:divBdr>
            <w:top w:val="none" w:sz="0" w:space="0" w:color="auto"/>
            <w:left w:val="none" w:sz="0" w:space="0" w:color="auto"/>
            <w:bottom w:val="none" w:sz="0" w:space="0" w:color="auto"/>
            <w:right w:val="none" w:sz="0" w:space="0" w:color="auto"/>
          </w:divBdr>
        </w:div>
      </w:divsChild>
    </w:div>
    <w:div w:id="1974602404">
      <w:bodyDiv w:val="1"/>
      <w:marLeft w:val="0"/>
      <w:marRight w:val="0"/>
      <w:marTop w:val="0"/>
      <w:marBottom w:val="0"/>
      <w:divBdr>
        <w:top w:val="none" w:sz="0" w:space="0" w:color="auto"/>
        <w:left w:val="none" w:sz="0" w:space="0" w:color="auto"/>
        <w:bottom w:val="none" w:sz="0" w:space="0" w:color="auto"/>
        <w:right w:val="none" w:sz="0" w:space="0" w:color="auto"/>
      </w:divBdr>
    </w:div>
    <w:div w:id="1978679107">
      <w:bodyDiv w:val="1"/>
      <w:marLeft w:val="0"/>
      <w:marRight w:val="0"/>
      <w:marTop w:val="0"/>
      <w:marBottom w:val="0"/>
      <w:divBdr>
        <w:top w:val="none" w:sz="0" w:space="0" w:color="auto"/>
        <w:left w:val="none" w:sz="0" w:space="0" w:color="auto"/>
        <w:bottom w:val="none" w:sz="0" w:space="0" w:color="auto"/>
        <w:right w:val="none" w:sz="0" w:space="0" w:color="auto"/>
      </w:divBdr>
    </w:div>
    <w:div w:id="1985235808">
      <w:bodyDiv w:val="1"/>
      <w:marLeft w:val="0"/>
      <w:marRight w:val="0"/>
      <w:marTop w:val="0"/>
      <w:marBottom w:val="0"/>
      <w:divBdr>
        <w:top w:val="none" w:sz="0" w:space="0" w:color="auto"/>
        <w:left w:val="none" w:sz="0" w:space="0" w:color="auto"/>
        <w:bottom w:val="none" w:sz="0" w:space="0" w:color="auto"/>
        <w:right w:val="none" w:sz="0" w:space="0" w:color="auto"/>
      </w:divBdr>
    </w:div>
    <w:div w:id="1993831839">
      <w:bodyDiv w:val="1"/>
      <w:marLeft w:val="0"/>
      <w:marRight w:val="0"/>
      <w:marTop w:val="0"/>
      <w:marBottom w:val="0"/>
      <w:divBdr>
        <w:top w:val="none" w:sz="0" w:space="0" w:color="auto"/>
        <w:left w:val="none" w:sz="0" w:space="0" w:color="auto"/>
        <w:bottom w:val="none" w:sz="0" w:space="0" w:color="auto"/>
        <w:right w:val="none" w:sz="0" w:space="0" w:color="auto"/>
      </w:divBdr>
    </w:div>
    <w:div w:id="2001884846">
      <w:bodyDiv w:val="1"/>
      <w:marLeft w:val="0"/>
      <w:marRight w:val="0"/>
      <w:marTop w:val="0"/>
      <w:marBottom w:val="0"/>
      <w:divBdr>
        <w:top w:val="none" w:sz="0" w:space="0" w:color="auto"/>
        <w:left w:val="none" w:sz="0" w:space="0" w:color="auto"/>
        <w:bottom w:val="none" w:sz="0" w:space="0" w:color="auto"/>
        <w:right w:val="none" w:sz="0" w:space="0" w:color="auto"/>
      </w:divBdr>
    </w:div>
    <w:div w:id="2003120646">
      <w:bodyDiv w:val="1"/>
      <w:marLeft w:val="0"/>
      <w:marRight w:val="0"/>
      <w:marTop w:val="0"/>
      <w:marBottom w:val="0"/>
      <w:divBdr>
        <w:top w:val="none" w:sz="0" w:space="0" w:color="auto"/>
        <w:left w:val="none" w:sz="0" w:space="0" w:color="auto"/>
        <w:bottom w:val="none" w:sz="0" w:space="0" w:color="auto"/>
        <w:right w:val="none" w:sz="0" w:space="0" w:color="auto"/>
      </w:divBdr>
      <w:divsChild>
        <w:div w:id="937300131">
          <w:marLeft w:val="547"/>
          <w:marRight w:val="0"/>
          <w:marTop w:val="0"/>
          <w:marBottom w:val="0"/>
          <w:divBdr>
            <w:top w:val="none" w:sz="0" w:space="0" w:color="auto"/>
            <w:left w:val="none" w:sz="0" w:space="0" w:color="auto"/>
            <w:bottom w:val="none" w:sz="0" w:space="0" w:color="auto"/>
            <w:right w:val="none" w:sz="0" w:space="0" w:color="auto"/>
          </w:divBdr>
        </w:div>
        <w:div w:id="249310803">
          <w:marLeft w:val="547"/>
          <w:marRight w:val="0"/>
          <w:marTop w:val="0"/>
          <w:marBottom w:val="0"/>
          <w:divBdr>
            <w:top w:val="none" w:sz="0" w:space="0" w:color="auto"/>
            <w:left w:val="none" w:sz="0" w:space="0" w:color="auto"/>
            <w:bottom w:val="none" w:sz="0" w:space="0" w:color="auto"/>
            <w:right w:val="none" w:sz="0" w:space="0" w:color="auto"/>
          </w:divBdr>
        </w:div>
        <w:div w:id="407507832">
          <w:marLeft w:val="547"/>
          <w:marRight w:val="0"/>
          <w:marTop w:val="0"/>
          <w:marBottom w:val="0"/>
          <w:divBdr>
            <w:top w:val="none" w:sz="0" w:space="0" w:color="auto"/>
            <w:left w:val="none" w:sz="0" w:space="0" w:color="auto"/>
            <w:bottom w:val="none" w:sz="0" w:space="0" w:color="auto"/>
            <w:right w:val="none" w:sz="0" w:space="0" w:color="auto"/>
          </w:divBdr>
        </w:div>
        <w:div w:id="769738423">
          <w:marLeft w:val="547"/>
          <w:marRight w:val="0"/>
          <w:marTop w:val="0"/>
          <w:marBottom w:val="0"/>
          <w:divBdr>
            <w:top w:val="none" w:sz="0" w:space="0" w:color="auto"/>
            <w:left w:val="none" w:sz="0" w:space="0" w:color="auto"/>
            <w:bottom w:val="none" w:sz="0" w:space="0" w:color="auto"/>
            <w:right w:val="none" w:sz="0" w:space="0" w:color="auto"/>
          </w:divBdr>
        </w:div>
      </w:divsChild>
    </w:div>
    <w:div w:id="2010936422">
      <w:bodyDiv w:val="1"/>
      <w:marLeft w:val="0"/>
      <w:marRight w:val="0"/>
      <w:marTop w:val="0"/>
      <w:marBottom w:val="0"/>
      <w:divBdr>
        <w:top w:val="none" w:sz="0" w:space="0" w:color="auto"/>
        <w:left w:val="none" w:sz="0" w:space="0" w:color="auto"/>
        <w:bottom w:val="none" w:sz="0" w:space="0" w:color="auto"/>
        <w:right w:val="none" w:sz="0" w:space="0" w:color="auto"/>
      </w:divBdr>
    </w:div>
    <w:div w:id="2049522215">
      <w:bodyDiv w:val="1"/>
      <w:marLeft w:val="0"/>
      <w:marRight w:val="0"/>
      <w:marTop w:val="0"/>
      <w:marBottom w:val="0"/>
      <w:divBdr>
        <w:top w:val="none" w:sz="0" w:space="0" w:color="auto"/>
        <w:left w:val="none" w:sz="0" w:space="0" w:color="auto"/>
        <w:bottom w:val="none" w:sz="0" w:space="0" w:color="auto"/>
        <w:right w:val="none" w:sz="0" w:space="0" w:color="auto"/>
      </w:divBdr>
    </w:div>
    <w:div w:id="2056813082">
      <w:bodyDiv w:val="1"/>
      <w:marLeft w:val="0"/>
      <w:marRight w:val="0"/>
      <w:marTop w:val="0"/>
      <w:marBottom w:val="0"/>
      <w:divBdr>
        <w:top w:val="none" w:sz="0" w:space="0" w:color="auto"/>
        <w:left w:val="none" w:sz="0" w:space="0" w:color="auto"/>
        <w:bottom w:val="none" w:sz="0" w:space="0" w:color="auto"/>
        <w:right w:val="none" w:sz="0" w:space="0" w:color="auto"/>
      </w:divBdr>
    </w:div>
    <w:div w:id="2059353155">
      <w:bodyDiv w:val="1"/>
      <w:marLeft w:val="0"/>
      <w:marRight w:val="0"/>
      <w:marTop w:val="0"/>
      <w:marBottom w:val="0"/>
      <w:divBdr>
        <w:top w:val="none" w:sz="0" w:space="0" w:color="auto"/>
        <w:left w:val="none" w:sz="0" w:space="0" w:color="auto"/>
        <w:bottom w:val="none" w:sz="0" w:space="0" w:color="auto"/>
        <w:right w:val="none" w:sz="0" w:space="0" w:color="auto"/>
      </w:divBdr>
    </w:div>
    <w:div w:id="2118409180">
      <w:bodyDiv w:val="1"/>
      <w:marLeft w:val="0"/>
      <w:marRight w:val="0"/>
      <w:marTop w:val="0"/>
      <w:marBottom w:val="0"/>
      <w:divBdr>
        <w:top w:val="none" w:sz="0" w:space="0" w:color="auto"/>
        <w:left w:val="none" w:sz="0" w:space="0" w:color="auto"/>
        <w:bottom w:val="none" w:sz="0" w:space="0" w:color="auto"/>
        <w:right w:val="none" w:sz="0" w:space="0" w:color="auto"/>
      </w:divBdr>
      <w:divsChild>
        <w:div w:id="1707174519">
          <w:marLeft w:val="547"/>
          <w:marRight w:val="0"/>
          <w:marTop w:val="91"/>
          <w:marBottom w:val="0"/>
          <w:divBdr>
            <w:top w:val="none" w:sz="0" w:space="0" w:color="auto"/>
            <w:left w:val="none" w:sz="0" w:space="0" w:color="auto"/>
            <w:bottom w:val="none" w:sz="0" w:space="0" w:color="auto"/>
            <w:right w:val="none" w:sz="0" w:space="0" w:color="auto"/>
          </w:divBdr>
        </w:div>
      </w:divsChild>
    </w:div>
    <w:div w:id="21289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yperlink" Target="http://www.csdd.lv"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b&#275;rniem.csdd.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rniem.csdd.lv"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lvceli.lv" TargetMode="External"/><Relationship Id="rId22" Type="http://schemas.openxmlformats.org/officeDocument/2006/relationships/image" Target="media/image6.png"/><Relationship Id="rId27" Type="http://schemas.openxmlformats.org/officeDocument/2006/relationships/hyperlink" Target="http://www.lvceli.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AM_SHARE\USERS\jkalnins\DOKUMENTI\CELU-SATIKSMES-DROSIBA\CSDD-Statistika-CSNg2015\CS2016_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kalnins\Downloads\1460365136451_CS2016_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M_SHARE\USERS\jkalnins\DOKUMENTI\CELU-SATIKSMES-DROSIBA\CSDD-Statistika-CSNg2015\CS2016_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M_SHARE\USERS\jkalnins\DOKUMENTI\CELU-SATIKSMES-DROSIBA\CSDD-Statistika-CSNg2015\CS2016_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AM_SHARE\USERS\jkalnins\DOKUMENTI\CELU-SATIKSMES-DROSIBA\CSDD-Statistika-CSNg2015\CS2016_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00030382010378"/>
          <c:y val="7.612469609087115E-2"/>
          <c:w val="0.82222400656251426"/>
          <c:h val="0.77508781474341537"/>
        </c:manualLayout>
      </c:layout>
      <c:lineChart>
        <c:grouping val="standard"/>
        <c:varyColors val="0"/>
        <c:ser>
          <c:idx val="0"/>
          <c:order val="0"/>
          <c:tx>
            <c:v>Transportlīdzekļi</c:v>
          </c:tx>
          <c:spPr>
            <a:ln w="25400">
              <a:solidFill>
                <a:srgbClr val="3366FF"/>
              </a:solidFill>
              <a:prstDash val="solid"/>
            </a:ln>
          </c:spPr>
          <c:marker>
            <c:symbol val="diamond"/>
            <c:size val="6"/>
            <c:spPr>
              <a:solidFill>
                <a:srgbClr val="FFFFFF"/>
              </a:solidFill>
              <a:ln>
                <a:solidFill>
                  <a:srgbClr val="3366FF"/>
                </a:solidFill>
                <a:prstDash val="solid"/>
              </a:ln>
            </c:spPr>
          </c:marker>
          <c:cat>
            <c:numRef>
              <c:f>LAPA5!$B$8:$B$23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LAPA5!$D$8:$D$23</c:f>
              <c:numCache>
                <c:formatCode>0</c:formatCode>
                <c:ptCount val="16"/>
                <c:pt idx="0">
                  <c:v>100</c:v>
                </c:pt>
                <c:pt idx="1">
                  <c:v>104.73325456958428</c:v>
                </c:pt>
                <c:pt idx="2">
                  <c:v>110.05869404653859</c:v>
                </c:pt>
                <c:pt idx="3">
                  <c:v>114.75625727484227</c:v>
                </c:pt>
                <c:pt idx="4">
                  <c:v>121.59792320097431</c:v>
                </c:pt>
                <c:pt idx="5">
                  <c:v>130.97527682641334</c:v>
                </c:pt>
                <c:pt idx="6">
                  <c:v>144.39143349537687</c:v>
                </c:pt>
                <c:pt idx="7">
                  <c:v>158.86507361885435</c:v>
                </c:pt>
                <c:pt idx="8">
                  <c:v>164.01278478412567</c:v>
                </c:pt>
                <c:pt idx="9">
                  <c:v>158.49956514835216</c:v>
                </c:pt>
                <c:pt idx="10">
                  <c:v>109.46709185494456</c:v>
                </c:pt>
                <c:pt idx="11">
                  <c:v>106.33018715373936</c:v>
                </c:pt>
                <c:pt idx="12">
                  <c:v>108.06522337680879</c:v>
                </c:pt>
                <c:pt idx="13">
                  <c:v>111.31692308588794</c:v>
                </c:pt>
                <c:pt idx="14">
                  <c:v>115.58327663994429</c:v>
                </c:pt>
                <c:pt idx="15">
                  <c:v>119.50495381249081</c:v>
                </c:pt>
              </c:numCache>
            </c:numRef>
          </c:val>
          <c:smooth val="0"/>
          <c:extLst xmlns:c16r2="http://schemas.microsoft.com/office/drawing/2015/06/chart">
            <c:ext xmlns:c16="http://schemas.microsoft.com/office/drawing/2014/chart" uri="{C3380CC4-5D6E-409C-BE32-E72D297353CC}">
              <c16:uniqueId val="{00000000-D1FA-4CBF-9E1A-54DB0161C4B8}"/>
            </c:ext>
          </c:extLst>
        </c:ser>
        <c:ser>
          <c:idx val="1"/>
          <c:order val="1"/>
          <c:tx>
            <c:v>Vadītāji</c:v>
          </c:tx>
          <c:spPr>
            <a:ln w="25400">
              <a:solidFill>
                <a:srgbClr val="000000"/>
              </a:solidFill>
              <a:prstDash val="solid"/>
            </a:ln>
          </c:spPr>
          <c:marker>
            <c:symbol val="square"/>
            <c:size val="4"/>
            <c:spPr>
              <a:solidFill>
                <a:srgbClr val="FFFFFF"/>
              </a:solidFill>
              <a:ln>
                <a:solidFill>
                  <a:srgbClr val="000000"/>
                </a:solidFill>
                <a:prstDash val="solid"/>
              </a:ln>
            </c:spPr>
          </c:marker>
          <c:cat>
            <c:numRef>
              <c:f>LAPA5!$B$8:$B$23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LAPA5!$F$8:$F$23</c:f>
              <c:numCache>
                <c:formatCode>0</c:formatCode>
                <c:ptCount val="16"/>
                <c:pt idx="0">
                  <c:v>100</c:v>
                </c:pt>
                <c:pt idx="1">
                  <c:v>103.75558500169765</c:v>
                </c:pt>
                <c:pt idx="2">
                  <c:v>107.74358419643582</c:v>
                </c:pt>
                <c:pt idx="3">
                  <c:v>111.78476672946508</c:v>
                </c:pt>
                <c:pt idx="4">
                  <c:v>116.87534366352074</c:v>
                </c:pt>
                <c:pt idx="5">
                  <c:v>102.87836039073228</c:v>
                </c:pt>
                <c:pt idx="6">
                  <c:v>107.71278593556103</c:v>
                </c:pt>
                <c:pt idx="7">
                  <c:v>111.0253266869184</c:v>
                </c:pt>
                <c:pt idx="8">
                  <c:v>115.44810718395726</c:v>
                </c:pt>
                <c:pt idx="9">
                  <c:v>118.50885337323587</c:v>
                </c:pt>
                <c:pt idx="10">
                  <c:v>121.07938139063913</c:v>
                </c:pt>
                <c:pt idx="11">
                  <c:v>123.58335511746907</c:v>
                </c:pt>
                <c:pt idx="12">
                  <c:v>125.71925206799054</c:v>
                </c:pt>
                <c:pt idx="13">
                  <c:v>127.35501530898918</c:v>
                </c:pt>
                <c:pt idx="14">
                  <c:v>126.90490999396053</c:v>
                </c:pt>
                <c:pt idx="15">
                  <c:v>126.11121627590434</c:v>
                </c:pt>
              </c:numCache>
            </c:numRef>
          </c:val>
          <c:smooth val="0"/>
          <c:extLst xmlns:c16r2="http://schemas.microsoft.com/office/drawing/2015/06/chart">
            <c:ext xmlns:c16="http://schemas.microsoft.com/office/drawing/2014/chart" uri="{C3380CC4-5D6E-409C-BE32-E72D297353CC}">
              <c16:uniqueId val="{00000001-D1FA-4CBF-9E1A-54DB0161C4B8}"/>
            </c:ext>
          </c:extLst>
        </c:ser>
        <c:ser>
          <c:idx val="2"/>
          <c:order val="2"/>
          <c:tx>
            <c:v>CSNg ar cietušajiem</c:v>
          </c:tx>
          <c:spPr>
            <a:ln w="25400">
              <a:solidFill>
                <a:srgbClr val="339933"/>
              </a:solidFill>
              <a:prstDash val="solid"/>
            </a:ln>
          </c:spPr>
          <c:marker>
            <c:symbol val="triangle"/>
            <c:size val="5"/>
            <c:spPr>
              <a:solidFill>
                <a:srgbClr val="FFFFFF"/>
              </a:solidFill>
              <a:ln>
                <a:solidFill>
                  <a:srgbClr val="339933"/>
                </a:solidFill>
                <a:prstDash val="solid"/>
              </a:ln>
            </c:spPr>
          </c:marker>
          <c:cat>
            <c:numRef>
              <c:f>LAPA5!$B$8:$B$23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LAPA5!$H$8:$H$23</c:f>
              <c:numCache>
                <c:formatCode>0</c:formatCode>
                <c:ptCount val="16"/>
                <c:pt idx="0">
                  <c:v>100</c:v>
                </c:pt>
                <c:pt idx="1">
                  <c:v>106.33645693886658</c:v>
                </c:pt>
                <c:pt idx="2">
                  <c:v>113.40919232485497</c:v>
                </c:pt>
                <c:pt idx="3">
                  <c:v>120.01338688085676</c:v>
                </c:pt>
                <c:pt idx="4">
                  <c:v>113.36456938866577</c:v>
                </c:pt>
                <c:pt idx="5">
                  <c:v>99.64301651048639</c:v>
                </c:pt>
                <c:pt idx="6">
                  <c:v>95.983935742971894</c:v>
                </c:pt>
                <c:pt idx="7">
                  <c:v>106.67112896028559</c:v>
                </c:pt>
                <c:pt idx="8">
                  <c:v>93.618920124944225</c:v>
                </c:pt>
                <c:pt idx="9">
                  <c:v>70.504239178937979</c:v>
                </c:pt>
                <c:pt idx="10">
                  <c:v>71.240517626059798</c:v>
                </c:pt>
                <c:pt idx="11">
                  <c:v>75.546630968317714</c:v>
                </c:pt>
                <c:pt idx="12">
                  <c:v>74.921909861668894</c:v>
                </c:pt>
                <c:pt idx="13">
                  <c:v>77.844712182061585</c:v>
                </c:pt>
                <c:pt idx="14">
                  <c:v>83.177153056671131</c:v>
                </c:pt>
                <c:pt idx="15">
                  <c:v>82.373940205265512</c:v>
                </c:pt>
              </c:numCache>
            </c:numRef>
          </c:val>
          <c:smooth val="0"/>
          <c:extLst xmlns:c16r2="http://schemas.microsoft.com/office/drawing/2015/06/chart">
            <c:ext xmlns:c16="http://schemas.microsoft.com/office/drawing/2014/chart" uri="{C3380CC4-5D6E-409C-BE32-E72D297353CC}">
              <c16:uniqueId val="{00000002-D1FA-4CBF-9E1A-54DB0161C4B8}"/>
            </c:ext>
          </c:extLst>
        </c:ser>
        <c:ser>
          <c:idx val="3"/>
          <c:order val="3"/>
          <c:tx>
            <c:v>Bojā gājušie</c:v>
          </c:tx>
          <c:spPr>
            <a:ln w="25400">
              <a:solidFill>
                <a:srgbClr val="FF0000"/>
              </a:solidFill>
              <a:prstDash val="solid"/>
            </a:ln>
          </c:spPr>
          <c:marker>
            <c:symbol val="square"/>
            <c:size val="4"/>
            <c:spPr>
              <a:solidFill>
                <a:srgbClr val="FFFFFF"/>
              </a:solidFill>
              <a:ln>
                <a:solidFill>
                  <a:srgbClr val="FF0000"/>
                </a:solidFill>
                <a:prstDash val="solid"/>
              </a:ln>
            </c:spPr>
          </c:marker>
          <c:cat>
            <c:numRef>
              <c:f>LAPA5!$B$8:$B$23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LAPA5!$J$8:$J$23</c:f>
              <c:numCache>
                <c:formatCode>0</c:formatCode>
                <c:ptCount val="16"/>
                <c:pt idx="0">
                  <c:v>100.00629921259842</c:v>
                </c:pt>
                <c:pt idx="1">
                  <c:v>87.930708661417327</c:v>
                </c:pt>
                <c:pt idx="2">
                  <c:v>88.10078740157482</c:v>
                </c:pt>
                <c:pt idx="3">
                  <c:v>83.848818897637813</c:v>
                </c:pt>
                <c:pt idx="4">
                  <c:v>81.259842519685037</c:v>
                </c:pt>
                <c:pt idx="5">
                  <c:v>69.606299212598429</c:v>
                </c:pt>
                <c:pt idx="6">
                  <c:v>64.094488188976385</c:v>
                </c:pt>
                <c:pt idx="7">
                  <c:v>65.984251968503941</c:v>
                </c:pt>
                <c:pt idx="8">
                  <c:v>49.763779527559052</c:v>
                </c:pt>
                <c:pt idx="9">
                  <c:v>40</c:v>
                </c:pt>
                <c:pt idx="10">
                  <c:v>34.330708661417326</c:v>
                </c:pt>
                <c:pt idx="11">
                  <c:v>28.188976377952756</c:v>
                </c:pt>
                <c:pt idx="12">
                  <c:v>27.874015748031496</c:v>
                </c:pt>
                <c:pt idx="13">
                  <c:v>28.188976377952756</c:v>
                </c:pt>
                <c:pt idx="14">
                  <c:v>33.385826771653541</c:v>
                </c:pt>
                <c:pt idx="15">
                  <c:v>29.606299212598426</c:v>
                </c:pt>
              </c:numCache>
            </c:numRef>
          </c:val>
          <c:smooth val="0"/>
          <c:extLst xmlns:c16r2="http://schemas.microsoft.com/office/drawing/2015/06/chart">
            <c:ext xmlns:c16="http://schemas.microsoft.com/office/drawing/2014/chart" uri="{C3380CC4-5D6E-409C-BE32-E72D297353CC}">
              <c16:uniqueId val="{00000003-D1FA-4CBF-9E1A-54DB0161C4B8}"/>
            </c:ext>
          </c:extLst>
        </c:ser>
        <c:dLbls>
          <c:showLegendKey val="0"/>
          <c:showVal val="0"/>
          <c:showCatName val="0"/>
          <c:showSerName val="0"/>
          <c:showPercent val="0"/>
          <c:showBubbleSize val="0"/>
        </c:dLbls>
        <c:marker val="1"/>
        <c:smooth val="0"/>
        <c:axId val="518998056"/>
        <c:axId val="518992960"/>
      </c:lineChart>
      <c:catAx>
        <c:axId val="518998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Times New Roman"/>
                <a:ea typeface="Times New Roman"/>
                <a:cs typeface="Times New Roman"/>
              </a:defRPr>
            </a:pPr>
            <a:endParaRPr lang="lv-LV"/>
          </a:p>
        </c:txPr>
        <c:crossAx val="518992960"/>
        <c:crossesAt val="25"/>
        <c:auto val="1"/>
        <c:lblAlgn val="ctr"/>
        <c:lblOffset val="100"/>
        <c:tickLblSkip val="1"/>
        <c:tickMarkSkip val="1"/>
        <c:noMultiLvlLbl val="0"/>
      </c:catAx>
      <c:valAx>
        <c:axId val="518992960"/>
        <c:scaling>
          <c:orientation val="minMax"/>
          <c:max val="175"/>
          <c:min val="25"/>
        </c:scaling>
        <c:delete val="0"/>
        <c:axPos val="l"/>
        <c:majorGridlines>
          <c:spPr>
            <a:ln w="3175">
              <a:solidFill>
                <a:srgbClr val="000000"/>
              </a:solidFill>
              <a:prstDash val="sysDash"/>
            </a:ln>
          </c:spPr>
        </c:majorGridlines>
        <c:title>
          <c:tx>
            <c:rich>
              <a:bodyPr/>
              <a:lstStyle/>
              <a:p>
                <a:pPr>
                  <a:defRPr sz="800" b="1" i="0" u="none" strike="noStrike" baseline="0">
                    <a:solidFill>
                      <a:srgbClr val="000000"/>
                    </a:solidFill>
                    <a:latin typeface="Times New Roman"/>
                    <a:ea typeface="Times New Roman"/>
                    <a:cs typeface="Times New Roman"/>
                  </a:defRPr>
                </a:pPr>
                <a:r>
                  <a:rPr lang="lv-LV"/>
                  <a:t>%</a:t>
                </a:r>
              </a:p>
            </c:rich>
          </c:tx>
          <c:layout>
            <c:manualLayout>
              <c:xMode val="edge"/>
              <c:yMode val="edge"/>
              <c:x val="3.7777777777777778E-2"/>
              <c:y val="0.43944712919468759"/>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v-LV"/>
          </a:p>
        </c:txPr>
        <c:crossAx val="518998056"/>
        <c:crossesAt val="1"/>
        <c:crossBetween val="between"/>
        <c:majorUnit val="25"/>
      </c:valAx>
      <c:spPr>
        <a:noFill/>
        <a:ln w="25400">
          <a:noFill/>
        </a:ln>
      </c:spPr>
    </c:plotArea>
    <c:legend>
      <c:legendPos val="r"/>
      <c:layout>
        <c:manualLayout>
          <c:xMode val="edge"/>
          <c:yMode val="edge"/>
          <c:x val="0.14444467774861475"/>
          <c:y val="0.61188018879614292"/>
          <c:w val="0.32666759988334793"/>
          <c:h val="0.22145382041837047"/>
        </c:manualLayout>
      </c:layout>
      <c:overlay val="0"/>
      <c:spPr>
        <a:noFill/>
        <a:ln w="25400">
          <a:noFill/>
        </a:ln>
      </c:spPr>
      <c:txPr>
        <a:bodyPr/>
        <a:lstStyle/>
        <a:p>
          <a:pPr>
            <a:defRPr sz="735"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FFFFFF" mc:Ignorable="a14" a14:legacySpreadsheetColorIndex="9"/>
        </a:gs>
      </a:gsLst>
      <a:lin ang="0" scaled="1"/>
    </a:gradFill>
    <a:ln w="9525">
      <a:noFill/>
    </a:ln>
  </c:spPr>
  <c:txPr>
    <a:bodyPr/>
    <a:lstStyle/>
    <a:p>
      <a:pPr algn="just">
        <a:defRPr sz="925" b="0" i="0" u="none" strike="noStrike" baseline="0">
          <a:solidFill>
            <a:srgbClr val="000000"/>
          </a:solidFill>
          <a:latin typeface="Arial"/>
          <a:ea typeface="Arial"/>
          <a:cs typeface="Arial"/>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228385161578973E-2"/>
          <c:y val="3.403145711236235E-2"/>
          <c:w val="0.90715507746366875"/>
          <c:h val="0.74869205647197168"/>
        </c:manualLayout>
      </c:layout>
      <c:lineChart>
        <c:grouping val="standard"/>
        <c:varyColors val="0"/>
        <c:ser>
          <c:idx val="1"/>
          <c:order val="0"/>
          <c:tx>
            <c:v>CSNg ar cietušjiem</c:v>
          </c:tx>
          <c:spPr>
            <a:ln w="25400">
              <a:solidFill>
                <a:srgbClr val="0000FF"/>
              </a:solidFill>
              <a:prstDash val="solid"/>
            </a:ln>
          </c:spPr>
          <c:marker>
            <c:symbol val="square"/>
            <c:size val="4"/>
            <c:spPr>
              <a:solidFill>
                <a:srgbClr val="FFFFFF"/>
              </a:solidFill>
              <a:ln>
                <a:solidFill>
                  <a:srgbClr val="0070C0"/>
                </a:solidFill>
                <a:prstDash val="solid"/>
              </a:ln>
            </c:spPr>
          </c:marker>
          <c:dPt>
            <c:idx val="22"/>
            <c:bubble3D val="0"/>
            <c:spPr>
              <a:ln w="25400">
                <a:solidFill>
                  <a:srgbClr val="0000FF"/>
                </a:solidFill>
                <a:prstDash val="solid"/>
              </a:ln>
            </c:spPr>
            <c:extLst xmlns:c16r2="http://schemas.microsoft.com/office/drawing/2015/06/chart">
              <c:ext xmlns:c16="http://schemas.microsoft.com/office/drawing/2014/chart" uri="{C3380CC4-5D6E-409C-BE32-E72D297353CC}">
                <c16:uniqueId val="{00000001-D639-46C7-BD50-613D950C683E}"/>
              </c:ext>
            </c:extLst>
          </c:dPt>
          <c:dPt>
            <c:idx val="24"/>
            <c:bubble3D val="0"/>
            <c:spPr>
              <a:ln w="25400">
                <a:solidFill>
                  <a:srgbClr val="0070C0"/>
                </a:solidFill>
                <a:prstDash val="solid"/>
              </a:ln>
            </c:spPr>
            <c:extLst xmlns:c16r2="http://schemas.microsoft.com/office/drawing/2015/06/chart">
              <c:ext xmlns:c16="http://schemas.microsoft.com/office/drawing/2014/chart" uri="{C3380CC4-5D6E-409C-BE32-E72D297353CC}">
                <c16:uniqueId val="{00000003-D639-46C7-BD50-613D950C683E}"/>
              </c:ext>
            </c:extLst>
          </c:dPt>
          <c:cat>
            <c:numRef>
              <c:f>LAPA5!$A$8:$A$38</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LAPA5!$C$8:$C$38</c:f>
              <c:numCache>
                <c:formatCode>0</c:formatCode>
                <c:ptCount val="31"/>
                <c:pt idx="0">
                  <c:v>100</c:v>
                </c:pt>
                <c:pt idx="1">
                  <c:v>99.28324926997611</c:v>
                </c:pt>
                <c:pt idx="2">
                  <c:v>97.026811786567563</c:v>
                </c:pt>
                <c:pt idx="3">
                  <c:v>107.14096097690469</c:v>
                </c:pt>
                <c:pt idx="4">
                  <c:v>122.11308733740377</c:v>
                </c:pt>
                <c:pt idx="5">
                  <c:v>114.81284842049376</c:v>
                </c:pt>
                <c:pt idx="6">
                  <c:v>113.37934696044597</c:v>
                </c:pt>
                <c:pt idx="7">
                  <c:v>92.221927263074065</c:v>
                </c:pt>
                <c:pt idx="8">
                  <c:v>89.965489779665518</c:v>
                </c:pt>
                <c:pt idx="9">
                  <c:v>101.24767719670825</c:v>
                </c:pt>
                <c:pt idx="10">
                  <c:v>107.67188744358906</c:v>
                </c:pt>
                <c:pt idx="11">
                  <c:v>98.513405893283775</c:v>
                </c:pt>
                <c:pt idx="12">
                  <c:v>104.19431908680647</c:v>
                </c:pt>
                <c:pt idx="13">
                  <c:v>120.52030793735068</c:v>
                </c:pt>
                <c:pt idx="14">
                  <c:v>117.9187682505973</c:v>
                </c:pt>
                <c:pt idx="15">
                  <c:v>118.98062118396602</c:v>
                </c:pt>
                <c:pt idx="16">
                  <c:v>126.519777010884</c:v>
                </c:pt>
                <c:pt idx="17">
                  <c:v>134.93496150783116</c:v>
                </c:pt>
                <c:pt idx="18">
                  <c:v>142.79267321475976</c:v>
                </c:pt>
                <c:pt idx="19">
                  <c:v>134.88186886116273</c:v>
                </c:pt>
                <c:pt idx="20">
                  <c:v>118.55588001061852</c:v>
                </c:pt>
                <c:pt idx="21">
                  <c:v>114.20228298380674</c:v>
                </c:pt>
                <c:pt idx="22">
                  <c:v>126.91797186089727</c:v>
                </c:pt>
                <c:pt idx="23">
                  <c:v>111.38837271037961</c:v>
                </c:pt>
                <c:pt idx="24">
                  <c:v>83.88638173612955</c:v>
                </c:pt>
                <c:pt idx="25">
                  <c:v>84.76241040615875</c:v>
                </c:pt>
                <c:pt idx="26">
                  <c:v>89.885850809662855</c:v>
                </c:pt>
                <c:pt idx="27">
                  <c:v>89.14255375630475</c:v>
                </c:pt>
                <c:pt idx="28">
                  <c:v>92.620122113087334</c:v>
                </c:pt>
                <c:pt idx="29">
                  <c:v>98.96469338996549</c:v>
                </c:pt>
                <c:pt idx="30">
                  <c:v>98.009025749933627</c:v>
                </c:pt>
              </c:numCache>
            </c:numRef>
          </c:val>
          <c:smooth val="0"/>
          <c:extLst xmlns:c16r2="http://schemas.microsoft.com/office/drawing/2015/06/chart">
            <c:ext xmlns:c16="http://schemas.microsoft.com/office/drawing/2014/chart" uri="{C3380CC4-5D6E-409C-BE32-E72D297353CC}">
              <c16:uniqueId val="{00000004-D639-46C7-BD50-613D950C683E}"/>
            </c:ext>
          </c:extLst>
        </c:ser>
        <c:ser>
          <c:idx val="3"/>
          <c:order val="1"/>
          <c:tx>
            <c:v>Bojā gājušie</c:v>
          </c:tx>
          <c:spPr>
            <a:ln w="25400">
              <a:solidFill>
                <a:srgbClr val="FF0000"/>
              </a:solidFill>
              <a:prstDash val="solid"/>
            </a:ln>
          </c:spPr>
          <c:marker>
            <c:symbol val="diamond"/>
            <c:size val="5"/>
            <c:spPr>
              <a:solidFill>
                <a:srgbClr val="FFFFFF"/>
              </a:solidFill>
              <a:ln>
                <a:solidFill>
                  <a:srgbClr val="FF0000"/>
                </a:solidFill>
                <a:prstDash val="solid"/>
              </a:ln>
            </c:spPr>
          </c:marker>
          <c:cat>
            <c:numRef>
              <c:f>LAPA5!$A$8:$A$38</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LAPA5!$E$8:$E$38</c:f>
              <c:numCache>
                <c:formatCode>0</c:formatCode>
                <c:ptCount val="31"/>
                <c:pt idx="0">
                  <c:v>100.02061855670104</c:v>
                </c:pt>
                <c:pt idx="1">
                  <c:v>87.402061855670098</c:v>
                </c:pt>
                <c:pt idx="2">
                  <c:v>95.010309278350519</c:v>
                </c:pt>
                <c:pt idx="3">
                  <c:v>107.0721649484536</c:v>
                </c:pt>
                <c:pt idx="4">
                  <c:v>148.82474226804123</c:v>
                </c:pt>
                <c:pt idx="5">
                  <c:v>162.74226804123711</c:v>
                </c:pt>
                <c:pt idx="6">
                  <c:v>171.27835051546393</c:v>
                </c:pt>
                <c:pt idx="7">
                  <c:v>135.27835051546393</c:v>
                </c:pt>
                <c:pt idx="8">
                  <c:v>124.32989690721649</c:v>
                </c:pt>
                <c:pt idx="9">
                  <c:v>133.05154639175257</c:v>
                </c:pt>
                <c:pt idx="10">
                  <c:v>113.38144329896907</c:v>
                </c:pt>
                <c:pt idx="11">
                  <c:v>102.0618556701031</c:v>
                </c:pt>
                <c:pt idx="12">
                  <c:v>97.422680412371136</c:v>
                </c:pt>
                <c:pt idx="13">
                  <c:v>116.35051546391753</c:v>
                </c:pt>
                <c:pt idx="14">
                  <c:v>112.08247422680414</c:v>
                </c:pt>
                <c:pt idx="15">
                  <c:v>109.11340206185567</c:v>
                </c:pt>
                <c:pt idx="16">
                  <c:v>95.9381443298969</c:v>
                </c:pt>
                <c:pt idx="17">
                  <c:v>96.123711340206199</c:v>
                </c:pt>
                <c:pt idx="18">
                  <c:v>91.484536082474236</c:v>
                </c:pt>
                <c:pt idx="19">
                  <c:v>88.659793814432987</c:v>
                </c:pt>
                <c:pt idx="20">
                  <c:v>75.945017182130584</c:v>
                </c:pt>
                <c:pt idx="21">
                  <c:v>69.93127147766323</c:v>
                </c:pt>
                <c:pt idx="22">
                  <c:v>71.993127147766316</c:v>
                </c:pt>
                <c:pt idx="23">
                  <c:v>54.295532646048109</c:v>
                </c:pt>
                <c:pt idx="24">
                  <c:v>43.642611683848799</c:v>
                </c:pt>
                <c:pt idx="25">
                  <c:v>37.457044673539521</c:v>
                </c:pt>
                <c:pt idx="26">
                  <c:v>30.749673606816465</c:v>
                </c:pt>
                <c:pt idx="27">
                  <c:v>30.406101834673262</c:v>
                </c:pt>
                <c:pt idx="28">
                  <c:v>30.749673606816465</c:v>
                </c:pt>
                <c:pt idx="29">
                  <c:v>36.418607847179274</c:v>
                </c:pt>
                <c:pt idx="30">
                  <c:v>32.295746581460868</c:v>
                </c:pt>
              </c:numCache>
            </c:numRef>
          </c:val>
          <c:smooth val="0"/>
          <c:extLst xmlns:c16r2="http://schemas.microsoft.com/office/drawing/2015/06/chart">
            <c:ext xmlns:c16="http://schemas.microsoft.com/office/drawing/2014/chart" uri="{C3380CC4-5D6E-409C-BE32-E72D297353CC}">
              <c16:uniqueId val="{00000005-D639-46C7-BD50-613D950C683E}"/>
            </c:ext>
          </c:extLst>
        </c:ser>
        <c:ser>
          <c:idx val="8"/>
          <c:order val="2"/>
          <c:tx>
            <c:v>Ievainoto kopskaits</c:v>
          </c:tx>
          <c:spPr>
            <a:ln w="25400">
              <a:solidFill>
                <a:srgbClr val="008000"/>
              </a:solidFill>
              <a:prstDash val="solid"/>
            </a:ln>
          </c:spPr>
          <c:marker>
            <c:symbol val="diamond"/>
            <c:size val="5"/>
            <c:spPr>
              <a:solidFill>
                <a:srgbClr val="FFFFFF"/>
              </a:solidFill>
              <a:ln>
                <a:solidFill>
                  <a:srgbClr val="008000"/>
                </a:solidFill>
                <a:prstDash val="solid"/>
              </a:ln>
            </c:spPr>
          </c:marker>
          <c:cat>
            <c:numRef>
              <c:f>LAPA5!$A$8:$A$38</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LAPA5!$H$8:$H$38</c:f>
              <c:numCache>
                <c:formatCode>0</c:formatCode>
                <c:ptCount val="31"/>
                <c:pt idx="0">
                  <c:v>99.997088085416166</c:v>
                </c:pt>
                <c:pt idx="1">
                  <c:v>98.284882310118903</c:v>
                </c:pt>
                <c:pt idx="2">
                  <c:v>96.264013588934731</c:v>
                </c:pt>
                <c:pt idx="3">
                  <c:v>109.9694248968697</c:v>
                </c:pt>
                <c:pt idx="4">
                  <c:v>119.45741324921136</c:v>
                </c:pt>
                <c:pt idx="5">
                  <c:v>112.73574375151662</c:v>
                </c:pt>
                <c:pt idx="6">
                  <c:v>108.44843484591118</c:v>
                </c:pt>
                <c:pt idx="7">
                  <c:v>89.970395535064299</c:v>
                </c:pt>
                <c:pt idx="8">
                  <c:v>88.992962873089056</c:v>
                </c:pt>
                <c:pt idx="9">
                  <c:v>104.89298713904394</c:v>
                </c:pt>
                <c:pt idx="10">
                  <c:v>117.7898568308663</c:v>
                </c:pt>
                <c:pt idx="11">
                  <c:v>103.85828682358651</c:v>
                </c:pt>
                <c:pt idx="12">
                  <c:v>112.39990293618054</c:v>
                </c:pt>
                <c:pt idx="13">
                  <c:v>130.15869934481921</c:v>
                </c:pt>
                <c:pt idx="14">
                  <c:v>126.07813637466634</c:v>
                </c:pt>
                <c:pt idx="15">
                  <c:v>131.08371754428538</c:v>
                </c:pt>
                <c:pt idx="16">
                  <c:v>141.00072797864595</c:v>
                </c:pt>
                <c:pt idx="17">
                  <c:v>151.86993448192186</c:v>
                </c:pt>
                <c:pt idx="18">
                  <c:v>160.14462509099732</c:v>
                </c:pt>
                <c:pt idx="19">
                  <c:v>155.69036641591848</c:v>
                </c:pt>
                <c:pt idx="20">
                  <c:v>135.88934724581412</c:v>
                </c:pt>
                <c:pt idx="21">
                  <c:v>131.13322009221062</c:v>
                </c:pt>
                <c:pt idx="22">
                  <c:v>147.7311332200922</c:v>
                </c:pt>
                <c:pt idx="23">
                  <c:v>131.23028391167193</c:v>
                </c:pt>
                <c:pt idx="24">
                  <c:v>95.365202620723124</c:v>
                </c:pt>
                <c:pt idx="25">
                  <c:v>97.62193642319825</c:v>
                </c:pt>
                <c:pt idx="26">
                  <c:v>102.502378132826</c:v>
                </c:pt>
                <c:pt idx="27">
                  <c:v>101.41037836578595</c:v>
                </c:pt>
                <c:pt idx="28">
                  <c:v>105.26877754266079</c:v>
                </c:pt>
                <c:pt idx="29">
                  <c:v>111.6994428374522</c:v>
                </c:pt>
                <c:pt idx="30">
                  <c:v>110.80157636233038</c:v>
                </c:pt>
              </c:numCache>
            </c:numRef>
          </c:val>
          <c:smooth val="0"/>
          <c:extLst xmlns:c16r2="http://schemas.microsoft.com/office/drawing/2015/06/chart">
            <c:ext xmlns:c16="http://schemas.microsoft.com/office/drawing/2014/chart" uri="{C3380CC4-5D6E-409C-BE32-E72D297353CC}">
              <c16:uniqueId val="{00000006-D639-46C7-BD50-613D950C683E}"/>
            </c:ext>
          </c:extLst>
        </c:ser>
        <c:ser>
          <c:idx val="7"/>
          <c:order val="3"/>
          <c:tx>
            <c:v>Smagi ievainoti</c:v>
          </c:tx>
          <c:spPr>
            <a:ln w="25400">
              <a:solidFill>
                <a:srgbClr val="800000"/>
              </a:solidFill>
              <a:prstDash val="solid"/>
            </a:ln>
          </c:spPr>
          <c:marker>
            <c:symbol val="triangle"/>
            <c:size val="5"/>
            <c:spPr>
              <a:solidFill>
                <a:srgbClr val="FFFFFF"/>
              </a:solidFill>
              <a:ln>
                <a:solidFill>
                  <a:srgbClr val="800000"/>
                </a:solidFill>
                <a:prstDash val="solid"/>
              </a:ln>
            </c:spPr>
          </c:marker>
          <c:dPt>
            <c:idx val="19"/>
            <c:bubble3D val="0"/>
            <c:spPr>
              <a:ln w="25400">
                <a:noFill/>
                <a:prstDash val="solid"/>
              </a:ln>
            </c:spPr>
            <c:extLst xmlns:c16r2="http://schemas.microsoft.com/office/drawing/2015/06/chart">
              <c:ext xmlns:c16="http://schemas.microsoft.com/office/drawing/2014/chart" uri="{C3380CC4-5D6E-409C-BE32-E72D297353CC}">
                <c16:uniqueId val="{00000008-D639-46C7-BD50-613D950C683E}"/>
              </c:ext>
            </c:extLst>
          </c:dPt>
          <c:cat>
            <c:numRef>
              <c:f>LAPA5!$A$8:$A$38</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LAPA5!$J$8:$J$38</c:f>
              <c:numCache>
                <c:formatCode>0</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100</c:v>
                </c:pt>
                <c:pt idx="20">
                  <c:v>66.284779050736503</c:v>
                </c:pt>
                <c:pt idx="21">
                  <c:v>51.554828150572831</c:v>
                </c:pt>
                <c:pt idx="22">
                  <c:v>52.209492635024553</c:v>
                </c:pt>
                <c:pt idx="23">
                  <c:v>64.729950900163672</c:v>
                </c:pt>
                <c:pt idx="24">
                  <c:v>55.728314238952535</c:v>
                </c:pt>
                <c:pt idx="25">
                  <c:v>46.56301145662848</c:v>
                </c:pt>
                <c:pt idx="26">
                  <c:v>43.453355155482818</c:v>
                </c:pt>
                <c:pt idx="27">
                  <c:v>40.343698854337156</c:v>
                </c:pt>
                <c:pt idx="28">
                  <c:v>36.988543371522098</c:v>
                </c:pt>
                <c:pt idx="29">
                  <c:v>35.51554828150573</c:v>
                </c:pt>
                <c:pt idx="30">
                  <c:v>39.198036006546644</c:v>
                </c:pt>
              </c:numCache>
            </c:numRef>
          </c:val>
          <c:smooth val="0"/>
          <c:extLst xmlns:c16r2="http://schemas.microsoft.com/office/drawing/2015/06/chart">
            <c:ext xmlns:c16="http://schemas.microsoft.com/office/drawing/2014/chart" uri="{C3380CC4-5D6E-409C-BE32-E72D297353CC}">
              <c16:uniqueId val="{00000009-D639-46C7-BD50-613D950C683E}"/>
            </c:ext>
          </c:extLst>
        </c:ser>
        <c:dLbls>
          <c:showLegendKey val="0"/>
          <c:showVal val="0"/>
          <c:showCatName val="0"/>
          <c:showSerName val="0"/>
          <c:showPercent val="0"/>
          <c:showBubbleSize val="0"/>
        </c:dLbls>
        <c:marker val="1"/>
        <c:smooth val="0"/>
        <c:axId val="518986688"/>
        <c:axId val="518987080"/>
      </c:lineChart>
      <c:catAx>
        <c:axId val="518986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lv-LV"/>
          </a:p>
        </c:txPr>
        <c:crossAx val="518987080"/>
        <c:crossesAt val="25"/>
        <c:auto val="1"/>
        <c:lblAlgn val="ctr"/>
        <c:lblOffset val="100"/>
        <c:tickLblSkip val="1"/>
        <c:tickMarkSkip val="1"/>
        <c:noMultiLvlLbl val="0"/>
      </c:catAx>
      <c:valAx>
        <c:axId val="518987080"/>
        <c:scaling>
          <c:orientation val="minMax"/>
          <c:max val="175"/>
          <c:min val="25"/>
        </c:scaling>
        <c:delete val="0"/>
        <c:axPos val="l"/>
        <c:majorGridlines>
          <c:spPr>
            <a:ln w="3175">
              <a:solidFill>
                <a:srgbClr val="00000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a:pPr>
            <a:endParaRPr lang="lv-LV"/>
          </a:p>
        </c:txPr>
        <c:crossAx val="518986688"/>
        <c:crosses val="autoZero"/>
        <c:crossBetween val="between"/>
        <c:majorUnit val="25"/>
      </c:valAx>
      <c:spPr>
        <a:noFill/>
        <a:ln w="25400">
          <a:noFill/>
        </a:ln>
      </c:spPr>
    </c:plotArea>
    <c:legend>
      <c:legendPos val="b"/>
      <c:layout>
        <c:manualLayout>
          <c:xMode val="edge"/>
          <c:yMode val="edge"/>
          <c:x val="3.1963470319634701E-2"/>
          <c:y val="0.89528905745420562"/>
          <c:w val="0.94216277759800571"/>
          <c:h val="7.3298429319371694E-2"/>
        </c:manualLayout>
      </c:layout>
      <c:overlay val="0"/>
      <c:spPr>
        <a:noFill/>
        <a:ln w="25400">
          <a:noFill/>
        </a:ln>
      </c:spPr>
    </c:legend>
    <c:plotVisOnly val="1"/>
    <c:dispBlanksAs val="gap"/>
    <c:showDLblsOverMax val="0"/>
  </c:chart>
  <c:spPr>
    <a:gradFill rotWithShape="0">
      <a:gsLst>
        <a:gs pos="0">
          <a:srgbClr val="FFFFFF"/>
        </a:gs>
        <a:gs pos="100000">
          <a:srgbClr val="CCFFCC"/>
        </a:gs>
      </a:gsLst>
      <a:lin ang="5400000" scaled="1"/>
    </a:gradFill>
    <a:ln w="3175">
      <a:solidFill>
        <a:srgbClr val="000000"/>
      </a:solidFill>
      <a:prstDash val="solid"/>
    </a:ln>
  </c:spPr>
  <c:txPr>
    <a:bodyPr/>
    <a:lstStyle/>
    <a:p>
      <a:pPr>
        <a:defRPr sz="1000" b="1" i="0" u="none" strike="noStrike" baseline="0">
          <a:solidFill>
            <a:srgbClr val="000000"/>
          </a:solidFill>
          <a:latin typeface="Times New Roman" panose="02020603050405020304" pitchFamily="18" charset="0"/>
          <a:ea typeface="Tahoma" panose="020B0604030504040204" pitchFamily="34" charset="0"/>
          <a:cs typeface="Tahoma" panose="020B0604030504040204"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041509218853836E-2"/>
          <c:y val="0.12084609971868468"/>
          <c:w val="0.95545458227513902"/>
          <c:h val="0.71601314083320666"/>
        </c:manualLayout>
      </c:layout>
      <c:barChart>
        <c:barDir val="col"/>
        <c:grouping val="clustered"/>
        <c:varyColors val="0"/>
        <c:ser>
          <c:idx val="0"/>
          <c:order val="0"/>
          <c:spPr>
            <a:solidFill>
              <a:srgbClr val="C0C0C0"/>
            </a:solidFill>
            <a:ln w="12700">
              <a:solidFill>
                <a:srgbClr val="000000"/>
              </a:solidFill>
              <a:prstDash val="solid"/>
            </a:ln>
          </c:spPr>
          <c:invertIfNegative val="0"/>
          <c:dLbls>
            <c:spPr>
              <a:noFill/>
              <a:ln w="25400">
                <a:noFill/>
              </a:ln>
            </c:spPr>
            <c:txPr>
              <a:bodyPr rot="-5400000" vert="horz"/>
              <a:lstStyle/>
              <a:p>
                <a:pPr algn="ctr">
                  <a:defRPr sz="1000" b="1" i="0" u="none" strike="noStrike" baseline="0">
                    <a:solidFill>
                      <a:srgbClr val="000000"/>
                    </a:solidFill>
                    <a:latin typeface="Times New Roman"/>
                    <a:ea typeface="Times New Roman"/>
                    <a:cs typeface="Times New Roman"/>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dati!$S$46:$S$60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dati!$V$46:$V$60</c:f>
              <c:numCache>
                <c:formatCode>0.0%</c:formatCode>
                <c:ptCount val="15"/>
                <c:pt idx="0">
                  <c:v>0.14708350818296265</c:v>
                </c:pt>
                <c:pt idx="1">
                  <c:v>0.15246901436159749</c:v>
                </c:pt>
                <c:pt idx="2">
                  <c:v>0.12846253950548428</c:v>
                </c:pt>
                <c:pt idx="3">
                  <c:v>0.12458177524109428</c:v>
                </c:pt>
                <c:pt idx="4">
                  <c:v>0.12248096730855351</c:v>
                </c:pt>
                <c:pt idx="5">
                  <c:v>0.10111576011157601</c:v>
                </c:pt>
                <c:pt idx="6">
                  <c:v>0.10855469567036184</c:v>
                </c:pt>
                <c:pt idx="7">
                  <c:v>9.6043851286939944E-2</c:v>
                </c:pt>
                <c:pt idx="8">
                  <c:v>8.1645569620253169E-2</c:v>
                </c:pt>
                <c:pt idx="9">
                  <c:v>7.2658941434387725E-2</c:v>
                </c:pt>
                <c:pt idx="10">
                  <c:v>7.9740106320141765E-2</c:v>
                </c:pt>
                <c:pt idx="11">
                  <c:v>5.1816557474687316E-2</c:v>
                </c:pt>
                <c:pt idx="12">
                  <c:v>6.0475781026081969E-2</c:v>
                </c:pt>
                <c:pt idx="13">
                  <c:v>5.6330472103004292E-2</c:v>
                </c:pt>
                <c:pt idx="14">
                  <c:v>5.3087757313109427E-2</c:v>
                </c:pt>
              </c:numCache>
            </c:numRef>
          </c:val>
          <c:extLst xmlns:c16r2="http://schemas.microsoft.com/office/drawing/2015/06/chart">
            <c:ext xmlns:c16="http://schemas.microsoft.com/office/drawing/2014/chart" uri="{C3380CC4-5D6E-409C-BE32-E72D297353CC}">
              <c16:uniqueId val="{00000000-16B2-4791-A803-92AF6E21BD43}"/>
            </c:ext>
          </c:extLst>
        </c:ser>
        <c:dLbls>
          <c:showLegendKey val="0"/>
          <c:showVal val="1"/>
          <c:showCatName val="0"/>
          <c:showSerName val="0"/>
          <c:showPercent val="0"/>
          <c:showBubbleSize val="0"/>
        </c:dLbls>
        <c:gapWidth val="150"/>
        <c:axId val="518990608"/>
        <c:axId val="518991784"/>
      </c:barChart>
      <c:catAx>
        <c:axId val="518990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1" i="0" u="none" strike="noStrike" baseline="0">
                <a:solidFill>
                  <a:srgbClr val="000000"/>
                </a:solidFill>
                <a:latin typeface="Times New Roman"/>
                <a:ea typeface="Times New Roman"/>
                <a:cs typeface="Times New Roman"/>
              </a:defRPr>
            </a:pPr>
            <a:endParaRPr lang="lv-LV"/>
          </a:p>
        </c:txPr>
        <c:crossAx val="518991784"/>
        <c:crosses val="autoZero"/>
        <c:auto val="1"/>
        <c:lblAlgn val="ctr"/>
        <c:lblOffset val="100"/>
        <c:tickLblSkip val="1"/>
        <c:tickMarkSkip val="1"/>
        <c:noMultiLvlLbl val="0"/>
      </c:catAx>
      <c:valAx>
        <c:axId val="518991784"/>
        <c:scaling>
          <c:orientation val="minMax"/>
        </c:scaling>
        <c:delete val="1"/>
        <c:axPos val="l"/>
        <c:numFmt formatCode="0.0%" sourceLinked="1"/>
        <c:majorTickMark val="out"/>
        <c:minorTickMark val="none"/>
        <c:tickLblPos val="nextTo"/>
        <c:crossAx val="518990608"/>
        <c:crosses val="autoZero"/>
        <c:crossBetween val="between"/>
      </c:valAx>
      <c:spPr>
        <a:noFill/>
        <a:ln w="25400">
          <a:noFill/>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65"/>
        </a:gs>
        <a:gs pos="100000">
          <a:srgbClr xmlns:mc="http://schemas.openxmlformats.org/markup-compatibility/2006" xmlns:a14="http://schemas.microsoft.com/office/drawing/2010/main" val="CCFFCC" mc:Ignorable="a14" a14:legacySpreadsheetColorIndex="42"/>
        </a:gs>
      </a:gsLst>
      <a:lin ang="5400000" scaled="1"/>
    </a:gradFill>
    <a:ln w="9525">
      <a:noFill/>
    </a:ln>
  </c:spPr>
  <c:txPr>
    <a:bodyPr/>
    <a:lstStyle/>
    <a:p>
      <a:pPr>
        <a:defRPr sz="925" b="0" i="0" u="none" strike="noStrike" baseline="0">
          <a:solidFill>
            <a:srgbClr val="000000"/>
          </a:solidFill>
          <a:latin typeface="Times New Roman"/>
          <a:ea typeface="Times New Roman"/>
          <a:cs typeface="Times New Roman"/>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9584631360332"/>
          <c:y val="2.9818956336528223E-2"/>
          <c:w val="0.80062305295950154"/>
          <c:h val="0.9446219382321619"/>
        </c:manualLayout>
      </c:layout>
      <c:barChart>
        <c:barDir val="bar"/>
        <c:grouping val="clustered"/>
        <c:varyColors val="0"/>
        <c:ser>
          <c:idx val="0"/>
          <c:order val="0"/>
          <c:spPr>
            <a:solidFill>
              <a:srgbClr val="FF8080"/>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dati!$A$7:$A$21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dati!$I$7:$I$21</c:f>
              <c:numCache>
                <c:formatCode>General</c:formatCode>
                <c:ptCount val="15"/>
                <c:pt idx="0">
                  <c:v>111</c:v>
                </c:pt>
                <c:pt idx="1">
                  <c:v>160</c:v>
                </c:pt>
                <c:pt idx="2">
                  <c:v>119</c:v>
                </c:pt>
                <c:pt idx="3">
                  <c:v>113</c:v>
                </c:pt>
                <c:pt idx="4">
                  <c:v>96</c:v>
                </c:pt>
                <c:pt idx="5">
                  <c:v>84</c:v>
                </c:pt>
                <c:pt idx="6">
                  <c:v>91</c:v>
                </c:pt>
                <c:pt idx="7">
                  <c:v>58</c:v>
                </c:pt>
                <c:pt idx="8">
                  <c:v>36</c:v>
                </c:pt>
                <c:pt idx="9">
                  <c:v>22</c:v>
                </c:pt>
                <c:pt idx="10">
                  <c:v>26</c:v>
                </c:pt>
                <c:pt idx="11">
                  <c:v>25</c:v>
                </c:pt>
                <c:pt idx="12">
                  <c:v>10</c:v>
                </c:pt>
                <c:pt idx="13">
                  <c:v>29</c:v>
                </c:pt>
                <c:pt idx="14">
                  <c:v>18</c:v>
                </c:pt>
              </c:numCache>
            </c:numRef>
          </c:val>
          <c:extLst xmlns:c16r2="http://schemas.microsoft.com/office/drawing/2015/06/chart">
            <c:ext xmlns:c16="http://schemas.microsoft.com/office/drawing/2014/chart" uri="{C3380CC4-5D6E-409C-BE32-E72D297353CC}">
              <c16:uniqueId val="{00000000-0834-419C-8F51-B556C757E2AA}"/>
            </c:ext>
          </c:extLst>
        </c:ser>
        <c:dLbls>
          <c:showLegendKey val="0"/>
          <c:showVal val="1"/>
          <c:showCatName val="0"/>
          <c:showSerName val="0"/>
          <c:showPercent val="0"/>
          <c:showBubbleSize val="0"/>
        </c:dLbls>
        <c:gapWidth val="75"/>
        <c:axId val="518999624"/>
        <c:axId val="519001192"/>
      </c:barChart>
      <c:catAx>
        <c:axId val="518999624"/>
        <c:scaling>
          <c:orientation val="maxMin"/>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a:pPr>
            <a:endParaRPr lang="lv-LV"/>
          </a:p>
        </c:txPr>
        <c:crossAx val="519001192"/>
        <c:crosses val="autoZero"/>
        <c:auto val="1"/>
        <c:lblAlgn val="ctr"/>
        <c:lblOffset val="100"/>
        <c:tickLblSkip val="1"/>
        <c:tickMarkSkip val="1"/>
        <c:noMultiLvlLbl val="0"/>
      </c:catAx>
      <c:valAx>
        <c:axId val="519001192"/>
        <c:scaling>
          <c:orientation val="minMax"/>
          <c:max val="160"/>
        </c:scaling>
        <c:delete val="1"/>
        <c:axPos val="t"/>
        <c:numFmt formatCode="General" sourceLinked="1"/>
        <c:majorTickMark val="none"/>
        <c:minorTickMark val="none"/>
        <c:tickLblPos val="nextTo"/>
        <c:crossAx val="518999624"/>
        <c:crosses val="autoZero"/>
        <c:crossBetween val="between"/>
        <c:majorUnit val="30"/>
      </c:valAx>
      <c:spPr>
        <a:noFill/>
        <a:ln w="25400">
          <a:noFill/>
        </a:ln>
      </c:spPr>
    </c:plotArea>
    <c:plotVisOnly val="1"/>
    <c:dispBlanksAs val="gap"/>
    <c:showDLblsOverMax val="0"/>
  </c:chart>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FFFFFF" mc:Ignorable="a14" a14:legacySpreadsheetColorIndex="9"/>
        </a:gs>
      </a:gsLst>
      <a:lin ang="0" scaled="1"/>
    </a:gradFill>
    <a:ln w="9525">
      <a:noFill/>
    </a:ln>
  </c:spPr>
  <c:txPr>
    <a:bodyPr/>
    <a:lstStyle/>
    <a:p>
      <a:pPr>
        <a:defRPr sz="800" b="1" i="0" u="none" strike="noStrike" baseline="0">
          <a:solidFill>
            <a:srgbClr val="000000"/>
          </a:solidFill>
          <a:latin typeface="Times New Roman"/>
          <a:ea typeface="Times New Roman"/>
          <a:cs typeface="Times New Roman"/>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83018533726233"/>
          <c:y val="3.0010718113612004E-2"/>
          <c:w val="0.76091010096130618"/>
          <c:h val="0.95222928323670153"/>
        </c:manualLayout>
      </c:layout>
      <c:barChart>
        <c:barDir val="bar"/>
        <c:grouping val="clustered"/>
        <c:varyColors val="0"/>
        <c:ser>
          <c:idx val="0"/>
          <c:order val="0"/>
          <c:spPr>
            <a:solidFill>
              <a:srgbClr val="C0C0C0"/>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dati!$A$7:$A$21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dati!$D$7:$D$21</c:f>
              <c:numCache>
                <c:formatCode>General</c:formatCode>
                <c:ptCount val="15"/>
                <c:pt idx="0">
                  <c:v>701</c:v>
                </c:pt>
                <c:pt idx="1">
                  <c:v>775</c:v>
                </c:pt>
                <c:pt idx="2">
                  <c:v>691</c:v>
                </c:pt>
                <c:pt idx="3">
                  <c:v>633</c:v>
                </c:pt>
                <c:pt idx="4">
                  <c:v>547</c:v>
                </c:pt>
                <c:pt idx="5">
                  <c:v>435</c:v>
                </c:pt>
                <c:pt idx="6">
                  <c:v>519</c:v>
                </c:pt>
                <c:pt idx="7">
                  <c:v>403</c:v>
                </c:pt>
                <c:pt idx="8">
                  <c:v>258</c:v>
                </c:pt>
                <c:pt idx="9">
                  <c:v>232</c:v>
                </c:pt>
                <c:pt idx="10">
                  <c:v>270</c:v>
                </c:pt>
                <c:pt idx="11">
                  <c:v>174</c:v>
                </c:pt>
                <c:pt idx="12">
                  <c:v>211</c:v>
                </c:pt>
                <c:pt idx="13">
                  <c:v>210</c:v>
                </c:pt>
                <c:pt idx="14">
                  <c:v>196</c:v>
                </c:pt>
              </c:numCache>
            </c:numRef>
          </c:val>
          <c:extLst xmlns:c16r2="http://schemas.microsoft.com/office/drawing/2015/06/chart">
            <c:ext xmlns:c16="http://schemas.microsoft.com/office/drawing/2014/chart" uri="{C3380CC4-5D6E-409C-BE32-E72D297353CC}">
              <c16:uniqueId val="{00000000-9FCB-48A2-9CD3-D32315E59809}"/>
            </c:ext>
          </c:extLst>
        </c:ser>
        <c:dLbls>
          <c:showLegendKey val="0"/>
          <c:showVal val="1"/>
          <c:showCatName val="0"/>
          <c:showSerName val="0"/>
          <c:showPercent val="0"/>
          <c:showBubbleSize val="0"/>
        </c:dLbls>
        <c:gapWidth val="75"/>
        <c:axId val="519000016"/>
        <c:axId val="519000408"/>
      </c:barChart>
      <c:catAx>
        <c:axId val="519000016"/>
        <c:scaling>
          <c:orientation val="maxMin"/>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a:pPr>
            <a:endParaRPr lang="lv-LV"/>
          </a:p>
        </c:txPr>
        <c:crossAx val="519000408"/>
        <c:crosses val="autoZero"/>
        <c:auto val="1"/>
        <c:lblAlgn val="ctr"/>
        <c:lblOffset val="100"/>
        <c:tickLblSkip val="1"/>
        <c:tickMarkSkip val="1"/>
        <c:noMultiLvlLbl val="0"/>
      </c:catAx>
      <c:valAx>
        <c:axId val="519000408"/>
        <c:scaling>
          <c:orientation val="minMax"/>
          <c:max val="800"/>
        </c:scaling>
        <c:delete val="1"/>
        <c:axPos val="t"/>
        <c:numFmt formatCode="General" sourceLinked="1"/>
        <c:majorTickMark val="none"/>
        <c:minorTickMark val="none"/>
        <c:tickLblPos val="nextTo"/>
        <c:crossAx val="519000016"/>
        <c:crosses val="autoZero"/>
        <c:crossBetween val="between"/>
      </c:valAx>
      <c:spPr>
        <a:noFill/>
        <a:ln w="25400">
          <a:noFill/>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CCFFCC" mc:Ignorable="a14" a14:legacySpreadsheetColorIndex="42"/>
        </a:gs>
      </a:gsLst>
      <a:lin ang="0" scaled="1"/>
    </a:gradFill>
    <a:ln w="9525">
      <a:noFill/>
    </a:ln>
  </c:spPr>
  <c:txPr>
    <a:bodyPr/>
    <a:lstStyle/>
    <a:p>
      <a:pPr>
        <a:defRPr sz="800" b="1" i="0" u="none" strike="noStrike" baseline="0">
          <a:solidFill>
            <a:srgbClr val="000000"/>
          </a:solidFill>
          <a:latin typeface="Times New Roman"/>
          <a:ea typeface="Times New Roman"/>
          <a:cs typeface="Times New Roman"/>
        </a:defRPr>
      </a:pPr>
      <a:endParaRPr lang="lv-LV"/>
    </a:p>
  </c:txPr>
  <c:externalData r:id="rId1">
    <c:autoUpdate val="0"/>
  </c:externalData>
</c:chartSpace>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5806-944F-4FED-9BAB-5ED35EAC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61</Pages>
  <Words>95183</Words>
  <Characters>54255</Characters>
  <Application>Microsoft Office Word</Application>
  <DocSecurity>0</DocSecurity>
  <Lines>452</Lines>
  <Paragraphs>298</Paragraphs>
  <ScaleCrop>false</ScaleCrop>
  <HeadingPairs>
    <vt:vector size="2" baseType="variant">
      <vt:variant>
        <vt:lpstr>Title</vt:lpstr>
      </vt:variant>
      <vt:variant>
        <vt:i4>1</vt:i4>
      </vt:variant>
    </vt:vector>
  </HeadingPairs>
  <TitlesOfParts>
    <vt:vector size="1" baseType="lpstr">
      <vt:lpstr>“Ceļu satiksmes drošības plāns 2017.-2020.gadam.”</vt:lpstr>
    </vt:vector>
  </TitlesOfParts>
  <Company/>
  <LinksUpToDate>false</LinksUpToDate>
  <CharactersWithSpaces>149140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“Ceļu satiksmes drošības plāns 2017.-2020.gadam.”</dc:title>
  <dc:creator>Jānis Kalniņš</dc:creator>
  <dc:description>janis.kalnins@sam.gov.lv</dc:description>
  <cp:lastModifiedBy>Jānis Kalniņš</cp:lastModifiedBy>
  <cp:revision>55</cp:revision>
  <cp:lastPrinted>2017-03-14T13:43:00Z</cp:lastPrinted>
  <dcterms:created xsi:type="dcterms:W3CDTF">2017-02-10T07:46:00Z</dcterms:created>
  <dcterms:modified xsi:type="dcterms:W3CDTF">2017-03-22T13:45:00Z</dcterms:modified>
</cp:coreProperties>
</file>