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75845" w14:textId="77777777" w:rsidR="00996003" w:rsidRPr="00AA6B7A" w:rsidRDefault="00996003" w:rsidP="00996003">
      <w:pPr>
        <w:jc w:val="right"/>
        <w:rPr>
          <w:i/>
          <w:color w:val="000000"/>
          <w:sz w:val="28"/>
          <w:szCs w:val="28"/>
        </w:rPr>
      </w:pPr>
      <w:bookmarkStart w:id="0" w:name="_GoBack"/>
      <w:bookmarkEnd w:id="0"/>
      <w:r w:rsidRPr="00AA6B7A">
        <w:rPr>
          <w:i/>
          <w:color w:val="000000"/>
          <w:sz w:val="28"/>
          <w:szCs w:val="28"/>
        </w:rPr>
        <w:t>Projekts</w:t>
      </w:r>
    </w:p>
    <w:p w14:paraId="3FD20A7C" w14:textId="77777777" w:rsidR="00996003" w:rsidRPr="00AA6B7A" w:rsidRDefault="00996003" w:rsidP="00580002">
      <w:pPr>
        <w:jc w:val="center"/>
        <w:rPr>
          <w:b/>
          <w:color w:val="000000"/>
          <w:sz w:val="28"/>
          <w:szCs w:val="28"/>
        </w:rPr>
      </w:pPr>
    </w:p>
    <w:p w14:paraId="77E91275" w14:textId="77777777" w:rsidR="00580002" w:rsidRPr="00AA6B7A" w:rsidRDefault="00580002" w:rsidP="00580002">
      <w:pPr>
        <w:jc w:val="center"/>
        <w:rPr>
          <w:b/>
          <w:color w:val="000000"/>
          <w:sz w:val="28"/>
          <w:szCs w:val="28"/>
        </w:rPr>
      </w:pPr>
      <w:r w:rsidRPr="00AA6B7A">
        <w:rPr>
          <w:b/>
          <w:color w:val="000000"/>
          <w:sz w:val="28"/>
          <w:szCs w:val="28"/>
        </w:rPr>
        <w:t>Ministru kabineta noteikumu projekta</w:t>
      </w:r>
    </w:p>
    <w:p w14:paraId="4376036C" w14:textId="77777777" w:rsidR="00580002" w:rsidRPr="00AA6B7A" w:rsidRDefault="00340355" w:rsidP="00277BC4">
      <w:pPr>
        <w:jc w:val="center"/>
        <w:rPr>
          <w:b/>
          <w:color w:val="000000"/>
          <w:sz w:val="28"/>
          <w:szCs w:val="28"/>
        </w:rPr>
      </w:pPr>
      <w:r w:rsidRPr="00AA6B7A">
        <w:rPr>
          <w:b/>
          <w:color w:val="000000"/>
          <w:sz w:val="28"/>
          <w:szCs w:val="28"/>
        </w:rPr>
        <w:t>“</w:t>
      </w:r>
      <w:r w:rsidR="00580002" w:rsidRPr="00AA6B7A">
        <w:rPr>
          <w:b/>
          <w:color w:val="000000"/>
          <w:sz w:val="28"/>
          <w:szCs w:val="28"/>
        </w:rPr>
        <w:t xml:space="preserve">Darbības programmas </w:t>
      </w:r>
      <w:r w:rsidRPr="00AA6B7A">
        <w:rPr>
          <w:b/>
          <w:color w:val="000000"/>
          <w:sz w:val="28"/>
          <w:szCs w:val="28"/>
        </w:rPr>
        <w:t>“</w:t>
      </w:r>
      <w:r w:rsidR="00580002" w:rsidRPr="00AA6B7A">
        <w:rPr>
          <w:b/>
          <w:color w:val="000000"/>
          <w:sz w:val="28"/>
          <w:szCs w:val="28"/>
        </w:rPr>
        <w:t>Izaugsme un nodarbinātība</w:t>
      </w:r>
      <w:r w:rsidRPr="00AA6B7A">
        <w:rPr>
          <w:b/>
          <w:color w:val="000000"/>
          <w:sz w:val="28"/>
          <w:szCs w:val="28"/>
        </w:rPr>
        <w:t>”</w:t>
      </w:r>
      <w:r w:rsidR="00580002" w:rsidRPr="00AA6B7A">
        <w:rPr>
          <w:b/>
          <w:color w:val="000000"/>
          <w:sz w:val="28"/>
          <w:szCs w:val="28"/>
        </w:rPr>
        <w:t xml:space="preserve"> </w:t>
      </w:r>
      <w:r w:rsidR="003829EF" w:rsidRPr="00AA6B7A">
        <w:rPr>
          <w:b/>
          <w:color w:val="000000"/>
          <w:sz w:val="28"/>
          <w:szCs w:val="28"/>
        </w:rPr>
        <w:t>5.6.3. specifiskā atbal</w:t>
      </w:r>
      <w:r w:rsidR="00277BC4" w:rsidRPr="00AA6B7A">
        <w:rPr>
          <w:b/>
          <w:color w:val="000000"/>
          <w:sz w:val="28"/>
          <w:szCs w:val="28"/>
        </w:rPr>
        <w:t xml:space="preserve">sta mērķa “Vēsturiski piesārņoto vietu </w:t>
      </w:r>
      <w:r w:rsidR="003829EF" w:rsidRPr="00AA6B7A">
        <w:rPr>
          <w:b/>
          <w:color w:val="000000"/>
          <w:sz w:val="28"/>
          <w:szCs w:val="28"/>
        </w:rPr>
        <w:t>sanācija</w:t>
      </w:r>
      <w:r w:rsidRPr="00AA6B7A">
        <w:rPr>
          <w:b/>
          <w:color w:val="000000"/>
          <w:sz w:val="28"/>
          <w:szCs w:val="28"/>
        </w:rPr>
        <w:t>”</w:t>
      </w:r>
      <w:r w:rsidR="00277BC4" w:rsidRPr="00AA6B7A">
        <w:rPr>
          <w:b/>
          <w:color w:val="000000"/>
          <w:sz w:val="28"/>
          <w:szCs w:val="28"/>
        </w:rPr>
        <w:t xml:space="preserve"> </w:t>
      </w:r>
      <w:r w:rsidR="00F2382B" w:rsidRPr="00AA6B7A">
        <w:rPr>
          <w:b/>
          <w:color w:val="000000"/>
          <w:sz w:val="28"/>
          <w:szCs w:val="28"/>
        </w:rPr>
        <w:t>īstenošanas</w:t>
      </w:r>
      <w:r w:rsidR="00277BC4" w:rsidRPr="00AA6B7A">
        <w:rPr>
          <w:b/>
          <w:color w:val="000000"/>
          <w:sz w:val="28"/>
          <w:szCs w:val="28"/>
        </w:rPr>
        <w:t xml:space="preserve"> noteikumi”</w:t>
      </w:r>
      <w:r w:rsidR="00580002" w:rsidRPr="00AA6B7A">
        <w:rPr>
          <w:b/>
          <w:color w:val="000000"/>
          <w:sz w:val="28"/>
          <w:szCs w:val="28"/>
        </w:rPr>
        <w:t xml:space="preserve"> sākotnējās ietekmes novērtējuma ziņojums (anotācija)</w:t>
      </w:r>
    </w:p>
    <w:p w14:paraId="216E15E3" w14:textId="77777777" w:rsidR="003908DB" w:rsidRPr="00AA6B7A" w:rsidRDefault="003908DB" w:rsidP="00580002">
      <w:pPr>
        <w:jc w:val="center"/>
        <w:rPr>
          <w:b/>
          <w:color w:val="000000"/>
          <w:sz w:val="28"/>
          <w:szCs w:val="28"/>
          <w:highlight w:val="yellow"/>
        </w:rPr>
      </w:pPr>
    </w:p>
    <w:tbl>
      <w:tblPr>
        <w:tblpPr w:leftFromText="180" w:rightFromText="180" w:vertAnchor="text" w:tblpXSpec="righ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1741"/>
        <w:gridCol w:w="6970"/>
      </w:tblGrid>
      <w:tr w:rsidR="0063657C" w:rsidRPr="00AA6B7A" w14:paraId="1ABE81AA" w14:textId="77777777" w:rsidTr="00DB2BCB">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74A5C2A" w14:textId="77777777" w:rsidR="00C61A59" w:rsidRPr="00AA6B7A" w:rsidRDefault="00C61A59" w:rsidP="006C34C8">
            <w:pPr>
              <w:pStyle w:val="ListParagraph"/>
              <w:tabs>
                <w:tab w:val="left" w:pos="2268"/>
                <w:tab w:val="left" w:pos="2410"/>
              </w:tabs>
              <w:ind w:left="1080"/>
              <w:jc w:val="center"/>
              <w:rPr>
                <w:b/>
                <w:color w:val="000000"/>
                <w:sz w:val="24"/>
                <w:szCs w:val="24"/>
                <w:highlight w:val="yellow"/>
                <w:lang w:eastAsia="en-US"/>
              </w:rPr>
            </w:pPr>
            <w:r w:rsidRPr="00AA6B7A">
              <w:rPr>
                <w:b/>
                <w:bCs/>
                <w:color w:val="000000"/>
                <w:sz w:val="24"/>
                <w:szCs w:val="24"/>
              </w:rPr>
              <w:t>I. Tiesību akta projekta izstrādes nepieciešamība</w:t>
            </w:r>
          </w:p>
        </w:tc>
      </w:tr>
      <w:tr w:rsidR="0063657C" w:rsidRPr="00AA6B7A" w14:paraId="3987F3D2" w14:textId="77777777" w:rsidTr="00DB2BCB">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9811866" w14:textId="77777777" w:rsidR="00C61A59" w:rsidRPr="00AA6B7A" w:rsidRDefault="00C61A59" w:rsidP="006C34C8">
            <w:pPr>
              <w:jc w:val="center"/>
              <w:rPr>
                <w:color w:val="000000"/>
                <w:lang w:eastAsia="en-US"/>
              </w:rPr>
            </w:pPr>
            <w:r w:rsidRPr="00AA6B7A">
              <w:rPr>
                <w:color w:val="000000"/>
              </w:rPr>
              <w:t>1.</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0891B908" w14:textId="77777777" w:rsidR="00FA7F41" w:rsidRPr="00AA6B7A" w:rsidRDefault="00C61A59" w:rsidP="006C34C8">
            <w:pPr>
              <w:tabs>
                <w:tab w:val="left" w:pos="1904"/>
              </w:tabs>
              <w:rPr>
                <w:color w:val="000000"/>
                <w:lang w:eastAsia="en-US"/>
              </w:rPr>
            </w:pPr>
            <w:r w:rsidRPr="00AA6B7A">
              <w:rPr>
                <w:color w:val="000000"/>
              </w:rPr>
              <w:t>Pamatojums</w:t>
            </w:r>
          </w:p>
          <w:p w14:paraId="59740F51" w14:textId="77777777" w:rsidR="00FA7F41" w:rsidRPr="00AA6B7A" w:rsidRDefault="00FA7F41" w:rsidP="00FA7F41">
            <w:pPr>
              <w:rPr>
                <w:color w:val="000000"/>
                <w:lang w:eastAsia="en-US"/>
              </w:rPr>
            </w:pPr>
          </w:p>
          <w:p w14:paraId="547C8518" w14:textId="77777777" w:rsidR="00FA7F41" w:rsidRPr="00AA6B7A" w:rsidRDefault="00FA7F41" w:rsidP="00FA7F41">
            <w:pPr>
              <w:rPr>
                <w:color w:val="000000"/>
                <w:lang w:eastAsia="en-US"/>
              </w:rPr>
            </w:pPr>
          </w:p>
          <w:p w14:paraId="480ACE6C" w14:textId="77777777" w:rsidR="00FA7F41" w:rsidRPr="00AA6B7A" w:rsidRDefault="00FA7F41" w:rsidP="00FA7F41">
            <w:pPr>
              <w:rPr>
                <w:color w:val="000000"/>
                <w:lang w:eastAsia="en-US"/>
              </w:rPr>
            </w:pPr>
          </w:p>
          <w:p w14:paraId="619DE3DE" w14:textId="77777777" w:rsidR="00FA7F41" w:rsidRPr="00AA6B7A" w:rsidRDefault="00FA7F41" w:rsidP="00FA7F41">
            <w:pPr>
              <w:rPr>
                <w:color w:val="000000"/>
                <w:lang w:eastAsia="en-US"/>
              </w:rPr>
            </w:pPr>
          </w:p>
          <w:p w14:paraId="013BA54D" w14:textId="77777777" w:rsidR="00FA7F41" w:rsidRPr="00AA6B7A" w:rsidRDefault="00FA7F41" w:rsidP="00FA7F41">
            <w:pPr>
              <w:rPr>
                <w:color w:val="000000"/>
                <w:lang w:eastAsia="en-US"/>
              </w:rPr>
            </w:pPr>
          </w:p>
          <w:p w14:paraId="684132CB" w14:textId="77777777" w:rsidR="00FA7F41" w:rsidRPr="00AA6B7A" w:rsidRDefault="00FA7F41" w:rsidP="00FA7F41">
            <w:pPr>
              <w:rPr>
                <w:color w:val="000000"/>
                <w:lang w:eastAsia="en-US"/>
              </w:rPr>
            </w:pPr>
          </w:p>
          <w:p w14:paraId="28467BF4" w14:textId="77777777" w:rsidR="00C61A59" w:rsidRPr="00AA6B7A" w:rsidRDefault="00C61A59" w:rsidP="00FA7F41">
            <w:pPr>
              <w:ind w:firstLine="720"/>
              <w:rPr>
                <w:color w:val="000000"/>
                <w:lang w:eastAsia="en-US"/>
              </w:rPr>
            </w:pP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DF54A" w14:textId="2981FEF9" w:rsidR="00C61A59" w:rsidRPr="00AA6B7A" w:rsidRDefault="00EB2F30" w:rsidP="0055227D">
            <w:pPr>
              <w:pStyle w:val="ListParagraph"/>
              <w:tabs>
                <w:tab w:val="left" w:pos="317"/>
              </w:tabs>
              <w:spacing w:after="120"/>
              <w:ind w:left="34"/>
              <w:contextualSpacing w:val="0"/>
              <w:jc w:val="both"/>
              <w:rPr>
                <w:color w:val="000000"/>
                <w:sz w:val="24"/>
                <w:szCs w:val="24"/>
                <w:shd w:val="clear" w:color="auto" w:fill="FFFFFF"/>
              </w:rPr>
            </w:pPr>
            <w:r w:rsidRPr="00AA6B7A">
              <w:rPr>
                <w:color w:val="000000"/>
                <w:sz w:val="24"/>
                <w:szCs w:val="24"/>
                <w:shd w:val="clear" w:color="auto" w:fill="FFFFFF"/>
              </w:rPr>
              <w:t xml:space="preserve">Ministru kabineta (turpmāk – MK) noteikumu projekts </w:t>
            </w:r>
            <w:r w:rsidRPr="00AA6B7A">
              <w:rPr>
                <w:color w:val="000000"/>
                <w:sz w:val="24"/>
                <w:szCs w:val="24"/>
              </w:rPr>
              <w:t xml:space="preserve">“Darbības programmas “Izaugsme un nodarbinātība” 5.6.3. specifiskā atbalsta mērķa “Vēsturiski piesārņotu vietu sanācija” īstenošanas noteikumi” (turpmāk – MK noteikumu projekts) </w:t>
            </w:r>
            <w:r w:rsidRPr="00AA6B7A">
              <w:rPr>
                <w:color w:val="000000"/>
                <w:sz w:val="24"/>
                <w:szCs w:val="24"/>
                <w:shd w:val="clear" w:color="auto" w:fill="FFFFFF"/>
              </w:rPr>
              <w:t>izstrādāts atbilstoši Eiropas Savienības</w:t>
            </w:r>
            <w:r>
              <w:rPr>
                <w:color w:val="000000"/>
                <w:sz w:val="24"/>
                <w:szCs w:val="24"/>
                <w:shd w:val="clear" w:color="auto" w:fill="FFFFFF"/>
              </w:rPr>
              <w:t xml:space="preserve"> (turpmāk – ES)</w:t>
            </w:r>
            <w:r w:rsidRPr="00AA6B7A">
              <w:rPr>
                <w:color w:val="000000"/>
                <w:sz w:val="24"/>
                <w:szCs w:val="24"/>
                <w:shd w:val="clear" w:color="auto" w:fill="FFFFFF"/>
              </w:rPr>
              <w:t xml:space="preserve"> struktūrfondu un Kohēzijas fonda </w:t>
            </w:r>
            <w:r>
              <w:rPr>
                <w:color w:val="000000"/>
                <w:sz w:val="24"/>
                <w:szCs w:val="24"/>
                <w:shd w:val="clear" w:color="auto" w:fill="FFFFFF"/>
              </w:rPr>
              <w:t xml:space="preserve">(turpmāk - ES fondi) </w:t>
            </w:r>
            <w:r w:rsidRPr="00AA6B7A">
              <w:rPr>
                <w:color w:val="000000"/>
                <w:sz w:val="24"/>
                <w:szCs w:val="24"/>
                <w:shd w:val="clear" w:color="auto" w:fill="FFFFFF"/>
              </w:rPr>
              <w:t>2014.–2020. gada plānošanas perioda vadības likuma 20. panta 13. punktam, Darbības programmas “Izaugsme un nodarbinātība” (turpmāk – DP) mērķim un saskaņā ar MK 2016.gada 10.novembra sēdes protokola Nr.61 43.§ “Informatīvais ziņojums “Par lielā projekta “Vēsturiski piesārņoto vietu “Inčukalna sērskābie gudrona dīķi” sanācijas darbi” pabeigšanas finansēšanu Eiropas Savienības fondu 2014.-2020.gada plānošanas perioda ietvaros” .</w:t>
            </w:r>
          </w:p>
        </w:tc>
      </w:tr>
      <w:tr w:rsidR="0063657C" w:rsidRPr="00AA6B7A" w14:paraId="217C9967" w14:textId="77777777" w:rsidTr="00DB2BCB">
        <w:trPr>
          <w:trHeight w:val="984"/>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FA19442" w14:textId="77777777" w:rsidR="00C61A59" w:rsidRPr="00AA6B7A" w:rsidRDefault="00C61A59" w:rsidP="006C34C8">
            <w:pPr>
              <w:jc w:val="center"/>
              <w:rPr>
                <w:color w:val="000000"/>
                <w:lang w:eastAsia="en-US"/>
              </w:rPr>
            </w:pPr>
            <w:r w:rsidRPr="00AA6B7A">
              <w:rPr>
                <w:color w:val="000000"/>
              </w:rPr>
              <w:t>2.</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64C18110" w14:textId="77777777" w:rsidR="00C61A59" w:rsidRPr="00AA6B7A" w:rsidRDefault="00C61A59" w:rsidP="006C34C8">
            <w:pPr>
              <w:rPr>
                <w:color w:val="000000"/>
                <w:lang w:eastAsia="en-US"/>
              </w:rPr>
            </w:pPr>
            <w:r w:rsidRPr="00AA6B7A">
              <w:rPr>
                <w:color w:val="000000"/>
              </w:rPr>
              <w:t>Pašreizējā situācija un problēmas, kuru risināšanai tiesību akta projekts izstrādāts, tiesiskā regulējuma mērķis un būtība</w:t>
            </w:r>
          </w:p>
        </w:tc>
        <w:tc>
          <w:tcPr>
            <w:tcW w:w="6970" w:type="dxa"/>
            <w:tcBorders>
              <w:top w:val="single" w:sz="4" w:space="0" w:color="auto"/>
              <w:left w:val="single" w:sz="4" w:space="0" w:color="auto"/>
              <w:bottom w:val="single" w:sz="4" w:space="0" w:color="auto"/>
              <w:right w:val="single" w:sz="4" w:space="0" w:color="auto"/>
            </w:tcBorders>
            <w:shd w:val="clear" w:color="auto" w:fill="auto"/>
            <w:hideMark/>
          </w:tcPr>
          <w:p w14:paraId="6E8141E3" w14:textId="77777777" w:rsidR="00F72A4F" w:rsidRPr="00AA6B7A" w:rsidRDefault="00F72A4F" w:rsidP="006134B9">
            <w:pPr>
              <w:spacing w:after="120"/>
              <w:jc w:val="both"/>
              <w:rPr>
                <w:bCs/>
                <w:color w:val="000000"/>
                <w:u w:val="single"/>
              </w:rPr>
            </w:pPr>
            <w:r w:rsidRPr="00AA6B7A">
              <w:rPr>
                <w:bCs/>
                <w:color w:val="000000"/>
                <w:u w:val="single"/>
              </w:rPr>
              <w:t xml:space="preserve">Pašreizējā situācija </w:t>
            </w:r>
          </w:p>
          <w:p w14:paraId="6241D8ED" w14:textId="432273E3" w:rsidR="0006448D" w:rsidRPr="00AA6B7A" w:rsidRDefault="0006448D" w:rsidP="0006448D">
            <w:pPr>
              <w:spacing w:after="120"/>
              <w:jc w:val="both"/>
              <w:rPr>
                <w:bCs/>
                <w:color w:val="000000"/>
              </w:rPr>
            </w:pPr>
            <w:r>
              <w:rPr>
                <w:bCs/>
                <w:color w:val="000000"/>
              </w:rPr>
              <w:t xml:space="preserve">Inčukalna sērskābā gudrona dīķi atrodas Inčukalna novada teritorijā 30 – 35 km uz austrumiem no Rīgas, bijušos smilšu karjeros, kurus tagad dēvē par Dienvidu un Ziemeļu gudrona dīķiem. 20.gadsimta 50. – 80.gados no Rīgas naftas pārstrādes un smēreļļu rūpnīcas izveda sērskābo gudronu – ražošanas atkritumus, kas veidojās medicīnisko un parfimērijas eļļu ražošanas procesā. </w:t>
            </w:r>
            <w:r w:rsidRPr="00AA6B7A">
              <w:rPr>
                <w:bCs/>
                <w:color w:val="000000"/>
              </w:rPr>
              <w:t>Atkritumi tika izgāzti smilšu ieguves karjeros bez pamatnes un nogāžu</w:t>
            </w:r>
            <w:r>
              <w:rPr>
                <w:bCs/>
                <w:color w:val="000000"/>
              </w:rPr>
              <w:t xml:space="preserve"> (bortu)</w:t>
            </w:r>
            <w:r w:rsidRPr="00AA6B7A">
              <w:rPr>
                <w:bCs/>
                <w:color w:val="000000"/>
              </w:rPr>
              <w:t xml:space="preserve"> izolācijas</w:t>
            </w:r>
            <w:r>
              <w:rPr>
                <w:bCs/>
                <w:color w:val="000000"/>
              </w:rPr>
              <w:t>. Atkritumi veidojās, reģenerējot atstrādātās eļļas un iedarbojoties uz tām ar koncentrētu sērskābi.</w:t>
            </w:r>
          </w:p>
          <w:p w14:paraId="010AD953" w14:textId="77777777" w:rsidR="0006448D" w:rsidRPr="00AA6B7A" w:rsidRDefault="0006448D" w:rsidP="0006448D">
            <w:pPr>
              <w:spacing w:after="120"/>
              <w:jc w:val="both"/>
              <w:rPr>
                <w:bCs/>
                <w:color w:val="000000"/>
              </w:rPr>
            </w:pPr>
            <w:r w:rsidRPr="00AA6B7A">
              <w:rPr>
                <w:bCs/>
                <w:color w:val="000000"/>
              </w:rPr>
              <w:t>Līdz 1970</w:t>
            </w:r>
            <w:r>
              <w:rPr>
                <w:bCs/>
                <w:color w:val="000000"/>
              </w:rPr>
              <w:t xml:space="preserve">-to </w:t>
            </w:r>
            <w:r w:rsidRPr="00AA6B7A">
              <w:rPr>
                <w:bCs/>
                <w:color w:val="000000"/>
              </w:rPr>
              <w:t>gadu beigām atkritumu izvietošanai izmantoja Ziemeļu dīķi, vēlāk</w:t>
            </w:r>
            <w:r>
              <w:rPr>
                <w:bCs/>
                <w:color w:val="000000"/>
              </w:rPr>
              <w:t xml:space="preserve"> – </w:t>
            </w:r>
            <w:r w:rsidRPr="00AA6B7A">
              <w:rPr>
                <w:bCs/>
                <w:color w:val="000000"/>
              </w:rPr>
              <w:t>Dienvidu dīķi. Abos dīķos netika veikta sanācija, jo Padomju Savienības laikā nebija izstrādāti noteikumi, kas regulētu šādu darbību veikšanu. Sērskābais gudrons tika sajaukts ar smilti, nepasargājot gruntsūdeņus, kā arī dīķu pamatnes un grunti no nokrišņu ietekmes. Ir konstatēts, ka nokrišņu ūdens veido infiltrātu (piesārņotu ar šķīstošajiem savienojumiem no izgāztajiem atkritumiem), kas infiltrējies gruntī un piesārņojis gruntsūdeņus zem abiem dīķiem. Piesārņojums sasniedz pazemes ūdens horizontu 70-90 m dziļumā.</w:t>
            </w:r>
          </w:p>
          <w:p w14:paraId="35E4D795" w14:textId="1F931FAC" w:rsidR="006804BE" w:rsidRPr="00AA6B7A" w:rsidRDefault="00EB2F30" w:rsidP="006804BE">
            <w:pPr>
              <w:spacing w:after="120"/>
              <w:jc w:val="both"/>
              <w:rPr>
                <w:bCs/>
                <w:color w:val="000000"/>
              </w:rPr>
            </w:pPr>
            <w:r w:rsidRPr="008C759A">
              <w:rPr>
                <w:bCs/>
                <w:color w:val="000000"/>
              </w:rPr>
              <w:t xml:space="preserve">Lai novērstu piesārņojuma tālāku izplatību un likvidētu piesārņojuma avotu, ES fondu 2007.-2013.gada plānošanas perioda Darbības programmas “Infrastruktūra un pakalpojumi” ietvaros Vides aizsardzības un reģionālās attīstības ministrija (turpmāk – VARAM) </w:t>
            </w:r>
            <w:r w:rsidR="006804BE" w:rsidRPr="008C759A">
              <w:rPr>
                <w:bCs/>
                <w:color w:val="000000"/>
              </w:rPr>
              <w:t xml:space="preserve"> kā atbildīgā iestāde administrēja 3.4.1.4. aktivitāti “Vēsturiski piesārņoto vietu sanācija”, kuras ietvaros tika īstenot</w:t>
            </w:r>
            <w:r w:rsidR="006804BE">
              <w:rPr>
                <w:bCs/>
                <w:color w:val="000000"/>
              </w:rPr>
              <w:t>a</w:t>
            </w:r>
            <w:r w:rsidR="006804BE" w:rsidRPr="008C759A">
              <w:rPr>
                <w:bCs/>
                <w:color w:val="000000"/>
              </w:rPr>
              <w:t xml:space="preserve">s </w:t>
            </w:r>
            <w:r w:rsidR="006804BE">
              <w:rPr>
                <w:bCs/>
                <w:color w:val="000000"/>
              </w:rPr>
              <w:t xml:space="preserve">lielā </w:t>
            </w:r>
            <w:r w:rsidR="006804BE" w:rsidRPr="008C759A">
              <w:rPr>
                <w:bCs/>
                <w:color w:val="000000"/>
              </w:rPr>
              <w:t>projekt</w:t>
            </w:r>
            <w:r w:rsidR="006804BE">
              <w:rPr>
                <w:bCs/>
                <w:color w:val="000000"/>
              </w:rPr>
              <w:t>a</w:t>
            </w:r>
            <w:r w:rsidR="006804BE" w:rsidRPr="008C759A">
              <w:rPr>
                <w:bCs/>
                <w:color w:val="000000"/>
              </w:rPr>
              <w:t xml:space="preserve"> “Vēsturiski piesārņoto vietu “Inčukalna sērskābie gudrona dīķi” sanācijas darbi”</w:t>
            </w:r>
            <w:r w:rsidR="006804BE">
              <w:rPr>
                <w:bCs/>
                <w:color w:val="000000"/>
              </w:rPr>
              <w:t xml:space="preserve"> Nr. 3DP/3.4.1.4.0/09/IPIA/VIDM/002</w:t>
            </w:r>
            <w:r w:rsidR="006804BE" w:rsidRPr="008C759A">
              <w:rPr>
                <w:bCs/>
                <w:color w:val="000000"/>
              </w:rPr>
              <w:t xml:space="preserve"> (turpmāk – Projekts)</w:t>
            </w:r>
            <w:r w:rsidR="006804BE">
              <w:rPr>
                <w:bCs/>
                <w:color w:val="000000"/>
              </w:rPr>
              <w:t xml:space="preserve"> I posma aktivitātes</w:t>
            </w:r>
            <w:r w:rsidR="006804BE" w:rsidRPr="008C759A">
              <w:rPr>
                <w:bCs/>
                <w:color w:val="000000"/>
              </w:rPr>
              <w:t>.</w:t>
            </w:r>
          </w:p>
          <w:p w14:paraId="272F4C31" w14:textId="77777777" w:rsidR="00E2441B" w:rsidRPr="00AA6B7A" w:rsidRDefault="00E2441B" w:rsidP="00E2441B">
            <w:pPr>
              <w:spacing w:after="120"/>
              <w:jc w:val="both"/>
              <w:rPr>
                <w:bCs/>
                <w:color w:val="000000"/>
              </w:rPr>
            </w:pPr>
            <w:r w:rsidRPr="00AA6B7A">
              <w:rPr>
                <w:bCs/>
                <w:color w:val="000000"/>
              </w:rPr>
              <w:lastRenderedPageBreak/>
              <w:t xml:space="preserve">2010.gada 20.decembrī Eiropas Komisija (turpmāk – EK) apstiprināja Projektu, kura sākotnējās kopējās izmaksas bija 29 002 282 </w:t>
            </w:r>
            <w:r w:rsidRPr="00AA6B7A">
              <w:rPr>
                <w:bCs/>
                <w:i/>
                <w:color w:val="000000"/>
              </w:rPr>
              <w:t>euro</w:t>
            </w:r>
            <w:r w:rsidRPr="00AA6B7A">
              <w:rPr>
                <w:bCs/>
                <w:color w:val="000000"/>
              </w:rPr>
              <w:t xml:space="preserve">, no kurām 20 301 598 </w:t>
            </w:r>
            <w:r w:rsidRPr="00AA6B7A">
              <w:rPr>
                <w:bCs/>
                <w:i/>
                <w:color w:val="000000"/>
              </w:rPr>
              <w:t>euro</w:t>
            </w:r>
            <w:r w:rsidRPr="00AA6B7A">
              <w:rPr>
                <w:bCs/>
                <w:color w:val="000000"/>
              </w:rPr>
              <w:t xml:space="preserve"> finansē Eiropas Reģionālās attīstības fonds (turpmāk – ERAF) un 8 700 685 </w:t>
            </w:r>
            <w:r w:rsidRPr="00AA6B7A">
              <w:rPr>
                <w:bCs/>
                <w:i/>
                <w:color w:val="000000"/>
              </w:rPr>
              <w:t>euro</w:t>
            </w:r>
            <w:r w:rsidRPr="00AA6B7A">
              <w:rPr>
                <w:bCs/>
                <w:color w:val="000000"/>
              </w:rPr>
              <w:t xml:space="preserve"> valsts budžets. 2010.gada 24.septembrī starp Valsts vides dienestu (turpmāk – VVD) un SIA “Skonto Būve” tika noslēgts iepirkuma līgums par sanācijas darbu veikšanu. </w:t>
            </w:r>
          </w:p>
          <w:p w14:paraId="5C8ABE34" w14:textId="77777777" w:rsidR="0063657C" w:rsidRPr="0055227D" w:rsidRDefault="0063657C" w:rsidP="0063657C">
            <w:pPr>
              <w:spacing w:after="120"/>
              <w:jc w:val="both"/>
              <w:rPr>
                <w:bCs/>
                <w:color w:val="000000"/>
              </w:rPr>
            </w:pPr>
            <w:r w:rsidRPr="0055227D">
              <w:rPr>
                <w:bCs/>
                <w:color w:val="000000"/>
              </w:rPr>
              <w:t xml:space="preserve">Ievērojot Projekta mērķus, noslēgtajā sanācijas darbu līgumā tika paredzēts, ka līguma summas ietvaros darbu veicējs apņemas nodrošināt līguma mērķu sasniegšanu - novērst turpmāku piesārņojošo vielu, īpaši sērskābā gudrona atkritumvielu emisiju no </w:t>
            </w:r>
            <w:r>
              <w:rPr>
                <w:bCs/>
                <w:color w:val="000000"/>
              </w:rPr>
              <w:t>piesārņotās vietas</w:t>
            </w:r>
            <w:r w:rsidRPr="0055227D">
              <w:rPr>
                <w:bCs/>
                <w:color w:val="000000"/>
              </w:rPr>
              <w:t xml:space="preserve"> pazemes ūdeņos un turpmāku piesārņojuma izplatīšanos</w:t>
            </w:r>
            <w:r>
              <w:rPr>
                <w:bCs/>
                <w:color w:val="000000"/>
              </w:rPr>
              <w:t xml:space="preserve"> piesārņotajai vietai</w:t>
            </w:r>
            <w:r w:rsidRPr="0055227D">
              <w:rPr>
                <w:bCs/>
                <w:color w:val="000000"/>
              </w:rPr>
              <w:t xml:space="preserve"> piegulošās teritorijas gruntsūdeņos, virszemes ūdeņos</w:t>
            </w:r>
            <w:r>
              <w:rPr>
                <w:bCs/>
                <w:color w:val="000000"/>
              </w:rPr>
              <w:t xml:space="preserve"> (grāvjos)</w:t>
            </w:r>
            <w:r w:rsidRPr="0055227D">
              <w:rPr>
                <w:bCs/>
                <w:color w:val="000000"/>
              </w:rPr>
              <w:t>, kā arī gruntī un augsnē,</w:t>
            </w:r>
            <w:r>
              <w:rPr>
                <w:bCs/>
                <w:color w:val="000000"/>
              </w:rPr>
              <w:t xml:space="preserve"> kā arī uzlabot </w:t>
            </w:r>
            <w:r w:rsidRPr="00A76CB1">
              <w:rPr>
                <w:rFonts w:eastAsia="Times New Roman"/>
                <w:iCs/>
                <w:lang w:eastAsia="de-DE"/>
              </w:rPr>
              <w:t xml:space="preserve">gruntsūdens, virszemes ūdens, kā arī augsnes un grunts kvalitāti bīstamo atkritumu </w:t>
            </w:r>
            <w:r w:rsidR="00C57A0D">
              <w:rPr>
                <w:rFonts w:eastAsia="Times New Roman"/>
                <w:iCs/>
                <w:lang w:eastAsia="de-DE"/>
              </w:rPr>
              <w:t>piesārņoto vietu</w:t>
            </w:r>
            <w:r w:rsidRPr="00A76CB1">
              <w:rPr>
                <w:rFonts w:eastAsia="Times New Roman"/>
                <w:iCs/>
                <w:lang w:eastAsia="de-DE"/>
              </w:rPr>
              <w:t xml:space="preserve"> piegulošajā teritorijā līdz tādai pakāpei, ka netiek apdraudēta cilvēku veselība un vide, kā arī attiecīgo teritoriju iespējams izmantot noteiktai saimnieciskai darbībai saskaņā ar teritorijas attīstības plānu</w:t>
            </w:r>
            <w:r>
              <w:rPr>
                <w:bCs/>
                <w:color w:val="000000"/>
              </w:rPr>
              <w:t>.</w:t>
            </w:r>
          </w:p>
          <w:p w14:paraId="51AFB8E4" w14:textId="77777777" w:rsidR="00E2441B" w:rsidRPr="00AA6B7A" w:rsidRDefault="00E2441B" w:rsidP="00E2441B">
            <w:pPr>
              <w:spacing w:after="120"/>
              <w:jc w:val="both"/>
              <w:rPr>
                <w:bCs/>
                <w:color w:val="000000"/>
              </w:rPr>
            </w:pPr>
            <w:r w:rsidRPr="00AA6B7A">
              <w:rPr>
                <w:bCs/>
                <w:color w:val="000000"/>
              </w:rPr>
              <w:t xml:space="preserve">Projekta īstenošanas laikā (2012.gada beigās un 2013.gada sākumā) tika konstatētas gudrona netipiskas ķīmiskās un fizikālās īpašības, kas būtiski kavēja ekskavētā gudrona pārstrādes un utilizācijas procesu, tādējādi bija nepieciešams veikt izmaiņas gudrona pārstrādes un utilizācijas tehnoloģiskajā risinājumā, kas sadārdzināja sanācijas darbu izmaksas. </w:t>
            </w:r>
          </w:p>
          <w:p w14:paraId="5D54E129" w14:textId="77777777" w:rsidR="00E2441B" w:rsidRPr="00AA6B7A" w:rsidRDefault="00E2441B" w:rsidP="00E2441B">
            <w:pPr>
              <w:spacing w:after="120"/>
              <w:jc w:val="both"/>
              <w:rPr>
                <w:bCs/>
                <w:color w:val="000000"/>
              </w:rPr>
            </w:pPr>
            <w:r w:rsidRPr="00AA6B7A">
              <w:rPr>
                <w:bCs/>
                <w:color w:val="000000"/>
              </w:rPr>
              <w:t xml:space="preserve">Lai objektīvi novērtētu radušos situāciju un problēmas Projekta realizācijas gaitā, kā arī lai piedāvātu iespējamos risinājumus Projekta tālākā īstenošanā un mērķa sasniegšanā, 2013.gada maijā tika piesaistīti EK un Eiropas Investīciju bankas izveidotā tehniskā atbalsta instrumenta JASPERS (Kopīga palīdzība projektu sagatavošanai Eiropas reģionos) eksperti, kuri norādīja, ka Projekta priekšizpēte tika veikta profesionāli un nepieciešamība pārskatīt sanācijas darbu līguma izpildei pielietojamās gudrona utilizācijas tehnoloģijas radās iepriekš neparedzama gudrona ķīmiskā un fizikālā sastāva mainīguma dēļ. </w:t>
            </w:r>
          </w:p>
          <w:p w14:paraId="1C4ED609" w14:textId="77777777" w:rsidR="00E2441B" w:rsidRPr="00AA6B7A" w:rsidRDefault="00E2441B" w:rsidP="00E2441B">
            <w:pPr>
              <w:spacing w:after="120"/>
              <w:jc w:val="both"/>
              <w:rPr>
                <w:bCs/>
                <w:color w:val="000000"/>
              </w:rPr>
            </w:pPr>
            <w:r w:rsidRPr="00AA6B7A">
              <w:rPr>
                <w:bCs/>
                <w:color w:val="000000"/>
              </w:rPr>
              <w:t xml:space="preserve">Ņemot vērā, ka gudrona ķīmiskā un fizikālā sastāva mainīgums attīstījies VVD kā pasūtītājam, darbu veicējam un sanācijas darbu uzraugam neparedzamu apstākļu rezultātā, ko iesaistītās puses nevarēja ne tikai paredzēt, bet arī ne ietekmēt vai novērst, Ministru kabinets </w:t>
            </w:r>
            <w:r w:rsidR="00D52391">
              <w:rPr>
                <w:bCs/>
                <w:color w:val="000000"/>
              </w:rPr>
              <w:t>atbalstīja 3.4.1.4.aktivitātes “</w:t>
            </w:r>
            <w:r w:rsidRPr="00AA6B7A">
              <w:rPr>
                <w:bCs/>
                <w:color w:val="000000"/>
              </w:rPr>
              <w:t xml:space="preserve">Vēsturiski piesārņoto vietu sanācija” ietvaros pieejamā finansējumu palielināšanu (Ministru kabineta 2013.gada 15.oktobra noteikumi Nr.1132 “Grozījumi Ministru kabineta 2008.gada 30.septembra noteikumos Nr.817 “Noteikumi par darbības programmas “Infrastruktūra un pakalpojumi” papildinājuma 3.4.1.4.aktivitāti “Vēsturiski piesārņoto vietu sanācija””). Vienlaikus tika pagarināts arī Projekta īstenošanas termiņš līdz 2015. gada 31.decembrim, kas atbilstoši Padomes regulas (EK) Nr. 1083/2006 (2006. gada 11. jūlijs), </w:t>
            </w:r>
            <w:r w:rsidRPr="00EB2F30">
              <w:rPr>
                <w:bCs/>
                <w:i/>
                <w:color w:val="000000"/>
              </w:rPr>
              <w:t xml:space="preserve">ar ko paredz vispārīgus noteikumus par Eiropas Reģionālās attīstības fondu, Eiropas Sociālo fondu un Kohēzijas fondu </w:t>
            </w:r>
            <w:r w:rsidRPr="00EB2F30">
              <w:rPr>
                <w:bCs/>
                <w:i/>
                <w:color w:val="000000"/>
              </w:rPr>
              <w:lastRenderedPageBreak/>
              <w:t>un atceļ Regulu (EK) Nr. 1260/1999</w:t>
            </w:r>
            <w:r w:rsidRPr="00AA6B7A">
              <w:rPr>
                <w:bCs/>
                <w:color w:val="000000"/>
              </w:rPr>
              <w:t xml:space="preserve"> 56.panta pirmās daļas nosacījumiem ir Projekta attiecināmo izmaksu pēdējā diena.</w:t>
            </w:r>
          </w:p>
          <w:p w14:paraId="1775DF94" w14:textId="77777777" w:rsidR="00E2441B" w:rsidRPr="00AA6B7A" w:rsidRDefault="00E2441B" w:rsidP="00E2441B">
            <w:pPr>
              <w:spacing w:after="120"/>
              <w:jc w:val="both"/>
              <w:rPr>
                <w:bCs/>
                <w:color w:val="000000"/>
              </w:rPr>
            </w:pPr>
            <w:r w:rsidRPr="00AA6B7A">
              <w:rPr>
                <w:bCs/>
                <w:color w:val="000000"/>
              </w:rPr>
              <w:t>Lai nodrošinātu Projekta turpmāko īstenošanu atbilstoši jaunajam gudrona utilizācijas tehniskajam konceptam, ar darbu veicēju un uzraugu tika rīkotas sarunas, lai varētu veikt grozījumus noslēgtajos sanācijas darbu un uzraudzības līgumos. Ņemot vērā iepriekš minēto, 2014.gada 21.maijā tika parakstīti:</w:t>
            </w:r>
          </w:p>
          <w:p w14:paraId="200EEF1C" w14:textId="77777777" w:rsidR="00E2441B" w:rsidRPr="00AA6B7A" w:rsidRDefault="00E2441B" w:rsidP="00E2441B">
            <w:pPr>
              <w:pStyle w:val="ListParagraph"/>
              <w:numPr>
                <w:ilvl w:val="1"/>
                <w:numId w:val="45"/>
              </w:numPr>
              <w:spacing w:after="120"/>
              <w:ind w:left="317" w:hanging="283"/>
              <w:contextualSpacing w:val="0"/>
              <w:jc w:val="both"/>
              <w:rPr>
                <w:rFonts w:eastAsia="Calibri"/>
                <w:bCs/>
                <w:color w:val="000000"/>
                <w:sz w:val="24"/>
                <w:szCs w:val="24"/>
              </w:rPr>
            </w:pPr>
            <w:r w:rsidRPr="00AA6B7A">
              <w:rPr>
                <w:rFonts w:eastAsia="Calibri"/>
                <w:bCs/>
                <w:color w:val="000000"/>
                <w:sz w:val="24"/>
                <w:szCs w:val="24"/>
              </w:rPr>
              <w:t xml:space="preserve">grozījumi sanācijas darbu līgumā, veicot izmaiņas sanācijas darbu tehniskajā risinājumā, palielinot līguma kopējās izmaksas līdz 42 674 971 </w:t>
            </w:r>
            <w:r w:rsidRPr="00AA6B7A">
              <w:rPr>
                <w:rFonts w:eastAsia="Calibri"/>
                <w:bCs/>
                <w:i/>
                <w:color w:val="000000"/>
                <w:sz w:val="24"/>
                <w:szCs w:val="24"/>
              </w:rPr>
              <w:t>euro</w:t>
            </w:r>
            <w:r w:rsidRPr="00AA6B7A">
              <w:rPr>
                <w:rFonts w:eastAsia="Calibri"/>
                <w:bCs/>
                <w:color w:val="000000"/>
                <w:sz w:val="24"/>
                <w:szCs w:val="24"/>
              </w:rPr>
              <w:t>, ieskaitot pievienotās vērtības nodokli, un pagarinot sanācijas darbu līguma izpildes termiņu līdz 2015.gada 15.novembrim;</w:t>
            </w:r>
          </w:p>
          <w:p w14:paraId="77F7BD71" w14:textId="77777777" w:rsidR="00E2441B" w:rsidRPr="00AA6B7A" w:rsidRDefault="00E2441B" w:rsidP="00E2441B">
            <w:pPr>
              <w:pStyle w:val="ListParagraph"/>
              <w:numPr>
                <w:ilvl w:val="1"/>
                <w:numId w:val="45"/>
              </w:numPr>
              <w:spacing w:after="120"/>
              <w:ind w:left="317" w:hanging="283"/>
              <w:contextualSpacing w:val="0"/>
              <w:jc w:val="both"/>
              <w:rPr>
                <w:rFonts w:eastAsia="Calibri"/>
                <w:bCs/>
                <w:color w:val="000000"/>
                <w:sz w:val="24"/>
                <w:szCs w:val="24"/>
              </w:rPr>
            </w:pPr>
            <w:r w:rsidRPr="00AA6B7A">
              <w:rPr>
                <w:rFonts w:eastAsia="Calibri"/>
                <w:bCs/>
                <w:color w:val="000000"/>
                <w:sz w:val="24"/>
                <w:szCs w:val="24"/>
              </w:rPr>
              <w:t xml:space="preserve">grozījumi uzraudzības līgumā, palielinot līguma kopējās izmaksas līdz 571 706 </w:t>
            </w:r>
            <w:r w:rsidRPr="00AA6B7A">
              <w:rPr>
                <w:rFonts w:eastAsia="Calibri"/>
                <w:bCs/>
                <w:i/>
                <w:color w:val="000000"/>
                <w:sz w:val="24"/>
                <w:szCs w:val="24"/>
              </w:rPr>
              <w:t>euro</w:t>
            </w:r>
            <w:r w:rsidRPr="00AA6B7A">
              <w:rPr>
                <w:rFonts w:eastAsia="Calibri"/>
                <w:bCs/>
                <w:color w:val="000000"/>
                <w:sz w:val="24"/>
                <w:szCs w:val="24"/>
              </w:rPr>
              <w:t>, ieskaitot pievienotās vērtības nodokli, un pagarinot līguma izpildes termiņu līdz 2015.gada 15.novembrim.</w:t>
            </w:r>
          </w:p>
          <w:p w14:paraId="762B81B2" w14:textId="77777777" w:rsidR="00E2441B" w:rsidRPr="00AA6B7A" w:rsidRDefault="00E2441B" w:rsidP="00E2441B">
            <w:pPr>
              <w:spacing w:after="120"/>
              <w:jc w:val="both"/>
              <w:rPr>
                <w:bCs/>
                <w:color w:val="000000"/>
              </w:rPr>
            </w:pPr>
            <w:r w:rsidRPr="00AA6B7A">
              <w:rPr>
                <w:bCs/>
                <w:color w:val="000000"/>
              </w:rPr>
              <w:t xml:space="preserve">Vienlaikus VARAM un VVD parakstīja arī grozījumus līgumā par projekta īstenošanu, palielinot projekta kopējās izmaksas līdz 45 047 481  </w:t>
            </w:r>
            <w:r w:rsidRPr="00AA6B7A">
              <w:rPr>
                <w:bCs/>
                <w:i/>
                <w:color w:val="000000"/>
              </w:rPr>
              <w:t>euro</w:t>
            </w:r>
            <w:r w:rsidRPr="00AA6B7A">
              <w:rPr>
                <w:bCs/>
                <w:color w:val="000000"/>
              </w:rPr>
              <w:t xml:space="preserve"> un pagarinot Projekta īstenošanas termiņu līdz 2015.gada 31.decembrim. 2014.gada 4.jūnijā tika atsākti sanācijas darbi. Tomēr darbu veicējs 2015.gada pirmajā pusgadā darbus apturēja.</w:t>
            </w:r>
          </w:p>
          <w:p w14:paraId="7E1B8E5C" w14:textId="77777777" w:rsidR="00E81A61" w:rsidRPr="00AA6B7A" w:rsidRDefault="00E81A61" w:rsidP="00E2441B">
            <w:pPr>
              <w:spacing w:after="120"/>
              <w:jc w:val="both"/>
              <w:rPr>
                <w:bCs/>
                <w:color w:val="000000"/>
              </w:rPr>
            </w:pPr>
            <w:r w:rsidRPr="00AA6B7A">
              <w:rPr>
                <w:bCs/>
                <w:color w:val="000000"/>
              </w:rPr>
              <w:t>Ņemot vērā, ka sanācijas darbu izpildītājs SIA “Skonto Būve” nepildīja sanācijas darbu līgumā noteikto saistību izpildi, 2015.gada 22.jūlijā tika pārtraukts sanācijas darbu līgums.</w:t>
            </w:r>
          </w:p>
          <w:p w14:paraId="023153A4" w14:textId="77777777" w:rsidR="00E81A61" w:rsidRPr="00AA6B7A" w:rsidRDefault="00E81A61" w:rsidP="00E2441B">
            <w:pPr>
              <w:pStyle w:val="ListParagraph"/>
              <w:spacing w:after="120"/>
              <w:ind w:left="0"/>
              <w:contextualSpacing w:val="0"/>
              <w:jc w:val="both"/>
              <w:rPr>
                <w:rFonts w:eastAsia="Calibri"/>
                <w:bCs/>
                <w:color w:val="000000"/>
                <w:sz w:val="24"/>
                <w:szCs w:val="24"/>
              </w:rPr>
            </w:pPr>
            <w:r w:rsidRPr="00AA6B7A">
              <w:rPr>
                <w:rFonts w:eastAsia="Calibri"/>
                <w:bCs/>
                <w:color w:val="000000"/>
                <w:sz w:val="24"/>
                <w:szCs w:val="24"/>
              </w:rPr>
              <w:t xml:space="preserve">Atbilstoši </w:t>
            </w:r>
            <w:r w:rsidR="00DD68A0" w:rsidRPr="00AA6B7A">
              <w:rPr>
                <w:rFonts w:eastAsia="Calibri"/>
                <w:bCs/>
                <w:color w:val="000000"/>
                <w:sz w:val="24"/>
                <w:szCs w:val="24"/>
              </w:rPr>
              <w:t>MK</w:t>
            </w:r>
            <w:r w:rsidRPr="00AA6B7A">
              <w:rPr>
                <w:rFonts w:eastAsia="Calibri"/>
                <w:bCs/>
                <w:color w:val="000000"/>
                <w:sz w:val="24"/>
                <w:szCs w:val="24"/>
              </w:rPr>
              <w:t xml:space="preserve"> 2015.gada 22.septembra sēdē nolemtajam VARAM sadarbībā ar JASPERS, VV</w:t>
            </w:r>
            <w:r w:rsidR="00E2441B" w:rsidRPr="00AA6B7A">
              <w:rPr>
                <w:rFonts w:eastAsia="Calibri"/>
                <w:bCs/>
                <w:color w:val="000000"/>
                <w:sz w:val="24"/>
                <w:szCs w:val="24"/>
              </w:rPr>
              <w:t>D</w:t>
            </w:r>
            <w:r w:rsidRPr="00AA6B7A">
              <w:rPr>
                <w:rFonts w:eastAsia="Calibri"/>
                <w:bCs/>
                <w:color w:val="000000"/>
                <w:sz w:val="24"/>
                <w:szCs w:val="24"/>
              </w:rPr>
              <w:t xml:space="preserve"> un Finanšu ministriju sagatavoja un 2015.gada 1.oktobrī iesniedza </w:t>
            </w:r>
            <w:r w:rsidR="00E2441B" w:rsidRPr="00AA6B7A">
              <w:rPr>
                <w:rFonts w:eastAsia="Calibri"/>
                <w:bCs/>
                <w:color w:val="000000"/>
                <w:sz w:val="24"/>
                <w:szCs w:val="24"/>
              </w:rPr>
              <w:t>EK</w:t>
            </w:r>
            <w:r w:rsidRPr="00AA6B7A">
              <w:rPr>
                <w:rFonts w:eastAsia="Calibri"/>
                <w:bCs/>
                <w:color w:val="000000"/>
                <w:sz w:val="24"/>
                <w:szCs w:val="24"/>
              </w:rPr>
              <w:t xml:space="preserve"> priekšlikumu grozījumiem projektā</w:t>
            </w:r>
            <w:r w:rsidR="007F6A0D" w:rsidRPr="00AA6B7A">
              <w:rPr>
                <w:rFonts w:eastAsia="Calibri"/>
                <w:bCs/>
                <w:color w:val="000000"/>
                <w:sz w:val="24"/>
                <w:szCs w:val="24"/>
              </w:rPr>
              <w:t xml:space="preserve">, </w:t>
            </w:r>
            <w:r w:rsidRPr="00AA6B7A">
              <w:rPr>
                <w:rFonts w:eastAsia="Calibri"/>
                <w:bCs/>
                <w:color w:val="000000"/>
                <w:sz w:val="24"/>
                <w:szCs w:val="24"/>
              </w:rPr>
              <w:t xml:space="preserve">paredzot </w:t>
            </w:r>
            <w:r w:rsidR="007F6A0D" w:rsidRPr="00AA6B7A">
              <w:rPr>
                <w:rFonts w:eastAsia="Calibri"/>
                <w:bCs/>
                <w:color w:val="000000"/>
                <w:sz w:val="24"/>
                <w:szCs w:val="24"/>
              </w:rPr>
              <w:t xml:space="preserve">tā </w:t>
            </w:r>
            <w:r w:rsidRPr="00AA6B7A">
              <w:rPr>
                <w:rFonts w:eastAsia="Calibri"/>
                <w:bCs/>
                <w:color w:val="000000"/>
                <w:sz w:val="24"/>
                <w:szCs w:val="24"/>
              </w:rPr>
              <w:t>pabeigšanu ES  fondu 2014.-2020.gada plānošanas perioda ietvaros.</w:t>
            </w:r>
          </w:p>
          <w:p w14:paraId="39626391" w14:textId="29D21CB1" w:rsidR="00DD68A0" w:rsidRPr="00AA6B7A" w:rsidRDefault="00EB2F30" w:rsidP="00E2441B">
            <w:pPr>
              <w:pStyle w:val="ListParagraph"/>
              <w:spacing w:after="120"/>
              <w:ind w:left="0"/>
              <w:contextualSpacing w:val="0"/>
              <w:jc w:val="both"/>
              <w:rPr>
                <w:rFonts w:eastAsia="Calibri"/>
                <w:bCs/>
                <w:color w:val="000000"/>
                <w:sz w:val="24"/>
                <w:szCs w:val="24"/>
              </w:rPr>
            </w:pPr>
            <w:r w:rsidRPr="00AA6B7A">
              <w:rPr>
                <w:rFonts w:eastAsia="Calibri"/>
                <w:bCs/>
                <w:color w:val="000000"/>
                <w:sz w:val="24"/>
                <w:szCs w:val="24"/>
              </w:rPr>
              <w:t>Vienlaikus MK 2015.gada 22.septembra sēdē tika nolemts turpināt Projekta īstenošanu un atļaut VVD uzņemties saistības Projekta īstenošanas nodrošināšanai arī pēc 2015.gada 31.decembra, kas bija ES fondu 2007.-2013.gada plānošanas perioda ietvaros īstenoto projektu izmaksu attiecināmības pēdējā diena. Lai nodrošinātu Projekta īstenošanas turpināšanu arī pēc 2015.gada 31.decembra, 2015.gada nogalē MK apstiprināja grozījumus MK 2008.gada 30.septembra noteikumos Nr.817 “Noteikumi par darbības programmas “Infrastruktūra un pakalpojumi” papildinājuma 3.4.1.4.aktivitāti “Vēsturiski piesārņoto vietu sanācija””</w:t>
            </w:r>
            <w:r>
              <w:rPr>
                <w:rFonts w:eastAsia="Calibri"/>
                <w:bCs/>
                <w:color w:val="000000"/>
                <w:sz w:val="24"/>
                <w:szCs w:val="24"/>
              </w:rPr>
              <w:t xml:space="preserve"> (turpmāk - MK noteikumi Nr.817)</w:t>
            </w:r>
            <w:r w:rsidRPr="00AA6B7A">
              <w:rPr>
                <w:rFonts w:eastAsia="Calibri"/>
                <w:bCs/>
                <w:color w:val="000000"/>
                <w:sz w:val="24"/>
                <w:szCs w:val="24"/>
              </w:rPr>
              <w:t xml:space="preserve"> paredzot noteikt Projektu kā nefunkcionējošu projektu ar Projekta pabeigšanas termiņu līdz 2019.gada 31.martam. Noteikt Projektu par nefunkcionējošu Projektu bija vienīgais iespējamais risinājums, lai nodrošinātu nepārtrauktu Projekta īstenošanas turpināšanu arī pēc 2015.gada 31.decembra, kamēr vēl nebija saņemts EK lēmums par Projekta īstenošanas dalīšanu posmos.</w:t>
            </w:r>
          </w:p>
          <w:p w14:paraId="0E9272DE" w14:textId="77777777" w:rsidR="00E81A61" w:rsidRPr="00AA6B7A" w:rsidRDefault="00E81A61" w:rsidP="00E2441B">
            <w:pPr>
              <w:pStyle w:val="ListParagraph"/>
              <w:spacing w:after="120"/>
              <w:ind w:left="0"/>
              <w:contextualSpacing w:val="0"/>
              <w:jc w:val="both"/>
              <w:rPr>
                <w:rFonts w:eastAsia="Calibri"/>
                <w:bCs/>
                <w:color w:val="000000"/>
                <w:sz w:val="24"/>
                <w:szCs w:val="24"/>
              </w:rPr>
            </w:pPr>
            <w:r w:rsidRPr="00AA6B7A">
              <w:rPr>
                <w:rFonts w:eastAsia="Calibri"/>
                <w:bCs/>
                <w:color w:val="000000"/>
                <w:sz w:val="24"/>
                <w:szCs w:val="24"/>
              </w:rPr>
              <w:lastRenderedPageBreak/>
              <w:t>EK 2016.gada 7.jūnijā pieņēma lēmumu</w:t>
            </w:r>
            <w:r w:rsidRPr="00AA6B7A">
              <w:rPr>
                <w:rFonts w:eastAsia="Calibri"/>
                <w:bCs/>
                <w:color w:val="000000"/>
                <w:vertAlign w:val="superscript"/>
              </w:rPr>
              <w:footnoteReference w:id="2"/>
            </w:r>
            <w:r w:rsidRPr="00AA6B7A">
              <w:rPr>
                <w:rFonts w:eastAsia="Calibri"/>
                <w:bCs/>
                <w:color w:val="000000"/>
                <w:sz w:val="24"/>
                <w:szCs w:val="24"/>
              </w:rPr>
              <w:t xml:space="preserve"> </w:t>
            </w:r>
            <w:r w:rsidR="00D76A13" w:rsidRPr="00AA6B7A">
              <w:rPr>
                <w:rFonts w:eastAsia="Calibri"/>
                <w:bCs/>
                <w:color w:val="000000"/>
                <w:sz w:val="24"/>
                <w:szCs w:val="24"/>
              </w:rPr>
              <w:t xml:space="preserve">(turpmāk – EK lēmums) </w:t>
            </w:r>
            <w:r w:rsidRPr="00AA6B7A">
              <w:rPr>
                <w:rFonts w:eastAsia="Calibri"/>
                <w:bCs/>
                <w:color w:val="000000"/>
                <w:sz w:val="24"/>
                <w:szCs w:val="24"/>
              </w:rPr>
              <w:t>par Projekta grozījumu apstiprināšanu. Lēmumā:</w:t>
            </w:r>
          </w:p>
          <w:p w14:paraId="234D7A2E" w14:textId="77777777" w:rsidR="00E81A61" w:rsidRPr="00AA6B7A" w:rsidRDefault="00E81A61" w:rsidP="00C2446A">
            <w:pPr>
              <w:pStyle w:val="ListParagraph"/>
              <w:numPr>
                <w:ilvl w:val="1"/>
                <w:numId w:val="45"/>
              </w:numPr>
              <w:spacing w:after="120"/>
              <w:ind w:left="317" w:hanging="283"/>
              <w:contextualSpacing w:val="0"/>
              <w:jc w:val="both"/>
              <w:rPr>
                <w:rFonts w:eastAsia="Calibri"/>
                <w:bCs/>
                <w:color w:val="000000"/>
                <w:sz w:val="24"/>
                <w:szCs w:val="24"/>
              </w:rPr>
            </w:pPr>
            <w:r w:rsidRPr="00AA6B7A">
              <w:rPr>
                <w:rFonts w:eastAsia="Calibri"/>
                <w:bCs/>
                <w:color w:val="000000"/>
                <w:sz w:val="24"/>
                <w:szCs w:val="24"/>
              </w:rPr>
              <w:t xml:space="preserve">atzīta neparedzamu apstākļu rašanās projekta īstenošanas laikā, </w:t>
            </w:r>
            <w:r w:rsidR="00D76A13" w:rsidRPr="00AA6B7A">
              <w:rPr>
                <w:rFonts w:eastAsia="Calibri"/>
                <w:bCs/>
                <w:color w:val="000000"/>
                <w:sz w:val="24"/>
                <w:szCs w:val="24"/>
              </w:rPr>
              <w:t xml:space="preserve">ko izraisīja izsmeļamā materiāla mainīgais ķīmiskais sastāvs un apjoms un attīrīšanas tehnoloģiju maiņa, kas </w:t>
            </w:r>
            <w:r w:rsidR="006804BE">
              <w:rPr>
                <w:rFonts w:eastAsia="Calibri"/>
                <w:bCs/>
                <w:color w:val="000000"/>
                <w:sz w:val="24"/>
                <w:szCs w:val="24"/>
              </w:rPr>
              <w:t>ievērojami kavēja apstiprinātā P</w:t>
            </w:r>
            <w:r w:rsidR="00D76A13" w:rsidRPr="00AA6B7A">
              <w:rPr>
                <w:rFonts w:eastAsia="Calibri"/>
                <w:bCs/>
                <w:color w:val="000000"/>
                <w:sz w:val="24"/>
                <w:szCs w:val="24"/>
              </w:rPr>
              <w:t xml:space="preserve">rojekta </w:t>
            </w:r>
            <w:r w:rsidR="006804BE">
              <w:rPr>
                <w:rFonts w:eastAsia="Calibri"/>
                <w:bCs/>
                <w:color w:val="000000"/>
                <w:sz w:val="24"/>
                <w:szCs w:val="24"/>
              </w:rPr>
              <w:t>ieviešanu un palielināja lielā P</w:t>
            </w:r>
            <w:r w:rsidR="00D76A13" w:rsidRPr="00AA6B7A">
              <w:rPr>
                <w:rFonts w:eastAsia="Calibri"/>
                <w:bCs/>
                <w:color w:val="000000"/>
                <w:sz w:val="24"/>
                <w:szCs w:val="24"/>
              </w:rPr>
              <w:t>rojekta kopējo budžetu</w:t>
            </w:r>
            <w:r w:rsidRPr="00AA6B7A">
              <w:rPr>
                <w:rFonts w:eastAsia="Calibri"/>
                <w:bCs/>
                <w:color w:val="000000"/>
                <w:sz w:val="24"/>
                <w:szCs w:val="24"/>
              </w:rPr>
              <w:t>,</w:t>
            </w:r>
          </w:p>
          <w:p w14:paraId="6E54EDC8" w14:textId="77777777" w:rsidR="00D76A13" w:rsidRPr="00AA6B7A" w:rsidRDefault="00E81A61" w:rsidP="00C2446A">
            <w:pPr>
              <w:pStyle w:val="ListParagraph"/>
              <w:numPr>
                <w:ilvl w:val="1"/>
                <w:numId w:val="45"/>
              </w:numPr>
              <w:spacing w:after="120"/>
              <w:ind w:left="317" w:hanging="283"/>
              <w:contextualSpacing w:val="0"/>
              <w:jc w:val="both"/>
              <w:rPr>
                <w:rFonts w:eastAsia="Calibri"/>
                <w:bCs/>
                <w:color w:val="000000"/>
                <w:sz w:val="24"/>
                <w:szCs w:val="24"/>
              </w:rPr>
            </w:pPr>
            <w:r w:rsidRPr="00AA6B7A">
              <w:rPr>
                <w:rFonts w:eastAsia="Calibri"/>
                <w:bCs/>
                <w:color w:val="000000"/>
                <w:sz w:val="24"/>
                <w:szCs w:val="24"/>
              </w:rPr>
              <w:t xml:space="preserve">apstiprināta Projekta īstenošanas dalīšana posmos pa ES fondu plānošanas periodiem. </w:t>
            </w:r>
          </w:p>
          <w:p w14:paraId="4B32FEE7" w14:textId="77777777" w:rsidR="006804BE" w:rsidRPr="00AA6B7A" w:rsidRDefault="006804BE" w:rsidP="006804BE">
            <w:pPr>
              <w:spacing w:after="120"/>
              <w:jc w:val="both"/>
              <w:rPr>
                <w:bCs/>
                <w:color w:val="000000"/>
              </w:rPr>
            </w:pPr>
            <w:r w:rsidRPr="00AA6B7A">
              <w:rPr>
                <w:bCs/>
                <w:color w:val="000000"/>
              </w:rPr>
              <w:t xml:space="preserve">Projektā ES fondu 2007.-2013.gada plānošanas perioda ietvaros  līdz 2015.gada 31.decembrim  </w:t>
            </w:r>
            <w:r>
              <w:rPr>
                <w:bCs/>
                <w:color w:val="000000"/>
              </w:rPr>
              <w:t>īstenotas</w:t>
            </w:r>
            <w:r w:rsidRPr="00AA6B7A">
              <w:rPr>
                <w:bCs/>
                <w:color w:val="000000"/>
              </w:rPr>
              <w:t xml:space="preserve">  I posm</w:t>
            </w:r>
            <w:r>
              <w:rPr>
                <w:bCs/>
                <w:color w:val="000000"/>
              </w:rPr>
              <w:t>a aktivitātes</w:t>
            </w:r>
            <w:r w:rsidRPr="00AA6B7A">
              <w:rPr>
                <w:bCs/>
                <w:color w:val="000000"/>
              </w:rPr>
              <w:t xml:space="preserve"> </w:t>
            </w:r>
            <w:r>
              <w:rPr>
                <w:bCs/>
                <w:color w:val="000000"/>
              </w:rPr>
              <w:t xml:space="preserve">- </w:t>
            </w:r>
            <w:r w:rsidRPr="00AA6B7A">
              <w:rPr>
                <w:bCs/>
                <w:color w:val="000000"/>
              </w:rPr>
              <w:t xml:space="preserve">Dienvidu dīķa daļēja sanācija, sanācijas darbu uzraudzība un inženiertehniskie pakalpojumi, Dienvidu dīķa pagaidu pārklājums, savukārt ES fondu 2014.-2020.gada plānošanas perioda ietvaros </w:t>
            </w:r>
            <w:r>
              <w:rPr>
                <w:bCs/>
                <w:color w:val="000000"/>
              </w:rPr>
              <w:t xml:space="preserve">plānotas </w:t>
            </w:r>
            <w:r w:rsidRPr="00AA6B7A">
              <w:rPr>
                <w:bCs/>
                <w:color w:val="000000"/>
              </w:rPr>
              <w:t>Projekt</w:t>
            </w:r>
            <w:r>
              <w:rPr>
                <w:bCs/>
                <w:color w:val="000000"/>
              </w:rPr>
              <w:t xml:space="preserve">a II posma aktivitātes </w:t>
            </w:r>
            <w:r w:rsidRPr="00AA6B7A">
              <w:rPr>
                <w:bCs/>
                <w:color w:val="000000"/>
              </w:rPr>
              <w:t xml:space="preserve">(Projekta II posms) – darbības Projekta pabeigšanai </w:t>
            </w:r>
            <w:r>
              <w:rPr>
                <w:bCs/>
                <w:color w:val="000000"/>
              </w:rPr>
              <w:t xml:space="preserve">- </w:t>
            </w:r>
            <w:r w:rsidRPr="00AA6B7A">
              <w:rPr>
                <w:bCs/>
                <w:color w:val="000000"/>
              </w:rPr>
              <w:t>Dienvidu dīķa sanācijas pabeigšana, Ziemeļu dīķa sanācija, sanācijas darbu uzraudzība, inženiertehniskie pakalpojumi un Projekta II posma vadība, ieskaitot juridiskos pakalpojumus. Projekta I posm</w:t>
            </w:r>
            <w:r>
              <w:rPr>
                <w:bCs/>
                <w:color w:val="000000"/>
              </w:rPr>
              <w:t>a ietvaros</w:t>
            </w:r>
            <w:r w:rsidRPr="00AA6B7A">
              <w:rPr>
                <w:bCs/>
                <w:color w:val="000000"/>
              </w:rPr>
              <w:t xml:space="preserve"> paveiktās un Projekta II posm</w:t>
            </w:r>
            <w:r>
              <w:rPr>
                <w:bCs/>
                <w:color w:val="000000"/>
              </w:rPr>
              <w:t>a ietvaros</w:t>
            </w:r>
            <w:r w:rsidRPr="00AA6B7A">
              <w:rPr>
                <w:bCs/>
                <w:color w:val="000000"/>
              </w:rPr>
              <w:t xml:space="preserve"> plānotās aktivitātes ir uzskaitītas EK lēmumā.</w:t>
            </w:r>
          </w:p>
          <w:p w14:paraId="7E69B776" w14:textId="6A6E3BEF" w:rsidR="00D76A13" w:rsidRPr="00AA6B7A" w:rsidRDefault="0006448D" w:rsidP="00E2441B">
            <w:pPr>
              <w:pStyle w:val="ListParagraph"/>
              <w:spacing w:after="120"/>
              <w:ind w:left="0"/>
              <w:contextualSpacing w:val="0"/>
              <w:jc w:val="both"/>
              <w:rPr>
                <w:rFonts w:eastAsia="Calibri"/>
                <w:bCs/>
                <w:color w:val="000000"/>
                <w:sz w:val="24"/>
                <w:szCs w:val="24"/>
              </w:rPr>
            </w:pPr>
            <w:r>
              <w:rPr>
                <w:rFonts w:eastAsia="Calibri"/>
                <w:bCs/>
                <w:color w:val="000000"/>
                <w:sz w:val="24"/>
                <w:szCs w:val="24"/>
              </w:rPr>
              <w:t>Tā</w:t>
            </w:r>
            <w:r w:rsidR="00D76A13" w:rsidRPr="00AA6B7A">
              <w:rPr>
                <w:rFonts w:eastAsia="Calibri"/>
                <w:bCs/>
                <w:color w:val="000000"/>
                <w:sz w:val="24"/>
                <w:szCs w:val="24"/>
              </w:rPr>
              <w:t xml:space="preserve">pat arī EK lēmums paredz, ka līdz šim Projektā veiktās izmaksas tiek atzītas par attiecināmām un Latvija no Eiropas Reģionālā attīstības fonda (turpmāk - ERAF) atgūst 19 325 290 </w:t>
            </w:r>
            <w:r w:rsidR="00E2441B" w:rsidRPr="00AA6B7A">
              <w:rPr>
                <w:rFonts w:eastAsia="Calibri"/>
                <w:bCs/>
                <w:color w:val="000000"/>
                <w:sz w:val="24"/>
                <w:szCs w:val="24"/>
              </w:rPr>
              <w:t xml:space="preserve"> </w:t>
            </w:r>
            <w:r w:rsidR="00E2441B" w:rsidRPr="00AA6B7A">
              <w:rPr>
                <w:rFonts w:eastAsia="Calibri"/>
                <w:bCs/>
                <w:i/>
                <w:color w:val="000000"/>
                <w:sz w:val="24"/>
                <w:szCs w:val="24"/>
              </w:rPr>
              <w:t>euro</w:t>
            </w:r>
            <w:r w:rsidR="00E2441B" w:rsidRPr="00AA6B7A">
              <w:rPr>
                <w:rFonts w:eastAsia="Calibri"/>
                <w:bCs/>
                <w:color w:val="000000"/>
                <w:sz w:val="24"/>
                <w:szCs w:val="24"/>
              </w:rPr>
              <w:t xml:space="preserve"> </w:t>
            </w:r>
            <w:r w:rsidR="00D76A13" w:rsidRPr="00AA6B7A">
              <w:rPr>
                <w:rFonts w:eastAsia="Calibri"/>
                <w:bCs/>
                <w:color w:val="000000"/>
                <w:sz w:val="24"/>
                <w:szCs w:val="24"/>
              </w:rPr>
              <w:t xml:space="preserve">par jau veiktajiem ieguldījumiem projekta īstenošanā (70% no līdz 2015.gada beigām Projektā veiktajām attiecināmajām izmaksām – 27 607 557 </w:t>
            </w:r>
            <w:r w:rsidR="00E2441B" w:rsidRPr="00AA6B7A">
              <w:rPr>
                <w:rFonts w:eastAsia="Calibri"/>
                <w:bCs/>
                <w:color w:val="000000"/>
                <w:sz w:val="24"/>
                <w:szCs w:val="24"/>
              </w:rPr>
              <w:t xml:space="preserve"> </w:t>
            </w:r>
            <w:r w:rsidR="00E2441B" w:rsidRPr="00AA6B7A">
              <w:rPr>
                <w:rFonts w:eastAsia="Calibri"/>
                <w:bCs/>
                <w:i/>
                <w:color w:val="000000"/>
                <w:sz w:val="24"/>
                <w:szCs w:val="24"/>
              </w:rPr>
              <w:t>euro</w:t>
            </w:r>
            <w:r w:rsidR="006804BE">
              <w:rPr>
                <w:rFonts w:eastAsia="Calibri"/>
                <w:bCs/>
                <w:color w:val="000000"/>
                <w:sz w:val="24"/>
                <w:szCs w:val="24"/>
              </w:rPr>
              <w:t>), ar nosacījumu, ka P</w:t>
            </w:r>
            <w:r w:rsidR="00D76A13" w:rsidRPr="00AA6B7A">
              <w:rPr>
                <w:rFonts w:eastAsia="Calibri"/>
                <w:bCs/>
                <w:color w:val="000000"/>
                <w:sz w:val="24"/>
                <w:szCs w:val="24"/>
              </w:rPr>
              <w:t>rojekts tiek pabeigts vēlākais līdz 2023.gada beigām.</w:t>
            </w:r>
          </w:p>
          <w:p w14:paraId="38B01803" w14:textId="77777777" w:rsidR="00C2446A" w:rsidRPr="00AA6B7A" w:rsidRDefault="00F72A4F" w:rsidP="00E2441B">
            <w:pPr>
              <w:spacing w:after="120"/>
              <w:jc w:val="both"/>
              <w:rPr>
                <w:bCs/>
                <w:color w:val="000000"/>
              </w:rPr>
            </w:pPr>
            <w:r w:rsidRPr="00AA6B7A">
              <w:rPr>
                <w:bCs/>
                <w:color w:val="000000"/>
              </w:rPr>
              <w:t xml:space="preserve">Pēc sanācijas darbu </w:t>
            </w:r>
            <w:r w:rsidR="00D76A13" w:rsidRPr="00AA6B7A">
              <w:rPr>
                <w:bCs/>
                <w:color w:val="000000"/>
              </w:rPr>
              <w:t xml:space="preserve">līguma </w:t>
            </w:r>
            <w:r w:rsidRPr="00AA6B7A">
              <w:rPr>
                <w:bCs/>
                <w:color w:val="000000"/>
              </w:rPr>
              <w:t xml:space="preserve">pārtraukšanas </w:t>
            </w:r>
            <w:r w:rsidR="00427835" w:rsidRPr="00AA6B7A">
              <w:rPr>
                <w:bCs/>
                <w:color w:val="000000"/>
              </w:rPr>
              <w:t>2015.gada nogalē tika veikta Dienvidu dīķa pārklāšana, tādējādi pasargājot dīķi no piesārņojuma apj</w:t>
            </w:r>
            <w:r w:rsidRPr="00AA6B7A">
              <w:rPr>
                <w:bCs/>
                <w:color w:val="000000"/>
              </w:rPr>
              <w:t>oma palielināšanās nokrišņu dēļ. Tāpat v</w:t>
            </w:r>
            <w:r w:rsidR="003A68D8" w:rsidRPr="00AA6B7A">
              <w:rPr>
                <w:bCs/>
                <w:color w:val="000000"/>
              </w:rPr>
              <w:t>eikti Dienvidu dīķa teritorijas sakopšanas darbi, l</w:t>
            </w:r>
            <w:r w:rsidR="00427835" w:rsidRPr="00AA6B7A">
              <w:rPr>
                <w:bCs/>
                <w:color w:val="000000"/>
              </w:rPr>
              <w:t>ai preventīvi novērstu iespējamos apdraudējumus cilvēka un vides veselībai un piesārņojuma rašanos no Dienvidu dīķa teritorijā SIA “Skonto Būve” atstātajiem atkritumiem, sanācijas darbu izpildes gaitā izmantoto materiālu atlikumiem (kaļķis, aktīvā ogle u.c.), no dīķa izceltajiem ar sērskābo gudronu aplipušajiem p</w:t>
            </w:r>
            <w:r w:rsidRPr="00AA6B7A">
              <w:rPr>
                <w:bCs/>
                <w:color w:val="000000"/>
              </w:rPr>
              <w:t xml:space="preserve">riekšmetiem, būvgružiem u.tml. </w:t>
            </w:r>
          </w:p>
          <w:p w14:paraId="56960587" w14:textId="77777777" w:rsidR="00427835" w:rsidRPr="00AA6B7A" w:rsidRDefault="00427835" w:rsidP="00E2441B">
            <w:pPr>
              <w:spacing w:after="120"/>
              <w:jc w:val="both"/>
              <w:rPr>
                <w:bCs/>
                <w:color w:val="000000"/>
              </w:rPr>
            </w:pPr>
            <w:r w:rsidRPr="00AA6B7A">
              <w:rPr>
                <w:bCs/>
                <w:color w:val="000000"/>
              </w:rPr>
              <w:t>Lai nodrošinātu</w:t>
            </w:r>
            <w:r w:rsidR="00F72A4F" w:rsidRPr="00AA6B7A">
              <w:rPr>
                <w:bCs/>
                <w:color w:val="000000"/>
              </w:rPr>
              <w:t xml:space="preserve"> aktuālo informāciju par </w:t>
            </w:r>
            <w:r w:rsidRPr="00AA6B7A">
              <w:rPr>
                <w:bCs/>
                <w:color w:val="000000"/>
              </w:rPr>
              <w:t xml:space="preserve">piesārņojuma areāla izplatību, kas bija būtisks priekšnosacījums </w:t>
            </w:r>
            <w:r w:rsidR="000629D5" w:rsidRPr="00AA6B7A">
              <w:rPr>
                <w:bCs/>
                <w:color w:val="000000"/>
              </w:rPr>
              <w:t xml:space="preserve">Projekta </w:t>
            </w:r>
            <w:r w:rsidRPr="00AA6B7A">
              <w:rPr>
                <w:bCs/>
                <w:color w:val="000000"/>
              </w:rPr>
              <w:t xml:space="preserve">grozījumu apstiprināšanai, kā arī lai mazinātu </w:t>
            </w:r>
            <w:r w:rsidR="000629D5" w:rsidRPr="00AA6B7A">
              <w:rPr>
                <w:bCs/>
                <w:color w:val="000000"/>
              </w:rPr>
              <w:t xml:space="preserve">Projekta </w:t>
            </w:r>
            <w:r w:rsidRPr="00AA6B7A">
              <w:rPr>
                <w:bCs/>
                <w:color w:val="000000"/>
              </w:rPr>
              <w:t xml:space="preserve">pabeigšanas riskus un apzinātu esošos apstākļus sanācijas objektā, ievērojot </w:t>
            </w:r>
            <w:r w:rsidR="003A68D8" w:rsidRPr="00AA6B7A">
              <w:rPr>
                <w:bCs/>
                <w:color w:val="000000"/>
              </w:rPr>
              <w:t>JASPERS</w:t>
            </w:r>
            <w:r w:rsidRPr="00AA6B7A">
              <w:rPr>
                <w:bCs/>
                <w:color w:val="000000"/>
              </w:rPr>
              <w:t xml:space="preserve"> ekspertu ieteikumus, 2016.gada maijā pabeigti </w:t>
            </w:r>
            <w:r w:rsidR="0063657C" w:rsidRPr="00AA6B7A">
              <w:rPr>
                <w:bCs/>
                <w:color w:val="000000"/>
              </w:rPr>
              <w:t xml:space="preserve">inženiertehniski pētnieciskie </w:t>
            </w:r>
            <w:r w:rsidRPr="00AA6B7A">
              <w:rPr>
                <w:bCs/>
                <w:color w:val="000000"/>
              </w:rPr>
              <w:t>darbi abos dīķos.</w:t>
            </w:r>
          </w:p>
          <w:p w14:paraId="545EEF19" w14:textId="77777777" w:rsidR="00C2446A" w:rsidRPr="00AA6B7A" w:rsidRDefault="00C2446A" w:rsidP="00C2446A">
            <w:pPr>
              <w:shd w:val="clear" w:color="auto" w:fill="FFFFFF"/>
              <w:jc w:val="both"/>
              <w:rPr>
                <w:bCs/>
                <w:color w:val="000000"/>
              </w:rPr>
            </w:pPr>
            <w:r w:rsidRPr="00AA6B7A">
              <w:rPr>
                <w:bCs/>
                <w:color w:val="000000"/>
              </w:rPr>
              <w:t>Izpētes gaitā tika secināts, ka:</w:t>
            </w:r>
          </w:p>
          <w:p w14:paraId="590770DD" w14:textId="72E53CA6" w:rsidR="00C2446A" w:rsidRPr="00EB2F30" w:rsidRDefault="00EB2F30" w:rsidP="00EB2F30">
            <w:pPr>
              <w:pStyle w:val="ListParagraph"/>
              <w:numPr>
                <w:ilvl w:val="1"/>
                <w:numId w:val="45"/>
              </w:numPr>
              <w:spacing w:after="120"/>
              <w:ind w:left="317" w:hanging="283"/>
              <w:contextualSpacing w:val="0"/>
              <w:jc w:val="both"/>
              <w:rPr>
                <w:rFonts w:eastAsia="Calibri"/>
                <w:bCs/>
                <w:color w:val="000000"/>
                <w:sz w:val="24"/>
                <w:szCs w:val="24"/>
              </w:rPr>
            </w:pPr>
            <w:r w:rsidRPr="00AA6B7A">
              <w:rPr>
                <w:rFonts w:eastAsia="Calibri"/>
                <w:bCs/>
                <w:color w:val="000000"/>
                <w:sz w:val="24"/>
                <w:szCs w:val="24"/>
              </w:rPr>
              <w:t>atbilstoši pētī</w:t>
            </w:r>
            <w:r w:rsidR="00DB2BCB">
              <w:rPr>
                <w:rFonts w:eastAsia="Calibri"/>
                <w:bCs/>
                <w:color w:val="000000"/>
                <w:sz w:val="24"/>
                <w:szCs w:val="24"/>
              </w:rPr>
              <w:t>jumos iegūtajām prognozēm, pie “</w:t>
            </w:r>
            <w:r w:rsidRPr="00AA6B7A">
              <w:rPr>
                <w:rFonts w:eastAsia="Calibri"/>
                <w:bCs/>
                <w:color w:val="000000"/>
                <w:sz w:val="24"/>
                <w:szCs w:val="24"/>
              </w:rPr>
              <w:t>nulles” scenārija, neveicot nekādus sanācijas pasākumus, Ziemeļu un Dienvidu dīķu sintētiskās virsmaktīvās vielas</w:t>
            </w:r>
            <w:r>
              <w:rPr>
                <w:rFonts w:eastAsia="Calibri"/>
                <w:bCs/>
                <w:color w:val="000000"/>
                <w:sz w:val="24"/>
                <w:szCs w:val="24"/>
              </w:rPr>
              <w:t xml:space="preserve"> (turpmāk – SVAV)</w:t>
            </w:r>
            <w:r w:rsidRPr="00AA6B7A">
              <w:rPr>
                <w:rFonts w:eastAsia="Calibri"/>
                <w:bCs/>
                <w:color w:val="000000"/>
                <w:sz w:val="24"/>
                <w:szCs w:val="24"/>
              </w:rPr>
              <w:t xml:space="preserve">, kas ir </w:t>
            </w:r>
            <w:r w:rsidRPr="00AA6B7A">
              <w:rPr>
                <w:rFonts w:eastAsia="Calibri"/>
                <w:bCs/>
                <w:color w:val="000000"/>
                <w:sz w:val="24"/>
                <w:szCs w:val="24"/>
              </w:rPr>
              <w:lastRenderedPageBreak/>
              <w:t>piesārņojuma indikators</w:t>
            </w:r>
            <w:r>
              <w:rPr>
                <w:rFonts w:eastAsia="Calibri"/>
                <w:bCs/>
                <w:color w:val="000000"/>
                <w:sz w:val="24"/>
                <w:szCs w:val="24"/>
              </w:rPr>
              <w:t>,</w:t>
            </w:r>
            <w:r w:rsidRPr="00AA6B7A">
              <w:rPr>
                <w:rFonts w:eastAsia="Calibri"/>
                <w:bCs/>
                <w:color w:val="000000"/>
                <w:sz w:val="24"/>
                <w:szCs w:val="24"/>
              </w:rPr>
              <w:t xml:space="preserve"> sasniegs Gaujas upi pēc ~25 gadiem no Ziemeļu dīķa un pēc ~7</w:t>
            </w:r>
            <w:r>
              <w:rPr>
                <w:rFonts w:eastAsia="Calibri"/>
                <w:bCs/>
                <w:color w:val="000000"/>
                <w:sz w:val="24"/>
                <w:szCs w:val="24"/>
              </w:rPr>
              <w:t>0 - 80 gadiem no Dienvidu dīķa;</w:t>
            </w:r>
          </w:p>
          <w:p w14:paraId="0D81C5E0" w14:textId="77777777" w:rsidR="00C2446A" w:rsidRPr="00AA6B7A" w:rsidRDefault="00C2446A" w:rsidP="00C2446A">
            <w:pPr>
              <w:pStyle w:val="ListParagraph"/>
              <w:numPr>
                <w:ilvl w:val="1"/>
                <w:numId w:val="45"/>
              </w:numPr>
              <w:spacing w:after="120"/>
              <w:ind w:left="317" w:hanging="283"/>
              <w:contextualSpacing w:val="0"/>
              <w:jc w:val="both"/>
              <w:rPr>
                <w:rFonts w:eastAsia="Calibri"/>
                <w:bCs/>
                <w:color w:val="000000"/>
                <w:sz w:val="24"/>
                <w:szCs w:val="24"/>
              </w:rPr>
            </w:pPr>
            <w:r w:rsidRPr="00AA6B7A">
              <w:rPr>
                <w:rFonts w:eastAsia="Calibri"/>
                <w:bCs/>
                <w:color w:val="000000"/>
                <w:sz w:val="24"/>
                <w:szCs w:val="24"/>
              </w:rPr>
              <w:t>atbilstoši modelēšanas rezultātiem, likvidējot piesārņojuma avotu, tiks novērstas piesārņojošo vielu emisijas pazemes ūdeņos un turpmāka piesārņojuma izplatīšanās augsnē un ūdeņos (atlikušo piesārņojošo vielu emisijas pazemes ūdeņos būs nelielas un nebūtiskas). Modelēšanas rezultāti parāda, ka rekultivācijas (pretinfiltrācijas) pārsegumu izmantošana būtiski samazina dīķu piesārņojuma avotu atlieku izšķīdināšanas intensitāti pazemes ūdens plūsmā Ziemeļu un Dienvidu dīķiem. Lai samazinātu piesārņojuma risku Gaujai, tiek rekomendēts veikt piesārņoto ūdeņu atsūknēšanu no Augšgaujas horizonta piesārņojuma epicentra;</w:t>
            </w:r>
          </w:p>
          <w:p w14:paraId="4690D1F4" w14:textId="77777777" w:rsidR="00C2446A" w:rsidRPr="00AA6B7A" w:rsidRDefault="00C2446A" w:rsidP="00C2446A">
            <w:pPr>
              <w:pStyle w:val="ListParagraph"/>
              <w:numPr>
                <w:ilvl w:val="1"/>
                <w:numId w:val="45"/>
              </w:numPr>
              <w:spacing w:after="120"/>
              <w:ind w:left="317" w:hanging="283"/>
              <w:contextualSpacing w:val="0"/>
              <w:jc w:val="both"/>
              <w:rPr>
                <w:rFonts w:eastAsia="Calibri"/>
                <w:bCs/>
                <w:color w:val="000000"/>
                <w:sz w:val="24"/>
                <w:szCs w:val="24"/>
              </w:rPr>
            </w:pPr>
            <w:r w:rsidRPr="00AA6B7A">
              <w:rPr>
                <w:rFonts w:eastAsia="Calibri"/>
                <w:bCs/>
                <w:color w:val="000000"/>
                <w:sz w:val="24"/>
                <w:szCs w:val="24"/>
              </w:rPr>
              <w:t>dažviet Dienvidu dīķa ģeoloģiskā uzbūve ir diezgan sarežģīta, jo griezums vietām var būt pat ļoti mainīgs, kas saistīts ar to, ka gudrona dīķa pamatne ir bijušā smilšu karjera reljefs. Slāņu kritumi un atšķirīgie biezumi dažviet var radīt problēmas materiāla izstrādē un ekskavācijā, līdz ar to jāatrod pareizais un optimālais tehnoloģiskais sanācijas risinājums;</w:t>
            </w:r>
          </w:p>
          <w:p w14:paraId="3CD36498" w14:textId="77777777" w:rsidR="00C2446A" w:rsidRPr="00AA6B7A" w:rsidRDefault="00C2446A" w:rsidP="00C2446A">
            <w:pPr>
              <w:pStyle w:val="ListParagraph"/>
              <w:numPr>
                <w:ilvl w:val="1"/>
                <w:numId w:val="45"/>
              </w:numPr>
              <w:spacing w:after="120"/>
              <w:ind w:left="317" w:hanging="283"/>
              <w:contextualSpacing w:val="0"/>
              <w:jc w:val="both"/>
              <w:rPr>
                <w:rFonts w:eastAsia="Calibri"/>
                <w:bCs/>
                <w:color w:val="000000"/>
                <w:sz w:val="24"/>
                <w:szCs w:val="24"/>
              </w:rPr>
            </w:pPr>
            <w:r w:rsidRPr="00AA6B7A">
              <w:rPr>
                <w:rFonts w:eastAsia="Calibri"/>
                <w:bCs/>
                <w:color w:val="000000"/>
                <w:sz w:val="24"/>
                <w:szCs w:val="24"/>
              </w:rPr>
              <w:t>pēc Inčukalna gudrona dīķa izraisītā piesārņojuma nokļūšanas Gaujas upē, tā koncentrācija posmā no Inčukalna līdz jūrai varētu samazināties 9000 reizes. Tomēr SVAV piesārņojumam varētu būt lokāla rakstura kaitīga ietekme uz dzīvo dabu, jo SVAV atšķaidīšanās ar Gaujas ūdeni nenotiks uzreiz. Piesārņotajiem pazemes ūdeņiem piemīt ekotoksiskums, kas pierādīts, izmantojot gan saldūdens dzīvniekus, gan augstākos augus (divdīgļlapju un viendīgļlapju klašu pārstāvjus);</w:t>
            </w:r>
          </w:p>
          <w:p w14:paraId="14C6E4BA" w14:textId="77777777" w:rsidR="00C2446A" w:rsidRPr="00AA6B7A" w:rsidRDefault="00C2446A" w:rsidP="00C2446A">
            <w:pPr>
              <w:pStyle w:val="ListParagraph"/>
              <w:numPr>
                <w:ilvl w:val="1"/>
                <w:numId w:val="45"/>
              </w:numPr>
              <w:spacing w:after="120"/>
              <w:ind w:left="317" w:hanging="283"/>
              <w:contextualSpacing w:val="0"/>
              <w:jc w:val="both"/>
              <w:rPr>
                <w:rFonts w:eastAsia="Calibri"/>
                <w:bCs/>
                <w:color w:val="000000"/>
                <w:sz w:val="24"/>
                <w:szCs w:val="24"/>
              </w:rPr>
            </w:pPr>
            <w:r w:rsidRPr="00AA6B7A">
              <w:rPr>
                <w:rFonts w:eastAsia="Calibri"/>
                <w:bCs/>
                <w:color w:val="000000"/>
                <w:sz w:val="24"/>
                <w:szCs w:val="24"/>
              </w:rPr>
              <w:t>apstiprināti 2012. gada secinājumi, ka piesārņotais Gaujas ūdens nevar iekļūt sifona tipa Baltezera un Remberģu ūdensgūtvēs, ja tās nestrādā ar pilnu noslodzi (šobrīd 0,5 noslodzes). Zaķumuižas sifonu Gaujas ūdens nevar sasniegt pat pilnas sifonu noslodzes gadījumā;</w:t>
            </w:r>
          </w:p>
          <w:p w14:paraId="2D416E51" w14:textId="77777777" w:rsidR="00C2446A" w:rsidRPr="00AA6B7A" w:rsidRDefault="00C2446A" w:rsidP="00C2446A">
            <w:pPr>
              <w:pStyle w:val="ListParagraph"/>
              <w:numPr>
                <w:ilvl w:val="1"/>
                <w:numId w:val="45"/>
              </w:numPr>
              <w:spacing w:after="120"/>
              <w:ind w:left="317" w:hanging="283"/>
              <w:contextualSpacing w:val="0"/>
              <w:jc w:val="both"/>
              <w:rPr>
                <w:rFonts w:eastAsia="Calibri"/>
                <w:bCs/>
                <w:color w:val="000000"/>
                <w:sz w:val="24"/>
                <w:szCs w:val="24"/>
              </w:rPr>
            </w:pPr>
            <w:r w:rsidRPr="00AA6B7A">
              <w:rPr>
                <w:rFonts w:eastAsia="Calibri"/>
                <w:bCs/>
                <w:color w:val="000000"/>
                <w:sz w:val="24"/>
                <w:szCs w:val="24"/>
              </w:rPr>
              <w:t>Ziemeļu un Dienvidu dīķiem no horizonta Q pašattīrīšanas procesā 90% piesārņojuma masas tiks izskaloti attiecīgi 12 un 4 gados pēc dīķu satura ekskavācijas.</w:t>
            </w:r>
          </w:p>
          <w:p w14:paraId="4231DC7D" w14:textId="77777777" w:rsidR="00C2446A" w:rsidRPr="00AA6B7A" w:rsidRDefault="00C2446A" w:rsidP="00C2446A">
            <w:pPr>
              <w:spacing w:after="120"/>
              <w:jc w:val="both"/>
              <w:rPr>
                <w:bCs/>
                <w:color w:val="000000"/>
              </w:rPr>
            </w:pPr>
            <w:r w:rsidRPr="00AA6B7A">
              <w:rPr>
                <w:bCs/>
                <w:color w:val="000000"/>
              </w:rPr>
              <w:t>Pētījumā iegūtie hidrodinamiskie un hidroķīmiskie parametri ļauj labāk prognozēt situācijas attīstības tendences, lai izslēgtu ietekmes riskus uz citiem vides objektiem.</w:t>
            </w:r>
          </w:p>
          <w:p w14:paraId="0DE470B2" w14:textId="1E8D89E2" w:rsidR="00612F7E" w:rsidRPr="00AA6B7A" w:rsidRDefault="00612F7E" w:rsidP="00D742AC">
            <w:pPr>
              <w:pStyle w:val="ListParagraph"/>
              <w:spacing w:after="120"/>
              <w:ind w:left="0"/>
              <w:jc w:val="both"/>
              <w:rPr>
                <w:iCs/>
                <w:noProof/>
                <w:color w:val="000000"/>
                <w:sz w:val="24"/>
                <w:szCs w:val="24"/>
              </w:rPr>
            </w:pPr>
            <w:r w:rsidRPr="00AA6B7A">
              <w:rPr>
                <w:iCs/>
                <w:noProof/>
                <w:color w:val="000000"/>
                <w:sz w:val="24"/>
                <w:szCs w:val="24"/>
              </w:rPr>
              <w:t>Lai nekavētu Projekta turpmāko īstenošanu un nodrošinātu MK</w:t>
            </w:r>
            <w:r w:rsidR="00891B38" w:rsidRPr="00AA6B7A">
              <w:rPr>
                <w:iCs/>
                <w:noProof/>
                <w:color w:val="000000"/>
                <w:sz w:val="24"/>
                <w:szCs w:val="24"/>
              </w:rPr>
              <w:t xml:space="preserve"> 2015.gada 22.septembra </w:t>
            </w:r>
            <w:r w:rsidRPr="00AA6B7A">
              <w:rPr>
                <w:iCs/>
                <w:noProof/>
                <w:color w:val="000000"/>
                <w:sz w:val="24"/>
                <w:szCs w:val="24"/>
              </w:rPr>
              <w:t>sēdē nolemto, iepirkumu procedūras par sanācijas darbu pabeigšanu un sanācijas darbu inženiertehnisko uzraudzību jau ir uzsāktas</w:t>
            </w:r>
            <w:r w:rsidR="00E9748C">
              <w:rPr>
                <w:iCs/>
                <w:noProof/>
                <w:color w:val="000000"/>
                <w:sz w:val="24"/>
                <w:szCs w:val="24"/>
              </w:rPr>
              <w:t xml:space="preserve">, </w:t>
            </w:r>
            <w:r w:rsidR="00CB653F">
              <w:rPr>
                <w:iCs/>
                <w:noProof/>
                <w:color w:val="000000"/>
                <w:sz w:val="24"/>
                <w:szCs w:val="24"/>
              </w:rPr>
              <w:t xml:space="preserve">kā arī ir </w:t>
            </w:r>
            <w:r w:rsidR="00CB653F" w:rsidRPr="00CB653F">
              <w:rPr>
                <w:iCs/>
                <w:noProof/>
                <w:color w:val="000000"/>
                <w:sz w:val="24"/>
                <w:szCs w:val="24"/>
              </w:rPr>
              <w:t xml:space="preserve">uzsākta </w:t>
            </w:r>
            <w:r w:rsidR="00E9748C" w:rsidRPr="00CB653F">
              <w:rPr>
                <w:iCs/>
                <w:noProof/>
                <w:color w:val="000000"/>
                <w:sz w:val="24"/>
                <w:szCs w:val="24"/>
              </w:rPr>
              <w:t>vairāku līgumu izpilde</w:t>
            </w:r>
            <w:r w:rsidRPr="00CB653F">
              <w:rPr>
                <w:iCs/>
                <w:noProof/>
                <w:color w:val="000000"/>
                <w:sz w:val="24"/>
                <w:szCs w:val="24"/>
              </w:rPr>
              <w:t>.</w:t>
            </w:r>
            <w:r w:rsidRPr="00E9748C">
              <w:rPr>
                <w:b/>
                <w:iCs/>
                <w:noProof/>
                <w:color w:val="000000"/>
                <w:sz w:val="24"/>
                <w:szCs w:val="24"/>
              </w:rPr>
              <w:t xml:space="preserve"> </w:t>
            </w:r>
            <w:r w:rsidRPr="00AA6B7A">
              <w:rPr>
                <w:iCs/>
                <w:noProof/>
                <w:color w:val="000000"/>
                <w:sz w:val="24"/>
                <w:szCs w:val="24"/>
              </w:rPr>
              <w:t xml:space="preserve">Līgumus par sanācijas darbu pabeigšanu un to uzraudzību plānots noslēgt 2017.gada </w:t>
            </w:r>
            <w:r w:rsidR="0006448D">
              <w:rPr>
                <w:iCs/>
                <w:noProof/>
                <w:color w:val="000000"/>
                <w:sz w:val="24"/>
                <w:szCs w:val="24"/>
              </w:rPr>
              <w:t>otrajā</w:t>
            </w:r>
            <w:r w:rsidR="00891B38" w:rsidRPr="00AA6B7A">
              <w:rPr>
                <w:iCs/>
                <w:noProof/>
                <w:color w:val="000000"/>
                <w:sz w:val="24"/>
                <w:szCs w:val="24"/>
              </w:rPr>
              <w:t xml:space="preserve"> pusgadā</w:t>
            </w:r>
            <w:r w:rsidRPr="00AA6B7A">
              <w:rPr>
                <w:iCs/>
                <w:noProof/>
                <w:color w:val="000000"/>
                <w:sz w:val="24"/>
                <w:szCs w:val="24"/>
              </w:rPr>
              <w:t>. Projekta ietvaros iepirkumus veic un tie tiks veikti saskaņā ar publiskos iepirkumus regulējošo normatīvo aktu prasībām. Procedūra tiek izvēlēta atbilstoši Publisko iepirkumu likumā noteiktajām pieejām.</w:t>
            </w:r>
          </w:p>
          <w:p w14:paraId="1F2E9365" w14:textId="77777777" w:rsidR="00EB2F30" w:rsidRPr="00AA6B7A" w:rsidRDefault="00EB2F30" w:rsidP="00EB2F30">
            <w:pPr>
              <w:pStyle w:val="ListParagraph"/>
              <w:spacing w:after="120"/>
              <w:ind w:left="0"/>
              <w:jc w:val="both"/>
              <w:rPr>
                <w:rFonts w:eastAsia="Calibri"/>
                <w:bCs/>
                <w:color w:val="000000"/>
                <w:sz w:val="24"/>
                <w:szCs w:val="24"/>
                <w:u w:val="single"/>
              </w:rPr>
            </w:pPr>
            <w:r w:rsidRPr="00AA6B7A">
              <w:rPr>
                <w:rFonts w:eastAsia="Calibri"/>
                <w:bCs/>
                <w:color w:val="000000"/>
                <w:sz w:val="24"/>
                <w:szCs w:val="24"/>
                <w:u w:val="single"/>
              </w:rPr>
              <w:lastRenderedPageBreak/>
              <w:t>ES</w:t>
            </w:r>
            <w:r>
              <w:rPr>
                <w:rFonts w:eastAsia="Calibri"/>
                <w:bCs/>
                <w:color w:val="000000"/>
                <w:sz w:val="24"/>
                <w:szCs w:val="24"/>
                <w:u w:val="single"/>
              </w:rPr>
              <w:t xml:space="preserve"> fondu </w:t>
            </w:r>
            <w:r w:rsidRPr="00AA6B7A">
              <w:rPr>
                <w:rFonts w:eastAsia="Calibri"/>
                <w:bCs/>
                <w:color w:val="000000"/>
                <w:sz w:val="24"/>
                <w:szCs w:val="24"/>
                <w:u w:val="single"/>
              </w:rPr>
              <w:t xml:space="preserve"> 2014. – 2020.gada plānošanas perioda investīcijas </w:t>
            </w:r>
          </w:p>
          <w:p w14:paraId="6DA0DE49" w14:textId="77777777" w:rsidR="00D76A13" w:rsidRPr="00AA6B7A" w:rsidRDefault="00277BC4" w:rsidP="00277BC4">
            <w:pPr>
              <w:spacing w:after="120"/>
              <w:jc w:val="both"/>
              <w:rPr>
                <w:bCs/>
                <w:color w:val="000000"/>
              </w:rPr>
            </w:pPr>
            <w:r w:rsidRPr="00AA6B7A">
              <w:rPr>
                <w:bCs/>
                <w:color w:val="000000"/>
              </w:rPr>
              <w:t>5.6.3.specifiskais atbalsta mērķis “Vēsturiski piesārņoto vietu sanācija”</w:t>
            </w:r>
            <w:r w:rsidR="00F0712B" w:rsidRPr="00AA6B7A">
              <w:rPr>
                <w:bCs/>
                <w:color w:val="000000"/>
              </w:rPr>
              <w:t xml:space="preserve"> (turpmāk – SAM 5.6.3.)</w:t>
            </w:r>
            <w:r w:rsidRPr="00AA6B7A">
              <w:rPr>
                <w:bCs/>
                <w:color w:val="000000"/>
              </w:rPr>
              <w:t xml:space="preserve"> izstrādāts, lai nodrošinātu ES fondu</w:t>
            </w:r>
            <w:r w:rsidR="000629D5" w:rsidRPr="00AA6B7A">
              <w:rPr>
                <w:bCs/>
                <w:color w:val="000000"/>
              </w:rPr>
              <w:t xml:space="preserve"> finansējuma</w:t>
            </w:r>
            <w:r w:rsidRPr="00AA6B7A">
              <w:rPr>
                <w:bCs/>
                <w:color w:val="000000"/>
              </w:rPr>
              <w:t xml:space="preserve"> piesaisti piesārņoto vietu sanācijas darbu pabeigšanai</w:t>
            </w:r>
            <w:r w:rsidR="00D76A13" w:rsidRPr="00AA6B7A">
              <w:rPr>
                <w:bCs/>
                <w:color w:val="000000"/>
              </w:rPr>
              <w:t xml:space="preserve"> un nodrošinātu Projekta II posma īstenošanu un Projekta  mērķu sasniegšanu atbilstoši EK lēmumā noteiktajam</w:t>
            </w:r>
            <w:r w:rsidRPr="00AA6B7A">
              <w:rPr>
                <w:bCs/>
                <w:color w:val="000000"/>
              </w:rPr>
              <w:t xml:space="preserve">. </w:t>
            </w:r>
          </w:p>
          <w:p w14:paraId="4F7C850A" w14:textId="77777777" w:rsidR="00626A4B" w:rsidRPr="00AA6B7A" w:rsidRDefault="00D76A13" w:rsidP="007F6A0D">
            <w:pPr>
              <w:spacing w:after="120"/>
              <w:jc w:val="both"/>
              <w:rPr>
                <w:bCs/>
                <w:color w:val="000000"/>
              </w:rPr>
            </w:pPr>
            <w:r w:rsidRPr="00AA6B7A">
              <w:rPr>
                <w:bCs/>
                <w:color w:val="000000"/>
              </w:rPr>
              <w:t>Projekta II posma īstenošanas rezultātā</w:t>
            </w:r>
            <w:r w:rsidR="00626A4B" w:rsidRPr="00AA6B7A">
              <w:rPr>
                <w:bCs/>
                <w:color w:val="000000"/>
              </w:rPr>
              <w:t xml:space="preserve"> tiks samazinātas piesārņojuma negatīvās ietekmes</w:t>
            </w:r>
            <w:r w:rsidR="00277BC4" w:rsidRPr="00AA6B7A">
              <w:rPr>
                <w:bCs/>
                <w:color w:val="000000"/>
              </w:rPr>
              <w:t xml:space="preserve"> gan uz augsni, grunti, virszemes un pazemes ūdeņiem, </w:t>
            </w:r>
            <w:r w:rsidR="00456C54" w:rsidRPr="00AA6B7A">
              <w:rPr>
                <w:bCs/>
                <w:color w:val="000000"/>
              </w:rPr>
              <w:t>sanējot</w:t>
            </w:r>
            <w:r w:rsidR="00277BC4" w:rsidRPr="00AA6B7A">
              <w:rPr>
                <w:bCs/>
                <w:color w:val="000000"/>
              </w:rPr>
              <w:t xml:space="preserve"> divus </w:t>
            </w:r>
            <w:r w:rsidRPr="00AA6B7A">
              <w:rPr>
                <w:bCs/>
                <w:color w:val="000000"/>
              </w:rPr>
              <w:t>p</w:t>
            </w:r>
            <w:r w:rsidR="00277BC4" w:rsidRPr="00AA6B7A">
              <w:rPr>
                <w:bCs/>
                <w:color w:val="000000"/>
              </w:rPr>
              <w:t>iesārņoto un potenciāli piesārņoto vietu reģistrā iekļautus piesārņojuma avotus</w:t>
            </w:r>
            <w:r w:rsidR="00043C0E" w:rsidRPr="00AA6B7A">
              <w:rPr>
                <w:bCs/>
                <w:color w:val="000000"/>
              </w:rPr>
              <w:t xml:space="preserve"> (tas noteikts kā </w:t>
            </w:r>
            <w:r w:rsidR="008D6A3A" w:rsidRPr="00AA6B7A">
              <w:rPr>
                <w:bCs/>
                <w:color w:val="000000"/>
              </w:rPr>
              <w:t xml:space="preserve">SAM 5.6.3. </w:t>
            </w:r>
            <w:r w:rsidR="00043C0E" w:rsidRPr="00AA6B7A">
              <w:rPr>
                <w:bCs/>
                <w:color w:val="000000"/>
              </w:rPr>
              <w:t>rezultāta rādītājs)</w:t>
            </w:r>
            <w:r w:rsidR="00626A4B" w:rsidRPr="00AA6B7A">
              <w:rPr>
                <w:bCs/>
                <w:color w:val="000000"/>
              </w:rPr>
              <w:t xml:space="preserve">. </w:t>
            </w:r>
            <w:r w:rsidR="008D6A3A" w:rsidRPr="00AA6B7A">
              <w:rPr>
                <w:bCs/>
                <w:color w:val="000000"/>
              </w:rPr>
              <w:t xml:space="preserve">Projekta II posma īstenošanas </w:t>
            </w:r>
            <w:r w:rsidR="00277BC4" w:rsidRPr="00AA6B7A">
              <w:rPr>
                <w:bCs/>
                <w:color w:val="000000"/>
              </w:rPr>
              <w:t xml:space="preserve">rezultātā atjaunotā zemes platība </w:t>
            </w:r>
            <w:r w:rsidR="00626A4B" w:rsidRPr="00AA6B7A">
              <w:rPr>
                <w:bCs/>
                <w:color w:val="000000"/>
              </w:rPr>
              <w:t xml:space="preserve">būtu </w:t>
            </w:r>
            <w:r w:rsidR="00277BC4" w:rsidRPr="00AA6B7A">
              <w:rPr>
                <w:bCs/>
                <w:color w:val="000000"/>
              </w:rPr>
              <w:t>2,5 ha, kas aptver abu piesārņojuma avotu (dīķu) platību</w:t>
            </w:r>
            <w:r w:rsidR="00F0712B" w:rsidRPr="00AA6B7A">
              <w:rPr>
                <w:bCs/>
                <w:color w:val="000000"/>
              </w:rPr>
              <w:t>, kurā veikti sanācijas darbi</w:t>
            </w:r>
            <w:r w:rsidR="00043C0E" w:rsidRPr="00AA6B7A">
              <w:rPr>
                <w:bCs/>
                <w:color w:val="000000"/>
              </w:rPr>
              <w:t xml:space="preserve"> (tas noteikts kā </w:t>
            </w:r>
            <w:r w:rsidR="008D6A3A" w:rsidRPr="00AA6B7A">
              <w:rPr>
                <w:bCs/>
                <w:color w:val="000000"/>
              </w:rPr>
              <w:t xml:space="preserve">SAM 5.6.3. </w:t>
            </w:r>
            <w:r w:rsidR="00043C0E" w:rsidRPr="00AA6B7A">
              <w:rPr>
                <w:bCs/>
                <w:color w:val="000000"/>
              </w:rPr>
              <w:t>iznākuma rādītājs)</w:t>
            </w:r>
            <w:r w:rsidR="00277BC4" w:rsidRPr="00AA6B7A">
              <w:rPr>
                <w:bCs/>
                <w:color w:val="000000"/>
              </w:rPr>
              <w:t xml:space="preserve">. </w:t>
            </w:r>
            <w:r w:rsidR="00456C54" w:rsidRPr="00AA6B7A">
              <w:rPr>
                <w:bCs/>
                <w:color w:val="000000"/>
              </w:rPr>
              <w:t>Projekta ieviešan</w:t>
            </w:r>
            <w:r w:rsidR="00F2382B" w:rsidRPr="00AA6B7A">
              <w:rPr>
                <w:bCs/>
                <w:color w:val="000000"/>
              </w:rPr>
              <w:t>a</w:t>
            </w:r>
            <w:r w:rsidR="00456C54" w:rsidRPr="00AA6B7A">
              <w:rPr>
                <w:bCs/>
                <w:color w:val="000000"/>
              </w:rPr>
              <w:t>s rezultātā</w:t>
            </w:r>
            <w:r w:rsidR="00277BC4" w:rsidRPr="00AA6B7A">
              <w:rPr>
                <w:bCs/>
                <w:color w:val="000000"/>
              </w:rPr>
              <w:t xml:space="preserve"> kopējā ietekmētā zemes platība, kas varēs tikt </w:t>
            </w:r>
            <w:r w:rsidR="00456C54" w:rsidRPr="00AA6B7A">
              <w:rPr>
                <w:bCs/>
                <w:color w:val="000000"/>
              </w:rPr>
              <w:t>atgrie</w:t>
            </w:r>
            <w:r w:rsidR="008D6A3A" w:rsidRPr="00AA6B7A">
              <w:rPr>
                <w:bCs/>
                <w:color w:val="000000"/>
              </w:rPr>
              <w:t>z</w:t>
            </w:r>
            <w:r w:rsidR="00456C54" w:rsidRPr="00AA6B7A">
              <w:rPr>
                <w:bCs/>
                <w:color w:val="000000"/>
              </w:rPr>
              <w:t>ta (</w:t>
            </w:r>
            <w:r w:rsidR="00277BC4" w:rsidRPr="00AA6B7A">
              <w:rPr>
                <w:bCs/>
                <w:color w:val="000000"/>
              </w:rPr>
              <w:t>iesaistīta</w:t>
            </w:r>
            <w:r w:rsidR="00456C54" w:rsidRPr="00AA6B7A">
              <w:rPr>
                <w:bCs/>
                <w:color w:val="000000"/>
              </w:rPr>
              <w:t>)</w:t>
            </w:r>
            <w:r w:rsidR="00277BC4" w:rsidRPr="00AA6B7A">
              <w:rPr>
                <w:bCs/>
                <w:color w:val="000000"/>
              </w:rPr>
              <w:t xml:space="preserve"> saimni</w:t>
            </w:r>
            <w:r w:rsidR="00456C54" w:rsidRPr="00AA6B7A">
              <w:rPr>
                <w:bCs/>
                <w:color w:val="000000"/>
              </w:rPr>
              <w:t>eciskajā apritē</w:t>
            </w:r>
            <w:r w:rsidR="008D6A3A" w:rsidRPr="00AA6B7A">
              <w:rPr>
                <w:bCs/>
                <w:color w:val="000000"/>
              </w:rPr>
              <w:t xml:space="preserve"> atbilstoši teritorijas plānojumā noteiktajam</w:t>
            </w:r>
            <w:r w:rsidR="00456C54" w:rsidRPr="00AA6B7A">
              <w:rPr>
                <w:bCs/>
                <w:color w:val="000000"/>
              </w:rPr>
              <w:t>, ir aptuveni 7-9</w:t>
            </w:r>
            <w:r w:rsidR="00277BC4" w:rsidRPr="00AA6B7A">
              <w:rPr>
                <w:bCs/>
                <w:color w:val="000000"/>
              </w:rPr>
              <w:t xml:space="preserve"> ha, kas ietver platību, kurā varēs tikt veikta, piemēram, meža zemju ierīkošana.</w:t>
            </w:r>
          </w:p>
          <w:p w14:paraId="7708A779" w14:textId="77777777" w:rsidR="0063657C" w:rsidRDefault="0063657C" w:rsidP="0063657C">
            <w:pPr>
              <w:spacing w:after="120"/>
              <w:jc w:val="both"/>
              <w:rPr>
                <w:bCs/>
                <w:color w:val="000000"/>
              </w:rPr>
            </w:pPr>
            <w:r>
              <w:rPr>
                <w:bCs/>
                <w:color w:val="000000"/>
              </w:rPr>
              <w:t>Projekta II posmā paredzētās darbības, jo īpaši piesārņojuma avota likvidācija un pazemes ūdeņu atsūknēšana un attīrīšana, būtiski sekmēs SAM 5.6.3. noteiktā vides mērķa sasniegšanu.</w:t>
            </w:r>
            <w:r w:rsidDel="00DB1B3A">
              <w:rPr>
                <w:bCs/>
                <w:color w:val="000000"/>
              </w:rPr>
              <w:t xml:space="preserve"> </w:t>
            </w:r>
            <w:r>
              <w:rPr>
                <w:bCs/>
                <w:color w:val="000000"/>
              </w:rPr>
              <w:t xml:space="preserve"> Pēc Projekta realizācijas tiks novērsta Dzeramā ūdens direktīvas (1998/83/EK) neizpilde par punktveida piesārņojuma apdraudējumu dzeramā ūdens horizontam, kā arī īstenota </w:t>
            </w:r>
            <w:r w:rsidRPr="002921B4">
              <w:rPr>
                <w:bCs/>
                <w:color w:val="000000"/>
              </w:rPr>
              <w:t>Eiropas Parlamenta un Padomes Direktīva </w:t>
            </w:r>
            <w:r>
              <w:rPr>
                <w:bCs/>
                <w:color w:val="000000"/>
              </w:rPr>
              <w:t>(</w:t>
            </w:r>
            <w:hyperlink r:id="rId12" w:history="1">
              <w:r w:rsidRPr="002921B4">
                <w:rPr>
                  <w:rStyle w:val="Hyperlink"/>
                  <w:bCs/>
                </w:rPr>
                <w:t>2006/118/EK</w:t>
              </w:r>
            </w:hyperlink>
            <w:r>
              <w:rPr>
                <w:bCs/>
                <w:color w:val="000000"/>
              </w:rPr>
              <w:t>)</w:t>
            </w:r>
            <w:r w:rsidR="00141538">
              <w:rPr>
                <w:bCs/>
                <w:color w:val="000000"/>
              </w:rPr>
              <w:t xml:space="preserve"> </w:t>
            </w:r>
            <w:r w:rsidRPr="002921B4">
              <w:rPr>
                <w:bCs/>
                <w:color w:val="000000"/>
              </w:rPr>
              <w:t>par gruntsūdeņu aizsardzību pret piesārņojumu un pasliktināšanos</w:t>
            </w:r>
            <w:r>
              <w:rPr>
                <w:bCs/>
                <w:color w:val="000000"/>
              </w:rPr>
              <w:t>.</w:t>
            </w:r>
          </w:p>
          <w:p w14:paraId="220DBACE" w14:textId="77777777" w:rsidR="00261FB5" w:rsidRPr="00AA6B7A" w:rsidRDefault="00261FB5" w:rsidP="007F6A0D">
            <w:pPr>
              <w:pStyle w:val="ListParagraph"/>
              <w:spacing w:after="120"/>
              <w:ind w:left="0"/>
              <w:contextualSpacing w:val="0"/>
              <w:jc w:val="both"/>
              <w:rPr>
                <w:rFonts w:eastAsia="Calibri"/>
                <w:bCs/>
                <w:color w:val="000000"/>
                <w:sz w:val="24"/>
                <w:szCs w:val="24"/>
              </w:rPr>
            </w:pPr>
            <w:r w:rsidRPr="00AA6B7A">
              <w:rPr>
                <w:rFonts w:eastAsia="Calibri"/>
                <w:bCs/>
                <w:color w:val="000000"/>
                <w:sz w:val="24"/>
                <w:szCs w:val="24"/>
              </w:rPr>
              <w:t xml:space="preserve">Informācija par </w:t>
            </w:r>
            <w:r w:rsidR="00237DDF">
              <w:rPr>
                <w:rFonts w:eastAsia="Calibri"/>
                <w:bCs/>
                <w:color w:val="000000"/>
                <w:sz w:val="24"/>
                <w:szCs w:val="24"/>
              </w:rPr>
              <w:t>indikatīvajām Proje</w:t>
            </w:r>
            <w:r w:rsidR="00717910" w:rsidRPr="00AA6B7A">
              <w:rPr>
                <w:rFonts w:eastAsia="Calibri"/>
                <w:bCs/>
                <w:color w:val="000000"/>
                <w:sz w:val="24"/>
                <w:szCs w:val="24"/>
              </w:rPr>
              <w:t>k</w:t>
            </w:r>
            <w:r w:rsidR="00237DDF">
              <w:rPr>
                <w:rFonts w:eastAsia="Calibri"/>
                <w:bCs/>
                <w:color w:val="000000"/>
                <w:sz w:val="24"/>
                <w:szCs w:val="24"/>
              </w:rPr>
              <w:t>t</w:t>
            </w:r>
            <w:r w:rsidR="00717910" w:rsidRPr="00AA6B7A">
              <w:rPr>
                <w:rFonts w:eastAsia="Calibri"/>
                <w:bCs/>
                <w:color w:val="000000"/>
                <w:sz w:val="24"/>
                <w:szCs w:val="24"/>
              </w:rPr>
              <w:t xml:space="preserve">a </w:t>
            </w:r>
            <w:r w:rsidRPr="00AA6B7A">
              <w:rPr>
                <w:rFonts w:eastAsia="Calibri"/>
                <w:bCs/>
                <w:color w:val="000000"/>
                <w:sz w:val="24"/>
                <w:szCs w:val="24"/>
              </w:rPr>
              <w:t>II posma realizācijas izmaksām (kuras var tikt precizētas iepirkumu par sanācijas darbu pabeigšanu un sanācijas darbu inženiertehnisko uzraudzību rezultātā), ir attēlotas zemāk pievienotajā tabulā.</w:t>
            </w:r>
          </w:p>
          <w:tbl>
            <w:tblPr>
              <w:tblW w:w="57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
              <w:gridCol w:w="2835"/>
              <w:gridCol w:w="2268"/>
            </w:tblGrid>
            <w:tr w:rsidR="00D1189D" w:rsidRPr="00AA6B7A" w14:paraId="3B6ECF2C" w14:textId="77777777" w:rsidTr="00F54071">
              <w:trPr>
                <w:trHeight w:val="153"/>
                <w:jc w:val="center"/>
              </w:trPr>
              <w:tc>
                <w:tcPr>
                  <w:tcW w:w="669" w:type="dxa"/>
                  <w:shd w:val="clear" w:color="auto" w:fill="D9D9D9"/>
                </w:tcPr>
                <w:p w14:paraId="03C42F68" w14:textId="77777777" w:rsidR="00261FB5" w:rsidRPr="00AA6B7A" w:rsidRDefault="00261FB5" w:rsidP="002A29BA">
                  <w:pPr>
                    <w:framePr w:hSpace="180" w:wrap="around" w:vAnchor="text" w:hAnchor="text" w:xAlign="right" w:y="1"/>
                    <w:suppressOverlap/>
                    <w:rPr>
                      <w:b/>
                      <w:bCs/>
                      <w:color w:val="000000"/>
                    </w:rPr>
                  </w:pPr>
                  <w:r w:rsidRPr="00AA6B7A">
                    <w:rPr>
                      <w:b/>
                      <w:bCs/>
                      <w:color w:val="000000"/>
                    </w:rPr>
                    <w:t>1.</w:t>
                  </w:r>
                </w:p>
              </w:tc>
              <w:tc>
                <w:tcPr>
                  <w:tcW w:w="2835" w:type="dxa"/>
                  <w:shd w:val="clear" w:color="auto" w:fill="D9D9D9"/>
                </w:tcPr>
                <w:p w14:paraId="185B4F99" w14:textId="77777777" w:rsidR="00261FB5" w:rsidRPr="00AA6B7A" w:rsidRDefault="00261FB5" w:rsidP="002A29BA">
                  <w:pPr>
                    <w:framePr w:hSpace="180" w:wrap="around" w:vAnchor="text" w:hAnchor="text" w:xAlign="right" w:y="1"/>
                    <w:suppressOverlap/>
                    <w:rPr>
                      <w:b/>
                      <w:bCs/>
                      <w:color w:val="000000"/>
                    </w:rPr>
                  </w:pPr>
                  <w:r w:rsidRPr="00AA6B7A">
                    <w:rPr>
                      <w:b/>
                      <w:bCs/>
                      <w:color w:val="000000"/>
                    </w:rPr>
                    <w:t>Attiecināmās izmaksas</w:t>
                  </w:r>
                </w:p>
              </w:tc>
              <w:tc>
                <w:tcPr>
                  <w:tcW w:w="2268" w:type="dxa"/>
                  <w:shd w:val="clear" w:color="auto" w:fill="D9D9D9"/>
                </w:tcPr>
                <w:p w14:paraId="02095782" w14:textId="77777777" w:rsidR="00261FB5" w:rsidRPr="00AA6B7A" w:rsidRDefault="00261FB5" w:rsidP="002A29BA">
                  <w:pPr>
                    <w:framePr w:hSpace="180" w:wrap="around" w:vAnchor="text" w:hAnchor="text" w:xAlign="right" w:y="1"/>
                    <w:suppressOverlap/>
                    <w:rPr>
                      <w:b/>
                      <w:bCs/>
                      <w:color w:val="000000"/>
                    </w:rPr>
                  </w:pPr>
                  <w:r w:rsidRPr="00AA6B7A">
                    <w:rPr>
                      <w:b/>
                      <w:bCs/>
                      <w:color w:val="000000"/>
                    </w:rPr>
                    <w:t xml:space="preserve">līdz 29,26 milj. </w:t>
                  </w:r>
                  <w:r w:rsidR="00E2441B" w:rsidRPr="00AA6B7A">
                    <w:rPr>
                      <w:b/>
                      <w:bCs/>
                      <w:color w:val="000000"/>
                    </w:rPr>
                    <w:t xml:space="preserve"> </w:t>
                  </w:r>
                  <w:r w:rsidR="00E2441B" w:rsidRPr="00AA6B7A">
                    <w:rPr>
                      <w:b/>
                      <w:bCs/>
                      <w:i/>
                      <w:color w:val="000000"/>
                    </w:rPr>
                    <w:t>euro</w:t>
                  </w:r>
                </w:p>
              </w:tc>
            </w:tr>
            <w:tr w:rsidR="00D1189D" w:rsidRPr="00AA6B7A" w14:paraId="4BBCCD05" w14:textId="77777777" w:rsidTr="00F54071">
              <w:trPr>
                <w:trHeight w:val="153"/>
                <w:jc w:val="center"/>
              </w:trPr>
              <w:tc>
                <w:tcPr>
                  <w:tcW w:w="669" w:type="dxa"/>
                  <w:shd w:val="clear" w:color="auto" w:fill="auto"/>
                </w:tcPr>
                <w:p w14:paraId="250EA6A0" w14:textId="77777777" w:rsidR="00261FB5" w:rsidRPr="00AA6B7A" w:rsidRDefault="00261FB5" w:rsidP="002A29BA">
                  <w:pPr>
                    <w:framePr w:hSpace="180" w:wrap="around" w:vAnchor="text" w:hAnchor="text" w:xAlign="right" w:y="1"/>
                    <w:suppressOverlap/>
                    <w:rPr>
                      <w:bCs/>
                      <w:color w:val="000000"/>
                    </w:rPr>
                  </w:pPr>
                  <w:r w:rsidRPr="00AA6B7A">
                    <w:rPr>
                      <w:bCs/>
                      <w:color w:val="000000"/>
                    </w:rPr>
                    <w:t>1.1</w:t>
                  </w:r>
                  <w:r w:rsidR="00CA451D">
                    <w:rPr>
                      <w:bCs/>
                      <w:color w:val="000000"/>
                    </w:rPr>
                    <w:t>.</w:t>
                  </w:r>
                </w:p>
              </w:tc>
              <w:tc>
                <w:tcPr>
                  <w:tcW w:w="2835" w:type="dxa"/>
                  <w:shd w:val="clear" w:color="auto" w:fill="auto"/>
                </w:tcPr>
                <w:p w14:paraId="3E1B1839" w14:textId="77777777" w:rsidR="00261FB5" w:rsidRPr="00AA6B7A" w:rsidRDefault="00261FB5" w:rsidP="002A29BA">
                  <w:pPr>
                    <w:framePr w:hSpace="180" w:wrap="around" w:vAnchor="text" w:hAnchor="text" w:xAlign="right" w:y="1"/>
                    <w:suppressOverlap/>
                    <w:rPr>
                      <w:bCs/>
                      <w:color w:val="000000"/>
                    </w:rPr>
                  </w:pPr>
                  <w:r w:rsidRPr="00AA6B7A">
                    <w:rPr>
                      <w:bCs/>
                      <w:color w:val="000000"/>
                    </w:rPr>
                    <w:t>Sanācijas darbu izmaksas</w:t>
                  </w:r>
                </w:p>
              </w:tc>
              <w:tc>
                <w:tcPr>
                  <w:tcW w:w="2268" w:type="dxa"/>
                  <w:shd w:val="clear" w:color="auto" w:fill="auto"/>
                </w:tcPr>
                <w:p w14:paraId="307D2337" w14:textId="77777777" w:rsidR="00261FB5" w:rsidRPr="00AA6B7A" w:rsidRDefault="00261FB5" w:rsidP="002A29BA">
                  <w:pPr>
                    <w:framePr w:hSpace="180" w:wrap="around" w:vAnchor="text" w:hAnchor="text" w:xAlign="right" w:y="1"/>
                    <w:suppressOverlap/>
                    <w:rPr>
                      <w:bCs/>
                      <w:color w:val="000000"/>
                    </w:rPr>
                  </w:pPr>
                  <w:r w:rsidRPr="00AA6B7A">
                    <w:rPr>
                      <w:bCs/>
                      <w:color w:val="000000"/>
                    </w:rPr>
                    <w:t xml:space="preserve">līdz 26,60 milj. </w:t>
                  </w:r>
                  <w:r w:rsidR="00E2441B" w:rsidRPr="00AA6B7A">
                    <w:rPr>
                      <w:bCs/>
                      <w:color w:val="000000"/>
                    </w:rPr>
                    <w:t xml:space="preserve"> </w:t>
                  </w:r>
                  <w:r w:rsidR="00E2441B" w:rsidRPr="00AA6B7A">
                    <w:rPr>
                      <w:bCs/>
                      <w:i/>
                      <w:color w:val="000000"/>
                    </w:rPr>
                    <w:t>euro</w:t>
                  </w:r>
                </w:p>
              </w:tc>
            </w:tr>
            <w:tr w:rsidR="00D1189D" w:rsidRPr="00AA6B7A" w14:paraId="40DB754A" w14:textId="77777777" w:rsidTr="00F54071">
              <w:trPr>
                <w:trHeight w:val="307"/>
                <w:jc w:val="center"/>
              </w:trPr>
              <w:tc>
                <w:tcPr>
                  <w:tcW w:w="669" w:type="dxa"/>
                  <w:shd w:val="clear" w:color="auto" w:fill="auto"/>
                </w:tcPr>
                <w:p w14:paraId="25122311" w14:textId="77777777" w:rsidR="00261FB5" w:rsidRPr="00AA6B7A" w:rsidRDefault="00261FB5" w:rsidP="002A29BA">
                  <w:pPr>
                    <w:framePr w:hSpace="180" w:wrap="around" w:vAnchor="text" w:hAnchor="text" w:xAlign="right" w:y="1"/>
                    <w:suppressOverlap/>
                    <w:rPr>
                      <w:bCs/>
                      <w:color w:val="000000"/>
                    </w:rPr>
                  </w:pPr>
                  <w:r w:rsidRPr="00AA6B7A">
                    <w:rPr>
                      <w:bCs/>
                      <w:color w:val="000000"/>
                    </w:rPr>
                    <w:t>1.</w:t>
                  </w:r>
                  <w:r w:rsidR="000629D5" w:rsidRPr="00AA6B7A">
                    <w:rPr>
                      <w:bCs/>
                      <w:color w:val="000000"/>
                    </w:rPr>
                    <w:t>2.</w:t>
                  </w:r>
                </w:p>
              </w:tc>
              <w:tc>
                <w:tcPr>
                  <w:tcW w:w="2835" w:type="dxa"/>
                  <w:shd w:val="clear" w:color="auto" w:fill="auto"/>
                </w:tcPr>
                <w:p w14:paraId="43D80C61" w14:textId="77777777" w:rsidR="00261FB5" w:rsidRPr="00AA6B7A" w:rsidRDefault="00261FB5" w:rsidP="002A29BA">
                  <w:pPr>
                    <w:framePr w:hSpace="180" w:wrap="around" w:vAnchor="text" w:hAnchor="text" w:xAlign="right" w:y="1"/>
                    <w:suppressOverlap/>
                    <w:rPr>
                      <w:bCs/>
                      <w:color w:val="000000"/>
                    </w:rPr>
                  </w:pPr>
                  <w:r w:rsidRPr="00AA6B7A">
                    <w:rPr>
                      <w:bCs/>
                      <w:color w:val="000000"/>
                    </w:rPr>
                    <w:t xml:space="preserve">Sanācijas darbu uzraudzības izmaksas, t.sk. izpētes darbi </w:t>
                  </w:r>
                </w:p>
              </w:tc>
              <w:tc>
                <w:tcPr>
                  <w:tcW w:w="2268" w:type="dxa"/>
                  <w:shd w:val="clear" w:color="auto" w:fill="auto"/>
                </w:tcPr>
                <w:p w14:paraId="525FD0D6" w14:textId="77777777" w:rsidR="00261FB5" w:rsidRPr="00AA6B7A" w:rsidRDefault="00261FB5" w:rsidP="002A29BA">
                  <w:pPr>
                    <w:framePr w:hSpace="180" w:wrap="around" w:vAnchor="text" w:hAnchor="text" w:xAlign="right" w:y="1"/>
                    <w:suppressOverlap/>
                    <w:rPr>
                      <w:bCs/>
                      <w:color w:val="000000"/>
                    </w:rPr>
                  </w:pPr>
                  <w:r w:rsidRPr="00AA6B7A">
                    <w:rPr>
                      <w:bCs/>
                      <w:color w:val="000000"/>
                    </w:rPr>
                    <w:t xml:space="preserve">līdz 1,981 milj. </w:t>
                  </w:r>
                  <w:r w:rsidR="00E2441B" w:rsidRPr="00AA6B7A">
                    <w:rPr>
                      <w:bCs/>
                      <w:color w:val="000000"/>
                    </w:rPr>
                    <w:t xml:space="preserve"> </w:t>
                  </w:r>
                  <w:r w:rsidR="00E2441B" w:rsidRPr="00AA6B7A">
                    <w:rPr>
                      <w:bCs/>
                      <w:i/>
                      <w:color w:val="000000"/>
                    </w:rPr>
                    <w:t>euro</w:t>
                  </w:r>
                </w:p>
              </w:tc>
            </w:tr>
            <w:tr w:rsidR="00D1189D" w:rsidRPr="00AA6B7A" w14:paraId="6A967B58" w14:textId="77777777" w:rsidTr="00F54071">
              <w:trPr>
                <w:trHeight w:val="307"/>
                <w:jc w:val="center"/>
              </w:trPr>
              <w:tc>
                <w:tcPr>
                  <w:tcW w:w="669" w:type="dxa"/>
                  <w:shd w:val="clear" w:color="auto" w:fill="auto"/>
                </w:tcPr>
                <w:p w14:paraId="3E2F5FAA" w14:textId="77777777" w:rsidR="00261FB5" w:rsidRPr="00AA6B7A" w:rsidRDefault="00261FB5" w:rsidP="002A29BA">
                  <w:pPr>
                    <w:framePr w:hSpace="180" w:wrap="around" w:vAnchor="text" w:hAnchor="text" w:xAlign="right" w:y="1"/>
                    <w:suppressOverlap/>
                    <w:rPr>
                      <w:bCs/>
                      <w:color w:val="000000"/>
                    </w:rPr>
                  </w:pPr>
                  <w:r w:rsidRPr="00AA6B7A">
                    <w:rPr>
                      <w:bCs/>
                      <w:color w:val="000000"/>
                    </w:rPr>
                    <w:t>1.3</w:t>
                  </w:r>
                  <w:r w:rsidR="00CA451D">
                    <w:rPr>
                      <w:bCs/>
                      <w:color w:val="000000"/>
                    </w:rPr>
                    <w:t>.</w:t>
                  </w:r>
                </w:p>
              </w:tc>
              <w:tc>
                <w:tcPr>
                  <w:tcW w:w="2835" w:type="dxa"/>
                  <w:shd w:val="clear" w:color="auto" w:fill="auto"/>
                </w:tcPr>
                <w:p w14:paraId="3A75D70C" w14:textId="36EF69D6" w:rsidR="00261FB5" w:rsidRPr="00AA6B7A" w:rsidRDefault="00261FB5" w:rsidP="002A29BA">
                  <w:pPr>
                    <w:framePr w:hSpace="180" w:wrap="around" w:vAnchor="text" w:hAnchor="text" w:xAlign="right" w:y="1"/>
                    <w:suppressOverlap/>
                    <w:rPr>
                      <w:bCs/>
                      <w:color w:val="000000"/>
                    </w:rPr>
                  </w:pPr>
                  <w:r w:rsidRPr="00AA6B7A">
                    <w:rPr>
                      <w:bCs/>
                      <w:color w:val="000000"/>
                    </w:rPr>
                    <w:t xml:space="preserve">Projekta vadības un </w:t>
                  </w:r>
                  <w:r w:rsidR="0006448D">
                    <w:rPr>
                      <w:bCs/>
                      <w:color w:val="000000"/>
                    </w:rPr>
                    <w:t xml:space="preserve">Projekta II posma </w:t>
                  </w:r>
                  <w:r w:rsidRPr="00AA6B7A">
                    <w:rPr>
                      <w:bCs/>
                      <w:color w:val="000000"/>
                    </w:rPr>
                    <w:t xml:space="preserve">sagatavošanas izmaksas </w:t>
                  </w:r>
                </w:p>
              </w:tc>
              <w:tc>
                <w:tcPr>
                  <w:tcW w:w="2268" w:type="dxa"/>
                  <w:shd w:val="clear" w:color="auto" w:fill="auto"/>
                </w:tcPr>
                <w:p w14:paraId="55C7BC7A" w14:textId="77777777" w:rsidR="00261FB5" w:rsidRPr="00AA6B7A" w:rsidRDefault="00261FB5" w:rsidP="002A29BA">
                  <w:pPr>
                    <w:framePr w:hSpace="180" w:wrap="around" w:vAnchor="text" w:hAnchor="text" w:xAlign="right" w:y="1"/>
                    <w:suppressOverlap/>
                    <w:rPr>
                      <w:bCs/>
                      <w:color w:val="000000"/>
                    </w:rPr>
                  </w:pPr>
                  <w:r w:rsidRPr="00AA6B7A">
                    <w:rPr>
                      <w:bCs/>
                      <w:color w:val="000000"/>
                    </w:rPr>
                    <w:t xml:space="preserve">līdz 0,675 milj. </w:t>
                  </w:r>
                  <w:r w:rsidR="00E2441B" w:rsidRPr="00AA6B7A">
                    <w:rPr>
                      <w:bCs/>
                      <w:color w:val="000000"/>
                    </w:rPr>
                    <w:t xml:space="preserve"> </w:t>
                  </w:r>
                  <w:r w:rsidR="00E2441B" w:rsidRPr="00AA6B7A">
                    <w:rPr>
                      <w:bCs/>
                      <w:i/>
                      <w:color w:val="000000"/>
                    </w:rPr>
                    <w:t>euro</w:t>
                  </w:r>
                </w:p>
              </w:tc>
            </w:tr>
            <w:tr w:rsidR="00D1189D" w:rsidRPr="00AA6B7A" w14:paraId="6BAACE1D" w14:textId="77777777" w:rsidTr="00F54071">
              <w:trPr>
                <w:trHeight w:val="147"/>
                <w:jc w:val="center"/>
              </w:trPr>
              <w:tc>
                <w:tcPr>
                  <w:tcW w:w="669" w:type="dxa"/>
                  <w:shd w:val="clear" w:color="auto" w:fill="D9D9D9"/>
                </w:tcPr>
                <w:p w14:paraId="2A06D5CF" w14:textId="77777777" w:rsidR="00261FB5" w:rsidRPr="00AA6B7A" w:rsidRDefault="00261FB5" w:rsidP="002A29BA">
                  <w:pPr>
                    <w:framePr w:hSpace="180" w:wrap="around" w:vAnchor="text" w:hAnchor="text" w:xAlign="right" w:y="1"/>
                    <w:suppressOverlap/>
                    <w:rPr>
                      <w:b/>
                      <w:bCs/>
                      <w:color w:val="000000"/>
                    </w:rPr>
                  </w:pPr>
                  <w:r w:rsidRPr="00AA6B7A">
                    <w:rPr>
                      <w:b/>
                      <w:bCs/>
                      <w:color w:val="000000"/>
                    </w:rPr>
                    <w:t>2.</w:t>
                  </w:r>
                </w:p>
              </w:tc>
              <w:tc>
                <w:tcPr>
                  <w:tcW w:w="2835" w:type="dxa"/>
                  <w:shd w:val="clear" w:color="auto" w:fill="D9D9D9"/>
                </w:tcPr>
                <w:p w14:paraId="63451CD2" w14:textId="77777777" w:rsidR="00261FB5" w:rsidRPr="00AA6B7A" w:rsidRDefault="00261FB5" w:rsidP="002A29BA">
                  <w:pPr>
                    <w:framePr w:hSpace="180" w:wrap="around" w:vAnchor="text" w:hAnchor="text" w:xAlign="right" w:y="1"/>
                    <w:suppressOverlap/>
                    <w:rPr>
                      <w:b/>
                      <w:bCs/>
                      <w:color w:val="000000"/>
                    </w:rPr>
                  </w:pPr>
                  <w:r w:rsidRPr="00AA6B7A">
                    <w:rPr>
                      <w:b/>
                      <w:bCs/>
                      <w:color w:val="000000"/>
                    </w:rPr>
                    <w:t>Neattiecināmās izmaksas</w:t>
                  </w:r>
                </w:p>
              </w:tc>
              <w:tc>
                <w:tcPr>
                  <w:tcW w:w="2268" w:type="dxa"/>
                  <w:shd w:val="clear" w:color="auto" w:fill="D9D9D9"/>
                </w:tcPr>
                <w:p w14:paraId="6D6F8E16" w14:textId="77777777" w:rsidR="00261FB5" w:rsidRPr="00AA6B7A" w:rsidRDefault="00261FB5" w:rsidP="002A29BA">
                  <w:pPr>
                    <w:framePr w:hSpace="180" w:wrap="around" w:vAnchor="text" w:hAnchor="text" w:xAlign="right" w:y="1"/>
                    <w:suppressOverlap/>
                    <w:rPr>
                      <w:b/>
                      <w:bCs/>
                      <w:color w:val="000000"/>
                    </w:rPr>
                  </w:pPr>
                  <w:r w:rsidRPr="00AA6B7A">
                    <w:rPr>
                      <w:b/>
                      <w:bCs/>
                      <w:color w:val="000000"/>
                    </w:rPr>
                    <w:t xml:space="preserve">0,44 milj. </w:t>
                  </w:r>
                  <w:r w:rsidR="00E2441B" w:rsidRPr="00AA6B7A">
                    <w:rPr>
                      <w:b/>
                      <w:bCs/>
                      <w:color w:val="000000"/>
                    </w:rPr>
                    <w:t xml:space="preserve"> </w:t>
                  </w:r>
                  <w:r w:rsidR="00E2441B" w:rsidRPr="00AA6B7A">
                    <w:rPr>
                      <w:b/>
                      <w:bCs/>
                      <w:i/>
                      <w:color w:val="000000"/>
                    </w:rPr>
                    <w:t>euro</w:t>
                  </w:r>
                </w:p>
              </w:tc>
            </w:tr>
            <w:tr w:rsidR="00D1189D" w:rsidRPr="00AA6B7A" w14:paraId="584A5AB8" w14:textId="77777777" w:rsidTr="00F54071">
              <w:trPr>
                <w:trHeight w:val="314"/>
                <w:jc w:val="center"/>
              </w:trPr>
              <w:tc>
                <w:tcPr>
                  <w:tcW w:w="669" w:type="dxa"/>
                  <w:shd w:val="clear" w:color="auto" w:fill="auto"/>
                </w:tcPr>
                <w:p w14:paraId="12B20C93" w14:textId="77777777" w:rsidR="00261FB5" w:rsidRPr="00AA6B7A" w:rsidRDefault="00CA451D" w:rsidP="002A29BA">
                  <w:pPr>
                    <w:framePr w:hSpace="180" w:wrap="around" w:vAnchor="text" w:hAnchor="text" w:xAlign="right" w:y="1"/>
                    <w:suppressOverlap/>
                    <w:rPr>
                      <w:bCs/>
                      <w:color w:val="000000"/>
                    </w:rPr>
                  </w:pPr>
                  <w:r>
                    <w:rPr>
                      <w:bCs/>
                      <w:color w:val="000000"/>
                    </w:rPr>
                    <w:t>2.1.</w:t>
                  </w:r>
                </w:p>
              </w:tc>
              <w:tc>
                <w:tcPr>
                  <w:tcW w:w="2835" w:type="dxa"/>
                  <w:shd w:val="clear" w:color="auto" w:fill="auto"/>
                </w:tcPr>
                <w:p w14:paraId="53991561" w14:textId="77777777" w:rsidR="00261FB5" w:rsidRPr="00AA6B7A" w:rsidRDefault="00261FB5" w:rsidP="002A29BA">
                  <w:pPr>
                    <w:framePr w:hSpace="180" w:wrap="around" w:vAnchor="text" w:hAnchor="text" w:xAlign="right" w:y="1"/>
                    <w:suppressOverlap/>
                    <w:rPr>
                      <w:bCs/>
                      <w:color w:val="000000"/>
                    </w:rPr>
                  </w:pPr>
                  <w:r w:rsidRPr="00AA6B7A">
                    <w:rPr>
                      <w:bCs/>
                      <w:color w:val="000000"/>
                    </w:rPr>
                    <w:t xml:space="preserve">Juridiskie pakalpojumi valsts interešu pārstāvībai tiesvedībā </w:t>
                  </w:r>
                </w:p>
              </w:tc>
              <w:tc>
                <w:tcPr>
                  <w:tcW w:w="2268" w:type="dxa"/>
                  <w:shd w:val="clear" w:color="auto" w:fill="auto"/>
                </w:tcPr>
                <w:p w14:paraId="32D609FF" w14:textId="77777777" w:rsidR="00261FB5" w:rsidRPr="00AA6B7A" w:rsidRDefault="00261FB5" w:rsidP="002A29BA">
                  <w:pPr>
                    <w:framePr w:hSpace="180" w:wrap="around" w:vAnchor="text" w:hAnchor="text" w:xAlign="right" w:y="1"/>
                    <w:suppressOverlap/>
                    <w:rPr>
                      <w:bCs/>
                      <w:color w:val="000000"/>
                    </w:rPr>
                  </w:pPr>
                  <w:r w:rsidRPr="00AA6B7A">
                    <w:rPr>
                      <w:bCs/>
                      <w:color w:val="000000"/>
                    </w:rPr>
                    <w:t xml:space="preserve">0,44 milj. </w:t>
                  </w:r>
                  <w:r w:rsidR="00E2441B" w:rsidRPr="00AA6B7A">
                    <w:rPr>
                      <w:bCs/>
                      <w:color w:val="000000"/>
                    </w:rPr>
                    <w:t xml:space="preserve"> </w:t>
                  </w:r>
                  <w:r w:rsidR="00E2441B" w:rsidRPr="00AA6B7A">
                    <w:rPr>
                      <w:bCs/>
                      <w:i/>
                      <w:color w:val="000000"/>
                    </w:rPr>
                    <w:t>euro</w:t>
                  </w:r>
                </w:p>
              </w:tc>
            </w:tr>
          </w:tbl>
          <w:p w14:paraId="378731F1" w14:textId="77777777" w:rsidR="00261FB5" w:rsidRPr="00AA6B7A" w:rsidRDefault="00261FB5" w:rsidP="00277BC4">
            <w:pPr>
              <w:spacing w:after="120"/>
              <w:jc w:val="both"/>
              <w:rPr>
                <w:bCs/>
                <w:color w:val="000000"/>
              </w:rPr>
            </w:pPr>
          </w:p>
          <w:p w14:paraId="5893B002" w14:textId="77777777" w:rsidR="00F0712B" w:rsidRPr="00AA6B7A" w:rsidRDefault="00F0712B" w:rsidP="00277BC4">
            <w:pPr>
              <w:spacing w:after="120"/>
              <w:jc w:val="both"/>
              <w:rPr>
                <w:bCs/>
                <w:color w:val="000000"/>
              </w:rPr>
            </w:pPr>
            <w:r w:rsidRPr="00AA6B7A">
              <w:rPr>
                <w:bCs/>
                <w:color w:val="000000"/>
              </w:rPr>
              <w:t xml:space="preserve">SAM 5.6.3. izveidots DP 5.prioritārā virziena “Vides aizsardzības un izmantošanas efektivitāte” 6.tematiskā mērķa “Aizsargāt vidi un veicināt resursu efektivitāti” 5.6.ieguldījumu prioritātes “Veikt darbības, lai uzlabotu pilsētvidi, revitalizētu pilsētas, atjaunotu un attīrītu pamestas rūpnieciskās teritorijas (tai skaitā pārveidei paredzētās </w:t>
            </w:r>
            <w:r w:rsidRPr="00AA6B7A">
              <w:rPr>
                <w:bCs/>
                <w:color w:val="000000"/>
              </w:rPr>
              <w:lastRenderedPageBreak/>
              <w:t xml:space="preserve">zonas), samazinātu gaisa piesārņojumu un veicinātu trokšņa mazināšanas pasākumus” ietvarā. </w:t>
            </w:r>
            <w:r w:rsidR="007F6A0D" w:rsidRPr="00AA6B7A">
              <w:rPr>
                <w:bCs/>
                <w:color w:val="000000"/>
              </w:rPr>
              <w:t>ERAF</w:t>
            </w:r>
            <w:r w:rsidRPr="00AA6B7A">
              <w:rPr>
                <w:bCs/>
                <w:color w:val="000000"/>
              </w:rPr>
              <w:t xml:space="preserve"> ieguldījum</w:t>
            </w:r>
            <w:r w:rsidR="00254587" w:rsidRPr="00AA6B7A">
              <w:rPr>
                <w:bCs/>
                <w:color w:val="000000"/>
              </w:rPr>
              <w:t xml:space="preserve">i 11,60 milj. </w:t>
            </w:r>
            <w:r w:rsidR="00254587" w:rsidRPr="00AA6B7A">
              <w:rPr>
                <w:bCs/>
                <w:i/>
                <w:color w:val="000000"/>
              </w:rPr>
              <w:t>euro</w:t>
            </w:r>
            <w:r w:rsidR="00254587" w:rsidRPr="00AA6B7A">
              <w:rPr>
                <w:bCs/>
                <w:color w:val="000000"/>
              </w:rPr>
              <w:t xml:space="preserve"> apmērā tiks veikti, aptverot</w:t>
            </w:r>
            <w:r w:rsidRPr="00AA6B7A">
              <w:rPr>
                <w:bCs/>
                <w:color w:val="000000"/>
              </w:rPr>
              <w:t xml:space="preserve"> vides jomas dimensijas 89.</w:t>
            </w:r>
            <w:r w:rsidR="00254587" w:rsidRPr="00AA6B7A">
              <w:rPr>
                <w:bCs/>
                <w:color w:val="000000"/>
              </w:rPr>
              <w:t>intervences kodu</w:t>
            </w:r>
            <w:r w:rsidRPr="00AA6B7A">
              <w:rPr>
                <w:bCs/>
                <w:color w:val="000000"/>
              </w:rPr>
              <w:t xml:space="preserve"> “Rūpniecībā izmantotās un piesārņotās zemes rehabilitācija”</w:t>
            </w:r>
            <w:r w:rsidR="00254587" w:rsidRPr="00AA6B7A">
              <w:rPr>
                <w:bCs/>
                <w:color w:val="000000"/>
              </w:rPr>
              <w:t>.</w:t>
            </w:r>
          </w:p>
          <w:p w14:paraId="34D4252D" w14:textId="77777777" w:rsidR="00CE073A" w:rsidRPr="00AA6B7A" w:rsidRDefault="00CE073A" w:rsidP="00277BC4">
            <w:pPr>
              <w:spacing w:after="120"/>
              <w:jc w:val="both"/>
              <w:rPr>
                <w:bCs/>
                <w:color w:val="000000"/>
              </w:rPr>
            </w:pPr>
            <w:r w:rsidRPr="00AA6B7A">
              <w:rPr>
                <w:bCs/>
                <w:color w:val="000000"/>
              </w:rPr>
              <w:t>Iegul</w:t>
            </w:r>
            <w:r w:rsidR="00254587" w:rsidRPr="00AA6B7A">
              <w:rPr>
                <w:bCs/>
                <w:color w:val="000000"/>
              </w:rPr>
              <w:t>dījumi, lai pabeigtu piesārņoto vietu</w:t>
            </w:r>
            <w:r w:rsidRPr="00AA6B7A">
              <w:rPr>
                <w:bCs/>
                <w:color w:val="000000"/>
              </w:rPr>
              <w:t xml:space="preserve"> sanāciju, ir saskaņā ar Vides politikas pamatnostādnēs 2014.-2020.gadam veikto izvērtējumu,</w:t>
            </w:r>
            <w:r w:rsidR="00456C54" w:rsidRPr="00AA6B7A">
              <w:rPr>
                <w:bCs/>
                <w:color w:val="000000"/>
              </w:rPr>
              <w:t xml:space="preserve"> kur </w:t>
            </w:r>
            <w:r w:rsidR="007F6A0D" w:rsidRPr="00AA6B7A">
              <w:rPr>
                <w:bCs/>
                <w:color w:val="000000"/>
              </w:rPr>
              <w:t>noteikts</w:t>
            </w:r>
            <w:r w:rsidRPr="00AA6B7A">
              <w:rPr>
                <w:bCs/>
                <w:color w:val="000000"/>
              </w:rPr>
              <w:t xml:space="preserve">, ka viena no aktuālākajām problēmām piesārņoto vietu apsaimniekošanas jomā ir piesārņoto vietu sanācija, ko neveicot saglabājas gruntsūdeņu un augsnes piesārņojuma tālākas izplatības draudi. Savukārt </w:t>
            </w:r>
            <w:r w:rsidR="00254587" w:rsidRPr="00AA6B7A">
              <w:rPr>
                <w:bCs/>
                <w:color w:val="000000"/>
              </w:rPr>
              <w:t>Latvijas Nacionālā attīstības plāna 2014.-2020.gadam</w:t>
            </w:r>
            <w:r w:rsidRPr="00AA6B7A">
              <w:rPr>
                <w:bCs/>
                <w:color w:val="000000"/>
              </w:rPr>
              <w:t xml:space="preserve"> rīcības virziena “Dabas un kultūras kapitāla ilgtspējīga apsaimniekošana” viens no mērķiem ir saglabāt dabas kapitālu kā bāzi ilgtspējīgai ekonomiskajai izaugsmei un sekmēt tā ilgtspējīgu izmantošanu, mazinot dabas un cilvēka darbības radītos riskus vides kvalitātei, kas atbilst ieguldījumu </w:t>
            </w:r>
            <w:r w:rsidR="00F2382B" w:rsidRPr="00AA6B7A">
              <w:rPr>
                <w:bCs/>
                <w:color w:val="000000"/>
              </w:rPr>
              <w:t>prioritātes</w:t>
            </w:r>
            <w:r w:rsidRPr="00AA6B7A">
              <w:rPr>
                <w:bCs/>
                <w:color w:val="000000"/>
              </w:rPr>
              <w:t xml:space="preserve"> ietvaros veicamajām darbībām.</w:t>
            </w:r>
          </w:p>
          <w:p w14:paraId="49A31121" w14:textId="77777777" w:rsidR="005D0A5D" w:rsidRPr="00AA6B7A" w:rsidRDefault="005D0A5D" w:rsidP="00F14321">
            <w:pPr>
              <w:spacing w:after="120"/>
              <w:jc w:val="both"/>
              <w:rPr>
                <w:bCs/>
                <w:color w:val="000000"/>
                <w:u w:val="single"/>
              </w:rPr>
            </w:pPr>
            <w:r w:rsidRPr="00AA6B7A">
              <w:rPr>
                <w:bCs/>
                <w:color w:val="000000"/>
                <w:u w:val="single"/>
              </w:rPr>
              <w:t>Tiesiskā regulējuma mērķis un būtība</w:t>
            </w:r>
          </w:p>
          <w:p w14:paraId="0FD4FA67" w14:textId="77777777" w:rsidR="005D0A5D" w:rsidRPr="00AA6B7A" w:rsidRDefault="005D0A5D" w:rsidP="00D742AC">
            <w:pPr>
              <w:spacing w:after="120"/>
              <w:jc w:val="both"/>
              <w:rPr>
                <w:bCs/>
                <w:color w:val="000000"/>
              </w:rPr>
            </w:pPr>
            <w:r w:rsidRPr="00AA6B7A">
              <w:rPr>
                <w:bCs/>
                <w:color w:val="000000"/>
              </w:rPr>
              <w:t xml:space="preserve">MK noteikumu projekts </w:t>
            </w:r>
            <w:r w:rsidR="00254587" w:rsidRPr="00AA6B7A">
              <w:rPr>
                <w:bCs/>
                <w:color w:val="000000"/>
              </w:rPr>
              <w:t xml:space="preserve">izstrādāts, lai noteiktu </w:t>
            </w:r>
            <w:r w:rsidRPr="00AA6B7A">
              <w:rPr>
                <w:bCs/>
                <w:color w:val="000000"/>
              </w:rPr>
              <w:t xml:space="preserve">projektu iesniegumu atlases veidu, par </w:t>
            </w:r>
            <w:r w:rsidR="00A77E62">
              <w:rPr>
                <w:bCs/>
                <w:color w:val="000000"/>
              </w:rPr>
              <w:t>specifiskā atbalsta mērķa</w:t>
            </w:r>
            <w:r w:rsidRPr="00AA6B7A">
              <w:rPr>
                <w:bCs/>
                <w:color w:val="000000"/>
              </w:rPr>
              <w:t xml:space="preserve"> īstenošanu atbildīgo iestādi, pieejamo finansējumu, prasības projekt</w:t>
            </w:r>
            <w:r w:rsidR="005809B8" w:rsidRPr="00AA6B7A">
              <w:rPr>
                <w:bCs/>
                <w:color w:val="000000"/>
              </w:rPr>
              <w:t>a</w:t>
            </w:r>
            <w:r w:rsidRPr="00AA6B7A">
              <w:rPr>
                <w:bCs/>
                <w:color w:val="000000"/>
              </w:rPr>
              <w:t xml:space="preserve"> iesniedzējam, atbalstāmās darbības un izmaksas, projekta īstenošanas nosacījumus un vienošanās par projekta īstenošanu vienpusēja uzteikuma nosacījumus. </w:t>
            </w:r>
          </w:p>
          <w:p w14:paraId="78970BF8" w14:textId="77777777" w:rsidR="00514A58" w:rsidRDefault="00254587" w:rsidP="00D742AC">
            <w:pPr>
              <w:spacing w:after="120"/>
              <w:jc w:val="both"/>
              <w:rPr>
                <w:bCs/>
                <w:color w:val="000000"/>
              </w:rPr>
            </w:pPr>
            <w:r w:rsidRPr="00AA6B7A">
              <w:rPr>
                <w:bCs/>
                <w:color w:val="000000"/>
              </w:rPr>
              <w:t>SAM 5.6.3.</w:t>
            </w:r>
            <w:r w:rsidR="00456C54" w:rsidRPr="00AA6B7A">
              <w:rPr>
                <w:bCs/>
                <w:color w:val="000000"/>
              </w:rPr>
              <w:t xml:space="preserve"> </w:t>
            </w:r>
            <w:r w:rsidRPr="00AA6B7A">
              <w:rPr>
                <w:bCs/>
                <w:color w:val="000000"/>
              </w:rPr>
              <w:t xml:space="preserve">tiks īstenots ierobežotas projektu iesniegumu atlases veidā, par Projekta II posma īstenotāju nosakot VVD. </w:t>
            </w:r>
            <w:r w:rsidRPr="0047040C">
              <w:rPr>
                <w:bCs/>
                <w:color w:val="000000"/>
              </w:rPr>
              <w:t xml:space="preserve">Projekta II posmam pieejams </w:t>
            </w:r>
            <w:r w:rsidR="00F96E48" w:rsidRPr="0047040C">
              <w:rPr>
                <w:bCs/>
                <w:color w:val="000000"/>
              </w:rPr>
              <w:t>ERAF</w:t>
            </w:r>
            <w:r w:rsidR="00291CD3" w:rsidRPr="0047040C">
              <w:rPr>
                <w:bCs/>
                <w:color w:val="000000"/>
              </w:rPr>
              <w:t xml:space="preserve"> finansējums – </w:t>
            </w:r>
            <w:r w:rsidR="00427835" w:rsidRPr="0047040C">
              <w:rPr>
                <w:bCs/>
                <w:color w:val="000000"/>
              </w:rPr>
              <w:t xml:space="preserve">11 600 000 </w:t>
            </w:r>
            <w:r w:rsidR="00291CD3" w:rsidRPr="0047040C">
              <w:rPr>
                <w:bCs/>
                <w:i/>
                <w:color w:val="000000"/>
              </w:rPr>
              <w:t>euro</w:t>
            </w:r>
            <w:r w:rsidRPr="0047040C">
              <w:rPr>
                <w:bCs/>
                <w:color w:val="000000"/>
              </w:rPr>
              <w:t xml:space="preserve">, kā arī </w:t>
            </w:r>
            <w:r w:rsidR="00427835" w:rsidRPr="0047040C">
              <w:rPr>
                <w:bCs/>
                <w:color w:val="000000"/>
              </w:rPr>
              <w:t>valsts budžeta</w:t>
            </w:r>
            <w:r w:rsidRPr="0047040C">
              <w:rPr>
                <w:bCs/>
                <w:color w:val="000000"/>
              </w:rPr>
              <w:t xml:space="preserve"> </w:t>
            </w:r>
            <w:r w:rsidR="00291CD3" w:rsidRPr="0047040C">
              <w:rPr>
                <w:bCs/>
                <w:color w:val="000000"/>
              </w:rPr>
              <w:t>finansē</w:t>
            </w:r>
            <w:r w:rsidR="00427835" w:rsidRPr="0047040C">
              <w:rPr>
                <w:bCs/>
                <w:color w:val="000000"/>
              </w:rPr>
              <w:t>jums</w:t>
            </w:r>
            <w:r w:rsidR="00291CD3" w:rsidRPr="0047040C">
              <w:rPr>
                <w:bCs/>
                <w:color w:val="000000"/>
              </w:rPr>
              <w:t xml:space="preserve"> – </w:t>
            </w:r>
            <w:r w:rsidR="00AF5C98" w:rsidRPr="0047040C">
              <w:rPr>
                <w:bCs/>
                <w:color w:val="000000"/>
              </w:rPr>
              <w:t xml:space="preserve">līdz </w:t>
            </w:r>
            <w:r w:rsidR="00DD68A0" w:rsidRPr="0047040C">
              <w:rPr>
                <w:bCs/>
                <w:color w:val="000000"/>
              </w:rPr>
              <w:t>18 100 000</w:t>
            </w:r>
            <w:r w:rsidR="00AF5C98" w:rsidRPr="0047040C">
              <w:rPr>
                <w:bCs/>
                <w:color w:val="000000"/>
              </w:rPr>
              <w:t xml:space="preserve"> </w:t>
            </w:r>
            <w:r w:rsidRPr="0047040C">
              <w:rPr>
                <w:bCs/>
                <w:i/>
                <w:color w:val="000000"/>
              </w:rPr>
              <w:t>euro</w:t>
            </w:r>
            <w:r w:rsidRPr="0047040C">
              <w:rPr>
                <w:bCs/>
                <w:color w:val="000000"/>
              </w:rPr>
              <w:t xml:space="preserve"> (t.sk. </w:t>
            </w:r>
            <w:r w:rsidR="00261FB5" w:rsidRPr="0047040C">
              <w:rPr>
                <w:bCs/>
                <w:color w:val="000000"/>
              </w:rPr>
              <w:t>virssaistību</w:t>
            </w:r>
            <w:r w:rsidRPr="0047040C">
              <w:rPr>
                <w:bCs/>
                <w:color w:val="000000"/>
              </w:rPr>
              <w:t xml:space="preserve"> finansējums</w:t>
            </w:r>
            <w:r w:rsidR="00F96E48" w:rsidRPr="0047040C">
              <w:rPr>
                <w:bCs/>
                <w:color w:val="000000"/>
              </w:rPr>
              <w:t xml:space="preserve"> līdz</w:t>
            </w:r>
            <w:r w:rsidRPr="0047040C">
              <w:rPr>
                <w:bCs/>
                <w:color w:val="000000"/>
              </w:rPr>
              <w:t xml:space="preserve"> </w:t>
            </w:r>
            <w:r w:rsidR="00DD68A0" w:rsidRPr="0047040C">
              <w:rPr>
                <w:bCs/>
                <w:color w:val="000000"/>
              </w:rPr>
              <w:t xml:space="preserve">13 680 000 </w:t>
            </w:r>
            <w:r w:rsidRPr="0047040C">
              <w:rPr>
                <w:bCs/>
                <w:i/>
                <w:color w:val="000000"/>
              </w:rPr>
              <w:t>euro</w:t>
            </w:r>
            <w:r w:rsidRPr="0047040C">
              <w:rPr>
                <w:bCs/>
                <w:color w:val="000000"/>
              </w:rPr>
              <w:t>)</w:t>
            </w:r>
            <w:r w:rsidR="008D6A3A" w:rsidRPr="0047040C">
              <w:rPr>
                <w:bCs/>
                <w:color w:val="000000"/>
              </w:rPr>
              <w:t xml:space="preserve"> Projekta II posma attiecināmo</w:t>
            </w:r>
            <w:r w:rsidR="0047040C" w:rsidRPr="0047040C">
              <w:rPr>
                <w:bCs/>
                <w:color w:val="000000"/>
              </w:rPr>
              <w:t xml:space="preserve"> un neattiecināmo</w:t>
            </w:r>
            <w:r w:rsidR="008D6A3A" w:rsidRPr="0047040C">
              <w:rPr>
                <w:bCs/>
                <w:color w:val="000000"/>
              </w:rPr>
              <w:t xml:space="preserve"> izmaksu segšanai</w:t>
            </w:r>
            <w:r w:rsidRPr="0047040C">
              <w:rPr>
                <w:bCs/>
                <w:color w:val="000000"/>
              </w:rPr>
              <w:t>.</w:t>
            </w:r>
            <w:r w:rsidR="00891B38" w:rsidRPr="0047040C">
              <w:rPr>
                <w:bCs/>
                <w:color w:val="000000"/>
              </w:rPr>
              <w:t xml:space="preserve"> Neattiecināmās izmaksas plānots segt no valsts budžeta līdzekļiem.</w:t>
            </w:r>
            <w:r w:rsidRPr="00AA6B7A">
              <w:rPr>
                <w:bCs/>
                <w:color w:val="000000"/>
              </w:rPr>
              <w:t xml:space="preserve"> </w:t>
            </w:r>
            <w:r w:rsidR="006804BE" w:rsidRPr="00AA6B7A">
              <w:rPr>
                <w:bCs/>
                <w:color w:val="000000"/>
              </w:rPr>
              <w:t xml:space="preserve"> </w:t>
            </w:r>
          </w:p>
          <w:p w14:paraId="55B31F08" w14:textId="20F52FFC" w:rsidR="006278A7" w:rsidRPr="00DB2BCB" w:rsidRDefault="00514A58" w:rsidP="006278A7">
            <w:pPr>
              <w:spacing w:after="120"/>
              <w:jc w:val="both"/>
              <w:rPr>
                <w:bCs/>
                <w:color w:val="000000"/>
              </w:rPr>
            </w:pPr>
            <w:r w:rsidRPr="00DB2BCB">
              <w:rPr>
                <w:bCs/>
                <w:color w:val="000000"/>
              </w:rPr>
              <w:t>Saskaņā ar  MK 2008.gada 30.septembra noteikumu Nr.817 “Noteikumi par darbības programmas “Infrastruktūra un pakalpojumi” papildinājuma 3.4.1.4.aktivitāti “Vēsturiski piesārņoto vietu sanācija”” 10.</w:t>
            </w:r>
            <w:r w:rsidRPr="00DB2BCB">
              <w:rPr>
                <w:bCs/>
                <w:color w:val="000000"/>
                <w:vertAlign w:val="superscript"/>
              </w:rPr>
              <w:t>1</w:t>
            </w:r>
            <w:r w:rsidRPr="00DB2BCB">
              <w:rPr>
                <w:bCs/>
                <w:color w:val="000000"/>
              </w:rPr>
              <w:t xml:space="preserve"> punktu šobrīd visas izmaksas, kas Projekta I posmā ir radušās pēc 2015.gada 31.decembra, ir neattiecināmas un to segšanai ieplānots valsts budžeta finansējums</w:t>
            </w:r>
            <w:r w:rsidR="006507A0" w:rsidRPr="00DB2BCB">
              <w:rPr>
                <w:bCs/>
                <w:color w:val="000000"/>
              </w:rPr>
              <w:t xml:space="preserve">. </w:t>
            </w:r>
            <w:r w:rsidR="006278A7" w:rsidRPr="00DB2BCB">
              <w:rPr>
                <w:bCs/>
                <w:color w:val="000000"/>
              </w:rPr>
              <w:t>Tomēr, ņemot vērā</w:t>
            </w:r>
            <w:r w:rsidR="006D41B0" w:rsidRPr="00DB2BCB">
              <w:rPr>
                <w:bCs/>
                <w:color w:val="000000"/>
              </w:rPr>
              <w:t>, ka</w:t>
            </w:r>
            <w:r w:rsidR="006278A7" w:rsidRPr="00DB2BCB">
              <w:rPr>
                <w:bCs/>
                <w:color w:val="000000"/>
              </w:rPr>
              <w:t>:</w:t>
            </w:r>
          </w:p>
          <w:p w14:paraId="53BA4C26" w14:textId="77777777" w:rsidR="006278A7" w:rsidRPr="00DB2BCB" w:rsidRDefault="006278A7" w:rsidP="006278A7">
            <w:pPr>
              <w:numPr>
                <w:ilvl w:val="0"/>
                <w:numId w:val="50"/>
              </w:numPr>
              <w:spacing w:after="120"/>
              <w:jc w:val="both"/>
              <w:rPr>
                <w:bCs/>
                <w:color w:val="000000"/>
              </w:rPr>
            </w:pPr>
            <w:r w:rsidRPr="00DB2BCB">
              <w:rPr>
                <w:bCs/>
                <w:color w:val="000000"/>
              </w:rPr>
              <w:t>Projekta II posms ir saistīts ar ES fondu 2007.-2013.gada plānošanas perioda ietvaros apstiprināto lielo Projektu un  ES fondu 2007.-2013.gada plānošanas perioda ietvaros īstenotajām Projekta I posma aktivitātēm</w:t>
            </w:r>
            <w:r w:rsidR="006D41B0" w:rsidRPr="00DB2BCB">
              <w:rPr>
                <w:bCs/>
                <w:color w:val="000000"/>
              </w:rPr>
              <w:t>,</w:t>
            </w:r>
          </w:p>
          <w:p w14:paraId="2D082A45" w14:textId="77777777" w:rsidR="006278A7" w:rsidRPr="00DB2BCB" w:rsidRDefault="006278A7" w:rsidP="006278A7">
            <w:pPr>
              <w:numPr>
                <w:ilvl w:val="0"/>
                <w:numId w:val="50"/>
              </w:numPr>
              <w:spacing w:after="120"/>
              <w:jc w:val="both"/>
              <w:rPr>
                <w:bCs/>
                <w:color w:val="000000"/>
              </w:rPr>
            </w:pPr>
            <w:r w:rsidRPr="00DB2BCB">
              <w:rPr>
                <w:bCs/>
                <w:color w:val="000000"/>
              </w:rPr>
              <w:t xml:space="preserve">MK 2015.gada 22.septembra sēdē </w:t>
            </w:r>
            <w:r w:rsidR="006D41B0" w:rsidRPr="00DB2BCB">
              <w:rPr>
                <w:bCs/>
                <w:color w:val="000000"/>
              </w:rPr>
              <w:t>ir devis</w:t>
            </w:r>
            <w:r w:rsidRPr="00DB2BCB">
              <w:rPr>
                <w:bCs/>
                <w:color w:val="000000"/>
              </w:rPr>
              <w:t xml:space="preserve"> uzdevumu, kas saistīts ar Projekta pabeigšanas finansēšanu ES fondu 2014.-2020.gada plānošanas perioda ietvaros ar mazāko iespējamo negatīvo ietekmi uz valsts budžetu,</w:t>
            </w:r>
          </w:p>
          <w:p w14:paraId="2D4A5217" w14:textId="3B328951" w:rsidR="006278A7" w:rsidRPr="00DB2BCB" w:rsidRDefault="006278A7" w:rsidP="006278A7">
            <w:pPr>
              <w:spacing w:after="120"/>
              <w:jc w:val="both"/>
              <w:rPr>
                <w:bCs/>
                <w:color w:val="000000"/>
              </w:rPr>
            </w:pPr>
            <w:r w:rsidRPr="00DB2BCB">
              <w:rPr>
                <w:bCs/>
                <w:color w:val="000000"/>
              </w:rPr>
              <w:t>MK noteikum</w:t>
            </w:r>
            <w:r w:rsidR="00E1754C" w:rsidRPr="00DB2BCB">
              <w:rPr>
                <w:bCs/>
                <w:color w:val="000000"/>
              </w:rPr>
              <w:t>u projekts</w:t>
            </w:r>
            <w:r w:rsidRPr="00DB2BCB">
              <w:rPr>
                <w:bCs/>
                <w:color w:val="000000"/>
              </w:rPr>
              <w:t xml:space="preserve"> paredz pēc 2016.gada 1.janvāra radušos izdevumus (t.i., faktiskās izmaksas, kas pierādāmas ar rēķiniem un pieņemšanas – nodošanas aktiem neatkarīgi no līguma noslēgšanas datuma)</w:t>
            </w:r>
            <w:r w:rsidR="006D41B0" w:rsidRPr="00DB2BCB">
              <w:rPr>
                <w:bCs/>
                <w:color w:val="000000"/>
              </w:rPr>
              <w:t xml:space="preserve">, kas atbilst Projekta II posma attiecināmajām un neattiecināmajām izmaksām, </w:t>
            </w:r>
            <w:r w:rsidRPr="00DB2BCB">
              <w:rPr>
                <w:bCs/>
                <w:color w:val="000000"/>
              </w:rPr>
              <w:t xml:space="preserve">atzīt par </w:t>
            </w:r>
            <w:r w:rsidR="006D41B0" w:rsidRPr="00DB2BCB">
              <w:rPr>
                <w:bCs/>
                <w:color w:val="000000"/>
              </w:rPr>
              <w:t xml:space="preserve">iekļaujamiem Projekta II posma </w:t>
            </w:r>
            <w:r w:rsidR="006D41B0" w:rsidRPr="00DB2BCB">
              <w:rPr>
                <w:bCs/>
                <w:color w:val="000000"/>
              </w:rPr>
              <w:lastRenderedPageBreak/>
              <w:t>izmaksās, tādējādi nodrošinot, ka līdz Projekta II posma apstiprināšanai veiktās attiecināmās izmaksas 2016. un 2017.gadā būtu līdzfinansējamas no ERAF un deklarējamas atbilstoši EK norādījumiem par izmaksu attiecināmību.</w:t>
            </w:r>
            <w:r w:rsidRPr="00DB2BCB">
              <w:rPr>
                <w:bCs/>
                <w:color w:val="000000"/>
              </w:rPr>
              <w:t xml:space="preserve"> </w:t>
            </w:r>
            <w:r w:rsidR="006507A0" w:rsidRPr="00DB2BCB">
              <w:rPr>
                <w:bCs/>
                <w:color w:val="000000"/>
              </w:rPr>
              <w:t xml:space="preserve">Gadījumā, ja EK, ievērojot </w:t>
            </w:r>
            <w:r w:rsidR="001D652A" w:rsidRPr="00DB2BCB">
              <w:rPr>
                <w:bCs/>
                <w:color w:val="000000"/>
              </w:rPr>
              <w:t xml:space="preserve">Eiropas Parlamenta un Padomes 2013.gada 17.decembra regulas (ES) Nr.1303/2013, </w:t>
            </w:r>
            <w:r w:rsidR="001D652A" w:rsidRPr="00DB2BCB">
              <w:rPr>
                <w:bCs/>
                <w:i/>
                <w:color w:val="000000"/>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1D652A" w:rsidRPr="00DB2BCB">
              <w:rPr>
                <w:bCs/>
                <w:color w:val="000000"/>
              </w:rPr>
              <w:t xml:space="preserve"> (turpmāk - Komisijas regula Nr.1303/2013) </w:t>
            </w:r>
            <w:r w:rsidR="006507A0" w:rsidRPr="00DB2BCB">
              <w:rPr>
                <w:bCs/>
                <w:color w:val="000000"/>
              </w:rPr>
              <w:t xml:space="preserve"> 65.panta 9.punkta nosacījum</w:t>
            </w:r>
            <w:r w:rsidR="00C11C94" w:rsidRPr="00DB2BCB">
              <w:rPr>
                <w:bCs/>
                <w:color w:val="000000"/>
              </w:rPr>
              <w:t>u</w:t>
            </w:r>
            <w:r w:rsidR="006507A0" w:rsidRPr="00DB2BCB">
              <w:rPr>
                <w:bCs/>
                <w:color w:val="000000"/>
              </w:rPr>
              <w:t>, atzīst, ka izmaksas, kas Projektā radušās no 2016.gada 1.janvāra līdz brīdim, kad EK iesniegts DP grozījumu priekšlikums par SAM 5.6.3 izveidi, nav deklarējamas, tad saskaņā ar MK noteikumu Nr.817 10.</w:t>
            </w:r>
            <w:r w:rsidR="006507A0" w:rsidRPr="00DB2BCB">
              <w:rPr>
                <w:bCs/>
                <w:color w:val="000000"/>
                <w:vertAlign w:val="superscript"/>
              </w:rPr>
              <w:t>1</w:t>
            </w:r>
            <w:r w:rsidR="006507A0" w:rsidRPr="00DB2BCB">
              <w:rPr>
                <w:bCs/>
                <w:color w:val="000000"/>
              </w:rPr>
              <w:t xml:space="preserve"> punktu šīs izmaksas ir uzskatāmas par Projekta I</w:t>
            </w:r>
            <w:r w:rsidR="00101A94" w:rsidRPr="00DB2BCB">
              <w:rPr>
                <w:bCs/>
                <w:color w:val="000000"/>
              </w:rPr>
              <w:t xml:space="preserve"> posma</w:t>
            </w:r>
            <w:r w:rsidR="006507A0" w:rsidRPr="00DB2BCB">
              <w:rPr>
                <w:bCs/>
                <w:color w:val="000000"/>
              </w:rPr>
              <w:t xml:space="preserve"> neattiecināmajām izmaksām.</w:t>
            </w:r>
          </w:p>
          <w:p w14:paraId="173BF89A" w14:textId="77777777" w:rsidR="00B755C2" w:rsidRPr="00DB2BCB" w:rsidRDefault="00BA740B" w:rsidP="00B755C2">
            <w:pPr>
              <w:spacing w:after="120"/>
              <w:jc w:val="both"/>
              <w:rPr>
                <w:bCs/>
                <w:color w:val="000000"/>
              </w:rPr>
            </w:pPr>
            <w:r w:rsidRPr="00AA6B7A">
              <w:rPr>
                <w:bCs/>
                <w:color w:val="000000"/>
              </w:rPr>
              <w:t xml:space="preserve">MK </w:t>
            </w:r>
            <w:r w:rsidR="00B755C2" w:rsidRPr="00AA6B7A">
              <w:rPr>
                <w:bCs/>
                <w:color w:val="000000"/>
              </w:rPr>
              <w:t xml:space="preserve">noteikumu projekta regulējums attiecībā uz attiecināmajām izmaksām (t.sk. attiecināmajām darbībām un to indikatīvo apjomu) ir </w:t>
            </w:r>
            <w:r w:rsidR="00B755C2" w:rsidRPr="00DB2BCB">
              <w:rPr>
                <w:bCs/>
                <w:color w:val="000000"/>
              </w:rPr>
              <w:t xml:space="preserve">noteikts saskaņā ar EK lēmumu. </w:t>
            </w:r>
          </w:p>
          <w:p w14:paraId="72BCE0EB" w14:textId="1CCAC890" w:rsidR="00E1754C" w:rsidRPr="00DB2BCB" w:rsidRDefault="00E1754C" w:rsidP="00B755C2">
            <w:pPr>
              <w:spacing w:after="120"/>
              <w:jc w:val="both"/>
              <w:rPr>
                <w:bCs/>
                <w:color w:val="000000"/>
              </w:rPr>
            </w:pPr>
            <w:r w:rsidRPr="00DB2BCB">
              <w:rPr>
                <w:bCs/>
                <w:color w:val="000000"/>
              </w:rPr>
              <w:t xml:space="preserve">Ja noslēdzoties iepirkumu procedūrām tiks secināts, ka izmaksas Projekta II posma īstenošanai pārsniedz MK noteikumu projektā noteikto finansējuma apmēru, VARAM informēs MK par turpmāko rīcību Projekta pabeigšanai. Tomēr gadījumā, ja izmaksas būs mazākas, nekā noteikts MK noteikumu projektā, </w:t>
            </w:r>
            <w:r w:rsidR="00EB79AA" w:rsidRPr="00DB2BCB">
              <w:rPr>
                <w:bCs/>
                <w:color w:val="000000"/>
              </w:rPr>
              <w:t>tiks</w:t>
            </w:r>
            <w:r w:rsidRPr="00DB2BCB">
              <w:rPr>
                <w:bCs/>
                <w:color w:val="000000"/>
              </w:rPr>
              <w:t xml:space="preserve"> samazināt</w:t>
            </w:r>
            <w:r w:rsidR="00EB79AA" w:rsidRPr="00DB2BCB">
              <w:rPr>
                <w:bCs/>
                <w:color w:val="000000"/>
              </w:rPr>
              <w:t>s</w:t>
            </w:r>
            <w:r w:rsidRPr="00DB2BCB">
              <w:rPr>
                <w:bCs/>
                <w:color w:val="000000"/>
              </w:rPr>
              <w:t xml:space="preserve"> SAM 5.6.3.pieejamais virssaistību finansējums</w:t>
            </w:r>
            <w:r w:rsidR="00EB79AA" w:rsidRPr="00DB2BCB">
              <w:rPr>
                <w:bCs/>
                <w:color w:val="000000"/>
              </w:rPr>
              <w:t xml:space="preserve"> (atbilstoši MK noteikumu</w:t>
            </w:r>
            <w:r w:rsidR="00101A94" w:rsidRPr="00DB2BCB">
              <w:rPr>
                <w:bCs/>
                <w:color w:val="000000"/>
              </w:rPr>
              <w:t xml:space="preserve"> projekta</w:t>
            </w:r>
            <w:r w:rsidR="00EB79AA" w:rsidRPr="00DB2BCB">
              <w:rPr>
                <w:bCs/>
                <w:color w:val="000000"/>
              </w:rPr>
              <w:t xml:space="preserve"> 10.punktam).</w:t>
            </w:r>
          </w:p>
          <w:p w14:paraId="530D8152" w14:textId="57FBDCA7" w:rsidR="00141538" w:rsidRDefault="00141538" w:rsidP="00141538">
            <w:pPr>
              <w:spacing w:after="120"/>
              <w:jc w:val="both"/>
              <w:rPr>
                <w:bCs/>
                <w:color w:val="000000"/>
              </w:rPr>
            </w:pPr>
            <w:r w:rsidRPr="00C2446A">
              <w:rPr>
                <w:bCs/>
                <w:color w:val="000000"/>
              </w:rPr>
              <w:t>Sanācijas darbus plānots īstenot, noslēdzot ar sanācijas darbu izpildītāju līgumu, kas</w:t>
            </w:r>
            <w:r>
              <w:rPr>
                <w:bCs/>
                <w:color w:val="000000"/>
              </w:rPr>
              <w:t xml:space="preserve"> </w:t>
            </w:r>
            <w:r w:rsidRPr="00C2446A">
              <w:rPr>
                <w:bCs/>
                <w:color w:val="000000"/>
              </w:rPr>
              <w:t>ir apvienotais projektēšanas – būvdarbu un sanācijas darbu kopsummas pozīciju līgums</w:t>
            </w:r>
            <w:r>
              <w:rPr>
                <w:bCs/>
                <w:color w:val="000000"/>
              </w:rPr>
              <w:t xml:space="preserve"> (</w:t>
            </w:r>
            <w:r w:rsidRPr="006E5AF2">
              <w:rPr>
                <w:bCs/>
                <w:color w:val="000000"/>
              </w:rPr>
              <w:t>Starptautiskās I</w:t>
            </w:r>
            <w:r w:rsidR="008019E1">
              <w:rPr>
                <w:bCs/>
                <w:color w:val="000000"/>
              </w:rPr>
              <w:t>nženierkonsultantu Federācijas “</w:t>
            </w:r>
            <w:r w:rsidRPr="006E5AF2">
              <w:rPr>
                <w:bCs/>
                <w:color w:val="000000"/>
              </w:rPr>
              <w:t>Iekārtu piegādes un projektēšanas – būvniecības darbu līguma noteikumi elektriskajiem un mehāniskajiem darbiem, būvniecības un inženierdarbiem, kuru projektēšanu veic uzņēmējs”, 1999.gada redakcijā)</w:t>
            </w:r>
            <w:r>
              <w:rPr>
                <w:bCs/>
                <w:color w:val="000000"/>
              </w:rPr>
              <w:t xml:space="preserve"> un:</w:t>
            </w:r>
            <w:r w:rsidRPr="00C2446A">
              <w:rPr>
                <w:bCs/>
                <w:color w:val="000000"/>
              </w:rPr>
              <w:t xml:space="preserve"> </w:t>
            </w:r>
          </w:p>
          <w:p w14:paraId="4826FAA2" w14:textId="77777777" w:rsidR="00141538" w:rsidRPr="00A80489" w:rsidRDefault="00141538" w:rsidP="00717910">
            <w:pPr>
              <w:numPr>
                <w:ilvl w:val="0"/>
                <w:numId w:val="48"/>
              </w:numPr>
              <w:spacing w:after="120"/>
              <w:jc w:val="both"/>
              <w:rPr>
                <w:bCs/>
                <w:color w:val="000000"/>
              </w:rPr>
            </w:pPr>
            <w:r w:rsidRPr="00A80489">
              <w:rPr>
                <w:bCs/>
                <w:color w:val="000000"/>
              </w:rPr>
              <w:t xml:space="preserve">kas paredz, ka līguma ietvaros ir jānodrošina līguma mērķu sasniegšana -  novērst turpmāku piesārņojošo vielu, īpaši sērskābā gudrona atkritumvielu emisiju no piesārņotās vietas pazemes ūdeņos un turpmāku piesārņojuma izplatīšanos piesārņotajai vietai piegulošās teritorijas gruntsūdeņos, virszemes ūdeņos (grāvjos), kā arī gruntī un augsnē, kā arī uzlabot </w:t>
            </w:r>
            <w:r w:rsidRPr="00717910">
              <w:rPr>
                <w:bCs/>
                <w:color w:val="000000"/>
              </w:rPr>
              <w:t xml:space="preserve">gruntsūdens, virszemes ūdens, kā arī augsnes un grunts kvalitāti bīstamo atkritumu </w:t>
            </w:r>
            <w:r w:rsidR="007F578F">
              <w:rPr>
                <w:bCs/>
                <w:color w:val="000000"/>
              </w:rPr>
              <w:t>piesārņoto vietu</w:t>
            </w:r>
            <w:r w:rsidRPr="00717910">
              <w:rPr>
                <w:bCs/>
                <w:color w:val="000000"/>
              </w:rPr>
              <w:t xml:space="preserve"> piegulošajā teritorijā līdz tādai pakāpei, ka netiek apdraudēta cilvēku veselība un vide, kā arī attiecīgo teritoriju iespējams izmantot noteiktai saimnieciskai darbībai saskaņā ar teritorijas attīstības plānu</w:t>
            </w:r>
            <w:r w:rsidRPr="00A80489">
              <w:rPr>
                <w:bCs/>
                <w:color w:val="000000"/>
              </w:rPr>
              <w:t>;</w:t>
            </w:r>
          </w:p>
          <w:p w14:paraId="1A69FC82" w14:textId="0016109B" w:rsidR="00141538" w:rsidRDefault="00141538" w:rsidP="00141538">
            <w:pPr>
              <w:numPr>
                <w:ilvl w:val="0"/>
                <w:numId w:val="48"/>
              </w:numPr>
              <w:spacing w:after="120"/>
              <w:jc w:val="both"/>
              <w:rPr>
                <w:bCs/>
                <w:color w:val="000000"/>
              </w:rPr>
            </w:pPr>
            <w:r w:rsidRPr="00C2446A">
              <w:rPr>
                <w:bCs/>
                <w:color w:val="000000"/>
              </w:rPr>
              <w:t xml:space="preserve">kas ietvers gan sanācijas darbus, tai skaitā būvdarbus, gan ar sanācijas darbu un būvdarbu veikšanu saistītās dokumentācijas izstrādi un aktualizēšanu, kā arī autoruzraudzību (t.sk., dīķu  </w:t>
            </w:r>
            <w:r w:rsidRPr="00C2446A">
              <w:rPr>
                <w:bCs/>
                <w:color w:val="000000"/>
              </w:rPr>
              <w:lastRenderedPageBreak/>
              <w:t>teritorijas sagatavošanas darbus</w:t>
            </w:r>
            <w:r w:rsidR="00717910">
              <w:rPr>
                <w:bCs/>
                <w:color w:val="000000"/>
              </w:rPr>
              <w:t xml:space="preserve"> </w:t>
            </w:r>
            <w:r w:rsidRPr="00C2446A">
              <w:rPr>
                <w:bCs/>
                <w:color w:val="000000"/>
              </w:rPr>
              <w:t xml:space="preserve">sanācijas darbu </w:t>
            </w:r>
            <w:r>
              <w:rPr>
                <w:bCs/>
                <w:color w:val="000000"/>
              </w:rPr>
              <w:t>veikšanai</w:t>
            </w:r>
            <w:r w:rsidRPr="00C2446A">
              <w:rPr>
                <w:bCs/>
                <w:color w:val="000000"/>
              </w:rPr>
              <w:t xml:space="preserve">,  ieskaitot nepieciešamās infrastruktūras  pārbūvi vai izbūvi </w:t>
            </w:r>
            <w:r>
              <w:rPr>
                <w:bCs/>
                <w:color w:val="000000"/>
              </w:rPr>
              <w:t xml:space="preserve"> un </w:t>
            </w:r>
            <w:r w:rsidRPr="00C2446A">
              <w:rPr>
                <w:bCs/>
                <w:color w:val="000000"/>
              </w:rPr>
              <w:t xml:space="preserve">nepieciešamības gadījumā arī esošo objektu </w:t>
            </w:r>
            <w:r w:rsidR="0006448D">
              <w:rPr>
                <w:bCs/>
                <w:color w:val="000000"/>
              </w:rPr>
              <w:t>nojaukšanu</w:t>
            </w:r>
            <w:r w:rsidRPr="00C2446A">
              <w:rPr>
                <w:bCs/>
                <w:color w:val="000000"/>
              </w:rPr>
              <w:t>),  sērskābā gudrona atklāt</w:t>
            </w:r>
            <w:r>
              <w:rPr>
                <w:bCs/>
                <w:color w:val="000000"/>
              </w:rPr>
              <w:t>o</w:t>
            </w:r>
            <w:r w:rsidRPr="00C2446A">
              <w:rPr>
                <w:bCs/>
                <w:color w:val="000000"/>
              </w:rPr>
              <w:t xml:space="preserve"> tilp</w:t>
            </w:r>
            <w:r>
              <w:rPr>
                <w:bCs/>
                <w:color w:val="000000"/>
              </w:rPr>
              <w:t>ņu</w:t>
            </w:r>
            <w:r w:rsidRPr="00C2446A">
              <w:rPr>
                <w:bCs/>
                <w:color w:val="000000"/>
              </w:rPr>
              <w:t xml:space="preserve"> maisījuma vai piesārņotās grunts ekskavēšanu</w:t>
            </w:r>
            <w:r>
              <w:rPr>
                <w:bCs/>
                <w:color w:val="000000"/>
              </w:rPr>
              <w:t xml:space="preserve"> </w:t>
            </w:r>
            <w:r w:rsidRPr="00891B38">
              <w:rPr>
                <w:bCs/>
                <w:color w:val="000000"/>
              </w:rPr>
              <w:t>(šo darbību rezultātā tiks likvidēti piesārņojuma avoti),</w:t>
            </w:r>
            <w:r w:rsidRPr="00C2446A">
              <w:rPr>
                <w:bCs/>
                <w:color w:val="000000"/>
              </w:rPr>
              <w:t xml:space="preserve"> apstrādi, utilizāciju vai apglabāšanu, pamatnes neitralizāciju un homogenizāciju, ekskavēšanas zonas aizpildīšanu, rievsienas izbūvi, piesārņoto pazemes ūdeņu atsūknēšanu un attīrīšanu, teritorijas rekultivāciju un pārsegšanu, pēcprojekta monitoringa sistēmas izveidi).</w:t>
            </w:r>
          </w:p>
          <w:p w14:paraId="6F08D107" w14:textId="77777777" w:rsidR="0043463C" w:rsidRPr="00C2446A" w:rsidRDefault="00DC219F" w:rsidP="0043463C">
            <w:pPr>
              <w:spacing w:after="120"/>
              <w:jc w:val="both"/>
              <w:rPr>
                <w:bCs/>
                <w:color w:val="000000"/>
              </w:rPr>
            </w:pPr>
            <w:r>
              <w:rPr>
                <w:bCs/>
                <w:color w:val="000000"/>
              </w:rPr>
              <w:t>Ievērojot to, ka būvprojektēšana, sanācijas darbu projekta izstrādes un autoruzraudzības pakalpojumu izmaksas tiks ieskaitītas apvienotajā projektēšanas – būvdarbu un sanācijas darbu kopsummas līgumā, tās ir neatdalāmi saistītas ar sanācijas darbu veikšanu, šīm izmaksām nav piemērojami Vadlīnijas attiecināmo un neattiecināmo izmaksu noteikšanai 2014.-2020.gada plānošanas periodā (turpmāk – Vadīnijas) notiekti ierobežojumi.</w:t>
            </w:r>
          </w:p>
          <w:p w14:paraId="4047F686" w14:textId="77777777" w:rsidR="0083220A" w:rsidRPr="00AA6B7A" w:rsidRDefault="00B755C2" w:rsidP="00B74F88">
            <w:pPr>
              <w:spacing w:after="120"/>
              <w:jc w:val="both"/>
              <w:rPr>
                <w:bCs/>
                <w:color w:val="000000"/>
              </w:rPr>
            </w:pPr>
            <w:r w:rsidRPr="00AA6B7A">
              <w:rPr>
                <w:bCs/>
                <w:color w:val="000000"/>
              </w:rPr>
              <w:t xml:space="preserve">Lai nodrošinātu sanācijas darbu līguma izpildes uzraudzību, Projekta II posma ietvaros tiks attiecinātas arī inženiertehniskās uzraudzības izmaksas, kas ietvers ne tikai sanācijas darbu un to ietvaros veikto būvdarbu uzraudzību saskaņā ar sanācijas darbu līguma noteikumiem, bet arī nepieciešamo inženiertehnisko izpēšu kopumu, lai pārliecinātos par sanācijas darbu rezultātu </w:t>
            </w:r>
            <w:r w:rsidR="00717910" w:rsidRPr="00AA6B7A">
              <w:rPr>
                <w:bCs/>
                <w:color w:val="000000"/>
              </w:rPr>
              <w:t xml:space="preserve">kvantitatīvo un </w:t>
            </w:r>
            <w:r w:rsidRPr="00AA6B7A">
              <w:rPr>
                <w:bCs/>
                <w:color w:val="000000"/>
              </w:rPr>
              <w:t>kvalitatīvo atbilstību Projekta mērķiem.</w:t>
            </w:r>
            <w:r w:rsidR="00F262B1" w:rsidRPr="00AA6B7A">
              <w:rPr>
                <w:bCs/>
                <w:color w:val="000000"/>
              </w:rPr>
              <w:t xml:space="preserve"> </w:t>
            </w:r>
            <w:r w:rsidR="00C01A96" w:rsidRPr="00AA6B7A">
              <w:rPr>
                <w:bCs/>
                <w:color w:val="000000"/>
              </w:rPr>
              <w:t>Šādu mehānismu</w:t>
            </w:r>
            <w:r w:rsidR="0075468D" w:rsidRPr="00AA6B7A">
              <w:rPr>
                <w:bCs/>
                <w:color w:val="000000"/>
              </w:rPr>
              <w:t xml:space="preserve"> piemērošana ļauj sarežģītos projektos piemērot pielāgotus risinājumus, kurus gan izstrādā, gan arī sekojoši īsteno darbu veicējs, kas risinājuma īstenošanas metodes pārzina vislabāk. </w:t>
            </w:r>
            <w:r w:rsidR="0043463C">
              <w:rPr>
                <w:bCs/>
                <w:color w:val="000000"/>
              </w:rPr>
              <w:t xml:space="preserve">Sanācijas darbu uzraudzības izmaksas, t.sk., izpētes darbu izmaksas ir indikatīvi prognozētas  līdz 8% apmērā no </w:t>
            </w:r>
            <w:r w:rsidR="00E66824">
              <w:rPr>
                <w:bCs/>
                <w:color w:val="000000"/>
              </w:rPr>
              <w:t>projekta attiecināmajām izmaksām</w:t>
            </w:r>
            <w:r w:rsidR="0043463C">
              <w:rPr>
                <w:bCs/>
                <w:color w:val="000000"/>
              </w:rPr>
              <w:t xml:space="preserve"> un nepārsniedz Vadlīniju 8.2. punktā notiektos izmaksu ierobežojumus.</w:t>
            </w:r>
          </w:p>
          <w:p w14:paraId="23C94B9F" w14:textId="3BEB7E5A" w:rsidR="00E45A94" w:rsidRPr="00AA6B7A" w:rsidRDefault="00B755C2" w:rsidP="00A07442">
            <w:pPr>
              <w:spacing w:after="120"/>
              <w:jc w:val="both"/>
              <w:rPr>
                <w:bCs/>
                <w:color w:val="000000"/>
              </w:rPr>
            </w:pPr>
            <w:r w:rsidRPr="00AA6B7A">
              <w:rPr>
                <w:bCs/>
                <w:color w:val="000000"/>
              </w:rPr>
              <w:t>Ņemot vērā Projekta sarežģīto raksturu un komplekso darbību kopumu, kā arī ņemot vērā Projekta I posma īstenošanas rezultātā identificētos projekta īstenošanas riskus un to mazināšanas pasākumus Projekta II posma īstenošanas laikā un ievērojot EK lēmumā noteiktās Projekta II posma aktivitātes, MK noteikumu projekts kā attiecināmās izmaksas Projekta II posma ietvaros paredz arī projekta vadības izmaksas, kā arī juridisko un konsultatīvo pakalpojumu līgumu izmaksas, kas nodrošinās efektīvu un augsti kvalificētu projekta vadību.</w:t>
            </w:r>
            <w:r w:rsidR="0083220A" w:rsidRPr="00AA6B7A">
              <w:rPr>
                <w:bCs/>
                <w:color w:val="000000"/>
              </w:rPr>
              <w:t xml:space="preserve"> </w:t>
            </w:r>
            <w:r w:rsidR="003D6031" w:rsidRPr="00AA6B7A">
              <w:rPr>
                <w:bCs/>
                <w:color w:val="000000"/>
              </w:rPr>
              <w:t xml:space="preserve">Finansējuma saņēmēja kapacitātes </w:t>
            </w:r>
            <w:r w:rsidR="0043463C">
              <w:rPr>
                <w:bCs/>
                <w:color w:val="000000"/>
              </w:rPr>
              <w:t>nodrošināšanas būtiskums ir uzsvērts arī</w:t>
            </w:r>
            <w:r w:rsidR="003D6031" w:rsidRPr="00AA6B7A">
              <w:rPr>
                <w:bCs/>
                <w:color w:val="000000"/>
              </w:rPr>
              <w:t xml:space="preserve"> ES fondu vadošās iestādes ceturkšņa un pusgada ziņojumos par ES fondu apguvi. Līdzīgi norādījuši arī JASPERS eksperti.</w:t>
            </w:r>
            <w:r w:rsidR="0083220A" w:rsidRPr="00AA6B7A">
              <w:rPr>
                <w:color w:val="000000"/>
              </w:rPr>
              <w:t xml:space="preserve"> Projekta vadībai ir izveidota Projekta ieviešanas vienība (turpmāk - PIV) trīs darbinieku sastāvā un kopš 2017.gada 1.februāra ir piesaistīts arī PIV vadītājs.  </w:t>
            </w:r>
            <w:r w:rsidR="0006448D" w:rsidRPr="00AA6B7A">
              <w:rPr>
                <w:color w:val="000000"/>
              </w:rPr>
              <w:t xml:space="preserve"> PIV veido PIV vadītājs, projekta vadītāj</w:t>
            </w:r>
            <w:r w:rsidR="0006448D">
              <w:rPr>
                <w:color w:val="000000"/>
              </w:rPr>
              <w:t>i</w:t>
            </w:r>
            <w:r w:rsidR="0006448D" w:rsidRPr="00AA6B7A">
              <w:rPr>
                <w:color w:val="000000"/>
              </w:rPr>
              <w:t>,kā arī pap</w:t>
            </w:r>
            <w:r w:rsidR="00D66C6C">
              <w:rPr>
                <w:color w:val="000000"/>
              </w:rPr>
              <w:t xml:space="preserve">ildu eksperti (daļēja slodze). </w:t>
            </w:r>
            <w:r w:rsidR="0083220A" w:rsidRPr="00AA6B7A">
              <w:rPr>
                <w:color w:val="000000"/>
              </w:rPr>
              <w:t xml:space="preserve">Nosakot PIV darbinieku izmaksu slieksni, ņemta vērā Projekta vadībā iesaistīto speciālistu noslodze turpmāko četru gadu periodā un vidējās mēnešalgas apmērs Projekta vadībā iesaistītajām personām, kas strādā ar sarežģītiem un liela mēroga investīciju projektiem. Izmaksu noteikšanai par pamatu ņemti MK 2013.gada 29.janvāra noteikumos Nr.66 “Noteikumi par valsts un pašvaldību institūciju amatpersonu un </w:t>
            </w:r>
            <w:r w:rsidR="0083220A" w:rsidRPr="00AA6B7A">
              <w:rPr>
                <w:color w:val="000000"/>
              </w:rPr>
              <w:lastRenderedPageBreak/>
              <w:t>darbinieku darba samaksu un tās noteikšanas kārtību” un MK 2010.gada 30.novembra noteikumos Nr.1075 “Valsts un pašvaldību institūciju amatu katalogs” ietvertie nosacījumi par projektu vadībā iesaistīto amatu klasifikāciju un samaksas apmēru.</w:t>
            </w:r>
            <w:r w:rsidR="0043463C">
              <w:rPr>
                <w:color w:val="000000"/>
              </w:rPr>
              <w:t xml:space="preserve"> Ņemot vērā minēto, MK noteikumu projekts paredz atkāpes no Vadlīnijām, atkāpjoties no Vadlīnijās noteiktajiem ierobežojumiem tiešajām projekta vadības izmaksām.</w:t>
            </w:r>
          </w:p>
          <w:p w14:paraId="7C66DD89" w14:textId="5E7BD79B" w:rsidR="009F34C0" w:rsidRPr="00AA6B7A" w:rsidRDefault="00717910" w:rsidP="00A07442">
            <w:pPr>
              <w:spacing w:after="120"/>
              <w:jc w:val="both"/>
              <w:rPr>
                <w:bCs/>
                <w:color w:val="000000"/>
              </w:rPr>
            </w:pPr>
            <w:r w:rsidRPr="00C2446A">
              <w:rPr>
                <w:bCs/>
                <w:color w:val="000000"/>
              </w:rPr>
              <w:t>Savukārt kā Projekta II posma neattiecināmās izmaksas MK noteikumu projekts paredz izmaksas juridisko pakalpojumu sniegšanai</w:t>
            </w:r>
            <w:r>
              <w:rPr>
                <w:bCs/>
                <w:color w:val="000000"/>
              </w:rPr>
              <w:t xml:space="preserve"> (t.sk. </w:t>
            </w:r>
            <w:r w:rsidR="00FE2D4C">
              <w:rPr>
                <w:bCs/>
                <w:color w:val="000000"/>
              </w:rPr>
              <w:t xml:space="preserve"> ar tiesvedību saisīto </w:t>
            </w:r>
            <w:r>
              <w:rPr>
                <w:bCs/>
                <w:color w:val="000000"/>
              </w:rPr>
              <w:t>valsts nodevu apmaksai)</w:t>
            </w:r>
            <w:r w:rsidRPr="00C2446A">
              <w:rPr>
                <w:bCs/>
                <w:color w:val="000000"/>
              </w:rPr>
              <w:t xml:space="preserve"> valsts interešu pārstāvībai tiesvedībā ar SIA “Skonto Būve” par 2015.gada 22.jūlijā pārtraukto sanācijas darbu līgumu.</w:t>
            </w:r>
          </w:p>
          <w:p w14:paraId="114DDB9D" w14:textId="77777777" w:rsidR="00D17E2D" w:rsidRPr="00AA6B7A" w:rsidRDefault="00D17E2D" w:rsidP="00D742AC">
            <w:pPr>
              <w:spacing w:after="120"/>
              <w:jc w:val="both"/>
              <w:rPr>
                <w:bCs/>
                <w:color w:val="000000"/>
              </w:rPr>
            </w:pPr>
            <w:r w:rsidRPr="00AA6B7A">
              <w:rPr>
                <w:bCs/>
                <w:color w:val="000000"/>
              </w:rPr>
              <w:t xml:space="preserve">SAM 5.6.3. netiek piemēroti nosacījumi par snieguma rezerves ieturēšanu, jo Projekta II posms tiek īstenots kā viens projekts, kurā nevar tikt plānota kāda daļa darbu, kas tikai pozitīva </w:t>
            </w:r>
            <w:r w:rsidR="00891B38" w:rsidRPr="00AA6B7A">
              <w:rPr>
                <w:bCs/>
                <w:color w:val="000000"/>
              </w:rPr>
              <w:t>EK</w:t>
            </w:r>
            <w:r w:rsidRPr="00AA6B7A">
              <w:rPr>
                <w:bCs/>
                <w:color w:val="000000"/>
              </w:rPr>
              <w:t xml:space="preserve"> lēmuma gadījumā tiktu īstenoti. Projekta II posmā plānotie darbi ir jāīsteno pilnā apmērā. Tā kā snieguma rezerves apmērs DP noteikts katrā prioritārajā virzienā, SAM 5.6.2. sn</w:t>
            </w:r>
            <w:r w:rsidR="00A07442" w:rsidRPr="00AA6B7A">
              <w:rPr>
                <w:bCs/>
                <w:color w:val="000000"/>
              </w:rPr>
              <w:t>ieguma rezerves daļa ieturēta no citiem</w:t>
            </w:r>
            <w:r w:rsidRPr="00AA6B7A">
              <w:rPr>
                <w:bCs/>
                <w:color w:val="000000"/>
              </w:rPr>
              <w:t xml:space="preserve"> 5.prioritārā virziena “Vides aizsardzība un izmantošanas efektivitāte” vides jom</w:t>
            </w:r>
            <w:r w:rsidR="00A07442" w:rsidRPr="00AA6B7A">
              <w:rPr>
                <w:bCs/>
                <w:color w:val="000000"/>
              </w:rPr>
              <w:t>as specifiskajiem atbalsta mērķiem</w:t>
            </w:r>
            <w:r w:rsidRPr="00AA6B7A">
              <w:rPr>
                <w:bCs/>
                <w:color w:val="000000"/>
              </w:rPr>
              <w:t>.</w:t>
            </w:r>
          </w:p>
          <w:p w14:paraId="72EEDFD6" w14:textId="77777777" w:rsidR="009A1530" w:rsidRPr="00AA6B7A" w:rsidRDefault="009A1530" w:rsidP="00D742AC">
            <w:pPr>
              <w:spacing w:after="120"/>
              <w:jc w:val="both"/>
              <w:rPr>
                <w:bCs/>
                <w:color w:val="000000"/>
              </w:rPr>
            </w:pPr>
            <w:r w:rsidRPr="00AA6B7A">
              <w:rPr>
                <w:bCs/>
                <w:color w:val="000000"/>
              </w:rPr>
              <w:t xml:space="preserve">Par </w:t>
            </w:r>
            <w:r w:rsidR="00F2382B" w:rsidRPr="00AA6B7A">
              <w:rPr>
                <w:bCs/>
                <w:color w:val="000000"/>
              </w:rPr>
              <w:t>SAM 5.6.3.</w:t>
            </w:r>
            <w:r w:rsidRPr="00AA6B7A">
              <w:rPr>
                <w:bCs/>
                <w:color w:val="000000"/>
              </w:rPr>
              <w:t xml:space="preserve"> īstenoš</w:t>
            </w:r>
            <w:r w:rsidR="00420E58" w:rsidRPr="00AA6B7A">
              <w:rPr>
                <w:bCs/>
                <w:color w:val="000000"/>
              </w:rPr>
              <w:t>anu atbildīgā iestāde ir VARAM.</w:t>
            </w:r>
          </w:p>
          <w:p w14:paraId="510E11B9" w14:textId="77777777" w:rsidR="00E9748C" w:rsidRDefault="00725E27" w:rsidP="00D742AC">
            <w:pPr>
              <w:spacing w:after="120"/>
              <w:jc w:val="both"/>
              <w:rPr>
                <w:bCs/>
                <w:color w:val="000000"/>
              </w:rPr>
            </w:pPr>
            <w:r w:rsidRPr="00AA6B7A">
              <w:rPr>
                <w:bCs/>
                <w:color w:val="000000"/>
              </w:rPr>
              <w:t xml:space="preserve">MK noteikumu projekts </w:t>
            </w:r>
            <w:r w:rsidRPr="00DB2BCB">
              <w:rPr>
                <w:bCs/>
                <w:color w:val="000000"/>
              </w:rPr>
              <w:t xml:space="preserve">paredz </w:t>
            </w:r>
            <w:r w:rsidR="009F34C0" w:rsidRPr="00DB2BCB">
              <w:rPr>
                <w:bCs/>
                <w:color w:val="000000"/>
              </w:rPr>
              <w:t xml:space="preserve">pienākumu </w:t>
            </w:r>
            <w:r w:rsidRPr="00DB2BCB">
              <w:rPr>
                <w:bCs/>
                <w:color w:val="000000"/>
              </w:rPr>
              <w:t>sadarbības iestādei (Centrāl</w:t>
            </w:r>
            <w:r w:rsidR="009F34C0" w:rsidRPr="00DB2BCB">
              <w:rPr>
                <w:bCs/>
                <w:color w:val="000000"/>
              </w:rPr>
              <w:t>ajai</w:t>
            </w:r>
            <w:r w:rsidRPr="00DB2BCB">
              <w:rPr>
                <w:bCs/>
                <w:color w:val="000000"/>
              </w:rPr>
              <w:t xml:space="preserve"> finanšu un līgumu aģentūra</w:t>
            </w:r>
            <w:r w:rsidR="009F34C0" w:rsidRPr="00DB2BCB">
              <w:rPr>
                <w:bCs/>
                <w:color w:val="000000"/>
              </w:rPr>
              <w:t>i</w:t>
            </w:r>
            <w:r w:rsidRPr="00DB2BCB">
              <w:rPr>
                <w:bCs/>
                <w:color w:val="000000"/>
              </w:rPr>
              <w:t xml:space="preserve">) pieņemt </w:t>
            </w:r>
            <w:r w:rsidR="00D52391" w:rsidRPr="00DB2BCB">
              <w:rPr>
                <w:bCs/>
                <w:color w:val="000000"/>
              </w:rPr>
              <w:t>starp</w:t>
            </w:r>
            <w:r w:rsidRPr="00DB2BCB">
              <w:rPr>
                <w:bCs/>
                <w:color w:val="000000"/>
              </w:rPr>
              <w:t>lēmumu par projekta iesniegum</w:t>
            </w:r>
            <w:r w:rsidR="009F34C0" w:rsidRPr="00DB2BCB">
              <w:rPr>
                <w:bCs/>
                <w:color w:val="000000"/>
              </w:rPr>
              <w:t>a</w:t>
            </w:r>
            <w:r w:rsidRPr="00DB2BCB">
              <w:rPr>
                <w:bCs/>
                <w:color w:val="000000"/>
              </w:rPr>
              <w:t xml:space="preserve"> apstiprināšanu</w:t>
            </w:r>
            <w:r w:rsidR="00D52391" w:rsidRPr="00DB2BCB">
              <w:rPr>
                <w:bCs/>
                <w:color w:val="000000"/>
              </w:rPr>
              <w:t xml:space="preserve"> vai </w:t>
            </w:r>
            <w:r w:rsidRPr="00DB2BCB">
              <w:rPr>
                <w:bCs/>
                <w:color w:val="000000"/>
              </w:rPr>
              <w:t>apstiprināšanu ar nosacījumu</w:t>
            </w:r>
            <w:r w:rsidR="00E1754C" w:rsidRPr="00DB2BCB">
              <w:rPr>
                <w:bCs/>
                <w:color w:val="000000"/>
              </w:rPr>
              <w:t xml:space="preserve"> vai lēmumu par projekta noraidīšanu</w:t>
            </w:r>
            <w:r w:rsidR="00F70D52" w:rsidRPr="00DB2BCB">
              <w:rPr>
                <w:color w:val="000000"/>
              </w:rPr>
              <w:t xml:space="preserve"> </w:t>
            </w:r>
            <w:r w:rsidR="00F70D52" w:rsidRPr="00DB2BCB">
              <w:rPr>
                <w:bCs/>
                <w:color w:val="000000"/>
              </w:rPr>
              <w:t xml:space="preserve">(ja uz projekta iesniedzēju attiecas vismaz viens no Eiropas Savienības struktūrfondu un Kohēzijas fonda 2014. – 2020.gada plānošanas perioda vadības likuma 23. pantā minētajiem izslēgšanas noteikumiem) </w:t>
            </w:r>
            <w:r w:rsidRPr="00DB2BCB">
              <w:rPr>
                <w:bCs/>
                <w:color w:val="000000"/>
              </w:rPr>
              <w:t xml:space="preserve">divu mēnešu laikā no </w:t>
            </w:r>
            <w:r w:rsidR="009F34C0" w:rsidRPr="00DB2BCB">
              <w:rPr>
                <w:bCs/>
                <w:color w:val="000000"/>
              </w:rPr>
              <w:t>P</w:t>
            </w:r>
            <w:r w:rsidRPr="00DB2BCB">
              <w:rPr>
                <w:bCs/>
                <w:color w:val="000000"/>
              </w:rPr>
              <w:t>rojekta</w:t>
            </w:r>
            <w:r w:rsidR="009F34C0" w:rsidRPr="00DB2BCB">
              <w:rPr>
                <w:bCs/>
                <w:color w:val="000000"/>
              </w:rPr>
              <w:t xml:space="preserve"> II posma</w:t>
            </w:r>
            <w:r w:rsidRPr="00DB2BCB">
              <w:rPr>
                <w:bCs/>
                <w:color w:val="000000"/>
              </w:rPr>
              <w:t xml:space="preserve"> iesnieguma iesniegšanas </w:t>
            </w:r>
            <w:r w:rsidR="0024562D" w:rsidRPr="00DB2BCB">
              <w:rPr>
                <w:bCs/>
                <w:color w:val="000000"/>
              </w:rPr>
              <w:t>dienas</w:t>
            </w:r>
            <w:r w:rsidRPr="00DB2BCB">
              <w:rPr>
                <w:bCs/>
                <w:color w:val="000000"/>
              </w:rPr>
              <w:t xml:space="preserve">. </w:t>
            </w:r>
            <w:r w:rsidR="0024562D" w:rsidRPr="00DB2BCB">
              <w:rPr>
                <w:bCs/>
                <w:color w:val="000000"/>
              </w:rPr>
              <w:t xml:space="preserve"> Minētais termiņš noteikts, ņemot vērā Projekta II posma īstenošanas steidzamību un tālākās administratīvās darbības,</w:t>
            </w:r>
            <w:r w:rsidR="0024562D" w:rsidRPr="00AA6B7A">
              <w:rPr>
                <w:bCs/>
                <w:color w:val="000000"/>
              </w:rPr>
              <w:t xml:space="preserve"> saskaņojot Projekta II posma iesniegumu ar EK, kas ietekmē Projekta II posma īstenošanas laika grafiku.</w:t>
            </w:r>
            <w:r w:rsidRPr="00AA6B7A">
              <w:rPr>
                <w:bCs/>
                <w:color w:val="000000"/>
              </w:rPr>
              <w:t xml:space="preserve"> </w:t>
            </w:r>
          </w:p>
          <w:p w14:paraId="23CABF26" w14:textId="77777777" w:rsidR="00D17E2D" w:rsidRPr="00AC7538" w:rsidRDefault="00E9748C" w:rsidP="00D742AC">
            <w:pPr>
              <w:spacing w:after="120"/>
              <w:jc w:val="both"/>
              <w:rPr>
                <w:bCs/>
                <w:color w:val="000000"/>
              </w:rPr>
            </w:pPr>
            <w:r w:rsidRPr="00AC7538">
              <w:rPr>
                <w:bCs/>
                <w:color w:val="000000"/>
              </w:rPr>
              <w:t>Gadījumā, ja Projekta II posma pabeigšanai nepieciešamo</w:t>
            </w:r>
            <w:r w:rsidR="00AC7538" w:rsidRPr="00AC7538">
              <w:rPr>
                <w:bCs/>
                <w:color w:val="000000"/>
              </w:rPr>
              <w:t>s</w:t>
            </w:r>
            <w:r w:rsidRPr="00AC7538">
              <w:rPr>
                <w:bCs/>
                <w:color w:val="000000"/>
              </w:rPr>
              <w:t xml:space="preserve"> </w:t>
            </w:r>
            <w:r w:rsidR="00AC7538" w:rsidRPr="00AC7538">
              <w:rPr>
                <w:bCs/>
                <w:color w:val="000000"/>
              </w:rPr>
              <w:t xml:space="preserve">sanācijas </w:t>
            </w:r>
            <w:r w:rsidRPr="00AC7538">
              <w:rPr>
                <w:bCs/>
                <w:color w:val="000000"/>
              </w:rPr>
              <w:t>darbu</w:t>
            </w:r>
            <w:r w:rsidR="00AC7538" w:rsidRPr="00AC7538">
              <w:rPr>
                <w:bCs/>
                <w:color w:val="000000"/>
              </w:rPr>
              <w:t xml:space="preserve"> un pakalpojumu iepirkumu līgumus</w:t>
            </w:r>
            <w:r w:rsidRPr="00AC7538">
              <w:rPr>
                <w:bCs/>
                <w:color w:val="000000"/>
              </w:rPr>
              <w:t xml:space="preserve"> (papildu tiem, kurus atļauts slēgt atbilstoši MK 2015.gada 22.septembra sēdes Nr.50 38.§) </w:t>
            </w:r>
            <w:r w:rsidR="00AC7538" w:rsidRPr="00AC7538">
              <w:rPr>
                <w:bCs/>
                <w:color w:val="000000"/>
              </w:rPr>
              <w:t>būs nepieciešams noslēgt</w:t>
            </w:r>
            <w:r w:rsidRPr="00AC7538">
              <w:rPr>
                <w:bCs/>
                <w:color w:val="000000"/>
              </w:rPr>
              <w:t xml:space="preserve"> pirms EK </w:t>
            </w:r>
            <w:r w:rsidR="00AC7538" w:rsidRPr="00AC7538">
              <w:rPr>
                <w:bCs/>
                <w:color w:val="000000"/>
              </w:rPr>
              <w:t>saskaņojuma par</w:t>
            </w:r>
            <w:r w:rsidRPr="00AC7538">
              <w:rPr>
                <w:bCs/>
                <w:color w:val="000000"/>
              </w:rPr>
              <w:t xml:space="preserve"> finanšu ieguldījumu Projektā, tiks pieņemts </w:t>
            </w:r>
            <w:r w:rsidR="00AC7538" w:rsidRPr="00AC7538">
              <w:rPr>
                <w:bCs/>
                <w:color w:val="000000"/>
              </w:rPr>
              <w:t>atsevišķs</w:t>
            </w:r>
            <w:r w:rsidRPr="00AC7538">
              <w:rPr>
                <w:bCs/>
                <w:color w:val="000000"/>
              </w:rPr>
              <w:t xml:space="preserve"> MK lēmums</w:t>
            </w:r>
            <w:r w:rsidR="00AC7538" w:rsidRPr="00AC7538">
              <w:rPr>
                <w:bCs/>
                <w:color w:val="000000"/>
              </w:rPr>
              <w:t xml:space="preserve"> par šādu līgumu slēgšanu</w:t>
            </w:r>
            <w:r w:rsidR="002B12A3" w:rsidRPr="00AC7538">
              <w:rPr>
                <w:bCs/>
                <w:color w:val="000000"/>
              </w:rPr>
              <w:t>.</w:t>
            </w:r>
          </w:p>
          <w:p w14:paraId="3413DF96" w14:textId="77777777" w:rsidR="008821EC" w:rsidRPr="00AA6B7A" w:rsidRDefault="0024562D" w:rsidP="0024562D">
            <w:pPr>
              <w:spacing w:after="120"/>
              <w:jc w:val="both"/>
              <w:rPr>
                <w:bCs/>
                <w:color w:val="000000"/>
              </w:rPr>
            </w:pPr>
            <w:r w:rsidRPr="00AA6B7A">
              <w:rPr>
                <w:bCs/>
                <w:color w:val="000000"/>
              </w:rPr>
              <w:t>Ņemot vērā EK 2016.gada 22.jūlija vēstulē Nr. H3/LS/in D(2016)4008675 minēto</w:t>
            </w:r>
            <w:r w:rsidR="008C3DC6" w:rsidRPr="00AA6B7A">
              <w:rPr>
                <w:bCs/>
                <w:color w:val="000000"/>
              </w:rPr>
              <w:t xml:space="preserve">, vērtējot Projekta II posma iesniegumu kā lielā projekta iesniegumu </w:t>
            </w:r>
            <w:r w:rsidR="00456C54" w:rsidRPr="00AA6B7A">
              <w:rPr>
                <w:bCs/>
                <w:color w:val="000000"/>
              </w:rPr>
              <w:t>Komisijas regula</w:t>
            </w:r>
            <w:r w:rsidR="001D652A">
              <w:rPr>
                <w:bCs/>
                <w:color w:val="000000"/>
              </w:rPr>
              <w:t>s</w:t>
            </w:r>
            <w:r w:rsidR="00456C54" w:rsidRPr="00AA6B7A">
              <w:rPr>
                <w:bCs/>
                <w:color w:val="000000"/>
              </w:rPr>
              <w:t xml:space="preserve"> Nr.1303/2013 103.panta 2.punktam, </w:t>
            </w:r>
            <w:r w:rsidRPr="00AA6B7A">
              <w:rPr>
                <w:bCs/>
                <w:color w:val="000000"/>
              </w:rPr>
              <w:t xml:space="preserve">MK noteikumu projekts </w:t>
            </w:r>
            <w:r w:rsidR="008C3DC6" w:rsidRPr="00AA6B7A">
              <w:rPr>
                <w:bCs/>
                <w:color w:val="000000"/>
              </w:rPr>
              <w:t xml:space="preserve">paredz noteikt citādāku </w:t>
            </w:r>
            <w:r w:rsidR="00456C54" w:rsidRPr="00AA6B7A">
              <w:rPr>
                <w:bCs/>
                <w:color w:val="000000"/>
              </w:rPr>
              <w:t>kārtību</w:t>
            </w:r>
            <w:r w:rsidR="008C3DC6" w:rsidRPr="00AA6B7A">
              <w:rPr>
                <w:bCs/>
                <w:color w:val="000000"/>
              </w:rPr>
              <w:t xml:space="preserve">, nekā tas noteikts MK 2014.gada 16.decembra noteikumos Nr.784 “Kārtība, kādā Eiropas Savienības struktūrfondu un Kohēzijas fonda vadībā iesaistītās institūcijas nodrošina plānošanas dokumentu sagatavošanu un šo fondu ieviešanu 2014.–2020.gada plānošanas periodā” (turpmāk – MK Nr.784). Tā kā Projekta II posms uzskatāms par daļu no </w:t>
            </w:r>
            <w:r w:rsidR="005D0351" w:rsidRPr="00AA6B7A">
              <w:rPr>
                <w:bCs/>
                <w:color w:val="000000"/>
              </w:rPr>
              <w:t>vienota</w:t>
            </w:r>
            <w:r w:rsidR="009F34C0" w:rsidRPr="00AA6B7A">
              <w:rPr>
                <w:bCs/>
                <w:color w:val="000000"/>
              </w:rPr>
              <w:t xml:space="preserve"> lielā</w:t>
            </w:r>
            <w:r w:rsidR="008C3DC6" w:rsidRPr="00AA6B7A">
              <w:rPr>
                <w:bCs/>
                <w:color w:val="000000"/>
              </w:rPr>
              <w:t xml:space="preserve"> </w:t>
            </w:r>
            <w:r w:rsidRPr="00AA6B7A">
              <w:rPr>
                <w:bCs/>
                <w:color w:val="000000"/>
              </w:rPr>
              <w:t>P</w:t>
            </w:r>
            <w:r w:rsidR="008C3DC6" w:rsidRPr="00AA6B7A">
              <w:rPr>
                <w:bCs/>
                <w:color w:val="000000"/>
              </w:rPr>
              <w:t>rojekta,</w:t>
            </w:r>
            <w:r w:rsidR="008D77D5" w:rsidRPr="00AA6B7A">
              <w:rPr>
                <w:bCs/>
                <w:color w:val="000000"/>
              </w:rPr>
              <w:t xml:space="preserve"> kur projekta iecere un paredzētais </w:t>
            </w:r>
            <w:r w:rsidR="008D77D5" w:rsidRPr="00AA6B7A">
              <w:rPr>
                <w:bCs/>
                <w:color w:val="000000"/>
              </w:rPr>
              <w:lastRenderedPageBreak/>
              <w:t xml:space="preserve">darbību kopums jau vērtēts </w:t>
            </w:r>
            <w:r w:rsidR="009F34C0" w:rsidRPr="00AA6B7A">
              <w:rPr>
                <w:bCs/>
                <w:color w:val="000000"/>
              </w:rPr>
              <w:t>un apstiprināts ar EK lēmumu</w:t>
            </w:r>
            <w:r w:rsidR="008D77D5" w:rsidRPr="00AA6B7A">
              <w:rPr>
                <w:bCs/>
                <w:color w:val="000000"/>
              </w:rPr>
              <w:t>,</w:t>
            </w:r>
            <w:r w:rsidR="008C3DC6" w:rsidRPr="00AA6B7A">
              <w:rPr>
                <w:bCs/>
                <w:color w:val="000000"/>
              </w:rPr>
              <w:t xml:space="preserve"> uz to nav </w:t>
            </w:r>
            <w:r w:rsidR="009F34C0" w:rsidRPr="00AA6B7A">
              <w:rPr>
                <w:bCs/>
                <w:color w:val="000000"/>
              </w:rPr>
              <w:t>attiecinām</w:t>
            </w:r>
            <w:r w:rsidR="005F736B" w:rsidRPr="00AA6B7A">
              <w:rPr>
                <w:bCs/>
                <w:color w:val="000000"/>
              </w:rPr>
              <w:t>i</w:t>
            </w:r>
            <w:r w:rsidR="009F34C0" w:rsidRPr="00AA6B7A">
              <w:rPr>
                <w:bCs/>
                <w:color w:val="000000"/>
              </w:rPr>
              <w:t xml:space="preserve"> </w:t>
            </w:r>
            <w:r w:rsidR="008C3DC6" w:rsidRPr="00AA6B7A">
              <w:rPr>
                <w:bCs/>
                <w:color w:val="000000"/>
              </w:rPr>
              <w:t xml:space="preserve">MK noteikumos Nr.784 VI nodaļā “Lielā projekta iesnieguma vērtēšanas un apstiprināšanas kārtība” </w:t>
            </w:r>
            <w:r w:rsidR="005D0351" w:rsidRPr="00AA6B7A">
              <w:rPr>
                <w:bCs/>
                <w:color w:val="000000"/>
              </w:rPr>
              <w:t>izvirzītie nosac</w:t>
            </w:r>
            <w:r w:rsidR="008D77D5" w:rsidRPr="00AA6B7A">
              <w:rPr>
                <w:bCs/>
                <w:color w:val="000000"/>
              </w:rPr>
              <w:t>ījumi par</w:t>
            </w:r>
            <w:r w:rsidR="005D0351" w:rsidRPr="00AA6B7A">
              <w:rPr>
                <w:bCs/>
                <w:color w:val="000000"/>
              </w:rPr>
              <w:t xml:space="preserve"> </w:t>
            </w:r>
            <w:r w:rsidR="009F34C0" w:rsidRPr="00AA6B7A">
              <w:rPr>
                <w:bCs/>
                <w:color w:val="000000"/>
              </w:rPr>
              <w:t>EK</w:t>
            </w:r>
            <w:r w:rsidR="005D0351" w:rsidRPr="00AA6B7A">
              <w:rPr>
                <w:bCs/>
                <w:color w:val="000000"/>
              </w:rPr>
              <w:t xml:space="preserve"> sniegtās tehniskās palīdzības </w:t>
            </w:r>
            <w:r w:rsidR="008D77D5" w:rsidRPr="00AA6B7A">
              <w:rPr>
                <w:bCs/>
                <w:color w:val="000000"/>
              </w:rPr>
              <w:t>atbalstīta</w:t>
            </w:r>
            <w:r w:rsidR="005D0351" w:rsidRPr="00AA6B7A">
              <w:rPr>
                <w:bCs/>
                <w:color w:val="000000"/>
              </w:rPr>
              <w:t xml:space="preserve"> neatkar</w:t>
            </w:r>
            <w:r w:rsidR="008D77D5" w:rsidRPr="00AA6B7A">
              <w:rPr>
                <w:bCs/>
                <w:color w:val="000000"/>
              </w:rPr>
              <w:t>īga</w:t>
            </w:r>
            <w:r w:rsidR="005D0351" w:rsidRPr="00AA6B7A">
              <w:rPr>
                <w:bCs/>
                <w:color w:val="000000"/>
              </w:rPr>
              <w:t xml:space="preserve"> ek</w:t>
            </w:r>
            <w:r w:rsidR="008D77D5" w:rsidRPr="00AA6B7A">
              <w:rPr>
                <w:bCs/>
                <w:color w:val="000000"/>
              </w:rPr>
              <w:t xml:space="preserve">sperta piesaisti </w:t>
            </w:r>
            <w:r w:rsidR="005D0351" w:rsidRPr="00AA6B7A">
              <w:rPr>
                <w:bCs/>
                <w:color w:val="000000"/>
              </w:rPr>
              <w:t>(</w:t>
            </w:r>
            <w:r w:rsidR="00456C54" w:rsidRPr="00AA6B7A">
              <w:rPr>
                <w:bCs/>
                <w:color w:val="000000"/>
              </w:rPr>
              <w:t xml:space="preserve">t.i., nav jāpiemēro </w:t>
            </w:r>
            <w:r w:rsidR="00867B91" w:rsidRPr="00AA6B7A">
              <w:rPr>
                <w:bCs/>
                <w:color w:val="000000"/>
              </w:rPr>
              <w:t>MK noteikumu Nr.78</w:t>
            </w:r>
            <w:r w:rsidR="005D0351" w:rsidRPr="00AA6B7A">
              <w:rPr>
                <w:bCs/>
                <w:color w:val="000000"/>
              </w:rPr>
              <w:t>4 34. un 35.punkts, 37.3.apakšpunkts, 39.2.apakšpunkts).</w:t>
            </w:r>
            <w:r w:rsidR="008D77D5" w:rsidRPr="00AA6B7A">
              <w:rPr>
                <w:bCs/>
                <w:color w:val="000000"/>
              </w:rPr>
              <w:t xml:space="preserve"> Līdz ar MK noteikumu projektu tiek noteikta pielāgota pieeja projekta vērtēšanā, ņemot vērā projekta īstenošanai individuāli piemērotu pieeju nacionālā līmenī.</w:t>
            </w:r>
          </w:p>
          <w:p w14:paraId="79753B9B" w14:textId="77777777" w:rsidR="00903E6B" w:rsidRPr="00AA6B7A" w:rsidRDefault="00903E6B" w:rsidP="0024562D">
            <w:pPr>
              <w:spacing w:after="120"/>
              <w:jc w:val="both"/>
              <w:rPr>
                <w:bCs/>
                <w:color w:val="000000"/>
              </w:rPr>
            </w:pPr>
            <w:r w:rsidRPr="00AA6B7A">
              <w:rPr>
                <w:bCs/>
                <w:color w:val="000000"/>
              </w:rPr>
              <w:t>SAM 5.6.3. plānotās darbības ir atbilstošas DP norādītajam ES stratēģijas Baltijas jūras reģionam mērķim “Glābt jūru” un apakšmērķim “samazināt bīstamo vielu izmantošanu un ietekmi” un “skaidrs ūdens jūrā”, jo tiks apturēta piesārņojošo vielu turpmāka izplatība pazemes ūdeņu slāņos un virszemes ūdeņos.</w:t>
            </w:r>
          </w:p>
        </w:tc>
      </w:tr>
      <w:tr w:rsidR="0063657C" w:rsidRPr="00AA6B7A" w14:paraId="48198750" w14:textId="77777777" w:rsidTr="00DB2BCB">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415D411" w14:textId="77777777" w:rsidR="00330C43" w:rsidRPr="00AA6B7A" w:rsidRDefault="00330C43" w:rsidP="00A43433">
            <w:pPr>
              <w:jc w:val="center"/>
              <w:rPr>
                <w:color w:val="000000"/>
                <w:lang w:eastAsia="en-US"/>
              </w:rPr>
            </w:pPr>
            <w:r w:rsidRPr="00AA6B7A">
              <w:rPr>
                <w:color w:val="000000"/>
              </w:rPr>
              <w:lastRenderedPageBreak/>
              <w:t>3.</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14756D3D" w14:textId="77777777" w:rsidR="00330C43" w:rsidRPr="00AA6B7A" w:rsidRDefault="00330C43" w:rsidP="00A43433">
            <w:pPr>
              <w:rPr>
                <w:color w:val="000000"/>
                <w:lang w:eastAsia="en-US"/>
              </w:rPr>
            </w:pPr>
            <w:r w:rsidRPr="00AA6B7A">
              <w:rPr>
                <w:color w:val="000000"/>
              </w:rPr>
              <w:t>Projekta izstrādē iesaistītās institūcijas</w:t>
            </w:r>
          </w:p>
        </w:tc>
        <w:tc>
          <w:tcPr>
            <w:tcW w:w="6970" w:type="dxa"/>
            <w:tcBorders>
              <w:top w:val="single" w:sz="4" w:space="0" w:color="auto"/>
              <w:left w:val="single" w:sz="4" w:space="0" w:color="auto"/>
              <w:bottom w:val="single" w:sz="4" w:space="0" w:color="auto"/>
              <w:right w:val="single" w:sz="4" w:space="0" w:color="auto"/>
            </w:tcBorders>
            <w:shd w:val="clear" w:color="auto" w:fill="auto"/>
            <w:hideMark/>
          </w:tcPr>
          <w:p w14:paraId="77EC8790" w14:textId="027559B9" w:rsidR="00893FBD" w:rsidRPr="00AA6B7A" w:rsidRDefault="00EB2F30" w:rsidP="00337603">
            <w:pPr>
              <w:pStyle w:val="naiskr"/>
              <w:spacing w:before="0" w:beforeAutospacing="0" w:after="120" w:afterAutospacing="0"/>
              <w:ind w:right="57"/>
              <w:jc w:val="both"/>
              <w:rPr>
                <w:color w:val="000000"/>
              </w:rPr>
            </w:pPr>
            <w:r w:rsidRPr="00AA6B7A">
              <w:rPr>
                <w:color w:val="000000"/>
              </w:rPr>
              <w:t xml:space="preserve">SAM 5.6.3. projekta iesnieguma vērtēšanas kritēriji izskatīti ES struktūrfondu un Kohēzijas fonda 2014.-2020.gada plānošanas perioda  Uzraudzības komitejas </w:t>
            </w:r>
            <w:r>
              <w:rPr>
                <w:color w:val="000000"/>
              </w:rPr>
              <w:t xml:space="preserve">(turpmāk – Uzraudzības komiteja) </w:t>
            </w:r>
            <w:r w:rsidRPr="00AA6B7A">
              <w:rPr>
                <w:color w:val="000000"/>
              </w:rPr>
              <w:t>Vides aizsardzības un resursu izmantošanas efektivitātes prioritārā virziena apakškomitejā (turpmāk - Apakškomiteja) 2016.gada 15.decembra sēdē un apstiprināti Uzraudzības komitejā 2017.gada 10.janvārī. Apakškomitejas un Uzraudzības komitejas sastāvā ir iekļauti arī sociālie, nevalstiskā sektora un reģionālie partneri, kuru Apakškomitejas procesa laikā izteiktie iebildumi ņemti vērā MK noteikumu projekta izstrādes laikā.</w:t>
            </w:r>
          </w:p>
        </w:tc>
      </w:tr>
      <w:tr w:rsidR="0063657C" w:rsidRPr="00AA6B7A" w14:paraId="01FDE948" w14:textId="77777777" w:rsidTr="00DB2BCB">
        <w:trPr>
          <w:trHeight w:val="274"/>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668E666" w14:textId="77777777" w:rsidR="00330C43" w:rsidRPr="00AA6B7A" w:rsidRDefault="00330C43" w:rsidP="00A43433">
            <w:pPr>
              <w:jc w:val="center"/>
              <w:rPr>
                <w:color w:val="000000"/>
                <w:lang w:eastAsia="en-US"/>
              </w:rPr>
            </w:pPr>
            <w:r w:rsidRPr="00AA6B7A">
              <w:rPr>
                <w:color w:val="000000"/>
              </w:rPr>
              <w:t>4.</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515BA4D4" w14:textId="77777777" w:rsidR="00330C43" w:rsidRPr="00AA6B7A" w:rsidRDefault="00330C43" w:rsidP="00A43433">
            <w:pPr>
              <w:rPr>
                <w:color w:val="000000"/>
                <w:lang w:eastAsia="en-US"/>
              </w:rPr>
            </w:pPr>
            <w:r w:rsidRPr="00AA6B7A">
              <w:rPr>
                <w:color w:val="000000"/>
              </w:rPr>
              <w:t>Cita informācija</w:t>
            </w:r>
          </w:p>
        </w:tc>
        <w:tc>
          <w:tcPr>
            <w:tcW w:w="6970" w:type="dxa"/>
            <w:tcBorders>
              <w:top w:val="single" w:sz="4" w:space="0" w:color="auto"/>
              <w:left w:val="single" w:sz="4" w:space="0" w:color="auto"/>
              <w:bottom w:val="single" w:sz="4" w:space="0" w:color="auto"/>
              <w:right w:val="single" w:sz="4" w:space="0" w:color="auto"/>
            </w:tcBorders>
            <w:shd w:val="clear" w:color="auto" w:fill="auto"/>
            <w:hideMark/>
          </w:tcPr>
          <w:p w14:paraId="43CF47AF" w14:textId="77777777" w:rsidR="001359CE" w:rsidRPr="00AA6B7A" w:rsidRDefault="009F5216" w:rsidP="00337603">
            <w:pPr>
              <w:pStyle w:val="naiskr"/>
              <w:spacing w:before="0" w:beforeAutospacing="0" w:after="120" w:afterAutospacing="0"/>
              <w:ind w:right="57"/>
              <w:jc w:val="both"/>
              <w:rPr>
                <w:color w:val="000000"/>
              </w:rPr>
            </w:pPr>
            <w:r w:rsidRPr="00AA6B7A">
              <w:rPr>
                <w:color w:val="000000"/>
              </w:rPr>
              <w:t>H</w:t>
            </w:r>
            <w:r w:rsidR="00043C0E" w:rsidRPr="00AA6B7A">
              <w:rPr>
                <w:color w:val="000000"/>
              </w:rPr>
              <w:t>orizontālā principa “</w:t>
            </w:r>
            <w:r w:rsidR="00911159" w:rsidRPr="00AA6B7A">
              <w:rPr>
                <w:color w:val="000000"/>
              </w:rPr>
              <w:t xml:space="preserve">Ilgtspējīga attīstība” rādītāji atbilst </w:t>
            </w:r>
            <w:r w:rsidR="005A4F19" w:rsidRPr="00AA6B7A">
              <w:rPr>
                <w:color w:val="000000"/>
              </w:rPr>
              <w:t>SAM 5.6.3.</w:t>
            </w:r>
            <w:r w:rsidR="00911159" w:rsidRPr="00AA6B7A">
              <w:rPr>
                <w:color w:val="000000"/>
              </w:rPr>
              <w:t xml:space="preserve">, kuram ir tieša pozitīva ietekme uz šī principa ievērošanu, uzraudzības rādītājiem. Papildus </w:t>
            </w:r>
            <w:r w:rsidR="005A4F19" w:rsidRPr="00AA6B7A">
              <w:rPr>
                <w:color w:val="000000"/>
              </w:rPr>
              <w:t>SAM 5.6.3.</w:t>
            </w:r>
            <w:r w:rsidR="00911159" w:rsidRPr="00AA6B7A">
              <w:rPr>
                <w:color w:val="000000"/>
              </w:rPr>
              <w:t xml:space="preserve"> ietvaros var piemērot kopējo </w:t>
            </w:r>
            <w:r w:rsidR="00F14321" w:rsidRPr="00AA6B7A">
              <w:rPr>
                <w:color w:val="000000"/>
              </w:rPr>
              <w:t>DP</w:t>
            </w:r>
            <w:r w:rsidR="00043C0E" w:rsidRPr="00AA6B7A">
              <w:rPr>
                <w:color w:val="000000"/>
              </w:rPr>
              <w:t xml:space="preserve"> horizontālā principa “</w:t>
            </w:r>
            <w:r w:rsidR="00911159" w:rsidRPr="00AA6B7A">
              <w:rPr>
                <w:color w:val="000000"/>
              </w:rPr>
              <w:t>I</w:t>
            </w:r>
            <w:r w:rsidR="00043C0E" w:rsidRPr="00AA6B7A">
              <w:rPr>
                <w:color w:val="000000"/>
              </w:rPr>
              <w:t>lgtspējīga attīstība” rādītāju “</w:t>
            </w:r>
            <w:r w:rsidR="00911159" w:rsidRPr="00AA6B7A">
              <w:rPr>
                <w:color w:val="000000"/>
              </w:rPr>
              <w:t>zaļais iepirkums”.</w:t>
            </w:r>
          </w:p>
        </w:tc>
      </w:tr>
    </w:tbl>
    <w:p w14:paraId="04EB276E" w14:textId="77777777" w:rsidR="009D761C" w:rsidRPr="00AA6B7A" w:rsidRDefault="009D761C" w:rsidP="009D761C">
      <w:pPr>
        <w:rPr>
          <w:vanish/>
          <w:color w:val="000000"/>
          <w:highlight w:val="yellow"/>
        </w:rPr>
      </w:pPr>
    </w:p>
    <w:tbl>
      <w:tblPr>
        <w:tblpPr w:leftFromText="180" w:rightFromText="180" w:vertAnchor="text" w:horzAnchor="margin" w:tblpX="-263" w:tblpY="134"/>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2683"/>
        <w:gridCol w:w="6237"/>
      </w:tblGrid>
      <w:tr w:rsidR="0063657C" w:rsidRPr="00AA6B7A" w14:paraId="1BDFA207" w14:textId="77777777" w:rsidTr="00DB2BCB">
        <w:trPr>
          <w:trHeight w:val="556"/>
        </w:trPr>
        <w:tc>
          <w:tcPr>
            <w:tcW w:w="9487" w:type="dxa"/>
            <w:gridSpan w:val="3"/>
            <w:vAlign w:val="center"/>
          </w:tcPr>
          <w:p w14:paraId="4C546A40" w14:textId="77777777" w:rsidR="0055506E" w:rsidRPr="00AA6B7A" w:rsidRDefault="0055506E" w:rsidP="00DB2BCB">
            <w:pPr>
              <w:pStyle w:val="naisnod"/>
              <w:spacing w:before="0" w:beforeAutospacing="0" w:after="0" w:afterAutospacing="0"/>
              <w:ind w:left="57" w:right="57"/>
              <w:jc w:val="center"/>
              <w:rPr>
                <w:b/>
                <w:color w:val="000000"/>
              </w:rPr>
            </w:pPr>
            <w:r w:rsidRPr="00AA6B7A">
              <w:rPr>
                <w:b/>
                <w:color w:val="000000"/>
              </w:rPr>
              <w:t>II. Tiesību akta projekta ietekme uz sabiedrību, tautsaimniecības attīstību</w:t>
            </w:r>
          </w:p>
          <w:p w14:paraId="5D7CE810" w14:textId="77777777" w:rsidR="0055506E" w:rsidRPr="00AA6B7A" w:rsidRDefault="0055506E" w:rsidP="00DB2BCB">
            <w:pPr>
              <w:pStyle w:val="naisnod"/>
              <w:spacing w:before="0" w:beforeAutospacing="0" w:after="0" w:afterAutospacing="0"/>
              <w:ind w:left="57" w:right="57"/>
              <w:jc w:val="center"/>
              <w:rPr>
                <w:b/>
                <w:color w:val="000000"/>
                <w:highlight w:val="yellow"/>
              </w:rPr>
            </w:pPr>
            <w:r w:rsidRPr="00AA6B7A">
              <w:rPr>
                <w:b/>
                <w:color w:val="000000"/>
              </w:rPr>
              <w:t>un administratīvo slogu</w:t>
            </w:r>
          </w:p>
        </w:tc>
      </w:tr>
      <w:tr w:rsidR="0063657C" w:rsidRPr="00AA6B7A" w14:paraId="5EF140CB" w14:textId="77777777" w:rsidTr="00DB2BCB">
        <w:trPr>
          <w:trHeight w:val="467"/>
        </w:trPr>
        <w:tc>
          <w:tcPr>
            <w:tcW w:w="567" w:type="dxa"/>
          </w:tcPr>
          <w:p w14:paraId="6D57B5D1" w14:textId="77777777" w:rsidR="0055506E" w:rsidRPr="00AA6B7A" w:rsidRDefault="0055506E" w:rsidP="00DB2BCB">
            <w:pPr>
              <w:pStyle w:val="naiskr"/>
              <w:spacing w:before="0" w:beforeAutospacing="0" w:after="0" w:afterAutospacing="0"/>
              <w:ind w:left="57" w:right="57"/>
              <w:jc w:val="both"/>
              <w:rPr>
                <w:color w:val="000000"/>
              </w:rPr>
            </w:pPr>
            <w:r w:rsidRPr="00AA6B7A">
              <w:rPr>
                <w:color w:val="000000"/>
              </w:rPr>
              <w:t>1.</w:t>
            </w:r>
          </w:p>
        </w:tc>
        <w:tc>
          <w:tcPr>
            <w:tcW w:w="2683" w:type="dxa"/>
          </w:tcPr>
          <w:p w14:paraId="58E6F382" w14:textId="77777777" w:rsidR="0055506E" w:rsidRPr="00AA6B7A" w:rsidRDefault="0055506E" w:rsidP="00DB2BCB">
            <w:pPr>
              <w:pStyle w:val="naiskr"/>
              <w:spacing w:before="0" w:beforeAutospacing="0" w:after="0" w:afterAutospacing="0"/>
              <w:ind w:left="57" w:right="57"/>
              <w:rPr>
                <w:color w:val="000000"/>
              </w:rPr>
            </w:pPr>
            <w:r w:rsidRPr="00AA6B7A">
              <w:rPr>
                <w:color w:val="000000"/>
              </w:rPr>
              <w:t>Sabiedrības mērķgrupas, kuras tiesiskais regulējums ietekmē vai varētu ietekmēt</w:t>
            </w:r>
          </w:p>
        </w:tc>
        <w:tc>
          <w:tcPr>
            <w:tcW w:w="6237" w:type="dxa"/>
          </w:tcPr>
          <w:p w14:paraId="2F18A150" w14:textId="77777777" w:rsidR="00950A6A" w:rsidRPr="00AA6B7A" w:rsidRDefault="00043C0E" w:rsidP="00DB2BCB">
            <w:pPr>
              <w:shd w:val="clear" w:color="auto" w:fill="FFFFFF"/>
              <w:ind w:left="57" w:right="113"/>
              <w:jc w:val="both"/>
              <w:rPr>
                <w:color w:val="000000"/>
                <w:highlight w:val="yellow"/>
              </w:rPr>
            </w:pPr>
            <w:bookmarkStart w:id="1" w:name="p21"/>
            <w:bookmarkEnd w:id="1"/>
            <w:r w:rsidRPr="00AA6B7A">
              <w:rPr>
                <w:color w:val="000000"/>
              </w:rPr>
              <w:t xml:space="preserve">MK noteikumu projekts ietekmē </w:t>
            </w:r>
            <w:r w:rsidR="00DF48F6" w:rsidRPr="00AA6B7A">
              <w:rPr>
                <w:color w:val="000000"/>
              </w:rPr>
              <w:t>tiešās pārvaldes iestādes</w:t>
            </w:r>
            <w:r w:rsidRPr="00AA6B7A">
              <w:rPr>
                <w:color w:val="000000"/>
              </w:rPr>
              <w:t xml:space="preserve">, kas iesaistītas ES fondu vadībā (vadošā iestāde, atbildīgā iestāde, sadarbības iestāde u.c.), kā arī projekta iesniedzēju – VVD, kas ir atbildīgs par </w:t>
            </w:r>
            <w:r w:rsidR="00DD7053" w:rsidRPr="00AA6B7A">
              <w:rPr>
                <w:color w:val="000000"/>
              </w:rPr>
              <w:t>P</w:t>
            </w:r>
            <w:r w:rsidRPr="00AA6B7A">
              <w:rPr>
                <w:color w:val="000000"/>
              </w:rPr>
              <w:t>rojekta</w:t>
            </w:r>
            <w:r w:rsidR="00DD7053" w:rsidRPr="00AA6B7A">
              <w:rPr>
                <w:color w:val="000000"/>
              </w:rPr>
              <w:t xml:space="preserve"> II posma</w:t>
            </w:r>
            <w:r w:rsidRPr="00AA6B7A">
              <w:rPr>
                <w:color w:val="000000"/>
              </w:rPr>
              <w:t xml:space="preserve"> iesnieguma sagatavošanu un </w:t>
            </w:r>
            <w:r w:rsidR="00DD7053" w:rsidRPr="00AA6B7A">
              <w:rPr>
                <w:color w:val="000000"/>
              </w:rPr>
              <w:t>P</w:t>
            </w:r>
            <w:r w:rsidRPr="00AA6B7A">
              <w:rPr>
                <w:color w:val="000000"/>
              </w:rPr>
              <w:t>rojekta</w:t>
            </w:r>
            <w:r w:rsidR="00DD7053" w:rsidRPr="00AA6B7A">
              <w:rPr>
                <w:color w:val="000000"/>
              </w:rPr>
              <w:t xml:space="preserve"> II posma</w:t>
            </w:r>
            <w:r w:rsidRPr="00AA6B7A">
              <w:rPr>
                <w:color w:val="000000"/>
              </w:rPr>
              <w:t xml:space="preserve"> īstenošanu, </w:t>
            </w:r>
            <w:r w:rsidR="00DD7053" w:rsidRPr="00AA6B7A">
              <w:rPr>
                <w:color w:val="000000"/>
              </w:rPr>
              <w:t xml:space="preserve">Projekta </w:t>
            </w:r>
            <w:r w:rsidR="007C277B" w:rsidRPr="00AA6B7A">
              <w:rPr>
                <w:color w:val="000000"/>
              </w:rPr>
              <w:t xml:space="preserve">mērķu </w:t>
            </w:r>
            <w:r w:rsidR="00DD7053" w:rsidRPr="00AA6B7A">
              <w:rPr>
                <w:color w:val="000000"/>
              </w:rPr>
              <w:t xml:space="preserve">un rezultātu </w:t>
            </w:r>
            <w:r w:rsidR="00F2382B" w:rsidRPr="00AA6B7A">
              <w:rPr>
                <w:color w:val="000000"/>
              </w:rPr>
              <w:t>ilgtspēju</w:t>
            </w:r>
            <w:r w:rsidRPr="00AA6B7A">
              <w:rPr>
                <w:color w:val="000000"/>
              </w:rPr>
              <w:t>, kuru nosacījumi noteikti MK noteikumu projekt</w:t>
            </w:r>
            <w:r w:rsidR="00DD7053" w:rsidRPr="00AA6B7A">
              <w:rPr>
                <w:color w:val="000000"/>
              </w:rPr>
              <w:t>ā</w:t>
            </w:r>
            <w:r w:rsidRPr="00AA6B7A">
              <w:rPr>
                <w:color w:val="000000"/>
              </w:rPr>
              <w:t>.</w:t>
            </w:r>
          </w:p>
        </w:tc>
      </w:tr>
      <w:tr w:rsidR="0063657C" w:rsidRPr="00AA6B7A" w14:paraId="3A453832" w14:textId="77777777" w:rsidTr="00DB2BCB">
        <w:trPr>
          <w:trHeight w:val="523"/>
        </w:trPr>
        <w:tc>
          <w:tcPr>
            <w:tcW w:w="567" w:type="dxa"/>
          </w:tcPr>
          <w:p w14:paraId="684F9791" w14:textId="77777777" w:rsidR="0055506E" w:rsidRPr="00AA6B7A" w:rsidRDefault="0055506E" w:rsidP="00DB2BCB">
            <w:pPr>
              <w:pStyle w:val="naiskr"/>
              <w:spacing w:before="0" w:beforeAutospacing="0" w:after="0" w:afterAutospacing="0"/>
              <w:ind w:left="57" w:right="57"/>
              <w:jc w:val="both"/>
              <w:rPr>
                <w:color w:val="000000"/>
              </w:rPr>
            </w:pPr>
            <w:r w:rsidRPr="00AA6B7A">
              <w:rPr>
                <w:color w:val="000000"/>
              </w:rPr>
              <w:t>2.</w:t>
            </w:r>
          </w:p>
        </w:tc>
        <w:tc>
          <w:tcPr>
            <w:tcW w:w="2683" w:type="dxa"/>
          </w:tcPr>
          <w:p w14:paraId="50767E20" w14:textId="77777777" w:rsidR="0055506E" w:rsidRPr="00AA6B7A" w:rsidRDefault="0055506E" w:rsidP="00DB2BCB">
            <w:pPr>
              <w:pStyle w:val="naiskr"/>
              <w:spacing w:before="0" w:beforeAutospacing="0" w:after="0" w:afterAutospacing="0"/>
              <w:ind w:left="57" w:right="57"/>
              <w:rPr>
                <w:color w:val="000000"/>
              </w:rPr>
            </w:pPr>
            <w:r w:rsidRPr="00AA6B7A">
              <w:rPr>
                <w:color w:val="000000"/>
              </w:rPr>
              <w:t>Tiesiskā regulējuma ietekme uz tautsaimniecību un administratīvo slogu</w:t>
            </w:r>
          </w:p>
        </w:tc>
        <w:tc>
          <w:tcPr>
            <w:tcW w:w="6237" w:type="dxa"/>
          </w:tcPr>
          <w:p w14:paraId="6CD17367" w14:textId="77777777" w:rsidR="009F5CCB" w:rsidRPr="00AA6B7A" w:rsidRDefault="00DD7053" w:rsidP="00DB2BCB">
            <w:pPr>
              <w:shd w:val="clear" w:color="auto" w:fill="FFFFFF"/>
              <w:ind w:left="57" w:right="113"/>
              <w:jc w:val="both"/>
              <w:rPr>
                <w:color w:val="000000"/>
              </w:rPr>
            </w:pPr>
            <w:r w:rsidRPr="00AA6B7A">
              <w:rPr>
                <w:color w:val="000000"/>
              </w:rPr>
              <w:t>MK n</w:t>
            </w:r>
            <w:r w:rsidR="009F5CCB" w:rsidRPr="00AA6B7A">
              <w:rPr>
                <w:color w:val="000000"/>
              </w:rPr>
              <w:t xml:space="preserve">oteikumu projekta ietvaros </w:t>
            </w:r>
            <w:r w:rsidRPr="00AA6B7A">
              <w:rPr>
                <w:color w:val="000000"/>
              </w:rPr>
              <w:t>P</w:t>
            </w:r>
            <w:r w:rsidR="009F5CCB" w:rsidRPr="00AA6B7A">
              <w:rPr>
                <w:color w:val="000000"/>
              </w:rPr>
              <w:t>rojekta</w:t>
            </w:r>
            <w:r w:rsidRPr="00AA6B7A">
              <w:rPr>
                <w:color w:val="000000"/>
              </w:rPr>
              <w:t xml:space="preserve"> II posma</w:t>
            </w:r>
            <w:r w:rsidR="009F5CCB" w:rsidRPr="00AA6B7A">
              <w:rPr>
                <w:color w:val="000000"/>
              </w:rPr>
              <w:t xml:space="preserve"> finansējuma saņēmējs sagatavo un iesniedz projekta iesniegumu, kā arī savā tīmekļvietnē ievieto un aktualizē informāciju par projektu, savukārt sadarbības iestāde </w:t>
            </w:r>
            <w:r w:rsidR="00F2382B" w:rsidRPr="00AA6B7A">
              <w:rPr>
                <w:color w:val="000000"/>
              </w:rPr>
              <w:t>izvērtē</w:t>
            </w:r>
            <w:r w:rsidR="009F5CCB" w:rsidRPr="00AA6B7A">
              <w:rPr>
                <w:color w:val="000000"/>
              </w:rPr>
              <w:t xml:space="preserve"> projekta iesniegumu, tā grozījumus, kā arī veic projekta </w:t>
            </w:r>
            <w:r w:rsidRPr="00AA6B7A">
              <w:rPr>
                <w:color w:val="000000"/>
              </w:rPr>
              <w:t xml:space="preserve">ieviešanas </w:t>
            </w:r>
            <w:r w:rsidR="009F5CCB" w:rsidRPr="00AA6B7A">
              <w:rPr>
                <w:color w:val="000000"/>
              </w:rPr>
              <w:t>uzraudzību</w:t>
            </w:r>
            <w:r w:rsidRPr="00AA6B7A">
              <w:rPr>
                <w:color w:val="000000"/>
              </w:rPr>
              <w:t xml:space="preserve"> un pēcuzraudzību</w:t>
            </w:r>
            <w:r w:rsidR="009F5CCB" w:rsidRPr="00AA6B7A">
              <w:rPr>
                <w:color w:val="000000"/>
              </w:rPr>
              <w:t>. Gan projekta iesniedzējam, gan sadarbības iestādei ir izveidojusies prakse projektu sagatavošanā, vērtēšanā, vadībā un uzraudzībā, tamdēļ netiek plānots, ka MK noteikumu projekts radītu ietekmi uz institūciju administratīvo slogu, kas būtiski atšķirtos no līdzšinējās projektu īstenošanas prakses.</w:t>
            </w:r>
          </w:p>
        </w:tc>
      </w:tr>
      <w:tr w:rsidR="0063657C" w:rsidRPr="00AA6B7A" w14:paraId="22618A42" w14:textId="77777777" w:rsidTr="00DB2BCB">
        <w:trPr>
          <w:trHeight w:val="523"/>
        </w:trPr>
        <w:tc>
          <w:tcPr>
            <w:tcW w:w="567" w:type="dxa"/>
          </w:tcPr>
          <w:p w14:paraId="0C89A0B9" w14:textId="77777777" w:rsidR="0055506E" w:rsidRPr="00AA6B7A" w:rsidRDefault="0055506E" w:rsidP="00DB2BCB">
            <w:pPr>
              <w:pStyle w:val="naiskr"/>
              <w:spacing w:before="0" w:beforeAutospacing="0" w:after="0" w:afterAutospacing="0"/>
              <w:ind w:left="57" w:right="57"/>
              <w:jc w:val="both"/>
              <w:rPr>
                <w:color w:val="000000"/>
              </w:rPr>
            </w:pPr>
            <w:r w:rsidRPr="00AA6B7A">
              <w:rPr>
                <w:color w:val="000000"/>
              </w:rPr>
              <w:t>3.</w:t>
            </w:r>
          </w:p>
        </w:tc>
        <w:tc>
          <w:tcPr>
            <w:tcW w:w="2683" w:type="dxa"/>
          </w:tcPr>
          <w:p w14:paraId="16E7826C" w14:textId="77777777" w:rsidR="0055506E" w:rsidRPr="00AA6B7A" w:rsidRDefault="0055506E" w:rsidP="00DB2BCB">
            <w:pPr>
              <w:pStyle w:val="naiskr"/>
              <w:spacing w:before="0" w:beforeAutospacing="0" w:after="0" w:afterAutospacing="0"/>
              <w:ind w:left="57" w:right="57"/>
              <w:rPr>
                <w:color w:val="000000"/>
              </w:rPr>
            </w:pPr>
            <w:r w:rsidRPr="00AA6B7A">
              <w:rPr>
                <w:color w:val="000000"/>
              </w:rPr>
              <w:t>Administratīvo izmaksu monetārs novērtējums</w:t>
            </w:r>
          </w:p>
        </w:tc>
        <w:tc>
          <w:tcPr>
            <w:tcW w:w="6237" w:type="dxa"/>
          </w:tcPr>
          <w:p w14:paraId="4A8318F7" w14:textId="4CD57E24" w:rsidR="009F5CCB" w:rsidRPr="00EB2F30" w:rsidRDefault="00EB2F30" w:rsidP="00DB2BCB">
            <w:pPr>
              <w:shd w:val="clear" w:color="auto" w:fill="FFFFFF"/>
              <w:ind w:left="57" w:right="113"/>
              <w:jc w:val="both"/>
              <w:rPr>
                <w:color w:val="1F497D"/>
                <w:sz w:val="22"/>
                <w:szCs w:val="22"/>
              </w:rPr>
            </w:pPr>
            <w:r>
              <w:rPr>
                <w:color w:val="000000"/>
              </w:rPr>
              <w:t xml:space="preserve">SAM 5.6.3. neietekmēs spēkā esošo tiesību normu sistēmu. Vērtējot pasākuma īstenošanas ietekmi uz administratīvajām procedūrām un to izmaksām, nav identificēts administratīvā </w:t>
            </w:r>
            <w:r>
              <w:rPr>
                <w:color w:val="000000"/>
              </w:rPr>
              <w:lastRenderedPageBreak/>
              <w:t xml:space="preserve">sloga palielinājums ne finansējuma saņēmējam, ne ES fondu vadībā iesaistītajām institūcijām, </w:t>
            </w:r>
            <w:r w:rsidRPr="00EB2F30">
              <w:rPr>
                <w:color w:val="000000"/>
              </w:rPr>
              <w:t>salīdzinot ar procedūrām</w:t>
            </w:r>
            <w:r>
              <w:rPr>
                <w:color w:val="000000"/>
              </w:rPr>
              <w:t>, kuras kā obligātas jāveic projektu iesniedzējam un ES fondu vadībā iesaistītajām institūcijām.</w:t>
            </w:r>
          </w:p>
        </w:tc>
      </w:tr>
      <w:tr w:rsidR="0063657C" w:rsidRPr="00AA6B7A" w14:paraId="378E202D" w14:textId="77777777" w:rsidTr="00DB2BCB">
        <w:trPr>
          <w:trHeight w:val="357"/>
        </w:trPr>
        <w:tc>
          <w:tcPr>
            <w:tcW w:w="567" w:type="dxa"/>
          </w:tcPr>
          <w:p w14:paraId="1301C73E" w14:textId="77777777" w:rsidR="0055506E" w:rsidRPr="00AA6B7A" w:rsidRDefault="0055506E" w:rsidP="00DB2BCB">
            <w:pPr>
              <w:pStyle w:val="naiskr"/>
              <w:spacing w:before="0" w:beforeAutospacing="0" w:after="0" w:afterAutospacing="0"/>
              <w:ind w:left="57" w:right="57"/>
              <w:jc w:val="both"/>
              <w:rPr>
                <w:color w:val="000000"/>
              </w:rPr>
            </w:pPr>
            <w:r w:rsidRPr="00AA6B7A">
              <w:rPr>
                <w:color w:val="000000"/>
              </w:rPr>
              <w:lastRenderedPageBreak/>
              <w:t>4.</w:t>
            </w:r>
          </w:p>
        </w:tc>
        <w:tc>
          <w:tcPr>
            <w:tcW w:w="2683" w:type="dxa"/>
          </w:tcPr>
          <w:p w14:paraId="46455104" w14:textId="77777777" w:rsidR="0055506E" w:rsidRPr="00AA6B7A" w:rsidRDefault="0055506E" w:rsidP="00DB2BCB">
            <w:pPr>
              <w:pStyle w:val="naiskr"/>
              <w:spacing w:before="0" w:beforeAutospacing="0" w:after="0" w:afterAutospacing="0"/>
              <w:ind w:left="57" w:right="57"/>
              <w:rPr>
                <w:color w:val="000000"/>
              </w:rPr>
            </w:pPr>
            <w:r w:rsidRPr="00AA6B7A">
              <w:rPr>
                <w:color w:val="000000"/>
              </w:rPr>
              <w:t>Cita informācija</w:t>
            </w:r>
          </w:p>
        </w:tc>
        <w:tc>
          <w:tcPr>
            <w:tcW w:w="6237" w:type="dxa"/>
          </w:tcPr>
          <w:p w14:paraId="6C41E8D5" w14:textId="77777777" w:rsidR="00D47D57" w:rsidRPr="00AA6B7A" w:rsidRDefault="00735059" w:rsidP="00DB2BCB">
            <w:pPr>
              <w:shd w:val="clear" w:color="auto" w:fill="FFFFFF"/>
              <w:ind w:left="57" w:right="113"/>
              <w:jc w:val="both"/>
              <w:rPr>
                <w:color w:val="000000"/>
              </w:rPr>
            </w:pPr>
            <w:r w:rsidRPr="00AA6B7A">
              <w:rPr>
                <w:color w:val="000000"/>
              </w:rPr>
              <w:t xml:space="preserve">MK noteikumu projekts saistīts ar ierosinātajām izmaiņām DP, līdz ar to MK noteikumu projekts </w:t>
            </w:r>
            <w:r w:rsidR="009F5CCB" w:rsidRPr="00AA6B7A">
              <w:rPr>
                <w:color w:val="000000"/>
              </w:rPr>
              <w:t xml:space="preserve">apstiprināšanai MK tiks virzīts tikai pēc tam, kad </w:t>
            </w:r>
            <w:r w:rsidR="00337603" w:rsidRPr="00AA6B7A">
              <w:rPr>
                <w:color w:val="000000"/>
              </w:rPr>
              <w:t xml:space="preserve">MK </w:t>
            </w:r>
            <w:r w:rsidR="009F5CCB" w:rsidRPr="00AA6B7A">
              <w:rPr>
                <w:color w:val="000000"/>
              </w:rPr>
              <w:t>tiks apstiprināti grozījumi DP.</w:t>
            </w:r>
          </w:p>
        </w:tc>
      </w:tr>
    </w:tbl>
    <w:p w14:paraId="62752E4B" w14:textId="77777777" w:rsidR="00BF36C1" w:rsidRPr="00AA6B7A" w:rsidRDefault="00BF36C1" w:rsidP="00C61A59">
      <w:pPr>
        <w:jc w:val="both"/>
        <w:rPr>
          <w:color w:val="000000"/>
          <w:highlight w:val="yellow"/>
        </w:rPr>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279"/>
        <w:gridCol w:w="1410"/>
        <w:gridCol w:w="1415"/>
        <w:gridCol w:w="1428"/>
        <w:gridCol w:w="1446"/>
      </w:tblGrid>
      <w:tr w:rsidR="0063657C" w:rsidRPr="00AA6B7A" w14:paraId="2DDA80FF" w14:textId="77777777" w:rsidTr="0006448D">
        <w:trPr>
          <w:trHeight w:val="139"/>
        </w:trPr>
        <w:tc>
          <w:tcPr>
            <w:tcW w:w="949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47DEC2E" w14:textId="77777777" w:rsidR="00C61A59" w:rsidRPr="00AA6B7A" w:rsidRDefault="00C61A59" w:rsidP="00155D30">
            <w:pPr>
              <w:pStyle w:val="ListParagraph"/>
              <w:tabs>
                <w:tab w:val="left" w:pos="2268"/>
                <w:tab w:val="left" w:pos="2410"/>
              </w:tabs>
              <w:ind w:left="1080"/>
              <w:jc w:val="center"/>
              <w:rPr>
                <w:b/>
                <w:bCs/>
                <w:color w:val="000000"/>
                <w:sz w:val="24"/>
                <w:szCs w:val="24"/>
                <w:lang w:eastAsia="en-US"/>
              </w:rPr>
            </w:pPr>
            <w:r w:rsidRPr="00AA6B7A">
              <w:rPr>
                <w:b/>
                <w:bCs/>
                <w:color w:val="000000"/>
                <w:sz w:val="24"/>
                <w:szCs w:val="24"/>
              </w:rPr>
              <w:t>III. Tiesību akta projekta ietekme uz valsts budžetu un pašvaldību budžetiem</w:t>
            </w:r>
          </w:p>
        </w:tc>
      </w:tr>
      <w:tr w:rsidR="0063657C" w:rsidRPr="00AA6B7A" w14:paraId="0129708D" w14:textId="77777777" w:rsidTr="0006448D">
        <w:trPr>
          <w:trHeight w:val="139"/>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9379C6" w14:textId="77777777" w:rsidR="00C61A59" w:rsidRPr="00AA6B7A" w:rsidRDefault="00C61A59" w:rsidP="00155D30">
            <w:pPr>
              <w:jc w:val="center"/>
              <w:rPr>
                <w:b/>
                <w:color w:val="000000"/>
                <w:lang w:eastAsia="en-US"/>
              </w:rPr>
            </w:pPr>
            <w:r w:rsidRPr="00AA6B7A">
              <w:rPr>
                <w:b/>
                <w:color w:val="000000"/>
              </w:rPr>
              <w:t>Rādītāji</w:t>
            </w:r>
          </w:p>
        </w:tc>
        <w:tc>
          <w:tcPr>
            <w:tcW w:w="26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B3712D" w14:textId="77777777" w:rsidR="00C61A59" w:rsidRPr="00AA6B7A" w:rsidRDefault="00C61A59" w:rsidP="0074467A">
            <w:pPr>
              <w:jc w:val="center"/>
              <w:rPr>
                <w:b/>
                <w:color w:val="000000"/>
                <w:lang w:eastAsia="en-US"/>
              </w:rPr>
            </w:pPr>
            <w:r w:rsidRPr="00AA6B7A">
              <w:rPr>
                <w:b/>
                <w:color w:val="000000"/>
              </w:rPr>
              <w:t>201</w:t>
            </w:r>
            <w:r w:rsidR="004F0404" w:rsidRPr="00AA6B7A">
              <w:rPr>
                <w:b/>
                <w:color w:val="000000"/>
              </w:rPr>
              <w:t>7</w:t>
            </w:r>
            <w:r w:rsidRPr="00AA6B7A">
              <w:rPr>
                <w:b/>
                <w:color w:val="000000"/>
              </w:rPr>
              <w:t>.gads</w:t>
            </w:r>
          </w:p>
        </w:tc>
        <w:tc>
          <w:tcPr>
            <w:tcW w:w="42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09B9CB" w14:textId="77777777" w:rsidR="00C61A59" w:rsidRPr="00AA6B7A" w:rsidRDefault="00C61A59" w:rsidP="00155D30">
            <w:pPr>
              <w:jc w:val="center"/>
              <w:rPr>
                <w:b/>
                <w:color w:val="000000"/>
                <w:lang w:eastAsia="en-US"/>
              </w:rPr>
            </w:pPr>
            <w:r w:rsidRPr="00AA6B7A">
              <w:rPr>
                <w:b/>
                <w:color w:val="000000"/>
              </w:rPr>
              <w:t>Turpmākie trīs gadi (</w:t>
            </w:r>
            <w:r w:rsidRPr="00AA6B7A">
              <w:rPr>
                <w:b/>
                <w:i/>
                <w:color w:val="000000"/>
              </w:rPr>
              <w:t>euro</w:t>
            </w:r>
            <w:r w:rsidRPr="00AA6B7A">
              <w:rPr>
                <w:b/>
                <w:color w:val="000000"/>
              </w:rPr>
              <w:t>)</w:t>
            </w:r>
          </w:p>
        </w:tc>
      </w:tr>
      <w:tr w:rsidR="0063657C" w:rsidRPr="00AA6B7A" w14:paraId="01CD635D" w14:textId="77777777" w:rsidTr="0006448D">
        <w:trPr>
          <w:trHeight w:val="139"/>
        </w:trPr>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CF6F7F" w14:textId="77777777" w:rsidR="00C61A59" w:rsidRPr="00AA6B7A" w:rsidRDefault="00C61A59">
            <w:pPr>
              <w:rPr>
                <w:b/>
                <w:color w:val="000000"/>
                <w:lang w:eastAsia="en-US"/>
              </w:rPr>
            </w:pPr>
          </w:p>
        </w:tc>
        <w:tc>
          <w:tcPr>
            <w:tcW w:w="268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F51D4E" w14:textId="77777777" w:rsidR="00C61A59" w:rsidRPr="00AA6B7A" w:rsidRDefault="00C61A59">
            <w:pPr>
              <w:rPr>
                <w:b/>
                <w:color w:val="000000"/>
                <w:lang w:eastAsia="en-US"/>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1E0DD" w14:textId="77777777" w:rsidR="00C61A59" w:rsidRPr="00AA6B7A" w:rsidRDefault="00C61A59" w:rsidP="0074467A">
            <w:pPr>
              <w:jc w:val="center"/>
              <w:rPr>
                <w:b/>
                <w:color w:val="000000"/>
                <w:lang w:eastAsia="en-US"/>
              </w:rPr>
            </w:pPr>
            <w:r w:rsidRPr="00AA6B7A">
              <w:rPr>
                <w:b/>
                <w:color w:val="000000"/>
              </w:rPr>
              <w:t>201</w:t>
            </w:r>
            <w:r w:rsidR="004F0404" w:rsidRPr="00AA6B7A">
              <w:rPr>
                <w:b/>
                <w:color w:val="000000"/>
              </w:rPr>
              <w:t>8</w:t>
            </w:r>
            <w:r w:rsidRPr="00AA6B7A">
              <w:rPr>
                <w:b/>
                <w:color w:val="000000"/>
              </w:rPr>
              <w:t>.g.</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C3DDC" w14:textId="77777777" w:rsidR="00C61A59" w:rsidRPr="00AA6B7A" w:rsidRDefault="00C61A59" w:rsidP="0074467A">
            <w:pPr>
              <w:jc w:val="center"/>
              <w:rPr>
                <w:b/>
                <w:color w:val="000000"/>
                <w:lang w:eastAsia="en-US"/>
              </w:rPr>
            </w:pPr>
            <w:r w:rsidRPr="00AA6B7A">
              <w:rPr>
                <w:b/>
                <w:color w:val="000000"/>
              </w:rPr>
              <w:t>201</w:t>
            </w:r>
            <w:r w:rsidR="004F0404" w:rsidRPr="00AA6B7A">
              <w:rPr>
                <w:b/>
                <w:color w:val="000000"/>
              </w:rPr>
              <w:t>9</w:t>
            </w:r>
            <w:r w:rsidRPr="00AA6B7A">
              <w:rPr>
                <w:b/>
                <w:color w:val="000000"/>
              </w:rPr>
              <w:t>.g.</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E12A1" w14:textId="77777777" w:rsidR="00C61A59" w:rsidRPr="00AA6B7A" w:rsidRDefault="004F0404" w:rsidP="0074467A">
            <w:pPr>
              <w:jc w:val="center"/>
              <w:rPr>
                <w:b/>
                <w:color w:val="000000"/>
                <w:lang w:eastAsia="en-US"/>
              </w:rPr>
            </w:pPr>
            <w:r w:rsidRPr="00AA6B7A">
              <w:rPr>
                <w:b/>
                <w:color w:val="000000"/>
              </w:rPr>
              <w:t>2020</w:t>
            </w:r>
            <w:r w:rsidR="00C61A59" w:rsidRPr="00AA6B7A">
              <w:rPr>
                <w:b/>
                <w:color w:val="000000"/>
              </w:rPr>
              <w:t>.g.</w:t>
            </w:r>
          </w:p>
        </w:tc>
      </w:tr>
      <w:tr w:rsidR="0063657C" w:rsidRPr="00AA6B7A" w14:paraId="7995E448" w14:textId="77777777" w:rsidTr="0006448D">
        <w:trPr>
          <w:trHeight w:val="139"/>
        </w:trPr>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699517" w14:textId="77777777" w:rsidR="00C61A59" w:rsidRPr="00AA6B7A" w:rsidRDefault="00C61A59">
            <w:pPr>
              <w:rPr>
                <w:b/>
                <w:color w:val="000000"/>
                <w:lang w:eastAsia="en-US"/>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976F0" w14:textId="77777777" w:rsidR="00C61A59" w:rsidRPr="00AA6B7A" w:rsidRDefault="00C61A59" w:rsidP="00155D30">
            <w:pPr>
              <w:jc w:val="center"/>
              <w:rPr>
                <w:b/>
                <w:color w:val="000000"/>
                <w:lang w:eastAsia="en-US"/>
              </w:rPr>
            </w:pPr>
            <w:r w:rsidRPr="00AA6B7A">
              <w:rPr>
                <w:b/>
                <w:color w:val="000000"/>
              </w:rPr>
              <w:t>saskaņā ar valsts budžetu kārtējam gadam</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4AF07" w14:textId="77777777" w:rsidR="00C61A59" w:rsidRPr="00AA6B7A" w:rsidRDefault="00C61A59" w:rsidP="00155D30">
            <w:pPr>
              <w:jc w:val="center"/>
              <w:rPr>
                <w:b/>
                <w:color w:val="000000"/>
                <w:lang w:eastAsia="en-US"/>
              </w:rPr>
            </w:pPr>
            <w:r w:rsidRPr="00AA6B7A">
              <w:rPr>
                <w:b/>
                <w:color w:val="000000"/>
              </w:rPr>
              <w:t>izmaiņas kārtējā gadā, salīdzinot ar valsts budžetu kārtējam gadam</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B7136" w14:textId="77777777" w:rsidR="00C61A59" w:rsidRPr="00CA451D" w:rsidRDefault="00C61A59" w:rsidP="00D52391">
            <w:pPr>
              <w:jc w:val="center"/>
              <w:rPr>
                <w:b/>
                <w:color w:val="000000"/>
                <w:lang w:eastAsia="en-US"/>
              </w:rPr>
            </w:pPr>
            <w:r w:rsidRPr="00CA451D">
              <w:rPr>
                <w:b/>
                <w:color w:val="000000"/>
              </w:rPr>
              <w:t xml:space="preserve">izmaiņas, salīdzinot ar kārtējo </w:t>
            </w:r>
            <w:r w:rsidR="00D52391" w:rsidRPr="00CA451D">
              <w:rPr>
                <w:b/>
                <w:color w:val="000000"/>
              </w:rPr>
              <w:t>2017.</w:t>
            </w:r>
            <w:r w:rsidRPr="00CA451D">
              <w:rPr>
                <w:b/>
                <w:color w:val="000000"/>
              </w:rPr>
              <w:t xml:space="preserve"> gadu</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32460" w14:textId="77777777" w:rsidR="00C61A59" w:rsidRPr="00CA451D" w:rsidRDefault="00C61A59" w:rsidP="00A3559B">
            <w:pPr>
              <w:jc w:val="center"/>
              <w:rPr>
                <w:b/>
                <w:color w:val="000000"/>
                <w:lang w:eastAsia="en-US"/>
              </w:rPr>
            </w:pPr>
            <w:r w:rsidRPr="00CA451D">
              <w:rPr>
                <w:b/>
                <w:color w:val="000000"/>
              </w:rPr>
              <w:t xml:space="preserve">izmaiņas, salīdzinot ar kārtējo </w:t>
            </w:r>
            <w:r w:rsidR="00A3559B" w:rsidRPr="00CA451D">
              <w:rPr>
                <w:b/>
                <w:color w:val="000000"/>
              </w:rPr>
              <w:t>2017.</w:t>
            </w:r>
            <w:r w:rsidRPr="00CA451D">
              <w:rPr>
                <w:b/>
                <w:color w:val="000000"/>
              </w:rPr>
              <w:t xml:space="preserve"> gadu</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71ECF" w14:textId="77777777" w:rsidR="00C61A59" w:rsidRPr="00CA451D" w:rsidRDefault="00C61A59" w:rsidP="00A3559B">
            <w:pPr>
              <w:jc w:val="center"/>
              <w:rPr>
                <w:b/>
                <w:color w:val="000000"/>
                <w:lang w:eastAsia="en-US"/>
              </w:rPr>
            </w:pPr>
            <w:r w:rsidRPr="00CA451D">
              <w:rPr>
                <w:b/>
                <w:color w:val="000000"/>
              </w:rPr>
              <w:t xml:space="preserve">izmaiņas, salīdzinot ar kārtējo </w:t>
            </w:r>
            <w:r w:rsidR="00A3559B" w:rsidRPr="00CA451D">
              <w:rPr>
                <w:b/>
                <w:color w:val="000000"/>
              </w:rPr>
              <w:t>2017.</w:t>
            </w:r>
            <w:r w:rsidRPr="00CA451D">
              <w:rPr>
                <w:b/>
                <w:color w:val="000000"/>
              </w:rPr>
              <w:t xml:space="preserve"> gadu</w:t>
            </w:r>
          </w:p>
        </w:tc>
      </w:tr>
      <w:tr w:rsidR="0063657C" w:rsidRPr="00AA6B7A" w14:paraId="253FA6D4" w14:textId="77777777" w:rsidTr="0006448D">
        <w:trPr>
          <w:trHeight w:val="139"/>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38C61" w14:textId="77777777" w:rsidR="00C61A59" w:rsidRPr="00AA6B7A" w:rsidRDefault="00C61A59" w:rsidP="00155D30">
            <w:pPr>
              <w:jc w:val="center"/>
              <w:rPr>
                <w:color w:val="000000"/>
                <w:lang w:eastAsia="en-US"/>
              </w:rPr>
            </w:pPr>
            <w:r w:rsidRPr="00AA6B7A">
              <w:rPr>
                <w:color w:val="000000"/>
              </w:rPr>
              <w:t>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D2035" w14:textId="77777777" w:rsidR="00C61A59" w:rsidRPr="00AA6B7A" w:rsidRDefault="00C61A59" w:rsidP="00155D30">
            <w:pPr>
              <w:jc w:val="center"/>
              <w:rPr>
                <w:color w:val="000000"/>
                <w:lang w:eastAsia="en-US"/>
              </w:rPr>
            </w:pPr>
            <w:r w:rsidRPr="00AA6B7A">
              <w:rPr>
                <w:color w:val="000000"/>
              </w:rPr>
              <w:t>2</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96937" w14:textId="77777777" w:rsidR="00C61A59" w:rsidRPr="00AA6B7A" w:rsidRDefault="00C61A59" w:rsidP="00155D30">
            <w:pPr>
              <w:jc w:val="center"/>
              <w:rPr>
                <w:color w:val="000000"/>
                <w:lang w:eastAsia="en-US"/>
              </w:rPr>
            </w:pPr>
            <w:r w:rsidRPr="00AA6B7A">
              <w:rPr>
                <w:color w:val="000000"/>
              </w:rPr>
              <w:t>3</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66C9F" w14:textId="77777777" w:rsidR="00C61A59" w:rsidRPr="00AA6B7A" w:rsidRDefault="00C61A59" w:rsidP="00155D30">
            <w:pPr>
              <w:jc w:val="center"/>
              <w:rPr>
                <w:color w:val="000000"/>
                <w:lang w:eastAsia="en-US"/>
              </w:rPr>
            </w:pPr>
            <w:r w:rsidRPr="00AA6B7A">
              <w:rPr>
                <w:color w:val="000000"/>
              </w:rPr>
              <w:t>4</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20386" w14:textId="77777777" w:rsidR="00C61A59" w:rsidRPr="00AA6B7A" w:rsidRDefault="00C61A59" w:rsidP="00155D30">
            <w:pPr>
              <w:jc w:val="center"/>
              <w:rPr>
                <w:color w:val="000000"/>
                <w:lang w:eastAsia="en-US"/>
              </w:rPr>
            </w:pPr>
            <w:r w:rsidRPr="00AA6B7A">
              <w:rPr>
                <w:color w:val="000000"/>
              </w:rPr>
              <w:t>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E1DF3" w14:textId="77777777" w:rsidR="00C61A59" w:rsidRPr="00AA6B7A" w:rsidRDefault="00C61A59" w:rsidP="00155D30">
            <w:pPr>
              <w:jc w:val="center"/>
              <w:rPr>
                <w:color w:val="000000"/>
                <w:lang w:eastAsia="en-US"/>
              </w:rPr>
            </w:pPr>
            <w:r w:rsidRPr="00AA6B7A">
              <w:rPr>
                <w:color w:val="000000"/>
              </w:rPr>
              <w:t>6</w:t>
            </w:r>
          </w:p>
        </w:tc>
      </w:tr>
      <w:tr w:rsidR="00DE3BE5" w:rsidRPr="00AA6B7A" w14:paraId="2130F709" w14:textId="77777777" w:rsidTr="0006448D">
        <w:trPr>
          <w:trHeight w:val="139"/>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5EFEBA9" w14:textId="77777777" w:rsidR="00DE3BE5" w:rsidRPr="00AA6B7A" w:rsidRDefault="00DE3BE5" w:rsidP="00DE3BE5">
            <w:pPr>
              <w:rPr>
                <w:color w:val="000000"/>
                <w:lang w:eastAsia="en-US"/>
              </w:rPr>
            </w:pPr>
            <w:r w:rsidRPr="00AA6B7A">
              <w:rPr>
                <w:color w:val="000000"/>
              </w:rPr>
              <w:t>1. Budžeta ieņēmumi:</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030614D" w14:textId="235A53D3" w:rsidR="00285328" w:rsidRPr="00DB2BCB" w:rsidRDefault="00285328" w:rsidP="00D66C6C">
            <w:pPr>
              <w:jc w:val="center"/>
              <w:rPr>
                <w:color w:val="000000"/>
              </w:rPr>
            </w:pPr>
            <w:r w:rsidRPr="00DB2BCB">
              <w:rPr>
                <w:color w:val="000000"/>
              </w:rPr>
              <w:t>298 976</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4B119592" w14:textId="77777777" w:rsidR="00285328" w:rsidRPr="00DB2BCB" w:rsidRDefault="00285328" w:rsidP="00DE3BE5">
            <w:pPr>
              <w:jc w:val="center"/>
              <w:rPr>
                <w:color w:val="000000"/>
              </w:rPr>
            </w:pPr>
            <w:r w:rsidRPr="00DB2BCB">
              <w:rPr>
                <w:color w:val="000000"/>
              </w:rPr>
              <w:t>3 036 112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CA3F0A1" w14:textId="77777777" w:rsidR="00285328" w:rsidRPr="00DB2BCB" w:rsidRDefault="00285328" w:rsidP="00DE3BE5">
            <w:pPr>
              <w:jc w:val="center"/>
              <w:rPr>
                <w:color w:val="000000"/>
              </w:rPr>
            </w:pPr>
            <w:r w:rsidRPr="00DB2BCB">
              <w:rPr>
                <w:color w:val="000000"/>
              </w:rPr>
              <w:t>2 679 897</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38535496" w14:textId="77777777" w:rsidR="00285328" w:rsidRPr="00DB2BCB" w:rsidRDefault="00285328" w:rsidP="00DE3BE5">
            <w:pPr>
              <w:jc w:val="center"/>
              <w:rPr>
                <w:color w:val="000000"/>
              </w:rPr>
            </w:pPr>
            <w:r w:rsidRPr="00DB2BCB">
              <w:rPr>
                <w:color w:val="000000"/>
              </w:rPr>
              <w:t>2 468 956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FE0E152" w14:textId="77777777" w:rsidR="001D6DF3" w:rsidRPr="00DB2BCB" w:rsidRDefault="001D6DF3" w:rsidP="00DE3BE5">
            <w:pPr>
              <w:jc w:val="center"/>
              <w:rPr>
                <w:color w:val="000000"/>
              </w:rPr>
            </w:pPr>
            <w:r w:rsidRPr="00DB2BCB">
              <w:rPr>
                <w:color w:val="000000"/>
              </w:rPr>
              <w:t>2 015 352</w:t>
            </w:r>
          </w:p>
        </w:tc>
      </w:tr>
      <w:tr w:rsidR="00DE3BE5" w:rsidRPr="00AA6B7A" w14:paraId="290833FA" w14:textId="77777777" w:rsidTr="0006448D">
        <w:trPr>
          <w:trHeight w:val="139"/>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E81CBA4" w14:textId="77777777" w:rsidR="00DE3BE5" w:rsidRPr="00AA6B7A" w:rsidRDefault="00DE3BE5" w:rsidP="00DE3BE5">
            <w:pPr>
              <w:rPr>
                <w:color w:val="000000"/>
                <w:lang w:eastAsia="en-US"/>
              </w:rPr>
            </w:pPr>
            <w:r w:rsidRPr="00AA6B7A">
              <w:rPr>
                <w:color w:val="000000"/>
              </w:rPr>
              <w:t>1.1. valsts pamatbudžets, tai skaitā ieņēmumi no maksas pakalpojumiem un citi pašu ieņēmumi</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46E3556" w14:textId="77777777" w:rsidR="00DE3BE5" w:rsidRPr="00DB2BCB" w:rsidRDefault="00DE3BE5" w:rsidP="00DE3BE5">
            <w:pPr>
              <w:jc w:val="center"/>
              <w:rPr>
                <w:color w:val="000000"/>
              </w:rPr>
            </w:pPr>
          </w:p>
          <w:p w14:paraId="1300E74E" w14:textId="77777777" w:rsidR="00285328" w:rsidRPr="00DB2BCB" w:rsidRDefault="00285328" w:rsidP="00DE3BE5">
            <w:pPr>
              <w:jc w:val="center"/>
              <w:rPr>
                <w:color w:val="000000"/>
              </w:rPr>
            </w:pPr>
            <w:r w:rsidRPr="00DB2BCB">
              <w:rPr>
                <w:color w:val="000000"/>
              </w:rPr>
              <w:t>298 976</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24B6649E" w14:textId="77777777" w:rsidR="00DE3BE5" w:rsidRPr="00DB2BCB" w:rsidRDefault="00DE3BE5" w:rsidP="00DE3BE5">
            <w:pPr>
              <w:jc w:val="center"/>
              <w:rPr>
                <w:color w:val="000000"/>
              </w:rPr>
            </w:pPr>
          </w:p>
          <w:p w14:paraId="043ECD9B" w14:textId="77777777" w:rsidR="00285328" w:rsidRPr="00DB2BCB" w:rsidRDefault="00285328" w:rsidP="00DE3BE5">
            <w:pPr>
              <w:jc w:val="center"/>
              <w:rPr>
                <w:color w:val="000000"/>
              </w:rPr>
            </w:pPr>
            <w:r w:rsidRPr="00DB2BCB">
              <w:rPr>
                <w:color w:val="000000"/>
              </w:rPr>
              <w:t>3 036 112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8625C5E" w14:textId="77777777" w:rsidR="00DE3BE5" w:rsidRPr="00DB2BCB" w:rsidRDefault="00DE3BE5" w:rsidP="00DE3BE5">
            <w:pPr>
              <w:jc w:val="center"/>
              <w:rPr>
                <w:color w:val="000000"/>
              </w:rPr>
            </w:pPr>
          </w:p>
          <w:p w14:paraId="707E70AA" w14:textId="77777777" w:rsidR="00285328" w:rsidRPr="00DB2BCB" w:rsidRDefault="00285328" w:rsidP="00DE3BE5">
            <w:pPr>
              <w:jc w:val="center"/>
              <w:rPr>
                <w:color w:val="000000"/>
              </w:rPr>
            </w:pPr>
            <w:r w:rsidRPr="00DB2BCB">
              <w:rPr>
                <w:color w:val="000000"/>
              </w:rPr>
              <w:t>2 679 897</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3DB526F7" w14:textId="77777777" w:rsidR="00DE3BE5" w:rsidRPr="00DB2BCB" w:rsidRDefault="00DE3BE5" w:rsidP="00DE3BE5">
            <w:pPr>
              <w:jc w:val="center"/>
              <w:rPr>
                <w:color w:val="000000"/>
              </w:rPr>
            </w:pPr>
          </w:p>
          <w:p w14:paraId="69A49949" w14:textId="77777777" w:rsidR="00285328" w:rsidRPr="00DB2BCB" w:rsidRDefault="00285328" w:rsidP="00DE3BE5">
            <w:pPr>
              <w:jc w:val="center"/>
              <w:rPr>
                <w:color w:val="000000"/>
              </w:rPr>
            </w:pPr>
            <w:r w:rsidRPr="00DB2BCB">
              <w:rPr>
                <w:color w:val="000000"/>
              </w:rPr>
              <w:t>2 468 956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A997144" w14:textId="77777777" w:rsidR="00DE3BE5" w:rsidRPr="00DB2BCB" w:rsidRDefault="00DE3BE5" w:rsidP="00DE3BE5">
            <w:pPr>
              <w:jc w:val="center"/>
              <w:rPr>
                <w:color w:val="000000"/>
              </w:rPr>
            </w:pPr>
          </w:p>
          <w:p w14:paraId="1B9B1F30" w14:textId="77777777" w:rsidR="001D6DF3" w:rsidRPr="00DB2BCB" w:rsidRDefault="001D6DF3" w:rsidP="00DE3BE5">
            <w:pPr>
              <w:jc w:val="center"/>
              <w:rPr>
                <w:color w:val="000000"/>
              </w:rPr>
            </w:pPr>
            <w:r w:rsidRPr="00DB2BCB">
              <w:rPr>
                <w:color w:val="000000"/>
              </w:rPr>
              <w:t>2 015 352</w:t>
            </w:r>
          </w:p>
        </w:tc>
      </w:tr>
      <w:tr w:rsidR="00DE3BE5" w:rsidRPr="00AA6B7A" w14:paraId="5FCB4A17" w14:textId="77777777" w:rsidTr="0006448D">
        <w:trPr>
          <w:trHeight w:val="139"/>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3ABED8DC" w14:textId="77777777" w:rsidR="00DE3BE5" w:rsidRPr="00AA6B7A" w:rsidRDefault="00DE3BE5" w:rsidP="00DE3BE5">
            <w:pPr>
              <w:rPr>
                <w:color w:val="000000"/>
                <w:lang w:eastAsia="en-US"/>
              </w:rPr>
            </w:pPr>
            <w:r w:rsidRPr="00AA6B7A">
              <w:rPr>
                <w:color w:val="000000"/>
              </w:rPr>
              <w:t>1.2. valsts speciālais budžets</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46923DFF" w14:textId="77777777" w:rsidR="00DE3BE5" w:rsidRPr="00DB2BCB" w:rsidRDefault="00F179AB" w:rsidP="00DE3BE5">
            <w:pPr>
              <w:jc w:val="center"/>
              <w:rPr>
                <w:color w:val="000000"/>
                <w:lang w:eastAsia="en-US"/>
              </w:rPr>
            </w:pPr>
            <w:r w:rsidRPr="00DB2BCB">
              <w:rPr>
                <w:color w:val="000000"/>
                <w:lang w:eastAsia="en-US"/>
              </w:rPr>
              <w:t>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36143D0" w14:textId="77777777" w:rsidR="00DE3BE5" w:rsidRPr="00DB2BCB" w:rsidRDefault="00DE3BE5" w:rsidP="00DE3BE5">
            <w:pPr>
              <w:jc w:val="center"/>
              <w:rPr>
                <w:color w:val="000000"/>
                <w:lang w:eastAsia="en-US"/>
              </w:rPr>
            </w:pPr>
            <w:r w:rsidRPr="00DB2BCB">
              <w:rPr>
                <w:color w:val="000000"/>
              </w:rPr>
              <w:t>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5737D24" w14:textId="77777777" w:rsidR="00DE3BE5" w:rsidRPr="00DB2BCB" w:rsidRDefault="00DE3BE5" w:rsidP="00DE3BE5">
            <w:pPr>
              <w:jc w:val="center"/>
              <w:rPr>
                <w:color w:val="000000"/>
                <w:lang w:eastAsia="en-US"/>
              </w:rPr>
            </w:pPr>
            <w:r w:rsidRPr="00DB2BCB">
              <w:rPr>
                <w:color w:val="000000"/>
              </w:rPr>
              <w:t>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6A94D492" w14:textId="77777777" w:rsidR="00DE3BE5" w:rsidRPr="00DB2BCB" w:rsidRDefault="00DE3BE5" w:rsidP="00DE3BE5">
            <w:pPr>
              <w:jc w:val="center"/>
              <w:rPr>
                <w:color w:val="000000"/>
                <w:lang w:eastAsia="en-US"/>
              </w:rPr>
            </w:pPr>
            <w:r w:rsidRPr="00DB2BCB">
              <w:rPr>
                <w:color w:val="000000"/>
              </w:rPr>
              <w:t>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AABE70A" w14:textId="77777777" w:rsidR="00DE3BE5" w:rsidRPr="00DB2BCB" w:rsidRDefault="00DE3BE5" w:rsidP="00DE3BE5">
            <w:pPr>
              <w:jc w:val="center"/>
              <w:rPr>
                <w:color w:val="000000"/>
                <w:lang w:eastAsia="en-US"/>
              </w:rPr>
            </w:pPr>
            <w:r w:rsidRPr="00DB2BCB">
              <w:rPr>
                <w:color w:val="000000"/>
                <w:lang w:eastAsia="en-US"/>
              </w:rPr>
              <w:t>0</w:t>
            </w:r>
          </w:p>
        </w:tc>
      </w:tr>
      <w:tr w:rsidR="00DE3BE5" w:rsidRPr="00AA6B7A" w14:paraId="0AD5CB91" w14:textId="77777777" w:rsidTr="0006448D">
        <w:trPr>
          <w:trHeight w:val="139"/>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4E63DEF" w14:textId="77777777" w:rsidR="00DE3BE5" w:rsidRPr="00AA6B7A" w:rsidRDefault="00DE3BE5" w:rsidP="00DE3BE5">
            <w:pPr>
              <w:rPr>
                <w:color w:val="000000"/>
                <w:lang w:eastAsia="en-US"/>
              </w:rPr>
            </w:pPr>
            <w:r w:rsidRPr="00AA6B7A">
              <w:rPr>
                <w:color w:val="000000"/>
              </w:rPr>
              <w:t>1.3. pašvaldību budžets</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FE2AAAD" w14:textId="77777777" w:rsidR="00DE3BE5" w:rsidRPr="00DB2BCB" w:rsidRDefault="00F179AB" w:rsidP="00DE3BE5">
            <w:pPr>
              <w:jc w:val="center"/>
              <w:rPr>
                <w:color w:val="000000"/>
                <w:lang w:eastAsia="en-US"/>
              </w:rPr>
            </w:pPr>
            <w:r w:rsidRPr="00DB2BCB">
              <w:rPr>
                <w:color w:val="000000"/>
                <w:lang w:eastAsia="en-US"/>
              </w:rPr>
              <w:t>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5BA992C" w14:textId="77777777" w:rsidR="00DE3BE5" w:rsidRPr="00DB2BCB" w:rsidRDefault="00DE3BE5" w:rsidP="00DE3BE5">
            <w:pPr>
              <w:jc w:val="center"/>
              <w:rPr>
                <w:color w:val="000000"/>
                <w:lang w:eastAsia="en-US"/>
              </w:rPr>
            </w:pPr>
            <w:r w:rsidRPr="00DB2BCB">
              <w:rPr>
                <w:color w:val="000000"/>
              </w:rPr>
              <w:t>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292FD29" w14:textId="77777777" w:rsidR="00DE3BE5" w:rsidRPr="00DB2BCB" w:rsidRDefault="00DE3BE5" w:rsidP="00DE3BE5">
            <w:pPr>
              <w:jc w:val="center"/>
              <w:rPr>
                <w:color w:val="000000"/>
                <w:lang w:eastAsia="en-US"/>
              </w:rPr>
            </w:pPr>
            <w:r w:rsidRPr="00DB2BCB">
              <w:rPr>
                <w:color w:val="000000"/>
              </w:rPr>
              <w:t>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4C06CF02" w14:textId="77777777" w:rsidR="00DE3BE5" w:rsidRPr="00DB2BCB" w:rsidRDefault="00DE3BE5" w:rsidP="00DE3BE5">
            <w:pPr>
              <w:jc w:val="center"/>
              <w:rPr>
                <w:color w:val="000000"/>
                <w:lang w:eastAsia="en-US"/>
              </w:rPr>
            </w:pPr>
            <w:r w:rsidRPr="00DB2BCB">
              <w:rPr>
                <w:color w:val="000000"/>
              </w:rPr>
              <w:t>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C4053A6" w14:textId="77777777" w:rsidR="00DE3BE5" w:rsidRPr="00DB2BCB" w:rsidRDefault="00DE3BE5" w:rsidP="00DE3BE5">
            <w:pPr>
              <w:jc w:val="center"/>
              <w:rPr>
                <w:color w:val="000000"/>
                <w:lang w:eastAsia="en-US"/>
              </w:rPr>
            </w:pPr>
            <w:r w:rsidRPr="00DB2BCB">
              <w:rPr>
                <w:color w:val="000000"/>
                <w:lang w:eastAsia="en-US"/>
              </w:rPr>
              <w:t>0</w:t>
            </w:r>
          </w:p>
        </w:tc>
      </w:tr>
      <w:tr w:rsidR="00DE3BE5" w:rsidRPr="00AA6B7A" w14:paraId="4BD386A9" w14:textId="77777777" w:rsidTr="0006448D">
        <w:trPr>
          <w:trHeight w:val="139"/>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46EF3F5C" w14:textId="77777777" w:rsidR="00DE3BE5" w:rsidRPr="00AA6B7A" w:rsidRDefault="00DE3BE5" w:rsidP="00DE3BE5">
            <w:pPr>
              <w:rPr>
                <w:color w:val="000000"/>
                <w:lang w:eastAsia="en-US"/>
              </w:rPr>
            </w:pPr>
            <w:r w:rsidRPr="00AA6B7A">
              <w:rPr>
                <w:color w:val="000000"/>
              </w:rPr>
              <w:t>2. Budžeta izdevumi:</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35E8369" w14:textId="77777777" w:rsidR="00285328" w:rsidRPr="00DB2BCB" w:rsidRDefault="00285328" w:rsidP="00DE3BE5">
            <w:pPr>
              <w:jc w:val="center"/>
              <w:rPr>
                <w:color w:val="000000"/>
              </w:rPr>
            </w:pPr>
            <w:r w:rsidRPr="00DB2BCB">
              <w:rPr>
                <w:color w:val="000000"/>
              </w:rPr>
              <w:t>298 976</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14:paraId="3BE44EED" w14:textId="77777777" w:rsidR="00285328" w:rsidRPr="00DB2BCB" w:rsidRDefault="00285328" w:rsidP="00DE3BE5">
            <w:pPr>
              <w:jc w:val="center"/>
              <w:rPr>
                <w:color w:val="000000"/>
              </w:rPr>
            </w:pPr>
            <w:r w:rsidRPr="00DB2BCB">
              <w:rPr>
                <w:color w:val="000000"/>
              </w:rPr>
              <w:t>8 316 516</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0B4B6A2" w14:textId="77777777" w:rsidR="00285328" w:rsidRPr="00DB2BCB" w:rsidRDefault="00285328" w:rsidP="00DE3BE5">
            <w:pPr>
              <w:jc w:val="center"/>
              <w:rPr>
                <w:color w:val="000000"/>
              </w:rPr>
            </w:pPr>
            <w:r w:rsidRPr="00DB2BCB">
              <w:rPr>
                <w:color w:val="000000"/>
              </w:rPr>
              <w:t>7 256 215</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6FCF4B33" w14:textId="0DB1D6EF" w:rsidR="001D6DF3" w:rsidRPr="00DB2BCB" w:rsidRDefault="00EF3322" w:rsidP="00DE3BE5">
            <w:pPr>
              <w:jc w:val="center"/>
              <w:rPr>
                <w:color w:val="000000"/>
              </w:rPr>
            </w:pPr>
            <w:r w:rsidRPr="00DB2BCB">
              <w:rPr>
                <w:color w:val="000000"/>
              </w:rPr>
              <w:t>6 724 174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E84E85F" w14:textId="66A5CDF6" w:rsidR="001D6DF3" w:rsidRPr="00DB2BCB" w:rsidRDefault="00EF3322" w:rsidP="00DE3BE5">
            <w:pPr>
              <w:jc w:val="center"/>
              <w:rPr>
                <w:color w:val="000000"/>
              </w:rPr>
            </w:pPr>
            <w:r w:rsidRPr="00DB2BCB">
              <w:rPr>
                <w:color w:val="000000"/>
              </w:rPr>
              <w:t>5 602 737</w:t>
            </w:r>
          </w:p>
        </w:tc>
      </w:tr>
      <w:tr w:rsidR="00DE3BE5" w:rsidRPr="00AA6B7A" w14:paraId="1D6DB985" w14:textId="77777777" w:rsidTr="0006448D">
        <w:trPr>
          <w:trHeight w:val="139"/>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0CE1EEDE" w14:textId="77777777" w:rsidR="00DE3BE5" w:rsidRPr="00AA6B7A" w:rsidRDefault="00DE3BE5" w:rsidP="00DE3BE5">
            <w:pPr>
              <w:rPr>
                <w:color w:val="000000"/>
                <w:lang w:eastAsia="en-US"/>
              </w:rPr>
            </w:pPr>
            <w:r w:rsidRPr="00AA6B7A">
              <w:rPr>
                <w:color w:val="000000"/>
              </w:rPr>
              <w:t>2.1. valsts pamatbudžets</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2957C96" w14:textId="77777777" w:rsidR="00285328" w:rsidRPr="00DB2BCB" w:rsidRDefault="00285328" w:rsidP="00DE3BE5">
            <w:pPr>
              <w:jc w:val="center"/>
              <w:rPr>
                <w:color w:val="000000"/>
              </w:rPr>
            </w:pPr>
            <w:r w:rsidRPr="00DB2BCB">
              <w:rPr>
                <w:color w:val="000000"/>
              </w:rPr>
              <w:t>298 976</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14:paraId="4BD95A56" w14:textId="77777777" w:rsidR="00285328" w:rsidRPr="00DB2BCB" w:rsidRDefault="00285328" w:rsidP="00DE3BE5">
            <w:pPr>
              <w:jc w:val="center"/>
              <w:rPr>
                <w:color w:val="000000"/>
              </w:rPr>
            </w:pPr>
            <w:r w:rsidRPr="00DB2BCB">
              <w:rPr>
                <w:color w:val="000000"/>
              </w:rPr>
              <w:t>8 316 516</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C6B78E5" w14:textId="77777777" w:rsidR="00285328" w:rsidRPr="00DB2BCB" w:rsidRDefault="00285328" w:rsidP="00DE3BE5">
            <w:pPr>
              <w:jc w:val="center"/>
              <w:rPr>
                <w:color w:val="000000"/>
              </w:rPr>
            </w:pPr>
            <w:r w:rsidRPr="00DB2BCB">
              <w:rPr>
                <w:color w:val="000000"/>
              </w:rPr>
              <w:t>7 256 215</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7209D95B" w14:textId="686A6D8D" w:rsidR="001D6DF3" w:rsidRPr="00DB2BCB" w:rsidRDefault="00EF3322" w:rsidP="00DE3BE5">
            <w:pPr>
              <w:jc w:val="center"/>
              <w:rPr>
                <w:color w:val="000000"/>
              </w:rPr>
            </w:pPr>
            <w:r w:rsidRPr="00DB2BCB">
              <w:rPr>
                <w:color w:val="000000"/>
              </w:rPr>
              <w:t>6 724 174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EE4751C" w14:textId="51D7E749" w:rsidR="001D6DF3" w:rsidRPr="00DB2BCB" w:rsidRDefault="00EF3322" w:rsidP="00DE3BE5">
            <w:pPr>
              <w:jc w:val="center"/>
              <w:rPr>
                <w:color w:val="000000"/>
              </w:rPr>
            </w:pPr>
            <w:r w:rsidRPr="00DB2BCB">
              <w:rPr>
                <w:color w:val="000000"/>
              </w:rPr>
              <w:t>5 602 737</w:t>
            </w:r>
          </w:p>
        </w:tc>
      </w:tr>
      <w:tr w:rsidR="00DE3BE5" w:rsidRPr="00AA6B7A" w14:paraId="25F7623A" w14:textId="77777777" w:rsidTr="0006448D">
        <w:trPr>
          <w:trHeight w:val="478"/>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572F105" w14:textId="77777777" w:rsidR="00DE3BE5" w:rsidRPr="00AA6B7A" w:rsidRDefault="00DE3BE5" w:rsidP="00DE3BE5">
            <w:pPr>
              <w:rPr>
                <w:color w:val="000000"/>
                <w:lang w:eastAsia="en-US"/>
              </w:rPr>
            </w:pPr>
            <w:r w:rsidRPr="00AA6B7A">
              <w:rPr>
                <w:color w:val="000000"/>
              </w:rPr>
              <w:t>2.2. valsts speciālais budžets</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5950E27" w14:textId="77777777" w:rsidR="00DE3BE5" w:rsidRPr="00AA6B7A" w:rsidRDefault="00F179AB" w:rsidP="00DE3BE5">
            <w:pPr>
              <w:jc w:val="center"/>
              <w:rPr>
                <w:color w:val="000000"/>
                <w:lang w:eastAsia="en-US"/>
              </w:rPr>
            </w:pPr>
            <w:r>
              <w:rPr>
                <w:color w:val="000000"/>
                <w:lang w:eastAsia="en-US"/>
              </w:rPr>
              <w:t>0</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14:paraId="724CD6FD" w14:textId="77777777" w:rsidR="00DE3BE5" w:rsidRPr="00AA6B7A" w:rsidRDefault="00DE3BE5" w:rsidP="00DE3BE5">
            <w:pPr>
              <w:jc w:val="center"/>
              <w:rPr>
                <w:color w:val="000000"/>
                <w:lang w:eastAsia="en-US"/>
              </w:rPr>
            </w:pPr>
            <w:r w:rsidRPr="00AA6B7A">
              <w:rPr>
                <w:color w:val="000000"/>
              </w:rPr>
              <w:t>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8E0AC9D" w14:textId="77777777" w:rsidR="00DE3BE5" w:rsidRPr="00AA6B7A" w:rsidRDefault="00DE3BE5" w:rsidP="00DE3BE5">
            <w:pPr>
              <w:jc w:val="center"/>
              <w:rPr>
                <w:color w:val="000000"/>
                <w:lang w:eastAsia="en-US"/>
              </w:rPr>
            </w:pPr>
            <w:r w:rsidRPr="00AA6B7A">
              <w:rPr>
                <w:color w:val="000000"/>
                <w:lang w:eastAsia="en-US"/>
              </w:rPr>
              <w:t>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2E4AAA86" w14:textId="77777777" w:rsidR="00DE3BE5" w:rsidRPr="00AA6B7A" w:rsidRDefault="00DE3BE5" w:rsidP="00DE3BE5">
            <w:pPr>
              <w:jc w:val="center"/>
              <w:rPr>
                <w:color w:val="000000"/>
                <w:lang w:eastAsia="en-US"/>
              </w:rPr>
            </w:pPr>
            <w:r w:rsidRPr="00AA6B7A">
              <w:rPr>
                <w:color w:val="000000"/>
                <w:lang w:eastAsia="en-US"/>
              </w:rPr>
              <w:t>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17CA5F5" w14:textId="77777777" w:rsidR="00DE3BE5" w:rsidRPr="00AA6B7A" w:rsidRDefault="00DE3BE5" w:rsidP="00DE3BE5">
            <w:pPr>
              <w:jc w:val="center"/>
              <w:rPr>
                <w:color w:val="000000"/>
                <w:lang w:eastAsia="en-US"/>
              </w:rPr>
            </w:pPr>
            <w:r w:rsidRPr="00AA6B7A">
              <w:rPr>
                <w:color w:val="000000"/>
                <w:lang w:eastAsia="en-US"/>
              </w:rPr>
              <w:t>0</w:t>
            </w:r>
          </w:p>
        </w:tc>
      </w:tr>
      <w:tr w:rsidR="00DE3BE5" w:rsidRPr="00AA6B7A" w14:paraId="09C81CC8" w14:textId="77777777" w:rsidTr="0006448D">
        <w:trPr>
          <w:trHeight w:val="139"/>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E8003B8" w14:textId="77777777" w:rsidR="00DE3BE5" w:rsidRPr="00AA6B7A" w:rsidRDefault="00DE3BE5" w:rsidP="00DE3BE5">
            <w:pPr>
              <w:rPr>
                <w:color w:val="000000"/>
                <w:lang w:eastAsia="en-US"/>
              </w:rPr>
            </w:pPr>
            <w:r w:rsidRPr="00AA6B7A">
              <w:rPr>
                <w:color w:val="000000"/>
              </w:rPr>
              <w:t>2.3. pašvaldību  budžets</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01B751C" w14:textId="77777777" w:rsidR="00DE3BE5" w:rsidRPr="00AA6B7A" w:rsidRDefault="00F179AB" w:rsidP="00DE3BE5">
            <w:pPr>
              <w:jc w:val="center"/>
              <w:rPr>
                <w:color w:val="000000"/>
                <w:lang w:eastAsia="en-US"/>
              </w:rPr>
            </w:pPr>
            <w:r>
              <w:rPr>
                <w:color w:val="000000"/>
                <w:lang w:eastAsia="en-US"/>
              </w:rPr>
              <w:t>0</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14:paraId="28688B67" w14:textId="77777777" w:rsidR="00DE3BE5" w:rsidRPr="00DB2BCB" w:rsidRDefault="00DE3BE5" w:rsidP="00DE3BE5">
            <w:pPr>
              <w:jc w:val="center"/>
              <w:rPr>
                <w:color w:val="000000"/>
                <w:lang w:eastAsia="en-US"/>
              </w:rPr>
            </w:pPr>
            <w:r w:rsidRPr="00DB2BCB">
              <w:rPr>
                <w:rFonts w:eastAsia="Times New Roman"/>
                <w:bCs/>
                <w:color w:val="000000"/>
              </w:rPr>
              <w:t>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DB8B08B" w14:textId="77777777" w:rsidR="00DE3BE5" w:rsidRPr="00DB2BCB" w:rsidRDefault="00DE3BE5" w:rsidP="00DE3BE5">
            <w:pPr>
              <w:jc w:val="center"/>
              <w:rPr>
                <w:color w:val="000000"/>
                <w:lang w:eastAsia="en-US"/>
              </w:rPr>
            </w:pPr>
            <w:r w:rsidRPr="00DB2BCB">
              <w:rPr>
                <w:rFonts w:eastAsia="Times New Roman"/>
                <w:bCs/>
                <w:color w:val="000000"/>
              </w:rPr>
              <w:t>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41599695" w14:textId="77777777" w:rsidR="00DE3BE5" w:rsidRPr="00DB2BCB" w:rsidRDefault="00DE3BE5" w:rsidP="00DE3BE5">
            <w:pPr>
              <w:jc w:val="center"/>
              <w:rPr>
                <w:rFonts w:eastAsia="Times New Roman"/>
                <w:bCs/>
                <w:color w:val="000000"/>
              </w:rPr>
            </w:pPr>
            <w:r w:rsidRPr="00DB2BCB">
              <w:rPr>
                <w:rFonts w:eastAsia="Times New Roman"/>
                <w:bCs/>
                <w:color w:val="000000"/>
              </w:rPr>
              <w:t>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4F29844" w14:textId="77777777" w:rsidR="00DE3BE5" w:rsidRPr="00DB2BCB" w:rsidRDefault="00DE3BE5" w:rsidP="00DE3BE5">
            <w:pPr>
              <w:jc w:val="center"/>
              <w:rPr>
                <w:rFonts w:eastAsia="Times New Roman"/>
                <w:bCs/>
                <w:color w:val="000000"/>
              </w:rPr>
            </w:pPr>
            <w:r w:rsidRPr="00DB2BCB">
              <w:rPr>
                <w:rFonts w:eastAsia="Times New Roman"/>
                <w:bCs/>
                <w:color w:val="000000"/>
              </w:rPr>
              <w:t>0</w:t>
            </w:r>
          </w:p>
        </w:tc>
      </w:tr>
      <w:tr w:rsidR="00DE3BE5" w:rsidRPr="00AA6B7A" w14:paraId="358A16A4" w14:textId="77777777" w:rsidTr="0006448D">
        <w:trPr>
          <w:trHeight w:val="139"/>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D04E159" w14:textId="77777777" w:rsidR="00DE3BE5" w:rsidRPr="00AA6B7A" w:rsidRDefault="00DE3BE5" w:rsidP="00DE3BE5">
            <w:pPr>
              <w:rPr>
                <w:color w:val="000000"/>
                <w:lang w:eastAsia="en-US"/>
              </w:rPr>
            </w:pPr>
            <w:r w:rsidRPr="00AA6B7A">
              <w:rPr>
                <w:color w:val="000000"/>
              </w:rPr>
              <w:t>3. Finansiālā ietekme:</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F45F21E" w14:textId="77777777" w:rsidR="00DE3BE5" w:rsidRPr="00AA6B7A" w:rsidRDefault="003108CE" w:rsidP="00DE3BE5">
            <w:pPr>
              <w:jc w:val="center"/>
              <w:rPr>
                <w:color w:val="000000"/>
              </w:rPr>
            </w:pPr>
            <w:r>
              <w:rPr>
                <w:color w:val="000000"/>
              </w:rPr>
              <w:t>0</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14:paraId="59663A1F" w14:textId="77777777" w:rsidR="00DE3BE5" w:rsidRPr="00DB2BCB" w:rsidRDefault="00DE3BE5" w:rsidP="00FA71BA">
            <w:pPr>
              <w:jc w:val="center"/>
              <w:rPr>
                <w:color w:val="000000"/>
              </w:rPr>
            </w:pPr>
            <w:r w:rsidRPr="00DB2BCB">
              <w:rPr>
                <w:color w:val="000000"/>
              </w:rPr>
              <w:t xml:space="preserve">- </w:t>
            </w:r>
            <w:r w:rsidR="00FA71BA" w:rsidRPr="00DB2BCB">
              <w:rPr>
                <w:color w:val="000000"/>
              </w:rPr>
              <w:t>5 280 404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1D08D34" w14:textId="77777777" w:rsidR="00DE3BE5" w:rsidRPr="00DB2BCB" w:rsidRDefault="003108CE" w:rsidP="00DE3BE5">
            <w:pPr>
              <w:jc w:val="center"/>
              <w:rPr>
                <w:color w:val="000000"/>
              </w:rPr>
            </w:pPr>
            <w:r w:rsidRPr="00DB2BCB">
              <w:rPr>
                <w:color w:val="000000"/>
              </w:rPr>
              <w:t>- 4 576 318</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78C5EAD7" w14:textId="4F17E577" w:rsidR="00DE3BE5" w:rsidRPr="00DB2BCB" w:rsidRDefault="00277CC6" w:rsidP="00DE3BE5">
            <w:pPr>
              <w:jc w:val="center"/>
              <w:rPr>
                <w:color w:val="000000"/>
              </w:rPr>
            </w:pPr>
            <w:r w:rsidRPr="00DB2BCB">
              <w:rPr>
                <w:color w:val="000000"/>
              </w:rPr>
              <w:t>- 4 255 218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BCF29F9" w14:textId="52BAE7E2" w:rsidR="00DE3BE5" w:rsidRPr="00DB2BCB" w:rsidRDefault="00277CC6" w:rsidP="00DE3BE5">
            <w:pPr>
              <w:jc w:val="center"/>
              <w:rPr>
                <w:color w:val="000000"/>
              </w:rPr>
            </w:pPr>
            <w:r w:rsidRPr="00DB2BCB">
              <w:rPr>
                <w:color w:val="000000"/>
              </w:rPr>
              <w:t>- 3 587 385</w:t>
            </w:r>
          </w:p>
        </w:tc>
      </w:tr>
      <w:tr w:rsidR="00DE3BE5" w:rsidRPr="00AA6B7A" w14:paraId="66FC151A" w14:textId="77777777" w:rsidTr="0006448D">
        <w:trPr>
          <w:trHeight w:val="139"/>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0D935B9C" w14:textId="77777777" w:rsidR="00DE3BE5" w:rsidRPr="00AA6B7A" w:rsidRDefault="00DE3BE5" w:rsidP="00DE3BE5">
            <w:pPr>
              <w:rPr>
                <w:color w:val="000000"/>
                <w:lang w:eastAsia="en-US"/>
              </w:rPr>
            </w:pPr>
            <w:r w:rsidRPr="00AA6B7A">
              <w:rPr>
                <w:color w:val="000000"/>
              </w:rPr>
              <w:t>3.1. valsts pamatbudžets</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92E34D4" w14:textId="77777777" w:rsidR="00DE3BE5" w:rsidRPr="00AA6B7A" w:rsidRDefault="003108CE" w:rsidP="00DE3BE5">
            <w:pPr>
              <w:jc w:val="center"/>
              <w:rPr>
                <w:color w:val="000000"/>
              </w:rPr>
            </w:pPr>
            <w:r>
              <w:rPr>
                <w:color w:val="000000"/>
              </w:rPr>
              <w:t>0</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14:paraId="2CAD9BF5" w14:textId="77777777" w:rsidR="00DE3BE5" w:rsidRPr="00DB2BCB" w:rsidRDefault="00FA71BA" w:rsidP="00DE3BE5">
            <w:pPr>
              <w:jc w:val="center"/>
              <w:rPr>
                <w:color w:val="000000"/>
              </w:rPr>
            </w:pPr>
            <w:r w:rsidRPr="00DB2BCB">
              <w:rPr>
                <w:color w:val="000000"/>
              </w:rPr>
              <w:t>- 5 280 404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B44D1E9" w14:textId="77777777" w:rsidR="00DE3BE5" w:rsidRPr="00DB2BCB" w:rsidRDefault="003108CE" w:rsidP="00DE3BE5">
            <w:pPr>
              <w:jc w:val="center"/>
              <w:rPr>
                <w:color w:val="000000"/>
              </w:rPr>
            </w:pPr>
            <w:r w:rsidRPr="00DB2BCB">
              <w:rPr>
                <w:color w:val="000000"/>
              </w:rPr>
              <w:t>- 4 576 318</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3A358B32" w14:textId="1FA07A92" w:rsidR="00DE3BE5" w:rsidRPr="00DB2BCB" w:rsidRDefault="00277CC6" w:rsidP="00DE3BE5">
            <w:pPr>
              <w:jc w:val="center"/>
              <w:rPr>
                <w:color w:val="000000"/>
              </w:rPr>
            </w:pPr>
            <w:r w:rsidRPr="00DB2BCB">
              <w:rPr>
                <w:color w:val="000000"/>
              </w:rPr>
              <w:t>- 4 255 218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329D5CE" w14:textId="34E2C61F" w:rsidR="00DE3BE5" w:rsidRPr="00DB2BCB" w:rsidRDefault="00277CC6" w:rsidP="00DE3BE5">
            <w:pPr>
              <w:jc w:val="center"/>
              <w:rPr>
                <w:color w:val="000000"/>
              </w:rPr>
            </w:pPr>
            <w:r w:rsidRPr="00DB2BCB">
              <w:rPr>
                <w:color w:val="000000"/>
              </w:rPr>
              <w:t>- 3 587 385</w:t>
            </w:r>
          </w:p>
        </w:tc>
      </w:tr>
      <w:tr w:rsidR="00DE3BE5" w:rsidRPr="00AA6B7A" w14:paraId="414E774A" w14:textId="77777777" w:rsidTr="0006448D">
        <w:trPr>
          <w:trHeight w:val="139"/>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FC27B68" w14:textId="77777777" w:rsidR="00DE3BE5" w:rsidRPr="00AA6B7A" w:rsidRDefault="00DE3BE5" w:rsidP="00DE3BE5">
            <w:pPr>
              <w:rPr>
                <w:color w:val="000000"/>
                <w:lang w:eastAsia="en-US"/>
              </w:rPr>
            </w:pPr>
            <w:r w:rsidRPr="00AA6B7A">
              <w:rPr>
                <w:color w:val="000000"/>
              </w:rPr>
              <w:t>3.2. speciālais budžets</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3053361" w14:textId="77777777" w:rsidR="00DE3BE5" w:rsidRPr="00AA6B7A" w:rsidRDefault="00DE3BE5" w:rsidP="00DE3BE5">
            <w:pPr>
              <w:jc w:val="center"/>
              <w:rPr>
                <w:color w:val="000000"/>
                <w:lang w:eastAsia="en-US"/>
              </w:rPr>
            </w:pPr>
            <w:r w:rsidRPr="00AA6B7A">
              <w:rPr>
                <w:color w:val="000000"/>
              </w:rPr>
              <w:t>0</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90C79C" w14:textId="77777777" w:rsidR="00DE3BE5" w:rsidRPr="00DB2BCB" w:rsidRDefault="00DE3BE5" w:rsidP="00DE3BE5">
            <w:pPr>
              <w:jc w:val="center"/>
              <w:rPr>
                <w:color w:val="000000"/>
                <w:lang w:eastAsia="en-US"/>
              </w:rPr>
            </w:pPr>
            <w:r w:rsidRPr="00DB2BCB">
              <w:rPr>
                <w:color w:val="000000"/>
              </w:rPr>
              <w:t>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2468E6D" w14:textId="77777777" w:rsidR="00DE3BE5" w:rsidRPr="00DB2BCB" w:rsidRDefault="00DE3BE5" w:rsidP="00DE3BE5">
            <w:pPr>
              <w:jc w:val="center"/>
              <w:rPr>
                <w:color w:val="000000"/>
                <w:lang w:eastAsia="en-US"/>
              </w:rPr>
            </w:pPr>
            <w:r w:rsidRPr="00DB2BCB">
              <w:rPr>
                <w:color w:val="000000"/>
                <w:lang w:eastAsia="en-US"/>
              </w:rPr>
              <w:t>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77D2D4DE" w14:textId="77777777" w:rsidR="00DE3BE5" w:rsidRPr="00DB2BCB" w:rsidRDefault="00DE3BE5" w:rsidP="00DE3BE5">
            <w:pPr>
              <w:jc w:val="center"/>
              <w:rPr>
                <w:color w:val="000000"/>
                <w:lang w:eastAsia="en-US"/>
              </w:rPr>
            </w:pPr>
            <w:r w:rsidRPr="00DB2BCB">
              <w:rPr>
                <w:color w:val="000000"/>
                <w:lang w:eastAsia="en-US"/>
              </w:rPr>
              <w:t>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E3D50B7" w14:textId="77777777" w:rsidR="00DE3BE5" w:rsidRPr="00DB2BCB" w:rsidRDefault="00DE3BE5" w:rsidP="00DE3BE5">
            <w:pPr>
              <w:jc w:val="center"/>
              <w:rPr>
                <w:color w:val="000000"/>
                <w:lang w:eastAsia="en-US"/>
              </w:rPr>
            </w:pPr>
          </w:p>
        </w:tc>
      </w:tr>
      <w:tr w:rsidR="00DE3BE5" w:rsidRPr="00AA6B7A" w14:paraId="3B9490E5" w14:textId="77777777" w:rsidTr="0006448D">
        <w:trPr>
          <w:trHeight w:val="139"/>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A4320A1" w14:textId="77777777" w:rsidR="00DE3BE5" w:rsidRPr="00AA6B7A" w:rsidRDefault="00DE3BE5" w:rsidP="00DE3BE5">
            <w:pPr>
              <w:rPr>
                <w:color w:val="000000"/>
                <w:lang w:eastAsia="en-US"/>
              </w:rPr>
            </w:pPr>
            <w:r w:rsidRPr="00AA6B7A">
              <w:rPr>
                <w:color w:val="000000"/>
              </w:rPr>
              <w:t>3.3. pašvaldību budžets</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C47BD04" w14:textId="77777777" w:rsidR="00DE3BE5" w:rsidRPr="00AA6B7A" w:rsidRDefault="00DE3BE5" w:rsidP="00DE3BE5">
            <w:pPr>
              <w:jc w:val="center"/>
              <w:rPr>
                <w:rFonts w:eastAsia="Times New Roman"/>
                <w:bCs/>
                <w:color w:val="000000"/>
              </w:rPr>
            </w:pPr>
            <w:r w:rsidRPr="00AA6B7A">
              <w:rPr>
                <w:rFonts w:eastAsia="Times New Roman"/>
                <w:bCs/>
                <w:color w:val="000000"/>
              </w:rPr>
              <w:t>0</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14:paraId="672B3E75" w14:textId="77777777" w:rsidR="00DE3BE5" w:rsidRPr="00DB2BCB" w:rsidRDefault="00DE3BE5" w:rsidP="00DE3BE5">
            <w:pPr>
              <w:jc w:val="center"/>
              <w:rPr>
                <w:rFonts w:eastAsia="Times New Roman"/>
                <w:bCs/>
                <w:color w:val="000000"/>
              </w:rPr>
            </w:pPr>
            <w:r w:rsidRPr="00DB2BCB">
              <w:rPr>
                <w:rFonts w:eastAsia="Times New Roman"/>
                <w:bCs/>
                <w:color w:val="000000"/>
              </w:rPr>
              <w:t>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1080006" w14:textId="77777777" w:rsidR="00DE3BE5" w:rsidRPr="00DB2BCB" w:rsidRDefault="00DE3BE5" w:rsidP="00DE3BE5">
            <w:pPr>
              <w:jc w:val="center"/>
              <w:rPr>
                <w:rFonts w:eastAsia="Times New Roman"/>
                <w:bCs/>
                <w:color w:val="000000"/>
              </w:rPr>
            </w:pPr>
            <w:r w:rsidRPr="00DB2BCB">
              <w:rPr>
                <w:rFonts w:eastAsia="Times New Roman"/>
                <w:bCs/>
                <w:color w:val="000000"/>
              </w:rPr>
              <w:t>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2AF5A0C6" w14:textId="77777777" w:rsidR="00DE3BE5" w:rsidRPr="00DB2BCB" w:rsidRDefault="00DE3BE5" w:rsidP="00DE3BE5">
            <w:pPr>
              <w:jc w:val="center"/>
              <w:rPr>
                <w:rFonts w:eastAsia="Times New Roman"/>
                <w:bCs/>
                <w:color w:val="000000"/>
              </w:rPr>
            </w:pPr>
            <w:r w:rsidRPr="00DB2BCB">
              <w:rPr>
                <w:rFonts w:eastAsia="Times New Roman"/>
                <w:bCs/>
                <w:color w:val="000000"/>
              </w:rPr>
              <w:t>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C25A76B" w14:textId="77777777" w:rsidR="00DE3BE5" w:rsidRPr="00DB2BCB" w:rsidRDefault="00DE3BE5" w:rsidP="00DE3BE5">
            <w:pPr>
              <w:jc w:val="center"/>
              <w:rPr>
                <w:rFonts w:eastAsia="Times New Roman"/>
                <w:bCs/>
                <w:color w:val="000000"/>
              </w:rPr>
            </w:pPr>
          </w:p>
        </w:tc>
      </w:tr>
      <w:tr w:rsidR="00DE3BE5" w:rsidRPr="00AA6B7A" w14:paraId="702B2DF7" w14:textId="77777777" w:rsidTr="0006448D">
        <w:trPr>
          <w:trHeight w:val="1329"/>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4D877B4B" w14:textId="77777777" w:rsidR="00DE3BE5" w:rsidRPr="00AA6B7A" w:rsidRDefault="00DE3BE5" w:rsidP="00DE3BE5">
            <w:pPr>
              <w:rPr>
                <w:color w:val="000000"/>
                <w:lang w:eastAsia="en-US"/>
              </w:rPr>
            </w:pPr>
            <w:r w:rsidRPr="00AA6B7A">
              <w:rPr>
                <w:color w:val="000000"/>
              </w:rPr>
              <w:t>4. Finanšu līdzekļi papildu izdevumu finansēšanai (kompensējošu izdevumu samazinājumu norāda ar "+" zīmi</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1C329" w14:textId="77777777" w:rsidR="00DE3BE5" w:rsidRPr="00AA6B7A" w:rsidRDefault="00DE3BE5" w:rsidP="00DE3BE5">
            <w:pPr>
              <w:jc w:val="center"/>
              <w:rPr>
                <w:color w:val="000000"/>
                <w:lang w:eastAsia="en-US"/>
              </w:rPr>
            </w:pPr>
            <w:r w:rsidRPr="00AA6B7A">
              <w:rPr>
                <w:color w:val="000000"/>
              </w:rPr>
              <w:t>x</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14:paraId="2FF8F0B6" w14:textId="77777777" w:rsidR="00DE3BE5" w:rsidRPr="00AA6B7A" w:rsidRDefault="00DE3BE5" w:rsidP="00DE3BE5">
            <w:pPr>
              <w:jc w:val="center"/>
              <w:rPr>
                <w:color w:val="000000"/>
                <w:lang w:eastAsia="en-US"/>
              </w:rPr>
            </w:pPr>
            <w:r w:rsidRPr="00AA6B7A">
              <w:rPr>
                <w:color w:val="000000"/>
              </w:rPr>
              <w:t>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C373068" w14:textId="77777777" w:rsidR="00DE3BE5" w:rsidRPr="00AA6B7A" w:rsidRDefault="00DE3BE5" w:rsidP="00DE3BE5">
            <w:pPr>
              <w:jc w:val="center"/>
              <w:rPr>
                <w:color w:val="000000"/>
                <w:lang w:eastAsia="en-US"/>
              </w:rPr>
            </w:pPr>
            <w:r w:rsidRPr="00AA6B7A">
              <w:rPr>
                <w:color w:val="000000"/>
              </w:rPr>
              <w:t>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6C49121F" w14:textId="77777777" w:rsidR="00DE3BE5" w:rsidRPr="00AA6B7A" w:rsidRDefault="00DE3BE5" w:rsidP="00DE3BE5">
            <w:pPr>
              <w:jc w:val="center"/>
              <w:rPr>
                <w:color w:val="000000"/>
                <w:lang w:eastAsia="en-US"/>
              </w:rPr>
            </w:pPr>
            <w:r w:rsidRPr="00AA6B7A">
              <w:rPr>
                <w:color w:val="000000"/>
              </w:rPr>
              <w:t>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A491158" w14:textId="77777777" w:rsidR="00DE3BE5" w:rsidRPr="00AA6B7A" w:rsidRDefault="00DE3BE5" w:rsidP="00DE3BE5">
            <w:pPr>
              <w:jc w:val="center"/>
              <w:rPr>
                <w:color w:val="000000"/>
                <w:lang w:eastAsia="en-US"/>
              </w:rPr>
            </w:pPr>
            <w:r w:rsidRPr="00AA6B7A">
              <w:rPr>
                <w:color w:val="000000"/>
              </w:rPr>
              <w:t>0</w:t>
            </w:r>
          </w:p>
        </w:tc>
      </w:tr>
      <w:tr w:rsidR="00277CC6" w:rsidRPr="00AA6B7A" w14:paraId="58ABD875" w14:textId="77777777" w:rsidTr="0006448D">
        <w:trPr>
          <w:trHeight w:val="516"/>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438F4422" w14:textId="77777777" w:rsidR="00277CC6" w:rsidRPr="00AA6B7A" w:rsidRDefault="00277CC6" w:rsidP="00277CC6">
            <w:pPr>
              <w:rPr>
                <w:color w:val="000000"/>
                <w:lang w:eastAsia="en-US"/>
              </w:rPr>
            </w:pPr>
            <w:r w:rsidRPr="00AA6B7A">
              <w:rPr>
                <w:color w:val="000000"/>
              </w:rPr>
              <w:t>5. Precizēta finansiālā ietekme:</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35994D" w14:textId="77777777" w:rsidR="00277CC6" w:rsidRPr="00AA6B7A" w:rsidRDefault="00277CC6" w:rsidP="00277CC6">
            <w:pPr>
              <w:jc w:val="center"/>
              <w:rPr>
                <w:color w:val="000000"/>
                <w:lang w:eastAsia="en-US"/>
              </w:rPr>
            </w:pPr>
            <w:r w:rsidRPr="00AA6B7A">
              <w:rPr>
                <w:color w:val="000000"/>
              </w:rPr>
              <w:t>x</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70DB8" w14:textId="7B413FF0" w:rsidR="00277CC6" w:rsidRPr="00DB2BCB" w:rsidRDefault="00277CC6" w:rsidP="00277CC6">
            <w:pPr>
              <w:jc w:val="center"/>
              <w:rPr>
                <w:color w:val="000000"/>
              </w:rPr>
            </w:pPr>
            <w:r w:rsidRPr="00DB2BCB">
              <w:rPr>
                <w:color w:val="000000"/>
              </w:rPr>
              <w:t>- 5 280 404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61127" w14:textId="316D0123" w:rsidR="00277CC6" w:rsidRPr="00DB2BCB" w:rsidRDefault="00277CC6" w:rsidP="00277CC6">
            <w:pPr>
              <w:jc w:val="center"/>
              <w:rPr>
                <w:color w:val="000000"/>
              </w:rPr>
            </w:pPr>
            <w:r w:rsidRPr="00DB2BCB">
              <w:rPr>
                <w:color w:val="000000"/>
              </w:rPr>
              <w:t>- 4 576 318</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CDFAE" w14:textId="270500DB" w:rsidR="00277CC6" w:rsidRPr="00DB2BCB" w:rsidRDefault="00277CC6" w:rsidP="00277CC6">
            <w:pPr>
              <w:jc w:val="center"/>
              <w:rPr>
                <w:color w:val="000000"/>
              </w:rPr>
            </w:pPr>
            <w:r w:rsidRPr="00DB2BCB">
              <w:rPr>
                <w:color w:val="000000"/>
              </w:rPr>
              <w:t>- 4 255 218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E003B" w14:textId="12F17D09" w:rsidR="00277CC6" w:rsidRPr="00DB2BCB" w:rsidRDefault="00277CC6" w:rsidP="00277CC6">
            <w:pPr>
              <w:jc w:val="center"/>
              <w:rPr>
                <w:color w:val="000000"/>
              </w:rPr>
            </w:pPr>
            <w:r w:rsidRPr="00DB2BCB">
              <w:rPr>
                <w:color w:val="000000"/>
              </w:rPr>
              <w:t>- 3 587 385</w:t>
            </w:r>
          </w:p>
        </w:tc>
      </w:tr>
      <w:tr w:rsidR="00277CC6" w:rsidRPr="00AA6B7A" w14:paraId="43EA193D" w14:textId="77777777" w:rsidTr="0006448D">
        <w:trPr>
          <w:trHeight w:val="533"/>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39BF89D" w14:textId="77777777" w:rsidR="00277CC6" w:rsidRPr="00AA6B7A" w:rsidRDefault="00277CC6" w:rsidP="00277CC6">
            <w:pPr>
              <w:rPr>
                <w:color w:val="000000"/>
                <w:lang w:eastAsia="en-US"/>
              </w:rPr>
            </w:pPr>
            <w:r w:rsidRPr="00AA6B7A">
              <w:rPr>
                <w:color w:val="000000"/>
              </w:rPr>
              <w:lastRenderedPageBreak/>
              <w:t>5.1. valsts pamatbudžets</w:t>
            </w:r>
          </w:p>
        </w:tc>
        <w:tc>
          <w:tcPr>
            <w:tcW w:w="12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9D7F65" w14:textId="77777777" w:rsidR="00277CC6" w:rsidRPr="00AA6B7A" w:rsidRDefault="00277CC6" w:rsidP="00277CC6">
            <w:pPr>
              <w:jc w:val="center"/>
              <w:rPr>
                <w:color w:val="000000"/>
                <w:lang w:eastAsia="en-US"/>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D0FCC" w14:textId="72BEBD3C" w:rsidR="00277CC6" w:rsidRPr="00DB2BCB" w:rsidRDefault="00277CC6" w:rsidP="00277CC6">
            <w:pPr>
              <w:jc w:val="center"/>
              <w:rPr>
                <w:color w:val="000000"/>
              </w:rPr>
            </w:pPr>
            <w:r w:rsidRPr="00DB2BCB">
              <w:rPr>
                <w:color w:val="000000"/>
              </w:rPr>
              <w:t>- 5 280 404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3D13E" w14:textId="20463121" w:rsidR="00277CC6" w:rsidRPr="00DB2BCB" w:rsidRDefault="00277CC6" w:rsidP="00277CC6">
            <w:pPr>
              <w:jc w:val="center"/>
              <w:rPr>
                <w:color w:val="000000"/>
              </w:rPr>
            </w:pPr>
            <w:r w:rsidRPr="00DB2BCB">
              <w:rPr>
                <w:color w:val="000000"/>
              </w:rPr>
              <w:t>- 4 576 318</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ED99E" w14:textId="488E228C" w:rsidR="00277CC6" w:rsidRPr="00DB2BCB" w:rsidRDefault="00277CC6" w:rsidP="00277CC6">
            <w:pPr>
              <w:jc w:val="center"/>
              <w:rPr>
                <w:color w:val="000000"/>
              </w:rPr>
            </w:pPr>
            <w:r w:rsidRPr="00DB2BCB">
              <w:rPr>
                <w:color w:val="000000"/>
              </w:rPr>
              <w:t>- 4 255 218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F4EAD" w14:textId="40FB366F" w:rsidR="00277CC6" w:rsidRPr="00DB2BCB" w:rsidRDefault="00277CC6" w:rsidP="00277CC6">
            <w:pPr>
              <w:jc w:val="center"/>
              <w:rPr>
                <w:color w:val="000000"/>
              </w:rPr>
            </w:pPr>
            <w:r w:rsidRPr="00DB2BCB">
              <w:rPr>
                <w:color w:val="000000"/>
              </w:rPr>
              <w:t>- 3 587 385</w:t>
            </w:r>
          </w:p>
        </w:tc>
      </w:tr>
      <w:tr w:rsidR="00DE3BE5" w:rsidRPr="00AA6B7A" w14:paraId="362DD0D8" w14:textId="77777777" w:rsidTr="0006448D">
        <w:trPr>
          <w:trHeight w:val="258"/>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06D72390" w14:textId="77777777" w:rsidR="00DE3BE5" w:rsidRPr="00AA6B7A" w:rsidRDefault="00DE3BE5" w:rsidP="00DE3BE5">
            <w:pPr>
              <w:rPr>
                <w:color w:val="000000"/>
                <w:lang w:eastAsia="en-US"/>
              </w:rPr>
            </w:pPr>
            <w:r w:rsidRPr="00AA6B7A">
              <w:rPr>
                <w:color w:val="000000"/>
              </w:rPr>
              <w:t>5.2. speciālais budžets</w:t>
            </w:r>
          </w:p>
        </w:tc>
        <w:tc>
          <w:tcPr>
            <w:tcW w:w="12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7BFC18" w14:textId="77777777" w:rsidR="00DE3BE5" w:rsidRPr="00AA6B7A" w:rsidRDefault="00DE3BE5" w:rsidP="00DE3BE5">
            <w:pPr>
              <w:jc w:val="center"/>
              <w:rPr>
                <w:color w:val="000000"/>
                <w:lang w:eastAsia="en-US"/>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2E1B5" w14:textId="77777777" w:rsidR="00DE3BE5" w:rsidRPr="00AA6B7A" w:rsidRDefault="00DE3BE5" w:rsidP="00DE3BE5">
            <w:pPr>
              <w:jc w:val="center"/>
              <w:rPr>
                <w:color w:val="000000"/>
                <w:lang w:eastAsia="en-US"/>
              </w:rPr>
            </w:pPr>
            <w:r w:rsidRPr="00AA6B7A">
              <w:rPr>
                <w:color w:val="000000"/>
              </w:rPr>
              <w:t>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9D76A" w14:textId="77777777" w:rsidR="00DE3BE5" w:rsidRPr="00AA6B7A" w:rsidRDefault="00DE3BE5" w:rsidP="00DE3BE5">
            <w:pPr>
              <w:jc w:val="center"/>
              <w:rPr>
                <w:color w:val="000000"/>
                <w:lang w:eastAsia="en-US"/>
              </w:rPr>
            </w:pPr>
            <w:r w:rsidRPr="00AA6B7A">
              <w:rPr>
                <w:color w:val="000000"/>
              </w:rPr>
              <w:t>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9BE3F" w14:textId="77777777" w:rsidR="00DE3BE5" w:rsidRPr="00AA6B7A" w:rsidRDefault="00DE3BE5" w:rsidP="00DE3BE5">
            <w:pPr>
              <w:jc w:val="center"/>
              <w:rPr>
                <w:color w:val="000000"/>
                <w:lang w:eastAsia="en-US"/>
              </w:rPr>
            </w:pPr>
            <w:r w:rsidRPr="00AA6B7A">
              <w:rPr>
                <w:color w:val="000000"/>
              </w:rPr>
              <w:t>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44E55" w14:textId="77777777" w:rsidR="00DE3BE5" w:rsidRPr="00AA6B7A" w:rsidRDefault="00DE3BE5" w:rsidP="00DE3BE5">
            <w:pPr>
              <w:jc w:val="center"/>
              <w:rPr>
                <w:color w:val="000000"/>
                <w:lang w:eastAsia="en-US"/>
              </w:rPr>
            </w:pPr>
            <w:r w:rsidRPr="00AA6B7A">
              <w:rPr>
                <w:color w:val="000000"/>
              </w:rPr>
              <w:t>0</w:t>
            </w:r>
          </w:p>
        </w:tc>
      </w:tr>
      <w:tr w:rsidR="00DE3BE5" w:rsidRPr="00AA6B7A" w14:paraId="38FA191B" w14:textId="77777777" w:rsidTr="0006448D">
        <w:trPr>
          <w:trHeight w:val="258"/>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6B1D0A1" w14:textId="77777777" w:rsidR="00DE3BE5" w:rsidRPr="00AA6B7A" w:rsidRDefault="00DE3BE5" w:rsidP="00DE3BE5">
            <w:pPr>
              <w:rPr>
                <w:color w:val="000000"/>
                <w:lang w:eastAsia="en-US"/>
              </w:rPr>
            </w:pPr>
            <w:r w:rsidRPr="00AA6B7A">
              <w:rPr>
                <w:color w:val="000000"/>
              </w:rPr>
              <w:t>5.3. pašvaldību budžets</w:t>
            </w:r>
          </w:p>
        </w:tc>
        <w:tc>
          <w:tcPr>
            <w:tcW w:w="12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9D6204" w14:textId="77777777" w:rsidR="00DE3BE5" w:rsidRPr="00AA6B7A" w:rsidRDefault="00DE3BE5" w:rsidP="00DE3BE5">
            <w:pPr>
              <w:jc w:val="center"/>
              <w:rPr>
                <w:color w:val="000000"/>
                <w:lang w:eastAsia="en-US"/>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60FC4" w14:textId="77777777" w:rsidR="00DE3BE5" w:rsidRPr="00AA6B7A" w:rsidRDefault="00DE3BE5" w:rsidP="00DE3BE5">
            <w:pPr>
              <w:jc w:val="center"/>
              <w:rPr>
                <w:color w:val="000000"/>
                <w:lang w:eastAsia="en-US"/>
              </w:rPr>
            </w:pPr>
            <w:r w:rsidRPr="00AA6B7A">
              <w:rPr>
                <w:color w:val="000000"/>
              </w:rPr>
              <w:t>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7A3A6" w14:textId="77777777" w:rsidR="00DE3BE5" w:rsidRPr="00AA6B7A" w:rsidRDefault="00DE3BE5" w:rsidP="00DE3BE5">
            <w:pPr>
              <w:jc w:val="center"/>
              <w:rPr>
                <w:color w:val="000000"/>
                <w:lang w:eastAsia="en-US"/>
              </w:rPr>
            </w:pPr>
            <w:r w:rsidRPr="00AA6B7A">
              <w:rPr>
                <w:color w:val="000000"/>
              </w:rPr>
              <w:t>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E0227" w14:textId="77777777" w:rsidR="00DE3BE5" w:rsidRPr="00AA6B7A" w:rsidRDefault="00DE3BE5" w:rsidP="00DE3BE5">
            <w:pPr>
              <w:jc w:val="center"/>
              <w:rPr>
                <w:color w:val="000000"/>
                <w:lang w:eastAsia="en-US"/>
              </w:rPr>
            </w:pPr>
            <w:r w:rsidRPr="00AA6B7A">
              <w:rPr>
                <w:color w:val="000000"/>
              </w:rPr>
              <w:t>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56CC3" w14:textId="77777777" w:rsidR="00DE3BE5" w:rsidRPr="00AA6B7A" w:rsidRDefault="00DE3BE5" w:rsidP="00DE3BE5">
            <w:pPr>
              <w:jc w:val="center"/>
              <w:rPr>
                <w:color w:val="000000"/>
                <w:lang w:eastAsia="en-US"/>
              </w:rPr>
            </w:pPr>
            <w:r w:rsidRPr="00AA6B7A">
              <w:rPr>
                <w:color w:val="000000"/>
              </w:rPr>
              <w:t>0</w:t>
            </w:r>
          </w:p>
        </w:tc>
      </w:tr>
      <w:tr w:rsidR="00DE3BE5" w:rsidRPr="00AA6B7A" w14:paraId="26EB1156" w14:textId="77777777" w:rsidTr="0006448D">
        <w:trPr>
          <w:trHeight w:val="410"/>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DA1F759" w14:textId="77777777" w:rsidR="00DE3BE5" w:rsidRPr="00AA6B7A" w:rsidRDefault="00DE3BE5" w:rsidP="00DE3BE5">
            <w:pPr>
              <w:rPr>
                <w:color w:val="000000"/>
                <w:lang w:eastAsia="en-US"/>
              </w:rPr>
            </w:pPr>
            <w:r w:rsidRPr="00AA6B7A">
              <w:rPr>
                <w:color w:val="000000"/>
              </w:rPr>
              <w:t>6. Detalizēts ieņēmumu un izdevumu aprēķins (ja nepieciešams, detalizētu ieņēmumu un izdevumu aprēķinu var pievienot anotācijas pielikumā):</w:t>
            </w:r>
          </w:p>
        </w:tc>
        <w:tc>
          <w:tcPr>
            <w:tcW w:w="697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9B09AA" w14:textId="77777777" w:rsidR="00DE3BE5" w:rsidRPr="00AA6B7A" w:rsidRDefault="00DE3BE5" w:rsidP="00DE3BE5">
            <w:pPr>
              <w:spacing w:after="240"/>
              <w:jc w:val="both"/>
              <w:rPr>
                <w:color w:val="000000"/>
              </w:rPr>
            </w:pPr>
            <w:r w:rsidRPr="0047040C">
              <w:t xml:space="preserve">SAM 5.6.3. pieejamais kopējais attiecināmais finansējums ir 29 257 750 </w:t>
            </w:r>
            <w:r w:rsidRPr="00585885">
              <w:rPr>
                <w:i/>
              </w:rPr>
              <w:t>euro</w:t>
            </w:r>
            <w:r w:rsidRPr="0047040C">
              <w:t xml:space="preserve">, tai skaitā ERAF finansējums – 11 600 000 </w:t>
            </w:r>
            <w:r w:rsidRPr="00585885">
              <w:rPr>
                <w:i/>
              </w:rPr>
              <w:t>euro</w:t>
            </w:r>
            <w:r w:rsidRPr="0047040C">
              <w:t xml:space="preserve"> un valsts budžeta finansējums – līdz 17 657 750 </w:t>
            </w:r>
            <w:r w:rsidRPr="00585885">
              <w:rPr>
                <w:i/>
              </w:rPr>
              <w:t>euro</w:t>
            </w:r>
            <w:r w:rsidRPr="0047040C">
              <w:t xml:space="preserve"> (t.sk. virssaistību finansējums līdz 13 680 000 </w:t>
            </w:r>
            <w:r w:rsidRPr="00585885">
              <w:rPr>
                <w:i/>
              </w:rPr>
              <w:t>euro</w:t>
            </w:r>
            <w:r w:rsidRPr="0047040C">
              <w:t>).</w:t>
            </w:r>
            <w:r w:rsidRPr="0047040C">
              <w:rPr>
                <w:color w:val="000000"/>
              </w:rPr>
              <w:t xml:space="preserve"> Neattiecināmās izmaksas Projekta II posma īstenošanai ir 442 250 </w:t>
            </w:r>
            <w:r w:rsidRPr="00585885">
              <w:rPr>
                <w:i/>
                <w:color w:val="000000"/>
              </w:rPr>
              <w:t>euro</w:t>
            </w:r>
            <w:r w:rsidRPr="0047040C">
              <w:rPr>
                <w:color w:val="000000"/>
              </w:rPr>
              <w:t xml:space="preserve"> apmērā un tiks segtas no valsts budžeta finansējuma.</w:t>
            </w:r>
          </w:p>
          <w:p w14:paraId="4BCEB42C" w14:textId="77777777" w:rsidR="00755C5A" w:rsidRPr="00CA451D" w:rsidRDefault="00DE3BE5" w:rsidP="00433B61">
            <w:pPr>
              <w:spacing w:after="60"/>
              <w:jc w:val="both"/>
              <w:rPr>
                <w:color w:val="000000"/>
              </w:rPr>
            </w:pPr>
            <w:r w:rsidRPr="00CA451D">
              <w:rPr>
                <w:color w:val="000000"/>
              </w:rPr>
              <w:t xml:space="preserve">Budžeta ieņēmumos norādīta </w:t>
            </w:r>
            <w:r w:rsidR="00755C5A" w:rsidRPr="00CA451D">
              <w:rPr>
                <w:color w:val="000000"/>
              </w:rPr>
              <w:t xml:space="preserve">maksimālā ERAF finansējuma daļa (11 600 000 </w:t>
            </w:r>
            <w:r w:rsidR="00755C5A" w:rsidRPr="00CA451D">
              <w:rPr>
                <w:i/>
                <w:color w:val="000000"/>
              </w:rPr>
              <w:t>euro</w:t>
            </w:r>
            <w:r w:rsidR="00755C5A" w:rsidRPr="00CA451D">
              <w:rPr>
                <w:color w:val="000000"/>
              </w:rPr>
              <w:t>), savukārt budžeta izdevumos summētā veidā norādīts valsts budžeta finansējums:</w:t>
            </w:r>
          </w:p>
          <w:p w14:paraId="53E2C7BC" w14:textId="77777777" w:rsidR="002E7B4F" w:rsidRPr="00CA451D" w:rsidRDefault="00755C5A" w:rsidP="00433B61">
            <w:pPr>
              <w:pStyle w:val="ListParagraph"/>
              <w:numPr>
                <w:ilvl w:val="1"/>
                <w:numId w:val="45"/>
              </w:numPr>
              <w:spacing w:after="120"/>
              <w:ind w:left="317" w:hanging="283"/>
              <w:contextualSpacing w:val="0"/>
              <w:jc w:val="both"/>
              <w:rPr>
                <w:rFonts w:eastAsia="Calibri"/>
                <w:bCs/>
                <w:color w:val="000000"/>
                <w:sz w:val="24"/>
                <w:szCs w:val="24"/>
              </w:rPr>
            </w:pPr>
            <w:r w:rsidRPr="00CA451D">
              <w:rPr>
                <w:rFonts w:eastAsia="Calibri"/>
                <w:bCs/>
                <w:color w:val="000000"/>
                <w:sz w:val="24"/>
                <w:szCs w:val="24"/>
              </w:rPr>
              <w:t xml:space="preserve">līdzfinansējuma segšanai (3 977 750 </w:t>
            </w:r>
            <w:r w:rsidRPr="00CA451D">
              <w:rPr>
                <w:rFonts w:eastAsia="Calibri"/>
                <w:bCs/>
                <w:i/>
                <w:color w:val="000000"/>
                <w:sz w:val="24"/>
                <w:szCs w:val="24"/>
              </w:rPr>
              <w:t>euro</w:t>
            </w:r>
            <w:r w:rsidRPr="00CA451D">
              <w:rPr>
                <w:rFonts w:eastAsia="Calibri"/>
                <w:bCs/>
                <w:color w:val="000000"/>
                <w:sz w:val="24"/>
                <w:szCs w:val="24"/>
              </w:rPr>
              <w:t>);</w:t>
            </w:r>
          </w:p>
          <w:p w14:paraId="3E1569A3" w14:textId="77777777" w:rsidR="00755C5A" w:rsidRPr="00CA451D" w:rsidRDefault="00755C5A" w:rsidP="00433B61">
            <w:pPr>
              <w:pStyle w:val="ListParagraph"/>
              <w:numPr>
                <w:ilvl w:val="1"/>
                <w:numId w:val="45"/>
              </w:numPr>
              <w:spacing w:after="120"/>
              <w:ind w:left="317" w:hanging="283"/>
              <w:contextualSpacing w:val="0"/>
              <w:jc w:val="both"/>
              <w:rPr>
                <w:rFonts w:eastAsia="Calibri"/>
                <w:bCs/>
                <w:color w:val="000000"/>
                <w:sz w:val="24"/>
                <w:szCs w:val="24"/>
              </w:rPr>
            </w:pPr>
            <w:r w:rsidRPr="00CA451D">
              <w:rPr>
                <w:rFonts w:eastAsia="Calibri"/>
                <w:bCs/>
                <w:color w:val="000000"/>
                <w:sz w:val="24"/>
                <w:szCs w:val="24"/>
              </w:rPr>
              <w:t xml:space="preserve">neattiecināmo izmaksu segšanai (442 250 </w:t>
            </w:r>
            <w:r w:rsidRPr="00CA451D">
              <w:rPr>
                <w:rFonts w:eastAsia="Calibri"/>
                <w:bCs/>
                <w:i/>
                <w:color w:val="000000"/>
                <w:sz w:val="24"/>
                <w:szCs w:val="24"/>
              </w:rPr>
              <w:t>euro</w:t>
            </w:r>
            <w:r w:rsidRPr="00CA451D">
              <w:rPr>
                <w:rFonts w:eastAsia="Calibri"/>
                <w:bCs/>
                <w:color w:val="000000"/>
                <w:sz w:val="24"/>
                <w:szCs w:val="24"/>
              </w:rPr>
              <w:t>);</w:t>
            </w:r>
          </w:p>
          <w:p w14:paraId="56827319" w14:textId="77777777" w:rsidR="00755C5A" w:rsidRPr="00CA451D" w:rsidRDefault="00755C5A" w:rsidP="00433B61">
            <w:pPr>
              <w:pStyle w:val="ListParagraph"/>
              <w:numPr>
                <w:ilvl w:val="1"/>
                <w:numId w:val="45"/>
              </w:numPr>
              <w:spacing w:after="120"/>
              <w:ind w:left="317" w:hanging="283"/>
              <w:contextualSpacing w:val="0"/>
              <w:jc w:val="both"/>
              <w:rPr>
                <w:rFonts w:eastAsia="Calibri"/>
                <w:bCs/>
                <w:color w:val="000000"/>
                <w:sz w:val="24"/>
                <w:szCs w:val="24"/>
              </w:rPr>
            </w:pPr>
            <w:r w:rsidRPr="00CA451D">
              <w:rPr>
                <w:rFonts w:eastAsia="Calibri"/>
                <w:bCs/>
                <w:color w:val="000000"/>
                <w:sz w:val="24"/>
                <w:szCs w:val="24"/>
              </w:rPr>
              <w:t xml:space="preserve">virssaistību finansējuma (13 680 000 </w:t>
            </w:r>
            <w:r w:rsidRPr="00CA451D">
              <w:rPr>
                <w:rFonts w:eastAsia="Calibri"/>
                <w:bCs/>
                <w:i/>
                <w:color w:val="000000"/>
                <w:sz w:val="24"/>
                <w:szCs w:val="24"/>
              </w:rPr>
              <w:t>euro</w:t>
            </w:r>
            <w:r w:rsidRPr="00CA451D">
              <w:rPr>
                <w:rFonts w:eastAsia="Calibri"/>
                <w:bCs/>
                <w:color w:val="000000"/>
                <w:sz w:val="24"/>
                <w:szCs w:val="24"/>
              </w:rPr>
              <w:t>) nodrošināšanai, kas aprēķinu pieņēmumos netiek izdalīts kā virssaistību finansējums, kas pārsniedz ERAF finansējumu un  virssaistību finansējums, kas pārsniedz valsts budžeta finansējumu, jo saskaņā ar Eiropas Savienības struktūrfondu un Kohēzijas fonda 2014.-2020.gada plānošanas perioda vadības likumu virssaistības ir saistības veikt maksājumus no valsts budžeta.</w:t>
            </w:r>
            <w:r w:rsidR="0060039B" w:rsidRPr="00CA451D">
              <w:rPr>
                <w:rFonts w:eastAsia="Calibri"/>
                <w:bCs/>
                <w:color w:val="000000"/>
                <w:sz w:val="24"/>
                <w:szCs w:val="24"/>
              </w:rPr>
              <w:t xml:space="preserve"> Tikai plānošanas perioda noslēgumā virssaistību finansējums tiks deklarēts EK, kad tādējādi virssaistību finansējums </w:t>
            </w:r>
            <w:r w:rsidR="00433B61" w:rsidRPr="00CA451D">
              <w:rPr>
                <w:rFonts w:eastAsia="Calibri"/>
                <w:bCs/>
                <w:color w:val="000000"/>
                <w:sz w:val="24"/>
                <w:szCs w:val="24"/>
              </w:rPr>
              <w:t xml:space="preserve">var </w:t>
            </w:r>
            <w:r w:rsidR="0060039B" w:rsidRPr="00CA451D">
              <w:rPr>
                <w:rFonts w:eastAsia="Calibri"/>
                <w:bCs/>
                <w:color w:val="000000"/>
                <w:sz w:val="24"/>
                <w:szCs w:val="24"/>
              </w:rPr>
              <w:t>tiks atgūts kā ERAF finansējums.</w:t>
            </w:r>
          </w:p>
          <w:p w14:paraId="65865A99" w14:textId="77777777" w:rsidR="00DE3BE5" w:rsidRDefault="00DE3BE5" w:rsidP="00DE3BE5">
            <w:pPr>
              <w:spacing w:after="120"/>
              <w:jc w:val="both"/>
              <w:rPr>
                <w:iCs/>
                <w:color w:val="000000"/>
              </w:rPr>
            </w:pPr>
            <w:r w:rsidRPr="00AA6B7A">
              <w:rPr>
                <w:rFonts w:eastAsia="PMingLiU"/>
                <w:color w:val="000000"/>
              </w:rPr>
              <w:t xml:space="preserve">Projekta II posma izmaksas </w:t>
            </w:r>
            <w:r>
              <w:rPr>
                <w:rFonts w:eastAsia="PMingLiU"/>
                <w:color w:val="000000"/>
              </w:rPr>
              <w:t>veiktas</w:t>
            </w:r>
            <w:r w:rsidRPr="00AA6B7A">
              <w:rPr>
                <w:rFonts w:eastAsia="PMingLiU"/>
                <w:color w:val="000000"/>
              </w:rPr>
              <w:t xml:space="preserve"> jau no 2016.gada 1.janvāra, kas iekļautas </w:t>
            </w:r>
            <w:r w:rsidRPr="00AA6B7A">
              <w:rPr>
                <w:iCs/>
                <w:color w:val="000000"/>
              </w:rPr>
              <w:t xml:space="preserve">VARAM budžeta apakšprogrammā 62.06.00 “Eiropas Reģionālās attīstības fonda (ERAF) projekti (2007-2013)” un kuras atbilstoši MK noteikumu projektā minētajam plānots </w:t>
            </w:r>
            <w:r w:rsidRPr="00AA6B7A">
              <w:rPr>
                <w:color w:val="000000"/>
              </w:rPr>
              <w:t>iekļaut Projekta II posma izmaksās</w:t>
            </w:r>
            <w:r w:rsidRPr="00AA6B7A">
              <w:rPr>
                <w:iCs/>
                <w:color w:val="000000"/>
              </w:rPr>
              <w:t>; 2017. un turpmākajos gados VARAM budžeta projektā plānotos izdevumus Projekta turpināšanai plānots pārgrāmatot uz Projekta II posmu pēc Projekta II posma apstiprināšanas (attiecīgi šīs izmaksas pārceļot uz Projekta II posma īstenošanai paredzēto VARAM budžeta apakšprogrammu 62.07.00 “Eiropas Reģionālās attīstības fonda (ERAF) projekti (2014-2020)”).</w:t>
            </w:r>
          </w:p>
          <w:p w14:paraId="6E4E9B96" w14:textId="69C673B9" w:rsidR="004121E3" w:rsidRPr="00DB2BCB" w:rsidRDefault="004121E3" w:rsidP="004121E3">
            <w:pPr>
              <w:spacing w:after="120"/>
              <w:jc w:val="both"/>
            </w:pPr>
            <w:r w:rsidRPr="00DB2BCB">
              <w:t xml:space="preserve">Saskaņā ar Finanšu ministrijas 2017.gada 27.februāra rīkojumu Nr.83 </w:t>
            </w:r>
            <w:r w:rsidRPr="00DB2BCB">
              <w:rPr>
                <w:iCs/>
                <w:color w:val="000000"/>
              </w:rPr>
              <w:t xml:space="preserve">2017.gadā palielināti izdevumi 119 248 </w:t>
            </w:r>
            <w:r w:rsidRPr="00DB2BCB">
              <w:rPr>
                <w:i/>
                <w:iCs/>
                <w:color w:val="000000"/>
              </w:rPr>
              <w:t>euro</w:t>
            </w:r>
            <w:r w:rsidRPr="00DB2BCB">
              <w:rPr>
                <w:iCs/>
                <w:color w:val="000000"/>
              </w:rPr>
              <w:t xml:space="preserve"> apmērā</w:t>
            </w:r>
            <w:r w:rsidRPr="00DB2BCB">
              <w:rPr>
                <w:color w:val="000000"/>
              </w:rPr>
              <w:t xml:space="preserve"> </w:t>
            </w:r>
            <w:r w:rsidRPr="00DB2BCB">
              <w:t xml:space="preserve">VARAM budžeta apakšprogrammā 62.06.00 “Eiropas Reģionālās attīstības fonda (ERAF) projekti (2007-2013)” 3.4.1.4.aktivitātes “Vēsturiski piesārņoto vietu sanācija” ietvaros projekta “Vēsturiski piesārņoto vietu “Inčukalna sērskābie gudrona dīķi” sanācijas darbi”. Līdz ar to kopējais īstenošanas izmaksu apmērs 2017.gadam ir 418 224 </w:t>
            </w:r>
            <w:r w:rsidRPr="00DB2BCB">
              <w:rPr>
                <w:i/>
              </w:rPr>
              <w:t>euro</w:t>
            </w:r>
            <w:r w:rsidRPr="00DB2BCB">
              <w:t>.</w:t>
            </w:r>
          </w:p>
          <w:p w14:paraId="58B3BAEF" w14:textId="77777777" w:rsidR="00DE3BE5" w:rsidRPr="00AA6B7A" w:rsidRDefault="00DE3BE5" w:rsidP="00DE3BE5">
            <w:pPr>
              <w:spacing w:after="120"/>
              <w:jc w:val="both"/>
              <w:rPr>
                <w:iCs/>
                <w:color w:val="000000"/>
              </w:rPr>
            </w:pPr>
            <w:r w:rsidRPr="00AA6B7A">
              <w:rPr>
                <w:iCs/>
                <w:color w:val="000000"/>
              </w:rPr>
              <w:t xml:space="preserve">2016.gadā attiecināmās izmaksas bija 513 975 </w:t>
            </w:r>
            <w:r w:rsidRPr="00AA6B7A">
              <w:rPr>
                <w:i/>
                <w:iCs/>
                <w:color w:val="000000"/>
              </w:rPr>
              <w:t>euro</w:t>
            </w:r>
            <w:r w:rsidRPr="00AA6B7A">
              <w:rPr>
                <w:iCs/>
                <w:color w:val="000000"/>
              </w:rPr>
              <w:t xml:space="preserve"> apmērā (ERAF – 203 779 </w:t>
            </w:r>
            <w:r w:rsidRPr="00AA6B7A">
              <w:rPr>
                <w:i/>
                <w:iCs/>
                <w:color w:val="000000"/>
              </w:rPr>
              <w:t>euro</w:t>
            </w:r>
            <w:r w:rsidRPr="00AA6B7A">
              <w:rPr>
                <w:iCs/>
                <w:color w:val="000000"/>
              </w:rPr>
              <w:t xml:space="preserve">, </w:t>
            </w:r>
            <w:r w:rsidR="0060039B" w:rsidRPr="00CA451D">
              <w:rPr>
                <w:iCs/>
                <w:color w:val="000000"/>
              </w:rPr>
              <w:t>valsts budžeta un virssaistību finansējums</w:t>
            </w:r>
            <w:r w:rsidRPr="00AA6B7A">
              <w:rPr>
                <w:iCs/>
                <w:color w:val="000000"/>
              </w:rPr>
              <w:t xml:space="preserve"> 310 196 </w:t>
            </w:r>
            <w:r w:rsidRPr="00AA6B7A">
              <w:rPr>
                <w:i/>
                <w:iCs/>
                <w:color w:val="000000"/>
              </w:rPr>
              <w:t>euro</w:t>
            </w:r>
            <w:r w:rsidRPr="00AA6B7A">
              <w:rPr>
                <w:iCs/>
                <w:color w:val="000000"/>
              </w:rPr>
              <w:t xml:space="preserve">) un neattiecināmās izmaksas 90 479 </w:t>
            </w:r>
            <w:r w:rsidRPr="00AA6B7A">
              <w:rPr>
                <w:i/>
                <w:iCs/>
                <w:color w:val="000000"/>
              </w:rPr>
              <w:t>euro</w:t>
            </w:r>
            <w:r w:rsidRPr="00AA6B7A">
              <w:rPr>
                <w:iCs/>
                <w:color w:val="000000"/>
              </w:rPr>
              <w:t xml:space="preserve">. </w:t>
            </w:r>
          </w:p>
          <w:p w14:paraId="02173CF8" w14:textId="77777777" w:rsidR="00DE3BE5" w:rsidRPr="00AA6B7A" w:rsidRDefault="00DE3BE5" w:rsidP="00DE3BE5">
            <w:pPr>
              <w:spacing w:after="120"/>
              <w:jc w:val="both"/>
              <w:rPr>
                <w:iCs/>
                <w:color w:val="000000"/>
              </w:rPr>
            </w:pPr>
            <w:r w:rsidRPr="00AA6B7A">
              <w:rPr>
                <w:iCs/>
                <w:color w:val="000000"/>
              </w:rPr>
              <w:t>2017.gadā plānotas attiecināmās izmaksas 8</w:t>
            </w:r>
            <w:r>
              <w:rPr>
                <w:iCs/>
                <w:color w:val="000000"/>
              </w:rPr>
              <w:t> 411 825</w:t>
            </w:r>
            <w:r w:rsidRPr="00AA6B7A">
              <w:rPr>
                <w:iCs/>
                <w:color w:val="000000"/>
              </w:rPr>
              <w:t xml:space="preserve"> </w:t>
            </w:r>
            <w:r w:rsidRPr="00AA6B7A">
              <w:rPr>
                <w:i/>
                <w:iCs/>
                <w:color w:val="000000"/>
              </w:rPr>
              <w:t>euro</w:t>
            </w:r>
            <w:r w:rsidRPr="00AA6B7A">
              <w:rPr>
                <w:iCs/>
                <w:color w:val="000000"/>
              </w:rPr>
              <w:t xml:space="preserve"> apmērā (ERAF – </w:t>
            </w:r>
            <w:r>
              <w:rPr>
                <w:iCs/>
                <w:color w:val="000000"/>
              </w:rPr>
              <w:t>3 335 088</w:t>
            </w:r>
            <w:r w:rsidRPr="00AA6B7A">
              <w:rPr>
                <w:iCs/>
                <w:color w:val="000000"/>
              </w:rPr>
              <w:t xml:space="preserve"> </w:t>
            </w:r>
            <w:r w:rsidRPr="00AA6B7A">
              <w:rPr>
                <w:i/>
                <w:iCs/>
                <w:color w:val="000000"/>
              </w:rPr>
              <w:t>euro</w:t>
            </w:r>
            <w:r w:rsidRPr="00AA6B7A">
              <w:rPr>
                <w:iCs/>
                <w:color w:val="000000"/>
              </w:rPr>
              <w:t xml:space="preserve">, </w:t>
            </w:r>
            <w:r w:rsidR="0060039B" w:rsidRPr="00CA451D">
              <w:rPr>
                <w:iCs/>
                <w:color w:val="000000"/>
              </w:rPr>
              <w:t>valsts budžeta un virssaistību finansējums</w:t>
            </w:r>
            <w:r w:rsidRPr="00AA6B7A">
              <w:rPr>
                <w:iCs/>
                <w:color w:val="000000"/>
              </w:rPr>
              <w:t xml:space="preserve"> </w:t>
            </w:r>
            <w:r>
              <w:rPr>
                <w:iCs/>
                <w:color w:val="000000"/>
              </w:rPr>
              <w:t>5 076 737</w:t>
            </w:r>
            <w:r w:rsidRPr="00AA6B7A">
              <w:rPr>
                <w:iCs/>
                <w:color w:val="000000"/>
              </w:rPr>
              <w:t xml:space="preserve"> </w:t>
            </w:r>
            <w:r w:rsidRPr="00AA6B7A">
              <w:rPr>
                <w:i/>
                <w:iCs/>
                <w:color w:val="000000"/>
              </w:rPr>
              <w:t>euro</w:t>
            </w:r>
            <w:r w:rsidRPr="00AA6B7A">
              <w:rPr>
                <w:iCs/>
                <w:color w:val="000000"/>
              </w:rPr>
              <w:t xml:space="preserve">) un neattiecināmās izmaksas </w:t>
            </w:r>
            <w:r>
              <w:rPr>
                <w:iCs/>
                <w:color w:val="000000"/>
              </w:rPr>
              <w:t>203 667</w:t>
            </w:r>
            <w:r w:rsidRPr="00AA6B7A">
              <w:rPr>
                <w:iCs/>
                <w:color w:val="000000"/>
              </w:rPr>
              <w:t xml:space="preserve"> </w:t>
            </w:r>
            <w:r w:rsidRPr="00AA6B7A">
              <w:rPr>
                <w:i/>
                <w:iCs/>
                <w:color w:val="000000"/>
              </w:rPr>
              <w:t>euro</w:t>
            </w:r>
            <w:r w:rsidRPr="00AA6B7A">
              <w:rPr>
                <w:iCs/>
                <w:color w:val="000000"/>
              </w:rPr>
              <w:t>.</w:t>
            </w:r>
          </w:p>
          <w:p w14:paraId="508A96E9" w14:textId="77777777" w:rsidR="00DE3BE5" w:rsidRPr="00AA6B7A" w:rsidRDefault="00DE3BE5" w:rsidP="00DE3BE5">
            <w:pPr>
              <w:spacing w:after="120"/>
              <w:jc w:val="both"/>
              <w:rPr>
                <w:iCs/>
                <w:color w:val="000000"/>
              </w:rPr>
            </w:pPr>
            <w:r w:rsidRPr="00AA6B7A">
              <w:rPr>
                <w:iCs/>
                <w:color w:val="000000"/>
              </w:rPr>
              <w:lastRenderedPageBreak/>
              <w:t xml:space="preserve">2018.gadā plānotas attiecināmās izmaksas </w:t>
            </w:r>
            <w:r w:rsidR="00732B15">
              <w:rPr>
                <w:iCs/>
                <w:color w:val="000000"/>
              </w:rPr>
              <w:t xml:space="preserve">7 513 </w:t>
            </w:r>
            <w:r>
              <w:rPr>
                <w:iCs/>
                <w:color w:val="000000"/>
              </w:rPr>
              <w:t>37</w:t>
            </w:r>
            <w:r w:rsidR="00732B15">
              <w:rPr>
                <w:iCs/>
                <w:color w:val="000000"/>
              </w:rPr>
              <w:t>3</w:t>
            </w:r>
            <w:r w:rsidRPr="00AA6B7A">
              <w:rPr>
                <w:iCs/>
                <w:color w:val="000000"/>
              </w:rPr>
              <w:t xml:space="preserve"> </w:t>
            </w:r>
            <w:r w:rsidRPr="00AA6B7A">
              <w:rPr>
                <w:i/>
                <w:iCs/>
                <w:color w:val="000000"/>
              </w:rPr>
              <w:t>euro</w:t>
            </w:r>
            <w:r w:rsidRPr="00AA6B7A">
              <w:rPr>
                <w:iCs/>
                <w:color w:val="000000"/>
              </w:rPr>
              <w:t xml:space="preserve"> apmērā (ERAF – 2 978 </w:t>
            </w:r>
            <w:r>
              <w:rPr>
                <w:iCs/>
                <w:color w:val="000000"/>
              </w:rPr>
              <w:t>873</w:t>
            </w:r>
            <w:r w:rsidRPr="00AA6B7A">
              <w:rPr>
                <w:iCs/>
                <w:color w:val="000000"/>
              </w:rPr>
              <w:t xml:space="preserve"> </w:t>
            </w:r>
            <w:r w:rsidRPr="00AA6B7A">
              <w:rPr>
                <w:i/>
                <w:iCs/>
                <w:color w:val="000000"/>
              </w:rPr>
              <w:t>euro</w:t>
            </w:r>
            <w:r w:rsidRPr="00AA6B7A">
              <w:rPr>
                <w:iCs/>
                <w:color w:val="000000"/>
              </w:rPr>
              <w:t xml:space="preserve">, </w:t>
            </w:r>
            <w:r w:rsidR="0060039B" w:rsidRPr="00CA451D">
              <w:rPr>
                <w:iCs/>
                <w:color w:val="000000"/>
              </w:rPr>
              <w:t>valsts budžeta un virssaistību finansējums</w:t>
            </w:r>
            <w:r w:rsidRPr="00AA6B7A">
              <w:rPr>
                <w:iCs/>
                <w:color w:val="000000"/>
              </w:rPr>
              <w:t xml:space="preserve"> 4 534 </w:t>
            </w:r>
            <w:r>
              <w:rPr>
                <w:iCs/>
                <w:color w:val="000000"/>
              </w:rPr>
              <w:t>500</w:t>
            </w:r>
            <w:r w:rsidRPr="00AA6B7A">
              <w:rPr>
                <w:iCs/>
                <w:color w:val="000000"/>
              </w:rPr>
              <w:t xml:space="preserve"> </w:t>
            </w:r>
            <w:r w:rsidRPr="00AA6B7A">
              <w:rPr>
                <w:i/>
                <w:iCs/>
                <w:color w:val="000000"/>
              </w:rPr>
              <w:t>euro</w:t>
            </w:r>
            <w:r w:rsidRPr="00AA6B7A">
              <w:rPr>
                <w:iCs/>
                <w:color w:val="000000"/>
              </w:rPr>
              <w:t xml:space="preserve">) un neattiecināmās izmaksas 41 818 </w:t>
            </w:r>
            <w:r w:rsidRPr="00AA6B7A">
              <w:rPr>
                <w:i/>
                <w:iCs/>
                <w:color w:val="000000"/>
              </w:rPr>
              <w:t>euro</w:t>
            </w:r>
            <w:r w:rsidRPr="00AA6B7A">
              <w:rPr>
                <w:iCs/>
                <w:color w:val="000000"/>
              </w:rPr>
              <w:t>.</w:t>
            </w:r>
          </w:p>
          <w:p w14:paraId="6FCC57EA" w14:textId="70FB5B0C" w:rsidR="00DE3BE5" w:rsidRPr="00AA6B7A" w:rsidRDefault="00DE3BE5" w:rsidP="00DE3BE5">
            <w:pPr>
              <w:spacing w:after="120"/>
              <w:jc w:val="both"/>
              <w:rPr>
                <w:iCs/>
                <w:color w:val="000000"/>
              </w:rPr>
            </w:pPr>
            <w:r w:rsidRPr="00AA6B7A">
              <w:rPr>
                <w:iCs/>
                <w:color w:val="000000"/>
              </w:rPr>
              <w:t xml:space="preserve">2019.gadā plānotas attiecināmās izmaksas </w:t>
            </w:r>
            <w:r>
              <w:rPr>
                <w:iCs/>
                <w:color w:val="000000"/>
              </w:rPr>
              <w:t>6 981 333</w:t>
            </w:r>
            <w:r w:rsidRPr="00AA6B7A">
              <w:rPr>
                <w:iCs/>
                <w:color w:val="000000"/>
              </w:rPr>
              <w:t xml:space="preserve"> </w:t>
            </w:r>
            <w:r w:rsidRPr="00AA6B7A">
              <w:rPr>
                <w:i/>
                <w:iCs/>
                <w:color w:val="000000"/>
              </w:rPr>
              <w:t>euro</w:t>
            </w:r>
            <w:r w:rsidRPr="00AA6B7A">
              <w:rPr>
                <w:iCs/>
                <w:color w:val="000000"/>
              </w:rPr>
              <w:t xml:space="preserve"> apmērā (ERAF – </w:t>
            </w:r>
            <w:r>
              <w:rPr>
                <w:iCs/>
                <w:color w:val="000000"/>
              </w:rPr>
              <w:t>2 767</w:t>
            </w:r>
            <w:r w:rsidRPr="00AA6B7A">
              <w:rPr>
                <w:iCs/>
                <w:color w:val="000000"/>
              </w:rPr>
              <w:t xml:space="preserve"> </w:t>
            </w:r>
            <w:r>
              <w:rPr>
                <w:iCs/>
                <w:color w:val="000000"/>
              </w:rPr>
              <w:t>932</w:t>
            </w:r>
            <w:r w:rsidRPr="00AA6B7A">
              <w:rPr>
                <w:iCs/>
                <w:color w:val="000000"/>
              </w:rPr>
              <w:t xml:space="preserve"> </w:t>
            </w:r>
            <w:r w:rsidRPr="00AA6B7A">
              <w:rPr>
                <w:i/>
                <w:iCs/>
                <w:color w:val="000000"/>
              </w:rPr>
              <w:t>euro</w:t>
            </w:r>
            <w:r w:rsidRPr="00AA6B7A">
              <w:rPr>
                <w:iCs/>
                <w:color w:val="000000"/>
              </w:rPr>
              <w:t xml:space="preserve">, </w:t>
            </w:r>
            <w:r w:rsidR="0060039B" w:rsidRPr="00CA451D">
              <w:rPr>
                <w:iCs/>
                <w:color w:val="000000"/>
              </w:rPr>
              <w:t>valsts budžeta un virssaistību finansējums</w:t>
            </w:r>
            <w:r w:rsidRPr="00AA6B7A">
              <w:rPr>
                <w:iCs/>
                <w:color w:val="000000"/>
              </w:rPr>
              <w:t xml:space="preserve"> </w:t>
            </w:r>
            <w:r>
              <w:rPr>
                <w:iCs/>
                <w:color w:val="000000"/>
              </w:rPr>
              <w:t>4 213 401</w:t>
            </w:r>
            <w:r w:rsidRPr="00AA6B7A">
              <w:rPr>
                <w:iCs/>
                <w:color w:val="000000"/>
              </w:rPr>
              <w:t xml:space="preserve"> </w:t>
            </w:r>
            <w:r w:rsidRPr="00AA6B7A">
              <w:rPr>
                <w:i/>
                <w:iCs/>
                <w:color w:val="000000"/>
              </w:rPr>
              <w:t>euro</w:t>
            </w:r>
            <w:r w:rsidRPr="00AA6B7A">
              <w:rPr>
                <w:iCs/>
                <w:color w:val="000000"/>
              </w:rPr>
              <w:t>) u</w:t>
            </w:r>
            <w:r w:rsidR="00EF3322">
              <w:rPr>
                <w:iCs/>
                <w:color w:val="000000"/>
              </w:rPr>
              <w:t>n neattiecināmās izmaksas 41 817</w:t>
            </w:r>
            <w:r w:rsidRPr="00AA6B7A">
              <w:rPr>
                <w:iCs/>
                <w:color w:val="000000"/>
              </w:rPr>
              <w:t xml:space="preserve"> </w:t>
            </w:r>
            <w:r w:rsidRPr="00AA6B7A">
              <w:rPr>
                <w:i/>
                <w:iCs/>
                <w:color w:val="000000"/>
              </w:rPr>
              <w:t>euro</w:t>
            </w:r>
            <w:r w:rsidRPr="00AA6B7A">
              <w:rPr>
                <w:iCs/>
                <w:color w:val="000000"/>
              </w:rPr>
              <w:t>.</w:t>
            </w:r>
          </w:p>
          <w:p w14:paraId="0D5592BD" w14:textId="03B94EEC" w:rsidR="00DE3BE5" w:rsidRPr="00AA6B7A" w:rsidRDefault="00DE3BE5" w:rsidP="00EF3322">
            <w:pPr>
              <w:spacing w:after="120"/>
              <w:jc w:val="both"/>
              <w:rPr>
                <w:iCs/>
                <w:color w:val="000000"/>
              </w:rPr>
            </w:pPr>
            <w:r w:rsidRPr="00AA6B7A">
              <w:rPr>
                <w:iCs/>
                <w:color w:val="000000"/>
              </w:rPr>
              <w:t>2020.gadā plānotas attiecināmās izmaksas 5</w:t>
            </w:r>
            <w:r>
              <w:rPr>
                <w:iCs/>
                <w:color w:val="000000"/>
              </w:rPr>
              <w:t> 837 24</w:t>
            </w:r>
            <w:r w:rsidR="00EF3322">
              <w:rPr>
                <w:iCs/>
                <w:color w:val="000000"/>
              </w:rPr>
              <w:t>4</w:t>
            </w:r>
            <w:r w:rsidRPr="00AA6B7A">
              <w:rPr>
                <w:iCs/>
                <w:color w:val="000000"/>
              </w:rPr>
              <w:t xml:space="preserve"> </w:t>
            </w:r>
            <w:r w:rsidRPr="00AA6B7A">
              <w:rPr>
                <w:i/>
                <w:iCs/>
                <w:color w:val="000000"/>
              </w:rPr>
              <w:t>euro</w:t>
            </w:r>
            <w:r w:rsidRPr="00AA6B7A">
              <w:rPr>
                <w:iCs/>
                <w:color w:val="000000"/>
              </w:rPr>
              <w:t xml:space="preserve"> apmērā (ERAF – </w:t>
            </w:r>
            <w:r>
              <w:rPr>
                <w:iCs/>
                <w:color w:val="000000"/>
              </w:rPr>
              <w:t>2 314</w:t>
            </w:r>
            <w:r w:rsidRPr="00AA6B7A">
              <w:rPr>
                <w:iCs/>
                <w:color w:val="000000"/>
              </w:rPr>
              <w:t xml:space="preserve"> </w:t>
            </w:r>
            <w:r>
              <w:rPr>
                <w:iCs/>
                <w:color w:val="000000"/>
              </w:rPr>
              <w:t>328</w:t>
            </w:r>
            <w:r w:rsidRPr="00AA6B7A">
              <w:rPr>
                <w:iCs/>
                <w:color w:val="000000"/>
              </w:rPr>
              <w:t xml:space="preserve"> </w:t>
            </w:r>
            <w:r w:rsidRPr="00AA6B7A">
              <w:rPr>
                <w:i/>
                <w:iCs/>
                <w:color w:val="000000"/>
              </w:rPr>
              <w:t>euro</w:t>
            </w:r>
            <w:r w:rsidRPr="00AA6B7A">
              <w:rPr>
                <w:iCs/>
                <w:color w:val="000000"/>
              </w:rPr>
              <w:t xml:space="preserve">, </w:t>
            </w:r>
            <w:r w:rsidR="0060039B" w:rsidRPr="00CA451D">
              <w:rPr>
                <w:iCs/>
                <w:color w:val="000000"/>
              </w:rPr>
              <w:t>valsts budžeta un virssaistību finansējums</w:t>
            </w:r>
            <w:r w:rsidRPr="00AA6B7A">
              <w:rPr>
                <w:iCs/>
                <w:color w:val="000000"/>
              </w:rPr>
              <w:t xml:space="preserve"> 3 </w:t>
            </w:r>
            <w:r>
              <w:rPr>
                <w:iCs/>
                <w:color w:val="000000"/>
              </w:rPr>
              <w:t>522</w:t>
            </w:r>
            <w:r w:rsidRPr="00AA6B7A">
              <w:rPr>
                <w:iCs/>
                <w:color w:val="000000"/>
              </w:rPr>
              <w:t xml:space="preserve"> </w:t>
            </w:r>
            <w:r>
              <w:rPr>
                <w:iCs/>
                <w:color w:val="000000"/>
              </w:rPr>
              <w:t>916</w:t>
            </w:r>
            <w:r w:rsidRPr="00AA6B7A">
              <w:rPr>
                <w:iCs/>
                <w:color w:val="000000"/>
              </w:rPr>
              <w:t xml:space="preserve"> </w:t>
            </w:r>
            <w:r w:rsidRPr="00AA6B7A">
              <w:rPr>
                <w:i/>
                <w:iCs/>
                <w:color w:val="000000"/>
              </w:rPr>
              <w:t>euro</w:t>
            </w:r>
            <w:r w:rsidRPr="00AA6B7A">
              <w:rPr>
                <w:iCs/>
                <w:color w:val="000000"/>
              </w:rPr>
              <w:t>) u</w:t>
            </w:r>
            <w:r w:rsidR="00EF3322">
              <w:rPr>
                <w:iCs/>
                <w:color w:val="000000"/>
              </w:rPr>
              <w:t>n neattiecināmās izmaksas 64 469</w:t>
            </w:r>
            <w:r w:rsidRPr="00AA6B7A">
              <w:rPr>
                <w:iCs/>
                <w:color w:val="000000"/>
              </w:rPr>
              <w:t xml:space="preserve"> </w:t>
            </w:r>
            <w:r w:rsidRPr="00AA6B7A">
              <w:rPr>
                <w:i/>
                <w:iCs/>
                <w:color w:val="000000"/>
              </w:rPr>
              <w:t>euro</w:t>
            </w:r>
            <w:r w:rsidRPr="00AA6B7A">
              <w:rPr>
                <w:iCs/>
                <w:color w:val="000000"/>
              </w:rPr>
              <w:t>.</w:t>
            </w:r>
          </w:p>
        </w:tc>
      </w:tr>
      <w:tr w:rsidR="00DE3BE5" w:rsidRPr="00AA6B7A" w14:paraId="62FDE787" w14:textId="77777777" w:rsidTr="0006448D">
        <w:trPr>
          <w:trHeight w:val="516"/>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2304DE52" w14:textId="77777777" w:rsidR="00DE3BE5" w:rsidRPr="00AA6B7A" w:rsidRDefault="00DE3BE5" w:rsidP="00DE3BE5">
            <w:pPr>
              <w:rPr>
                <w:color w:val="000000"/>
                <w:lang w:eastAsia="en-US"/>
              </w:rPr>
            </w:pPr>
            <w:r w:rsidRPr="00AA6B7A">
              <w:rPr>
                <w:color w:val="000000"/>
              </w:rPr>
              <w:t>6.1. detalizēts ieņēmumu aprēķins</w:t>
            </w:r>
          </w:p>
        </w:tc>
        <w:tc>
          <w:tcPr>
            <w:tcW w:w="6978"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D1AD9C" w14:textId="77777777" w:rsidR="00DE3BE5" w:rsidRPr="00AA6B7A" w:rsidRDefault="00DE3BE5" w:rsidP="00DE3BE5">
            <w:pPr>
              <w:rPr>
                <w:color w:val="000000"/>
                <w:highlight w:val="yellow"/>
                <w:lang w:eastAsia="en-US"/>
              </w:rPr>
            </w:pPr>
          </w:p>
        </w:tc>
      </w:tr>
      <w:tr w:rsidR="00DE3BE5" w:rsidRPr="00AA6B7A" w14:paraId="6D5F0E22" w14:textId="77777777" w:rsidTr="0006448D">
        <w:trPr>
          <w:trHeight w:val="862"/>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41A8062D" w14:textId="77777777" w:rsidR="00DE3BE5" w:rsidRPr="00AA6B7A" w:rsidRDefault="00DE3BE5" w:rsidP="00DE3BE5">
            <w:pPr>
              <w:rPr>
                <w:color w:val="000000"/>
                <w:lang w:eastAsia="en-US"/>
              </w:rPr>
            </w:pPr>
            <w:r w:rsidRPr="00AA6B7A">
              <w:rPr>
                <w:color w:val="000000"/>
              </w:rPr>
              <w:t>6.2. detalizēts izdevumu aprēķins</w:t>
            </w:r>
          </w:p>
        </w:tc>
        <w:tc>
          <w:tcPr>
            <w:tcW w:w="6978"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01C7E8" w14:textId="77777777" w:rsidR="00DE3BE5" w:rsidRPr="00AA6B7A" w:rsidRDefault="00DE3BE5" w:rsidP="00DE3BE5">
            <w:pPr>
              <w:rPr>
                <w:color w:val="000000"/>
                <w:highlight w:val="yellow"/>
                <w:lang w:eastAsia="en-US"/>
              </w:rPr>
            </w:pPr>
          </w:p>
        </w:tc>
      </w:tr>
      <w:tr w:rsidR="00DE3BE5" w:rsidRPr="00AA6B7A" w14:paraId="14F7C573" w14:textId="77777777" w:rsidTr="0006448D">
        <w:trPr>
          <w:trHeight w:val="410"/>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2AE1C0B" w14:textId="77777777" w:rsidR="00DE3BE5" w:rsidRPr="00AA6B7A" w:rsidRDefault="00DE3BE5" w:rsidP="00DE3BE5">
            <w:pPr>
              <w:rPr>
                <w:color w:val="000000"/>
                <w:lang w:eastAsia="en-US"/>
              </w:rPr>
            </w:pPr>
            <w:r w:rsidRPr="00AA6B7A">
              <w:rPr>
                <w:color w:val="000000"/>
              </w:rPr>
              <w:t>7. Cita informācija</w:t>
            </w:r>
          </w:p>
        </w:tc>
        <w:tc>
          <w:tcPr>
            <w:tcW w:w="6978" w:type="dxa"/>
            <w:gridSpan w:val="5"/>
            <w:tcBorders>
              <w:top w:val="single" w:sz="4" w:space="0" w:color="auto"/>
              <w:left w:val="single" w:sz="4" w:space="0" w:color="auto"/>
              <w:bottom w:val="single" w:sz="4" w:space="0" w:color="auto"/>
              <w:right w:val="single" w:sz="4" w:space="0" w:color="auto"/>
            </w:tcBorders>
            <w:shd w:val="clear" w:color="auto" w:fill="auto"/>
            <w:hideMark/>
          </w:tcPr>
          <w:p w14:paraId="1C76CF34" w14:textId="77777777" w:rsidR="000F16B3" w:rsidRPr="000F16B3" w:rsidRDefault="00DE3BE5" w:rsidP="000F16B3">
            <w:pPr>
              <w:spacing w:after="120"/>
              <w:jc w:val="both"/>
              <w:rPr>
                <w:b/>
                <w:color w:val="000000"/>
              </w:rPr>
            </w:pPr>
            <w:r w:rsidRPr="00AA6B7A">
              <w:rPr>
                <w:bCs/>
                <w:color w:val="000000"/>
              </w:rPr>
              <w:t>MK noteikumu</w:t>
            </w:r>
            <w:r w:rsidRPr="00AA6B7A">
              <w:rPr>
                <w:color w:val="000000"/>
              </w:rPr>
              <w:t xml:space="preserve"> projektam nepieciešamie valsts budžeta līdzekļi normatīvajos aktos noteiktajā kārtībā tiks pieprasīti no 74.resora “Gadskārtējā valsts budžeta izpildes procesā pārdalāmais finansējums” 80.00.00 programmas “Nesadalītais finansējums Eiropas Savienības politiku instrumentu un pārējās ārvalstu finanšu palīdzības līdzfinansēto projektu un pasākumu </w:t>
            </w:r>
            <w:r w:rsidRPr="00DB2BCB">
              <w:rPr>
                <w:color w:val="000000"/>
              </w:rPr>
              <w:t xml:space="preserve">īstenošanai”. </w:t>
            </w:r>
            <w:r w:rsidR="000F16B3" w:rsidRPr="00DB2BCB">
              <w:t>Izmaksas rezultātu rādītāju ilgtspējai un uzturēšanai tiks plānotas kā uzturēšanas izmaksas pabeigtam ES politiku instrumentu un pārējās ārvalstu finanšu palīdzības līdzfinansētam projektam, ierosinot pārdalīt finansējumu no attiecīgā gada valsts budžeta  likumā  noteiktās apropriācijas budžeta resora “74. Gadskārtējā valsts budžeta izpildes procesā pārdalāmais finansējums” programmā 01.00.00 “Apropriācijas rezerve” uz attiecīgu VARAM budžeta programmu/apakšprogrammu.</w:t>
            </w:r>
          </w:p>
        </w:tc>
      </w:tr>
    </w:tbl>
    <w:p w14:paraId="005E922A" w14:textId="77777777" w:rsidR="001577D9" w:rsidRDefault="001577D9" w:rsidP="00E2680D">
      <w:pPr>
        <w:jc w:val="both"/>
        <w:rPr>
          <w:color w:val="000000"/>
          <w:highlight w:val="yellow"/>
        </w:rPr>
      </w:pPr>
    </w:p>
    <w:p w14:paraId="2CE6EC7C" w14:textId="77777777" w:rsidR="00DB2BCB" w:rsidRPr="00AA6B7A" w:rsidRDefault="00DB2BCB" w:rsidP="00E2680D">
      <w:pPr>
        <w:jc w:val="both"/>
        <w:rPr>
          <w:color w:val="000000"/>
          <w:highlight w:val="yellow"/>
        </w:rPr>
      </w:pPr>
    </w:p>
    <w:tbl>
      <w:tblPr>
        <w:tblW w:w="94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5"/>
        <w:gridCol w:w="2493"/>
        <w:gridCol w:w="6530"/>
      </w:tblGrid>
      <w:tr w:rsidR="0063657C" w:rsidRPr="00AA6B7A" w14:paraId="4DF318C7" w14:textId="77777777" w:rsidTr="0063657C">
        <w:trPr>
          <w:trHeight w:val="421"/>
        </w:trPr>
        <w:tc>
          <w:tcPr>
            <w:tcW w:w="9498" w:type="dxa"/>
            <w:gridSpan w:val="3"/>
            <w:tcBorders>
              <w:top w:val="single" w:sz="4" w:space="0" w:color="auto"/>
              <w:left w:val="single" w:sz="4" w:space="0" w:color="auto"/>
              <w:bottom w:val="single" w:sz="4" w:space="0" w:color="auto"/>
              <w:right w:val="single" w:sz="4" w:space="0" w:color="auto"/>
            </w:tcBorders>
            <w:vAlign w:val="center"/>
            <w:hideMark/>
          </w:tcPr>
          <w:p w14:paraId="471A1060" w14:textId="77777777" w:rsidR="00E2680D" w:rsidRPr="00AA6B7A" w:rsidRDefault="00E2680D">
            <w:pPr>
              <w:ind w:left="57" w:right="57"/>
              <w:jc w:val="center"/>
              <w:rPr>
                <w:rFonts w:eastAsia="Times New Roman"/>
                <w:color w:val="000000"/>
              </w:rPr>
            </w:pPr>
            <w:r w:rsidRPr="00AA6B7A">
              <w:rPr>
                <w:rFonts w:eastAsia="Times New Roman"/>
                <w:b/>
                <w:color w:val="000000"/>
              </w:rPr>
              <w:t>V. Tiesību akta projekta atbilstība Latvijas Republikas starptautiskajām saistībām</w:t>
            </w:r>
          </w:p>
        </w:tc>
      </w:tr>
      <w:tr w:rsidR="0063657C" w:rsidRPr="00AA6B7A" w14:paraId="4CA30171" w14:textId="77777777" w:rsidTr="0063657C">
        <w:trPr>
          <w:trHeight w:val="553"/>
        </w:trPr>
        <w:tc>
          <w:tcPr>
            <w:tcW w:w="475" w:type="dxa"/>
            <w:tcBorders>
              <w:top w:val="single" w:sz="4" w:space="0" w:color="auto"/>
              <w:left w:val="single" w:sz="4" w:space="0" w:color="auto"/>
              <w:bottom w:val="single" w:sz="4" w:space="0" w:color="auto"/>
              <w:right w:val="single" w:sz="4" w:space="0" w:color="auto"/>
            </w:tcBorders>
            <w:hideMark/>
          </w:tcPr>
          <w:p w14:paraId="020A73B9" w14:textId="77777777" w:rsidR="00E2680D" w:rsidRPr="00AA6B7A" w:rsidRDefault="00E2680D">
            <w:pPr>
              <w:ind w:left="57" w:right="57"/>
              <w:jc w:val="both"/>
              <w:rPr>
                <w:bCs/>
                <w:color w:val="000000"/>
              </w:rPr>
            </w:pPr>
            <w:r w:rsidRPr="00AA6B7A">
              <w:rPr>
                <w:bCs/>
                <w:color w:val="000000"/>
              </w:rPr>
              <w:t>1.</w:t>
            </w:r>
          </w:p>
        </w:tc>
        <w:tc>
          <w:tcPr>
            <w:tcW w:w="2493" w:type="dxa"/>
            <w:tcBorders>
              <w:top w:val="single" w:sz="4" w:space="0" w:color="auto"/>
              <w:left w:val="single" w:sz="4" w:space="0" w:color="auto"/>
              <w:bottom w:val="single" w:sz="4" w:space="0" w:color="auto"/>
              <w:right w:val="single" w:sz="4" w:space="0" w:color="auto"/>
            </w:tcBorders>
            <w:hideMark/>
          </w:tcPr>
          <w:p w14:paraId="6606231F" w14:textId="77777777" w:rsidR="00E2680D" w:rsidRPr="00AA6B7A" w:rsidRDefault="00E2680D">
            <w:pPr>
              <w:ind w:left="57" w:right="57"/>
              <w:rPr>
                <w:color w:val="000000"/>
              </w:rPr>
            </w:pPr>
            <w:r w:rsidRPr="00AA6B7A">
              <w:rPr>
                <w:color w:val="000000"/>
              </w:rPr>
              <w:t>Saistības pret Eiropas Savienību</w:t>
            </w:r>
          </w:p>
        </w:tc>
        <w:tc>
          <w:tcPr>
            <w:tcW w:w="6530" w:type="dxa"/>
            <w:tcBorders>
              <w:top w:val="single" w:sz="4" w:space="0" w:color="auto"/>
              <w:left w:val="single" w:sz="4" w:space="0" w:color="auto"/>
              <w:bottom w:val="single" w:sz="4" w:space="0" w:color="auto"/>
              <w:right w:val="single" w:sz="4" w:space="0" w:color="auto"/>
            </w:tcBorders>
            <w:shd w:val="clear" w:color="auto" w:fill="auto"/>
            <w:hideMark/>
          </w:tcPr>
          <w:p w14:paraId="147E4ED5" w14:textId="77777777" w:rsidR="00E2680D" w:rsidRPr="00AA6B7A" w:rsidRDefault="00E2680D" w:rsidP="00C24BA2">
            <w:pPr>
              <w:shd w:val="clear" w:color="auto" w:fill="FFFFFF"/>
              <w:spacing w:after="120"/>
              <w:ind w:left="80" w:right="113"/>
              <w:jc w:val="both"/>
              <w:rPr>
                <w:color w:val="000000"/>
              </w:rPr>
            </w:pPr>
            <w:r w:rsidRPr="00AA6B7A">
              <w:rPr>
                <w:color w:val="000000"/>
              </w:rPr>
              <w:t>Komisijas regula Nr.1303/2013</w:t>
            </w:r>
          </w:p>
        </w:tc>
      </w:tr>
      <w:tr w:rsidR="0063657C" w:rsidRPr="00AA6B7A" w14:paraId="2C4FA87C" w14:textId="77777777" w:rsidTr="0063657C">
        <w:trPr>
          <w:trHeight w:val="339"/>
        </w:trPr>
        <w:tc>
          <w:tcPr>
            <w:tcW w:w="475" w:type="dxa"/>
            <w:tcBorders>
              <w:top w:val="single" w:sz="4" w:space="0" w:color="auto"/>
              <w:left w:val="single" w:sz="4" w:space="0" w:color="auto"/>
              <w:bottom w:val="single" w:sz="4" w:space="0" w:color="auto"/>
              <w:right w:val="single" w:sz="4" w:space="0" w:color="auto"/>
            </w:tcBorders>
            <w:hideMark/>
          </w:tcPr>
          <w:p w14:paraId="247B3181" w14:textId="77777777" w:rsidR="00E2680D" w:rsidRPr="00AA6B7A" w:rsidRDefault="00E2680D">
            <w:pPr>
              <w:ind w:left="57" w:right="57"/>
              <w:jc w:val="both"/>
              <w:rPr>
                <w:bCs/>
                <w:color w:val="000000"/>
              </w:rPr>
            </w:pPr>
            <w:r w:rsidRPr="00AA6B7A">
              <w:rPr>
                <w:bCs/>
                <w:color w:val="000000"/>
              </w:rPr>
              <w:t>2.</w:t>
            </w:r>
          </w:p>
        </w:tc>
        <w:tc>
          <w:tcPr>
            <w:tcW w:w="2493" w:type="dxa"/>
            <w:tcBorders>
              <w:top w:val="single" w:sz="4" w:space="0" w:color="auto"/>
              <w:left w:val="single" w:sz="4" w:space="0" w:color="auto"/>
              <w:bottom w:val="single" w:sz="4" w:space="0" w:color="auto"/>
              <w:right w:val="single" w:sz="4" w:space="0" w:color="auto"/>
            </w:tcBorders>
            <w:hideMark/>
          </w:tcPr>
          <w:p w14:paraId="2526F975" w14:textId="77777777" w:rsidR="00E2680D" w:rsidRPr="00AA6B7A" w:rsidRDefault="00E2680D">
            <w:pPr>
              <w:ind w:left="57" w:right="57"/>
              <w:rPr>
                <w:color w:val="000000"/>
              </w:rPr>
            </w:pPr>
            <w:r w:rsidRPr="00AA6B7A">
              <w:rPr>
                <w:color w:val="000000"/>
              </w:rPr>
              <w:t>Citas starptautiskās saistības</w:t>
            </w:r>
          </w:p>
        </w:tc>
        <w:tc>
          <w:tcPr>
            <w:tcW w:w="6530" w:type="dxa"/>
            <w:tcBorders>
              <w:top w:val="single" w:sz="4" w:space="0" w:color="auto"/>
              <w:left w:val="single" w:sz="4" w:space="0" w:color="auto"/>
              <w:bottom w:val="single" w:sz="4" w:space="0" w:color="auto"/>
              <w:right w:val="single" w:sz="4" w:space="0" w:color="auto"/>
            </w:tcBorders>
            <w:shd w:val="clear" w:color="auto" w:fill="auto"/>
            <w:hideMark/>
          </w:tcPr>
          <w:p w14:paraId="633CBDF1" w14:textId="77777777" w:rsidR="00E2680D" w:rsidRPr="00AA6B7A" w:rsidRDefault="00E2680D">
            <w:pPr>
              <w:shd w:val="clear" w:color="auto" w:fill="FFFFFF"/>
              <w:ind w:left="57" w:right="113"/>
              <w:jc w:val="both"/>
              <w:rPr>
                <w:color w:val="000000"/>
                <w:kern w:val="24"/>
              </w:rPr>
            </w:pPr>
            <w:r w:rsidRPr="00AA6B7A">
              <w:rPr>
                <w:iCs/>
                <w:color w:val="000000"/>
              </w:rPr>
              <w:t>MK noteikumu projekts šo jomu neskar.</w:t>
            </w:r>
          </w:p>
        </w:tc>
      </w:tr>
      <w:tr w:rsidR="0063657C" w:rsidRPr="00AA6B7A" w14:paraId="41395831" w14:textId="77777777" w:rsidTr="0063657C">
        <w:trPr>
          <w:trHeight w:val="476"/>
        </w:trPr>
        <w:tc>
          <w:tcPr>
            <w:tcW w:w="475" w:type="dxa"/>
            <w:tcBorders>
              <w:top w:val="single" w:sz="4" w:space="0" w:color="auto"/>
              <w:left w:val="single" w:sz="4" w:space="0" w:color="auto"/>
              <w:bottom w:val="single" w:sz="4" w:space="0" w:color="auto"/>
              <w:right w:val="single" w:sz="4" w:space="0" w:color="auto"/>
            </w:tcBorders>
            <w:hideMark/>
          </w:tcPr>
          <w:p w14:paraId="06FF6009" w14:textId="77777777" w:rsidR="00E2680D" w:rsidRPr="00AA6B7A" w:rsidRDefault="00E2680D">
            <w:pPr>
              <w:ind w:left="57" w:right="57"/>
              <w:jc w:val="both"/>
              <w:rPr>
                <w:bCs/>
                <w:color w:val="000000"/>
              </w:rPr>
            </w:pPr>
            <w:r w:rsidRPr="00AA6B7A">
              <w:rPr>
                <w:bCs/>
                <w:color w:val="000000"/>
              </w:rPr>
              <w:t>3.</w:t>
            </w:r>
          </w:p>
        </w:tc>
        <w:tc>
          <w:tcPr>
            <w:tcW w:w="2493" w:type="dxa"/>
            <w:tcBorders>
              <w:top w:val="single" w:sz="4" w:space="0" w:color="auto"/>
              <w:left w:val="single" w:sz="4" w:space="0" w:color="auto"/>
              <w:bottom w:val="single" w:sz="4" w:space="0" w:color="auto"/>
              <w:right w:val="single" w:sz="4" w:space="0" w:color="auto"/>
            </w:tcBorders>
            <w:hideMark/>
          </w:tcPr>
          <w:p w14:paraId="0E13FB96" w14:textId="77777777" w:rsidR="00E2680D" w:rsidRPr="00AA6B7A" w:rsidRDefault="00E2680D">
            <w:pPr>
              <w:ind w:left="57" w:right="57"/>
              <w:rPr>
                <w:color w:val="000000"/>
              </w:rPr>
            </w:pPr>
            <w:r w:rsidRPr="00AA6B7A">
              <w:rPr>
                <w:color w:val="000000"/>
              </w:rPr>
              <w:t>Cita informācija</w:t>
            </w:r>
          </w:p>
        </w:tc>
        <w:tc>
          <w:tcPr>
            <w:tcW w:w="6530" w:type="dxa"/>
            <w:tcBorders>
              <w:top w:val="single" w:sz="4" w:space="0" w:color="auto"/>
              <w:left w:val="single" w:sz="4" w:space="0" w:color="auto"/>
              <w:bottom w:val="single" w:sz="4" w:space="0" w:color="auto"/>
              <w:right w:val="single" w:sz="4" w:space="0" w:color="auto"/>
            </w:tcBorders>
            <w:shd w:val="clear" w:color="auto" w:fill="auto"/>
            <w:hideMark/>
          </w:tcPr>
          <w:p w14:paraId="2FA75374" w14:textId="77777777" w:rsidR="00E2680D" w:rsidRPr="00AA6B7A" w:rsidRDefault="00E2680D">
            <w:pPr>
              <w:shd w:val="clear" w:color="auto" w:fill="FFFFFF"/>
              <w:ind w:left="57" w:right="113"/>
              <w:jc w:val="both"/>
              <w:rPr>
                <w:color w:val="000000"/>
              </w:rPr>
            </w:pPr>
            <w:r w:rsidRPr="00AA6B7A">
              <w:rPr>
                <w:color w:val="000000"/>
              </w:rPr>
              <w:t xml:space="preserve">Nav. </w:t>
            </w:r>
          </w:p>
        </w:tc>
      </w:tr>
    </w:tbl>
    <w:p w14:paraId="4FF91B7A" w14:textId="77777777" w:rsidR="00E2680D" w:rsidRDefault="00E2680D" w:rsidP="0029518C">
      <w:pPr>
        <w:rPr>
          <w:color w:val="000000"/>
          <w:highlight w:val="yellow"/>
          <w:lang w:eastAsia="en-US"/>
        </w:rPr>
      </w:pPr>
    </w:p>
    <w:p w14:paraId="7FF775A5" w14:textId="77777777" w:rsidR="005D28BD" w:rsidRPr="00AA6B7A" w:rsidRDefault="005D28BD" w:rsidP="0029518C">
      <w:pPr>
        <w:rPr>
          <w:color w:val="000000"/>
          <w:highlight w:val="yellow"/>
          <w:lang w:eastAsia="en-US"/>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517"/>
        <w:gridCol w:w="1843"/>
        <w:gridCol w:w="2438"/>
      </w:tblGrid>
      <w:tr w:rsidR="0063657C" w:rsidRPr="00AA6B7A" w14:paraId="6F94254D" w14:textId="77777777" w:rsidTr="00DB2BCB">
        <w:tc>
          <w:tcPr>
            <w:tcW w:w="9498" w:type="dxa"/>
            <w:gridSpan w:val="4"/>
            <w:tcBorders>
              <w:top w:val="single" w:sz="4" w:space="0" w:color="auto"/>
              <w:left w:val="single" w:sz="4" w:space="0" w:color="auto"/>
              <w:bottom w:val="single" w:sz="4" w:space="0" w:color="auto"/>
              <w:right w:val="single" w:sz="4" w:space="0" w:color="auto"/>
            </w:tcBorders>
            <w:hideMark/>
          </w:tcPr>
          <w:p w14:paraId="22A002B2" w14:textId="77777777" w:rsidR="006D463C" w:rsidRPr="00AA6B7A" w:rsidRDefault="006D463C" w:rsidP="00D03FF6">
            <w:pPr>
              <w:spacing w:line="276" w:lineRule="auto"/>
              <w:jc w:val="center"/>
              <w:rPr>
                <w:rFonts w:eastAsia="Times New Roman"/>
                <w:color w:val="000000"/>
                <w:lang w:eastAsia="en-US"/>
              </w:rPr>
            </w:pPr>
            <w:r w:rsidRPr="00AA6B7A">
              <w:rPr>
                <w:rFonts w:eastAsia="Times New Roman"/>
                <w:b/>
                <w:color w:val="000000"/>
                <w:lang w:eastAsia="en-US"/>
              </w:rPr>
              <w:t>1.tabula. Tiesību akta projekta atbilstība ES tiesību aktiem</w:t>
            </w:r>
          </w:p>
        </w:tc>
      </w:tr>
      <w:tr w:rsidR="0063657C" w:rsidRPr="00AA6B7A" w14:paraId="4F25E5F5" w14:textId="77777777" w:rsidTr="00DB2BCB">
        <w:tc>
          <w:tcPr>
            <w:tcW w:w="2700" w:type="dxa"/>
            <w:tcBorders>
              <w:top w:val="single" w:sz="4" w:space="0" w:color="auto"/>
              <w:left w:val="single" w:sz="4" w:space="0" w:color="auto"/>
              <w:bottom w:val="single" w:sz="4" w:space="0" w:color="auto"/>
              <w:right w:val="single" w:sz="4" w:space="0" w:color="auto"/>
            </w:tcBorders>
            <w:hideMark/>
          </w:tcPr>
          <w:p w14:paraId="2167F57C" w14:textId="77777777" w:rsidR="006D463C" w:rsidRPr="00AA6B7A" w:rsidRDefault="006D463C" w:rsidP="00D03FF6">
            <w:pPr>
              <w:rPr>
                <w:color w:val="000000"/>
                <w:lang w:eastAsia="en-US"/>
              </w:rPr>
            </w:pPr>
            <w:r w:rsidRPr="00AA6B7A">
              <w:rPr>
                <w:color w:val="000000"/>
              </w:rPr>
              <w:t>Attiecīgā ES tiesību akta datums, numurs un nosaukums</w:t>
            </w:r>
          </w:p>
        </w:tc>
        <w:tc>
          <w:tcPr>
            <w:tcW w:w="6798" w:type="dxa"/>
            <w:gridSpan w:val="3"/>
            <w:tcBorders>
              <w:top w:val="single" w:sz="4" w:space="0" w:color="auto"/>
              <w:left w:val="single" w:sz="4" w:space="0" w:color="auto"/>
              <w:bottom w:val="single" w:sz="4" w:space="0" w:color="auto"/>
              <w:right w:val="single" w:sz="4" w:space="0" w:color="auto"/>
            </w:tcBorders>
            <w:hideMark/>
          </w:tcPr>
          <w:p w14:paraId="2C4148ED" w14:textId="77777777" w:rsidR="006D463C" w:rsidRPr="00AA6B7A" w:rsidRDefault="005A505E" w:rsidP="00D03FF6">
            <w:pPr>
              <w:tabs>
                <w:tab w:val="left" w:pos="566"/>
              </w:tabs>
              <w:spacing w:line="276" w:lineRule="auto"/>
              <w:ind w:left="141"/>
              <w:jc w:val="both"/>
              <w:rPr>
                <w:rFonts w:eastAsia="Times New Roman"/>
                <w:color w:val="000000"/>
                <w:lang w:eastAsia="en-US"/>
              </w:rPr>
            </w:pPr>
            <w:r w:rsidRPr="00AA6B7A">
              <w:rPr>
                <w:rFonts w:eastAsia="Times New Roman"/>
                <w:color w:val="000000"/>
                <w:lang w:eastAsia="en-US"/>
              </w:rPr>
              <w:t xml:space="preserve">Komisijas </w:t>
            </w:r>
            <w:r w:rsidR="00664F04" w:rsidRPr="00AA6B7A">
              <w:rPr>
                <w:rFonts w:eastAsia="Times New Roman"/>
                <w:color w:val="000000"/>
                <w:lang w:eastAsia="en-US"/>
              </w:rPr>
              <w:t>regula Nr.1303/2013.</w:t>
            </w:r>
          </w:p>
          <w:p w14:paraId="5F976C62" w14:textId="77777777" w:rsidR="006D463C" w:rsidRPr="00AA6B7A" w:rsidRDefault="006D463C" w:rsidP="00D03FF6">
            <w:pPr>
              <w:tabs>
                <w:tab w:val="left" w:pos="566"/>
              </w:tabs>
              <w:spacing w:line="276" w:lineRule="auto"/>
              <w:ind w:left="141"/>
              <w:jc w:val="both"/>
              <w:rPr>
                <w:rFonts w:eastAsia="Times New Roman"/>
                <w:color w:val="000000"/>
              </w:rPr>
            </w:pPr>
          </w:p>
        </w:tc>
      </w:tr>
      <w:tr w:rsidR="0063657C" w:rsidRPr="00AA6B7A" w14:paraId="6FC491E7" w14:textId="77777777" w:rsidTr="00DB2BCB">
        <w:tc>
          <w:tcPr>
            <w:tcW w:w="2700" w:type="dxa"/>
            <w:tcBorders>
              <w:top w:val="single" w:sz="4" w:space="0" w:color="auto"/>
              <w:left w:val="single" w:sz="4" w:space="0" w:color="auto"/>
              <w:bottom w:val="single" w:sz="4" w:space="0" w:color="auto"/>
              <w:right w:val="single" w:sz="4" w:space="0" w:color="auto"/>
            </w:tcBorders>
            <w:hideMark/>
          </w:tcPr>
          <w:p w14:paraId="7BF3D998" w14:textId="77777777" w:rsidR="006D463C" w:rsidRPr="00AA6B7A" w:rsidRDefault="006D463C" w:rsidP="00D03FF6">
            <w:pPr>
              <w:jc w:val="center"/>
              <w:rPr>
                <w:color w:val="000000"/>
                <w:lang w:eastAsia="en-US"/>
              </w:rPr>
            </w:pPr>
            <w:r w:rsidRPr="00AA6B7A">
              <w:rPr>
                <w:color w:val="000000"/>
              </w:rPr>
              <w:t>A</w:t>
            </w:r>
          </w:p>
        </w:tc>
        <w:tc>
          <w:tcPr>
            <w:tcW w:w="2517" w:type="dxa"/>
            <w:tcBorders>
              <w:top w:val="single" w:sz="4" w:space="0" w:color="auto"/>
              <w:left w:val="single" w:sz="4" w:space="0" w:color="auto"/>
              <w:bottom w:val="single" w:sz="4" w:space="0" w:color="auto"/>
              <w:right w:val="single" w:sz="4" w:space="0" w:color="auto"/>
            </w:tcBorders>
            <w:hideMark/>
          </w:tcPr>
          <w:p w14:paraId="54EF8425" w14:textId="77777777" w:rsidR="006D463C" w:rsidRPr="00AA6B7A" w:rsidRDefault="006D463C" w:rsidP="00D03FF6">
            <w:pPr>
              <w:jc w:val="center"/>
              <w:rPr>
                <w:color w:val="000000"/>
                <w:lang w:eastAsia="en-US"/>
              </w:rPr>
            </w:pPr>
            <w:r w:rsidRPr="00AA6B7A">
              <w:rPr>
                <w:color w:val="000000"/>
              </w:rPr>
              <w:t>B</w:t>
            </w:r>
          </w:p>
        </w:tc>
        <w:tc>
          <w:tcPr>
            <w:tcW w:w="1843" w:type="dxa"/>
            <w:tcBorders>
              <w:top w:val="single" w:sz="4" w:space="0" w:color="auto"/>
              <w:left w:val="single" w:sz="4" w:space="0" w:color="auto"/>
              <w:bottom w:val="single" w:sz="4" w:space="0" w:color="auto"/>
              <w:right w:val="single" w:sz="4" w:space="0" w:color="auto"/>
            </w:tcBorders>
            <w:hideMark/>
          </w:tcPr>
          <w:p w14:paraId="03AD56E3" w14:textId="77777777" w:rsidR="006D463C" w:rsidRPr="00AA6B7A" w:rsidRDefault="006D463C" w:rsidP="00D03FF6">
            <w:pPr>
              <w:jc w:val="center"/>
              <w:rPr>
                <w:color w:val="000000"/>
                <w:lang w:eastAsia="en-US"/>
              </w:rPr>
            </w:pPr>
            <w:r w:rsidRPr="00AA6B7A">
              <w:rPr>
                <w:color w:val="000000"/>
              </w:rPr>
              <w:t>C</w:t>
            </w:r>
          </w:p>
        </w:tc>
        <w:tc>
          <w:tcPr>
            <w:tcW w:w="2438" w:type="dxa"/>
            <w:tcBorders>
              <w:top w:val="single" w:sz="4" w:space="0" w:color="auto"/>
              <w:left w:val="single" w:sz="4" w:space="0" w:color="auto"/>
              <w:bottom w:val="single" w:sz="4" w:space="0" w:color="auto"/>
              <w:right w:val="single" w:sz="4" w:space="0" w:color="auto"/>
            </w:tcBorders>
            <w:hideMark/>
          </w:tcPr>
          <w:p w14:paraId="2BEAF4F8" w14:textId="77777777" w:rsidR="006D463C" w:rsidRPr="00AA6B7A" w:rsidRDefault="006D463C" w:rsidP="00D03FF6">
            <w:pPr>
              <w:jc w:val="center"/>
              <w:rPr>
                <w:color w:val="000000"/>
                <w:lang w:eastAsia="en-US"/>
              </w:rPr>
            </w:pPr>
            <w:r w:rsidRPr="00AA6B7A">
              <w:rPr>
                <w:color w:val="000000"/>
              </w:rPr>
              <w:t>D</w:t>
            </w:r>
          </w:p>
        </w:tc>
      </w:tr>
      <w:tr w:rsidR="0063657C" w:rsidRPr="00AA6B7A" w14:paraId="3E933FF9" w14:textId="77777777" w:rsidTr="00DB2BCB">
        <w:tc>
          <w:tcPr>
            <w:tcW w:w="2700" w:type="dxa"/>
            <w:tcBorders>
              <w:top w:val="single" w:sz="4" w:space="0" w:color="auto"/>
              <w:left w:val="single" w:sz="4" w:space="0" w:color="auto"/>
              <w:bottom w:val="single" w:sz="4" w:space="0" w:color="auto"/>
              <w:right w:val="single" w:sz="4" w:space="0" w:color="auto"/>
            </w:tcBorders>
            <w:hideMark/>
          </w:tcPr>
          <w:p w14:paraId="631E3384" w14:textId="77777777" w:rsidR="006D463C" w:rsidRPr="00AA6B7A" w:rsidRDefault="006D463C" w:rsidP="00D03FF6">
            <w:pPr>
              <w:jc w:val="both"/>
              <w:rPr>
                <w:color w:val="000000"/>
                <w:lang w:eastAsia="en-US"/>
              </w:rPr>
            </w:pPr>
            <w:r w:rsidRPr="00AA6B7A">
              <w:rPr>
                <w:color w:val="000000"/>
              </w:rPr>
              <w:t xml:space="preserve">Attiecīgā ES tiesību akta panta numurs (uzskaitot katru tiesību akta </w:t>
            </w:r>
            <w:r w:rsidRPr="00AA6B7A">
              <w:rPr>
                <w:color w:val="000000"/>
              </w:rPr>
              <w:br/>
              <w:t>vienību – pantu, daļu, punktu, apakšpunktu)</w:t>
            </w:r>
          </w:p>
        </w:tc>
        <w:tc>
          <w:tcPr>
            <w:tcW w:w="2517" w:type="dxa"/>
            <w:tcBorders>
              <w:top w:val="single" w:sz="4" w:space="0" w:color="auto"/>
              <w:left w:val="single" w:sz="4" w:space="0" w:color="auto"/>
              <w:bottom w:val="single" w:sz="4" w:space="0" w:color="auto"/>
              <w:right w:val="single" w:sz="4" w:space="0" w:color="auto"/>
            </w:tcBorders>
            <w:hideMark/>
          </w:tcPr>
          <w:p w14:paraId="18AB3EAD" w14:textId="77777777" w:rsidR="006D463C" w:rsidRPr="00AA6B7A" w:rsidRDefault="006D463C" w:rsidP="00D03FF6">
            <w:pPr>
              <w:jc w:val="both"/>
              <w:rPr>
                <w:color w:val="000000"/>
                <w:lang w:eastAsia="en-US"/>
              </w:rPr>
            </w:pPr>
            <w:r w:rsidRPr="00AA6B7A">
              <w:rPr>
                <w:color w:val="000000"/>
              </w:rPr>
              <w:t>Projekta vienība, kas pārņem vai ievieš katru šīs tabulas A ailē minēto ES tiesību akta vienību, vai tiesību akts, kur attiecīgā ES tiesību akta vienība pārņemta vai ieviesta</w:t>
            </w:r>
          </w:p>
        </w:tc>
        <w:tc>
          <w:tcPr>
            <w:tcW w:w="1843" w:type="dxa"/>
            <w:tcBorders>
              <w:top w:val="single" w:sz="4" w:space="0" w:color="auto"/>
              <w:left w:val="single" w:sz="4" w:space="0" w:color="auto"/>
              <w:bottom w:val="single" w:sz="4" w:space="0" w:color="auto"/>
              <w:right w:val="single" w:sz="4" w:space="0" w:color="auto"/>
            </w:tcBorders>
            <w:hideMark/>
          </w:tcPr>
          <w:p w14:paraId="7C901FA7" w14:textId="77777777" w:rsidR="006D463C" w:rsidRPr="00AA6B7A" w:rsidRDefault="006D463C" w:rsidP="00D03FF6">
            <w:pPr>
              <w:jc w:val="both"/>
              <w:rPr>
                <w:color w:val="000000"/>
              </w:rPr>
            </w:pPr>
            <w:r w:rsidRPr="00AA6B7A">
              <w:rPr>
                <w:color w:val="000000"/>
              </w:rPr>
              <w:t>Informācija par to, vai šīs tabulas A ailē minētās ES tiesību akta vienības tiek pārņemtas vai ieviestas pilnībā vai daļēji.</w:t>
            </w:r>
          </w:p>
          <w:p w14:paraId="401B3B56" w14:textId="77777777" w:rsidR="006D463C" w:rsidRPr="00AA6B7A" w:rsidRDefault="006D463C" w:rsidP="00D03FF6">
            <w:pPr>
              <w:jc w:val="both"/>
              <w:rPr>
                <w:color w:val="000000"/>
              </w:rPr>
            </w:pPr>
            <w:r w:rsidRPr="00AA6B7A">
              <w:rPr>
                <w:color w:val="000000"/>
              </w:rPr>
              <w:t xml:space="preserve">Ja attiecīgā ES tiesību akta vienība tiek </w:t>
            </w:r>
            <w:r w:rsidRPr="00AA6B7A">
              <w:rPr>
                <w:color w:val="000000"/>
              </w:rPr>
              <w:lastRenderedPageBreak/>
              <w:t>pārņemta vai ieviesta daļēji, – sniedz attiecīgu skaidrojumu, kā arī precīzi norāda, kad un kādā veidā ES tiesību akta vienība tiks pārņemta vai ieviesta pilnībā.</w:t>
            </w:r>
          </w:p>
          <w:p w14:paraId="6FC01AD8" w14:textId="77777777" w:rsidR="006D463C" w:rsidRPr="00AA6B7A" w:rsidRDefault="006D463C" w:rsidP="00D03FF6">
            <w:pPr>
              <w:jc w:val="both"/>
              <w:rPr>
                <w:color w:val="000000"/>
                <w:lang w:eastAsia="en-US"/>
              </w:rPr>
            </w:pPr>
            <w:r w:rsidRPr="00AA6B7A">
              <w:rPr>
                <w:color w:val="000000"/>
              </w:rPr>
              <w:t>Norāda institūciju, kas ir atbildīga par šo saistību izpildi pilnībā</w:t>
            </w:r>
          </w:p>
        </w:tc>
        <w:tc>
          <w:tcPr>
            <w:tcW w:w="2438" w:type="dxa"/>
            <w:tcBorders>
              <w:top w:val="single" w:sz="4" w:space="0" w:color="auto"/>
              <w:left w:val="single" w:sz="4" w:space="0" w:color="auto"/>
              <w:bottom w:val="single" w:sz="4" w:space="0" w:color="auto"/>
              <w:right w:val="single" w:sz="4" w:space="0" w:color="auto"/>
            </w:tcBorders>
            <w:hideMark/>
          </w:tcPr>
          <w:p w14:paraId="37D2D10C" w14:textId="77777777" w:rsidR="006D463C" w:rsidRPr="00AA6B7A" w:rsidRDefault="006D463C" w:rsidP="00D03FF6">
            <w:pPr>
              <w:jc w:val="both"/>
              <w:rPr>
                <w:color w:val="000000"/>
              </w:rPr>
            </w:pPr>
            <w:r w:rsidRPr="00AA6B7A">
              <w:rPr>
                <w:color w:val="000000"/>
              </w:rPr>
              <w:lastRenderedPageBreak/>
              <w:t>Informācija par to, vai šīs tabulas B ailē minētās projekta vienības paredz stingrākas prasības nekā šīs tabulas A ailē minētās ES tiesību akta vienības.</w:t>
            </w:r>
          </w:p>
          <w:p w14:paraId="2DAA8783" w14:textId="77777777" w:rsidR="006D463C" w:rsidRPr="00AA6B7A" w:rsidRDefault="006D463C" w:rsidP="00D03FF6">
            <w:pPr>
              <w:jc w:val="both"/>
              <w:rPr>
                <w:color w:val="000000"/>
              </w:rPr>
            </w:pPr>
            <w:r w:rsidRPr="00AA6B7A">
              <w:rPr>
                <w:color w:val="000000"/>
              </w:rPr>
              <w:t xml:space="preserve">Ja projekts satur stingrākas prasības nekā attiecīgais ES </w:t>
            </w:r>
            <w:r w:rsidRPr="00AA6B7A">
              <w:rPr>
                <w:color w:val="000000"/>
              </w:rPr>
              <w:lastRenderedPageBreak/>
              <w:t>tiesību akts, – norāda pamatojumu un samērīgumu.</w:t>
            </w:r>
          </w:p>
          <w:p w14:paraId="021D7161" w14:textId="77777777" w:rsidR="006D463C" w:rsidRPr="00AA6B7A" w:rsidRDefault="006D463C" w:rsidP="00D03FF6">
            <w:pPr>
              <w:jc w:val="both"/>
              <w:rPr>
                <w:color w:val="000000"/>
                <w:lang w:eastAsia="en-US"/>
              </w:rPr>
            </w:pPr>
            <w:r w:rsidRPr="00AA6B7A">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63657C" w:rsidRPr="00AA6B7A" w14:paraId="06859D53" w14:textId="77777777" w:rsidTr="00DB2BCB">
        <w:trPr>
          <w:trHeight w:val="1132"/>
        </w:trPr>
        <w:tc>
          <w:tcPr>
            <w:tcW w:w="2700" w:type="dxa"/>
            <w:tcBorders>
              <w:top w:val="single" w:sz="4" w:space="0" w:color="auto"/>
              <w:left w:val="single" w:sz="4" w:space="0" w:color="auto"/>
              <w:bottom w:val="single" w:sz="4" w:space="0" w:color="auto"/>
              <w:right w:val="single" w:sz="4" w:space="0" w:color="auto"/>
            </w:tcBorders>
          </w:tcPr>
          <w:p w14:paraId="320A13F8" w14:textId="77777777" w:rsidR="001359CE" w:rsidRPr="00AA6B7A" w:rsidRDefault="001359CE" w:rsidP="001359CE">
            <w:pPr>
              <w:jc w:val="both"/>
              <w:rPr>
                <w:color w:val="000000"/>
              </w:rPr>
            </w:pPr>
            <w:r w:rsidRPr="00AA6B7A">
              <w:rPr>
                <w:bCs/>
                <w:color w:val="000000"/>
              </w:rPr>
              <w:lastRenderedPageBreak/>
              <w:t>Komisijas regulas  Nr.1303/2013</w:t>
            </w:r>
          </w:p>
          <w:p w14:paraId="47ACD9C6" w14:textId="77777777" w:rsidR="001359CE" w:rsidRPr="00AA6B7A" w:rsidRDefault="00DF48F6" w:rsidP="00D03FF6">
            <w:pPr>
              <w:jc w:val="both"/>
              <w:rPr>
                <w:bCs/>
                <w:color w:val="000000"/>
              </w:rPr>
            </w:pPr>
            <w:r w:rsidRPr="00AA6B7A">
              <w:rPr>
                <w:bCs/>
                <w:color w:val="000000"/>
              </w:rPr>
              <w:t>103</w:t>
            </w:r>
            <w:r w:rsidR="001359CE" w:rsidRPr="00AA6B7A">
              <w:rPr>
                <w:bCs/>
                <w:color w:val="000000"/>
              </w:rPr>
              <w:t>.panta 2.punkts</w:t>
            </w:r>
          </w:p>
        </w:tc>
        <w:tc>
          <w:tcPr>
            <w:tcW w:w="2517" w:type="dxa"/>
            <w:tcBorders>
              <w:top w:val="single" w:sz="4" w:space="0" w:color="auto"/>
              <w:left w:val="single" w:sz="4" w:space="0" w:color="auto"/>
              <w:bottom w:val="single" w:sz="4" w:space="0" w:color="auto"/>
              <w:right w:val="single" w:sz="4" w:space="0" w:color="auto"/>
            </w:tcBorders>
          </w:tcPr>
          <w:p w14:paraId="4D2B621C" w14:textId="77777777" w:rsidR="001359CE" w:rsidRPr="00AA6B7A" w:rsidRDefault="001359CE" w:rsidP="00DF48F6">
            <w:pPr>
              <w:jc w:val="both"/>
              <w:rPr>
                <w:color w:val="000000"/>
              </w:rPr>
            </w:pPr>
            <w:r w:rsidRPr="00AA6B7A">
              <w:rPr>
                <w:color w:val="000000"/>
              </w:rPr>
              <w:t xml:space="preserve">MK noteikumu </w:t>
            </w:r>
            <w:r w:rsidR="00CA451D">
              <w:rPr>
                <w:color w:val="000000"/>
              </w:rPr>
              <w:t>24</w:t>
            </w:r>
            <w:r w:rsidRPr="00AA6B7A">
              <w:rPr>
                <w:color w:val="000000"/>
              </w:rPr>
              <w:t>.punkts</w:t>
            </w:r>
          </w:p>
        </w:tc>
        <w:tc>
          <w:tcPr>
            <w:tcW w:w="1843" w:type="dxa"/>
            <w:tcBorders>
              <w:top w:val="single" w:sz="4" w:space="0" w:color="auto"/>
              <w:left w:val="single" w:sz="4" w:space="0" w:color="auto"/>
              <w:bottom w:val="single" w:sz="4" w:space="0" w:color="auto"/>
              <w:right w:val="single" w:sz="4" w:space="0" w:color="auto"/>
            </w:tcBorders>
          </w:tcPr>
          <w:p w14:paraId="145FBC91" w14:textId="77777777" w:rsidR="001359CE" w:rsidRPr="00AA6B7A" w:rsidRDefault="001359CE" w:rsidP="006D463C">
            <w:pPr>
              <w:rPr>
                <w:color w:val="000000"/>
              </w:rPr>
            </w:pPr>
            <w:r w:rsidRPr="00AA6B7A">
              <w:rPr>
                <w:color w:val="000000"/>
              </w:rPr>
              <w:t>Vienība tiek ieviesta pilnībā.</w:t>
            </w:r>
          </w:p>
        </w:tc>
        <w:tc>
          <w:tcPr>
            <w:tcW w:w="2438" w:type="dxa"/>
            <w:tcBorders>
              <w:top w:val="single" w:sz="4" w:space="0" w:color="auto"/>
              <w:left w:val="single" w:sz="4" w:space="0" w:color="auto"/>
              <w:bottom w:val="single" w:sz="4" w:space="0" w:color="auto"/>
              <w:right w:val="single" w:sz="4" w:space="0" w:color="auto"/>
            </w:tcBorders>
          </w:tcPr>
          <w:p w14:paraId="37D1CBD6" w14:textId="77777777" w:rsidR="001359CE" w:rsidRPr="00AA6B7A" w:rsidRDefault="001359CE" w:rsidP="006D463C">
            <w:pPr>
              <w:rPr>
                <w:color w:val="000000"/>
              </w:rPr>
            </w:pPr>
            <w:r w:rsidRPr="00AA6B7A">
              <w:rPr>
                <w:color w:val="000000"/>
              </w:rPr>
              <w:t>Neparedz stingrākas prasības</w:t>
            </w:r>
          </w:p>
        </w:tc>
      </w:tr>
      <w:tr w:rsidR="0063657C" w:rsidRPr="00AA6B7A" w14:paraId="3B019D08" w14:textId="77777777" w:rsidTr="00DB2BCB">
        <w:tc>
          <w:tcPr>
            <w:tcW w:w="5217" w:type="dxa"/>
            <w:gridSpan w:val="2"/>
            <w:tcBorders>
              <w:top w:val="single" w:sz="4" w:space="0" w:color="auto"/>
              <w:left w:val="single" w:sz="4" w:space="0" w:color="auto"/>
              <w:bottom w:val="single" w:sz="4" w:space="0" w:color="auto"/>
              <w:right w:val="single" w:sz="4" w:space="0" w:color="auto"/>
            </w:tcBorders>
            <w:hideMark/>
          </w:tcPr>
          <w:p w14:paraId="4EF11EB1" w14:textId="77777777" w:rsidR="006D463C" w:rsidRPr="00AA6B7A" w:rsidRDefault="006D463C" w:rsidP="00D03FF6">
            <w:pPr>
              <w:rPr>
                <w:color w:val="000000"/>
              </w:rPr>
            </w:pPr>
            <w:r w:rsidRPr="00AA6B7A">
              <w:rPr>
                <w:color w:val="000000"/>
              </w:rPr>
              <w:t>Kā ir izmantota ES tiesību aktā paredzētā rīcības brīvība dalībvalstij pārņemt vai ieviest noteiktas ES tiesību akta normas?</w:t>
            </w:r>
          </w:p>
          <w:p w14:paraId="13334638" w14:textId="77777777" w:rsidR="006D463C" w:rsidRPr="00AA6B7A" w:rsidRDefault="006D463C" w:rsidP="00D03FF6">
            <w:pPr>
              <w:rPr>
                <w:i/>
                <w:color w:val="000000"/>
                <w:lang w:eastAsia="en-US"/>
              </w:rPr>
            </w:pPr>
            <w:r w:rsidRPr="00AA6B7A">
              <w:rPr>
                <w:color w:val="000000"/>
              </w:rPr>
              <w:t>Kādēļ?</w:t>
            </w:r>
          </w:p>
        </w:tc>
        <w:tc>
          <w:tcPr>
            <w:tcW w:w="4281" w:type="dxa"/>
            <w:gridSpan w:val="2"/>
            <w:tcBorders>
              <w:top w:val="single" w:sz="4" w:space="0" w:color="auto"/>
              <w:left w:val="single" w:sz="4" w:space="0" w:color="auto"/>
              <w:bottom w:val="single" w:sz="4" w:space="0" w:color="auto"/>
              <w:right w:val="single" w:sz="4" w:space="0" w:color="auto"/>
            </w:tcBorders>
            <w:hideMark/>
          </w:tcPr>
          <w:p w14:paraId="3119849F" w14:textId="77777777" w:rsidR="006D463C" w:rsidRPr="00AA6B7A" w:rsidRDefault="006D463C" w:rsidP="00D03FF6">
            <w:pPr>
              <w:rPr>
                <w:color w:val="000000"/>
                <w:lang w:eastAsia="en-US"/>
              </w:rPr>
            </w:pPr>
            <w:r w:rsidRPr="00AA6B7A">
              <w:rPr>
                <w:iCs/>
                <w:color w:val="000000"/>
              </w:rPr>
              <w:t>MK noteikumu projekts šo jomu neskar.</w:t>
            </w:r>
          </w:p>
        </w:tc>
      </w:tr>
      <w:tr w:rsidR="0063657C" w:rsidRPr="00AA6B7A" w14:paraId="6434973D" w14:textId="77777777" w:rsidTr="00DB2BCB">
        <w:tc>
          <w:tcPr>
            <w:tcW w:w="5217" w:type="dxa"/>
            <w:gridSpan w:val="2"/>
            <w:tcBorders>
              <w:top w:val="single" w:sz="4" w:space="0" w:color="auto"/>
              <w:left w:val="single" w:sz="4" w:space="0" w:color="auto"/>
              <w:bottom w:val="single" w:sz="4" w:space="0" w:color="auto"/>
              <w:right w:val="single" w:sz="4" w:space="0" w:color="auto"/>
            </w:tcBorders>
            <w:hideMark/>
          </w:tcPr>
          <w:p w14:paraId="47F20A82" w14:textId="77777777" w:rsidR="006D463C" w:rsidRPr="00AA6B7A" w:rsidRDefault="006D463C" w:rsidP="00D03FF6">
            <w:pPr>
              <w:rPr>
                <w:i/>
                <w:color w:val="000000"/>
                <w:lang w:eastAsia="en-US"/>
              </w:rPr>
            </w:pPr>
            <w:r w:rsidRPr="00AA6B7A">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281" w:type="dxa"/>
            <w:gridSpan w:val="2"/>
            <w:tcBorders>
              <w:top w:val="single" w:sz="4" w:space="0" w:color="auto"/>
              <w:left w:val="single" w:sz="4" w:space="0" w:color="auto"/>
              <w:bottom w:val="single" w:sz="4" w:space="0" w:color="auto"/>
              <w:right w:val="single" w:sz="4" w:space="0" w:color="auto"/>
            </w:tcBorders>
            <w:hideMark/>
          </w:tcPr>
          <w:p w14:paraId="2B89E576" w14:textId="77777777" w:rsidR="006D463C" w:rsidRPr="00AA6B7A" w:rsidRDefault="006D463C" w:rsidP="00D03FF6">
            <w:pPr>
              <w:jc w:val="both"/>
              <w:rPr>
                <w:color w:val="000000"/>
              </w:rPr>
            </w:pPr>
            <w:r w:rsidRPr="00AA6B7A">
              <w:rPr>
                <w:iCs/>
                <w:color w:val="000000"/>
              </w:rPr>
              <w:t>MK noteikumu projekts šo jomu neskar.</w:t>
            </w:r>
          </w:p>
        </w:tc>
      </w:tr>
      <w:tr w:rsidR="0063657C" w:rsidRPr="00AA6B7A" w14:paraId="1B5926DE" w14:textId="77777777" w:rsidTr="00DB2BCB">
        <w:tc>
          <w:tcPr>
            <w:tcW w:w="5217" w:type="dxa"/>
            <w:gridSpan w:val="2"/>
            <w:tcBorders>
              <w:top w:val="single" w:sz="4" w:space="0" w:color="auto"/>
              <w:left w:val="single" w:sz="4" w:space="0" w:color="auto"/>
              <w:bottom w:val="single" w:sz="4" w:space="0" w:color="auto"/>
              <w:right w:val="single" w:sz="4" w:space="0" w:color="auto"/>
            </w:tcBorders>
            <w:hideMark/>
          </w:tcPr>
          <w:p w14:paraId="509AE1EA" w14:textId="77777777" w:rsidR="006D463C" w:rsidRPr="00AA6B7A" w:rsidRDefault="006D463C" w:rsidP="00D03FF6">
            <w:pPr>
              <w:spacing w:line="276" w:lineRule="auto"/>
              <w:rPr>
                <w:rFonts w:eastAsia="Times New Roman"/>
                <w:i/>
                <w:color w:val="000000"/>
                <w:lang w:eastAsia="en-US"/>
              </w:rPr>
            </w:pPr>
            <w:r w:rsidRPr="00AA6B7A">
              <w:rPr>
                <w:rFonts w:eastAsia="Times New Roman"/>
                <w:color w:val="000000"/>
                <w:lang w:eastAsia="en-US"/>
              </w:rPr>
              <w:t>Cita informācija</w:t>
            </w:r>
          </w:p>
        </w:tc>
        <w:tc>
          <w:tcPr>
            <w:tcW w:w="4281" w:type="dxa"/>
            <w:gridSpan w:val="2"/>
            <w:tcBorders>
              <w:top w:val="single" w:sz="4" w:space="0" w:color="auto"/>
              <w:left w:val="single" w:sz="4" w:space="0" w:color="auto"/>
              <w:bottom w:val="single" w:sz="4" w:space="0" w:color="auto"/>
              <w:right w:val="single" w:sz="4" w:space="0" w:color="auto"/>
            </w:tcBorders>
            <w:hideMark/>
          </w:tcPr>
          <w:p w14:paraId="60D9B748" w14:textId="77777777" w:rsidR="006D463C" w:rsidRPr="00AA6B7A" w:rsidRDefault="006D463C" w:rsidP="00D03FF6">
            <w:pPr>
              <w:jc w:val="both"/>
              <w:rPr>
                <w:color w:val="000000"/>
                <w:lang w:eastAsia="en-US"/>
              </w:rPr>
            </w:pPr>
            <w:r w:rsidRPr="00AA6B7A">
              <w:rPr>
                <w:color w:val="000000"/>
                <w:lang w:eastAsia="en-US"/>
              </w:rPr>
              <w:t>Nav.</w:t>
            </w:r>
          </w:p>
        </w:tc>
      </w:tr>
    </w:tbl>
    <w:p w14:paraId="4F0FD18D" w14:textId="77777777" w:rsidR="00DB2BCB" w:rsidRPr="00AA6B7A" w:rsidRDefault="00DB2BCB" w:rsidP="00C61A59">
      <w:pPr>
        <w:jc w:val="center"/>
        <w:rPr>
          <w:color w:val="000000"/>
          <w:highlight w:val="yellow"/>
          <w:lang w:eastAsia="en-US"/>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3323"/>
        <w:gridCol w:w="2801"/>
      </w:tblGrid>
      <w:tr w:rsidR="007B23B7" w:rsidRPr="00AA6B7A" w14:paraId="4EE78BB3" w14:textId="77777777" w:rsidTr="00DB2BCB">
        <w:trPr>
          <w:trHeight w:val="902"/>
        </w:trPr>
        <w:tc>
          <w:tcPr>
            <w:tcW w:w="9498" w:type="dxa"/>
            <w:gridSpan w:val="3"/>
            <w:tcBorders>
              <w:top w:val="single" w:sz="4" w:space="0" w:color="auto"/>
              <w:left w:val="single" w:sz="4" w:space="0" w:color="auto"/>
              <w:bottom w:val="single" w:sz="4" w:space="0" w:color="auto"/>
              <w:right w:val="single" w:sz="4" w:space="0" w:color="auto"/>
            </w:tcBorders>
            <w:hideMark/>
          </w:tcPr>
          <w:p w14:paraId="70D2949B" w14:textId="77777777" w:rsidR="007B23B7" w:rsidRPr="00AA6B7A" w:rsidRDefault="007B23B7" w:rsidP="005E105A">
            <w:pPr>
              <w:spacing w:line="276" w:lineRule="auto"/>
              <w:jc w:val="center"/>
              <w:rPr>
                <w:rFonts w:eastAsia="Times New Roman"/>
                <w:b/>
                <w:color w:val="000000"/>
                <w:lang w:eastAsia="en-US"/>
              </w:rPr>
            </w:pPr>
            <w:r w:rsidRPr="00AA6B7A">
              <w:rPr>
                <w:rFonts w:eastAsia="Times New Roman"/>
                <w:b/>
                <w:color w:val="000000"/>
                <w:lang w:eastAsia="en-US"/>
              </w:rPr>
              <w:t>2.tabula. Ar tiesību akta projektu uzņemtās saistības, kas izriet no starptautiskajiem tiesību aktiem vai starptautiskas institūcijas vai organizācijas dokumentiem</w:t>
            </w:r>
          </w:p>
          <w:p w14:paraId="599BF3DF" w14:textId="77777777" w:rsidR="007B23B7" w:rsidRPr="00AA6B7A" w:rsidRDefault="007B23B7" w:rsidP="005E105A">
            <w:pPr>
              <w:jc w:val="center"/>
              <w:rPr>
                <w:color w:val="000000"/>
                <w:lang w:eastAsia="en-US"/>
              </w:rPr>
            </w:pPr>
            <w:r w:rsidRPr="00AA6B7A">
              <w:rPr>
                <w:b/>
                <w:color w:val="000000"/>
              </w:rPr>
              <w:t>Pasākumi šo saistību izpildei</w:t>
            </w:r>
          </w:p>
        </w:tc>
      </w:tr>
      <w:tr w:rsidR="007B23B7" w:rsidRPr="00AA6B7A" w14:paraId="3C0AA674" w14:textId="77777777" w:rsidTr="00DB2BCB">
        <w:trPr>
          <w:trHeight w:val="1654"/>
        </w:trPr>
        <w:tc>
          <w:tcPr>
            <w:tcW w:w="3374" w:type="dxa"/>
            <w:tcBorders>
              <w:top w:val="single" w:sz="4" w:space="0" w:color="auto"/>
              <w:left w:val="single" w:sz="4" w:space="0" w:color="auto"/>
              <w:bottom w:val="single" w:sz="4" w:space="0" w:color="auto"/>
              <w:right w:val="single" w:sz="4" w:space="0" w:color="auto"/>
            </w:tcBorders>
            <w:hideMark/>
          </w:tcPr>
          <w:p w14:paraId="23E73C21" w14:textId="77777777" w:rsidR="007B23B7" w:rsidRPr="00AA6B7A" w:rsidRDefault="007B23B7" w:rsidP="005E105A">
            <w:pPr>
              <w:jc w:val="both"/>
              <w:rPr>
                <w:color w:val="000000"/>
                <w:lang w:eastAsia="en-US"/>
              </w:rPr>
            </w:pPr>
            <w:r w:rsidRPr="00AA6B7A">
              <w:rPr>
                <w:color w:val="000000"/>
              </w:rPr>
              <w:t>Attiecīgā starptautiskā tiesību akta vai starptautiskas institūcijas vai organizācijas dokumenta (turpmāk – starptautiskais dokuments) datums, numurs un nosaukums</w:t>
            </w:r>
          </w:p>
        </w:tc>
        <w:tc>
          <w:tcPr>
            <w:tcW w:w="6124" w:type="dxa"/>
            <w:gridSpan w:val="2"/>
            <w:tcBorders>
              <w:top w:val="single" w:sz="4" w:space="0" w:color="auto"/>
              <w:left w:val="single" w:sz="4" w:space="0" w:color="auto"/>
              <w:bottom w:val="single" w:sz="4" w:space="0" w:color="auto"/>
              <w:right w:val="single" w:sz="4" w:space="0" w:color="auto"/>
            </w:tcBorders>
            <w:hideMark/>
          </w:tcPr>
          <w:p w14:paraId="78FA7941" w14:textId="77777777" w:rsidR="007B23B7" w:rsidRPr="00AA6B7A" w:rsidRDefault="007B23B7" w:rsidP="005E105A">
            <w:pPr>
              <w:tabs>
                <w:tab w:val="left" w:pos="325"/>
              </w:tabs>
              <w:rPr>
                <w:i/>
                <w:color w:val="000000"/>
                <w:lang w:eastAsia="en-US"/>
              </w:rPr>
            </w:pPr>
            <w:r w:rsidRPr="00AA6B7A">
              <w:rPr>
                <w:iCs/>
                <w:color w:val="000000"/>
              </w:rPr>
              <w:t>MK noteikumu projekts šo jomu neskar.</w:t>
            </w:r>
          </w:p>
        </w:tc>
      </w:tr>
      <w:tr w:rsidR="007B23B7" w:rsidRPr="00AA6B7A" w14:paraId="0E95F298" w14:textId="77777777" w:rsidTr="00DB2BCB">
        <w:trPr>
          <w:trHeight w:val="286"/>
        </w:trPr>
        <w:tc>
          <w:tcPr>
            <w:tcW w:w="3374" w:type="dxa"/>
            <w:tcBorders>
              <w:top w:val="single" w:sz="4" w:space="0" w:color="auto"/>
              <w:left w:val="single" w:sz="4" w:space="0" w:color="auto"/>
              <w:bottom w:val="single" w:sz="4" w:space="0" w:color="auto"/>
              <w:right w:val="single" w:sz="4" w:space="0" w:color="auto"/>
            </w:tcBorders>
            <w:hideMark/>
          </w:tcPr>
          <w:p w14:paraId="7FA08315" w14:textId="77777777" w:rsidR="007B23B7" w:rsidRPr="00AA6B7A" w:rsidRDefault="007B23B7" w:rsidP="005E105A">
            <w:pPr>
              <w:jc w:val="center"/>
              <w:rPr>
                <w:color w:val="000000"/>
                <w:lang w:eastAsia="en-US"/>
              </w:rPr>
            </w:pPr>
            <w:r w:rsidRPr="00AA6B7A">
              <w:rPr>
                <w:color w:val="000000"/>
              </w:rPr>
              <w:t>A</w:t>
            </w:r>
          </w:p>
        </w:tc>
        <w:tc>
          <w:tcPr>
            <w:tcW w:w="3323" w:type="dxa"/>
            <w:tcBorders>
              <w:top w:val="single" w:sz="4" w:space="0" w:color="auto"/>
              <w:left w:val="single" w:sz="4" w:space="0" w:color="auto"/>
              <w:bottom w:val="single" w:sz="4" w:space="0" w:color="auto"/>
              <w:right w:val="single" w:sz="4" w:space="0" w:color="auto"/>
            </w:tcBorders>
            <w:hideMark/>
          </w:tcPr>
          <w:p w14:paraId="4BD1BFC1" w14:textId="77777777" w:rsidR="007B23B7" w:rsidRPr="00AA6B7A" w:rsidRDefault="007B23B7" w:rsidP="005E105A">
            <w:pPr>
              <w:jc w:val="center"/>
              <w:rPr>
                <w:color w:val="000000"/>
                <w:lang w:eastAsia="en-US"/>
              </w:rPr>
            </w:pPr>
            <w:r w:rsidRPr="00AA6B7A">
              <w:rPr>
                <w:color w:val="000000"/>
              </w:rPr>
              <w:t>B</w:t>
            </w:r>
          </w:p>
        </w:tc>
        <w:tc>
          <w:tcPr>
            <w:tcW w:w="2801" w:type="dxa"/>
            <w:tcBorders>
              <w:top w:val="single" w:sz="4" w:space="0" w:color="auto"/>
              <w:left w:val="single" w:sz="4" w:space="0" w:color="auto"/>
              <w:bottom w:val="single" w:sz="4" w:space="0" w:color="auto"/>
              <w:right w:val="single" w:sz="4" w:space="0" w:color="auto"/>
            </w:tcBorders>
            <w:hideMark/>
          </w:tcPr>
          <w:p w14:paraId="48B62428" w14:textId="77777777" w:rsidR="007B23B7" w:rsidRPr="00AA6B7A" w:rsidRDefault="007B23B7" w:rsidP="005E105A">
            <w:pPr>
              <w:jc w:val="center"/>
              <w:rPr>
                <w:color w:val="000000"/>
                <w:lang w:eastAsia="en-US"/>
              </w:rPr>
            </w:pPr>
            <w:r w:rsidRPr="00AA6B7A">
              <w:rPr>
                <w:color w:val="000000"/>
              </w:rPr>
              <w:t>C</w:t>
            </w:r>
          </w:p>
        </w:tc>
      </w:tr>
      <w:tr w:rsidR="007B23B7" w:rsidRPr="00AA6B7A" w14:paraId="100F4306" w14:textId="77777777" w:rsidTr="00DB2BCB">
        <w:trPr>
          <w:trHeight w:val="4135"/>
        </w:trPr>
        <w:tc>
          <w:tcPr>
            <w:tcW w:w="3374" w:type="dxa"/>
            <w:tcBorders>
              <w:top w:val="single" w:sz="4" w:space="0" w:color="auto"/>
              <w:left w:val="single" w:sz="4" w:space="0" w:color="auto"/>
              <w:bottom w:val="single" w:sz="4" w:space="0" w:color="auto"/>
              <w:right w:val="single" w:sz="4" w:space="0" w:color="auto"/>
            </w:tcBorders>
            <w:hideMark/>
          </w:tcPr>
          <w:p w14:paraId="29885F74" w14:textId="77777777" w:rsidR="007B23B7" w:rsidRPr="00AA6B7A" w:rsidRDefault="007B23B7" w:rsidP="005E105A">
            <w:pPr>
              <w:jc w:val="both"/>
              <w:rPr>
                <w:color w:val="000000"/>
              </w:rPr>
            </w:pPr>
            <w:r w:rsidRPr="00AA6B7A">
              <w:rPr>
                <w:color w:val="000000"/>
              </w:rPr>
              <w:lastRenderedPageBreak/>
              <w:t>Starptautiskās saistības (pēc būtības), kas izriet no norādītā starptautiskā dokumenta.</w:t>
            </w:r>
          </w:p>
          <w:p w14:paraId="6FC29B63" w14:textId="77777777" w:rsidR="007B23B7" w:rsidRPr="00AA6B7A" w:rsidRDefault="007B23B7" w:rsidP="005E105A">
            <w:pPr>
              <w:jc w:val="both"/>
              <w:rPr>
                <w:color w:val="000000"/>
                <w:lang w:eastAsia="en-US"/>
              </w:rPr>
            </w:pPr>
            <w:r w:rsidRPr="00AA6B7A">
              <w:rPr>
                <w:color w:val="000000"/>
              </w:rPr>
              <w:t>Konkrēti veicamie pasākumi vai uzdevumi, kas nepieciešami šo starptautisko saistību izpildei</w:t>
            </w:r>
          </w:p>
        </w:tc>
        <w:tc>
          <w:tcPr>
            <w:tcW w:w="3323" w:type="dxa"/>
            <w:tcBorders>
              <w:top w:val="single" w:sz="4" w:space="0" w:color="auto"/>
              <w:left w:val="single" w:sz="4" w:space="0" w:color="auto"/>
              <w:bottom w:val="single" w:sz="4" w:space="0" w:color="auto"/>
              <w:right w:val="single" w:sz="4" w:space="0" w:color="auto"/>
            </w:tcBorders>
            <w:hideMark/>
          </w:tcPr>
          <w:p w14:paraId="17D0124A" w14:textId="77777777" w:rsidR="007B23B7" w:rsidRPr="00AA6B7A" w:rsidRDefault="007B23B7" w:rsidP="005E105A">
            <w:pPr>
              <w:jc w:val="both"/>
              <w:rPr>
                <w:color w:val="000000"/>
                <w:lang w:eastAsia="en-US"/>
              </w:rPr>
            </w:pPr>
            <w:r w:rsidRPr="00AA6B7A">
              <w:rPr>
                <w:color w:val="000000"/>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801" w:type="dxa"/>
            <w:tcBorders>
              <w:top w:val="single" w:sz="4" w:space="0" w:color="auto"/>
              <w:left w:val="single" w:sz="4" w:space="0" w:color="auto"/>
              <w:bottom w:val="single" w:sz="4" w:space="0" w:color="auto"/>
              <w:right w:val="single" w:sz="4" w:space="0" w:color="auto"/>
            </w:tcBorders>
            <w:hideMark/>
          </w:tcPr>
          <w:p w14:paraId="245A54F6" w14:textId="77777777" w:rsidR="007B23B7" w:rsidRPr="00AA6B7A" w:rsidRDefault="007B23B7" w:rsidP="005E105A">
            <w:pPr>
              <w:jc w:val="both"/>
              <w:rPr>
                <w:color w:val="000000"/>
              </w:rPr>
            </w:pPr>
            <w:r w:rsidRPr="00AA6B7A">
              <w:rPr>
                <w:color w:val="000000"/>
              </w:rPr>
              <w:t>Informācija par to, vai starptautiskās saistības, kas minētas šīs tabulas A ailē, tiek izpildītas pilnībā vai daļēji.</w:t>
            </w:r>
          </w:p>
          <w:p w14:paraId="387A1E0F" w14:textId="77777777" w:rsidR="007B23B7" w:rsidRPr="00AA6B7A" w:rsidRDefault="007B23B7" w:rsidP="005E105A">
            <w:pPr>
              <w:jc w:val="both"/>
              <w:rPr>
                <w:color w:val="000000"/>
              </w:rPr>
            </w:pPr>
            <w:r w:rsidRPr="00AA6B7A">
              <w:rPr>
                <w:color w:val="000000"/>
              </w:rPr>
              <w:t>Ja attiecīgās starptautiskās saistības tiek izpildītas daļēji, sniedz attiecīgu skaidrojumu, kā arī precīzi norāda, kad un kādā veidā starptautiskās saistības tiks izpildītas pilnībā.</w:t>
            </w:r>
          </w:p>
          <w:p w14:paraId="3FE0043C" w14:textId="77777777" w:rsidR="007B23B7" w:rsidRPr="00AA6B7A" w:rsidRDefault="007B23B7" w:rsidP="005E105A">
            <w:pPr>
              <w:jc w:val="both"/>
              <w:rPr>
                <w:color w:val="000000"/>
                <w:lang w:eastAsia="en-US"/>
              </w:rPr>
            </w:pPr>
            <w:r w:rsidRPr="00AA6B7A">
              <w:rPr>
                <w:color w:val="000000"/>
              </w:rPr>
              <w:t>Norāda institūciju, kas ir atbildīga par šo saistību izpildi pilnībā</w:t>
            </w:r>
          </w:p>
        </w:tc>
      </w:tr>
      <w:tr w:rsidR="007B23B7" w:rsidRPr="00AA6B7A" w14:paraId="77DEE456" w14:textId="77777777" w:rsidTr="00DB2BCB">
        <w:trPr>
          <w:trHeight w:val="556"/>
        </w:trPr>
        <w:tc>
          <w:tcPr>
            <w:tcW w:w="3374" w:type="dxa"/>
            <w:tcBorders>
              <w:top w:val="single" w:sz="4" w:space="0" w:color="auto"/>
              <w:left w:val="single" w:sz="4" w:space="0" w:color="auto"/>
              <w:bottom w:val="single" w:sz="4" w:space="0" w:color="auto"/>
              <w:right w:val="single" w:sz="4" w:space="0" w:color="auto"/>
            </w:tcBorders>
            <w:hideMark/>
          </w:tcPr>
          <w:p w14:paraId="348AECC3" w14:textId="77777777" w:rsidR="007B23B7" w:rsidRPr="00AA6B7A" w:rsidRDefault="007B23B7" w:rsidP="005E105A">
            <w:pPr>
              <w:jc w:val="both"/>
              <w:rPr>
                <w:color w:val="000000"/>
                <w:lang w:eastAsia="en-US"/>
              </w:rPr>
            </w:pPr>
            <w:r w:rsidRPr="00AA6B7A">
              <w:rPr>
                <w:iCs/>
                <w:color w:val="000000"/>
              </w:rPr>
              <w:t>MK noteikumu projekts šo jomu neskar.</w:t>
            </w:r>
          </w:p>
        </w:tc>
        <w:tc>
          <w:tcPr>
            <w:tcW w:w="3323" w:type="dxa"/>
            <w:tcBorders>
              <w:top w:val="single" w:sz="4" w:space="0" w:color="auto"/>
              <w:left w:val="single" w:sz="4" w:space="0" w:color="auto"/>
              <w:bottom w:val="single" w:sz="4" w:space="0" w:color="auto"/>
              <w:right w:val="single" w:sz="4" w:space="0" w:color="auto"/>
            </w:tcBorders>
            <w:hideMark/>
          </w:tcPr>
          <w:p w14:paraId="50A9B56D" w14:textId="77777777" w:rsidR="007B23B7" w:rsidRPr="00AA6B7A" w:rsidRDefault="007B23B7" w:rsidP="005E105A">
            <w:pPr>
              <w:jc w:val="both"/>
              <w:rPr>
                <w:color w:val="000000"/>
                <w:lang w:eastAsia="en-US"/>
              </w:rPr>
            </w:pPr>
            <w:r w:rsidRPr="00AA6B7A">
              <w:rPr>
                <w:iCs/>
                <w:color w:val="000000"/>
              </w:rPr>
              <w:t>MK noteikumu projekts šo jomu neskar.</w:t>
            </w:r>
          </w:p>
        </w:tc>
        <w:tc>
          <w:tcPr>
            <w:tcW w:w="2801" w:type="dxa"/>
            <w:tcBorders>
              <w:top w:val="single" w:sz="4" w:space="0" w:color="auto"/>
              <w:left w:val="single" w:sz="4" w:space="0" w:color="auto"/>
              <w:bottom w:val="single" w:sz="4" w:space="0" w:color="auto"/>
              <w:right w:val="single" w:sz="4" w:space="0" w:color="auto"/>
            </w:tcBorders>
            <w:hideMark/>
          </w:tcPr>
          <w:p w14:paraId="19A20678" w14:textId="77777777" w:rsidR="007B23B7" w:rsidRPr="00AA6B7A" w:rsidRDefault="007B23B7" w:rsidP="005E105A">
            <w:pPr>
              <w:jc w:val="both"/>
              <w:rPr>
                <w:color w:val="000000"/>
                <w:lang w:eastAsia="en-US"/>
              </w:rPr>
            </w:pPr>
            <w:r w:rsidRPr="00AA6B7A">
              <w:rPr>
                <w:iCs/>
                <w:color w:val="000000"/>
              </w:rPr>
              <w:t>MK noteikumu projekts šo jomu neskar.</w:t>
            </w:r>
          </w:p>
        </w:tc>
      </w:tr>
      <w:tr w:rsidR="007B23B7" w:rsidRPr="00AA6B7A" w14:paraId="1800E07E" w14:textId="77777777" w:rsidTr="00DB2BCB">
        <w:trPr>
          <w:trHeight w:val="271"/>
        </w:trPr>
        <w:tc>
          <w:tcPr>
            <w:tcW w:w="3374" w:type="dxa"/>
            <w:tcBorders>
              <w:top w:val="single" w:sz="4" w:space="0" w:color="auto"/>
              <w:left w:val="single" w:sz="4" w:space="0" w:color="auto"/>
              <w:bottom w:val="single" w:sz="4" w:space="0" w:color="auto"/>
              <w:right w:val="single" w:sz="4" w:space="0" w:color="auto"/>
            </w:tcBorders>
            <w:hideMark/>
          </w:tcPr>
          <w:p w14:paraId="3CEAA0AB" w14:textId="77777777" w:rsidR="007B23B7" w:rsidRPr="00AA6B7A" w:rsidRDefault="007B23B7" w:rsidP="005E105A">
            <w:pPr>
              <w:jc w:val="both"/>
              <w:rPr>
                <w:color w:val="000000"/>
                <w:lang w:eastAsia="en-US"/>
              </w:rPr>
            </w:pPr>
            <w:r w:rsidRPr="00AA6B7A">
              <w:rPr>
                <w:color w:val="000000"/>
              </w:rPr>
              <w:t>Vai starptautiskajā dokumentā paredzētās saistības nav pretrunā ar jau esošajām Latvijas Republikas starptautiskajām saistībām</w:t>
            </w:r>
          </w:p>
        </w:tc>
        <w:tc>
          <w:tcPr>
            <w:tcW w:w="6124" w:type="dxa"/>
            <w:gridSpan w:val="2"/>
            <w:tcBorders>
              <w:top w:val="single" w:sz="4" w:space="0" w:color="auto"/>
              <w:left w:val="single" w:sz="4" w:space="0" w:color="auto"/>
              <w:bottom w:val="single" w:sz="4" w:space="0" w:color="auto"/>
              <w:right w:val="single" w:sz="4" w:space="0" w:color="auto"/>
            </w:tcBorders>
            <w:hideMark/>
          </w:tcPr>
          <w:p w14:paraId="1022897B" w14:textId="77777777" w:rsidR="007B23B7" w:rsidRPr="00AA6B7A" w:rsidRDefault="007B23B7" w:rsidP="005E105A">
            <w:pPr>
              <w:rPr>
                <w:i/>
                <w:color w:val="000000"/>
                <w:lang w:eastAsia="en-US"/>
              </w:rPr>
            </w:pPr>
            <w:r w:rsidRPr="00AA6B7A">
              <w:rPr>
                <w:iCs/>
                <w:color w:val="000000"/>
              </w:rPr>
              <w:t>MK noteikumu projekts šo jomu neskar.</w:t>
            </w:r>
          </w:p>
        </w:tc>
      </w:tr>
      <w:tr w:rsidR="007B23B7" w:rsidRPr="00AA6B7A" w14:paraId="500CE55B" w14:textId="77777777" w:rsidTr="00DB2BCB">
        <w:trPr>
          <w:trHeight w:val="144"/>
        </w:trPr>
        <w:tc>
          <w:tcPr>
            <w:tcW w:w="3374" w:type="dxa"/>
            <w:tcBorders>
              <w:top w:val="single" w:sz="4" w:space="0" w:color="auto"/>
              <w:left w:val="single" w:sz="4" w:space="0" w:color="auto"/>
              <w:bottom w:val="single" w:sz="4" w:space="0" w:color="auto"/>
              <w:right w:val="single" w:sz="4" w:space="0" w:color="auto"/>
            </w:tcBorders>
            <w:hideMark/>
          </w:tcPr>
          <w:p w14:paraId="74B10D13" w14:textId="77777777" w:rsidR="007B23B7" w:rsidRPr="00AA6B7A" w:rsidRDefault="007B23B7" w:rsidP="005E105A">
            <w:pPr>
              <w:rPr>
                <w:color w:val="000000"/>
                <w:lang w:eastAsia="en-US"/>
              </w:rPr>
            </w:pPr>
            <w:r w:rsidRPr="00AA6B7A">
              <w:rPr>
                <w:color w:val="000000"/>
              </w:rPr>
              <w:t>Cita informācija</w:t>
            </w:r>
          </w:p>
        </w:tc>
        <w:tc>
          <w:tcPr>
            <w:tcW w:w="6124" w:type="dxa"/>
            <w:gridSpan w:val="2"/>
            <w:tcBorders>
              <w:top w:val="single" w:sz="4" w:space="0" w:color="auto"/>
              <w:left w:val="single" w:sz="4" w:space="0" w:color="auto"/>
              <w:bottom w:val="single" w:sz="4" w:space="0" w:color="auto"/>
              <w:right w:val="single" w:sz="4" w:space="0" w:color="auto"/>
            </w:tcBorders>
            <w:hideMark/>
          </w:tcPr>
          <w:p w14:paraId="474F80CC" w14:textId="77777777" w:rsidR="007B23B7" w:rsidRPr="00AA6B7A" w:rsidRDefault="007B23B7" w:rsidP="005E105A">
            <w:pPr>
              <w:rPr>
                <w:color w:val="000000"/>
                <w:lang w:eastAsia="en-US"/>
              </w:rPr>
            </w:pPr>
            <w:r w:rsidRPr="00AA6B7A">
              <w:rPr>
                <w:color w:val="000000"/>
              </w:rPr>
              <w:t>Nav.</w:t>
            </w:r>
          </w:p>
        </w:tc>
      </w:tr>
    </w:tbl>
    <w:p w14:paraId="19C7A655" w14:textId="77777777" w:rsidR="007B23B7" w:rsidRPr="00AA6B7A" w:rsidRDefault="007B23B7" w:rsidP="00C61A59">
      <w:pPr>
        <w:jc w:val="center"/>
        <w:rPr>
          <w:color w:val="000000"/>
          <w:highlight w:val="yellow"/>
          <w:lang w:eastAsia="en-US"/>
        </w:rPr>
      </w:pPr>
    </w:p>
    <w:tbl>
      <w:tblPr>
        <w:tblW w:w="95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925"/>
        <w:gridCol w:w="5900"/>
      </w:tblGrid>
      <w:tr w:rsidR="00D542DA" w:rsidRPr="00AA6B7A" w14:paraId="39D11D81" w14:textId="77777777" w:rsidTr="00DB2BCB">
        <w:tc>
          <w:tcPr>
            <w:tcW w:w="9527" w:type="dxa"/>
            <w:gridSpan w:val="3"/>
            <w:shd w:val="clear" w:color="auto" w:fill="auto"/>
          </w:tcPr>
          <w:p w14:paraId="1B44CF4A" w14:textId="77777777" w:rsidR="00D542DA" w:rsidRPr="00AA6B7A" w:rsidRDefault="00D542DA" w:rsidP="00805445">
            <w:pPr>
              <w:jc w:val="center"/>
              <w:rPr>
                <w:color w:val="000000"/>
                <w:lang w:eastAsia="en-US"/>
              </w:rPr>
            </w:pPr>
            <w:r w:rsidRPr="00AA6B7A">
              <w:rPr>
                <w:b/>
                <w:color w:val="000000"/>
              </w:rPr>
              <w:t>VI. Sabiedrības līdzdalība un komunikācijas aktivitātes</w:t>
            </w:r>
          </w:p>
        </w:tc>
      </w:tr>
      <w:tr w:rsidR="00D542DA" w:rsidRPr="00AA6B7A" w14:paraId="7EEC141A" w14:textId="77777777" w:rsidTr="00DB2BCB">
        <w:tc>
          <w:tcPr>
            <w:tcW w:w="702" w:type="dxa"/>
            <w:shd w:val="clear" w:color="auto" w:fill="auto"/>
          </w:tcPr>
          <w:p w14:paraId="2665AC9D" w14:textId="77777777" w:rsidR="00D542DA" w:rsidRPr="00AA6B7A" w:rsidRDefault="00D542DA" w:rsidP="00805445">
            <w:pPr>
              <w:ind w:left="57" w:right="57"/>
              <w:jc w:val="both"/>
              <w:rPr>
                <w:bCs/>
                <w:color w:val="000000"/>
              </w:rPr>
            </w:pPr>
            <w:r w:rsidRPr="00AA6B7A">
              <w:rPr>
                <w:bCs/>
                <w:color w:val="000000"/>
              </w:rPr>
              <w:t>1.</w:t>
            </w:r>
          </w:p>
        </w:tc>
        <w:tc>
          <w:tcPr>
            <w:tcW w:w="2925" w:type="dxa"/>
            <w:shd w:val="clear" w:color="auto" w:fill="auto"/>
          </w:tcPr>
          <w:p w14:paraId="259BD934" w14:textId="77777777" w:rsidR="00D542DA" w:rsidRPr="00AA6B7A" w:rsidRDefault="00D542DA" w:rsidP="00805445">
            <w:pPr>
              <w:tabs>
                <w:tab w:val="left" w:pos="170"/>
              </w:tabs>
              <w:ind w:left="57" w:right="57"/>
              <w:rPr>
                <w:color w:val="000000"/>
              </w:rPr>
            </w:pPr>
            <w:r w:rsidRPr="00AA6B7A">
              <w:rPr>
                <w:color w:val="000000"/>
              </w:rPr>
              <w:t>Plānotās sabiedrības līdzdalības un komunikācijas aktivitātes saistībā ar projektu</w:t>
            </w:r>
          </w:p>
        </w:tc>
        <w:tc>
          <w:tcPr>
            <w:tcW w:w="5900" w:type="dxa"/>
            <w:shd w:val="clear" w:color="auto" w:fill="auto"/>
          </w:tcPr>
          <w:p w14:paraId="66E87562" w14:textId="77777777" w:rsidR="00D542DA" w:rsidRPr="00DB2BCB" w:rsidRDefault="00EA19EF" w:rsidP="007C277B">
            <w:pPr>
              <w:shd w:val="clear" w:color="auto" w:fill="FFFFFF"/>
              <w:ind w:left="57" w:right="113"/>
              <w:jc w:val="both"/>
              <w:rPr>
                <w:color w:val="000000"/>
              </w:rPr>
            </w:pPr>
            <w:r w:rsidRPr="00DB2BCB">
              <w:rPr>
                <w:bCs/>
                <w:color w:val="000000"/>
              </w:rPr>
              <w:t>MK noteikumu projekts tiek virzīts kā MK lieta, tamdēļ papildu sabiedrības līdzdalības un komunikācijas aktivitātes netiek veiktas.</w:t>
            </w:r>
          </w:p>
        </w:tc>
      </w:tr>
      <w:tr w:rsidR="00D542DA" w:rsidRPr="00AA6B7A" w14:paraId="7E2EA2C0" w14:textId="77777777" w:rsidTr="00DB2BCB">
        <w:trPr>
          <w:trHeight w:val="416"/>
        </w:trPr>
        <w:tc>
          <w:tcPr>
            <w:tcW w:w="702" w:type="dxa"/>
            <w:shd w:val="clear" w:color="auto" w:fill="auto"/>
          </w:tcPr>
          <w:p w14:paraId="41CC320A" w14:textId="77777777" w:rsidR="00D542DA" w:rsidRPr="00AA6B7A" w:rsidRDefault="00D542DA" w:rsidP="00805445">
            <w:pPr>
              <w:ind w:left="57" w:right="57"/>
              <w:jc w:val="both"/>
              <w:rPr>
                <w:bCs/>
                <w:color w:val="000000"/>
              </w:rPr>
            </w:pPr>
            <w:r w:rsidRPr="00AA6B7A">
              <w:rPr>
                <w:bCs/>
                <w:color w:val="000000"/>
              </w:rPr>
              <w:t>2.</w:t>
            </w:r>
          </w:p>
        </w:tc>
        <w:tc>
          <w:tcPr>
            <w:tcW w:w="2925" w:type="dxa"/>
            <w:shd w:val="clear" w:color="auto" w:fill="auto"/>
          </w:tcPr>
          <w:p w14:paraId="51A88891" w14:textId="77777777" w:rsidR="00D542DA" w:rsidRPr="00AA6B7A" w:rsidRDefault="00D542DA" w:rsidP="00805445">
            <w:pPr>
              <w:ind w:left="57" w:right="57"/>
              <w:rPr>
                <w:color w:val="000000"/>
              </w:rPr>
            </w:pPr>
            <w:r w:rsidRPr="00AA6B7A">
              <w:rPr>
                <w:color w:val="000000"/>
              </w:rPr>
              <w:t>Sabiedrības līdzdalība projekta izstrādē</w:t>
            </w:r>
          </w:p>
        </w:tc>
        <w:tc>
          <w:tcPr>
            <w:tcW w:w="5900" w:type="dxa"/>
            <w:shd w:val="clear" w:color="auto" w:fill="auto"/>
          </w:tcPr>
          <w:p w14:paraId="70D13BEC" w14:textId="3C585A12" w:rsidR="00053162" w:rsidRPr="00AA6B7A" w:rsidRDefault="00053162" w:rsidP="00053162">
            <w:pPr>
              <w:shd w:val="clear" w:color="auto" w:fill="FFFFFF"/>
              <w:spacing w:after="120"/>
              <w:ind w:left="62" w:right="113"/>
              <w:jc w:val="both"/>
              <w:rPr>
                <w:color w:val="000000"/>
                <w:kern w:val="24"/>
              </w:rPr>
            </w:pPr>
            <w:r w:rsidRPr="00AA6B7A">
              <w:rPr>
                <w:color w:val="000000"/>
                <w:kern w:val="24"/>
              </w:rPr>
              <w:t>Sabiedrības līdzdalība nodrošināta, iesniedzot izskatīšanai projektu iesniegumu vērtēšanas kritēriju projektu un MK noteikumu projektu</w:t>
            </w:r>
            <w:r>
              <w:rPr>
                <w:color w:val="000000"/>
                <w:kern w:val="24"/>
              </w:rPr>
              <w:t xml:space="preserve"> Apakškomitejas </w:t>
            </w:r>
            <w:r w:rsidRPr="00AA6B7A">
              <w:rPr>
                <w:color w:val="000000"/>
                <w:kern w:val="24"/>
              </w:rPr>
              <w:t>sēdē</w:t>
            </w:r>
            <w:r w:rsidRPr="00AA6B7A">
              <w:rPr>
                <w:color w:val="000000"/>
              </w:rPr>
              <w:t>.</w:t>
            </w:r>
          </w:p>
          <w:p w14:paraId="1B2F3C72" w14:textId="25F4D33C" w:rsidR="00D542DA" w:rsidRPr="00AA6B7A" w:rsidRDefault="00053162" w:rsidP="00053162">
            <w:pPr>
              <w:tabs>
                <w:tab w:val="left" w:pos="460"/>
              </w:tabs>
              <w:spacing w:after="120"/>
              <w:ind w:left="62" w:right="113"/>
              <w:jc w:val="both"/>
              <w:rPr>
                <w:color w:val="000000"/>
              </w:rPr>
            </w:pPr>
            <w:r w:rsidRPr="00AA6B7A">
              <w:rPr>
                <w:color w:val="000000"/>
              </w:rPr>
              <w:t>MK noteikumu projekta pasākuma projektu iesniegumu vērtēšanas kritēriji apstiprināti Uzraudzības komitejā 2017.gada 10.janvārī, kuras sastāvā ir iekļauti arī sadarbības, sociālie, nevalstiskā sektora un reģionālie partneri.</w:t>
            </w:r>
          </w:p>
        </w:tc>
      </w:tr>
      <w:tr w:rsidR="001E7A85" w:rsidRPr="00AA6B7A" w14:paraId="0945A5FF" w14:textId="77777777" w:rsidTr="00DB2BCB">
        <w:trPr>
          <w:trHeight w:val="554"/>
        </w:trPr>
        <w:tc>
          <w:tcPr>
            <w:tcW w:w="702" w:type="dxa"/>
            <w:shd w:val="clear" w:color="auto" w:fill="auto"/>
          </w:tcPr>
          <w:p w14:paraId="5E268893" w14:textId="77777777" w:rsidR="001E7A85" w:rsidRPr="00AA6B7A" w:rsidRDefault="001E7A85" w:rsidP="00805445">
            <w:pPr>
              <w:ind w:left="57" w:right="57"/>
              <w:jc w:val="both"/>
              <w:rPr>
                <w:bCs/>
                <w:color w:val="000000"/>
              </w:rPr>
            </w:pPr>
            <w:r w:rsidRPr="00AA6B7A">
              <w:rPr>
                <w:bCs/>
                <w:color w:val="000000"/>
              </w:rPr>
              <w:t>3.</w:t>
            </w:r>
          </w:p>
        </w:tc>
        <w:tc>
          <w:tcPr>
            <w:tcW w:w="2925" w:type="dxa"/>
            <w:shd w:val="clear" w:color="auto" w:fill="auto"/>
          </w:tcPr>
          <w:p w14:paraId="07524DBE" w14:textId="77777777" w:rsidR="001E7A85" w:rsidRPr="00AA6B7A" w:rsidRDefault="001E7A85" w:rsidP="00805445">
            <w:pPr>
              <w:ind w:left="57" w:right="57"/>
              <w:rPr>
                <w:color w:val="000000"/>
              </w:rPr>
            </w:pPr>
            <w:r w:rsidRPr="00AA6B7A">
              <w:rPr>
                <w:color w:val="000000"/>
              </w:rPr>
              <w:t>Sabiedrības līdzdalības rezultāti</w:t>
            </w:r>
          </w:p>
        </w:tc>
        <w:tc>
          <w:tcPr>
            <w:tcW w:w="5900" w:type="dxa"/>
            <w:shd w:val="clear" w:color="auto" w:fill="auto"/>
          </w:tcPr>
          <w:p w14:paraId="7B7D196F" w14:textId="77777777" w:rsidR="001E7A85" w:rsidRPr="00AA6B7A" w:rsidRDefault="001E7A85" w:rsidP="000828CE">
            <w:pPr>
              <w:shd w:val="clear" w:color="auto" w:fill="FFFFFF"/>
              <w:ind w:left="57" w:right="113"/>
              <w:jc w:val="both"/>
              <w:rPr>
                <w:color w:val="000000"/>
              </w:rPr>
            </w:pPr>
            <w:r w:rsidRPr="00AA6B7A">
              <w:rPr>
                <w:color w:val="000000"/>
                <w:kern w:val="24"/>
              </w:rPr>
              <w:t>Uzraudzības komitejas un Apakškomitejas</w:t>
            </w:r>
            <w:r w:rsidR="00C360C5" w:rsidRPr="00AA6B7A">
              <w:rPr>
                <w:color w:val="000000"/>
                <w:kern w:val="24"/>
              </w:rPr>
              <w:t xml:space="preserve"> dalībnieku</w:t>
            </w:r>
            <w:r w:rsidRPr="00AA6B7A">
              <w:rPr>
                <w:color w:val="000000"/>
                <w:kern w:val="24"/>
              </w:rPr>
              <w:t xml:space="preserve"> komentāri ņemti vērā MK noteikumu projekta izstrādē.</w:t>
            </w:r>
          </w:p>
        </w:tc>
      </w:tr>
      <w:tr w:rsidR="001E7A85" w:rsidRPr="00AA6B7A" w14:paraId="0FBDE8C6" w14:textId="77777777" w:rsidTr="00DB2BCB">
        <w:tc>
          <w:tcPr>
            <w:tcW w:w="702" w:type="dxa"/>
            <w:shd w:val="clear" w:color="auto" w:fill="auto"/>
          </w:tcPr>
          <w:p w14:paraId="4FFDE60D" w14:textId="77777777" w:rsidR="001E7A85" w:rsidRPr="00AA6B7A" w:rsidRDefault="001E7A85" w:rsidP="00805445">
            <w:pPr>
              <w:ind w:left="57" w:right="57"/>
              <w:jc w:val="both"/>
              <w:rPr>
                <w:bCs/>
                <w:color w:val="000000"/>
              </w:rPr>
            </w:pPr>
            <w:r w:rsidRPr="00AA6B7A">
              <w:rPr>
                <w:bCs/>
                <w:color w:val="000000"/>
              </w:rPr>
              <w:t>4.</w:t>
            </w:r>
          </w:p>
        </w:tc>
        <w:tc>
          <w:tcPr>
            <w:tcW w:w="2925" w:type="dxa"/>
            <w:shd w:val="clear" w:color="auto" w:fill="auto"/>
          </w:tcPr>
          <w:p w14:paraId="5A6F6653" w14:textId="77777777" w:rsidR="001E7A85" w:rsidRPr="00AA6B7A" w:rsidRDefault="001E7A85" w:rsidP="00805445">
            <w:pPr>
              <w:ind w:left="57" w:right="57"/>
              <w:rPr>
                <w:color w:val="000000"/>
              </w:rPr>
            </w:pPr>
            <w:r w:rsidRPr="00AA6B7A">
              <w:rPr>
                <w:color w:val="000000"/>
              </w:rPr>
              <w:t>Cita informācija</w:t>
            </w:r>
          </w:p>
        </w:tc>
        <w:tc>
          <w:tcPr>
            <w:tcW w:w="5900" w:type="dxa"/>
            <w:shd w:val="clear" w:color="auto" w:fill="auto"/>
          </w:tcPr>
          <w:p w14:paraId="7EB563AD" w14:textId="77777777" w:rsidR="001E7A85" w:rsidRPr="00AA6B7A" w:rsidRDefault="009E7F60" w:rsidP="007C7310">
            <w:pPr>
              <w:ind w:left="57" w:right="113"/>
              <w:jc w:val="both"/>
              <w:rPr>
                <w:color w:val="000000"/>
              </w:rPr>
            </w:pPr>
            <w:r w:rsidRPr="00AA6B7A">
              <w:rPr>
                <w:bCs/>
                <w:color w:val="000000"/>
              </w:rPr>
              <w:t xml:space="preserve">Īstenojot projektu, finansējuma saņēmējs nodrošina informācijas un publicitātes pasākumus, kas noteikti </w:t>
            </w:r>
            <w:r w:rsidRPr="00AA6B7A">
              <w:rPr>
                <w:color w:val="000000"/>
              </w:rPr>
              <w:t>Komisijas regulā Nr.1303/2013</w:t>
            </w:r>
            <w:r w:rsidRPr="00AA6B7A">
              <w:rPr>
                <w:bCs/>
                <w:color w:val="000000"/>
              </w:rPr>
              <w:t xml:space="preserve"> un normatīvajos aktos par Eiropas Savienības fondu publicitātes un vizuālās identitātes prasību nodrošināšanu</w:t>
            </w:r>
          </w:p>
        </w:tc>
      </w:tr>
    </w:tbl>
    <w:p w14:paraId="0397B067" w14:textId="77777777" w:rsidR="00D542DA" w:rsidRDefault="00D542DA" w:rsidP="00C61A59">
      <w:pPr>
        <w:jc w:val="center"/>
        <w:rPr>
          <w:color w:val="000000"/>
          <w:lang w:eastAsia="en-US"/>
        </w:rPr>
      </w:pPr>
    </w:p>
    <w:tbl>
      <w:tblPr>
        <w:tblW w:w="95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4288"/>
        <w:gridCol w:w="4537"/>
      </w:tblGrid>
      <w:tr w:rsidR="001E7A85" w:rsidRPr="00AA6B7A" w14:paraId="3E186869" w14:textId="77777777" w:rsidTr="00DB2BCB">
        <w:tc>
          <w:tcPr>
            <w:tcW w:w="9527" w:type="dxa"/>
            <w:gridSpan w:val="3"/>
            <w:shd w:val="clear" w:color="auto" w:fill="auto"/>
          </w:tcPr>
          <w:p w14:paraId="6D5702EE" w14:textId="77777777" w:rsidR="001E7A85" w:rsidRPr="00AA6B7A" w:rsidRDefault="001E7A85" w:rsidP="007044C6">
            <w:pPr>
              <w:jc w:val="center"/>
              <w:rPr>
                <w:color w:val="000000"/>
              </w:rPr>
            </w:pPr>
            <w:r w:rsidRPr="00AA6B7A">
              <w:rPr>
                <w:b/>
                <w:color w:val="000000"/>
              </w:rPr>
              <w:t>VII. Tiesību akta projekta izpildes nodrošināšana un tās ietekme uz institūcijām</w:t>
            </w:r>
          </w:p>
        </w:tc>
      </w:tr>
      <w:tr w:rsidR="001E7A85" w:rsidRPr="00AA6B7A" w14:paraId="4BB54424" w14:textId="77777777" w:rsidTr="00DB2BCB">
        <w:tc>
          <w:tcPr>
            <w:tcW w:w="702" w:type="dxa"/>
            <w:shd w:val="clear" w:color="auto" w:fill="auto"/>
          </w:tcPr>
          <w:p w14:paraId="496A590A" w14:textId="77777777" w:rsidR="001E7A85" w:rsidRPr="00AA6B7A" w:rsidRDefault="001E7A85" w:rsidP="00805445">
            <w:pPr>
              <w:pStyle w:val="naisnod"/>
              <w:spacing w:before="0" w:beforeAutospacing="0" w:after="0" w:afterAutospacing="0"/>
              <w:ind w:left="57" w:right="57"/>
              <w:jc w:val="both"/>
              <w:rPr>
                <w:color w:val="000000"/>
              </w:rPr>
            </w:pPr>
            <w:r w:rsidRPr="00AA6B7A">
              <w:rPr>
                <w:color w:val="000000"/>
              </w:rPr>
              <w:t>1.</w:t>
            </w:r>
          </w:p>
        </w:tc>
        <w:tc>
          <w:tcPr>
            <w:tcW w:w="4288" w:type="dxa"/>
            <w:shd w:val="clear" w:color="auto" w:fill="auto"/>
          </w:tcPr>
          <w:p w14:paraId="0FE6A6C2" w14:textId="77777777" w:rsidR="001E7A85" w:rsidRPr="00AA6B7A" w:rsidRDefault="001E7A85" w:rsidP="00805445">
            <w:pPr>
              <w:pStyle w:val="naisf"/>
              <w:spacing w:before="0" w:beforeAutospacing="0" w:after="0" w:afterAutospacing="0"/>
              <w:ind w:left="57" w:right="57"/>
              <w:rPr>
                <w:color w:val="000000"/>
              </w:rPr>
            </w:pPr>
            <w:r w:rsidRPr="00AA6B7A">
              <w:rPr>
                <w:color w:val="000000"/>
              </w:rPr>
              <w:t>Projekta izpildē iesaistītās institūcijas</w:t>
            </w:r>
          </w:p>
        </w:tc>
        <w:tc>
          <w:tcPr>
            <w:tcW w:w="4537" w:type="dxa"/>
            <w:shd w:val="clear" w:color="auto" w:fill="auto"/>
          </w:tcPr>
          <w:p w14:paraId="1E9816F4" w14:textId="77777777" w:rsidR="001E7A85" w:rsidRPr="00AA6B7A" w:rsidRDefault="001E7A85" w:rsidP="00DD7053">
            <w:pPr>
              <w:shd w:val="clear" w:color="auto" w:fill="FFFFFF"/>
              <w:ind w:left="57" w:right="113"/>
              <w:jc w:val="both"/>
              <w:rPr>
                <w:color w:val="000000"/>
              </w:rPr>
            </w:pPr>
            <w:r w:rsidRPr="00AA6B7A">
              <w:rPr>
                <w:color w:val="000000"/>
              </w:rPr>
              <w:t xml:space="preserve">VARAM, Centrālā finanšu un līgumu aģentūra kā sadarbības iestāde un </w:t>
            </w:r>
            <w:r w:rsidR="007044C6" w:rsidRPr="00AA6B7A">
              <w:rPr>
                <w:color w:val="000000"/>
              </w:rPr>
              <w:t>VVD</w:t>
            </w:r>
            <w:r w:rsidRPr="00AA6B7A">
              <w:rPr>
                <w:color w:val="000000"/>
              </w:rPr>
              <w:t xml:space="preserve"> kā </w:t>
            </w:r>
            <w:r w:rsidR="00DD7053" w:rsidRPr="00AA6B7A">
              <w:rPr>
                <w:color w:val="000000"/>
              </w:rPr>
              <w:t xml:space="preserve">Projekta II posma </w:t>
            </w:r>
            <w:r w:rsidRPr="00AA6B7A">
              <w:rPr>
                <w:color w:val="000000"/>
              </w:rPr>
              <w:t>finansējuma saņēmējs.</w:t>
            </w:r>
          </w:p>
        </w:tc>
      </w:tr>
      <w:tr w:rsidR="001E7A85" w:rsidRPr="00AA6B7A" w14:paraId="41E54141" w14:textId="77777777" w:rsidTr="00DB2BCB">
        <w:tc>
          <w:tcPr>
            <w:tcW w:w="702" w:type="dxa"/>
            <w:shd w:val="clear" w:color="auto" w:fill="auto"/>
          </w:tcPr>
          <w:p w14:paraId="0403E715" w14:textId="77777777" w:rsidR="001E7A85" w:rsidRPr="00AA6B7A" w:rsidRDefault="001E7A85" w:rsidP="00805445">
            <w:pPr>
              <w:pStyle w:val="naisnod"/>
              <w:spacing w:before="0" w:beforeAutospacing="0" w:after="0" w:afterAutospacing="0"/>
              <w:ind w:left="57" w:right="57"/>
              <w:jc w:val="both"/>
              <w:rPr>
                <w:color w:val="000000"/>
              </w:rPr>
            </w:pPr>
            <w:r w:rsidRPr="00AA6B7A">
              <w:rPr>
                <w:color w:val="000000"/>
              </w:rPr>
              <w:lastRenderedPageBreak/>
              <w:t>2.</w:t>
            </w:r>
          </w:p>
        </w:tc>
        <w:tc>
          <w:tcPr>
            <w:tcW w:w="4288" w:type="dxa"/>
            <w:shd w:val="clear" w:color="auto" w:fill="auto"/>
          </w:tcPr>
          <w:p w14:paraId="24C4C77A" w14:textId="77777777" w:rsidR="001E7A85" w:rsidRPr="00AA6B7A" w:rsidRDefault="001E7A85" w:rsidP="00805445">
            <w:pPr>
              <w:pStyle w:val="naisf"/>
              <w:spacing w:before="0" w:beforeAutospacing="0" w:after="0" w:afterAutospacing="0"/>
              <w:ind w:left="57" w:right="57"/>
              <w:rPr>
                <w:color w:val="000000"/>
              </w:rPr>
            </w:pPr>
            <w:r w:rsidRPr="00AA6B7A">
              <w:rPr>
                <w:color w:val="000000"/>
              </w:rPr>
              <w:t>Projekta izpildes ietekme uz pār</w:t>
            </w:r>
            <w:r w:rsidRPr="00AA6B7A">
              <w:rPr>
                <w:color w:val="000000"/>
              </w:rPr>
              <w:softHyphen/>
              <w:t>valdes funkcijām un institucionālo struktūru.</w:t>
            </w:r>
          </w:p>
          <w:p w14:paraId="2C256BAA" w14:textId="77777777" w:rsidR="001E7A85" w:rsidRPr="00AA6B7A" w:rsidRDefault="001E7A85" w:rsidP="00805445">
            <w:pPr>
              <w:pStyle w:val="naisf"/>
              <w:spacing w:before="0" w:beforeAutospacing="0" w:after="0" w:afterAutospacing="0"/>
              <w:ind w:left="57" w:right="57"/>
              <w:rPr>
                <w:color w:val="000000"/>
              </w:rPr>
            </w:pPr>
            <w:r w:rsidRPr="00AA6B7A">
              <w:rPr>
                <w:color w:val="000000"/>
              </w:rPr>
              <w:t>Jaunu institūciju izveide, esošu institūciju likvidācija vai reorga</w:t>
            </w:r>
            <w:r w:rsidRPr="00AA6B7A">
              <w:rPr>
                <w:color w:val="000000"/>
              </w:rPr>
              <w:softHyphen/>
              <w:t>nizācija, to ietekme uz institūcijas cilvēkresursiem</w:t>
            </w:r>
          </w:p>
        </w:tc>
        <w:tc>
          <w:tcPr>
            <w:tcW w:w="4537" w:type="dxa"/>
            <w:shd w:val="clear" w:color="auto" w:fill="auto"/>
          </w:tcPr>
          <w:p w14:paraId="32A01227" w14:textId="77777777" w:rsidR="001E7A85" w:rsidRPr="00AA6B7A" w:rsidRDefault="001E7A85" w:rsidP="00DD6B2E">
            <w:pPr>
              <w:shd w:val="clear" w:color="auto" w:fill="FFFFFF"/>
              <w:ind w:left="57" w:right="113"/>
              <w:jc w:val="both"/>
              <w:rPr>
                <w:color w:val="000000"/>
              </w:rPr>
            </w:pPr>
            <w:r w:rsidRPr="00AA6B7A">
              <w:rPr>
                <w:color w:val="000000"/>
              </w:rPr>
              <w:t>Nav plānota jaunu institūciju izveide, esošu institūciju likvidācija vai reorganizācija.</w:t>
            </w:r>
          </w:p>
        </w:tc>
      </w:tr>
      <w:tr w:rsidR="001E7A85" w:rsidRPr="00AA6B7A" w14:paraId="28D9FE29" w14:textId="77777777" w:rsidTr="00DB2BCB">
        <w:tc>
          <w:tcPr>
            <w:tcW w:w="702" w:type="dxa"/>
            <w:shd w:val="clear" w:color="auto" w:fill="auto"/>
          </w:tcPr>
          <w:p w14:paraId="13052159" w14:textId="77777777" w:rsidR="001E7A85" w:rsidRPr="00AA6B7A" w:rsidRDefault="001E7A85" w:rsidP="00805445">
            <w:pPr>
              <w:pStyle w:val="naisnod"/>
              <w:spacing w:before="0" w:beforeAutospacing="0" w:after="0" w:afterAutospacing="0"/>
              <w:ind w:left="57" w:right="57"/>
              <w:jc w:val="both"/>
              <w:rPr>
                <w:color w:val="000000"/>
              </w:rPr>
            </w:pPr>
            <w:r w:rsidRPr="00AA6B7A">
              <w:rPr>
                <w:color w:val="000000"/>
              </w:rPr>
              <w:t>3.</w:t>
            </w:r>
          </w:p>
        </w:tc>
        <w:tc>
          <w:tcPr>
            <w:tcW w:w="4288" w:type="dxa"/>
            <w:shd w:val="clear" w:color="auto" w:fill="auto"/>
          </w:tcPr>
          <w:p w14:paraId="46DD18CA" w14:textId="77777777" w:rsidR="001E7A85" w:rsidRPr="00AA6B7A" w:rsidRDefault="001E7A85" w:rsidP="00805445">
            <w:pPr>
              <w:pStyle w:val="naisf"/>
              <w:spacing w:before="0" w:beforeAutospacing="0" w:after="0" w:afterAutospacing="0"/>
              <w:ind w:left="57" w:right="57"/>
              <w:rPr>
                <w:color w:val="000000"/>
              </w:rPr>
            </w:pPr>
            <w:r w:rsidRPr="00AA6B7A">
              <w:rPr>
                <w:color w:val="000000"/>
              </w:rPr>
              <w:t>Cita informācija</w:t>
            </w:r>
          </w:p>
        </w:tc>
        <w:tc>
          <w:tcPr>
            <w:tcW w:w="4537" w:type="dxa"/>
            <w:shd w:val="clear" w:color="auto" w:fill="auto"/>
          </w:tcPr>
          <w:p w14:paraId="2B0CE5D6" w14:textId="77777777" w:rsidR="001E7A85" w:rsidRPr="00AA6B7A" w:rsidRDefault="001E7A85" w:rsidP="00805445">
            <w:pPr>
              <w:ind w:left="57" w:right="57"/>
              <w:jc w:val="both"/>
              <w:rPr>
                <w:color w:val="000000"/>
              </w:rPr>
            </w:pPr>
            <w:r w:rsidRPr="00AA6B7A">
              <w:rPr>
                <w:color w:val="000000"/>
              </w:rPr>
              <w:t>Nav.</w:t>
            </w:r>
          </w:p>
        </w:tc>
      </w:tr>
    </w:tbl>
    <w:p w14:paraId="4DF8464E" w14:textId="77777777" w:rsidR="00D7163F" w:rsidRPr="00AA6B7A" w:rsidRDefault="00D7163F" w:rsidP="00D7163F">
      <w:pPr>
        <w:jc w:val="both"/>
        <w:rPr>
          <w:color w:val="000000"/>
          <w:highlight w:val="yellow"/>
        </w:rPr>
      </w:pPr>
    </w:p>
    <w:p w14:paraId="48AE0F41" w14:textId="77777777" w:rsidR="00693999" w:rsidRPr="00AA6B7A" w:rsidRDefault="008F23E8" w:rsidP="001E7A85">
      <w:pPr>
        <w:jc w:val="both"/>
        <w:rPr>
          <w:color w:val="000000"/>
        </w:rPr>
      </w:pPr>
      <w:r w:rsidRPr="00AA6B7A">
        <w:rPr>
          <w:color w:val="000000"/>
        </w:rPr>
        <w:t xml:space="preserve">Anotācijas </w:t>
      </w:r>
      <w:r w:rsidR="001676EB" w:rsidRPr="00AA6B7A">
        <w:rPr>
          <w:color w:val="000000"/>
        </w:rPr>
        <w:t>IV.</w:t>
      </w:r>
      <w:r w:rsidRPr="00AA6B7A">
        <w:rPr>
          <w:color w:val="000000"/>
        </w:rPr>
        <w:t xml:space="preserve"> </w:t>
      </w:r>
      <w:r w:rsidR="00693999" w:rsidRPr="00AA6B7A">
        <w:rPr>
          <w:color w:val="000000"/>
        </w:rPr>
        <w:t>sadaļa –</w:t>
      </w:r>
      <w:r w:rsidR="00F638B2" w:rsidRPr="00AA6B7A">
        <w:rPr>
          <w:color w:val="000000"/>
        </w:rPr>
        <w:t xml:space="preserve"> </w:t>
      </w:r>
      <w:r w:rsidR="00F638B2" w:rsidRPr="00AA6B7A">
        <w:rPr>
          <w:iCs/>
          <w:color w:val="000000"/>
        </w:rPr>
        <w:t>projekts š</w:t>
      </w:r>
      <w:r w:rsidR="00E2680D" w:rsidRPr="00AA6B7A">
        <w:rPr>
          <w:iCs/>
          <w:color w:val="000000"/>
        </w:rPr>
        <w:t>o</w:t>
      </w:r>
      <w:r w:rsidR="00F638B2" w:rsidRPr="00AA6B7A">
        <w:rPr>
          <w:iCs/>
          <w:color w:val="000000"/>
        </w:rPr>
        <w:t xml:space="preserve"> jom</w:t>
      </w:r>
      <w:r w:rsidR="00E2680D" w:rsidRPr="00AA6B7A">
        <w:rPr>
          <w:iCs/>
          <w:color w:val="000000"/>
        </w:rPr>
        <w:t>u</w:t>
      </w:r>
      <w:r w:rsidR="00F638B2" w:rsidRPr="00AA6B7A">
        <w:rPr>
          <w:iCs/>
          <w:color w:val="000000"/>
        </w:rPr>
        <w:t xml:space="preserve"> neskar.</w:t>
      </w:r>
    </w:p>
    <w:p w14:paraId="588C0030" w14:textId="77777777" w:rsidR="00C61A59" w:rsidRPr="00AA6B7A" w:rsidRDefault="00C61A59" w:rsidP="00D7163F">
      <w:pPr>
        <w:jc w:val="both"/>
        <w:rPr>
          <w:color w:val="000000"/>
          <w:highlight w:val="yellow"/>
        </w:rPr>
      </w:pPr>
    </w:p>
    <w:p w14:paraId="6AFA4D14" w14:textId="77777777" w:rsidR="00F6588F" w:rsidRDefault="00F6588F" w:rsidP="003908DB">
      <w:pPr>
        <w:jc w:val="both"/>
        <w:rPr>
          <w:color w:val="000000"/>
          <w:highlight w:val="yellow"/>
        </w:rPr>
      </w:pPr>
    </w:p>
    <w:p w14:paraId="30E1B266" w14:textId="77777777" w:rsidR="00DB2BCB" w:rsidRDefault="00DB2BCB" w:rsidP="003908DB">
      <w:pPr>
        <w:jc w:val="both"/>
        <w:rPr>
          <w:color w:val="000000"/>
          <w:highlight w:val="yellow"/>
        </w:rPr>
      </w:pPr>
    </w:p>
    <w:p w14:paraId="69438D80" w14:textId="77777777" w:rsidR="00053162" w:rsidRPr="00AA6B7A" w:rsidRDefault="00053162" w:rsidP="00053162">
      <w:pPr>
        <w:jc w:val="both"/>
        <w:rPr>
          <w:color w:val="000000"/>
          <w:szCs w:val="28"/>
        </w:rPr>
      </w:pPr>
      <w:r w:rsidRPr="00AA6B7A">
        <w:rPr>
          <w:color w:val="000000"/>
          <w:szCs w:val="28"/>
        </w:rPr>
        <w:t>Iesniedzējs:</w:t>
      </w:r>
    </w:p>
    <w:p w14:paraId="3940C464" w14:textId="3566ED48" w:rsidR="00053162" w:rsidRDefault="00053162" w:rsidP="00053162">
      <w:pPr>
        <w:jc w:val="both"/>
        <w:rPr>
          <w:color w:val="000000"/>
          <w:highlight w:val="yellow"/>
        </w:rPr>
      </w:pPr>
      <w:r>
        <w:rPr>
          <w:color w:val="000000"/>
        </w:rPr>
        <w:t>v</w:t>
      </w:r>
      <w:r w:rsidRPr="00AA6B7A">
        <w:rPr>
          <w:color w:val="000000"/>
        </w:rPr>
        <w:t>ides aizsardzības un reģionālās attīstības ministrs</w:t>
      </w:r>
      <w:r>
        <w:rPr>
          <w:color w:val="000000"/>
        </w:rPr>
        <w:t xml:space="preserve"> </w:t>
      </w:r>
      <w:r>
        <w:rPr>
          <w:color w:val="000000"/>
        </w:rPr>
        <w:tab/>
      </w:r>
      <w:r>
        <w:rPr>
          <w:color w:val="000000"/>
        </w:rPr>
        <w:tab/>
      </w:r>
      <w:r>
        <w:rPr>
          <w:color w:val="000000"/>
        </w:rPr>
        <w:tab/>
      </w:r>
      <w:r>
        <w:rPr>
          <w:color w:val="000000"/>
        </w:rPr>
        <w:tab/>
        <w:t xml:space="preserve">         </w:t>
      </w:r>
      <w:r w:rsidRPr="00AA6B7A">
        <w:rPr>
          <w:color w:val="000000"/>
        </w:rPr>
        <w:t>K.Gerhards</w:t>
      </w:r>
    </w:p>
    <w:p w14:paraId="04BAFB2F" w14:textId="77777777" w:rsidR="00053162" w:rsidRDefault="00053162" w:rsidP="003908DB">
      <w:pPr>
        <w:jc w:val="both"/>
        <w:rPr>
          <w:color w:val="000000"/>
          <w:highlight w:val="yellow"/>
        </w:rPr>
      </w:pPr>
    </w:p>
    <w:p w14:paraId="317B74BD" w14:textId="77777777" w:rsidR="00053162" w:rsidRDefault="00053162" w:rsidP="003908DB">
      <w:pPr>
        <w:jc w:val="both"/>
        <w:rPr>
          <w:color w:val="000000"/>
          <w:highlight w:val="yellow"/>
        </w:rPr>
      </w:pPr>
    </w:p>
    <w:p w14:paraId="5D85BA9C" w14:textId="77777777" w:rsidR="00DB2BCB" w:rsidRDefault="00DB2BCB" w:rsidP="003908DB">
      <w:pPr>
        <w:jc w:val="both"/>
        <w:rPr>
          <w:color w:val="000000"/>
          <w:highlight w:val="yellow"/>
        </w:rPr>
      </w:pPr>
    </w:p>
    <w:p w14:paraId="1DD36B55" w14:textId="77777777" w:rsidR="00053162" w:rsidRPr="00AA6B7A" w:rsidRDefault="00053162" w:rsidP="00053162">
      <w:pPr>
        <w:jc w:val="both"/>
        <w:rPr>
          <w:color w:val="000000"/>
        </w:rPr>
      </w:pPr>
      <w:r w:rsidRPr="00AA6B7A">
        <w:rPr>
          <w:color w:val="000000"/>
        </w:rPr>
        <w:t xml:space="preserve">Vīza: </w:t>
      </w:r>
    </w:p>
    <w:p w14:paraId="52C96455" w14:textId="07C0DCBE" w:rsidR="00053162" w:rsidRPr="00AA6B7A" w:rsidRDefault="00053162" w:rsidP="00053162">
      <w:pPr>
        <w:jc w:val="both"/>
        <w:rPr>
          <w:color w:val="000000"/>
        </w:rPr>
      </w:pPr>
      <w:r>
        <w:rPr>
          <w:color w:val="000000"/>
        </w:rPr>
        <w:t>v</w:t>
      </w:r>
      <w:r w:rsidRPr="00AA6B7A">
        <w:rPr>
          <w:color w:val="000000"/>
        </w:rPr>
        <w:t xml:space="preserve">ides aizsardzības un reģionālās attīstības ministrijas </w:t>
      </w:r>
      <w:r>
        <w:rPr>
          <w:color w:val="000000"/>
        </w:rPr>
        <w:t xml:space="preserve"> </w:t>
      </w:r>
      <w:r>
        <w:rPr>
          <w:color w:val="000000"/>
        </w:rPr>
        <w:tab/>
      </w:r>
      <w:r>
        <w:rPr>
          <w:color w:val="000000"/>
        </w:rPr>
        <w:tab/>
      </w:r>
      <w:r>
        <w:rPr>
          <w:color w:val="000000"/>
        </w:rPr>
        <w:tab/>
      </w:r>
      <w:r>
        <w:rPr>
          <w:color w:val="000000"/>
        </w:rPr>
        <w:tab/>
      </w:r>
      <w:r w:rsidRPr="00AA6B7A">
        <w:rPr>
          <w:color w:val="000000"/>
        </w:rPr>
        <w:t>R.Muciņš</w:t>
      </w:r>
    </w:p>
    <w:p w14:paraId="683A40C3" w14:textId="131B0386" w:rsidR="00053162" w:rsidRDefault="00053162" w:rsidP="00053162">
      <w:pPr>
        <w:jc w:val="both"/>
        <w:rPr>
          <w:color w:val="000000"/>
          <w:highlight w:val="yellow"/>
        </w:rPr>
      </w:pPr>
      <w:r w:rsidRPr="00AA6B7A">
        <w:rPr>
          <w:color w:val="000000"/>
        </w:rPr>
        <w:t>valsts sekretārs</w:t>
      </w:r>
    </w:p>
    <w:p w14:paraId="1442FF29" w14:textId="77777777" w:rsidR="00053162" w:rsidRPr="00AA6B7A" w:rsidRDefault="00053162" w:rsidP="003908DB">
      <w:pPr>
        <w:jc w:val="both"/>
        <w:rPr>
          <w:color w:val="000000"/>
          <w:highlight w:val="yellow"/>
        </w:rPr>
      </w:pPr>
    </w:p>
    <w:p w14:paraId="1F6BF074" w14:textId="77777777" w:rsidR="0063657C" w:rsidRDefault="0063657C" w:rsidP="003908DB">
      <w:pPr>
        <w:jc w:val="both"/>
        <w:rPr>
          <w:color w:val="000000"/>
          <w:highlight w:val="yellow"/>
        </w:rPr>
      </w:pPr>
    </w:p>
    <w:p w14:paraId="7CAD8B65" w14:textId="77777777" w:rsidR="00053162" w:rsidRPr="00AA6B7A" w:rsidRDefault="00053162" w:rsidP="003908DB">
      <w:pPr>
        <w:jc w:val="both"/>
        <w:rPr>
          <w:color w:val="000000"/>
          <w:highlight w:val="yellow"/>
        </w:rPr>
      </w:pPr>
    </w:p>
    <w:p w14:paraId="0AF4531B" w14:textId="26DC4520" w:rsidR="002E10A9" w:rsidRPr="00AA6B7A" w:rsidRDefault="00DB2BCB" w:rsidP="003908DB">
      <w:pPr>
        <w:jc w:val="both"/>
        <w:rPr>
          <w:color w:val="000000"/>
          <w:sz w:val="20"/>
          <w:szCs w:val="20"/>
        </w:rPr>
      </w:pPr>
      <w:r>
        <w:rPr>
          <w:color w:val="000000"/>
          <w:sz w:val="20"/>
          <w:szCs w:val="20"/>
        </w:rPr>
        <w:t>14</w:t>
      </w:r>
      <w:r w:rsidR="004314F1" w:rsidRPr="00AA6B7A">
        <w:rPr>
          <w:color w:val="000000"/>
          <w:sz w:val="20"/>
          <w:szCs w:val="20"/>
        </w:rPr>
        <w:t>.</w:t>
      </w:r>
      <w:r w:rsidR="001A6210">
        <w:rPr>
          <w:color w:val="000000"/>
          <w:sz w:val="20"/>
          <w:szCs w:val="20"/>
        </w:rPr>
        <w:t>03</w:t>
      </w:r>
      <w:r w:rsidR="00BD6A97" w:rsidRPr="00AA6B7A">
        <w:rPr>
          <w:color w:val="000000"/>
          <w:sz w:val="20"/>
          <w:szCs w:val="20"/>
        </w:rPr>
        <w:t>.</w:t>
      </w:r>
      <w:r w:rsidR="000828CE" w:rsidRPr="00AA6B7A">
        <w:rPr>
          <w:color w:val="000000"/>
          <w:sz w:val="20"/>
          <w:szCs w:val="20"/>
        </w:rPr>
        <w:t>2017</w:t>
      </w:r>
      <w:r w:rsidR="00BD6A97" w:rsidRPr="00AA6B7A">
        <w:rPr>
          <w:color w:val="000000"/>
          <w:sz w:val="20"/>
          <w:szCs w:val="20"/>
        </w:rPr>
        <w:t xml:space="preserve">. </w:t>
      </w:r>
      <w:r>
        <w:rPr>
          <w:color w:val="000000"/>
          <w:sz w:val="20"/>
          <w:szCs w:val="20"/>
        </w:rPr>
        <w:t>9</w:t>
      </w:r>
      <w:r w:rsidR="004B596C" w:rsidRPr="00AA6B7A">
        <w:rPr>
          <w:color w:val="000000"/>
          <w:sz w:val="20"/>
          <w:szCs w:val="20"/>
        </w:rPr>
        <w:t>:</w:t>
      </w:r>
      <w:r w:rsidR="00053162">
        <w:rPr>
          <w:color w:val="000000"/>
          <w:sz w:val="20"/>
          <w:szCs w:val="20"/>
        </w:rPr>
        <w:t>00</w:t>
      </w:r>
    </w:p>
    <w:p w14:paraId="5A24F8CA" w14:textId="6FEB7238" w:rsidR="008A206E" w:rsidRPr="00AA6B7A" w:rsidRDefault="0065629A" w:rsidP="003908DB">
      <w:pPr>
        <w:jc w:val="both"/>
        <w:rPr>
          <w:color w:val="000000"/>
          <w:sz w:val="18"/>
          <w:szCs w:val="20"/>
        </w:rPr>
      </w:pPr>
      <w:r>
        <w:rPr>
          <w:color w:val="000000"/>
          <w:sz w:val="20"/>
          <w:szCs w:val="20"/>
        </w:rPr>
        <w:t>5577</w:t>
      </w:r>
    </w:p>
    <w:p w14:paraId="5769503F" w14:textId="77777777" w:rsidR="004314F1" w:rsidRPr="00AA6B7A" w:rsidRDefault="004314F1" w:rsidP="004314F1">
      <w:pPr>
        <w:jc w:val="both"/>
        <w:rPr>
          <w:color w:val="000000"/>
          <w:sz w:val="20"/>
          <w:szCs w:val="20"/>
        </w:rPr>
      </w:pPr>
      <w:r w:rsidRPr="00AA6B7A">
        <w:rPr>
          <w:color w:val="000000"/>
          <w:sz w:val="20"/>
          <w:szCs w:val="20"/>
        </w:rPr>
        <w:t>A.Auziņa, 66016701</w:t>
      </w:r>
    </w:p>
    <w:p w14:paraId="7E386C2E" w14:textId="77777777" w:rsidR="0034561C" w:rsidRPr="00AA6B7A" w:rsidRDefault="006F199C" w:rsidP="004314F1">
      <w:pPr>
        <w:jc w:val="both"/>
        <w:rPr>
          <w:color w:val="000000"/>
          <w:sz w:val="20"/>
          <w:szCs w:val="20"/>
        </w:rPr>
      </w:pPr>
      <w:hyperlink r:id="rId13" w:history="1">
        <w:r w:rsidR="004314F1" w:rsidRPr="00AA6B7A">
          <w:rPr>
            <w:rStyle w:val="Hyperlink"/>
            <w:color w:val="000000"/>
            <w:sz w:val="20"/>
            <w:szCs w:val="20"/>
          </w:rPr>
          <w:t>austra.auzina@varam.gov.lv</w:t>
        </w:r>
      </w:hyperlink>
    </w:p>
    <w:sectPr w:rsidR="0034561C" w:rsidRPr="00AA6B7A" w:rsidSect="00713798">
      <w:headerReference w:type="default" r:id="rId14"/>
      <w:footerReference w:type="even" r:id="rId15"/>
      <w:footerReference w:type="default" r:id="rId16"/>
      <w:footerReference w:type="first" r:id="rId17"/>
      <w:pgSz w:w="11906" w:h="16838"/>
      <w:pgMar w:top="1418" w:right="1134" w:bottom="1134" w:left="1701" w:header="709" w:footer="2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2AF97" w14:textId="77777777" w:rsidR="006F199C" w:rsidRDefault="006F199C">
      <w:r>
        <w:separator/>
      </w:r>
    </w:p>
  </w:endnote>
  <w:endnote w:type="continuationSeparator" w:id="0">
    <w:p w14:paraId="3BA324CA" w14:textId="77777777" w:rsidR="006F199C" w:rsidRDefault="006F199C">
      <w:r>
        <w:continuationSeparator/>
      </w:r>
    </w:p>
  </w:endnote>
  <w:endnote w:type="continuationNotice" w:id="1">
    <w:p w14:paraId="7F4D172A" w14:textId="77777777" w:rsidR="006F199C" w:rsidRDefault="006F1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3C09A" w14:textId="77777777" w:rsidR="00F14321" w:rsidRPr="00186C21" w:rsidRDefault="00F14321"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9AAA7" w14:textId="2A2A8993" w:rsidR="00F14321" w:rsidRPr="00330635" w:rsidRDefault="00A454C3" w:rsidP="0055227D">
    <w:pPr>
      <w:jc w:val="both"/>
    </w:pPr>
    <w:r>
      <w:rPr>
        <w:sz w:val="20"/>
        <w:szCs w:val="20"/>
      </w:rPr>
      <w:t>VARAM</w:t>
    </w:r>
    <w:r w:rsidR="00F14321" w:rsidRPr="00F72A4F">
      <w:rPr>
        <w:sz w:val="20"/>
        <w:szCs w:val="20"/>
      </w:rPr>
      <w:t>Anot_</w:t>
    </w:r>
    <w:r w:rsidR="008019E1">
      <w:rPr>
        <w:sz w:val="20"/>
        <w:szCs w:val="20"/>
      </w:rPr>
      <w:t>14</w:t>
    </w:r>
    <w:r w:rsidR="00285328">
      <w:rPr>
        <w:sz w:val="20"/>
        <w:szCs w:val="20"/>
      </w:rPr>
      <w:t>0317</w:t>
    </w:r>
    <w:r w:rsidR="00F14321" w:rsidRPr="00F72A4F">
      <w:rPr>
        <w:sz w:val="20"/>
        <w:szCs w:val="20"/>
      </w:rPr>
      <w:t>_SAM</w:t>
    </w:r>
    <w:r>
      <w:rPr>
        <w:sz w:val="20"/>
        <w:szCs w:val="20"/>
      </w:rPr>
      <w:t>_</w:t>
    </w:r>
    <w:r w:rsidR="00F14321" w:rsidRPr="00F72A4F">
      <w:rPr>
        <w:sz w:val="20"/>
        <w:szCs w:val="20"/>
      </w:rPr>
      <w:t>563</w:t>
    </w:r>
    <w:r w:rsidR="00F14321" w:rsidRPr="00392D7D">
      <w:rPr>
        <w:sz w:val="20"/>
        <w:szCs w:val="20"/>
      </w:rPr>
      <w:t xml:space="preserve">; </w:t>
    </w:r>
    <w:r w:rsidR="00F14321" w:rsidRPr="002F40AC">
      <w:rPr>
        <w:sz w:val="20"/>
        <w:szCs w:val="20"/>
      </w:rPr>
      <w:t>Ministru kabineta noteikumu projekta</w:t>
    </w:r>
    <w:r w:rsidR="00F14321">
      <w:rPr>
        <w:sz w:val="20"/>
        <w:szCs w:val="20"/>
      </w:rPr>
      <w:t xml:space="preserve"> “</w:t>
    </w:r>
    <w:r w:rsidR="00F14321" w:rsidRPr="002F40AC">
      <w:rPr>
        <w:sz w:val="20"/>
        <w:szCs w:val="20"/>
      </w:rPr>
      <w:t xml:space="preserve">Darbības programmas </w:t>
    </w:r>
    <w:r w:rsidR="00F14321">
      <w:rPr>
        <w:sz w:val="20"/>
        <w:szCs w:val="20"/>
      </w:rPr>
      <w:t>“</w:t>
    </w:r>
    <w:r w:rsidR="00F14321" w:rsidRPr="002F40AC">
      <w:rPr>
        <w:sz w:val="20"/>
        <w:szCs w:val="20"/>
      </w:rPr>
      <w:t>Izaugsme un nodarbinātība</w:t>
    </w:r>
    <w:r w:rsidR="00F14321">
      <w:rPr>
        <w:sz w:val="20"/>
        <w:szCs w:val="20"/>
      </w:rPr>
      <w:t>”</w:t>
    </w:r>
    <w:r w:rsidR="00F14321" w:rsidRPr="002F40AC">
      <w:rPr>
        <w:sz w:val="20"/>
        <w:szCs w:val="20"/>
      </w:rPr>
      <w:t xml:space="preserve"> </w:t>
    </w:r>
    <w:r w:rsidR="00F14321" w:rsidRPr="00C66C62">
      <w:rPr>
        <w:sz w:val="20"/>
        <w:szCs w:val="20"/>
      </w:rPr>
      <w:t>5.6.3. specifiskā atbals</w:t>
    </w:r>
    <w:r w:rsidR="00F14321">
      <w:rPr>
        <w:sz w:val="20"/>
        <w:szCs w:val="20"/>
      </w:rPr>
      <w:t xml:space="preserve">ta mērķa “Vēsturiski piesārņoto vietu </w:t>
    </w:r>
    <w:r w:rsidR="00F14321" w:rsidRPr="00C66C62">
      <w:rPr>
        <w:sz w:val="20"/>
        <w:szCs w:val="20"/>
      </w:rPr>
      <w:t>sanācija</w:t>
    </w:r>
    <w:r w:rsidR="00F14321" w:rsidRPr="00B57068">
      <w:rPr>
        <w:sz w:val="20"/>
        <w:szCs w:val="20"/>
      </w:rPr>
      <w:t>”</w:t>
    </w:r>
    <w:r w:rsidR="00F14321">
      <w:rPr>
        <w:sz w:val="20"/>
        <w:szCs w:val="20"/>
      </w:rPr>
      <w:t xml:space="preserve"> īstenošanas noteikumi”</w:t>
    </w:r>
    <w:r w:rsidR="00F14321" w:rsidRPr="00B57068">
      <w:rPr>
        <w:sz w:val="20"/>
        <w:szCs w:val="20"/>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BD931" w14:textId="5F472954" w:rsidR="00F14321" w:rsidRPr="00713798" w:rsidRDefault="00A454C3" w:rsidP="008032CD">
    <w:pPr>
      <w:pStyle w:val="BodyText2"/>
      <w:spacing w:line="240" w:lineRule="auto"/>
      <w:jc w:val="both"/>
      <w:rPr>
        <w:b w:val="0"/>
        <w:bCs w:val="0"/>
        <w:sz w:val="20"/>
        <w:szCs w:val="20"/>
        <w:lang w:val="lv-LV"/>
      </w:rPr>
    </w:pPr>
    <w:r>
      <w:rPr>
        <w:b w:val="0"/>
        <w:sz w:val="20"/>
        <w:szCs w:val="20"/>
      </w:rPr>
      <w:t>VARAM</w:t>
    </w:r>
    <w:r w:rsidR="00C2446A">
      <w:rPr>
        <w:b w:val="0"/>
        <w:sz w:val="20"/>
        <w:szCs w:val="20"/>
      </w:rPr>
      <w:t>Anot_</w:t>
    </w:r>
    <w:r w:rsidR="008019E1">
      <w:rPr>
        <w:b w:val="0"/>
        <w:sz w:val="20"/>
        <w:szCs w:val="20"/>
        <w:lang w:val="lv-LV"/>
      </w:rPr>
      <w:t>14</w:t>
    </w:r>
    <w:r w:rsidR="00285328">
      <w:rPr>
        <w:b w:val="0"/>
        <w:sz w:val="20"/>
        <w:szCs w:val="20"/>
        <w:lang w:val="lv-LV"/>
      </w:rPr>
      <w:t>03</w:t>
    </w:r>
    <w:r w:rsidR="0055227D">
      <w:rPr>
        <w:b w:val="0"/>
        <w:sz w:val="20"/>
        <w:szCs w:val="20"/>
        <w:lang w:val="lv-LV"/>
      </w:rPr>
      <w:t>17</w:t>
    </w:r>
    <w:r w:rsidR="00713798" w:rsidRPr="00713798">
      <w:rPr>
        <w:b w:val="0"/>
        <w:sz w:val="20"/>
        <w:szCs w:val="20"/>
      </w:rPr>
      <w:t>_SAM</w:t>
    </w:r>
    <w:r>
      <w:rPr>
        <w:b w:val="0"/>
        <w:sz w:val="20"/>
        <w:szCs w:val="20"/>
        <w:lang w:val="lv-LV"/>
      </w:rPr>
      <w:t>_</w:t>
    </w:r>
    <w:r w:rsidR="00713798" w:rsidRPr="00713798">
      <w:rPr>
        <w:b w:val="0"/>
        <w:sz w:val="20"/>
        <w:szCs w:val="20"/>
      </w:rPr>
      <w:t>563; Ministru kabineta noteikumu projekta “Darbības programmas “Izaugsme un nodarbinātība” 5.6.3. specifiskā atbalsta mērķa “Vēsturiski piesārņoto vietu sanācija” īstenošanas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09EAC" w14:textId="77777777" w:rsidR="006F199C" w:rsidRDefault="006F199C">
      <w:r>
        <w:separator/>
      </w:r>
    </w:p>
  </w:footnote>
  <w:footnote w:type="continuationSeparator" w:id="0">
    <w:p w14:paraId="538E8DE2" w14:textId="77777777" w:rsidR="006F199C" w:rsidRDefault="006F199C">
      <w:r>
        <w:continuationSeparator/>
      </w:r>
    </w:p>
  </w:footnote>
  <w:footnote w:type="continuationNotice" w:id="1">
    <w:p w14:paraId="7883E642" w14:textId="77777777" w:rsidR="006F199C" w:rsidRDefault="006F199C"/>
  </w:footnote>
  <w:footnote w:id="2">
    <w:p w14:paraId="559B251C" w14:textId="77777777" w:rsidR="00E81A61" w:rsidRDefault="00E81A61" w:rsidP="00E81A61">
      <w:pPr>
        <w:pStyle w:val="FootnoteText"/>
      </w:pPr>
      <w:r>
        <w:rPr>
          <w:rStyle w:val="FootnoteReference"/>
          <w:rFonts w:eastAsia="Calibri"/>
        </w:rPr>
        <w:footnoteRef/>
      </w:r>
      <w:r>
        <w:t xml:space="preserve"> </w:t>
      </w:r>
      <w:hyperlink r:id="rId1" w:history="1">
        <w:r w:rsidRPr="006C735A">
          <w:rPr>
            <w:rStyle w:val="Hyperlink"/>
          </w:rPr>
          <w:t>http://www.esfondi.lv/upload/ek-lemums_incukalna_gudrona_diku_sanacija.pdf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B7B83" w14:textId="77777777" w:rsidR="00F14321" w:rsidRDefault="00F14321"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9BA">
      <w:rPr>
        <w:rStyle w:val="PageNumber"/>
        <w:noProof/>
      </w:rPr>
      <w:t>17</w:t>
    </w:r>
    <w:r>
      <w:rPr>
        <w:rStyle w:val="PageNumber"/>
      </w:rPr>
      <w:fldChar w:fldCharType="end"/>
    </w:r>
  </w:p>
  <w:p w14:paraId="53EE3059" w14:textId="77777777" w:rsidR="00F14321" w:rsidRDefault="00F143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012"/>
    <w:multiLevelType w:val="hybridMultilevel"/>
    <w:tmpl w:val="9EF46A60"/>
    <w:lvl w:ilvl="0" w:tplc="04260001">
      <w:start w:val="1"/>
      <w:numFmt w:val="bullet"/>
      <w:lvlText w:val=""/>
      <w:lvlJc w:val="left"/>
      <w:pPr>
        <w:ind w:left="1252" w:hanging="360"/>
      </w:pPr>
      <w:rPr>
        <w:rFonts w:ascii="Symbol" w:hAnsi="Symbol" w:hint="default"/>
      </w:rPr>
    </w:lvl>
    <w:lvl w:ilvl="1" w:tplc="04260003" w:tentative="1">
      <w:start w:val="1"/>
      <w:numFmt w:val="bullet"/>
      <w:lvlText w:val="o"/>
      <w:lvlJc w:val="left"/>
      <w:pPr>
        <w:ind w:left="1972" w:hanging="360"/>
      </w:pPr>
      <w:rPr>
        <w:rFonts w:ascii="Courier New" w:hAnsi="Courier New" w:cs="Courier New" w:hint="default"/>
      </w:rPr>
    </w:lvl>
    <w:lvl w:ilvl="2" w:tplc="04260005" w:tentative="1">
      <w:start w:val="1"/>
      <w:numFmt w:val="bullet"/>
      <w:lvlText w:val=""/>
      <w:lvlJc w:val="left"/>
      <w:pPr>
        <w:ind w:left="2692" w:hanging="360"/>
      </w:pPr>
      <w:rPr>
        <w:rFonts w:ascii="Wingdings" w:hAnsi="Wingdings" w:hint="default"/>
      </w:rPr>
    </w:lvl>
    <w:lvl w:ilvl="3" w:tplc="04260001" w:tentative="1">
      <w:start w:val="1"/>
      <w:numFmt w:val="bullet"/>
      <w:lvlText w:val=""/>
      <w:lvlJc w:val="left"/>
      <w:pPr>
        <w:ind w:left="3412" w:hanging="360"/>
      </w:pPr>
      <w:rPr>
        <w:rFonts w:ascii="Symbol" w:hAnsi="Symbol" w:hint="default"/>
      </w:rPr>
    </w:lvl>
    <w:lvl w:ilvl="4" w:tplc="04260003" w:tentative="1">
      <w:start w:val="1"/>
      <w:numFmt w:val="bullet"/>
      <w:lvlText w:val="o"/>
      <w:lvlJc w:val="left"/>
      <w:pPr>
        <w:ind w:left="4132" w:hanging="360"/>
      </w:pPr>
      <w:rPr>
        <w:rFonts w:ascii="Courier New" w:hAnsi="Courier New" w:cs="Courier New" w:hint="default"/>
      </w:rPr>
    </w:lvl>
    <w:lvl w:ilvl="5" w:tplc="04260005" w:tentative="1">
      <w:start w:val="1"/>
      <w:numFmt w:val="bullet"/>
      <w:lvlText w:val=""/>
      <w:lvlJc w:val="left"/>
      <w:pPr>
        <w:ind w:left="4852" w:hanging="360"/>
      </w:pPr>
      <w:rPr>
        <w:rFonts w:ascii="Wingdings" w:hAnsi="Wingdings" w:hint="default"/>
      </w:rPr>
    </w:lvl>
    <w:lvl w:ilvl="6" w:tplc="04260001" w:tentative="1">
      <w:start w:val="1"/>
      <w:numFmt w:val="bullet"/>
      <w:lvlText w:val=""/>
      <w:lvlJc w:val="left"/>
      <w:pPr>
        <w:ind w:left="5572" w:hanging="360"/>
      </w:pPr>
      <w:rPr>
        <w:rFonts w:ascii="Symbol" w:hAnsi="Symbol" w:hint="default"/>
      </w:rPr>
    </w:lvl>
    <w:lvl w:ilvl="7" w:tplc="04260003" w:tentative="1">
      <w:start w:val="1"/>
      <w:numFmt w:val="bullet"/>
      <w:lvlText w:val="o"/>
      <w:lvlJc w:val="left"/>
      <w:pPr>
        <w:ind w:left="6292" w:hanging="360"/>
      </w:pPr>
      <w:rPr>
        <w:rFonts w:ascii="Courier New" w:hAnsi="Courier New" w:cs="Courier New" w:hint="default"/>
      </w:rPr>
    </w:lvl>
    <w:lvl w:ilvl="8" w:tplc="04260005" w:tentative="1">
      <w:start w:val="1"/>
      <w:numFmt w:val="bullet"/>
      <w:lvlText w:val=""/>
      <w:lvlJc w:val="left"/>
      <w:pPr>
        <w:ind w:left="7012" w:hanging="360"/>
      </w:pPr>
      <w:rPr>
        <w:rFonts w:ascii="Wingdings" w:hAnsi="Wingdings" w:hint="default"/>
      </w:rPr>
    </w:lvl>
  </w:abstractNum>
  <w:abstractNum w:abstractNumId="1" w15:restartNumberingAfterBreak="0">
    <w:nsid w:val="01747E72"/>
    <w:multiLevelType w:val="hybridMultilevel"/>
    <w:tmpl w:val="BD54D71A"/>
    <w:lvl w:ilvl="0" w:tplc="4322CF1A">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AE5FC4"/>
    <w:multiLevelType w:val="hybridMultilevel"/>
    <w:tmpl w:val="0BD40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247FC"/>
    <w:multiLevelType w:val="multilevel"/>
    <w:tmpl w:val="DB061158"/>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9856CA"/>
    <w:multiLevelType w:val="hybridMultilevel"/>
    <w:tmpl w:val="A7165F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C3993"/>
    <w:multiLevelType w:val="hybridMultilevel"/>
    <w:tmpl w:val="DD50F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421725"/>
    <w:multiLevelType w:val="hybridMultilevel"/>
    <w:tmpl w:val="402C59F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12770C90"/>
    <w:multiLevelType w:val="hybridMultilevel"/>
    <w:tmpl w:val="36BAC5B0"/>
    <w:lvl w:ilvl="0" w:tplc="790C297E">
      <w:start w:val="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786C43"/>
    <w:multiLevelType w:val="multilevel"/>
    <w:tmpl w:val="F3AE24A4"/>
    <w:lvl w:ilvl="0">
      <w:start w:val="4"/>
      <w:numFmt w:val="decimal"/>
      <w:lvlText w:val="%1."/>
      <w:lvlJc w:val="left"/>
      <w:pPr>
        <w:ind w:left="36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E60047B"/>
    <w:multiLevelType w:val="hybridMultilevel"/>
    <w:tmpl w:val="1E02B6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E19E0"/>
    <w:multiLevelType w:val="hybridMultilevel"/>
    <w:tmpl w:val="AB9AAF26"/>
    <w:lvl w:ilvl="0" w:tplc="2234A320">
      <w:start w:val="20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42C8D"/>
    <w:multiLevelType w:val="hybridMultilevel"/>
    <w:tmpl w:val="A5A67514"/>
    <w:lvl w:ilvl="0" w:tplc="04260001">
      <w:start w:val="1"/>
      <w:numFmt w:val="bullet"/>
      <w:lvlText w:val=""/>
      <w:lvlJc w:val="left"/>
      <w:pPr>
        <w:ind w:left="1326" w:hanging="360"/>
      </w:pPr>
      <w:rPr>
        <w:rFonts w:ascii="Symbol" w:hAnsi="Symbol" w:hint="default"/>
      </w:rPr>
    </w:lvl>
    <w:lvl w:ilvl="1" w:tplc="04260003" w:tentative="1">
      <w:start w:val="1"/>
      <w:numFmt w:val="bullet"/>
      <w:lvlText w:val="o"/>
      <w:lvlJc w:val="left"/>
      <w:pPr>
        <w:ind w:left="2046" w:hanging="360"/>
      </w:pPr>
      <w:rPr>
        <w:rFonts w:ascii="Courier New" w:hAnsi="Courier New" w:cs="Courier New" w:hint="default"/>
      </w:rPr>
    </w:lvl>
    <w:lvl w:ilvl="2" w:tplc="04260005" w:tentative="1">
      <w:start w:val="1"/>
      <w:numFmt w:val="bullet"/>
      <w:lvlText w:val=""/>
      <w:lvlJc w:val="left"/>
      <w:pPr>
        <w:ind w:left="2766" w:hanging="360"/>
      </w:pPr>
      <w:rPr>
        <w:rFonts w:ascii="Wingdings" w:hAnsi="Wingdings" w:hint="default"/>
      </w:rPr>
    </w:lvl>
    <w:lvl w:ilvl="3" w:tplc="04260001" w:tentative="1">
      <w:start w:val="1"/>
      <w:numFmt w:val="bullet"/>
      <w:lvlText w:val=""/>
      <w:lvlJc w:val="left"/>
      <w:pPr>
        <w:ind w:left="3486" w:hanging="360"/>
      </w:pPr>
      <w:rPr>
        <w:rFonts w:ascii="Symbol" w:hAnsi="Symbol" w:hint="default"/>
      </w:rPr>
    </w:lvl>
    <w:lvl w:ilvl="4" w:tplc="04260003" w:tentative="1">
      <w:start w:val="1"/>
      <w:numFmt w:val="bullet"/>
      <w:lvlText w:val="o"/>
      <w:lvlJc w:val="left"/>
      <w:pPr>
        <w:ind w:left="4206" w:hanging="360"/>
      </w:pPr>
      <w:rPr>
        <w:rFonts w:ascii="Courier New" w:hAnsi="Courier New" w:cs="Courier New" w:hint="default"/>
      </w:rPr>
    </w:lvl>
    <w:lvl w:ilvl="5" w:tplc="04260005" w:tentative="1">
      <w:start w:val="1"/>
      <w:numFmt w:val="bullet"/>
      <w:lvlText w:val=""/>
      <w:lvlJc w:val="left"/>
      <w:pPr>
        <w:ind w:left="4926" w:hanging="360"/>
      </w:pPr>
      <w:rPr>
        <w:rFonts w:ascii="Wingdings" w:hAnsi="Wingdings" w:hint="default"/>
      </w:rPr>
    </w:lvl>
    <w:lvl w:ilvl="6" w:tplc="04260001" w:tentative="1">
      <w:start w:val="1"/>
      <w:numFmt w:val="bullet"/>
      <w:lvlText w:val=""/>
      <w:lvlJc w:val="left"/>
      <w:pPr>
        <w:ind w:left="5646" w:hanging="360"/>
      </w:pPr>
      <w:rPr>
        <w:rFonts w:ascii="Symbol" w:hAnsi="Symbol" w:hint="default"/>
      </w:rPr>
    </w:lvl>
    <w:lvl w:ilvl="7" w:tplc="04260003" w:tentative="1">
      <w:start w:val="1"/>
      <w:numFmt w:val="bullet"/>
      <w:lvlText w:val="o"/>
      <w:lvlJc w:val="left"/>
      <w:pPr>
        <w:ind w:left="6366" w:hanging="360"/>
      </w:pPr>
      <w:rPr>
        <w:rFonts w:ascii="Courier New" w:hAnsi="Courier New" w:cs="Courier New" w:hint="default"/>
      </w:rPr>
    </w:lvl>
    <w:lvl w:ilvl="8" w:tplc="04260005" w:tentative="1">
      <w:start w:val="1"/>
      <w:numFmt w:val="bullet"/>
      <w:lvlText w:val=""/>
      <w:lvlJc w:val="left"/>
      <w:pPr>
        <w:ind w:left="7086" w:hanging="360"/>
      </w:pPr>
      <w:rPr>
        <w:rFonts w:ascii="Wingdings" w:hAnsi="Wingdings" w:hint="default"/>
      </w:rPr>
    </w:lvl>
  </w:abstractNum>
  <w:abstractNum w:abstractNumId="13" w15:restartNumberingAfterBreak="0">
    <w:nsid w:val="211C684D"/>
    <w:multiLevelType w:val="hybridMultilevel"/>
    <w:tmpl w:val="456246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1F60179"/>
    <w:multiLevelType w:val="multilevel"/>
    <w:tmpl w:val="74684D8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8219B7"/>
    <w:multiLevelType w:val="hybridMultilevel"/>
    <w:tmpl w:val="4AE484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7D6699F"/>
    <w:multiLevelType w:val="multilevel"/>
    <w:tmpl w:val="DB061158"/>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B301C07"/>
    <w:multiLevelType w:val="hybridMultilevel"/>
    <w:tmpl w:val="BE88D6A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2DF12F42"/>
    <w:multiLevelType w:val="hybridMultilevel"/>
    <w:tmpl w:val="6B644B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0BC5EE1"/>
    <w:multiLevelType w:val="hybridMultilevel"/>
    <w:tmpl w:val="FCC23E8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3AC0887"/>
    <w:multiLevelType w:val="multilevel"/>
    <w:tmpl w:val="DB061158"/>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44E4FB1"/>
    <w:multiLevelType w:val="hybridMultilevel"/>
    <w:tmpl w:val="062AB196"/>
    <w:lvl w:ilvl="0" w:tplc="04260001">
      <w:start w:val="1"/>
      <w:numFmt w:val="bullet"/>
      <w:lvlText w:val=""/>
      <w:lvlJc w:val="left"/>
      <w:pPr>
        <w:ind w:left="1972" w:hanging="360"/>
      </w:pPr>
      <w:rPr>
        <w:rFonts w:ascii="Symbol" w:hAnsi="Symbol" w:hint="default"/>
      </w:rPr>
    </w:lvl>
    <w:lvl w:ilvl="1" w:tplc="04260003" w:tentative="1">
      <w:start w:val="1"/>
      <w:numFmt w:val="bullet"/>
      <w:lvlText w:val="o"/>
      <w:lvlJc w:val="left"/>
      <w:pPr>
        <w:ind w:left="2692" w:hanging="360"/>
      </w:pPr>
      <w:rPr>
        <w:rFonts w:ascii="Courier New" w:hAnsi="Courier New" w:cs="Courier New" w:hint="default"/>
      </w:rPr>
    </w:lvl>
    <w:lvl w:ilvl="2" w:tplc="04260005" w:tentative="1">
      <w:start w:val="1"/>
      <w:numFmt w:val="bullet"/>
      <w:lvlText w:val=""/>
      <w:lvlJc w:val="left"/>
      <w:pPr>
        <w:ind w:left="3412" w:hanging="360"/>
      </w:pPr>
      <w:rPr>
        <w:rFonts w:ascii="Wingdings" w:hAnsi="Wingdings" w:hint="default"/>
      </w:rPr>
    </w:lvl>
    <w:lvl w:ilvl="3" w:tplc="04260001" w:tentative="1">
      <w:start w:val="1"/>
      <w:numFmt w:val="bullet"/>
      <w:lvlText w:val=""/>
      <w:lvlJc w:val="left"/>
      <w:pPr>
        <w:ind w:left="4132" w:hanging="360"/>
      </w:pPr>
      <w:rPr>
        <w:rFonts w:ascii="Symbol" w:hAnsi="Symbol" w:hint="default"/>
      </w:rPr>
    </w:lvl>
    <w:lvl w:ilvl="4" w:tplc="04260003" w:tentative="1">
      <w:start w:val="1"/>
      <w:numFmt w:val="bullet"/>
      <w:lvlText w:val="o"/>
      <w:lvlJc w:val="left"/>
      <w:pPr>
        <w:ind w:left="4852" w:hanging="360"/>
      </w:pPr>
      <w:rPr>
        <w:rFonts w:ascii="Courier New" w:hAnsi="Courier New" w:cs="Courier New" w:hint="default"/>
      </w:rPr>
    </w:lvl>
    <w:lvl w:ilvl="5" w:tplc="04260005" w:tentative="1">
      <w:start w:val="1"/>
      <w:numFmt w:val="bullet"/>
      <w:lvlText w:val=""/>
      <w:lvlJc w:val="left"/>
      <w:pPr>
        <w:ind w:left="5572" w:hanging="360"/>
      </w:pPr>
      <w:rPr>
        <w:rFonts w:ascii="Wingdings" w:hAnsi="Wingdings" w:hint="default"/>
      </w:rPr>
    </w:lvl>
    <w:lvl w:ilvl="6" w:tplc="04260001" w:tentative="1">
      <w:start w:val="1"/>
      <w:numFmt w:val="bullet"/>
      <w:lvlText w:val=""/>
      <w:lvlJc w:val="left"/>
      <w:pPr>
        <w:ind w:left="6292" w:hanging="360"/>
      </w:pPr>
      <w:rPr>
        <w:rFonts w:ascii="Symbol" w:hAnsi="Symbol" w:hint="default"/>
      </w:rPr>
    </w:lvl>
    <w:lvl w:ilvl="7" w:tplc="04260003" w:tentative="1">
      <w:start w:val="1"/>
      <w:numFmt w:val="bullet"/>
      <w:lvlText w:val="o"/>
      <w:lvlJc w:val="left"/>
      <w:pPr>
        <w:ind w:left="7012" w:hanging="360"/>
      </w:pPr>
      <w:rPr>
        <w:rFonts w:ascii="Courier New" w:hAnsi="Courier New" w:cs="Courier New" w:hint="default"/>
      </w:rPr>
    </w:lvl>
    <w:lvl w:ilvl="8" w:tplc="04260005" w:tentative="1">
      <w:start w:val="1"/>
      <w:numFmt w:val="bullet"/>
      <w:lvlText w:val=""/>
      <w:lvlJc w:val="left"/>
      <w:pPr>
        <w:ind w:left="7732" w:hanging="360"/>
      </w:pPr>
      <w:rPr>
        <w:rFonts w:ascii="Wingdings" w:hAnsi="Wingdings" w:hint="default"/>
      </w:rPr>
    </w:lvl>
  </w:abstractNum>
  <w:abstractNum w:abstractNumId="22" w15:restartNumberingAfterBreak="0">
    <w:nsid w:val="34D753FD"/>
    <w:multiLevelType w:val="hybridMultilevel"/>
    <w:tmpl w:val="CF209374"/>
    <w:lvl w:ilvl="0" w:tplc="04260001">
      <w:start w:val="1"/>
      <w:numFmt w:val="bullet"/>
      <w:lvlText w:val=""/>
      <w:lvlJc w:val="left"/>
      <w:pPr>
        <w:ind w:left="1184" w:hanging="360"/>
      </w:pPr>
      <w:rPr>
        <w:rFonts w:ascii="Symbol" w:hAnsi="Symbol" w:hint="default"/>
      </w:rPr>
    </w:lvl>
    <w:lvl w:ilvl="1" w:tplc="04260003" w:tentative="1">
      <w:start w:val="1"/>
      <w:numFmt w:val="bullet"/>
      <w:lvlText w:val="o"/>
      <w:lvlJc w:val="left"/>
      <w:pPr>
        <w:ind w:left="1904" w:hanging="360"/>
      </w:pPr>
      <w:rPr>
        <w:rFonts w:ascii="Courier New" w:hAnsi="Courier New" w:cs="Courier New" w:hint="default"/>
      </w:rPr>
    </w:lvl>
    <w:lvl w:ilvl="2" w:tplc="04260005" w:tentative="1">
      <w:start w:val="1"/>
      <w:numFmt w:val="bullet"/>
      <w:lvlText w:val=""/>
      <w:lvlJc w:val="left"/>
      <w:pPr>
        <w:ind w:left="2624" w:hanging="360"/>
      </w:pPr>
      <w:rPr>
        <w:rFonts w:ascii="Wingdings" w:hAnsi="Wingdings" w:hint="default"/>
      </w:rPr>
    </w:lvl>
    <w:lvl w:ilvl="3" w:tplc="04260001" w:tentative="1">
      <w:start w:val="1"/>
      <w:numFmt w:val="bullet"/>
      <w:lvlText w:val=""/>
      <w:lvlJc w:val="left"/>
      <w:pPr>
        <w:ind w:left="3344" w:hanging="360"/>
      </w:pPr>
      <w:rPr>
        <w:rFonts w:ascii="Symbol" w:hAnsi="Symbol" w:hint="default"/>
      </w:rPr>
    </w:lvl>
    <w:lvl w:ilvl="4" w:tplc="04260003" w:tentative="1">
      <w:start w:val="1"/>
      <w:numFmt w:val="bullet"/>
      <w:lvlText w:val="o"/>
      <w:lvlJc w:val="left"/>
      <w:pPr>
        <w:ind w:left="4064" w:hanging="360"/>
      </w:pPr>
      <w:rPr>
        <w:rFonts w:ascii="Courier New" w:hAnsi="Courier New" w:cs="Courier New" w:hint="default"/>
      </w:rPr>
    </w:lvl>
    <w:lvl w:ilvl="5" w:tplc="04260005" w:tentative="1">
      <w:start w:val="1"/>
      <w:numFmt w:val="bullet"/>
      <w:lvlText w:val=""/>
      <w:lvlJc w:val="left"/>
      <w:pPr>
        <w:ind w:left="4784" w:hanging="360"/>
      </w:pPr>
      <w:rPr>
        <w:rFonts w:ascii="Wingdings" w:hAnsi="Wingdings" w:hint="default"/>
      </w:rPr>
    </w:lvl>
    <w:lvl w:ilvl="6" w:tplc="04260001" w:tentative="1">
      <w:start w:val="1"/>
      <w:numFmt w:val="bullet"/>
      <w:lvlText w:val=""/>
      <w:lvlJc w:val="left"/>
      <w:pPr>
        <w:ind w:left="5504" w:hanging="360"/>
      </w:pPr>
      <w:rPr>
        <w:rFonts w:ascii="Symbol" w:hAnsi="Symbol" w:hint="default"/>
      </w:rPr>
    </w:lvl>
    <w:lvl w:ilvl="7" w:tplc="04260003" w:tentative="1">
      <w:start w:val="1"/>
      <w:numFmt w:val="bullet"/>
      <w:lvlText w:val="o"/>
      <w:lvlJc w:val="left"/>
      <w:pPr>
        <w:ind w:left="6224" w:hanging="360"/>
      </w:pPr>
      <w:rPr>
        <w:rFonts w:ascii="Courier New" w:hAnsi="Courier New" w:cs="Courier New" w:hint="default"/>
      </w:rPr>
    </w:lvl>
    <w:lvl w:ilvl="8" w:tplc="04260005" w:tentative="1">
      <w:start w:val="1"/>
      <w:numFmt w:val="bullet"/>
      <w:lvlText w:val=""/>
      <w:lvlJc w:val="left"/>
      <w:pPr>
        <w:ind w:left="6944" w:hanging="360"/>
      </w:pPr>
      <w:rPr>
        <w:rFonts w:ascii="Wingdings" w:hAnsi="Wingdings" w:hint="default"/>
      </w:rPr>
    </w:lvl>
  </w:abstractNum>
  <w:abstractNum w:abstractNumId="23" w15:restartNumberingAfterBreak="0">
    <w:nsid w:val="399F5A7D"/>
    <w:multiLevelType w:val="hybridMultilevel"/>
    <w:tmpl w:val="0276D9D8"/>
    <w:lvl w:ilvl="0" w:tplc="E4CACB64">
      <w:start w:val="1"/>
      <w:numFmt w:val="bullet"/>
      <w:pStyle w:val="EE-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B565A"/>
    <w:multiLevelType w:val="hybridMultilevel"/>
    <w:tmpl w:val="A01AA472"/>
    <w:lvl w:ilvl="0" w:tplc="ECD8A3BA">
      <w:start w:val="1"/>
      <w:numFmt w:val="decimal"/>
      <w:lvlText w:val="%1."/>
      <w:lvlJc w:val="left"/>
      <w:pPr>
        <w:ind w:left="810" w:hanging="45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7A3E41"/>
    <w:multiLevelType w:val="hybridMultilevel"/>
    <w:tmpl w:val="15CA32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DFC2BCE"/>
    <w:multiLevelType w:val="multilevel"/>
    <w:tmpl w:val="A16A0672"/>
    <w:lvl w:ilvl="0">
      <w:start w:val="2"/>
      <w:numFmt w:val="decimal"/>
      <w:lvlText w:val="%1."/>
      <w:lvlJc w:val="left"/>
      <w:pPr>
        <w:ind w:left="360" w:hanging="360"/>
      </w:pPr>
      <w:rPr>
        <w:rFonts w:hint="default"/>
      </w:r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0791896"/>
    <w:multiLevelType w:val="multilevel"/>
    <w:tmpl w:val="DB061158"/>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6382261"/>
    <w:multiLevelType w:val="hybridMultilevel"/>
    <w:tmpl w:val="36F23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5A5406"/>
    <w:multiLevelType w:val="hybridMultilevel"/>
    <w:tmpl w:val="5D224766"/>
    <w:lvl w:ilvl="0" w:tplc="00E83C10">
      <w:start w:val="1"/>
      <w:numFmt w:val="decimal"/>
      <w:lvlText w:val="%1."/>
      <w:lvlJc w:val="left"/>
      <w:pPr>
        <w:ind w:left="720" w:hanging="360"/>
      </w:pPr>
      <w:rPr>
        <w:b w:val="0"/>
        <w:i w:val="0"/>
        <w:color w:val="auto"/>
        <w:sz w:val="24"/>
        <w:szCs w:val="24"/>
        <w:vertAlign w:val="baseline"/>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496F7750"/>
    <w:multiLevelType w:val="multilevel"/>
    <w:tmpl w:val="EF541E90"/>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D4F11FD"/>
    <w:multiLevelType w:val="hybridMultilevel"/>
    <w:tmpl w:val="93D251CA"/>
    <w:lvl w:ilvl="0" w:tplc="2234A320">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F995938"/>
    <w:multiLevelType w:val="hybridMultilevel"/>
    <w:tmpl w:val="FCC23E8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C4164A7"/>
    <w:multiLevelType w:val="hybridMultilevel"/>
    <w:tmpl w:val="1E3E93BE"/>
    <w:lvl w:ilvl="0" w:tplc="790C297E">
      <w:start w:val="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DB93A53"/>
    <w:multiLevelType w:val="hybridMultilevel"/>
    <w:tmpl w:val="77C8D164"/>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10839C7"/>
    <w:multiLevelType w:val="hybridMultilevel"/>
    <w:tmpl w:val="681EAFB4"/>
    <w:lvl w:ilvl="0" w:tplc="99D05406">
      <w:start w:val="1"/>
      <w:numFmt w:val="bullet"/>
      <w:lvlText w:val="−"/>
      <w:lvlJc w:val="left"/>
      <w:pPr>
        <w:ind w:left="720" w:hanging="360"/>
      </w:pPr>
      <w:rPr>
        <w:rFonts w:ascii="Georgia" w:hAnsi="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9C7ABC"/>
    <w:multiLevelType w:val="multilevel"/>
    <w:tmpl w:val="80C8E92A"/>
    <w:lvl w:ilvl="0">
      <w:start w:val="1"/>
      <w:numFmt w:val="decimal"/>
      <w:lvlText w:val="%1."/>
      <w:lvlJc w:val="left"/>
      <w:pPr>
        <w:ind w:left="810" w:hanging="450"/>
      </w:pPr>
      <w:rPr>
        <w:rFonts w:hint="default"/>
        <w:i/>
      </w:rPr>
    </w:lvl>
    <w:lvl w:ilvl="1">
      <w:start w:val="1"/>
      <w:numFmt w:val="bullet"/>
      <w:lvlText w:val=""/>
      <w:lvlJc w:val="left"/>
      <w:pPr>
        <w:ind w:left="828" w:hanging="360"/>
      </w:pPr>
      <w:rPr>
        <w:rFonts w:ascii="Symbol" w:hAnsi="Symbol"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088" w:hanging="108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2664" w:hanging="1440"/>
      </w:pPr>
      <w:rPr>
        <w:rFonts w:hint="default"/>
      </w:rPr>
    </w:lvl>
  </w:abstractNum>
  <w:abstractNum w:abstractNumId="37" w15:restartNumberingAfterBreak="0">
    <w:nsid w:val="631B41DC"/>
    <w:multiLevelType w:val="hybridMultilevel"/>
    <w:tmpl w:val="032049B8"/>
    <w:lvl w:ilvl="0" w:tplc="0426000F">
      <w:start w:val="1"/>
      <w:numFmt w:val="decimal"/>
      <w:lvlText w:val="%1."/>
      <w:lvlJc w:val="left"/>
      <w:pPr>
        <w:ind w:left="720" w:hanging="360"/>
      </w:pPr>
      <w:rPr>
        <w:rFonts w:hint="default"/>
      </w:rPr>
    </w:lvl>
    <w:lvl w:ilvl="1" w:tplc="5EBCB240">
      <w:start w:val="1"/>
      <w:numFmt w:val="lowerLetter"/>
      <w:lvlText w:val="%2)"/>
      <w:lvlJc w:val="left"/>
      <w:pPr>
        <w:ind w:left="1440" w:hanging="360"/>
      </w:pPr>
      <w:rPr>
        <w:rFonts w:ascii="Times New Roman" w:eastAsia="Times New Roman" w:hAnsi="Times New Roman" w:cs="Times New Roman"/>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5332087"/>
    <w:multiLevelType w:val="hybridMultilevel"/>
    <w:tmpl w:val="0D6E89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978636C"/>
    <w:multiLevelType w:val="multilevel"/>
    <w:tmpl w:val="DB061158"/>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A9C3258"/>
    <w:multiLevelType w:val="hybridMultilevel"/>
    <w:tmpl w:val="4302F04A"/>
    <w:lvl w:ilvl="0" w:tplc="03BCBA38">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AE93A78"/>
    <w:multiLevelType w:val="hybridMultilevel"/>
    <w:tmpl w:val="A0847B86"/>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42" w15:restartNumberingAfterBreak="0">
    <w:nsid w:val="6CBC2405"/>
    <w:multiLevelType w:val="hybridMultilevel"/>
    <w:tmpl w:val="FD02D1B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E33CDB"/>
    <w:multiLevelType w:val="hybridMultilevel"/>
    <w:tmpl w:val="A02E9C2A"/>
    <w:lvl w:ilvl="0" w:tplc="BE765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0AF346D"/>
    <w:multiLevelType w:val="hybridMultilevel"/>
    <w:tmpl w:val="CCCEA39E"/>
    <w:lvl w:ilvl="0" w:tplc="3D60F104">
      <w:start w:val="2007"/>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1753E3"/>
    <w:multiLevelType w:val="hybridMultilevel"/>
    <w:tmpl w:val="0964A63A"/>
    <w:lvl w:ilvl="0" w:tplc="8DF804DA">
      <w:start w:val="1"/>
      <w:numFmt w:val="decimal"/>
      <w:lvlText w:val="(%1)"/>
      <w:lvlJc w:val="left"/>
      <w:pPr>
        <w:ind w:left="450" w:hanging="39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6" w15:restartNumberingAfterBreak="0">
    <w:nsid w:val="76F72B3E"/>
    <w:multiLevelType w:val="hybridMultilevel"/>
    <w:tmpl w:val="543E5BA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AA84009"/>
    <w:multiLevelType w:val="hybridMultilevel"/>
    <w:tmpl w:val="A0BE3EC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C4D5BE8"/>
    <w:multiLevelType w:val="hybridMultilevel"/>
    <w:tmpl w:val="4F70E5E6"/>
    <w:lvl w:ilvl="0" w:tplc="0426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5"/>
  </w:num>
  <w:num w:numId="2">
    <w:abstractNumId w:val="47"/>
  </w:num>
  <w:num w:numId="3">
    <w:abstractNumId w:val="12"/>
  </w:num>
  <w:num w:numId="4">
    <w:abstractNumId w:val="22"/>
  </w:num>
  <w:num w:numId="5">
    <w:abstractNumId w:val="13"/>
  </w:num>
  <w:num w:numId="6">
    <w:abstractNumId w:val="34"/>
  </w:num>
  <w:num w:numId="7">
    <w:abstractNumId w:val="1"/>
  </w:num>
  <w:num w:numId="8">
    <w:abstractNumId w:val="24"/>
  </w:num>
  <w:num w:numId="9">
    <w:abstractNumId w:val="18"/>
  </w:num>
  <w:num w:numId="10">
    <w:abstractNumId w:val="1"/>
  </w:num>
  <w:num w:numId="11">
    <w:abstractNumId w:val="48"/>
  </w:num>
  <w:num w:numId="12">
    <w:abstractNumId w:val="40"/>
  </w:num>
  <w:num w:numId="13">
    <w:abstractNumId w:val="7"/>
  </w:num>
  <w:num w:numId="14">
    <w:abstractNumId w:val="21"/>
  </w:num>
  <w:num w:numId="15">
    <w:abstractNumId w:val="0"/>
  </w:num>
  <w:num w:numId="16">
    <w:abstractNumId w:val="15"/>
  </w:num>
  <w:num w:numId="17">
    <w:abstractNumId w:val="36"/>
  </w:num>
  <w:num w:numId="18">
    <w:abstractNumId w:val="45"/>
  </w:num>
  <w:num w:numId="19">
    <w:abstractNumId w:val="2"/>
  </w:num>
  <w:num w:numId="20">
    <w:abstractNumId w:val="9"/>
  </w:num>
  <w:num w:numId="21">
    <w:abstractNumId w:val="42"/>
  </w:num>
  <w:num w:numId="22">
    <w:abstractNumId w:val="11"/>
  </w:num>
  <w:num w:numId="23">
    <w:abstractNumId w:val="38"/>
  </w:num>
  <w:num w:numId="24">
    <w:abstractNumId w:val="23"/>
  </w:num>
  <w:num w:numId="25">
    <w:abstractNumId w:val="4"/>
  </w:num>
  <w:num w:numId="26">
    <w:abstractNumId w:val="10"/>
  </w:num>
  <w:num w:numId="27">
    <w:abstractNumId w:val="44"/>
  </w:num>
  <w:num w:numId="28">
    <w:abstractNumId w:val="6"/>
  </w:num>
  <w:num w:numId="29">
    <w:abstractNumId w:val="28"/>
  </w:num>
  <w:num w:numId="30">
    <w:abstractNumId w:val="46"/>
  </w:num>
  <w:num w:numId="31">
    <w:abstractNumId w:val="43"/>
  </w:num>
  <w:num w:numId="32">
    <w:abstractNumId w:val="5"/>
  </w:num>
  <w:num w:numId="33">
    <w:abstractNumId w:val="3"/>
  </w:num>
  <w:num w:numId="34">
    <w:abstractNumId w:val="39"/>
  </w:num>
  <w:num w:numId="35">
    <w:abstractNumId w:val="20"/>
  </w:num>
  <w:num w:numId="36">
    <w:abstractNumId w:val="27"/>
  </w:num>
  <w:num w:numId="37">
    <w:abstractNumId w:val="16"/>
  </w:num>
  <w:num w:numId="38">
    <w:abstractNumId w:val="31"/>
  </w:num>
  <w:num w:numId="39">
    <w:abstractNumId w:val="33"/>
  </w:num>
  <w:num w:numId="40">
    <w:abstractNumId w:val="8"/>
  </w:num>
  <w:num w:numId="41">
    <w:abstractNumId w:val="14"/>
  </w:num>
  <w:num w:numId="42">
    <w:abstractNumId w:val="26"/>
  </w:num>
  <w:num w:numId="43">
    <w:abstractNumId w:val="37"/>
  </w:num>
  <w:num w:numId="44">
    <w:abstractNumId w:val="32"/>
  </w:num>
  <w:num w:numId="45">
    <w:abstractNumId w:val="29"/>
  </w:num>
  <w:num w:numId="46">
    <w:abstractNumId w:val="25"/>
  </w:num>
  <w:num w:numId="47">
    <w:abstractNumId w:val="30"/>
  </w:num>
  <w:num w:numId="48">
    <w:abstractNumId w:val="19"/>
  </w:num>
  <w:num w:numId="49">
    <w:abstractNumId w:val="17"/>
  </w:num>
  <w:num w:numId="50">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0B53"/>
    <w:rsid w:val="00001848"/>
    <w:rsid w:val="000023FD"/>
    <w:rsid w:val="00002E0E"/>
    <w:rsid w:val="00003A26"/>
    <w:rsid w:val="0000557A"/>
    <w:rsid w:val="000069F6"/>
    <w:rsid w:val="000070AB"/>
    <w:rsid w:val="00007B65"/>
    <w:rsid w:val="00010130"/>
    <w:rsid w:val="0001036C"/>
    <w:rsid w:val="00010917"/>
    <w:rsid w:val="00010CB3"/>
    <w:rsid w:val="00011F50"/>
    <w:rsid w:val="000126CC"/>
    <w:rsid w:val="00015F37"/>
    <w:rsid w:val="00016A4F"/>
    <w:rsid w:val="00016DB8"/>
    <w:rsid w:val="00016FFA"/>
    <w:rsid w:val="0001795B"/>
    <w:rsid w:val="00025D9F"/>
    <w:rsid w:val="0002702D"/>
    <w:rsid w:val="00030B47"/>
    <w:rsid w:val="00031531"/>
    <w:rsid w:val="00032C84"/>
    <w:rsid w:val="00032CC9"/>
    <w:rsid w:val="00033622"/>
    <w:rsid w:val="00033962"/>
    <w:rsid w:val="00035752"/>
    <w:rsid w:val="00035FD1"/>
    <w:rsid w:val="0003643F"/>
    <w:rsid w:val="0003756C"/>
    <w:rsid w:val="00037B3E"/>
    <w:rsid w:val="00037EA8"/>
    <w:rsid w:val="000427EC"/>
    <w:rsid w:val="00042E76"/>
    <w:rsid w:val="00043C0E"/>
    <w:rsid w:val="00043C55"/>
    <w:rsid w:val="00044846"/>
    <w:rsid w:val="000456A6"/>
    <w:rsid w:val="00046B88"/>
    <w:rsid w:val="000501E1"/>
    <w:rsid w:val="000503D4"/>
    <w:rsid w:val="000507F5"/>
    <w:rsid w:val="00053162"/>
    <w:rsid w:val="00053DE9"/>
    <w:rsid w:val="00054E92"/>
    <w:rsid w:val="00056289"/>
    <w:rsid w:val="000600BF"/>
    <w:rsid w:val="00061BA5"/>
    <w:rsid w:val="00062143"/>
    <w:rsid w:val="000624F1"/>
    <w:rsid w:val="000629D5"/>
    <w:rsid w:val="00062BEB"/>
    <w:rsid w:val="000643D4"/>
    <w:rsid w:val="0006448D"/>
    <w:rsid w:val="000648AC"/>
    <w:rsid w:val="0006611D"/>
    <w:rsid w:val="000663AF"/>
    <w:rsid w:val="000671DF"/>
    <w:rsid w:val="000706BF"/>
    <w:rsid w:val="00081113"/>
    <w:rsid w:val="000817AB"/>
    <w:rsid w:val="000817DA"/>
    <w:rsid w:val="000828CE"/>
    <w:rsid w:val="00083600"/>
    <w:rsid w:val="00083A4D"/>
    <w:rsid w:val="00084A32"/>
    <w:rsid w:val="0008752E"/>
    <w:rsid w:val="0009000E"/>
    <w:rsid w:val="000901B1"/>
    <w:rsid w:val="000905D9"/>
    <w:rsid w:val="0009178C"/>
    <w:rsid w:val="00093193"/>
    <w:rsid w:val="00093676"/>
    <w:rsid w:val="0009448B"/>
    <w:rsid w:val="00094926"/>
    <w:rsid w:val="00095018"/>
    <w:rsid w:val="00095292"/>
    <w:rsid w:val="000952A1"/>
    <w:rsid w:val="0009693B"/>
    <w:rsid w:val="00096D42"/>
    <w:rsid w:val="000970F8"/>
    <w:rsid w:val="000A03A6"/>
    <w:rsid w:val="000A38C5"/>
    <w:rsid w:val="000A423C"/>
    <w:rsid w:val="000A534A"/>
    <w:rsid w:val="000A79AB"/>
    <w:rsid w:val="000B1ADF"/>
    <w:rsid w:val="000B3E3D"/>
    <w:rsid w:val="000B4094"/>
    <w:rsid w:val="000B744A"/>
    <w:rsid w:val="000B74F2"/>
    <w:rsid w:val="000B7AB5"/>
    <w:rsid w:val="000C0D6D"/>
    <w:rsid w:val="000C0F79"/>
    <w:rsid w:val="000C1255"/>
    <w:rsid w:val="000C2724"/>
    <w:rsid w:val="000C5436"/>
    <w:rsid w:val="000C7030"/>
    <w:rsid w:val="000C7B9A"/>
    <w:rsid w:val="000D0DCE"/>
    <w:rsid w:val="000D1838"/>
    <w:rsid w:val="000D1983"/>
    <w:rsid w:val="000D2C17"/>
    <w:rsid w:val="000D2E24"/>
    <w:rsid w:val="000D2F6D"/>
    <w:rsid w:val="000D317D"/>
    <w:rsid w:val="000D3320"/>
    <w:rsid w:val="000D3D70"/>
    <w:rsid w:val="000D4C0F"/>
    <w:rsid w:val="000D5611"/>
    <w:rsid w:val="000D5891"/>
    <w:rsid w:val="000D5F89"/>
    <w:rsid w:val="000D78FD"/>
    <w:rsid w:val="000D7999"/>
    <w:rsid w:val="000E1034"/>
    <w:rsid w:val="000E327F"/>
    <w:rsid w:val="000E3837"/>
    <w:rsid w:val="000E52C0"/>
    <w:rsid w:val="000E5BDF"/>
    <w:rsid w:val="000E5D82"/>
    <w:rsid w:val="000E6573"/>
    <w:rsid w:val="000E6952"/>
    <w:rsid w:val="000E7F76"/>
    <w:rsid w:val="000F06A3"/>
    <w:rsid w:val="000F0BA7"/>
    <w:rsid w:val="000F0C52"/>
    <w:rsid w:val="000F0E3B"/>
    <w:rsid w:val="000F16B3"/>
    <w:rsid w:val="000F27F6"/>
    <w:rsid w:val="000F4A8C"/>
    <w:rsid w:val="000F4DC7"/>
    <w:rsid w:val="000F4F3B"/>
    <w:rsid w:val="000F56A7"/>
    <w:rsid w:val="000F5C69"/>
    <w:rsid w:val="000F6713"/>
    <w:rsid w:val="00100314"/>
    <w:rsid w:val="0010046F"/>
    <w:rsid w:val="00100981"/>
    <w:rsid w:val="00100BE9"/>
    <w:rsid w:val="00100D7C"/>
    <w:rsid w:val="00101A94"/>
    <w:rsid w:val="00102912"/>
    <w:rsid w:val="001037F8"/>
    <w:rsid w:val="00103A6C"/>
    <w:rsid w:val="00104E5A"/>
    <w:rsid w:val="00104E6E"/>
    <w:rsid w:val="001063E2"/>
    <w:rsid w:val="00107A3D"/>
    <w:rsid w:val="00111256"/>
    <w:rsid w:val="0011299A"/>
    <w:rsid w:val="00112F49"/>
    <w:rsid w:val="00113141"/>
    <w:rsid w:val="001132B9"/>
    <w:rsid w:val="0011432F"/>
    <w:rsid w:val="001157B2"/>
    <w:rsid w:val="0011584F"/>
    <w:rsid w:val="00121F0F"/>
    <w:rsid w:val="00122AB2"/>
    <w:rsid w:val="00125297"/>
    <w:rsid w:val="00125714"/>
    <w:rsid w:val="001260D2"/>
    <w:rsid w:val="00126C02"/>
    <w:rsid w:val="001272B7"/>
    <w:rsid w:val="001320BC"/>
    <w:rsid w:val="00132A3E"/>
    <w:rsid w:val="00132C58"/>
    <w:rsid w:val="001333C1"/>
    <w:rsid w:val="00133C20"/>
    <w:rsid w:val="001356F7"/>
    <w:rsid w:val="001359CE"/>
    <w:rsid w:val="00135AF6"/>
    <w:rsid w:val="00136B1B"/>
    <w:rsid w:val="001404C5"/>
    <w:rsid w:val="00141538"/>
    <w:rsid w:val="001418C6"/>
    <w:rsid w:val="001428A9"/>
    <w:rsid w:val="00142AEA"/>
    <w:rsid w:val="00142EC7"/>
    <w:rsid w:val="0014304D"/>
    <w:rsid w:val="00144810"/>
    <w:rsid w:val="00144BF2"/>
    <w:rsid w:val="0014628E"/>
    <w:rsid w:val="00152169"/>
    <w:rsid w:val="0015287B"/>
    <w:rsid w:val="00152A3B"/>
    <w:rsid w:val="00152B4A"/>
    <w:rsid w:val="0015323A"/>
    <w:rsid w:val="00153AEE"/>
    <w:rsid w:val="001556AE"/>
    <w:rsid w:val="00155D30"/>
    <w:rsid w:val="0015709E"/>
    <w:rsid w:val="001577D9"/>
    <w:rsid w:val="00160BE8"/>
    <w:rsid w:val="00162E94"/>
    <w:rsid w:val="00162EED"/>
    <w:rsid w:val="00163EB4"/>
    <w:rsid w:val="00164079"/>
    <w:rsid w:val="001676EB"/>
    <w:rsid w:val="00167959"/>
    <w:rsid w:val="00171627"/>
    <w:rsid w:val="001725AE"/>
    <w:rsid w:val="001750CD"/>
    <w:rsid w:val="00176350"/>
    <w:rsid w:val="00176FAD"/>
    <w:rsid w:val="00177045"/>
    <w:rsid w:val="00177068"/>
    <w:rsid w:val="00180BDE"/>
    <w:rsid w:val="001816B9"/>
    <w:rsid w:val="00187353"/>
    <w:rsid w:val="001913BD"/>
    <w:rsid w:val="001934C4"/>
    <w:rsid w:val="001953A7"/>
    <w:rsid w:val="00195D1F"/>
    <w:rsid w:val="0019632B"/>
    <w:rsid w:val="001979DD"/>
    <w:rsid w:val="001A0A2C"/>
    <w:rsid w:val="001A3B59"/>
    <w:rsid w:val="001A42E3"/>
    <w:rsid w:val="001A4CA5"/>
    <w:rsid w:val="001A5627"/>
    <w:rsid w:val="001A577F"/>
    <w:rsid w:val="001A5867"/>
    <w:rsid w:val="001A6210"/>
    <w:rsid w:val="001A6E23"/>
    <w:rsid w:val="001A756C"/>
    <w:rsid w:val="001B0A1F"/>
    <w:rsid w:val="001B18EE"/>
    <w:rsid w:val="001B2391"/>
    <w:rsid w:val="001B2891"/>
    <w:rsid w:val="001B2B6D"/>
    <w:rsid w:val="001B4CCB"/>
    <w:rsid w:val="001B50DE"/>
    <w:rsid w:val="001B6148"/>
    <w:rsid w:val="001B6264"/>
    <w:rsid w:val="001B688B"/>
    <w:rsid w:val="001B69F4"/>
    <w:rsid w:val="001C0303"/>
    <w:rsid w:val="001C1418"/>
    <w:rsid w:val="001C1C99"/>
    <w:rsid w:val="001C363B"/>
    <w:rsid w:val="001C4291"/>
    <w:rsid w:val="001C5252"/>
    <w:rsid w:val="001C52DF"/>
    <w:rsid w:val="001C53BB"/>
    <w:rsid w:val="001C70DA"/>
    <w:rsid w:val="001C7DDA"/>
    <w:rsid w:val="001D0A43"/>
    <w:rsid w:val="001D0C5C"/>
    <w:rsid w:val="001D1AC4"/>
    <w:rsid w:val="001D1ADD"/>
    <w:rsid w:val="001D2003"/>
    <w:rsid w:val="001D2BED"/>
    <w:rsid w:val="001D2C76"/>
    <w:rsid w:val="001D2F71"/>
    <w:rsid w:val="001D4894"/>
    <w:rsid w:val="001D4F55"/>
    <w:rsid w:val="001D5FE3"/>
    <w:rsid w:val="001D652A"/>
    <w:rsid w:val="001D662C"/>
    <w:rsid w:val="001D6DF3"/>
    <w:rsid w:val="001E05C0"/>
    <w:rsid w:val="001E065F"/>
    <w:rsid w:val="001E13D7"/>
    <w:rsid w:val="001E1862"/>
    <w:rsid w:val="001E1D73"/>
    <w:rsid w:val="001E1E2A"/>
    <w:rsid w:val="001E228E"/>
    <w:rsid w:val="001E2776"/>
    <w:rsid w:val="001E4C76"/>
    <w:rsid w:val="001E6375"/>
    <w:rsid w:val="001E7A85"/>
    <w:rsid w:val="001F024A"/>
    <w:rsid w:val="001F0D4D"/>
    <w:rsid w:val="001F14FA"/>
    <w:rsid w:val="001F20F5"/>
    <w:rsid w:val="001F2B3B"/>
    <w:rsid w:val="001F2E31"/>
    <w:rsid w:val="001F34E6"/>
    <w:rsid w:val="001F3D4C"/>
    <w:rsid w:val="001F48EC"/>
    <w:rsid w:val="001F4DB2"/>
    <w:rsid w:val="001F4DD8"/>
    <w:rsid w:val="001F5063"/>
    <w:rsid w:val="001F595C"/>
    <w:rsid w:val="001F6009"/>
    <w:rsid w:val="0020001C"/>
    <w:rsid w:val="002011A4"/>
    <w:rsid w:val="00201C1C"/>
    <w:rsid w:val="00201F22"/>
    <w:rsid w:val="00202BB0"/>
    <w:rsid w:val="00202DA4"/>
    <w:rsid w:val="002030DB"/>
    <w:rsid w:val="0020342E"/>
    <w:rsid w:val="0020437A"/>
    <w:rsid w:val="00206342"/>
    <w:rsid w:val="00206722"/>
    <w:rsid w:val="00206EEB"/>
    <w:rsid w:val="00207072"/>
    <w:rsid w:val="00207223"/>
    <w:rsid w:val="0020735B"/>
    <w:rsid w:val="002074E1"/>
    <w:rsid w:val="00207B52"/>
    <w:rsid w:val="00207CE4"/>
    <w:rsid w:val="00212117"/>
    <w:rsid w:val="00212218"/>
    <w:rsid w:val="002139E2"/>
    <w:rsid w:val="00214F0B"/>
    <w:rsid w:val="0021747A"/>
    <w:rsid w:val="00217E65"/>
    <w:rsid w:val="002202EA"/>
    <w:rsid w:val="00222172"/>
    <w:rsid w:val="00222C27"/>
    <w:rsid w:val="002244D2"/>
    <w:rsid w:val="00224C87"/>
    <w:rsid w:val="002261F2"/>
    <w:rsid w:val="00227A9E"/>
    <w:rsid w:val="002305A8"/>
    <w:rsid w:val="002311B9"/>
    <w:rsid w:val="00231DFB"/>
    <w:rsid w:val="0023268A"/>
    <w:rsid w:val="00233897"/>
    <w:rsid w:val="00234F2B"/>
    <w:rsid w:val="00235496"/>
    <w:rsid w:val="00236F06"/>
    <w:rsid w:val="00237DDF"/>
    <w:rsid w:val="002413A6"/>
    <w:rsid w:val="00241939"/>
    <w:rsid w:val="002421F8"/>
    <w:rsid w:val="002422C4"/>
    <w:rsid w:val="00243ED8"/>
    <w:rsid w:val="00244398"/>
    <w:rsid w:val="00244676"/>
    <w:rsid w:val="0024562D"/>
    <w:rsid w:val="002463FA"/>
    <w:rsid w:val="00246F31"/>
    <w:rsid w:val="00247417"/>
    <w:rsid w:val="00252241"/>
    <w:rsid w:val="002539BA"/>
    <w:rsid w:val="00254323"/>
    <w:rsid w:val="00254587"/>
    <w:rsid w:val="00255E6A"/>
    <w:rsid w:val="00255FEF"/>
    <w:rsid w:val="00261FB5"/>
    <w:rsid w:val="002620BB"/>
    <w:rsid w:val="00262846"/>
    <w:rsid w:val="002636FC"/>
    <w:rsid w:val="002673AF"/>
    <w:rsid w:val="002703C7"/>
    <w:rsid w:val="00271BE7"/>
    <w:rsid w:val="0027270B"/>
    <w:rsid w:val="002732E7"/>
    <w:rsid w:val="00273339"/>
    <w:rsid w:val="002737E1"/>
    <w:rsid w:val="0027380B"/>
    <w:rsid w:val="00273F81"/>
    <w:rsid w:val="00273FE9"/>
    <w:rsid w:val="0027449F"/>
    <w:rsid w:val="002748CF"/>
    <w:rsid w:val="00275FF8"/>
    <w:rsid w:val="002767B2"/>
    <w:rsid w:val="00277ACD"/>
    <w:rsid w:val="00277BC4"/>
    <w:rsid w:val="00277CC6"/>
    <w:rsid w:val="00280927"/>
    <w:rsid w:val="0028403E"/>
    <w:rsid w:val="00285328"/>
    <w:rsid w:val="0028706D"/>
    <w:rsid w:val="00287A3A"/>
    <w:rsid w:val="00291CD3"/>
    <w:rsid w:val="00291E5B"/>
    <w:rsid w:val="002924D8"/>
    <w:rsid w:val="00293318"/>
    <w:rsid w:val="00293548"/>
    <w:rsid w:val="0029357C"/>
    <w:rsid w:val="0029375C"/>
    <w:rsid w:val="00293BE3"/>
    <w:rsid w:val="00294110"/>
    <w:rsid w:val="00294F17"/>
    <w:rsid w:val="0029518C"/>
    <w:rsid w:val="002969B6"/>
    <w:rsid w:val="00296AB3"/>
    <w:rsid w:val="002976ED"/>
    <w:rsid w:val="00297BF4"/>
    <w:rsid w:val="002A1D97"/>
    <w:rsid w:val="002A24C3"/>
    <w:rsid w:val="002A29BA"/>
    <w:rsid w:val="002A3A3F"/>
    <w:rsid w:val="002A3FAF"/>
    <w:rsid w:val="002A7BF7"/>
    <w:rsid w:val="002A7CBA"/>
    <w:rsid w:val="002B0749"/>
    <w:rsid w:val="002B12A3"/>
    <w:rsid w:val="002B4865"/>
    <w:rsid w:val="002B49EC"/>
    <w:rsid w:val="002B4A30"/>
    <w:rsid w:val="002B4C9B"/>
    <w:rsid w:val="002B4D5F"/>
    <w:rsid w:val="002B5A2C"/>
    <w:rsid w:val="002B628A"/>
    <w:rsid w:val="002B6636"/>
    <w:rsid w:val="002B746F"/>
    <w:rsid w:val="002C2730"/>
    <w:rsid w:val="002C5C63"/>
    <w:rsid w:val="002C752A"/>
    <w:rsid w:val="002C7B42"/>
    <w:rsid w:val="002D06A2"/>
    <w:rsid w:val="002D1242"/>
    <w:rsid w:val="002D1D91"/>
    <w:rsid w:val="002D370A"/>
    <w:rsid w:val="002D3882"/>
    <w:rsid w:val="002D5659"/>
    <w:rsid w:val="002D5D7B"/>
    <w:rsid w:val="002D6ABE"/>
    <w:rsid w:val="002E0B99"/>
    <w:rsid w:val="002E10A9"/>
    <w:rsid w:val="002E123B"/>
    <w:rsid w:val="002E1A3E"/>
    <w:rsid w:val="002E25F4"/>
    <w:rsid w:val="002E7B4F"/>
    <w:rsid w:val="002F40AC"/>
    <w:rsid w:val="002F424D"/>
    <w:rsid w:val="002F45C2"/>
    <w:rsid w:val="002F5BDF"/>
    <w:rsid w:val="0030001F"/>
    <w:rsid w:val="003019AD"/>
    <w:rsid w:val="00303A7F"/>
    <w:rsid w:val="0030432F"/>
    <w:rsid w:val="003046B0"/>
    <w:rsid w:val="00306BDD"/>
    <w:rsid w:val="0030778C"/>
    <w:rsid w:val="00307AA4"/>
    <w:rsid w:val="003108CE"/>
    <w:rsid w:val="003112BD"/>
    <w:rsid w:val="0031255F"/>
    <w:rsid w:val="003134F0"/>
    <w:rsid w:val="00314552"/>
    <w:rsid w:val="00315B99"/>
    <w:rsid w:val="00320DEC"/>
    <w:rsid w:val="00322AB4"/>
    <w:rsid w:val="00323828"/>
    <w:rsid w:val="00323B3C"/>
    <w:rsid w:val="00324557"/>
    <w:rsid w:val="003251E1"/>
    <w:rsid w:val="003258F1"/>
    <w:rsid w:val="00325C75"/>
    <w:rsid w:val="00326A33"/>
    <w:rsid w:val="00326BC9"/>
    <w:rsid w:val="00326CBF"/>
    <w:rsid w:val="00326F6F"/>
    <w:rsid w:val="00326FA6"/>
    <w:rsid w:val="0032708F"/>
    <w:rsid w:val="00330635"/>
    <w:rsid w:val="00330C43"/>
    <w:rsid w:val="003310D3"/>
    <w:rsid w:val="00332436"/>
    <w:rsid w:val="0033321E"/>
    <w:rsid w:val="00334AA3"/>
    <w:rsid w:val="00334B92"/>
    <w:rsid w:val="003352F6"/>
    <w:rsid w:val="00337603"/>
    <w:rsid w:val="00337D09"/>
    <w:rsid w:val="00340355"/>
    <w:rsid w:val="00340A6F"/>
    <w:rsid w:val="00341628"/>
    <w:rsid w:val="00341638"/>
    <w:rsid w:val="00342E1B"/>
    <w:rsid w:val="00344178"/>
    <w:rsid w:val="0034538F"/>
    <w:rsid w:val="0034561C"/>
    <w:rsid w:val="00345AC5"/>
    <w:rsid w:val="00347231"/>
    <w:rsid w:val="0034786E"/>
    <w:rsid w:val="003479B6"/>
    <w:rsid w:val="0035093B"/>
    <w:rsid w:val="00350F63"/>
    <w:rsid w:val="00354A11"/>
    <w:rsid w:val="003579AA"/>
    <w:rsid w:val="00357B8B"/>
    <w:rsid w:val="00360CDE"/>
    <w:rsid w:val="00361C1A"/>
    <w:rsid w:val="00362B4E"/>
    <w:rsid w:val="00363444"/>
    <w:rsid w:val="00364F5E"/>
    <w:rsid w:val="00365127"/>
    <w:rsid w:val="00366D85"/>
    <w:rsid w:val="003712B0"/>
    <w:rsid w:val="003734A0"/>
    <w:rsid w:val="00373A85"/>
    <w:rsid w:val="00375587"/>
    <w:rsid w:val="00376761"/>
    <w:rsid w:val="003768C3"/>
    <w:rsid w:val="003829EF"/>
    <w:rsid w:val="0038424B"/>
    <w:rsid w:val="00384F30"/>
    <w:rsid w:val="0038574C"/>
    <w:rsid w:val="00385C2A"/>
    <w:rsid w:val="0038749D"/>
    <w:rsid w:val="00390712"/>
    <w:rsid w:val="003908DB"/>
    <w:rsid w:val="00392D7D"/>
    <w:rsid w:val="00392E82"/>
    <w:rsid w:val="003933E9"/>
    <w:rsid w:val="003934B8"/>
    <w:rsid w:val="00393D05"/>
    <w:rsid w:val="003942BF"/>
    <w:rsid w:val="00394C33"/>
    <w:rsid w:val="003A0C47"/>
    <w:rsid w:val="003A2154"/>
    <w:rsid w:val="003A2A13"/>
    <w:rsid w:val="003A3752"/>
    <w:rsid w:val="003A3A26"/>
    <w:rsid w:val="003A4AC8"/>
    <w:rsid w:val="003A6127"/>
    <w:rsid w:val="003A68D8"/>
    <w:rsid w:val="003A6AB4"/>
    <w:rsid w:val="003A7F1E"/>
    <w:rsid w:val="003B31CD"/>
    <w:rsid w:val="003B39A6"/>
    <w:rsid w:val="003B4632"/>
    <w:rsid w:val="003B4AC1"/>
    <w:rsid w:val="003B4B1B"/>
    <w:rsid w:val="003B57D2"/>
    <w:rsid w:val="003B601E"/>
    <w:rsid w:val="003B7C62"/>
    <w:rsid w:val="003C0D5E"/>
    <w:rsid w:val="003C1EBF"/>
    <w:rsid w:val="003C2574"/>
    <w:rsid w:val="003C2797"/>
    <w:rsid w:val="003C2D23"/>
    <w:rsid w:val="003C2D9E"/>
    <w:rsid w:val="003C2DA4"/>
    <w:rsid w:val="003C370A"/>
    <w:rsid w:val="003C39F1"/>
    <w:rsid w:val="003C5D25"/>
    <w:rsid w:val="003C6CB6"/>
    <w:rsid w:val="003C6E0F"/>
    <w:rsid w:val="003C7725"/>
    <w:rsid w:val="003C7B00"/>
    <w:rsid w:val="003C7C96"/>
    <w:rsid w:val="003D087B"/>
    <w:rsid w:val="003D2156"/>
    <w:rsid w:val="003D2917"/>
    <w:rsid w:val="003D3ADD"/>
    <w:rsid w:val="003D3DC7"/>
    <w:rsid w:val="003D4176"/>
    <w:rsid w:val="003D42F9"/>
    <w:rsid w:val="003D4F74"/>
    <w:rsid w:val="003D5BE0"/>
    <w:rsid w:val="003D6031"/>
    <w:rsid w:val="003D687D"/>
    <w:rsid w:val="003E1655"/>
    <w:rsid w:val="003E2F66"/>
    <w:rsid w:val="003E3489"/>
    <w:rsid w:val="003E3DAD"/>
    <w:rsid w:val="003E4046"/>
    <w:rsid w:val="003E45EE"/>
    <w:rsid w:val="003E4701"/>
    <w:rsid w:val="003E4E09"/>
    <w:rsid w:val="003E5094"/>
    <w:rsid w:val="003E5C83"/>
    <w:rsid w:val="003E73BB"/>
    <w:rsid w:val="003E755C"/>
    <w:rsid w:val="003F09D2"/>
    <w:rsid w:val="003F0B2C"/>
    <w:rsid w:val="003F1B8F"/>
    <w:rsid w:val="003F222E"/>
    <w:rsid w:val="003F24CB"/>
    <w:rsid w:val="003F373D"/>
    <w:rsid w:val="003F60F0"/>
    <w:rsid w:val="003F7BD9"/>
    <w:rsid w:val="0040028C"/>
    <w:rsid w:val="0040030D"/>
    <w:rsid w:val="00400345"/>
    <w:rsid w:val="00400842"/>
    <w:rsid w:val="00400D2F"/>
    <w:rsid w:val="00400F85"/>
    <w:rsid w:val="004015BF"/>
    <w:rsid w:val="00401FC2"/>
    <w:rsid w:val="00403090"/>
    <w:rsid w:val="00403D47"/>
    <w:rsid w:val="004045C7"/>
    <w:rsid w:val="0040559D"/>
    <w:rsid w:val="00405B29"/>
    <w:rsid w:val="00406356"/>
    <w:rsid w:val="00406797"/>
    <w:rsid w:val="00406BE5"/>
    <w:rsid w:val="00407FC3"/>
    <w:rsid w:val="004108C1"/>
    <w:rsid w:val="004110C4"/>
    <w:rsid w:val="004121E3"/>
    <w:rsid w:val="00412401"/>
    <w:rsid w:val="00413696"/>
    <w:rsid w:val="00413B07"/>
    <w:rsid w:val="004140D5"/>
    <w:rsid w:val="0041659D"/>
    <w:rsid w:val="0042049C"/>
    <w:rsid w:val="00420E58"/>
    <w:rsid w:val="00425B84"/>
    <w:rsid w:val="00425C4D"/>
    <w:rsid w:val="00425FC1"/>
    <w:rsid w:val="00425FF2"/>
    <w:rsid w:val="00426A4A"/>
    <w:rsid w:val="00427835"/>
    <w:rsid w:val="00427957"/>
    <w:rsid w:val="00427963"/>
    <w:rsid w:val="00430FC5"/>
    <w:rsid w:val="004314F1"/>
    <w:rsid w:val="00431685"/>
    <w:rsid w:val="00431C6A"/>
    <w:rsid w:val="00431F6D"/>
    <w:rsid w:val="00433222"/>
    <w:rsid w:val="00433B61"/>
    <w:rsid w:val="0043463C"/>
    <w:rsid w:val="004355F0"/>
    <w:rsid w:val="004359E1"/>
    <w:rsid w:val="004365FE"/>
    <w:rsid w:val="00437EB4"/>
    <w:rsid w:val="00437F0F"/>
    <w:rsid w:val="004405B1"/>
    <w:rsid w:val="00442312"/>
    <w:rsid w:val="004434CC"/>
    <w:rsid w:val="004437F3"/>
    <w:rsid w:val="0044419C"/>
    <w:rsid w:val="00445707"/>
    <w:rsid w:val="0044757A"/>
    <w:rsid w:val="004477A8"/>
    <w:rsid w:val="00451BCD"/>
    <w:rsid w:val="00451CD1"/>
    <w:rsid w:val="00452232"/>
    <w:rsid w:val="00453898"/>
    <w:rsid w:val="004539F0"/>
    <w:rsid w:val="0045457B"/>
    <w:rsid w:val="00454890"/>
    <w:rsid w:val="004565EC"/>
    <w:rsid w:val="00456C54"/>
    <w:rsid w:val="004603AF"/>
    <w:rsid w:val="00461071"/>
    <w:rsid w:val="004628A0"/>
    <w:rsid w:val="00464111"/>
    <w:rsid w:val="004646A8"/>
    <w:rsid w:val="00464EF7"/>
    <w:rsid w:val="004654F1"/>
    <w:rsid w:val="00465611"/>
    <w:rsid w:val="00465BDD"/>
    <w:rsid w:val="00465E78"/>
    <w:rsid w:val="00466E79"/>
    <w:rsid w:val="0046732D"/>
    <w:rsid w:val="00467EA6"/>
    <w:rsid w:val="0047025D"/>
    <w:rsid w:val="0047040C"/>
    <w:rsid w:val="00471474"/>
    <w:rsid w:val="0047278C"/>
    <w:rsid w:val="00473AFD"/>
    <w:rsid w:val="00474FD5"/>
    <w:rsid w:val="00475951"/>
    <w:rsid w:val="00475999"/>
    <w:rsid w:val="00475C1A"/>
    <w:rsid w:val="004773BC"/>
    <w:rsid w:val="004803A0"/>
    <w:rsid w:val="00482F27"/>
    <w:rsid w:val="00483994"/>
    <w:rsid w:val="00484D6F"/>
    <w:rsid w:val="00485372"/>
    <w:rsid w:val="00485857"/>
    <w:rsid w:val="00486163"/>
    <w:rsid w:val="004867DC"/>
    <w:rsid w:val="00490BC2"/>
    <w:rsid w:val="00491148"/>
    <w:rsid w:val="0049305A"/>
    <w:rsid w:val="00493569"/>
    <w:rsid w:val="004943B2"/>
    <w:rsid w:val="004960DD"/>
    <w:rsid w:val="004979BE"/>
    <w:rsid w:val="00497B1B"/>
    <w:rsid w:val="004A0A47"/>
    <w:rsid w:val="004A3D81"/>
    <w:rsid w:val="004A4EFE"/>
    <w:rsid w:val="004A570F"/>
    <w:rsid w:val="004A79EA"/>
    <w:rsid w:val="004A7FFE"/>
    <w:rsid w:val="004B0CAD"/>
    <w:rsid w:val="004B38D7"/>
    <w:rsid w:val="004B3E6C"/>
    <w:rsid w:val="004B4564"/>
    <w:rsid w:val="004B596C"/>
    <w:rsid w:val="004C0CAD"/>
    <w:rsid w:val="004C1386"/>
    <w:rsid w:val="004C25C3"/>
    <w:rsid w:val="004C26C9"/>
    <w:rsid w:val="004C34A6"/>
    <w:rsid w:val="004C6D1E"/>
    <w:rsid w:val="004C713D"/>
    <w:rsid w:val="004C7D00"/>
    <w:rsid w:val="004C7D56"/>
    <w:rsid w:val="004C7DDE"/>
    <w:rsid w:val="004D10EC"/>
    <w:rsid w:val="004D17DD"/>
    <w:rsid w:val="004D2CCA"/>
    <w:rsid w:val="004D3C8A"/>
    <w:rsid w:val="004D3D5A"/>
    <w:rsid w:val="004D74C1"/>
    <w:rsid w:val="004D79AE"/>
    <w:rsid w:val="004E0511"/>
    <w:rsid w:val="004E1136"/>
    <w:rsid w:val="004E18BC"/>
    <w:rsid w:val="004E19E3"/>
    <w:rsid w:val="004E2585"/>
    <w:rsid w:val="004E2A2E"/>
    <w:rsid w:val="004E2B3A"/>
    <w:rsid w:val="004E6223"/>
    <w:rsid w:val="004E62C3"/>
    <w:rsid w:val="004E6C7F"/>
    <w:rsid w:val="004F01DE"/>
    <w:rsid w:val="004F0404"/>
    <w:rsid w:val="004F0AC4"/>
    <w:rsid w:val="004F171B"/>
    <w:rsid w:val="004F1BAE"/>
    <w:rsid w:val="004F1BD3"/>
    <w:rsid w:val="004F38FE"/>
    <w:rsid w:val="004F3972"/>
    <w:rsid w:val="004F4AD5"/>
    <w:rsid w:val="004F6878"/>
    <w:rsid w:val="004F7D9F"/>
    <w:rsid w:val="005011A8"/>
    <w:rsid w:val="005018FF"/>
    <w:rsid w:val="005024BC"/>
    <w:rsid w:val="00502855"/>
    <w:rsid w:val="00504A57"/>
    <w:rsid w:val="005050DC"/>
    <w:rsid w:val="00505449"/>
    <w:rsid w:val="0050586E"/>
    <w:rsid w:val="005065E4"/>
    <w:rsid w:val="00506F73"/>
    <w:rsid w:val="00507D19"/>
    <w:rsid w:val="00512138"/>
    <w:rsid w:val="00512BDB"/>
    <w:rsid w:val="00513B4F"/>
    <w:rsid w:val="00513D72"/>
    <w:rsid w:val="00513EF3"/>
    <w:rsid w:val="0051440E"/>
    <w:rsid w:val="00514837"/>
    <w:rsid w:val="00514A58"/>
    <w:rsid w:val="00514E3B"/>
    <w:rsid w:val="00515068"/>
    <w:rsid w:val="005150D4"/>
    <w:rsid w:val="005158FD"/>
    <w:rsid w:val="00515B13"/>
    <w:rsid w:val="0051612A"/>
    <w:rsid w:val="00517CFE"/>
    <w:rsid w:val="0052015A"/>
    <w:rsid w:val="00521593"/>
    <w:rsid w:val="00521703"/>
    <w:rsid w:val="0052189F"/>
    <w:rsid w:val="00522C5A"/>
    <w:rsid w:val="00523F17"/>
    <w:rsid w:val="005245E9"/>
    <w:rsid w:val="0052480B"/>
    <w:rsid w:val="00524E89"/>
    <w:rsid w:val="00526830"/>
    <w:rsid w:val="00526FD3"/>
    <w:rsid w:val="005278E7"/>
    <w:rsid w:val="005310DE"/>
    <w:rsid w:val="00531C98"/>
    <w:rsid w:val="00532C87"/>
    <w:rsid w:val="0053322A"/>
    <w:rsid w:val="005339A0"/>
    <w:rsid w:val="00534C79"/>
    <w:rsid w:val="0053571F"/>
    <w:rsid w:val="00535EB4"/>
    <w:rsid w:val="00536E0E"/>
    <w:rsid w:val="005370F6"/>
    <w:rsid w:val="00537A03"/>
    <w:rsid w:val="0054134D"/>
    <w:rsid w:val="005422D9"/>
    <w:rsid w:val="00543C2C"/>
    <w:rsid w:val="00544B62"/>
    <w:rsid w:val="00545540"/>
    <w:rsid w:val="00546C98"/>
    <w:rsid w:val="00547711"/>
    <w:rsid w:val="00551742"/>
    <w:rsid w:val="0055227D"/>
    <w:rsid w:val="00552BEC"/>
    <w:rsid w:val="00554535"/>
    <w:rsid w:val="0055506E"/>
    <w:rsid w:val="00555A9D"/>
    <w:rsid w:val="005576B0"/>
    <w:rsid w:val="00565507"/>
    <w:rsid w:val="00566497"/>
    <w:rsid w:val="005670FE"/>
    <w:rsid w:val="0057235E"/>
    <w:rsid w:val="00573772"/>
    <w:rsid w:val="005739B0"/>
    <w:rsid w:val="005743B9"/>
    <w:rsid w:val="00574A6B"/>
    <w:rsid w:val="00575F6D"/>
    <w:rsid w:val="00576865"/>
    <w:rsid w:val="005775BF"/>
    <w:rsid w:val="00580002"/>
    <w:rsid w:val="005809B8"/>
    <w:rsid w:val="0058130D"/>
    <w:rsid w:val="00582658"/>
    <w:rsid w:val="00584297"/>
    <w:rsid w:val="005855B0"/>
    <w:rsid w:val="00585885"/>
    <w:rsid w:val="00585C31"/>
    <w:rsid w:val="00586188"/>
    <w:rsid w:val="00586D51"/>
    <w:rsid w:val="00587F23"/>
    <w:rsid w:val="005904B8"/>
    <w:rsid w:val="005908C8"/>
    <w:rsid w:val="00590F1D"/>
    <w:rsid w:val="00591A64"/>
    <w:rsid w:val="005921A0"/>
    <w:rsid w:val="00592471"/>
    <w:rsid w:val="00593014"/>
    <w:rsid w:val="005937D4"/>
    <w:rsid w:val="00595319"/>
    <w:rsid w:val="00595346"/>
    <w:rsid w:val="00596457"/>
    <w:rsid w:val="00597A67"/>
    <w:rsid w:val="00597ADF"/>
    <w:rsid w:val="005A0E62"/>
    <w:rsid w:val="005A10FB"/>
    <w:rsid w:val="005A2057"/>
    <w:rsid w:val="005A2BC6"/>
    <w:rsid w:val="005A36BF"/>
    <w:rsid w:val="005A3975"/>
    <w:rsid w:val="005A4F19"/>
    <w:rsid w:val="005A505E"/>
    <w:rsid w:val="005A56D7"/>
    <w:rsid w:val="005A6A6F"/>
    <w:rsid w:val="005B11E3"/>
    <w:rsid w:val="005B13AF"/>
    <w:rsid w:val="005B1772"/>
    <w:rsid w:val="005B26BE"/>
    <w:rsid w:val="005B4971"/>
    <w:rsid w:val="005B582E"/>
    <w:rsid w:val="005B66B2"/>
    <w:rsid w:val="005B702B"/>
    <w:rsid w:val="005B7A2B"/>
    <w:rsid w:val="005C009E"/>
    <w:rsid w:val="005C03CF"/>
    <w:rsid w:val="005C04AE"/>
    <w:rsid w:val="005C0957"/>
    <w:rsid w:val="005C3A4C"/>
    <w:rsid w:val="005C423A"/>
    <w:rsid w:val="005C4911"/>
    <w:rsid w:val="005D0351"/>
    <w:rsid w:val="005D0A5D"/>
    <w:rsid w:val="005D127A"/>
    <w:rsid w:val="005D28BD"/>
    <w:rsid w:val="005D28C1"/>
    <w:rsid w:val="005D3811"/>
    <w:rsid w:val="005D4606"/>
    <w:rsid w:val="005D5618"/>
    <w:rsid w:val="005D5A73"/>
    <w:rsid w:val="005D70B9"/>
    <w:rsid w:val="005E03B8"/>
    <w:rsid w:val="005E105A"/>
    <w:rsid w:val="005E41BC"/>
    <w:rsid w:val="005E527A"/>
    <w:rsid w:val="005E5D75"/>
    <w:rsid w:val="005E73CB"/>
    <w:rsid w:val="005F18E9"/>
    <w:rsid w:val="005F2AF7"/>
    <w:rsid w:val="005F3977"/>
    <w:rsid w:val="005F5D0D"/>
    <w:rsid w:val="005F736B"/>
    <w:rsid w:val="0060039B"/>
    <w:rsid w:val="00600DDD"/>
    <w:rsid w:val="00601522"/>
    <w:rsid w:val="00602610"/>
    <w:rsid w:val="00602DC3"/>
    <w:rsid w:val="00604B03"/>
    <w:rsid w:val="00607AE7"/>
    <w:rsid w:val="00607C2F"/>
    <w:rsid w:val="006100BF"/>
    <w:rsid w:val="0061065C"/>
    <w:rsid w:val="00612807"/>
    <w:rsid w:val="00612F7E"/>
    <w:rsid w:val="006134B9"/>
    <w:rsid w:val="00613942"/>
    <w:rsid w:val="00613C26"/>
    <w:rsid w:val="006159B1"/>
    <w:rsid w:val="00615A07"/>
    <w:rsid w:val="00616704"/>
    <w:rsid w:val="006168D2"/>
    <w:rsid w:val="006177B3"/>
    <w:rsid w:val="006203D0"/>
    <w:rsid w:val="00621C25"/>
    <w:rsid w:val="006253DD"/>
    <w:rsid w:val="00625D30"/>
    <w:rsid w:val="00626A4B"/>
    <w:rsid w:val="006278A7"/>
    <w:rsid w:val="00630B3B"/>
    <w:rsid w:val="006310E2"/>
    <w:rsid w:val="00631240"/>
    <w:rsid w:val="0063145B"/>
    <w:rsid w:val="00631FB8"/>
    <w:rsid w:val="00632612"/>
    <w:rsid w:val="006338EF"/>
    <w:rsid w:val="00633CC4"/>
    <w:rsid w:val="00633F09"/>
    <w:rsid w:val="00633F3D"/>
    <w:rsid w:val="0063453D"/>
    <w:rsid w:val="00634856"/>
    <w:rsid w:val="006354BD"/>
    <w:rsid w:val="0063657C"/>
    <w:rsid w:val="00636794"/>
    <w:rsid w:val="00637578"/>
    <w:rsid w:val="0064001D"/>
    <w:rsid w:val="00642B0A"/>
    <w:rsid w:val="006466B2"/>
    <w:rsid w:val="006501BF"/>
    <w:rsid w:val="00650359"/>
    <w:rsid w:val="006507A0"/>
    <w:rsid w:val="00651CD8"/>
    <w:rsid w:val="00652E55"/>
    <w:rsid w:val="006530CA"/>
    <w:rsid w:val="00653DE8"/>
    <w:rsid w:val="006542E4"/>
    <w:rsid w:val="006544F7"/>
    <w:rsid w:val="00654750"/>
    <w:rsid w:val="006558E2"/>
    <w:rsid w:val="00655A09"/>
    <w:rsid w:val="00655C3A"/>
    <w:rsid w:val="00655F65"/>
    <w:rsid w:val="0065627B"/>
    <w:rsid w:val="0065629A"/>
    <w:rsid w:val="00660212"/>
    <w:rsid w:val="00661189"/>
    <w:rsid w:val="00662B5B"/>
    <w:rsid w:val="00662C47"/>
    <w:rsid w:val="00664F04"/>
    <w:rsid w:val="006671C4"/>
    <w:rsid w:val="00670832"/>
    <w:rsid w:val="006708E7"/>
    <w:rsid w:val="00670E9E"/>
    <w:rsid w:val="00671392"/>
    <w:rsid w:val="006718EF"/>
    <w:rsid w:val="00672255"/>
    <w:rsid w:val="006725CE"/>
    <w:rsid w:val="0067366C"/>
    <w:rsid w:val="00676D30"/>
    <w:rsid w:val="00677826"/>
    <w:rsid w:val="006804BE"/>
    <w:rsid w:val="006806C4"/>
    <w:rsid w:val="006832E5"/>
    <w:rsid w:val="0068454C"/>
    <w:rsid w:val="00687E19"/>
    <w:rsid w:val="00687FA7"/>
    <w:rsid w:val="00690170"/>
    <w:rsid w:val="00692584"/>
    <w:rsid w:val="00692892"/>
    <w:rsid w:val="0069386D"/>
    <w:rsid w:val="00693999"/>
    <w:rsid w:val="00694DA6"/>
    <w:rsid w:val="00695C7B"/>
    <w:rsid w:val="00695DE0"/>
    <w:rsid w:val="00697523"/>
    <w:rsid w:val="006A10CA"/>
    <w:rsid w:val="006A1DC7"/>
    <w:rsid w:val="006A25EB"/>
    <w:rsid w:val="006A337F"/>
    <w:rsid w:val="006A48D9"/>
    <w:rsid w:val="006A4AFA"/>
    <w:rsid w:val="006A5FDF"/>
    <w:rsid w:val="006B13B3"/>
    <w:rsid w:val="006B1BCB"/>
    <w:rsid w:val="006B2982"/>
    <w:rsid w:val="006B31A5"/>
    <w:rsid w:val="006B4863"/>
    <w:rsid w:val="006B4D9B"/>
    <w:rsid w:val="006B55C3"/>
    <w:rsid w:val="006B72B9"/>
    <w:rsid w:val="006C0361"/>
    <w:rsid w:val="006C09E5"/>
    <w:rsid w:val="006C3353"/>
    <w:rsid w:val="006C34C8"/>
    <w:rsid w:val="006C451E"/>
    <w:rsid w:val="006C6368"/>
    <w:rsid w:val="006D04E8"/>
    <w:rsid w:val="006D1117"/>
    <w:rsid w:val="006D1EED"/>
    <w:rsid w:val="006D2204"/>
    <w:rsid w:val="006D2391"/>
    <w:rsid w:val="006D2742"/>
    <w:rsid w:val="006D2DAA"/>
    <w:rsid w:val="006D41B0"/>
    <w:rsid w:val="006D43C1"/>
    <w:rsid w:val="006D463C"/>
    <w:rsid w:val="006D4A39"/>
    <w:rsid w:val="006D4F76"/>
    <w:rsid w:val="006D6C48"/>
    <w:rsid w:val="006E1A40"/>
    <w:rsid w:val="006E2BB2"/>
    <w:rsid w:val="006E2BF3"/>
    <w:rsid w:val="006E2D38"/>
    <w:rsid w:val="006E39D0"/>
    <w:rsid w:val="006E4338"/>
    <w:rsid w:val="006E4CE1"/>
    <w:rsid w:val="006E5B4F"/>
    <w:rsid w:val="006E5FDD"/>
    <w:rsid w:val="006E654C"/>
    <w:rsid w:val="006E68ED"/>
    <w:rsid w:val="006F0A4D"/>
    <w:rsid w:val="006F0E77"/>
    <w:rsid w:val="006F0F9F"/>
    <w:rsid w:val="006F199C"/>
    <w:rsid w:val="006F1A3F"/>
    <w:rsid w:val="006F2CF2"/>
    <w:rsid w:val="006F3169"/>
    <w:rsid w:val="006F42AA"/>
    <w:rsid w:val="006F5701"/>
    <w:rsid w:val="007002DF"/>
    <w:rsid w:val="007011EF"/>
    <w:rsid w:val="0070131C"/>
    <w:rsid w:val="00701815"/>
    <w:rsid w:val="00702183"/>
    <w:rsid w:val="00702642"/>
    <w:rsid w:val="007032A7"/>
    <w:rsid w:val="0070421E"/>
    <w:rsid w:val="007044C6"/>
    <w:rsid w:val="007045F4"/>
    <w:rsid w:val="00705EB7"/>
    <w:rsid w:val="0070610B"/>
    <w:rsid w:val="0070646D"/>
    <w:rsid w:val="00706711"/>
    <w:rsid w:val="007070BD"/>
    <w:rsid w:val="00707FA2"/>
    <w:rsid w:val="007117AB"/>
    <w:rsid w:val="00712915"/>
    <w:rsid w:val="00713798"/>
    <w:rsid w:val="0071382C"/>
    <w:rsid w:val="00713CA6"/>
    <w:rsid w:val="00714428"/>
    <w:rsid w:val="00715246"/>
    <w:rsid w:val="0071583D"/>
    <w:rsid w:val="00716DF3"/>
    <w:rsid w:val="00717910"/>
    <w:rsid w:val="00717E52"/>
    <w:rsid w:val="0072124B"/>
    <w:rsid w:val="00723111"/>
    <w:rsid w:val="00723A39"/>
    <w:rsid w:val="00724E9D"/>
    <w:rsid w:val="007252A5"/>
    <w:rsid w:val="0072595F"/>
    <w:rsid w:val="00725D61"/>
    <w:rsid w:val="00725E27"/>
    <w:rsid w:val="00727A98"/>
    <w:rsid w:val="00727D92"/>
    <w:rsid w:val="00732B15"/>
    <w:rsid w:val="007339CA"/>
    <w:rsid w:val="00735059"/>
    <w:rsid w:val="00735652"/>
    <w:rsid w:val="00735728"/>
    <w:rsid w:val="0073634F"/>
    <w:rsid w:val="00737E30"/>
    <w:rsid w:val="00737E7E"/>
    <w:rsid w:val="00740D12"/>
    <w:rsid w:val="007410CF"/>
    <w:rsid w:val="00741A1C"/>
    <w:rsid w:val="00743491"/>
    <w:rsid w:val="00743536"/>
    <w:rsid w:val="00743680"/>
    <w:rsid w:val="0074467A"/>
    <w:rsid w:val="0074525F"/>
    <w:rsid w:val="0074534E"/>
    <w:rsid w:val="00747929"/>
    <w:rsid w:val="0075035F"/>
    <w:rsid w:val="007509A3"/>
    <w:rsid w:val="00751966"/>
    <w:rsid w:val="00752E42"/>
    <w:rsid w:val="00753447"/>
    <w:rsid w:val="00753FC7"/>
    <w:rsid w:val="0075444B"/>
    <w:rsid w:val="00754503"/>
    <w:rsid w:val="0075468D"/>
    <w:rsid w:val="00755C5A"/>
    <w:rsid w:val="00756366"/>
    <w:rsid w:val="00756F03"/>
    <w:rsid w:val="00760108"/>
    <w:rsid w:val="00760B6D"/>
    <w:rsid w:val="007626DA"/>
    <w:rsid w:val="00762772"/>
    <w:rsid w:val="00763E53"/>
    <w:rsid w:val="00763EDE"/>
    <w:rsid w:val="007650F5"/>
    <w:rsid w:val="00765AAC"/>
    <w:rsid w:val="007679A1"/>
    <w:rsid w:val="00767C41"/>
    <w:rsid w:val="00771189"/>
    <w:rsid w:val="00771694"/>
    <w:rsid w:val="00771758"/>
    <w:rsid w:val="00772941"/>
    <w:rsid w:val="007729DB"/>
    <w:rsid w:val="00773A85"/>
    <w:rsid w:val="00773E94"/>
    <w:rsid w:val="007748FB"/>
    <w:rsid w:val="00775563"/>
    <w:rsid w:val="00775F9A"/>
    <w:rsid w:val="00777540"/>
    <w:rsid w:val="007808CD"/>
    <w:rsid w:val="00781895"/>
    <w:rsid w:val="00781E61"/>
    <w:rsid w:val="00782EF5"/>
    <w:rsid w:val="00784469"/>
    <w:rsid w:val="00785A7D"/>
    <w:rsid w:val="0078603A"/>
    <w:rsid w:val="00786579"/>
    <w:rsid w:val="0078751F"/>
    <w:rsid w:val="0079068A"/>
    <w:rsid w:val="00790757"/>
    <w:rsid w:val="007908D6"/>
    <w:rsid w:val="0079179D"/>
    <w:rsid w:val="00792350"/>
    <w:rsid w:val="00793D02"/>
    <w:rsid w:val="00794563"/>
    <w:rsid w:val="00796848"/>
    <w:rsid w:val="00796A3B"/>
    <w:rsid w:val="00797651"/>
    <w:rsid w:val="007A08CB"/>
    <w:rsid w:val="007A3282"/>
    <w:rsid w:val="007A3DD8"/>
    <w:rsid w:val="007A41B7"/>
    <w:rsid w:val="007A547F"/>
    <w:rsid w:val="007A58D1"/>
    <w:rsid w:val="007A6742"/>
    <w:rsid w:val="007A6AC2"/>
    <w:rsid w:val="007A7BFC"/>
    <w:rsid w:val="007B06BE"/>
    <w:rsid w:val="007B08A2"/>
    <w:rsid w:val="007B0C25"/>
    <w:rsid w:val="007B23B7"/>
    <w:rsid w:val="007B3382"/>
    <w:rsid w:val="007B34BD"/>
    <w:rsid w:val="007B43F9"/>
    <w:rsid w:val="007B4935"/>
    <w:rsid w:val="007B6A8D"/>
    <w:rsid w:val="007B7025"/>
    <w:rsid w:val="007B7DFD"/>
    <w:rsid w:val="007C0479"/>
    <w:rsid w:val="007C089A"/>
    <w:rsid w:val="007C235F"/>
    <w:rsid w:val="007C277B"/>
    <w:rsid w:val="007C337A"/>
    <w:rsid w:val="007C41A3"/>
    <w:rsid w:val="007C6F56"/>
    <w:rsid w:val="007C7310"/>
    <w:rsid w:val="007D097F"/>
    <w:rsid w:val="007D1A9C"/>
    <w:rsid w:val="007D34E5"/>
    <w:rsid w:val="007D3894"/>
    <w:rsid w:val="007D467E"/>
    <w:rsid w:val="007D491B"/>
    <w:rsid w:val="007E1189"/>
    <w:rsid w:val="007E16B6"/>
    <w:rsid w:val="007E5013"/>
    <w:rsid w:val="007E5597"/>
    <w:rsid w:val="007E6491"/>
    <w:rsid w:val="007E6B8B"/>
    <w:rsid w:val="007E6FA9"/>
    <w:rsid w:val="007E721F"/>
    <w:rsid w:val="007E757C"/>
    <w:rsid w:val="007F0D11"/>
    <w:rsid w:val="007F33A1"/>
    <w:rsid w:val="007F34A1"/>
    <w:rsid w:val="007F52DF"/>
    <w:rsid w:val="007F578F"/>
    <w:rsid w:val="007F6A0D"/>
    <w:rsid w:val="007F7144"/>
    <w:rsid w:val="007F7753"/>
    <w:rsid w:val="007F7906"/>
    <w:rsid w:val="00800C35"/>
    <w:rsid w:val="008019E1"/>
    <w:rsid w:val="008019F1"/>
    <w:rsid w:val="00801DE0"/>
    <w:rsid w:val="008024BA"/>
    <w:rsid w:val="008025E5"/>
    <w:rsid w:val="00802A8B"/>
    <w:rsid w:val="008032CD"/>
    <w:rsid w:val="00803489"/>
    <w:rsid w:val="008052BB"/>
    <w:rsid w:val="00805445"/>
    <w:rsid w:val="00806F09"/>
    <w:rsid w:val="00807166"/>
    <w:rsid w:val="00807DA5"/>
    <w:rsid w:val="00810037"/>
    <w:rsid w:val="00816075"/>
    <w:rsid w:val="00817F2D"/>
    <w:rsid w:val="008219A6"/>
    <w:rsid w:val="00822172"/>
    <w:rsid w:val="00825EB1"/>
    <w:rsid w:val="0083220A"/>
    <w:rsid w:val="0083586A"/>
    <w:rsid w:val="00835E9A"/>
    <w:rsid w:val="00836FAA"/>
    <w:rsid w:val="00841056"/>
    <w:rsid w:val="00841995"/>
    <w:rsid w:val="00842CF0"/>
    <w:rsid w:val="008432E6"/>
    <w:rsid w:val="00844F61"/>
    <w:rsid w:val="0084740A"/>
    <w:rsid w:val="00850210"/>
    <w:rsid w:val="008507B6"/>
    <w:rsid w:val="00850902"/>
    <w:rsid w:val="00850C10"/>
    <w:rsid w:val="00853076"/>
    <w:rsid w:val="0085338B"/>
    <w:rsid w:val="008542A6"/>
    <w:rsid w:val="008542CA"/>
    <w:rsid w:val="00854BFA"/>
    <w:rsid w:val="00855F45"/>
    <w:rsid w:val="0085621C"/>
    <w:rsid w:val="008572C2"/>
    <w:rsid w:val="0086002C"/>
    <w:rsid w:val="00860171"/>
    <w:rsid w:val="0086037D"/>
    <w:rsid w:val="00860769"/>
    <w:rsid w:val="00860C20"/>
    <w:rsid w:val="008612AE"/>
    <w:rsid w:val="0086136A"/>
    <w:rsid w:val="00861F9D"/>
    <w:rsid w:val="00862D38"/>
    <w:rsid w:val="00862F1B"/>
    <w:rsid w:val="00863EB3"/>
    <w:rsid w:val="0086590F"/>
    <w:rsid w:val="00866E70"/>
    <w:rsid w:val="00866FDE"/>
    <w:rsid w:val="00867797"/>
    <w:rsid w:val="00867B91"/>
    <w:rsid w:val="00870A87"/>
    <w:rsid w:val="008725CB"/>
    <w:rsid w:val="00872696"/>
    <w:rsid w:val="00873983"/>
    <w:rsid w:val="00873E50"/>
    <w:rsid w:val="00873F2B"/>
    <w:rsid w:val="0087484E"/>
    <w:rsid w:val="00875F2C"/>
    <w:rsid w:val="00875FC0"/>
    <w:rsid w:val="00876EFD"/>
    <w:rsid w:val="00880E65"/>
    <w:rsid w:val="00881537"/>
    <w:rsid w:val="008821EC"/>
    <w:rsid w:val="00882FF6"/>
    <w:rsid w:val="00883BE9"/>
    <w:rsid w:val="008843EF"/>
    <w:rsid w:val="008850E9"/>
    <w:rsid w:val="00885105"/>
    <w:rsid w:val="00885244"/>
    <w:rsid w:val="008901CE"/>
    <w:rsid w:val="00891B38"/>
    <w:rsid w:val="00891EFC"/>
    <w:rsid w:val="008927D4"/>
    <w:rsid w:val="00892FF9"/>
    <w:rsid w:val="00893326"/>
    <w:rsid w:val="00893FBD"/>
    <w:rsid w:val="00894761"/>
    <w:rsid w:val="0089574D"/>
    <w:rsid w:val="00896CFD"/>
    <w:rsid w:val="00896EEF"/>
    <w:rsid w:val="008A206E"/>
    <w:rsid w:val="008A3BC6"/>
    <w:rsid w:val="008A3FDC"/>
    <w:rsid w:val="008A43C4"/>
    <w:rsid w:val="008A4E08"/>
    <w:rsid w:val="008A6881"/>
    <w:rsid w:val="008A7E3E"/>
    <w:rsid w:val="008B0346"/>
    <w:rsid w:val="008B2080"/>
    <w:rsid w:val="008B44C6"/>
    <w:rsid w:val="008B7358"/>
    <w:rsid w:val="008B73FA"/>
    <w:rsid w:val="008B7FAC"/>
    <w:rsid w:val="008C02BC"/>
    <w:rsid w:val="008C0689"/>
    <w:rsid w:val="008C0E7C"/>
    <w:rsid w:val="008C0ED3"/>
    <w:rsid w:val="008C1304"/>
    <w:rsid w:val="008C3DC6"/>
    <w:rsid w:val="008C4AE3"/>
    <w:rsid w:val="008C54EA"/>
    <w:rsid w:val="008C5D8E"/>
    <w:rsid w:val="008C70B0"/>
    <w:rsid w:val="008C7460"/>
    <w:rsid w:val="008C759A"/>
    <w:rsid w:val="008C7633"/>
    <w:rsid w:val="008D033F"/>
    <w:rsid w:val="008D0B75"/>
    <w:rsid w:val="008D143D"/>
    <w:rsid w:val="008D1C74"/>
    <w:rsid w:val="008D1D44"/>
    <w:rsid w:val="008D203C"/>
    <w:rsid w:val="008D475E"/>
    <w:rsid w:val="008D4FBF"/>
    <w:rsid w:val="008D64C6"/>
    <w:rsid w:val="008D6A3A"/>
    <w:rsid w:val="008D701B"/>
    <w:rsid w:val="008D77D5"/>
    <w:rsid w:val="008E1F63"/>
    <w:rsid w:val="008E30E1"/>
    <w:rsid w:val="008E3400"/>
    <w:rsid w:val="008E3B04"/>
    <w:rsid w:val="008E52AE"/>
    <w:rsid w:val="008E5540"/>
    <w:rsid w:val="008E5A0E"/>
    <w:rsid w:val="008E6BA4"/>
    <w:rsid w:val="008E7DE2"/>
    <w:rsid w:val="008F1412"/>
    <w:rsid w:val="008F1432"/>
    <w:rsid w:val="008F1D55"/>
    <w:rsid w:val="008F22DF"/>
    <w:rsid w:val="008F23E8"/>
    <w:rsid w:val="008F3B88"/>
    <w:rsid w:val="008F3BEC"/>
    <w:rsid w:val="008F5616"/>
    <w:rsid w:val="008F7C09"/>
    <w:rsid w:val="00900EA0"/>
    <w:rsid w:val="009028C9"/>
    <w:rsid w:val="0090301A"/>
    <w:rsid w:val="00903B04"/>
    <w:rsid w:val="00903E5E"/>
    <w:rsid w:val="00903E6B"/>
    <w:rsid w:val="009057BB"/>
    <w:rsid w:val="00907401"/>
    <w:rsid w:val="00907F93"/>
    <w:rsid w:val="00910AF6"/>
    <w:rsid w:val="00911159"/>
    <w:rsid w:val="00912151"/>
    <w:rsid w:val="00912DCD"/>
    <w:rsid w:val="00913472"/>
    <w:rsid w:val="00914FD3"/>
    <w:rsid w:val="00915973"/>
    <w:rsid w:val="00916EB8"/>
    <w:rsid w:val="009179C9"/>
    <w:rsid w:val="00921355"/>
    <w:rsid w:val="0092249F"/>
    <w:rsid w:val="00923280"/>
    <w:rsid w:val="00925022"/>
    <w:rsid w:val="00925454"/>
    <w:rsid w:val="009254F8"/>
    <w:rsid w:val="00926312"/>
    <w:rsid w:val="009272A0"/>
    <w:rsid w:val="0092796C"/>
    <w:rsid w:val="00927E6F"/>
    <w:rsid w:val="00932094"/>
    <w:rsid w:val="00932128"/>
    <w:rsid w:val="00932672"/>
    <w:rsid w:val="00932DEC"/>
    <w:rsid w:val="00933AD7"/>
    <w:rsid w:val="00935035"/>
    <w:rsid w:val="00935088"/>
    <w:rsid w:val="00941F50"/>
    <w:rsid w:val="00946DBE"/>
    <w:rsid w:val="00947034"/>
    <w:rsid w:val="009507C6"/>
    <w:rsid w:val="00950A6A"/>
    <w:rsid w:val="00953CB4"/>
    <w:rsid w:val="00953F60"/>
    <w:rsid w:val="00954258"/>
    <w:rsid w:val="00954907"/>
    <w:rsid w:val="009550BC"/>
    <w:rsid w:val="009555BA"/>
    <w:rsid w:val="00955B6A"/>
    <w:rsid w:val="00956ACC"/>
    <w:rsid w:val="00960538"/>
    <w:rsid w:val="00961F6D"/>
    <w:rsid w:val="00962160"/>
    <w:rsid w:val="009623F4"/>
    <w:rsid w:val="009652D6"/>
    <w:rsid w:val="00965315"/>
    <w:rsid w:val="0096668D"/>
    <w:rsid w:val="009668FA"/>
    <w:rsid w:val="0097068A"/>
    <w:rsid w:val="009709A2"/>
    <w:rsid w:val="00970E38"/>
    <w:rsid w:val="00971F80"/>
    <w:rsid w:val="00974697"/>
    <w:rsid w:val="009767C5"/>
    <w:rsid w:val="0097771E"/>
    <w:rsid w:val="009777FF"/>
    <w:rsid w:val="00980A3E"/>
    <w:rsid w:val="00980E3E"/>
    <w:rsid w:val="00981765"/>
    <w:rsid w:val="00983EEF"/>
    <w:rsid w:val="009840ED"/>
    <w:rsid w:val="00984E63"/>
    <w:rsid w:val="009850BC"/>
    <w:rsid w:val="009865D3"/>
    <w:rsid w:val="00987DCF"/>
    <w:rsid w:val="009905AC"/>
    <w:rsid w:val="009914B7"/>
    <w:rsid w:val="00992E86"/>
    <w:rsid w:val="00992FC9"/>
    <w:rsid w:val="00995EC2"/>
    <w:rsid w:val="00996003"/>
    <w:rsid w:val="00996FB2"/>
    <w:rsid w:val="009A059E"/>
    <w:rsid w:val="009A0899"/>
    <w:rsid w:val="009A1530"/>
    <w:rsid w:val="009A3850"/>
    <w:rsid w:val="009A6963"/>
    <w:rsid w:val="009A6C95"/>
    <w:rsid w:val="009B0444"/>
    <w:rsid w:val="009B0AE0"/>
    <w:rsid w:val="009B229C"/>
    <w:rsid w:val="009B259F"/>
    <w:rsid w:val="009B273A"/>
    <w:rsid w:val="009B2F94"/>
    <w:rsid w:val="009B4D7C"/>
    <w:rsid w:val="009B52C1"/>
    <w:rsid w:val="009B59CA"/>
    <w:rsid w:val="009C0F32"/>
    <w:rsid w:val="009C11AB"/>
    <w:rsid w:val="009C241C"/>
    <w:rsid w:val="009C321E"/>
    <w:rsid w:val="009C405B"/>
    <w:rsid w:val="009C4294"/>
    <w:rsid w:val="009C47EB"/>
    <w:rsid w:val="009C48F4"/>
    <w:rsid w:val="009C61B9"/>
    <w:rsid w:val="009C66FE"/>
    <w:rsid w:val="009C717B"/>
    <w:rsid w:val="009C76F1"/>
    <w:rsid w:val="009D0802"/>
    <w:rsid w:val="009D21F7"/>
    <w:rsid w:val="009D31EF"/>
    <w:rsid w:val="009D3591"/>
    <w:rsid w:val="009D3B64"/>
    <w:rsid w:val="009D3EB4"/>
    <w:rsid w:val="009D3EE0"/>
    <w:rsid w:val="009D4F5B"/>
    <w:rsid w:val="009D5626"/>
    <w:rsid w:val="009D63FE"/>
    <w:rsid w:val="009D7182"/>
    <w:rsid w:val="009D761C"/>
    <w:rsid w:val="009E16AA"/>
    <w:rsid w:val="009E2F37"/>
    <w:rsid w:val="009E451D"/>
    <w:rsid w:val="009E4632"/>
    <w:rsid w:val="009E5081"/>
    <w:rsid w:val="009E538D"/>
    <w:rsid w:val="009E5533"/>
    <w:rsid w:val="009E6D94"/>
    <w:rsid w:val="009E7F60"/>
    <w:rsid w:val="009F2175"/>
    <w:rsid w:val="009F2919"/>
    <w:rsid w:val="009F2A98"/>
    <w:rsid w:val="009F34C0"/>
    <w:rsid w:val="009F4557"/>
    <w:rsid w:val="009F5216"/>
    <w:rsid w:val="009F5C7F"/>
    <w:rsid w:val="009F5CCB"/>
    <w:rsid w:val="009F7498"/>
    <w:rsid w:val="009F7C1D"/>
    <w:rsid w:val="00A00511"/>
    <w:rsid w:val="00A019DD"/>
    <w:rsid w:val="00A04BA4"/>
    <w:rsid w:val="00A04BB2"/>
    <w:rsid w:val="00A05249"/>
    <w:rsid w:val="00A0651B"/>
    <w:rsid w:val="00A06EBD"/>
    <w:rsid w:val="00A07442"/>
    <w:rsid w:val="00A07EBD"/>
    <w:rsid w:val="00A10E1C"/>
    <w:rsid w:val="00A117ED"/>
    <w:rsid w:val="00A11826"/>
    <w:rsid w:val="00A119C5"/>
    <w:rsid w:val="00A12329"/>
    <w:rsid w:val="00A12878"/>
    <w:rsid w:val="00A14660"/>
    <w:rsid w:val="00A15780"/>
    <w:rsid w:val="00A15F6F"/>
    <w:rsid w:val="00A16034"/>
    <w:rsid w:val="00A178DA"/>
    <w:rsid w:val="00A17EE4"/>
    <w:rsid w:val="00A21A13"/>
    <w:rsid w:val="00A22745"/>
    <w:rsid w:val="00A22EC6"/>
    <w:rsid w:val="00A246BC"/>
    <w:rsid w:val="00A253BF"/>
    <w:rsid w:val="00A2589E"/>
    <w:rsid w:val="00A260DC"/>
    <w:rsid w:val="00A26DA7"/>
    <w:rsid w:val="00A2712C"/>
    <w:rsid w:val="00A2775A"/>
    <w:rsid w:val="00A278FB"/>
    <w:rsid w:val="00A2797D"/>
    <w:rsid w:val="00A279D9"/>
    <w:rsid w:val="00A300C7"/>
    <w:rsid w:val="00A304F9"/>
    <w:rsid w:val="00A30863"/>
    <w:rsid w:val="00A31A2E"/>
    <w:rsid w:val="00A32EB8"/>
    <w:rsid w:val="00A33041"/>
    <w:rsid w:val="00A339F5"/>
    <w:rsid w:val="00A3559B"/>
    <w:rsid w:val="00A37681"/>
    <w:rsid w:val="00A415D3"/>
    <w:rsid w:val="00A428A2"/>
    <w:rsid w:val="00A43433"/>
    <w:rsid w:val="00A44195"/>
    <w:rsid w:val="00A454C3"/>
    <w:rsid w:val="00A47F48"/>
    <w:rsid w:val="00A5007A"/>
    <w:rsid w:val="00A50676"/>
    <w:rsid w:val="00A519BE"/>
    <w:rsid w:val="00A52124"/>
    <w:rsid w:val="00A5416B"/>
    <w:rsid w:val="00A54CE0"/>
    <w:rsid w:val="00A54D13"/>
    <w:rsid w:val="00A552A2"/>
    <w:rsid w:val="00A56A9D"/>
    <w:rsid w:val="00A56B1F"/>
    <w:rsid w:val="00A56D45"/>
    <w:rsid w:val="00A60B4E"/>
    <w:rsid w:val="00A61866"/>
    <w:rsid w:val="00A61C40"/>
    <w:rsid w:val="00A61DFF"/>
    <w:rsid w:val="00A63014"/>
    <w:rsid w:val="00A63CE2"/>
    <w:rsid w:val="00A65242"/>
    <w:rsid w:val="00A6734E"/>
    <w:rsid w:val="00A71A45"/>
    <w:rsid w:val="00A73D8C"/>
    <w:rsid w:val="00A740A1"/>
    <w:rsid w:val="00A748A2"/>
    <w:rsid w:val="00A748EE"/>
    <w:rsid w:val="00A75566"/>
    <w:rsid w:val="00A75D95"/>
    <w:rsid w:val="00A773FA"/>
    <w:rsid w:val="00A77E62"/>
    <w:rsid w:val="00A81715"/>
    <w:rsid w:val="00A81BC0"/>
    <w:rsid w:val="00A82BCE"/>
    <w:rsid w:val="00A8321F"/>
    <w:rsid w:val="00A83CCF"/>
    <w:rsid w:val="00A84BA5"/>
    <w:rsid w:val="00A84D91"/>
    <w:rsid w:val="00A84DC2"/>
    <w:rsid w:val="00A876F0"/>
    <w:rsid w:val="00A87C09"/>
    <w:rsid w:val="00A908E0"/>
    <w:rsid w:val="00A90A87"/>
    <w:rsid w:val="00A935D0"/>
    <w:rsid w:val="00A940F7"/>
    <w:rsid w:val="00A952E2"/>
    <w:rsid w:val="00A956CF"/>
    <w:rsid w:val="00A96EF5"/>
    <w:rsid w:val="00AA0057"/>
    <w:rsid w:val="00AA0482"/>
    <w:rsid w:val="00AA22AB"/>
    <w:rsid w:val="00AA23C5"/>
    <w:rsid w:val="00AA3C8F"/>
    <w:rsid w:val="00AA4AB1"/>
    <w:rsid w:val="00AA4C98"/>
    <w:rsid w:val="00AA534A"/>
    <w:rsid w:val="00AA6B7A"/>
    <w:rsid w:val="00AA7959"/>
    <w:rsid w:val="00AB0986"/>
    <w:rsid w:val="00AB09B4"/>
    <w:rsid w:val="00AB4076"/>
    <w:rsid w:val="00AB4123"/>
    <w:rsid w:val="00AB419D"/>
    <w:rsid w:val="00AB5329"/>
    <w:rsid w:val="00AB707A"/>
    <w:rsid w:val="00AB773C"/>
    <w:rsid w:val="00AB7786"/>
    <w:rsid w:val="00AC0271"/>
    <w:rsid w:val="00AC1405"/>
    <w:rsid w:val="00AC2E05"/>
    <w:rsid w:val="00AC3C70"/>
    <w:rsid w:val="00AC4893"/>
    <w:rsid w:val="00AC5B7A"/>
    <w:rsid w:val="00AC739B"/>
    <w:rsid w:val="00AC7538"/>
    <w:rsid w:val="00AC7A4B"/>
    <w:rsid w:val="00AD0CFD"/>
    <w:rsid w:val="00AD111C"/>
    <w:rsid w:val="00AD154D"/>
    <w:rsid w:val="00AD3801"/>
    <w:rsid w:val="00AD4816"/>
    <w:rsid w:val="00AD4831"/>
    <w:rsid w:val="00AD5806"/>
    <w:rsid w:val="00AD59F8"/>
    <w:rsid w:val="00AD74D3"/>
    <w:rsid w:val="00AD7F47"/>
    <w:rsid w:val="00AE08E4"/>
    <w:rsid w:val="00AE2CDE"/>
    <w:rsid w:val="00AE31DE"/>
    <w:rsid w:val="00AE3E9C"/>
    <w:rsid w:val="00AE5D47"/>
    <w:rsid w:val="00AE6387"/>
    <w:rsid w:val="00AE6B86"/>
    <w:rsid w:val="00AE77FE"/>
    <w:rsid w:val="00AF0203"/>
    <w:rsid w:val="00AF087E"/>
    <w:rsid w:val="00AF0B26"/>
    <w:rsid w:val="00AF1DA1"/>
    <w:rsid w:val="00AF287E"/>
    <w:rsid w:val="00AF2992"/>
    <w:rsid w:val="00AF3460"/>
    <w:rsid w:val="00AF382D"/>
    <w:rsid w:val="00AF3C86"/>
    <w:rsid w:val="00AF429D"/>
    <w:rsid w:val="00AF49AD"/>
    <w:rsid w:val="00AF597A"/>
    <w:rsid w:val="00AF5C98"/>
    <w:rsid w:val="00AF5E83"/>
    <w:rsid w:val="00AF60FA"/>
    <w:rsid w:val="00AF681F"/>
    <w:rsid w:val="00AF693A"/>
    <w:rsid w:val="00AF6E0E"/>
    <w:rsid w:val="00AF789E"/>
    <w:rsid w:val="00AF7C51"/>
    <w:rsid w:val="00B0096D"/>
    <w:rsid w:val="00B035C6"/>
    <w:rsid w:val="00B051CF"/>
    <w:rsid w:val="00B051EF"/>
    <w:rsid w:val="00B0571A"/>
    <w:rsid w:val="00B0623F"/>
    <w:rsid w:val="00B063C8"/>
    <w:rsid w:val="00B070CA"/>
    <w:rsid w:val="00B07C7B"/>
    <w:rsid w:val="00B10BD7"/>
    <w:rsid w:val="00B11980"/>
    <w:rsid w:val="00B144C1"/>
    <w:rsid w:val="00B17BFE"/>
    <w:rsid w:val="00B17F25"/>
    <w:rsid w:val="00B201C9"/>
    <w:rsid w:val="00B222DF"/>
    <w:rsid w:val="00B22797"/>
    <w:rsid w:val="00B25DF5"/>
    <w:rsid w:val="00B30577"/>
    <w:rsid w:val="00B3086C"/>
    <w:rsid w:val="00B31421"/>
    <w:rsid w:val="00B315D8"/>
    <w:rsid w:val="00B31AB6"/>
    <w:rsid w:val="00B33800"/>
    <w:rsid w:val="00B33ED5"/>
    <w:rsid w:val="00B360B9"/>
    <w:rsid w:val="00B360D0"/>
    <w:rsid w:val="00B36175"/>
    <w:rsid w:val="00B36911"/>
    <w:rsid w:val="00B36BCC"/>
    <w:rsid w:val="00B40964"/>
    <w:rsid w:val="00B430D1"/>
    <w:rsid w:val="00B434ED"/>
    <w:rsid w:val="00B44EAE"/>
    <w:rsid w:val="00B47204"/>
    <w:rsid w:val="00B520ED"/>
    <w:rsid w:val="00B52842"/>
    <w:rsid w:val="00B52EAB"/>
    <w:rsid w:val="00B5334F"/>
    <w:rsid w:val="00B53396"/>
    <w:rsid w:val="00B537F2"/>
    <w:rsid w:val="00B54E8A"/>
    <w:rsid w:val="00B56A70"/>
    <w:rsid w:val="00B57068"/>
    <w:rsid w:val="00B57127"/>
    <w:rsid w:val="00B57A56"/>
    <w:rsid w:val="00B604F9"/>
    <w:rsid w:val="00B60E0C"/>
    <w:rsid w:val="00B61DD6"/>
    <w:rsid w:val="00B62AF1"/>
    <w:rsid w:val="00B63884"/>
    <w:rsid w:val="00B64383"/>
    <w:rsid w:val="00B64EC4"/>
    <w:rsid w:val="00B657CA"/>
    <w:rsid w:val="00B67C5A"/>
    <w:rsid w:val="00B72FDA"/>
    <w:rsid w:val="00B74F88"/>
    <w:rsid w:val="00B755C2"/>
    <w:rsid w:val="00B7579E"/>
    <w:rsid w:val="00B75835"/>
    <w:rsid w:val="00B75CB4"/>
    <w:rsid w:val="00B76BC9"/>
    <w:rsid w:val="00B76FD6"/>
    <w:rsid w:val="00B77F0E"/>
    <w:rsid w:val="00B80216"/>
    <w:rsid w:val="00B8038B"/>
    <w:rsid w:val="00B810A2"/>
    <w:rsid w:val="00B826D8"/>
    <w:rsid w:val="00B84C2E"/>
    <w:rsid w:val="00B8500F"/>
    <w:rsid w:val="00B8555E"/>
    <w:rsid w:val="00B85F71"/>
    <w:rsid w:val="00B8618F"/>
    <w:rsid w:val="00B86600"/>
    <w:rsid w:val="00B86752"/>
    <w:rsid w:val="00B90813"/>
    <w:rsid w:val="00B924DB"/>
    <w:rsid w:val="00B9306B"/>
    <w:rsid w:val="00B93138"/>
    <w:rsid w:val="00B93728"/>
    <w:rsid w:val="00B93972"/>
    <w:rsid w:val="00B96587"/>
    <w:rsid w:val="00BA0A97"/>
    <w:rsid w:val="00BA0DB7"/>
    <w:rsid w:val="00BA1739"/>
    <w:rsid w:val="00BA2008"/>
    <w:rsid w:val="00BA24E5"/>
    <w:rsid w:val="00BA38EB"/>
    <w:rsid w:val="00BA406E"/>
    <w:rsid w:val="00BA551D"/>
    <w:rsid w:val="00BA581D"/>
    <w:rsid w:val="00BA5E36"/>
    <w:rsid w:val="00BA740B"/>
    <w:rsid w:val="00BB0CB6"/>
    <w:rsid w:val="00BB1684"/>
    <w:rsid w:val="00BB2692"/>
    <w:rsid w:val="00BB2CDC"/>
    <w:rsid w:val="00BB364C"/>
    <w:rsid w:val="00BB4C92"/>
    <w:rsid w:val="00BB5C8B"/>
    <w:rsid w:val="00BB5DCA"/>
    <w:rsid w:val="00BB5E04"/>
    <w:rsid w:val="00BB63CE"/>
    <w:rsid w:val="00BB7696"/>
    <w:rsid w:val="00BC02DC"/>
    <w:rsid w:val="00BC14C1"/>
    <w:rsid w:val="00BC2091"/>
    <w:rsid w:val="00BC25A0"/>
    <w:rsid w:val="00BC2B8C"/>
    <w:rsid w:val="00BC449A"/>
    <w:rsid w:val="00BC4ED4"/>
    <w:rsid w:val="00BC53CF"/>
    <w:rsid w:val="00BC62D4"/>
    <w:rsid w:val="00BC73A3"/>
    <w:rsid w:val="00BC7AD1"/>
    <w:rsid w:val="00BD0612"/>
    <w:rsid w:val="00BD0940"/>
    <w:rsid w:val="00BD0DD1"/>
    <w:rsid w:val="00BD3238"/>
    <w:rsid w:val="00BD3E4E"/>
    <w:rsid w:val="00BD44FE"/>
    <w:rsid w:val="00BD58F1"/>
    <w:rsid w:val="00BD5F95"/>
    <w:rsid w:val="00BD69D5"/>
    <w:rsid w:val="00BD6A97"/>
    <w:rsid w:val="00BD70B5"/>
    <w:rsid w:val="00BD7967"/>
    <w:rsid w:val="00BE02EF"/>
    <w:rsid w:val="00BE0597"/>
    <w:rsid w:val="00BE3160"/>
    <w:rsid w:val="00BE3509"/>
    <w:rsid w:val="00BE45DC"/>
    <w:rsid w:val="00BF28E0"/>
    <w:rsid w:val="00BF33DE"/>
    <w:rsid w:val="00BF36C1"/>
    <w:rsid w:val="00BF3EC0"/>
    <w:rsid w:val="00BF45DB"/>
    <w:rsid w:val="00BF5493"/>
    <w:rsid w:val="00BF5DDA"/>
    <w:rsid w:val="00BF60E2"/>
    <w:rsid w:val="00BF620C"/>
    <w:rsid w:val="00C01A96"/>
    <w:rsid w:val="00C035A3"/>
    <w:rsid w:val="00C03F4B"/>
    <w:rsid w:val="00C047CE"/>
    <w:rsid w:val="00C06EDA"/>
    <w:rsid w:val="00C07E83"/>
    <w:rsid w:val="00C10BA8"/>
    <w:rsid w:val="00C11C94"/>
    <w:rsid w:val="00C14721"/>
    <w:rsid w:val="00C17267"/>
    <w:rsid w:val="00C21984"/>
    <w:rsid w:val="00C21D54"/>
    <w:rsid w:val="00C22A2D"/>
    <w:rsid w:val="00C24033"/>
    <w:rsid w:val="00C2446A"/>
    <w:rsid w:val="00C24BA2"/>
    <w:rsid w:val="00C24E13"/>
    <w:rsid w:val="00C31368"/>
    <w:rsid w:val="00C31D99"/>
    <w:rsid w:val="00C3230C"/>
    <w:rsid w:val="00C33709"/>
    <w:rsid w:val="00C355D8"/>
    <w:rsid w:val="00C35796"/>
    <w:rsid w:val="00C360C5"/>
    <w:rsid w:val="00C36699"/>
    <w:rsid w:val="00C37256"/>
    <w:rsid w:val="00C37DEC"/>
    <w:rsid w:val="00C37F8E"/>
    <w:rsid w:val="00C42209"/>
    <w:rsid w:val="00C4256A"/>
    <w:rsid w:val="00C42CC8"/>
    <w:rsid w:val="00C42D9F"/>
    <w:rsid w:val="00C43A8F"/>
    <w:rsid w:val="00C44220"/>
    <w:rsid w:val="00C44A56"/>
    <w:rsid w:val="00C44EC6"/>
    <w:rsid w:val="00C46DB3"/>
    <w:rsid w:val="00C4727F"/>
    <w:rsid w:val="00C51142"/>
    <w:rsid w:val="00C5236B"/>
    <w:rsid w:val="00C546CE"/>
    <w:rsid w:val="00C54B8E"/>
    <w:rsid w:val="00C54EDC"/>
    <w:rsid w:val="00C564E4"/>
    <w:rsid w:val="00C56F2C"/>
    <w:rsid w:val="00C573B9"/>
    <w:rsid w:val="00C57A0D"/>
    <w:rsid w:val="00C61A59"/>
    <w:rsid w:val="00C637BD"/>
    <w:rsid w:val="00C63CA4"/>
    <w:rsid w:val="00C640D5"/>
    <w:rsid w:val="00C64C06"/>
    <w:rsid w:val="00C64F99"/>
    <w:rsid w:val="00C658FD"/>
    <w:rsid w:val="00C66758"/>
    <w:rsid w:val="00C70334"/>
    <w:rsid w:val="00C718C7"/>
    <w:rsid w:val="00C71B2D"/>
    <w:rsid w:val="00C7250B"/>
    <w:rsid w:val="00C72AED"/>
    <w:rsid w:val="00C732D9"/>
    <w:rsid w:val="00C733AC"/>
    <w:rsid w:val="00C73C74"/>
    <w:rsid w:val="00C73DA6"/>
    <w:rsid w:val="00C75100"/>
    <w:rsid w:val="00C75A3C"/>
    <w:rsid w:val="00C75F30"/>
    <w:rsid w:val="00C7673C"/>
    <w:rsid w:val="00C81414"/>
    <w:rsid w:val="00C82AEF"/>
    <w:rsid w:val="00C8516D"/>
    <w:rsid w:val="00C858B6"/>
    <w:rsid w:val="00C86869"/>
    <w:rsid w:val="00C871FB"/>
    <w:rsid w:val="00C90A26"/>
    <w:rsid w:val="00C919B6"/>
    <w:rsid w:val="00C923C1"/>
    <w:rsid w:val="00C93500"/>
    <w:rsid w:val="00C94156"/>
    <w:rsid w:val="00C95CCF"/>
    <w:rsid w:val="00C95F14"/>
    <w:rsid w:val="00C968A3"/>
    <w:rsid w:val="00C96B69"/>
    <w:rsid w:val="00C96BF5"/>
    <w:rsid w:val="00C97705"/>
    <w:rsid w:val="00C97916"/>
    <w:rsid w:val="00C97DC9"/>
    <w:rsid w:val="00CA351E"/>
    <w:rsid w:val="00CA3691"/>
    <w:rsid w:val="00CA451D"/>
    <w:rsid w:val="00CA5B04"/>
    <w:rsid w:val="00CA7868"/>
    <w:rsid w:val="00CA7F37"/>
    <w:rsid w:val="00CB0DF0"/>
    <w:rsid w:val="00CB0E31"/>
    <w:rsid w:val="00CB1DA7"/>
    <w:rsid w:val="00CB344B"/>
    <w:rsid w:val="00CB4018"/>
    <w:rsid w:val="00CB4DE3"/>
    <w:rsid w:val="00CB5873"/>
    <w:rsid w:val="00CB5E7B"/>
    <w:rsid w:val="00CB653F"/>
    <w:rsid w:val="00CB70FF"/>
    <w:rsid w:val="00CC2D73"/>
    <w:rsid w:val="00CC3A65"/>
    <w:rsid w:val="00CC3BB9"/>
    <w:rsid w:val="00CC5847"/>
    <w:rsid w:val="00CC6AAF"/>
    <w:rsid w:val="00CD05E1"/>
    <w:rsid w:val="00CD189A"/>
    <w:rsid w:val="00CD34CD"/>
    <w:rsid w:val="00CD39FC"/>
    <w:rsid w:val="00CD5150"/>
    <w:rsid w:val="00CD5D39"/>
    <w:rsid w:val="00CD6B9C"/>
    <w:rsid w:val="00CD6DB2"/>
    <w:rsid w:val="00CE073A"/>
    <w:rsid w:val="00CE090C"/>
    <w:rsid w:val="00CE0E71"/>
    <w:rsid w:val="00CE1AF7"/>
    <w:rsid w:val="00CE26C7"/>
    <w:rsid w:val="00CE366C"/>
    <w:rsid w:val="00CE47EB"/>
    <w:rsid w:val="00CE4BC8"/>
    <w:rsid w:val="00CE5250"/>
    <w:rsid w:val="00CE6444"/>
    <w:rsid w:val="00CE7C62"/>
    <w:rsid w:val="00CF21FE"/>
    <w:rsid w:val="00CF3404"/>
    <w:rsid w:val="00CF3889"/>
    <w:rsid w:val="00CF4183"/>
    <w:rsid w:val="00CF47A0"/>
    <w:rsid w:val="00D01677"/>
    <w:rsid w:val="00D02EF2"/>
    <w:rsid w:val="00D038A8"/>
    <w:rsid w:val="00D03FF6"/>
    <w:rsid w:val="00D05A84"/>
    <w:rsid w:val="00D06FF9"/>
    <w:rsid w:val="00D10591"/>
    <w:rsid w:val="00D11105"/>
    <w:rsid w:val="00D1189D"/>
    <w:rsid w:val="00D13578"/>
    <w:rsid w:val="00D143D9"/>
    <w:rsid w:val="00D15B66"/>
    <w:rsid w:val="00D1656E"/>
    <w:rsid w:val="00D17A04"/>
    <w:rsid w:val="00D17E2D"/>
    <w:rsid w:val="00D20309"/>
    <w:rsid w:val="00D211EC"/>
    <w:rsid w:val="00D233DB"/>
    <w:rsid w:val="00D23EE9"/>
    <w:rsid w:val="00D24511"/>
    <w:rsid w:val="00D253CA"/>
    <w:rsid w:val="00D26271"/>
    <w:rsid w:val="00D26C36"/>
    <w:rsid w:val="00D30292"/>
    <w:rsid w:val="00D307C0"/>
    <w:rsid w:val="00D30EC5"/>
    <w:rsid w:val="00D31719"/>
    <w:rsid w:val="00D31ABC"/>
    <w:rsid w:val="00D31BC7"/>
    <w:rsid w:val="00D333BE"/>
    <w:rsid w:val="00D355B7"/>
    <w:rsid w:val="00D37162"/>
    <w:rsid w:val="00D37CA1"/>
    <w:rsid w:val="00D439B2"/>
    <w:rsid w:val="00D43EC7"/>
    <w:rsid w:val="00D43F8B"/>
    <w:rsid w:val="00D44275"/>
    <w:rsid w:val="00D47D57"/>
    <w:rsid w:val="00D52391"/>
    <w:rsid w:val="00D52D77"/>
    <w:rsid w:val="00D53AA7"/>
    <w:rsid w:val="00D542DA"/>
    <w:rsid w:val="00D54B0E"/>
    <w:rsid w:val="00D550EB"/>
    <w:rsid w:val="00D552FA"/>
    <w:rsid w:val="00D56DE7"/>
    <w:rsid w:val="00D608DA"/>
    <w:rsid w:val="00D60987"/>
    <w:rsid w:val="00D615CD"/>
    <w:rsid w:val="00D61BC0"/>
    <w:rsid w:val="00D62721"/>
    <w:rsid w:val="00D66C6C"/>
    <w:rsid w:val="00D709A3"/>
    <w:rsid w:val="00D70AD6"/>
    <w:rsid w:val="00D70C7F"/>
    <w:rsid w:val="00D7163F"/>
    <w:rsid w:val="00D724F1"/>
    <w:rsid w:val="00D72F92"/>
    <w:rsid w:val="00D7319F"/>
    <w:rsid w:val="00D73847"/>
    <w:rsid w:val="00D74243"/>
    <w:rsid w:val="00D742AC"/>
    <w:rsid w:val="00D75802"/>
    <w:rsid w:val="00D76A13"/>
    <w:rsid w:val="00D77830"/>
    <w:rsid w:val="00D80DF0"/>
    <w:rsid w:val="00D827F6"/>
    <w:rsid w:val="00D82CE6"/>
    <w:rsid w:val="00D90DAC"/>
    <w:rsid w:val="00D931C7"/>
    <w:rsid w:val="00D9352C"/>
    <w:rsid w:val="00D93873"/>
    <w:rsid w:val="00D93B9D"/>
    <w:rsid w:val="00D93C8B"/>
    <w:rsid w:val="00D94698"/>
    <w:rsid w:val="00D95C98"/>
    <w:rsid w:val="00D960E5"/>
    <w:rsid w:val="00D96514"/>
    <w:rsid w:val="00D97E4F"/>
    <w:rsid w:val="00DA08E0"/>
    <w:rsid w:val="00DA1BC5"/>
    <w:rsid w:val="00DA28DA"/>
    <w:rsid w:val="00DA35BD"/>
    <w:rsid w:val="00DA3A24"/>
    <w:rsid w:val="00DA4FB4"/>
    <w:rsid w:val="00DA7E9C"/>
    <w:rsid w:val="00DB032F"/>
    <w:rsid w:val="00DB0338"/>
    <w:rsid w:val="00DB0593"/>
    <w:rsid w:val="00DB0736"/>
    <w:rsid w:val="00DB15A0"/>
    <w:rsid w:val="00DB20D5"/>
    <w:rsid w:val="00DB2937"/>
    <w:rsid w:val="00DB2BCB"/>
    <w:rsid w:val="00DB4733"/>
    <w:rsid w:val="00DB49B6"/>
    <w:rsid w:val="00DB4D0E"/>
    <w:rsid w:val="00DB55DA"/>
    <w:rsid w:val="00DB60C3"/>
    <w:rsid w:val="00DC219F"/>
    <w:rsid w:val="00DC3D3A"/>
    <w:rsid w:val="00DC4924"/>
    <w:rsid w:val="00DC559D"/>
    <w:rsid w:val="00DC67D9"/>
    <w:rsid w:val="00DC6AB9"/>
    <w:rsid w:val="00DD0E8E"/>
    <w:rsid w:val="00DD16B0"/>
    <w:rsid w:val="00DD26CF"/>
    <w:rsid w:val="00DD4CEC"/>
    <w:rsid w:val="00DD63E8"/>
    <w:rsid w:val="00DD68A0"/>
    <w:rsid w:val="00DD6B2E"/>
    <w:rsid w:val="00DD6C65"/>
    <w:rsid w:val="00DD6F68"/>
    <w:rsid w:val="00DD7053"/>
    <w:rsid w:val="00DE0149"/>
    <w:rsid w:val="00DE034F"/>
    <w:rsid w:val="00DE1CB4"/>
    <w:rsid w:val="00DE28C9"/>
    <w:rsid w:val="00DE306B"/>
    <w:rsid w:val="00DE3BE5"/>
    <w:rsid w:val="00DE42C4"/>
    <w:rsid w:val="00DE541D"/>
    <w:rsid w:val="00DF074A"/>
    <w:rsid w:val="00DF10E3"/>
    <w:rsid w:val="00DF1387"/>
    <w:rsid w:val="00DF48F6"/>
    <w:rsid w:val="00DF5118"/>
    <w:rsid w:val="00DF76ED"/>
    <w:rsid w:val="00DF7ABC"/>
    <w:rsid w:val="00DF7B70"/>
    <w:rsid w:val="00E00631"/>
    <w:rsid w:val="00E00F94"/>
    <w:rsid w:val="00E01CE0"/>
    <w:rsid w:val="00E01F86"/>
    <w:rsid w:val="00E023F1"/>
    <w:rsid w:val="00E0243F"/>
    <w:rsid w:val="00E027FA"/>
    <w:rsid w:val="00E04A22"/>
    <w:rsid w:val="00E051C8"/>
    <w:rsid w:val="00E05D03"/>
    <w:rsid w:val="00E05F25"/>
    <w:rsid w:val="00E06025"/>
    <w:rsid w:val="00E06324"/>
    <w:rsid w:val="00E07A2A"/>
    <w:rsid w:val="00E07ED6"/>
    <w:rsid w:val="00E10D4B"/>
    <w:rsid w:val="00E11367"/>
    <w:rsid w:val="00E11C2E"/>
    <w:rsid w:val="00E11FF9"/>
    <w:rsid w:val="00E15357"/>
    <w:rsid w:val="00E15AFF"/>
    <w:rsid w:val="00E16A68"/>
    <w:rsid w:val="00E1754C"/>
    <w:rsid w:val="00E179CF"/>
    <w:rsid w:val="00E21773"/>
    <w:rsid w:val="00E22CFD"/>
    <w:rsid w:val="00E2441B"/>
    <w:rsid w:val="00E246BE"/>
    <w:rsid w:val="00E261CA"/>
    <w:rsid w:val="00E2680D"/>
    <w:rsid w:val="00E26820"/>
    <w:rsid w:val="00E2762E"/>
    <w:rsid w:val="00E306A6"/>
    <w:rsid w:val="00E30776"/>
    <w:rsid w:val="00E30BA5"/>
    <w:rsid w:val="00E30F58"/>
    <w:rsid w:val="00E31479"/>
    <w:rsid w:val="00E333BF"/>
    <w:rsid w:val="00E3522D"/>
    <w:rsid w:val="00E35D25"/>
    <w:rsid w:val="00E35D4A"/>
    <w:rsid w:val="00E3644F"/>
    <w:rsid w:val="00E36DC1"/>
    <w:rsid w:val="00E36FE8"/>
    <w:rsid w:val="00E4017D"/>
    <w:rsid w:val="00E41299"/>
    <w:rsid w:val="00E4197C"/>
    <w:rsid w:val="00E42EFA"/>
    <w:rsid w:val="00E4326D"/>
    <w:rsid w:val="00E43B36"/>
    <w:rsid w:val="00E4407D"/>
    <w:rsid w:val="00E44D36"/>
    <w:rsid w:val="00E44DA7"/>
    <w:rsid w:val="00E45A94"/>
    <w:rsid w:val="00E4648C"/>
    <w:rsid w:val="00E46C63"/>
    <w:rsid w:val="00E46F83"/>
    <w:rsid w:val="00E46FF2"/>
    <w:rsid w:val="00E47790"/>
    <w:rsid w:val="00E50383"/>
    <w:rsid w:val="00E50D68"/>
    <w:rsid w:val="00E5243C"/>
    <w:rsid w:val="00E52957"/>
    <w:rsid w:val="00E540AC"/>
    <w:rsid w:val="00E551CE"/>
    <w:rsid w:val="00E55AE0"/>
    <w:rsid w:val="00E56046"/>
    <w:rsid w:val="00E57767"/>
    <w:rsid w:val="00E60CE1"/>
    <w:rsid w:val="00E6157B"/>
    <w:rsid w:val="00E61CFA"/>
    <w:rsid w:val="00E635BB"/>
    <w:rsid w:val="00E639CA"/>
    <w:rsid w:val="00E640A7"/>
    <w:rsid w:val="00E64CA0"/>
    <w:rsid w:val="00E65AD1"/>
    <w:rsid w:val="00E66824"/>
    <w:rsid w:val="00E707EA"/>
    <w:rsid w:val="00E70EE4"/>
    <w:rsid w:val="00E72133"/>
    <w:rsid w:val="00E72C59"/>
    <w:rsid w:val="00E7367D"/>
    <w:rsid w:val="00E73E6D"/>
    <w:rsid w:val="00E7408F"/>
    <w:rsid w:val="00E74934"/>
    <w:rsid w:val="00E815CD"/>
    <w:rsid w:val="00E81A61"/>
    <w:rsid w:val="00E8228B"/>
    <w:rsid w:val="00E83FA4"/>
    <w:rsid w:val="00E84C07"/>
    <w:rsid w:val="00E8593D"/>
    <w:rsid w:val="00E86E0A"/>
    <w:rsid w:val="00E90B90"/>
    <w:rsid w:val="00E9197D"/>
    <w:rsid w:val="00E919A3"/>
    <w:rsid w:val="00E93A00"/>
    <w:rsid w:val="00E94667"/>
    <w:rsid w:val="00E96316"/>
    <w:rsid w:val="00E96422"/>
    <w:rsid w:val="00E968D4"/>
    <w:rsid w:val="00E9748C"/>
    <w:rsid w:val="00E9775E"/>
    <w:rsid w:val="00E97957"/>
    <w:rsid w:val="00EA19EF"/>
    <w:rsid w:val="00EA3E9A"/>
    <w:rsid w:val="00EA49AA"/>
    <w:rsid w:val="00EA65AA"/>
    <w:rsid w:val="00EA6967"/>
    <w:rsid w:val="00EA6D46"/>
    <w:rsid w:val="00EA7BB0"/>
    <w:rsid w:val="00EB0033"/>
    <w:rsid w:val="00EB06DC"/>
    <w:rsid w:val="00EB0DBC"/>
    <w:rsid w:val="00EB2952"/>
    <w:rsid w:val="00EB2F30"/>
    <w:rsid w:val="00EB3014"/>
    <w:rsid w:val="00EB3EC7"/>
    <w:rsid w:val="00EB4A11"/>
    <w:rsid w:val="00EB5B17"/>
    <w:rsid w:val="00EB6DC3"/>
    <w:rsid w:val="00EB732A"/>
    <w:rsid w:val="00EB74C0"/>
    <w:rsid w:val="00EB79AA"/>
    <w:rsid w:val="00EC04AF"/>
    <w:rsid w:val="00EC08CA"/>
    <w:rsid w:val="00EC13FC"/>
    <w:rsid w:val="00EC1850"/>
    <w:rsid w:val="00EC1BE7"/>
    <w:rsid w:val="00EC24E4"/>
    <w:rsid w:val="00EC41A4"/>
    <w:rsid w:val="00EC456A"/>
    <w:rsid w:val="00EC6456"/>
    <w:rsid w:val="00EC67CC"/>
    <w:rsid w:val="00EC735A"/>
    <w:rsid w:val="00ED2163"/>
    <w:rsid w:val="00ED2F5B"/>
    <w:rsid w:val="00ED427C"/>
    <w:rsid w:val="00ED61CF"/>
    <w:rsid w:val="00ED6511"/>
    <w:rsid w:val="00ED6A1E"/>
    <w:rsid w:val="00EE0E08"/>
    <w:rsid w:val="00EE184D"/>
    <w:rsid w:val="00EE2330"/>
    <w:rsid w:val="00EE6189"/>
    <w:rsid w:val="00EE68B1"/>
    <w:rsid w:val="00EF10B7"/>
    <w:rsid w:val="00EF1EE0"/>
    <w:rsid w:val="00EF3322"/>
    <w:rsid w:val="00EF37D0"/>
    <w:rsid w:val="00EF4776"/>
    <w:rsid w:val="00EF48F6"/>
    <w:rsid w:val="00EF492A"/>
    <w:rsid w:val="00EF508C"/>
    <w:rsid w:val="00EF53ED"/>
    <w:rsid w:val="00EF63C7"/>
    <w:rsid w:val="00F0108C"/>
    <w:rsid w:val="00F01A62"/>
    <w:rsid w:val="00F044AE"/>
    <w:rsid w:val="00F06706"/>
    <w:rsid w:val="00F0712B"/>
    <w:rsid w:val="00F07DBC"/>
    <w:rsid w:val="00F10C61"/>
    <w:rsid w:val="00F10DE0"/>
    <w:rsid w:val="00F11305"/>
    <w:rsid w:val="00F12142"/>
    <w:rsid w:val="00F121B4"/>
    <w:rsid w:val="00F1226F"/>
    <w:rsid w:val="00F12457"/>
    <w:rsid w:val="00F1303D"/>
    <w:rsid w:val="00F13EFC"/>
    <w:rsid w:val="00F14321"/>
    <w:rsid w:val="00F147C7"/>
    <w:rsid w:val="00F1508F"/>
    <w:rsid w:val="00F15885"/>
    <w:rsid w:val="00F166A4"/>
    <w:rsid w:val="00F178E3"/>
    <w:rsid w:val="00F179AB"/>
    <w:rsid w:val="00F20ADE"/>
    <w:rsid w:val="00F20F94"/>
    <w:rsid w:val="00F2111F"/>
    <w:rsid w:val="00F23613"/>
    <w:rsid w:val="00F2382B"/>
    <w:rsid w:val="00F23AF8"/>
    <w:rsid w:val="00F247DF"/>
    <w:rsid w:val="00F262B1"/>
    <w:rsid w:val="00F27A96"/>
    <w:rsid w:val="00F31C09"/>
    <w:rsid w:val="00F330C7"/>
    <w:rsid w:val="00F331D1"/>
    <w:rsid w:val="00F37C08"/>
    <w:rsid w:val="00F40005"/>
    <w:rsid w:val="00F4267D"/>
    <w:rsid w:val="00F43649"/>
    <w:rsid w:val="00F43A4B"/>
    <w:rsid w:val="00F50D66"/>
    <w:rsid w:val="00F526B2"/>
    <w:rsid w:val="00F52711"/>
    <w:rsid w:val="00F52DC8"/>
    <w:rsid w:val="00F54071"/>
    <w:rsid w:val="00F60101"/>
    <w:rsid w:val="00F62772"/>
    <w:rsid w:val="00F637EA"/>
    <w:rsid w:val="00F638B2"/>
    <w:rsid w:val="00F63972"/>
    <w:rsid w:val="00F63ABB"/>
    <w:rsid w:val="00F63B8D"/>
    <w:rsid w:val="00F63C84"/>
    <w:rsid w:val="00F653BE"/>
    <w:rsid w:val="00F6588F"/>
    <w:rsid w:val="00F65F16"/>
    <w:rsid w:val="00F705AB"/>
    <w:rsid w:val="00F70D52"/>
    <w:rsid w:val="00F7111F"/>
    <w:rsid w:val="00F717BE"/>
    <w:rsid w:val="00F72A4F"/>
    <w:rsid w:val="00F73768"/>
    <w:rsid w:val="00F76277"/>
    <w:rsid w:val="00F766CE"/>
    <w:rsid w:val="00F77172"/>
    <w:rsid w:val="00F80ED3"/>
    <w:rsid w:val="00F81DB5"/>
    <w:rsid w:val="00F82FF6"/>
    <w:rsid w:val="00F843A0"/>
    <w:rsid w:val="00F8454B"/>
    <w:rsid w:val="00F850F8"/>
    <w:rsid w:val="00F85406"/>
    <w:rsid w:val="00F85790"/>
    <w:rsid w:val="00F8656B"/>
    <w:rsid w:val="00F873E2"/>
    <w:rsid w:val="00F9022B"/>
    <w:rsid w:val="00F9473F"/>
    <w:rsid w:val="00F9523F"/>
    <w:rsid w:val="00F964D8"/>
    <w:rsid w:val="00F96E48"/>
    <w:rsid w:val="00F97F15"/>
    <w:rsid w:val="00FA16E2"/>
    <w:rsid w:val="00FA312C"/>
    <w:rsid w:val="00FA3ACF"/>
    <w:rsid w:val="00FA3F41"/>
    <w:rsid w:val="00FA456E"/>
    <w:rsid w:val="00FA4747"/>
    <w:rsid w:val="00FA625A"/>
    <w:rsid w:val="00FA71BA"/>
    <w:rsid w:val="00FA7F41"/>
    <w:rsid w:val="00FB0643"/>
    <w:rsid w:val="00FB0DD7"/>
    <w:rsid w:val="00FB21C8"/>
    <w:rsid w:val="00FB5C88"/>
    <w:rsid w:val="00FB7564"/>
    <w:rsid w:val="00FC0140"/>
    <w:rsid w:val="00FC0299"/>
    <w:rsid w:val="00FC233D"/>
    <w:rsid w:val="00FC27B1"/>
    <w:rsid w:val="00FC3974"/>
    <w:rsid w:val="00FC4C13"/>
    <w:rsid w:val="00FC609C"/>
    <w:rsid w:val="00FD0032"/>
    <w:rsid w:val="00FD07A0"/>
    <w:rsid w:val="00FD45F7"/>
    <w:rsid w:val="00FD5DCE"/>
    <w:rsid w:val="00FD6099"/>
    <w:rsid w:val="00FD7F9D"/>
    <w:rsid w:val="00FE09F1"/>
    <w:rsid w:val="00FE1616"/>
    <w:rsid w:val="00FE2D4C"/>
    <w:rsid w:val="00FE3EE8"/>
    <w:rsid w:val="00FE41B8"/>
    <w:rsid w:val="00FE77D9"/>
    <w:rsid w:val="00FE7F98"/>
    <w:rsid w:val="00FF1239"/>
    <w:rsid w:val="00FF1A2B"/>
    <w:rsid w:val="00FF1FC4"/>
    <w:rsid w:val="00FF3C80"/>
    <w:rsid w:val="00FF42E1"/>
    <w:rsid w:val="00FF49AF"/>
    <w:rsid w:val="00FF4A18"/>
    <w:rsid w:val="00FF5F3F"/>
    <w:rsid w:val="00FF6014"/>
    <w:rsid w:val="00FF60BB"/>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35DFB6-B727-48F7-9797-53A55EB7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paragraph" w:styleId="Heading2">
    <w:name w:val="heading 2"/>
    <w:basedOn w:val="Normal"/>
    <w:next w:val="Normal"/>
    <w:link w:val="Heading2Char"/>
    <w:uiPriority w:val="9"/>
    <w:qFormat/>
    <w:rsid w:val="00926312"/>
    <w:pPr>
      <w:keepNext/>
      <w:spacing w:after="60" w:line="360" w:lineRule="auto"/>
      <w:jc w:val="both"/>
      <w:outlineLvl w:val="1"/>
    </w:pPr>
    <w:rPr>
      <w:rFonts w:eastAsia="Times New Roman"/>
      <w:b/>
      <w:bCs/>
      <w:iCs/>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uiPriority w:val="99"/>
    <w:rsid w:val="00F63B8D"/>
    <w:pPr>
      <w:tabs>
        <w:tab w:val="center" w:pos="4153"/>
        <w:tab w:val="right" w:pos="8306"/>
      </w:tabs>
    </w:pPr>
    <w:rPr>
      <w:lang w:val="x-none"/>
    </w:rPr>
  </w:style>
  <w:style w:type="character" w:customStyle="1" w:styleId="HeaderChar">
    <w:name w:val="Header Char"/>
    <w:link w:val="Header"/>
    <w:uiPriority w:val="99"/>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H&amp;P List Paragraph,Saraksta rindkopa1,Normal bullet 2,Bullet list,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H&amp;P List Paragraph Char,Saraksta rindkopa1 Char,Normal bullet 2 Char,Bullet list Char,Strip Char"/>
    <w:link w:val="ListParagraph"/>
    <w:uiPriority w:val="34"/>
    <w:qFormat/>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naisf">
    <w:name w:val="naisf"/>
    <w:basedOn w:val="Normal"/>
    <w:rsid w:val="00B520ED"/>
    <w:pPr>
      <w:spacing w:before="100" w:beforeAutospacing="1" w:after="100" w:afterAutospacing="1"/>
    </w:pPr>
    <w:rPr>
      <w:rFonts w:eastAsia="Times New Roman"/>
    </w:rPr>
  </w:style>
  <w:style w:type="paragraph" w:customStyle="1" w:styleId="CM4">
    <w:name w:val="CM4"/>
    <w:basedOn w:val="Normal"/>
    <w:uiPriority w:val="99"/>
    <w:rsid w:val="004E19E3"/>
    <w:pPr>
      <w:autoSpaceDE w:val="0"/>
      <w:autoSpaceDN w:val="0"/>
    </w:pPr>
    <w:rPr>
      <w:rFonts w:ascii="EUAlbertina" w:hAnsi="EUAlbertina"/>
      <w:lang w:val="en-US" w:eastAsia="en-US"/>
    </w:rPr>
  </w:style>
  <w:style w:type="table" w:styleId="TableGridLight">
    <w:name w:val="Grid Table Light"/>
    <w:basedOn w:val="TableNormal"/>
    <w:uiPriority w:val="40"/>
    <w:rsid w:val="00A56D45"/>
    <w:pPr>
      <w:ind w:firstLine="709"/>
      <w:jc w:val="both"/>
    </w:pPr>
    <w:rPr>
      <w:rFonts w:ascii="Times New Roman" w:hAnsi="Times New Roman"/>
      <w:spacing w:val="-10"/>
      <w:kern w:val="24"/>
      <w:sz w:val="24"/>
      <w:szCs w:val="24"/>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932094"/>
    <w:rPr>
      <w:rFonts w:ascii="Times New Roman" w:hAnsi="Times New Roman"/>
      <w:sz w:val="24"/>
      <w:szCs w:val="24"/>
    </w:rPr>
  </w:style>
  <w:style w:type="paragraph" w:customStyle="1" w:styleId="Default">
    <w:name w:val="Default"/>
    <w:rsid w:val="002139E2"/>
    <w:pPr>
      <w:autoSpaceDE w:val="0"/>
      <w:autoSpaceDN w:val="0"/>
      <w:adjustRightInd w:val="0"/>
    </w:pPr>
    <w:rPr>
      <w:rFonts w:ascii="Times New Roman" w:hAnsi="Times New Roman"/>
      <w:color w:val="000000"/>
      <w:sz w:val="24"/>
      <w:szCs w:val="24"/>
      <w:lang w:val="en-GB" w:eastAsia="en-GB"/>
    </w:rPr>
  </w:style>
  <w:style w:type="character" w:customStyle="1" w:styleId="Heading2Char">
    <w:name w:val="Heading 2 Char"/>
    <w:link w:val="Heading2"/>
    <w:uiPriority w:val="9"/>
    <w:rsid w:val="00926312"/>
    <w:rPr>
      <w:rFonts w:ascii="Times New Roman" w:eastAsia="Times New Roman" w:hAnsi="Times New Roman"/>
      <w:b/>
      <w:bCs/>
      <w:iCs/>
      <w:sz w:val="24"/>
      <w:szCs w:val="28"/>
      <w:lang w:val="en-US" w:eastAsia="en-US"/>
    </w:rPr>
  </w:style>
  <w:style w:type="paragraph" w:customStyle="1" w:styleId="EE-bullet">
    <w:name w:val="EE-bullet"/>
    <w:basedOn w:val="Normal"/>
    <w:link w:val="EE-bulletChar"/>
    <w:autoRedefine/>
    <w:rsid w:val="00D26C36"/>
    <w:pPr>
      <w:numPr>
        <w:numId w:val="24"/>
      </w:numPr>
      <w:spacing w:after="120"/>
      <w:ind w:left="425" w:hanging="425"/>
      <w:contextualSpacing/>
      <w:jc w:val="both"/>
    </w:pPr>
    <w:rPr>
      <w:rFonts w:eastAsia="Times New Roman"/>
      <w:bCs/>
    </w:rPr>
  </w:style>
  <w:style w:type="character" w:customStyle="1" w:styleId="EE-bulletChar">
    <w:name w:val="EE-bullet Char"/>
    <w:link w:val="EE-bullet"/>
    <w:rsid w:val="00D26C36"/>
    <w:rPr>
      <w:rFonts w:ascii="Times New Roman" w:eastAsia="Times New Roman" w:hAnsi="Times New Roman"/>
      <w:bCs/>
      <w:sz w:val="24"/>
      <w:szCs w:val="24"/>
      <w:lang w:val="lv-LV" w:eastAsia="lv-LV"/>
    </w:rPr>
  </w:style>
  <w:style w:type="paragraph" w:customStyle="1" w:styleId="tv2131">
    <w:name w:val="tv2131"/>
    <w:basedOn w:val="Normal"/>
    <w:rsid w:val="00D26C36"/>
    <w:pPr>
      <w:spacing w:line="360" w:lineRule="auto"/>
      <w:ind w:firstLine="300"/>
    </w:pPr>
    <w:rPr>
      <w:rFonts w:eastAsia="Times New Roman"/>
      <w:color w:val="414142"/>
      <w:sz w:val="20"/>
      <w:szCs w:val="20"/>
      <w:lang w:val="en-US" w:eastAsia="en-US"/>
    </w:rPr>
  </w:style>
  <w:style w:type="character" w:customStyle="1" w:styleId="wffiletext">
    <w:name w:val="wf_file_text"/>
    <w:rsid w:val="00254587"/>
  </w:style>
  <w:style w:type="character" w:customStyle="1" w:styleId="apple-converted-space">
    <w:name w:val="apple-converted-space"/>
    <w:rsid w:val="008C3DC6"/>
  </w:style>
  <w:style w:type="character" w:customStyle="1" w:styleId="spelle">
    <w:name w:val="spelle"/>
    <w:rsid w:val="00F14321"/>
  </w:style>
  <w:style w:type="paragraph" w:customStyle="1" w:styleId="norm">
    <w:name w:val="norm"/>
    <w:basedOn w:val="Normal"/>
    <w:rsid w:val="008821EC"/>
    <w:pPr>
      <w:spacing w:before="100" w:beforeAutospacing="1" w:after="100" w:afterAutospacing="1"/>
    </w:pPr>
    <w:rPr>
      <w:rFonts w:eastAsia="Times New Roman"/>
    </w:rPr>
  </w:style>
  <w:style w:type="character" w:customStyle="1" w:styleId="superscript">
    <w:name w:val="superscript"/>
    <w:rsid w:val="008821EC"/>
  </w:style>
  <w:style w:type="paragraph" w:styleId="PlainText">
    <w:name w:val="Plain Text"/>
    <w:basedOn w:val="Normal"/>
    <w:link w:val="PlainTextChar"/>
    <w:uiPriority w:val="99"/>
    <w:semiHidden/>
    <w:unhideWhenUsed/>
    <w:rsid w:val="00EB3014"/>
    <w:rPr>
      <w:rFonts w:ascii="Calibri" w:hAnsi="Calibri"/>
      <w:sz w:val="22"/>
      <w:szCs w:val="21"/>
      <w:lang w:eastAsia="en-US"/>
    </w:rPr>
  </w:style>
  <w:style w:type="character" w:customStyle="1" w:styleId="PlainTextChar">
    <w:name w:val="Plain Text Char"/>
    <w:link w:val="PlainText"/>
    <w:uiPriority w:val="99"/>
    <w:semiHidden/>
    <w:rsid w:val="00EB3014"/>
    <w:rPr>
      <w:sz w:val="22"/>
      <w:szCs w:val="21"/>
      <w:lang w:eastAsia="en-US"/>
    </w:rPr>
  </w:style>
  <w:style w:type="paragraph" w:customStyle="1" w:styleId="tv213">
    <w:name w:val="tv213"/>
    <w:basedOn w:val="Normal"/>
    <w:rsid w:val="0076277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8733">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sChild>
        <w:div w:id="104816166">
          <w:marLeft w:val="0"/>
          <w:marRight w:val="0"/>
          <w:marTop w:val="0"/>
          <w:marBottom w:val="567"/>
          <w:divBdr>
            <w:top w:val="none" w:sz="0" w:space="0" w:color="auto"/>
            <w:left w:val="none" w:sz="0" w:space="0" w:color="auto"/>
            <w:bottom w:val="none" w:sz="0" w:space="0" w:color="auto"/>
            <w:right w:val="none" w:sz="0" w:space="0" w:color="auto"/>
          </w:divBdr>
        </w:div>
        <w:div w:id="591546310">
          <w:marLeft w:val="0"/>
          <w:marRight w:val="0"/>
          <w:marTop w:val="480"/>
          <w:marBottom w:val="240"/>
          <w:divBdr>
            <w:top w:val="none" w:sz="0" w:space="0" w:color="auto"/>
            <w:left w:val="none" w:sz="0" w:space="0" w:color="auto"/>
            <w:bottom w:val="none" w:sz="0" w:space="0" w:color="auto"/>
            <w:right w:val="none" w:sz="0" w:space="0" w:color="auto"/>
          </w:divBdr>
        </w:div>
      </w:divsChild>
    </w:div>
    <w:div w:id="262805893">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18385939">
      <w:bodyDiv w:val="1"/>
      <w:marLeft w:val="0"/>
      <w:marRight w:val="0"/>
      <w:marTop w:val="0"/>
      <w:marBottom w:val="0"/>
      <w:divBdr>
        <w:top w:val="none" w:sz="0" w:space="0" w:color="auto"/>
        <w:left w:val="none" w:sz="0" w:space="0" w:color="auto"/>
        <w:bottom w:val="none" w:sz="0" w:space="0" w:color="auto"/>
        <w:right w:val="none" w:sz="0" w:space="0" w:color="auto"/>
      </w:divBdr>
    </w:div>
    <w:div w:id="480391313">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13304631">
      <w:bodyDiv w:val="1"/>
      <w:marLeft w:val="0"/>
      <w:marRight w:val="0"/>
      <w:marTop w:val="0"/>
      <w:marBottom w:val="0"/>
      <w:divBdr>
        <w:top w:val="none" w:sz="0" w:space="0" w:color="auto"/>
        <w:left w:val="none" w:sz="0" w:space="0" w:color="auto"/>
        <w:bottom w:val="none" w:sz="0" w:space="0" w:color="auto"/>
        <w:right w:val="none" w:sz="0" w:space="0" w:color="auto"/>
      </w:divBdr>
    </w:div>
    <w:div w:id="616134137">
      <w:bodyDiv w:val="1"/>
      <w:marLeft w:val="0"/>
      <w:marRight w:val="0"/>
      <w:marTop w:val="0"/>
      <w:marBottom w:val="0"/>
      <w:divBdr>
        <w:top w:val="none" w:sz="0" w:space="0" w:color="auto"/>
        <w:left w:val="none" w:sz="0" w:space="0" w:color="auto"/>
        <w:bottom w:val="none" w:sz="0" w:space="0" w:color="auto"/>
        <w:right w:val="none" w:sz="0" w:space="0" w:color="auto"/>
      </w:divBdr>
    </w:div>
    <w:div w:id="622927848">
      <w:bodyDiv w:val="1"/>
      <w:marLeft w:val="0"/>
      <w:marRight w:val="0"/>
      <w:marTop w:val="0"/>
      <w:marBottom w:val="0"/>
      <w:divBdr>
        <w:top w:val="none" w:sz="0" w:space="0" w:color="auto"/>
        <w:left w:val="none" w:sz="0" w:space="0" w:color="auto"/>
        <w:bottom w:val="none" w:sz="0" w:space="0" w:color="auto"/>
        <w:right w:val="none" w:sz="0" w:space="0" w:color="auto"/>
      </w:divBdr>
    </w:div>
    <w:div w:id="634945375">
      <w:bodyDiv w:val="1"/>
      <w:marLeft w:val="0"/>
      <w:marRight w:val="0"/>
      <w:marTop w:val="0"/>
      <w:marBottom w:val="0"/>
      <w:divBdr>
        <w:top w:val="none" w:sz="0" w:space="0" w:color="auto"/>
        <w:left w:val="none" w:sz="0" w:space="0" w:color="auto"/>
        <w:bottom w:val="none" w:sz="0" w:space="0" w:color="auto"/>
        <w:right w:val="none" w:sz="0" w:space="0" w:color="auto"/>
      </w:divBdr>
    </w:div>
    <w:div w:id="639191219">
      <w:bodyDiv w:val="1"/>
      <w:marLeft w:val="0"/>
      <w:marRight w:val="0"/>
      <w:marTop w:val="0"/>
      <w:marBottom w:val="0"/>
      <w:divBdr>
        <w:top w:val="none" w:sz="0" w:space="0" w:color="auto"/>
        <w:left w:val="none" w:sz="0" w:space="0" w:color="auto"/>
        <w:bottom w:val="none" w:sz="0" w:space="0" w:color="auto"/>
        <w:right w:val="none" w:sz="0" w:space="0" w:color="auto"/>
      </w:divBdr>
    </w:div>
    <w:div w:id="639925325">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29117790">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362136">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72669882">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00840060">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416634898">
      <w:bodyDiv w:val="1"/>
      <w:marLeft w:val="0"/>
      <w:marRight w:val="0"/>
      <w:marTop w:val="0"/>
      <w:marBottom w:val="0"/>
      <w:divBdr>
        <w:top w:val="none" w:sz="0" w:space="0" w:color="auto"/>
        <w:left w:val="none" w:sz="0" w:space="0" w:color="auto"/>
        <w:bottom w:val="none" w:sz="0" w:space="0" w:color="auto"/>
        <w:right w:val="none" w:sz="0" w:space="0" w:color="auto"/>
      </w:divBdr>
    </w:div>
    <w:div w:id="1417945806">
      <w:bodyDiv w:val="1"/>
      <w:marLeft w:val="0"/>
      <w:marRight w:val="0"/>
      <w:marTop w:val="0"/>
      <w:marBottom w:val="0"/>
      <w:divBdr>
        <w:top w:val="none" w:sz="0" w:space="0" w:color="auto"/>
        <w:left w:val="none" w:sz="0" w:space="0" w:color="auto"/>
        <w:bottom w:val="none" w:sz="0" w:space="0" w:color="auto"/>
        <w:right w:val="none" w:sz="0" w:space="0" w:color="auto"/>
      </w:divBdr>
    </w:div>
    <w:div w:id="1517428228">
      <w:bodyDiv w:val="1"/>
      <w:marLeft w:val="0"/>
      <w:marRight w:val="0"/>
      <w:marTop w:val="0"/>
      <w:marBottom w:val="0"/>
      <w:divBdr>
        <w:top w:val="none" w:sz="0" w:space="0" w:color="auto"/>
        <w:left w:val="none" w:sz="0" w:space="0" w:color="auto"/>
        <w:bottom w:val="none" w:sz="0" w:space="0" w:color="auto"/>
        <w:right w:val="none" w:sz="0" w:space="0" w:color="auto"/>
      </w:divBdr>
    </w:div>
    <w:div w:id="1534004689">
      <w:bodyDiv w:val="1"/>
      <w:marLeft w:val="0"/>
      <w:marRight w:val="0"/>
      <w:marTop w:val="0"/>
      <w:marBottom w:val="0"/>
      <w:divBdr>
        <w:top w:val="none" w:sz="0" w:space="0" w:color="auto"/>
        <w:left w:val="none" w:sz="0" w:space="0" w:color="auto"/>
        <w:bottom w:val="none" w:sz="0" w:space="0" w:color="auto"/>
        <w:right w:val="none" w:sz="0" w:space="0" w:color="auto"/>
      </w:divBdr>
    </w:div>
    <w:div w:id="1622374281">
      <w:bodyDiv w:val="1"/>
      <w:marLeft w:val="0"/>
      <w:marRight w:val="0"/>
      <w:marTop w:val="0"/>
      <w:marBottom w:val="0"/>
      <w:divBdr>
        <w:top w:val="none" w:sz="0" w:space="0" w:color="auto"/>
        <w:left w:val="none" w:sz="0" w:space="0" w:color="auto"/>
        <w:bottom w:val="none" w:sz="0" w:space="0" w:color="auto"/>
        <w:right w:val="none" w:sz="0" w:space="0" w:color="auto"/>
      </w:divBdr>
    </w:div>
    <w:div w:id="1641840167">
      <w:bodyDiv w:val="1"/>
      <w:marLeft w:val="0"/>
      <w:marRight w:val="0"/>
      <w:marTop w:val="0"/>
      <w:marBottom w:val="0"/>
      <w:divBdr>
        <w:top w:val="none" w:sz="0" w:space="0" w:color="auto"/>
        <w:left w:val="none" w:sz="0" w:space="0" w:color="auto"/>
        <w:bottom w:val="none" w:sz="0" w:space="0" w:color="auto"/>
        <w:right w:val="none" w:sz="0" w:space="0" w:color="auto"/>
      </w:divBdr>
    </w:div>
    <w:div w:id="1660115254">
      <w:bodyDiv w:val="1"/>
      <w:marLeft w:val="0"/>
      <w:marRight w:val="0"/>
      <w:marTop w:val="0"/>
      <w:marBottom w:val="0"/>
      <w:divBdr>
        <w:top w:val="none" w:sz="0" w:space="0" w:color="auto"/>
        <w:left w:val="none" w:sz="0" w:space="0" w:color="auto"/>
        <w:bottom w:val="none" w:sz="0" w:space="0" w:color="auto"/>
        <w:right w:val="none" w:sz="0" w:space="0" w:color="auto"/>
      </w:divBdr>
    </w:div>
    <w:div w:id="1702054814">
      <w:bodyDiv w:val="1"/>
      <w:marLeft w:val="0"/>
      <w:marRight w:val="0"/>
      <w:marTop w:val="0"/>
      <w:marBottom w:val="0"/>
      <w:divBdr>
        <w:top w:val="none" w:sz="0" w:space="0" w:color="auto"/>
        <w:left w:val="none" w:sz="0" w:space="0" w:color="auto"/>
        <w:bottom w:val="none" w:sz="0" w:space="0" w:color="auto"/>
        <w:right w:val="none" w:sz="0" w:space="0" w:color="auto"/>
      </w:divBdr>
    </w:div>
    <w:div w:id="1729524561">
      <w:bodyDiv w:val="1"/>
      <w:marLeft w:val="0"/>
      <w:marRight w:val="0"/>
      <w:marTop w:val="0"/>
      <w:marBottom w:val="0"/>
      <w:divBdr>
        <w:top w:val="none" w:sz="0" w:space="0" w:color="auto"/>
        <w:left w:val="none" w:sz="0" w:space="0" w:color="auto"/>
        <w:bottom w:val="none" w:sz="0" w:space="0" w:color="auto"/>
        <w:right w:val="none" w:sz="0" w:space="0" w:color="auto"/>
      </w:divBdr>
    </w:div>
    <w:div w:id="1759790300">
      <w:bodyDiv w:val="1"/>
      <w:marLeft w:val="0"/>
      <w:marRight w:val="0"/>
      <w:marTop w:val="0"/>
      <w:marBottom w:val="0"/>
      <w:divBdr>
        <w:top w:val="none" w:sz="0" w:space="0" w:color="auto"/>
        <w:left w:val="none" w:sz="0" w:space="0" w:color="auto"/>
        <w:bottom w:val="none" w:sz="0" w:space="0" w:color="auto"/>
        <w:right w:val="none" w:sz="0" w:space="0" w:color="auto"/>
      </w:divBdr>
    </w:div>
    <w:div w:id="1803961131">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87523283">
      <w:bodyDiv w:val="1"/>
      <w:marLeft w:val="0"/>
      <w:marRight w:val="0"/>
      <w:marTop w:val="0"/>
      <w:marBottom w:val="0"/>
      <w:divBdr>
        <w:top w:val="none" w:sz="0" w:space="0" w:color="auto"/>
        <w:left w:val="none" w:sz="0" w:space="0" w:color="auto"/>
        <w:bottom w:val="none" w:sz="0" w:space="0" w:color="auto"/>
        <w:right w:val="none" w:sz="0" w:space="0" w:color="auto"/>
      </w:divBdr>
    </w:div>
    <w:div w:id="194511601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20353692">
      <w:bodyDiv w:val="1"/>
      <w:marLeft w:val="0"/>
      <w:marRight w:val="0"/>
      <w:marTop w:val="0"/>
      <w:marBottom w:val="0"/>
      <w:divBdr>
        <w:top w:val="none" w:sz="0" w:space="0" w:color="auto"/>
        <w:left w:val="none" w:sz="0" w:space="0" w:color="auto"/>
        <w:bottom w:val="none" w:sz="0" w:space="0" w:color="auto"/>
        <w:right w:val="none" w:sz="0" w:space="0" w:color="auto"/>
      </w:divBdr>
    </w:div>
    <w:div w:id="2026981339">
      <w:bodyDiv w:val="1"/>
      <w:marLeft w:val="0"/>
      <w:marRight w:val="0"/>
      <w:marTop w:val="0"/>
      <w:marBottom w:val="0"/>
      <w:divBdr>
        <w:top w:val="none" w:sz="0" w:space="0" w:color="auto"/>
        <w:left w:val="none" w:sz="0" w:space="0" w:color="auto"/>
        <w:bottom w:val="none" w:sz="0" w:space="0" w:color="auto"/>
        <w:right w:val="none" w:sz="0" w:space="0" w:color="auto"/>
      </w:divBdr>
    </w:div>
    <w:div w:id="2049446625">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075542590">
      <w:bodyDiv w:val="1"/>
      <w:marLeft w:val="0"/>
      <w:marRight w:val="0"/>
      <w:marTop w:val="0"/>
      <w:marBottom w:val="0"/>
      <w:divBdr>
        <w:top w:val="none" w:sz="0" w:space="0" w:color="auto"/>
        <w:left w:val="none" w:sz="0" w:space="0" w:color="auto"/>
        <w:bottom w:val="none" w:sz="0" w:space="0" w:color="auto"/>
        <w:right w:val="none" w:sz="0" w:space="0" w:color="auto"/>
      </w:divBdr>
    </w:div>
    <w:div w:id="21212210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stra.auzina@vara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ur-lex.europa.eu/legal-content/LV/AUTO/?uri=celex:32006L0118"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sfondi.lv/upload/ek-lemums_incukalna_gudrona_diku_sanacij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483B5-C908-4A38-93B1-3B3DE74BCF12}">
  <ds:schemaRefs>
    <ds:schemaRef ds:uri="http://schemas.microsoft.com/sharepoint/v3/contenttype/forms"/>
  </ds:schemaRefs>
</ds:datastoreItem>
</file>

<file path=customXml/itemProps2.xml><?xml version="1.0" encoding="utf-8"?>
<ds:datastoreItem xmlns:ds="http://schemas.openxmlformats.org/officeDocument/2006/customXml" ds:itemID="{23979A63-C4EF-49C7-A2C8-1964BD954395}">
  <ds:schemaRefs>
    <ds:schemaRef ds:uri="http://schemas.microsoft.com/office/2006/metadata/longProperties"/>
  </ds:schemaRefs>
</ds:datastoreItem>
</file>

<file path=customXml/itemProps3.xml><?xml version="1.0" encoding="utf-8"?>
<ds:datastoreItem xmlns:ds="http://schemas.openxmlformats.org/officeDocument/2006/customXml" ds:itemID="{FAD94D47-E5B7-4DA0-8DD0-B41690F6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E9A963-476A-4656-818C-997F31AAF21D}">
  <ds:schemaRefs>
    <ds:schemaRef ds:uri="http://schemas.microsoft.com/office/2006/metadata/properties"/>
    <ds:schemaRef ds:uri="http://schemas.microsoft.com/office/infopath/2007/PartnerControls"/>
    <ds:schemaRef ds:uri="0403aeb7-10dd-41a9-8f8e-1fc0ec5546a5"/>
  </ds:schemaRefs>
</ds:datastoreItem>
</file>

<file path=customXml/itemProps5.xml><?xml version="1.0" encoding="utf-8"?>
<ds:datastoreItem xmlns:ds="http://schemas.openxmlformats.org/officeDocument/2006/customXml" ds:itemID="{DCD3782A-38B8-4036-A8F2-C3A8888F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28023</Words>
  <Characters>15974</Characters>
  <Application>Microsoft Office Word</Application>
  <DocSecurity>0</DocSecurity>
  <Lines>133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43910</CharactersWithSpaces>
  <SharedDoc>false</SharedDoc>
  <HLinks>
    <vt:vector size="18" baseType="variant">
      <vt:variant>
        <vt:i4>4522096</vt:i4>
      </vt:variant>
      <vt:variant>
        <vt:i4>3</vt:i4>
      </vt:variant>
      <vt:variant>
        <vt:i4>0</vt:i4>
      </vt:variant>
      <vt:variant>
        <vt:i4>5</vt:i4>
      </vt:variant>
      <vt:variant>
        <vt:lpwstr>mailto:austra.auzina@varam.gov.lv</vt:lpwstr>
      </vt:variant>
      <vt:variant>
        <vt:lpwstr/>
      </vt:variant>
      <vt:variant>
        <vt:i4>1769547</vt:i4>
      </vt:variant>
      <vt:variant>
        <vt:i4>0</vt:i4>
      </vt:variant>
      <vt:variant>
        <vt:i4>0</vt:i4>
      </vt:variant>
      <vt:variant>
        <vt:i4>5</vt:i4>
      </vt:variant>
      <vt:variant>
        <vt:lpwstr>http://eur-lex.europa.eu/legal-content/LV/AUTO/?uri=celex:32006L0118</vt:lpwstr>
      </vt:variant>
      <vt:variant>
        <vt:lpwstr/>
      </vt:variant>
      <vt:variant>
        <vt:i4>1245248</vt:i4>
      </vt:variant>
      <vt:variant>
        <vt:i4>0</vt:i4>
      </vt:variant>
      <vt:variant>
        <vt:i4>0</vt:i4>
      </vt:variant>
      <vt:variant>
        <vt:i4>5</vt:i4>
      </vt:variant>
      <vt:variant>
        <vt:lpwstr>http://www.esfondi.lv/upload/ek-lemums_incukalna_gudrona_diku_sanacija.pdf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anotācija</dc:subject>
  <dc:creator>Sarmīte Kļaviņa - Investīciju politikas departaments</dc:creator>
  <cp:keywords/>
  <cp:lastModifiedBy>Aleksandra Olingoviča</cp:lastModifiedBy>
  <cp:revision>2</cp:revision>
  <cp:lastPrinted>2016-08-02T14:55:00Z</cp:lastPrinted>
  <dcterms:created xsi:type="dcterms:W3CDTF">2017-03-16T09:49:00Z</dcterms:created>
  <dcterms:modified xsi:type="dcterms:W3CDTF">2017-03-16T09:49:00Z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
  </property>
  <property fmtid="{D5CDD505-2E9C-101B-9397-08002B2CF9AE}" pid="3" name="Apraksts">
    <vt:lpwstr/>
  </property>
  <property fmtid="{D5CDD505-2E9C-101B-9397-08002B2CF9AE}" pid="4" name="Sede">
    <vt:lpwstr/>
  </property>
  <property fmtid="{D5CDD505-2E9C-101B-9397-08002B2CF9AE}" pid="5" name="WorkflowChangePath">
    <vt:lpwstr>62de6b22-8c5c-435a-b322-e6d4ca62170b,3;62de6b22-8c5c-435a-b322-e6d4ca62170b,3;</vt:lpwstr>
  </property>
  <property fmtid="{D5CDD505-2E9C-101B-9397-08002B2CF9AE}" pid="6" name="Kom">
    <vt:lpwstr/>
  </property>
  <property fmtid="{D5CDD505-2E9C-101B-9397-08002B2CF9AE}" pid="7" name="_DocHome">
    <vt:i4>1945813648</vt:i4>
  </property>
</Properties>
</file>