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A1073" w14:textId="2AEEDFA6" w:rsidR="00CB4AAB" w:rsidRPr="00B573BA" w:rsidRDefault="006817ED" w:rsidP="00FD58D0">
      <w:pPr>
        <w:pStyle w:val="naislab"/>
        <w:spacing w:before="0" w:after="60"/>
        <w:jc w:val="center"/>
        <w:outlineLvl w:val="0"/>
        <w:rPr>
          <w:b/>
        </w:rPr>
      </w:pPr>
      <w:r w:rsidRPr="00B573BA">
        <w:rPr>
          <w:b/>
        </w:rPr>
        <w:t xml:space="preserve">Ministru kabineta noteikumu </w:t>
      </w:r>
      <w:r w:rsidR="00CB4AAB" w:rsidRPr="00B573BA">
        <w:rPr>
          <w:b/>
        </w:rPr>
        <w:t>projekta „</w:t>
      </w:r>
      <w:r w:rsidR="00470F41" w:rsidRPr="00B573BA">
        <w:rPr>
          <w:b/>
        </w:rPr>
        <w:t>Grozījumi Ministru kabineta 2012.</w:t>
      </w:r>
      <w:r w:rsidR="006621BA">
        <w:rPr>
          <w:b/>
        </w:rPr>
        <w:t> </w:t>
      </w:r>
      <w:r w:rsidR="00470F41" w:rsidRPr="00B573BA">
        <w:rPr>
          <w:b/>
        </w:rPr>
        <w:t>gada 13.</w:t>
      </w:r>
      <w:r w:rsidR="002B3A6D">
        <w:rPr>
          <w:b/>
        </w:rPr>
        <w:t> </w:t>
      </w:r>
      <w:r w:rsidR="00470F41" w:rsidRPr="00B573BA">
        <w:rPr>
          <w:b/>
        </w:rPr>
        <w:t>novembra noteikumos Nr.</w:t>
      </w:r>
      <w:r w:rsidR="002B3A6D">
        <w:rPr>
          <w:b/>
        </w:rPr>
        <w:t> </w:t>
      </w:r>
      <w:r w:rsidR="00470F41" w:rsidRPr="00B573BA">
        <w:rPr>
          <w:b/>
        </w:rPr>
        <w:t>769 „Noteikumi par stacionāro tehnoloģisko iekārtu dalību Eiropas Savienības emisijas kvotu tirdzniecības sistēmā”</w:t>
      </w:r>
      <w:r w:rsidR="00CB4AAB" w:rsidRPr="00B573BA">
        <w:rPr>
          <w:b/>
        </w:rPr>
        <w:t xml:space="preserve">” sākotnējās ietekmes novērtējuma </w:t>
      </w:r>
      <w:smartTag w:uri="schemas-tilde-lv/tildestengine" w:element="veidnes">
        <w:smartTagPr>
          <w:attr w:name="id" w:val="-1"/>
          <w:attr w:name="baseform" w:val="ziņojums"/>
          <w:attr w:name="text" w:val="ziņojums"/>
        </w:smartTagPr>
        <w:r w:rsidR="00CB4AAB" w:rsidRPr="00B573BA">
          <w:rPr>
            <w:b/>
          </w:rPr>
          <w:t>ziņojums</w:t>
        </w:r>
      </w:smartTag>
      <w:r w:rsidR="00CB4AAB" w:rsidRPr="00B573BA">
        <w:rPr>
          <w:b/>
        </w:rPr>
        <w:t xml:space="preserve"> (anotācija)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82"/>
        <w:gridCol w:w="1644"/>
        <w:gridCol w:w="7513"/>
      </w:tblGrid>
      <w:tr w:rsidR="00F122F9" w:rsidRPr="00F122F9" w14:paraId="40283BE9" w14:textId="77777777" w:rsidTr="005E117D">
        <w:trPr>
          <w:trHeight w:val="255"/>
          <w:jc w:val="center"/>
        </w:trPr>
        <w:tc>
          <w:tcPr>
            <w:tcW w:w="0" w:type="auto"/>
            <w:gridSpan w:val="3"/>
            <w:vAlign w:val="center"/>
          </w:tcPr>
          <w:p w14:paraId="1675CC38" w14:textId="598F22F6" w:rsidR="00CB4AAB" w:rsidRPr="00810942" w:rsidRDefault="008B1B3F" w:rsidP="00B63F0E">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I. Tiesību akta projekta izstrādes nepieciešamība</w:t>
            </w:r>
          </w:p>
        </w:tc>
      </w:tr>
      <w:tr w:rsidR="00F122F9" w:rsidRPr="00F122F9" w14:paraId="61656CED" w14:textId="77777777" w:rsidTr="00F122F9">
        <w:trPr>
          <w:trHeight w:val="405"/>
          <w:jc w:val="center"/>
        </w:trPr>
        <w:tc>
          <w:tcPr>
            <w:tcW w:w="250" w:type="pct"/>
          </w:tcPr>
          <w:p w14:paraId="628F42FE" w14:textId="77777777"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1.</w:t>
            </w:r>
          </w:p>
        </w:tc>
        <w:tc>
          <w:tcPr>
            <w:tcW w:w="853" w:type="pct"/>
          </w:tcPr>
          <w:p w14:paraId="2D09F2F3" w14:textId="77777777" w:rsidR="00CB4AAB" w:rsidRPr="00F122F9" w:rsidRDefault="008B1B3F" w:rsidP="00B63F0E">
            <w:pPr>
              <w:spacing w:before="60" w:after="60"/>
              <w:jc w:val="left"/>
              <w:rPr>
                <w:rFonts w:ascii="Times New Roman" w:hAnsi="Times New Roman"/>
                <w:lang w:eastAsia="lv-LV"/>
              </w:rPr>
            </w:pPr>
            <w:r w:rsidRPr="00810942">
              <w:rPr>
                <w:rFonts w:ascii="Times New Roman" w:eastAsia="Times New Roman" w:hAnsi="Times New Roman"/>
                <w:sz w:val="24"/>
                <w:szCs w:val="24"/>
                <w:lang w:eastAsia="lv-LV"/>
              </w:rPr>
              <w:t>Pamatojums</w:t>
            </w:r>
          </w:p>
        </w:tc>
        <w:tc>
          <w:tcPr>
            <w:tcW w:w="3897" w:type="pct"/>
          </w:tcPr>
          <w:p w14:paraId="71BA2499" w14:textId="745BE763" w:rsidR="00CB4AAB" w:rsidRPr="0012446F" w:rsidRDefault="00470F41" w:rsidP="00470F41">
            <w:pPr>
              <w:pStyle w:val="naiskr"/>
              <w:spacing w:before="60" w:after="60"/>
              <w:ind w:firstLine="227"/>
              <w:jc w:val="both"/>
            </w:pPr>
            <w:r w:rsidRPr="0012446F">
              <w:t>Ministru kabineta noteikumu projekts</w:t>
            </w:r>
            <w:r w:rsidR="00CB4AAB" w:rsidRPr="0012446F">
              <w:t xml:space="preserve"> „</w:t>
            </w:r>
            <w:r w:rsidRPr="0012446F">
              <w:t>Grozījumi Ministru kabineta 2012.</w:t>
            </w:r>
            <w:r w:rsidR="00727602">
              <w:t> </w:t>
            </w:r>
            <w:r w:rsidRPr="0012446F">
              <w:t>gada 13.</w:t>
            </w:r>
            <w:r w:rsidR="00727602">
              <w:t> </w:t>
            </w:r>
            <w:r w:rsidRPr="0012446F">
              <w:t>novembra noteikumos Nr.</w:t>
            </w:r>
            <w:r w:rsidR="00727602">
              <w:t> </w:t>
            </w:r>
            <w:r w:rsidRPr="0012446F">
              <w:t>769 „Noteikumi par stacionāro tehnoloģisko iekārtu dalību Eiropas Savienības emisijas kvotu tirdzniecības sistēmā”</w:t>
            </w:r>
            <w:r w:rsidR="00CB4AAB" w:rsidRPr="0012446F">
              <w:t xml:space="preserve">” (turpmāk – </w:t>
            </w:r>
            <w:r w:rsidR="00EF330D">
              <w:t>N</w:t>
            </w:r>
            <w:r w:rsidRPr="0012446F">
              <w:t xml:space="preserve">oteikumu </w:t>
            </w:r>
            <w:r w:rsidR="00CB4AAB" w:rsidRPr="0012446F">
              <w:t>projekts) izstrādāts</w:t>
            </w:r>
            <w:r w:rsidRPr="0012446F">
              <w:t xml:space="preserve"> </w:t>
            </w:r>
            <w:r w:rsidR="00CB4AAB" w:rsidRPr="0012446F">
              <w:t>pēc Vides aizsardzības un reģionālās attīstības ministrijas (turpmāk – VARAM) iniciatīvas, lai:</w:t>
            </w:r>
          </w:p>
          <w:p w14:paraId="291D9938" w14:textId="194F6E33" w:rsidR="0012446F" w:rsidRPr="0012446F" w:rsidRDefault="0012446F" w:rsidP="0012446F">
            <w:pPr>
              <w:pStyle w:val="ListParagraph"/>
              <w:numPr>
                <w:ilvl w:val="0"/>
                <w:numId w:val="20"/>
              </w:numPr>
              <w:spacing w:after="0"/>
              <w:ind w:left="369"/>
              <w:rPr>
                <w:sz w:val="24"/>
                <w:szCs w:val="24"/>
              </w:rPr>
            </w:pPr>
            <w:r w:rsidRPr="0012446F">
              <w:rPr>
                <w:sz w:val="24"/>
                <w:szCs w:val="24"/>
              </w:rPr>
              <w:t xml:space="preserve">noteiktu </w:t>
            </w:r>
            <w:r w:rsidR="00CD5686">
              <w:rPr>
                <w:sz w:val="24"/>
                <w:szCs w:val="24"/>
              </w:rPr>
              <w:t>prasības</w:t>
            </w:r>
            <w:r w:rsidRPr="0012446F">
              <w:rPr>
                <w:sz w:val="24"/>
                <w:szCs w:val="24"/>
              </w:rPr>
              <w:t xml:space="preserve"> </w:t>
            </w:r>
            <w:r w:rsidR="007C1848">
              <w:rPr>
                <w:sz w:val="24"/>
                <w:szCs w:val="24"/>
              </w:rPr>
              <w:t xml:space="preserve">Eiropas Savienības emisijas kvotu tirdzniecības sistēmas (turpmāk </w:t>
            </w:r>
            <w:r w:rsidR="007C1848">
              <w:rPr>
                <w:sz w:val="24"/>
                <w:szCs w:val="24"/>
              </w:rPr>
              <w:noBreakHyphen/>
              <w:t xml:space="preserve"> </w:t>
            </w:r>
            <w:r w:rsidRPr="0012446F">
              <w:rPr>
                <w:sz w:val="24"/>
                <w:szCs w:val="24"/>
              </w:rPr>
              <w:t>ES ETS</w:t>
            </w:r>
            <w:r w:rsidR="007C1848">
              <w:rPr>
                <w:sz w:val="24"/>
                <w:szCs w:val="24"/>
              </w:rPr>
              <w:t>)</w:t>
            </w:r>
            <w:r w:rsidRPr="0012446F">
              <w:rPr>
                <w:sz w:val="24"/>
                <w:szCs w:val="24"/>
              </w:rPr>
              <w:t xml:space="preserve"> operatoriem </w:t>
            </w:r>
            <w:r w:rsidR="00CD5686">
              <w:rPr>
                <w:sz w:val="24"/>
                <w:szCs w:val="24"/>
              </w:rPr>
              <w:t>saistībā ar</w:t>
            </w:r>
            <w:r w:rsidRPr="0012446F">
              <w:rPr>
                <w:sz w:val="24"/>
                <w:szCs w:val="24"/>
              </w:rPr>
              <w:t xml:space="preserve"> ziņošanu par emisijas kvotu pārdošanā iegūto finanšu līdzekļu izlietojumu un noteiktu, ka par emisijas kvotu pārdošanā iegūtajiem finanšu līdzekļiem veikto pasākumu īstenošanu pārbauda verificētājs</w:t>
            </w:r>
            <w:r w:rsidR="00CD5686">
              <w:rPr>
                <w:sz w:val="24"/>
                <w:szCs w:val="24"/>
              </w:rPr>
              <w:t>,</w:t>
            </w:r>
            <w:r w:rsidRPr="0012446F">
              <w:rPr>
                <w:sz w:val="24"/>
                <w:szCs w:val="24"/>
              </w:rPr>
              <w:t xml:space="preserve"> katru gadu apmeklējot iekārtu;</w:t>
            </w:r>
          </w:p>
          <w:p w14:paraId="2C7CD26F" w14:textId="04C8B362" w:rsidR="00F27137" w:rsidRDefault="00340056">
            <w:pPr>
              <w:pStyle w:val="naiskr"/>
              <w:numPr>
                <w:ilvl w:val="0"/>
                <w:numId w:val="20"/>
              </w:numPr>
              <w:spacing w:before="0" w:after="0"/>
              <w:ind w:left="369"/>
              <w:jc w:val="both"/>
            </w:pPr>
            <w:r>
              <w:t>paredzētu</w:t>
            </w:r>
            <w:r w:rsidR="0012446F" w:rsidRPr="0012446F">
              <w:t>, ka turpmāk publiski pieejami būs tikai V</w:t>
            </w:r>
            <w:r w:rsidR="006621BA">
              <w:t>alsts vides dienesta (turpmāk – VVD)</w:t>
            </w:r>
            <w:r w:rsidR="0012446F" w:rsidRPr="0012446F">
              <w:t xml:space="preserve"> lēmumi par emisiju ziņojumu apstiprināšanu, bet emisiju ziņojumi un verificētāja ziņojumi publiski pieejami nebūs</w:t>
            </w:r>
            <w:r w:rsidR="000650B6">
              <w:t>, jo š</w:t>
            </w:r>
            <w:r w:rsidR="00E968F2">
              <w:t>īs</w:t>
            </w:r>
            <w:r w:rsidR="000650B6">
              <w:t xml:space="preserve"> informācijas publiskošana nav nepieciešama</w:t>
            </w:r>
            <w:r w:rsidR="00E968F2">
              <w:t xml:space="preserve"> un netiek prasīta ES tiesību aktos</w:t>
            </w:r>
            <w:r w:rsidR="00F23ED3">
              <w:t>;</w:t>
            </w:r>
          </w:p>
          <w:p w14:paraId="6F8BCDDC" w14:textId="1872323C" w:rsidR="00F23ED3" w:rsidRPr="0012446F" w:rsidRDefault="00F23ED3">
            <w:pPr>
              <w:pStyle w:val="naiskr"/>
              <w:numPr>
                <w:ilvl w:val="0"/>
                <w:numId w:val="20"/>
              </w:numPr>
              <w:spacing w:before="0" w:after="0"/>
              <w:ind w:left="369"/>
              <w:jc w:val="both"/>
            </w:pPr>
            <w:r>
              <w:t>precizētu iesniegumu iesniegšanas termiņus atļaujas</w:t>
            </w:r>
            <w:r w:rsidR="00CB34D7">
              <w:t xml:space="preserve"> nosacījumu</w:t>
            </w:r>
            <w:r>
              <w:t xml:space="preserve"> grozījumiem, kā</w:t>
            </w:r>
            <w:r w:rsidR="00CB34D7">
              <w:t xml:space="preserve"> arī</w:t>
            </w:r>
            <w:r>
              <w:t xml:space="preserve"> nosacījumus par s</w:t>
            </w:r>
            <w:r w:rsidR="00CB34D7">
              <w:t>abiedrības līdzdalības iesaistīšanu.</w:t>
            </w:r>
          </w:p>
        </w:tc>
      </w:tr>
      <w:tr w:rsidR="00F122F9" w:rsidRPr="00F122F9" w14:paraId="53198FE4" w14:textId="77777777" w:rsidTr="00F122F9">
        <w:trPr>
          <w:trHeight w:val="465"/>
          <w:jc w:val="center"/>
        </w:trPr>
        <w:tc>
          <w:tcPr>
            <w:tcW w:w="250" w:type="pct"/>
          </w:tcPr>
          <w:p w14:paraId="0B10B19E" w14:textId="4BA1B621"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2.</w:t>
            </w:r>
          </w:p>
        </w:tc>
        <w:tc>
          <w:tcPr>
            <w:tcW w:w="853" w:type="pct"/>
          </w:tcPr>
          <w:p w14:paraId="1A7AB4FF" w14:textId="77777777" w:rsidR="00CB4AAB" w:rsidRPr="00F122F9" w:rsidRDefault="008B1B3F" w:rsidP="00B63F0E">
            <w:pPr>
              <w:spacing w:before="60" w:after="60"/>
              <w:jc w:val="left"/>
              <w:rPr>
                <w:rFonts w:ascii="Times New Roman" w:hAnsi="Times New Roman"/>
                <w:lang w:eastAsia="lv-LV"/>
              </w:rPr>
            </w:pPr>
            <w:r w:rsidRPr="00810942">
              <w:rPr>
                <w:rFonts w:ascii="Times New Roman" w:hAnsi="Times New Roman"/>
                <w:sz w:val="24"/>
                <w:szCs w:val="24"/>
              </w:rPr>
              <w:t>Pašreizējā situācija un problēmas, kuru risināšanai tiesību akta projekts izstrādāts, tiesiskā regulējuma mērķis un būtība</w:t>
            </w:r>
          </w:p>
        </w:tc>
        <w:tc>
          <w:tcPr>
            <w:tcW w:w="3897" w:type="pct"/>
          </w:tcPr>
          <w:p w14:paraId="707E4FC2" w14:textId="77777777" w:rsidR="00FD5A20" w:rsidRPr="0012446F" w:rsidRDefault="00CB4AAB" w:rsidP="0012446F">
            <w:pPr>
              <w:pStyle w:val="naiskr"/>
              <w:spacing w:before="0" w:after="60"/>
              <w:ind w:firstLine="227"/>
              <w:jc w:val="both"/>
              <w:rPr>
                <w:u w:val="single"/>
              </w:rPr>
            </w:pPr>
            <w:r w:rsidRPr="0012446F">
              <w:rPr>
                <w:u w:val="single"/>
              </w:rPr>
              <w:t>Pašreizējā situācija un problēmas</w:t>
            </w:r>
            <w:r w:rsidR="00FD5A20" w:rsidRPr="0012446F">
              <w:rPr>
                <w:u w:val="single"/>
              </w:rPr>
              <w:t>, pastāvošais tiesiskais regulējums, tā būtība un nepilnības</w:t>
            </w:r>
          </w:p>
          <w:p w14:paraId="08010462" w14:textId="497F5C86" w:rsidR="0012446F" w:rsidRDefault="00583177" w:rsidP="0012446F">
            <w:pPr>
              <w:spacing w:after="60"/>
              <w:ind w:firstLine="227"/>
              <w:rPr>
                <w:rFonts w:ascii="Times New Roman" w:hAnsi="Times New Roman"/>
                <w:sz w:val="24"/>
                <w:szCs w:val="24"/>
              </w:rPr>
            </w:pPr>
            <w:r>
              <w:rPr>
                <w:rFonts w:ascii="Times New Roman" w:hAnsi="Times New Roman"/>
                <w:sz w:val="24"/>
                <w:szCs w:val="24"/>
              </w:rPr>
              <w:t>Šobrīd praksē daudzi</w:t>
            </w:r>
            <w:r w:rsidR="00461F10">
              <w:rPr>
                <w:rFonts w:ascii="Times New Roman" w:hAnsi="Times New Roman"/>
                <w:sz w:val="24"/>
                <w:szCs w:val="24"/>
              </w:rPr>
              <w:t xml:space="preserve"> ES ETS</w:t>
            </w:r>
            <w:r>
              <w:rPr>
                <w:rFonts w:ascii="Times New Roman" w:hAnsi="Times New Roman"/>
                <w:sz w:val="24"/>
                <w:szCs w:val="24"/>
              </w:rPr>
              <w:t xml:space="preserve"> operatori </w:t>
            </w:r>
            <w:r w:rsidR="00177113">
              <w:rPr>
                <w:rFonts w:ascii="Times New Roman" w:hAnsi="Times New Roman"/>
                <w:sz w:val="24"/>
                <w:szCs w:val="24"/>
              </w:rPr>
              <w:t>iesniedz dokumentus papīra formā atbilstoši likumdošanai. Tomēr, lai veiktu pārbaudes kā arī efektīvi apkoptu nepieciešamo informāciju no ikgadējiem emisiju ziņojumiem, nepieciešams konkrētās veidlapas saņemt arī elektroniski to oriģinālā formātā (Excel). Informācijas iegūšana un pārbaude no papīra versijas vai skanēta dokumenta ir laikietilpīga un neefektīva.</w:t>
            </w:r>
          </w:p>
          <w:p w14:paraId="17AC9AF2" w14:textId="2296782A" w:rsidR="00CE4486" w:rsidRDefault="00CE4486" w:rsidP="0012446F">
            <w:pPr>
              <w:spacing w:after="60"/>
              <w:ind w:firstLine="227"/>
              <w:rPr>
                <w:rFonts w:ascii="Times New Roman" w:hAnsi="Times New Roman"/>
                <w:sz w:val="24"/>
                <w:szCs w:val="24"/>
              </w:rPr>
            </w:pPr>
            <w:r>
              <w:rPr>
                <w:rFonts w:ascii="Times New Roman" w:hAnsi="Times New Roman"/>
                <w:sz w:val="24"/>
                <w:szCs w:val="24"/>
              </w:rPr>
              <w:t xml:space="preserve">Šobrīd </w:t>
            </w:r>
            <w:r w:rsidR="006621BA">
              <w:rPr>
                <w:rFonts w:ascii="Times New Roman" w:hAnsi="Times New Roman"/>
                <w:sz w:val="24"/>
                <w:szCs w:val="24"/>
              </w:rPr>
              <w:t xml:space="preserve">Ministru kabineta </w:t>
            </w:r>
            <w:r w:rsidR="006621BA" w:rsidRPr="00220E71">
              <w:rPr>
                <w:rFonts w:ascii="Times New Roman" w:hAnsi="Times New Roman"/>
                <w:sz w:val="24"/>
                <w:szCs w:val="24"/>
              </w:rPr>
              <w:t>2012. gada 13. novembra</w:t>
            </w:r>
            <w:r w:rsidR="006621BA">
              <w:rPr>
                <w:rFonts w:ascii="Times New Roman" w:hAnsi="Times New Roman"/>
                <w:sz w:val="24"/>
                <w:szCs w:val="24"/>
              </w:rPr>
              <w:t xml:space="preserve"> </w:t>
            </w:r>
            <w:r>
              <w:rPr>
                <w:rFonts w:ascii="Times New Roman" w:hAnsi="Times New Roman"/>
                <w:sz w:val="24"/>
                <w:szCs w:val="24"/>
              </w:rPr>
              <w:t>noteikumu Nr.</w:t>
            </w:r>
            <w:r w:rsidR="006621BA">
              <w:rPr>
                <w:rFonts w:ascii="Times New Roman" w:hAnsi="Times New Roman"/>
                <w:sz w:val="24"/>
                <w:szCs w:val="24"/>
              </w:rPr>
              <w:t> </w:t>
            </w:r>
            <w:r>
              <w:rPr>
                <w:rFonts w:ascii="Times New Roman" w:hAnsi="Times New Roman"/>
                <w:sz w:val="24"/>
                <w:szCs w:val="24"/>
              </w:rPr>
              <w:t>769</w:t>
            </w:r>
            <w:r w:rsidR="006621BA">
              <w:rPr>
                <w:rFonts w:ascii="Times New Roman" w:hAnsi="Times New Roman"/>
                <w:sz w:val="24"/>
                <w:szCs w:val="24"/>
              </w:rPr>
              <w:t xml:space="preserve"> </w:t>
            </w:r>
            <w:r>
              <w:rPr>
                <w:rFonts w:ascii="Times New Roman" w:hAnsi="Times New Roman"/>
                <w:sz w:val="24"/>
                <w:szCs w:val="24"/>
              </w:rPr>
              <w:t xml:space="preserve"> </w:t>
            </w:r>
            <w:r w:rsidR="006621BA" w:rsidRPr="00220E71">
              <w:rPr>
                <w:rFonts w:ascii="Times New Roman" w:hAnsi="Times New Roman"/>
                <w:sz w:val="24"/>
                <w:szCs w:val="24"/>
              </w:rPr>
              <w:t>„Noteikumi par stacionāro tehnoloģisko iekārtu dalību Eiropas Savienības emisijas kvotu tirdzniecības sistēmā”</w:t>
            </w:r>
            <w:r w:rsidR="006621BA" w:rsidRPr="006621BA">
              <w:rPr>
                <w:rFonts w:ascii="Times New Roman" w:hAnsi="Times New Roman"/>
                <w:sz w:val="24"/>
                <w:szCs w:val="24"/>
              </w:rPr>
              <w:t xml:space="preserve"> </w:t>
            </w:r>
            <w:r w:rsidR="006621BA">
              <w:rPr>
                <w:rFonts w:ascii="Times New Roman" w:hAnsi="Times New Roman"/>
                <w:sz w:val="24"/>
                <w:szCs w:val="24"/>
              </w:rPr>
              <w:t xml:space="preserve">(turpmāk – noteikumi Nr. 769) </w:t>
            </w:r>
            <w:r>
              <w:rPr>
                <w:rFonts w:ascii="Times New Roman" w:hAnsi="Times New Roman"/>
                <w:sz w:val="24"/>
                <w:szCs w:val="24"/>
              </w:rPr>
              <w:t>32. un 33.</w:t>
            </w:r>
            <w:r w:rsidR="006621BA">
              <w:rPr>
                <w:rFonts w:ascii="Times New Roman" w:hAnsi="Times New Roman"/>
                <w:sz w:val="24"/>
                <w:szCs w:val="24"/>
              </w:rPr>
              <w:t> </w:t>
            </w:r>
            <w:r>
              <w:rPr>
                <w:rFonts w:ascii="Times New Roman" w:hAnsi="Times New Roman"/>
                <w:sz w:val="24"/>
                <w:szCs w:val="24"/>
              </w:rPr>
              <w:t>punktā noteiktie termiņi neatbilst pēc iesniegto atļaujas grozījumu veikšanas nozīmības – noteikumu Nr.</w:t>
            </w:r>
            <w:r w:rsidR="006621BA">
              <w:rPr>
                <w:rFonts w:ascii="Times New Roman" w:hAnsi="Times New Roman"/>
                <w:sz w:val="24"/>
                <w:szCs w:val="24"/>
              </w:rPr>
              <w:t> </w:t>
            </w:r>
            <w:r>
              <w:rPr>
                <w:rFonts w:ascii="Times New Roman" w:hAnsi="Times New Roman"/>
                <w:sz w:val="24"/>
                <w:szCs w:val="24"/>
              </w:rPr>
              <w:t>769 31.1</w:t>
            </w:r>
            <w:r w:rsidR="00EF330D">
              <w:rPr>
                <w:rFonts w:ascii="Times New Roman" w:hAnsi="Times New Roman"/>
                <w:sz w:val="24"/>
                <w:szCs w:val="24"/>
              </w:rPr>
              <w:t>.</w:t>
            </w:r>
            <w:r>
              <w:rPr>
                <w:rFonts w:ascii="Times New Roman" w:hAnsi="Times New Roman"/>
                <w:sz w:val="24"/>
                <w:szCs w:val="24"/>
              </w:rPr>
              <w:t xml:space="preserve"> un 31.3</w:t>
            </w:r>
            <w:r w:rsidR="00EF330D">
              <w:rPr>
                <w:rFonts w:ascii="Times New Roman" w:hAnsi="Times New Roman"/>
                <w:sz w:val="24"/>
                <w:szCs w:val="24"/>
              </w:rPr>
              <w:t>.</w:t>
            </w:r>
            <w:r w:rsidR="006621BA">
              <w:rPr>
                <w:rFonts w:ascii="Times New Roman" w:hAnsi="Times New Roman"/>
                <w:sz w:val="24"/>
                <w:szCs w:val="24"/>
              </w:rPr>
              <w:t> </w:t>
            </w:r>
            <w:r>
              <w:rPr>
                <w:rFonts w:ascii="Times New Roman" w:hAnsi="Times New Roman"/>
                <w:sz w:val="24"/>
                <w:szCs w:val="24"/>
              </w:rPr>
              <w:t>apakšpunktā minētās situācijas klasificējamas kā būtiskas izmaiņas, kuru atļaujas un monitoringa nosacījumu grozījumu veikšanai nepieciešams ilgāks laika periods (un iepriekšēja ziņošana par plānotajām izmaiņām).</w:t>
            </w:r>
          </w:p>
          <w:p w14:paraId="2A11D641" w14:textId="6C6D29E5" w:rsidR="00F27137" w:rsidRDefault="002322A2" w:rsidP="0012446F">
            <w:pPr>
              <w:spacing w:after="60"/>
              <w:ind w:firstLine="227"/>
              <w:rPr>
                <w:rFonts w:ascii="Times New Roman" w:hAnsi="Times New Roman"/>
                <w:sz w:val="24"/>
                <w:szCs w:val="24"/>
              </w:rPr>
            </w:pPr>
            <w:r w:rsidRPr="002322A2">
              <w:rPr>
                <w:rFonts w:ascii="Times New Roman" w:hAnsi="Times New Roman"/>
                <w:sz w:val="24"/>
                <w:szCs w:val="24"/>
              </w:rPr>
              <w:t>Valsts kontrole 2011.</w:t>
            </w:r>
            <w:r w:rsidR="006621BA">
              <w:rPr>
                <w:rFonts w:ascii="Times New Roman" w:hAnsi="Times New Roman"/>
                <w:sz w:val="24"/>
                <w:szCs w:val="24"/>
              </w:rPr>
              <w:t> </w:t>
            </w:r>
            <w:r w:rsidRPr="002322A2">
              <w:rPr>
                <w:rFonts w:ascii="Times New Roman" w:hAnsi="Times New Roman"/>
                <w:sz w:val="24"/>
                <w:szCs w:val="24"/>
              </w:rPr>
              <w:t>gada</w:t>
            </w:r>
            <w:r w:rsidR="00CB52C4">
              <w:rPr>
                <w:rFonts w:ascii="Times New Roman" w:hAnsi="Times New Roman"/>
                <w:sz w:val="24"/>
                <w:szCs w:val="24"/>
              </w:rPr>
              <w:t xml:space="preserve"> 2.</w:t>
            </w:r>
            <w:r w:rsidR="006621BA">
              <w:rPr>
                <w:rFonts w:ascii="Times New Roman" w:hAnsi="Times New Roman"/>
                <w:sz w:val="24"/>
                <w:szCs w:val="24"/>
              </w:rPr>
              <w:t> </w:t>
            </w:r>
            <w:r w:rsidR="00CB52C4">
              <w:rPr>
                <w:rFonts w:ascii="Times New Roman" w:hAnsi="Times New Roman"/>
                <w:sz w:val="24"/>
                <w:szCs w:val="24"/>
              </w:rPr>
              <w:t>decembra</w:t>
            </w:r>
            <w:r w:rsidRPr="002322A2">
              <w:rPr>
                <w:rFonts w:ascii="Times New Roman" w:hAnsi="Times New Roman"/>
                <w:sz w:val="24"/>
                <w:szCs w:val="24"/>
              </w:rPr>
              <w:t xml:space="preserve"> revīzijas ziņojumā</w:t>
            </w:r>
            <w:r w:rsidR="00CB52C4">
              <w:rPr>
                <w:rFonts w:ascii="Times New Roman" w:hAnsi="Times New Roman"/>
                <w:sz w:val="24"/>
                <w:szCs w:val="24"/>
              </w:rPr>
              <w:t xml:space="preserve"> Nr.</w:t>
            </w:r>
            <w:r w:rsidR="006621BA">
              <w:t> </w:t>
            </w:r>
            <w:r w:rsidR="00CB52C4" w:rsidRPr="00CB52C4">
              <w:rPr>
                <w:rFonts w:ascii="Times New Roman" w:hAnsi="Times New Roman"/>
                <w:sz w:val="24"/>
                <w:szCs w:val="24"/>
              </w:rPr>
              <w:t>5.1-2-7-1/2011</w:t>
            </w:r>
            <w:r w:rsidRPr="002322A2">
              <w:rPr>
                <w:rFonts w:ascii="Times New Roman" w:hAnsi="Times New Roman"/>
                <w:sz w:val="24"/>
                <w:szCs w:val="24"/>
              </w:rPr>
              <w:t xml:space="preserve"> „Siltumnīcefekta gāzu emisijas kvotu administrēšanas atbilstība normatīvo aktu prasībām un izveidotās sistēmas efektivitāte” norādīja, ka Latvijas normatīvajos aktos nav noteikti nosacījumi, kādiem mērķiem Latvijas ETS operatori var un drīkst izmantot tos finanšu līdzekļus, kurus tie ir ieguvuši pārdodot viņiem bezmaksas piešķirtās emisijas kvotas. Tika norādīts, ka šis trūkums neveicina operatoru darbības siltumnīcefekta gāzu emisiju samazināšanai, kurām šīs bezmaksas emisijas kvotas tika piešķirtas. Prasību Latvijas tiesību aktos iekļaut nosacījumus, kur operatori drīkst izmantot šos finanšu līdzekļus un prasību noteikt, ka operatoru ziņo par šo finanšu līdzekļu izlietojumu izteica arī Saeimas Publisko izdevumu un </w:t>
            </w:r>
            <w:r w:rsidRPr="002322A2">
              <w:rPr>
                <w:rFonts w:ascii="Times New Roman" w:hAnsi="Times New Roman"/>
                <w:sz w:val="24"/>
                <w:szCs w:val="24"/>
              </w:rPr>
              <w:lastRenderedPageBreak/>
              <w:t>revīzijas komisija.</w:t>
            </w:r>
            <w:r w:rsidR="00CB52C4">
              <w:rPr>
                <w:rFonts w:ascii="Times New Roman" w:hAnsi="Times New Roman"/>
                <w:sz w:val="24"/>
                <w:szCs w:val="24"/>
              </w:rPr>
              <w:t xml:space="preserve"> Nosacījumi par finanšu līdzekļu izlietojumu, kas iegūti pārdodot piešķirtās bezmaksas emisijas kvotas, tika pieņemts ar 2016.</w:t>
            </w:r>
            <w:r w:rsidR="006621BA">
              <w:rPr>
                <w:rFonts w:ascii="Times New Roman" w:hAnsi="Times New Roman"/>
                <w:sz w:val="24"/>
                <w:szCs w:val="24"/>
              </w:rPr>
              <w:t> </w:t>
            </w:r>
            <w:r w:rsidR="00CB52C4">
              <w:rPr>
                <w:rFonts w:ascii="Times New Roman" w:hAnsi="Times New Roman"/>
                <w:sz w:val="24"/>
                <w:szCs w:val="24"/>
              </w:rPr>
              <w:t>gada 9.</w:t>
            </w:r>
            <w:r w:rsidR="006621BA">
              <w:rPr>
                <w:rFonts w:ascii="Times New Roman" w:hAnsi="Times New Roman"/>
                <w:sz w:val="24"/>
                <w:szCs w:val="24"/>
              </w:rPr>
              <w:t> </w:t>
            </w:r>
            <w:r w:rsidR="00CB52C4">
              <w:rPr>
                <w:rFonts w:ascii="Times New Roman" w:hAnsi="Times New Roman"/>
                <w:sz w:val="24"/>
                <w:szCs w:val="24"/>
              </w:rPr>
              <w:t>jūnija grozījumiem likumā „Par piesārņojumu”.</w:t>
            </w:r>
            <w:r>
              <w:rPr>
                <w:rFonts w:ascii="Times New Roman" w:hAnsi="Times New Roman"/>
                <w:sz w:val="24"/>
                <w:szCs w:val="24"/>
              </w:rPr>
              <w:t xml:space="preserve"> Tādējādi n</w:t>
            </w:r>
            <w:r w:rsidRPr="0012446F">
              <w:rPr>
                <w:rFonts w:ascii="Times New Roman" w:hAnsi="Times New Roman"/>
                <w:sz w:val="24"/>
                <w:szCs w:val="24"/>
              </w:rPr>
              <w:t xml:space="preserve">oteikumos </w:t>
            </w:r>
            <w:r w:rsidR="0012446F" w:rsidRPr="0012446F">
              <w:rPr>
                <w:rFonts w:ascii="Times New Roman" w:hAnsi="Times New Roman"/>
                <w:sz w:val="24"/>
                <w:szCs w:val="24"/>
              </w:rPr>
              <w:t>Nr.</w:t>
            </w:r>
            <w:r w:rsidR="006621BA">
              <w:rPr>
                <w:rFonts w:ascii="Times New Roman" w:hAnsi="Times New Roman"/>
                <w:sz w:val="24"/>
                <w:szCs w:val="24"/>
              </w:rPr>
              <w:t> </w:t>
            </w:r>
            <w:r w:rsidR="0012446F" w:rsidRPr="0012446F">
              <w:rPr>
                <w:rFonts w:ascii="Times New Roman" w:hAnsi="Times New Roman"/>
                <w:sz w:val="24"/>
                <w:szCs w:val="24"/>
              </w:rPr>
              <w:t>769 ir nepieciešams noteikt nosacījumus, kā operators ziņo par emisijas kvotu pārdošanā iegūto finanšu līdzekļu izlietojumu</w:t>
            </w:r>
            <w:r w:rsidR="00DD0805">
              <w:rPr>
                <w:rFonts w:ascii="Times New Roman" w:hAnsi="Times New Roman"/>
                <w:sz w:val="24"/>
                <w:szCs w:val="24"/>
              </w:rPr>
              <w:t xml:space="preserve">. Šis pienākums ES ETS operatoram ir iekļauts likumā </w:t>
            </w:r>
            <w:r w:rsidR="006621BA">
              <w:rPr>
                <w:rFonts w:ascii="Times New Roman" w:hAnsi="Times New Roman"/>
                <w:sz w:val="24"/>
                <w:szCs w:val="24"/>
              </w:rPr>
              <w:t>,,</w:t>
            </w:r>
            <w:r w:rsidR="00DD0805">
              <w:rPr>
                <w:rFonts w:ascii="Times New Roman" w:hAnsi="Times New Roman"/>
                <w:sz w:val="24"/>
                <w:szCs w:val="24"/>
              </w:rPr>
              <w:t>Par piesārņojumu”, kura at</w:t>
            </w:r>
            <w:r w:rsidR="006621BA">
              <w:rPr>
                <w:rFonts w:ascii="Times New Roman" w:hAnsi="Times New Roman"/>
                <w:sz w:val="24"/>
                <w:szCs w:val="24"/>
              </w:rPr>
              <w:t xml:space="preserve">bilstošie </w:t>
            </w:r>
            <w:r w:rsidR="00DD0805">
              <w:rPr>
                <w:rFonts w:ascii="Times New Roman" w:hAnsi="Times New Roman"/>
                <w:sz w:val="24"/>
                <w:szCs w:val="24"/>
              </w:rPr>
              <w:t xml:space="preserve"> grozījumi stājās spēkā 2016.</w:t>
            </w:r>
            <w:r w:rsidR="006621BA">
              <w:rPr>
                <w:rFonts w:ascii="Times New Roman" w:hAnsi="Times New Roman"/>
                <w:sz w:val="24"/>
                <w:szCs w:val="24"/>
              </w:rPr>
              <w:t> </w:t>
            </w:r>
            <w:r w:rsidR="00DD0805">
              <w:rPr>
                <w:rFonts w:ascii="Times New Roman" w:hAnsi="Times New Roman"/>
                <w:sz w:val="24"/>
                <w:szCs w:val="24"/>
              </w:rPr>
              <w:t>gada 30.</w:t>
            </w:r>
            <w:r w:rsidR="006621BA">
              <w:rPr>
                <w:rFonts w:ascii="Times New Roman" w:hAnsi="Times New Roman"/>
                <w:sz w:val="24"/>
                <w:szCs w:val="24"/>
              </w:rPr>
              <w:t> </w:t>
            </w:r>
            <w:r w:rsidR="00DD0805">
              <w:rPr>
                <w:rFonts w:ascii="Times New Roman" w:hAnsi="Times New Roman"/>
                <w:sz w:val="24"/>
                <w:szCs w:val="24"/>
              </w:rPr>
              <w:t xml:space="preserve">jūnijā. </w:t>
            </w:r>
            <w:r w:rsidR="006A7A3F">
              <w:rPr>
                <w:rFonts w:ascii="Times New Roman" w:hAnsi="Times New Roman"/>
                <w:sz w:val="24"/>
                <w:szCs w:val="24"/>
              </w:rPr>
              <w:t xml:space="preserve">Informācijas </w:t>
            </w:r>
            <w:r w:rsidR="00DD0805">
              <w:rPr>
                <w:rFonts w:ascii="Times New Roman" w:hAnsi="Times New Roman"/>
                <w:sz w:val="24"/>
                <w:szCs w:val="24"/>
              </w:rPr>
              <w:t>ziņošanas kārtīb</w:t>
            </w:r>
            <w:r w:rsidR="006A7A3F">
              <w:rPr>
                <w:rFonts w:ascii="Times New Roman" w:hAnsi="Times New Roman"/>
                <w:sz w:val="24"/>
                <w:szCs w:val="24"/>
              </w:rPr>
              <w:t>u</w:t>
            </w:r>
            <w:r w:rsidR="00DD0805">
              <w:rPr>
                <w:rFonts w:ascii="Times New Roman" w:hAnsi="Times New Roman"/>
                <w:sz w:val="24"/>
                <w:szCs w:val="24"/>
              </w:rPr>
              <w:t xml:space="preserve"> </w:t>
            </w:r>
            <w:r w:rsidR="006A7A3F">
              <w:rPr>
                <w:rFonts w:ascii="Times New Roman" w:hAnsi="Times New Roman"/>
                <w:sz w:val="24"/>
                <w:szCs w:val="24"/>
              </w:rPr>
              <w:t>ir nepieciešams noteikt</w:t>
            </w:r>
            <w:r w:rsidR="00DD0805">
              <w:rPr>
                <w:rFonts w:ascii="Times New Roman" w:hAnsi="Times New Roman"/>
                <w:sz w:val="24"/>
                <w:szCs w:val="24"/>
              </w:rPr>
              <w:t xml:space="preserve"> Ministru kabineta noteikumos (deleģējums šādas kārtības iekļaušanai Ministru kabineta noteikumos </w:t>
            </w:r>
            <w:r w:rsidR="006621BA">
              <w:rPr>
                <w:rFonts w:ascii="Times New Roman" w:hAnsi="Times New Roman"/>
                <w:sz w:val="24"/>
                <w:szCs w:val="24"/>
              </w:rPr>
              <w:t>ietverts likumā ,,Par piesārņojumu”</w:t>
            </w:r>
            <w:r w:rsidR="00DD0805">
              <w:rPr>
                <w:rFonts w:ascii="Times New Roman" w:hAnsi="Times New Roman"/>
                <w:sz w:val="24"/>
                <w:szCs w:val="24"/>
              </w:rPr>
              <w:t xml:space="preserve">). </w:t>
            </w:r>
          </w:p>
          <w:p w14:paraId="4EA9F8E3" w14:textId="0468683E" w:rsidR="00CE4486" w:rsidRDefault="00CE4486" w:rsidP="0012446F">
            <w:pPr>
              <w:spacing w:after="60"/>
              <w:ind w:firstLine="227"/>
              <w:rPr>
                <w:rFonts w:ascii="Times New Roman" w:hAnsi="Times New Roman"/>
                <w:sz w:val="24"/>
                <w:szCs w:val="24"/>
              </w:rPr>
            </w:pPr>
            <w:r>
              <w:rPr>
                <w:rFonts w:ascii="Times New Roman" w:hAnsi="Times New Roman"/>
                <w:sz w:val="24"/>
                <w:szCs w:val="24"/>
              </w:rPr>
              <w:t>Šobrīd noteikumu Nr.</w:t>
            </w:r>
            <w:r w:rsidR="006621BA">
              <w:rPr>
                <w:rFonts w:ascii="Times New Roman" w:hAnsi="Times New Roman"/>
                <w:sz w:val="24"/>
                <w:szCs w:val="24"/>
              </w:rPr>
              <w:t> </w:t>
            </w:r>
            <w:r>
              <w:rPr>
                <w:rFonts w:ascii="Times New Roman" w:hAnsi="Times New Roman"/>
                <w:sz w:val="24"/>
                <w:szCs w:val="24"/>
              </w:rPr>
              <w:t>769 84.1</w:t>
            </w:r>
            <w:r w:rsidR="00EF330D">
              <w:rPr>
                <w:rFonts w:ascii="Times New Roman" w:hAnsi="Times New Roman"/>
                <w:sz w:val="24"/>
                <w:szCs w:val="24"/>
              </w:rPr>
              <w:t>.</w:t>
            </w:r>
            <w:r w:rsidR="006621BA">
              <w:rPr>
                <w:rFonts w:ascii="Times New Roman" w:hAnsi="Times New Roman"/>
                <w:sz w:val="24"/>
                <w:szCs w:val="24"/>
              </w:rPr>
              <w:t> apakš</w:t>
            </w:r>
            <w:r>
              <w:rPr>
                <w:rFonts w:ascii="Times New Roman" w:hAnsi="Times New Roman"/>
                <w:sz w:val="24"/>
                <w:szCs w:val="24"/>
              </w:rPr>
              <w:t xml:space="preserve">punktā ir noteikta atsauce uz dabas resursu nodokļa likumu, kas operatoriem ir jāmaksā, ja tie nepilda tiem noteiktās saistības attiecībā uz ikgadējo emisijas kvotu nodošanu. Maksājuma piemērošana ir noteikta likumā </w:t>
            </w:r>
            <w:r w:rsidR="00EF330D">
              <w:rPr>
                <w:rFonts w:ascii="Times New Roman" w:hAnsi="Times New Roman"/>
                <w:sz w:val="24"/>
                <w:szCs w:val="24"/>
              </w:rPr>
              <w:t>,,</w:t>
            </w:r>
            <w:r>
              <w:rPr>
                <w:rFonts w:ascii="Times New Roman" w:hAnsi="Times New Roman"/>
                <w:sz w:val="24"/>
                <w:szCs w:val="24"/>
              </w:rPr>
              <w:t xml:space="preserve">Par </w:t>
            </w:r>
            <w:r w:rsidR="00EF330D">
              <w:rPr>
                <w:rFonts w:ascii="Times New Roman" w:hAnsi="Times New Roman"/>
                <w:sz w:val="24"/>
                <w:szCs w:val="24"/>
              </w:rPr>
              <w:t>p</w:t>
            </w:r>
            <w:r>
              <w:rPr>
                <w:rFonts w:ascii="Times New Roman" w:hAnsi="Times New Roman"/>
                <w:sz w:val="24"/>
                <w:szCs w:val="24"/>
              </w:rPr>
              <w:t>iesārņojumu</w:t>
            </w:r>
            <w:r w:rsidR="00EF330D">
              <w:rPr>
                <w:rFonts w:ascii="Times New Roman" w:hAnsi="Times New Roman"/>
                <w:sz w:val="24"/>
                <w:szCs w:val="24"/>
              </w:rPr>
              <w:t>”</w:t>
            </w:r>
            <w:r>
              <w:rPr>
                <w:rFonts w:ascii="Times New Roman" w:hAnsi="Times New Roman"/>
                <w:sz w:val="24"/>
                <w:szCs w:val="24"/>
              </w:rPr>
              <w:t xml:space="preserve"> 32.</w:t>
            </w:r>
            <w:r w:rsidRPr="00F10B61">
              <w:rPr>
                <w:rFonts w:ascii="Times New Roman" w:hAnsi="Times New Roman"/>
                <w:sz w:val="24"/>
                <w:szCs w:val="24"/>
                <w:vertAlign w:val="superscript"/>
              </w:rPr>
              <w:t>5</w:t>
            </w:r>
            <w:r w:rsidR="00EF330D">
              <w:rPr>
                <w:rFonts w:ascii="Times New Roman" w:hAnsi="Times New Roman"/>
                <w:sz w:val="24"/>
                <w:szCs w:val="24"/>
              </w:rPr>
              <w:t> </w:t>
            </w:r>
            <w:r>
              <w:rPr>
                <w:rFonts w:ascii="Times New Roman" w:hAnsi="Times New Roman"/>
                <w:sz w:val="24"/>
                <w:szCs w:val="24"/>
              </w:rPr>
              <w:t xml:space="preserve">panta </w:t>
            </w:r>
            <w:r w:rsidR="00EF330D">
              <w:rPr>
                <w:rFonts w:ascii="Times New Roman" w:hAnsi="Times New Roman"/>
                <w:sz w:val="24"/>
                <w:szCs w:val="24"/>
              </w:rPr>
              <w:t>ceturtās daļas</w:t>
            </w:r>
            <w:r>
              <w:rPr>
                <w:rFonts w:ascii="Times New Roman" w:hAnsi="Times New Roman"/>
                <w:sz w:val="24"/>
                <w:szCs w:val="24"/>
              </w:rPr>
              <w:t xml:space="preserve"> 2.</w:t>
            </w:r>
            <w:r w:rsidR="00EF330D">
              <w:rPr>
                <w:rFonts w:ascii="Times New Roman" w:hAnsi="Times New Roman"/>
                <w:sz w:val="24"/>
                <w:szCs w:val="24"/>
              </w:rPr>
              <w:t> </w:t>
            </w:r>
            <w:r>
              <w:rPr>
                <w:rFonts w:ascii="Times New Roman" w:hAnsi="Times New Roman"/>
                <w:sz w:val="24"/>
                <w:szCs w:val="24"/>
              </w:rPr>
              <w:t>punktā ar 2016.</w:t>
            </w:r>
            <w:r w:rsidR="00EF330D">
              <w:rPr>
                <w:rFonts w:ascii="Times New Roman" w:hAnsi="Times New Roman"/>
                <w:sz w:val="24"/>
                <w:szCs w:val="24"/>
              </w:rPr>
              <w:t> </w:t>
            </w:r>
            <w:r>
              <w:rPr>
                <w:rFonts w:ascii="Times New Roman" w:hAnsi="Times New Roman"/>
                <w:sz w:val="24"/>
                <w:szCs w:val="24"/>
              </w:rPr>
              <w:t>gada 9.</w:t>
            </w:r>
            <w:r w:rsidR="00EF330D">
              <w:rPr>
                <w:rFonts w:ascii="Times New Roman" w:hAnsi="Times New Roman"/>
                <w:sz w:val="24"/>
                <w:szCs w:val="24"/>
              </w:rPr>
              <w:t> </w:t>
            </w:r>
            <w:r>
              <w:rPr>
                <w:rFonts w:ascii="Times New Roman" w:hAnsi="Times New Roman"/>
                <w:sz w:val="24"/>
                <w:szCs w:val="24"/>
              </w:rPr>
              <w:t>jūnija grozījumiem.</w:t>
            </w:r>
          </w:p>
          <w:p w14:paraId="09554D5D" w14:textId="3E137A1C" w:rsidR="0012446F" w:rsidRPr="0012446F" w:rsidRDefault="0012446F" w:rsidP="0012446F">
            <w:pPr>
              <w:spacing w:after="60"/>
              <w:ind w:firstLine="227"/>
              <w:rPr>
                <w:rFonts w:ascii="Times New Roman" w:eastAsia="Times New Roman" w:hAnsi="Times New Roman"/>
                <w:bCs/>
                <w:sz w:val="24"/>
                <w:szCs w:val="24"/>
              </w:rPr>
            </w:pPr>
            <w:r>
              <w:rPr>
                <w:rFonts w:ascii="Times New Roman" w:hAnsi="Times New Roman"/>
                <w:sz w:val="24"/>
                <w:szCs w:val="24"/>
              </w:rPr>
              <w:t>Noteikumos Nr.</w:t>
            </w:r>
            <w:r w:rsidR="00EF330D">
              <w:rPr>
                <w:rFonts w:ascii="Times New Roman" w:hAnsi="Times New Roman"/>
                <w:sz w:val="24"/>
                <w:szCs w:val="24"/>
              </w:rPr>
              <w:t> </w:t>
            </w:r>
            <w:r>
              <w:rPr>
                <w:rFonts w:ascii="Times New Roman" w:hAnsi="Times New Roman"/>
                <w:sz w:val="24"/>
                <w:szCs w:val="24"/>
              </w:rPr>
              <w:t xml:space="preserve">769 ir noteikts, ka VVD savā </w:t>
            </w:r>
            <w:r w:rsidR="00F12EF8">
              <w:rPr>
                <w:rFonts w:ascii="Times New Roman" w:hAnsi="Times New Roman"/>
                <w:sz w:val="24"/>
                <w:szCs w:val="24"/>
              </w:rPr>
              <w:t>tīmekļa vietnē</w:t>
            </w:r>
            <w:r>
              <w:rPr>
                <w:rFonts w:ascii="Times New Roman" w:hAnsi="Times New Roman"/>
                <w:sz w:val="24"/>
                <w:szCs w:val="24"/>
              </w:rPr>
              <w:t xml:space="preserve"> publicē lielu apjomu ES ETS informācijas, tomēr nav tādu nosacījumu, ka šādai informācijai ir jābūt publiski pieejamai, piemēram, pilna apjoma emisiju ziņojumi un verificētāja slēdzieni.</w:t>
            </w:r>
            <w:r w:rsidR="00DD0805">
              <w:rPr>
                <w:rFonts w:ascii="Times New Roman" w:hAnsi="Times New Roman"/>
                <w:sz w:val="24"/>
                <w:szCs w:val="24"/>
              </w:rPr>
              <w:t xml:space="preserve"> Līdz šim Noteikumos Nr.</w:t>
            </w:r>
            <w:r w:rsidR="00EF330D">
              <w:rPr>
                <w:rFonts w:ascii="Times New Roman" w:hAnsi="Times New Roman"/>
                <w:sz w:val="24"/>
                <w:szCs w:val="24"/>
              </w:rPr>
              <w:t> </w:t>
            </w:r>
            <w:r w:rsidR="00DD0805">
              <w:rPr>
                <w:rFonts w:ascii="Times New Roman" w:hAnsi="Times New Roman"/>
                <w:sz w:val="24"/>
                <w:szCs w:val="24"/>
              </w:rPr>
              <w:t>769 ir iekļauts nosacījums, ka VVD ir jāievēro informācijas neizpaušanas principi un, ja ES ETS ir norādījis, ka kāda informācija ES ETS operatoru sniegtajos ziņojumos ir konfidenciāla, VVD bija jānodrošina, ka tā netiek publicēta. Tomēr šī nosacījuma ievērošana VVD bija apgrūtinoša, ņemot vēra, ka ES ETS operatori ziņojumus mēdza iesniegt pdf formātā vai aizsargātus ar paroli, un bija ļoti apgrūtinoši nodrošināt, ka daļa no ziņojuma netiek publicēta.</w:t>
            </w:r>
            <w:r w:rsidR="008127AD">
              <w:rPr>
                <w:rFonts w:ascii="Times New Roman" w:hAnsi="Times New Roman"/>
                <w:sz w:val="24"/>
                <w:szCs w:val="24"/>
              </w:rPr>
              <w:t xml:space="preserve"> Šis pats nosacījums attiecas uz verifikācijas ziņojumiem, jo tajos verificētājam arī ir jāiekļauj informācija par aktivitātes datiem (izmantoto izejvielu vai kurināmā apjomi, saražotā gala produkcija), bet verificētāji veica visus pasākumus, lai nodrošinātu, ka šos ziņojumus nav iespējams mainīt (datnes tika aizsargātas ar paroli un/vai sagatavotas pdf formātā). VVD lēmumos par ES ETS operatoru iesniegto emisiju ziņojumu apstiprināšau vai noraidīšanu ir pieejama tā informāci</w:t>
            </w:r>
            <w:r w:rsidR="00DA2EAB">
              <w:rPr>
                <w:rFonts w:ascii="Times New Roman" w:hAnsi="Times New Roman"/>
                <w:sz w:val="24"/>
                <w:szCs w:val="24"/>
              </w:rPr>
              <w:t>ja, ko ir nepieciešams publicēt</w:t>
            </w:r>
            <w:r w:rsidR="008127AD">
              <w:rPr>
                <w:rFonts w:ascii="Times New Roman" w:hAnsi="Times New Roman"/>
                <w:sz w:val="24"/>
                <w:szCs w:val="24"/>
              </w:rPr>
              <w:t xml:space="preserve"> sabiedrības līdzdalības principa nodrošināšanai – darbībās izmantotās tehnoloģijas, radītais CO</w:t>
            </w:r>
            <w:r w:rsidR="008127AD" w:rsidRPr="00810942">
              <w:rPr>
                <w:rFonts w:ascii="Times New Roman" w:hAnsi="Times New Roman"/>
                <w:sz w:val="24"/>
                <w:szCs w:val="24"/>
                <w:vertAlign w:val="subscript"/>
              </w:rPr>
              <w:t>2</w:t>
            </w:r>
            <w:r w:rsidR="008127AD">
              <w:rPr>
                <w:rFonts w:ascii="Times New Roman" w:hAnsi="Times New Roman"/>
                <w:sz w:val="24"/>
                <w:szCs w:val="24"/>
              </w:rPr>
              <w:t xml:space="preserve"> emisiju apjoms (enerģētikas darbībās radītais emisiju apjoms un rūpnieciskajos procesos radītais emisiju apjoms)</w:t>
            </w:r>
            <w:r w:rsidR="00CB34D7">
              <w:rPr>
                <w:rFonts w:ascii="Times New Roman" w:hAnsi="Times New Roman"/>
                <w:sz w:val="24"/>
                <w:szCs w:val="24"/>
              </w:rPr>
              <w:t>.</w:t>
            </w:r>
          </w:p>
          <w:p w14:paraId="2885A2C8" w14:textId="7A3CF348" w:rsidR="00CB4AAB" w:rsidRPr="0012446F" w:rsidRDefault="0026429E" w:rsidP="0012446F">
            <w:pPr>
              <w:pStyle w:val="naiskr"/>
              <w:spacing w:before="0" w:after="60"/>
              <w:ind w:firstLine="227"/>
              <w:jc w:val="both"/>
              <w:rPr>
                <w:u w:val="single"/>
              </w:rPr>
            </w:pPr>
            <w:r>
              <w:rPr>
                <w:u w:val="single"/>
              </w:rPr>
              <w:t xml:space="preserve">Ar </w:t>
            </w:r>
            <w:r w:rsidR="00470F41" w:rsidRPr="0012446F">
              <w:rPr>
                <w:u w:val="single"/>
              </w:rPr>
              <w:t xml:space="preserve">Noteikumu </w:t>
            </w:r>
            <w:r w:rsidR="00CB4AAB" w:rsidRPr="0012446F">
              <w:rPr>
                <w:u w:val="single"/>
              </w:rPr>
              <w:t>projekt</w:t>
            </w:r>
            <w:r>
              <w:rPr>
                <w:u w:val="single"/>
              </w:rPr>
              <w:t xml:space="preserve">u </w:t>
            </w:r>
            <w:r w:rsidR="00DA2EAB">
              <w:rPr>
                <w:u w:val="single"/>
              </w:rPr>
              <w:t>sasniedzamais</w:t>
            </w:r>
            <w:r>
              <w:rPr>
                <w:u w:val="single"/>
              </w:rPr>
              <w:t xml:space="preserve"> mērķis un rezultāts</w:t>
            </w:r>
            <w:r w:rsidR="00CB4AAB" w:rsidRPr="0012446F">
              <w:rPr>
                <w:u w:val="single"/>
              </w:rPr>
              <w:t>:</w:t>
            </w:r>
          </w:p>
          <w:p w14:paraId="2A04B0F8" w14:textId="3473B3A5" w:rsidR="0012446F" w:rsidRPr="006C2654" w:rsidRDefault="00177113" w:rsidP="0012446F">
            <w:pPr>
              <w:spacing w:after="60"/>
              <w:ind w:firstLine="176"/>
              <w:rPr>
                <w:rFonts w:ascii="Times New Roman" w:hAnsi="Times New Roman"/>
                <w:sz w:val="24"/>
                <w:szCs w:val="24"/>
              </w:rPr>
            </w:pPr>
            <w:r>
              <w:rPr>
                <w:rFonts w:ascii="Times New Roman" w:hAnsi="Times New Roman"/>
                <w:sz w:val="24"/>
                <w:szCs w:val="24"/>
              </w:rPr>
              <w:t>Noteikumu projekts no</w:t>
            </w:r>
            <w:r w:rsidR="00EF330D">
              <w:rPr>
                <w:rFonts w:ascii="Times New Roman" w:hAnsi="Times New Roman"/>
                <w:sz w:val="24"/>
                <w:szCs w:val="24"/>
              </w:rPr>
              <w:t>teic</w:t>
            </w:r>
            <w:r>
              <w:rPr>
                <w:rFonts w:ascii="Times New Roman" w:hAnsi="Times New Roman"/>
                <w:sz w:val="24"/>
                <w:szCs w:val="24"/>
              </w:rPr>
              <w:t>, ka iesniedzamajiem dokumentiem, kuriem ir pieejamas un izstrādātas veidlapas</w:t>
            </w:r>
            <w:r w:rsidR="00461F10">
              <w:rPr>
                <w:rFonts w:ascii="Times New Roman" w:hAnsi="Times New Roman"/>
                <w:sz w:val="24"/>
                <w:szCs w:val="24"/>
              </w:rPr>
              <w:t>, tās</w:t>
            </w:r>
            <w:r>
              <w:rPr>
                <w:rFonts w:ascii="Times New Roman" w:hAnsi="Times New Roman"/>
                <w:sz w:val="24"/>
                <w:szCs w:val="24"/>
              </w:rPr>
              <w:t xml:space="preserve"> nepieciešams iesniegt arī elektroniski nosūtot</w:t>
            </w:r>
            <w:r w:rsidR="00461F10">
              <w:rPr>
                <w:rFonts w:ascii="Times New Roman" w:hAnsi="Times New Roman"/>
                <w:sz w:val="24"/>
                <w:szCs w:val="24"/>
              </w:rPr>
              <w:t xml:space="preserve"> VVD reģionālajai vides pārvaldei. Strādājot ar elektroniski saņemtu dokumentu tā oriģinālajā formātā (Excel datne), tiks nodrošināta kvalitatīvāka uzraudzība, kā arī uzlabosies datu apmaiņa un datu apkopošana.</w:t>
            </w:r>
          </w:p>
          <w:p w14:paraId="1105E28D" w14:textId="591757EC" w:rsidR="0012446F" w:rsidRDefault="00EF330D" w:rsidP="0012446F">
            <w:pPr>
              <w:spacing w:after="60"/>
              <w:ind w:firstLine="176"/>
              <w:rPr>
                <w:rFonts w:ascii="Times New Roman" w:hAnsi="Times New Roman"/>
                <w:sz w:val="24"/>
                <w:szCs w:val="24"/>
              </w:rPr>
            </w:pPr>
            <w:r>
              <w:rPr>
                <w:rFonts w:ascii="Times New Roman" w:hAnsi="Times New Roman"/>
                <w:sz w:val="24"/>
                <w:szCs w:val="24"/>
              </w:rPr>
              <w:t xml:space="preserve">Ar </w:t>
            </w:r>
            <w:r w:rsidR="008B1B3F">
              <w:rPr>
                <w:rFonts w:ascii="Times New Roman" w:hAnsi="Times New Roman"/>
                <w:sz w:val="24"/>
                <w:szCs w:val="24"/>
              </w:rPr>
              <w:t>Noteikumu projekt</w:t>
            </w:r>
            <w:r>
              <w:rPr>
                <w:rFonts w:ascii="Times New Roman" w:hAnsi="Times New Roman"/>
                <w:sz w:val="24"/>
                <w:szCs w:val="24"/>
              </w:rPr>
              <w:t>u</w:t>
            </w:r>
            <w:r w:rsidR="008B1B3F">
              <w:rPr>
                <w:rFonts w:ascii="Times New Roman" w:hAnsi="Times New Roman"/>
                <w:sz w:val="24"/>
                <w:szCs w:val="24"/>
              </w:rPr>
              <w:t xml:space="preserve"> tiek noteikta kārtība, kādā</w:t>
            </w:r>
            <w:r w:rsidR="00A823F6">
              <w:rPr>
                <w:rFonts w:ascii="Times New Roman" w:hAnsi="Times New Roman"/>
                <w:sz w:val="24"/>
                <w:szCs w:val="24"/>
              </w:rPr>
              <w:t xml:space="preserve"> ES ETS sagatavo un iesniedz ziņojumu </w:t>
            </w:r>
            <w:r w:rsidR="008B1B3F">
              <w:rPr>
                <w:rFonts w:ascii="Times New Roman" w:hAnsi="Times New Roman"/>
                <w:sz w:val="24"/>
                <w:szCs w:val="24"/>
              </w:rPr>
              <w:t>par emisijas kvotu pārdošanā iegūto finanšu līdzekļu izlietojumu</w:t>
            </w:r>
            <w:r w:rsidR="00A823F6">
              <w:rPr>
                <w:rFonts w:ascii="Times New Roman" w:hAnsi="Times New Roman"/>
                <w:sz w:val="24"/>
                <w:szCs w:val="24"/>
              </w:rPr>
              <w:t xml:space="preserve">. Tiek arī noteikts, ka SEG emisiju samazināšanas pasākumu, kas noteikti likumā </w:t>
            </w:r>
            <w:r>
              <w:rPr>
                <w:rFonts w:ascii="Times New Roman" w:hAnsi="Times New Roman"/>
                <w:sz w:val="24"/>
                <w:szCs w:val="24"/>
              </w:rPr>
              <w:t>,,</w:t>
            </w:r>
            <w:r w:rsidR="00A823F6">
              <w:rPr>
                <w:rFonts w:ascii="Times New Roman" w:hAnsi="Times New Roman"/>
                <w:sz w:val="24"/>
                <w:szCs w:val="24"/>
              </w:rPr>
              <w:t xml:space="preserve">Par piesārņojumu”, īstenošanu praktiski pārbauda </w:t>
            </w:r>
            <w:r w:rsidR="00A823F6" w:rsidRPr="003F4806">
              <w:rPr>
                <w:rFonts w:ascii="Times New Roman" w:hAnsi="Times New Roman"/>
                <w:sz w:val="24"/>
                <w:szCs w:val="24"/>
              </w:rPr>
              <w:t xml:space="preserve">verificētājs, ikgadējās vizītes laikā, kad tiek veikta iekārtu darbības un datu pārbaude ikgadējo emisiju ziņojumu verificēšanai. Tādējādi verificētājs pārbaudīs, vai ES ETS operators tiešām ir veicis SEG emisiju samazināšanas pasākumus, par kuriem </w:t>
            </w:r>
            <w:r w:rsidR="006A7A3F">
              <w:rPr>
                <w:rFonts w:ascii="Times New Roman" w:hAnsi="Times New Roman"/>
                <w:sz w:val="24"/>
                <w:szCs w:val="24"/>
              </w:rPr>
              <w:t>tas</w:t>
            </w:r>
            <w:r w:rsidR="00A823F6" w:rsidRPr="003F4806">
              <w:rPr>
                <w:rFonts w:ascii="Times New Roman" w:hAnsi="Times New Roman"/>
                <w:sz w:val="24"/>
                <w:szCs w:val="24"/>
              </w:rPr>
              <w:t xml:space="preserve"> ir ziņojis.</w:t>
            </w:r>
          </w:p>
          <w:p w14:paraId="76A52B5F" w14:textId="77777777" w:rsidR="0012446F" w:rsidRDefault="001F4B39" w:rsidP="001F4B39">
            <w:pPr>
              <w:spacing w:after="60"/>
              <w:ind w:firstLine="176"/>
              <w:rPr>
                <w:rFonts w:ascii="Times New Roman" w:hAnsi="Times New Roman"/>
                <w:sz w:val="24"/>
                <w:szCs w:val="24"/>
              </w:rPr>
            </w:pPr>
            <w:r>
              <w:rPr>
                <w:rFonts w:ascii="Times New Roman" w:hAnsi="Times New Roman"/>
                <w:sz w:val="24"/>
                <w:szCs w:val="24"/>
              </w:rPr>
              <w:t xml:space="preserve">Ar noteikumu projektu tiks precizēti nosacījumi attiecībā uz iesniegumu </w:t>
            </w:r>
            <w:r>
              <w:rPr>
                <w:rFonts w:ascii="Times New Roman" w:hAnsi="Times New Roman"/>
                <w:sz w:val="24"/>
                <w:szCs w:val="24"/>
              </w:rPr>
              <w:lastRenderedPageBreak/>
              <w:t>iesniegšanu grozījumiem monitoringa nosacījumos, kā arī nosacījumi attiecībā uz sabiedrības līdzdalības nodrošināšanu.</w:t>
            </w:r>
          </w:p>
          <w:p w14:paraId="29D10780" w14:textId="303D1A57" w:rsidR="00F23ED3" w:rsidRPr="0012446F" w:rsidRDefault="00F23ED3" w:rsidP="001F4B39">
            <w:pPr>
              <w:spacing w:after="60"/>
              <w:ind w:firstLine="176"/>
              <w:rPr>
                <w:rFonts w:ascii="Times New Roman" w:hAnsi="Times New Roman"/>
                <w:sz w:val="24"/>
                <w:szCs w:val="24"/>
              </w:rPr>
            </w:pPr>
            <w:r>
              <w:rPr>
                <w:rFonts w:ascii="Times New Roman" w:hAnsi="Times New Roman"/>
                <w:sz w:val="24"/>
                <w:szCs w:val="24"/>
              </w:rPr>
              <w:t xml:space="preserve">Ar noteikumu projektu tiks precizēta atsauce uz likuma par piesārņojuma normu par maksājuma noteikšanu, ja operators nav nodevis emisijas kvotas atbilstošā apmērā. </w:t>
            </w:r>
          </w:p>
        </w:tc>
      </w:tr>
      <w:tr w:rsidR="00F122F9" w:rsidRPr="00F122F9" w14:paraId="4DFF3ADA" w14:textId="77777777" w:rsidTr="000F14C9">
        <w:trPr>
          <w:trHeight w:val="274"/>
          <w:jc w:val="center"/>
        </w:trPr>
        <w:tc>
          <w:tcPr>
            <w:tcW w:w="250" w:type="pct"/>
          </w:tcPr>
          <w:p w14:paraId="16B2083B" w14:textId="788A0155"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lastRenderedPageBreak/>
              <w:t>3.</w:t>
            </w:r>
          </w:p>
        </w:tc>
        <w:tc>
          <w:tcPr>
            <w:tcW w:w="853" w:type="pct"/>
          </w:tcPr>
          <w:p w14:paraId="46F27036"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izstrādē iesaistītās institūcijas</w:t>
            </w:r>
          </w:p>
        </w:tc>
        <w:tc>
          <w:tcPr>
            <w:tcW w:w="3897" w:type="pct"/>
          </w:tcPr>
          <w:p w14:paraId="4FF6E6C0" w14:textId="608D0B52" w:rsidR="00F07CD0" w:rsidRPr="00FD5A20" w:rsidRDefault="006C2654" w:rsidP="005E117D">
            <w:pPr>
              <w:pStyle w:val="naiskr"/>
              <w:spacing w:before="60" w:after="60"/>
              <w:jc w:val="both"/>
              <w:rPr>
                <w:iCs/>
                <w:sz w:val="22"/>
                <w:szCs w:val="22"/>
              </w:rPr>
            </w:pPr>
            <w:r>
              <w:rPr>
                <w:iCs/>
                <w:u w:val="single"/>
              </w:rPr>
              <w:t>VARAM, VVD</w:t>
            </w:r>
          </w:p>
        </w:tc>
      </w:tr>
      <w:tr w:rsidR="00F122F9" w:rsidRPr="00F122F9" w14:paraId="3495304A" w14:textId="77777777" w:rsidTr="00F122F9">
        <w:trPr>
          <w:jc w:val="center"/>
        </w:trPr>
        <w:tc>
          <w:tcPr>
            <w:tcW w:w="250" w:type="pct"/>
          </w:tcPr>
          <w:p w14:paraId="538194A3" w14:textId="77777777"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4.</w:t>
            </w:r>
          </w:p>
        </w:tc>
        <w:tc>
          <w:tcPr>
            <w:tcW w:w="853" w:type="pct"/>
          </w:tcPr>
          <w:p w14:paraId="2D300A15"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897" w:type="pct"/>
          </w:tcPr>
          <w:p w14:paraId="26FF8B71" w14:textId="77777777" w:rsidR="00CB4AAB" w:rsidRPr="00810942" w:rsidRDefault="008B1B3F" w:rsidP="00B63F0E">
            <w:pPr>
              <w:spacing w:before="60" w:after="60"/>
              <w:ind w:firstLine="232"/>
              <w:jc w:val="left"/>
              <w:rPr>
                <w:rFonts w:ascii="Times New Roman" w:hAnsi="Times New Roman"/>
                <w:sz w:val="24"/>
                <w:szCs w:val="24"/>
                <w:lang w:eastAsia="lv-LV"/>
              </w:rPr>
            </w:pPr>
            <w:r w:rsidRPr="00810942">
              <w:rPr>
                <w:rFonts w:ascii="Times New Roman" w:hAnsi="Times New Roman"/>
                <w:sz w:val="24"/>
                <w:szCs w:val="24"/>
                <w:lang w:eastAsia="lv-LV"/>
              </w:rPr>
              <w:t>Nav</w:t>
            </w:r>
          </w:p>
        </w:tc>
      </w:tr>
    </w:tbl>
    <w:p w14:paraId="5A6A503C" w14:textId="77777777" w:rsidR="00CB4AAB" w:rsidRPr="00F122F9" w:rsidRDefault="00CB4AAB" w:rsidP="0034370D">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82"/>
        <w:gridCol w:w="1787"/>
        <w:gridCol w:w="7370"/>
      </w:tblGrid>
      <w:tr w:rsidR="00F122F9" w:rsidRPr="00F122F9" w14:paraId="5F47132E" w14:textId="77777777" w:rsidTr="003F5D80">
        <w:trPr>
          <w:trHeight w:val="555"/>
          <w:jc w:val="center"/>
        </w:trPr>
        <w:tc>
          <w:tcPr>
            <w:tcW w:w="0" w:type="auto"/>
            <w:gridSpan w:val="3"/>
            <w:vAlign w:val="center"/>
          </w:tcPr>
          <w:p w14:paraId="3B950755" w14:textId="295B6EC9" w:rsidR="00CB4AAB" w:rsidRPr="00810942" w:rsidRDefault="008B1B3F" w:rsidP="00B63F0E">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II. Tiesību akta projekta ietekme uz sabiedrību, tautsaimniecības attīstību un administratīvo slogu</w:t>
            </w:r>
          </w:p>
        </w:tc>
      </w:tr>
      <w:tr w:rsidR="00F122F9" w:rsidRPr="00F122F9" w14:paraId="24093540" w14:textId="77777777" w:rsidTr="00F122F9">
        <w:trPr>
          <w:trHeight w:val="274"/>
          <w:jc w:val="center"/>
        </w:trPr>
        <w:tc>
          <w:tcPr>
            <w:tcW w:w="250" w:type="pct"/>
          </w:tcPr>
          <w:p w14:paraId="44B7BA9B"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14:paraId="577E9F8E"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Sabiedrības mērķgrupas, kuras tiesiskais regulējums ietekmē vai varētu ietekmēt</w:t>
            </w:r>
          </w:p>
        </w:tc>
        <w:tc>
          <w:tcPr>
            <w:tcW w:w="3823" w:type="pct"/>
          </w:tcPr>
          <w:p w14:paraId="148A9880" w14:textId="360D6B14" w:rsidR="00BF14CB" w:rsidRPr="00B501CB" w:rsidRDefault="00461F10" w:rsidP="00461F10">
            <w:pPr>
              <w:pStyle w:val="naiskr"/>
              <w:spacing w:before="60" w:after="60"/>
              <w:jc w:val="both"/>
              <w:rPr>
                <w:bCs/>
                <w:sz w:val="22"/>
                <w:szCs w:val="22"/>
                <w:shd w:val="clear" w:color="auto" w:fill="FFFFFF"/>
              </w:rPr>
            </w:pPr>
            <w:r w:rsidRPr="001E78DC">
              <w:rPr>
                <w:bCs/>
                <w:shd w:val="clear" w:color="auto" w:fill="FFFFFF"/>
              </w:rPr>
              <w:t xml:space="preserve">ES ETS operatorus attiecībā uz informācijas </w:t>
            </w:r>
            <w:r w:rsidRPr="001E78DC">
              <w:t>par emisijas kvotu pārdošanā iegūto finanšu līdzekļu izlietojumu sagatavošanu un iesniegšanu, kā arī verificētājus par līdzekļu izlietojuma pārbaudi</w:t>
            </w:r>
            <w:r>
              <w:t>.</w:t>
            </w:r>
          </w:p>
        </w:tc>
      </w:tr>
      <w:tr w:rsidR="00F122F9" w:rsidRPr="00F122F9" w14:paraId="09765920" w14:textId="77777777" w:rsidTr="00F122F9">
        <w:trPr>
          <w:trHeight w:val="510"/>
          <w:jc w:val="center"/>
        </w:trPr>
        <w:tc>
          <w:tcPr>
            <w:tcW w:w="250" w:type="pct"/>
          </w:tcPr>
          <w:p w14:paraId="104CAE6C"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tcPr>
          <w:p w14:paraId="68CC145D"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Tiesiskā regulējuma ietekme uz tautsaimniecību un administratīvo slogu</w:t>
            </w:r>
          </w:p>
        </w:tc>
        <w:tc>
          <w:tcPr>
            <w:tcW w:w="3823" w:type="pct"/>
          </w:tcPr>
          <w:p w14:paraId="78361749" w14:textId="77777777" w:rsidR="00CB4AAB" w:rsidRPr="00810942" w:rsidRDefault="008B1B3F">
            <w:pPr>
              <w:spacing w:before="60" w:after="60"/>
              <w:rPr>
                <w:rFonts w:ascii="Times New Roman" w:hAnsi="Times New Roman"/>
                <w:sz w:val="24"/>
                <w:szCs w:val="24"/>
                <w:u w:val="single"/>
              </w:rPr>
            </w:pPr>
            <w:r w:rsidRPr="00810942">
              <w:rPr>
                <w:rFonts w:ascii="Times New Roman" w:hAnsi="Times New Roman"/>
                <w:sz w:val="24"/>
                <w:szCs w:val="24"/>
                <w:u w:val="single"/>
              </w:rPr>
              <w:t>Noteikumu projekta tiesiskā regulējuma paredzamā ietekme uz administratīvo slogu:</w:t>
            </w:r>
          </w:p>
          <w:p w14:paraId="4E28541D" w14:textId="77777777" w:rsidR="00CB4AAB" w:rsidRPr="003F4806" w:rsidRDefault="008B1B3F">
            <w:pPr>
              <w:spacing w:before="60" w:after="60"/>
              <w:rPr>
                <w:rFonts w:ascii="Times New Roman" w:hAnsi="Times New Roman"/>
                <w:i/>
                <w:sz w:val="24"/>
                <w:szCs w:val="24"/>
              </w:rPr>
            </w:pPr>
            <w:r w:rsidRPr="00810942">
              <w:rPr>
                <w:rFonts w:ascii="Times New Roman" w:hAnsi="Times New Roman"/>
                <w:i/>
                <w:sz w:val="24"/>
                <w:szCs w:val="24"/>
              </w:rPr>
              <w:t xml:space="preserve">ES ETS </w:t>
            </w:r>
            <w:r w:rsidRPr="003F4806">
              <w:rPr>
                <w:rFonts w:ascii="Times New Roman" w:hAnsi="Times New Roman"/>
                <w:i/>
                <w:sz w:val="24"/>
                <w:szCs w:val="24"/>
              </w:rPr>
              <w:t>operatoriem</w:t>
            </w:r>
          </w:p>
          <w:p w14:paraId="4E37C9C1" w14:textId="6F94D74B" w:rsidR="00EC321F" w:rsidRDefault="008B1B3F" w:rsidP="00EC321F">
            <w:pPr>
              <w:spacing w:before="60" w:after="60"/>
              <w:ind w:firstLine="227"/>
              <w:rPr>
                <w:rFonts w:ascii="Times New Roman" w:hAnsi="Times New Roman"/>
                <w:sz w:val="24"/>
                <w:szCs w:val="24"/>
              </w:rPr>
            </w:pPr>
            <w:r w:rsidRPr="00810942">
              <w:rPr>
                <w:rFonts w:ascii="Times New Roman" w:hAnsi="Times New Roman"/>
                <w:sz w:val="24"/>
                <w:szCs w:val="24"/>
              </w:rPr>
              <w:t xml:space="preserve">ES ETS operatoriem var nedaudz palielināties administratīvais slogs, jo katru gadu kopā ar emisiju ziņojumu vajadzēs iesniegt informāciju par </w:t>
            </w:r>
            <w:r w:rsidRPr="003F4806">
              <w:rPr>
                <w:rFonts w:ascii="Times New Roman" w:hAnsi="Times New Roman"/>
                <w:sz w:val="24"/>
                <w:szCs w:val="24"/>
              </w:rPr>
              <w:t>emisijas kvotu pārdošanā iegūto finanšu līdzekļu izlietojumu – emisijas kvotu pārdošanas apjomi, iegūtie finanšu līdzekļi, veiktie SEG emisiju samazināšanas pasākumi un to veikšanai iztērētie līdzekļi.</w:t>
            </w:r>
            <w:r w:rsidR="00352E89">
              <w:rPr>
                <w:rFonts w:ascii="Times New Roman" w:hAnsi="Times New Roman"/>
                <w:sz w:val="24"/>
                <w:szCs w:val="24"/>
              </w:rPr>
              <w:t xml:space="preserve"> </w:t>
            </w:r>
            <w:r w:rsidR="00C7456B">
              <w:rPr>
                <w:rFonts w:ascii="Times New Roman" w:hAnsi="Times New Roman"/>
                <w:sz w:val="24"/>
                <w:szCs w:val="24"/>
              </w:rPr>
              <w:t>Tomēr šādi darījumi nenotiek bieži, piemēram, 2015.</w:t>
            </w:r>
            <w:r w:rsidR="00EF330D">
              <w:rPr>
                <w:rFonts w:ascii="Times New Roman" w:hAnsi="Times New Roman"/>
                <w:sz w:val="24"/>
                <w:szCs w:val="24"/>
              </w:rPr>
              <w:t> </w:t>
            </w:r>
            <w:r w:rsidR="00C7456B">
              <w:rPr>
                <w:rFonts w:ascii="Times New Roman" w:hAnsi="Times New Roman"/>
                <w:sz w:val="24"/>
                <w:szCs w:val="24"/>
              </w:rPr>
              <w:t>gadā no 10 kontiem ir veikti 13 pārskaitījumi, no kuriem 1 pārskaitījums bijis starp viena operatora vairākām iekārtām</w:t>
            </w:r>
            <w:r w:rsidR="002322A2">
              <w:rPr>
                <w:rFonts w:ascii="Times New Roman" w:hAnsi="Times New Roman"/>
                <w:sz w:val="24"/>
                <w:szCs w:val="24"/>
              </w:rPr>
              <w:t xml:space="preserve"> (kontiem)</w:t>
            </w:r>
            <w:r w:rsidR="00C7456B">
              <w:rPr>
                <w:rFonts w:ascii="Times New Roman" w:hAnsi="Times New Roman"/>
                <w:sz w:val="24"/>
                <w:szCs w:val="24"/>
              </w:rPr>
              <w:t>. Pārējie 12 pārskaitījumi notikuši</w:t>
            </w:r>
            <w:r w:rsidR="00EF330D">
              <w:rPr>
                <w:rFonts w:ascii="Times New Roman" w:hAnsi="Times New Roman"/>
                <w:sz w:val="24"/>
                <w:szCs w:val="24"/>
              </w:rPr>
              <w:t>,</w:t>
            </w:r>
            <w:r w:rsidR="00C7456B">
              <w:rPr>
                <w:rFonts w:ascii="Times New Roman" w:hAnsi="Times New Roman"/>
                <w:sz w:val="24"/>
                <w:szCs w:val="24"/>
              </w:rPr>
              <w:t xml:space="preserve"> vai nu uz citiem operatoriem vai arī uz radniecīgiem uzņēmumiem ār</w:t>
            </w:r>
            <w:r w:rsidR="00EF330D">
              <w:rPr>
                <w:rFonts w:ascii="Times New Roman" w:hAnsi="Times New Roman"/>
                <w:sz w:val="24"/>
                <w:szCs w:val="24"/>
              </w:rPr>
              <w:t>valstīs</w:t>
            </w:r>
            <w:r w:rsidR="00C7456B">
              <w:rPr>
                <w:rFonts w:ascii="Times New Roman" w:hAnsi="Times New Roman"/>
                <w:sz w:val="24"/>
                <w:szCs w:val="24"/>
              </w:rPr>
              <w:t>.</w:t>
            </w:r>
            <w:r w:rsidR="002322A2">
              <w:rPr>
                <w:rFonts w:ascii="Times New Roman" w:hAnsi="Times New Roman"/>
                <w:sz w:val="24"/>
                <w:szCs w:val="24"/>
              </w:rPr>
              <w:t xml:space="preserve"> </w:t>
            </w:r>
            <w:r w:rsidR="00352E89">
              <w:rPr>
                <w:rFonts w:ascii="Times New Roman" w:hAnsi="Times New Roman"/>
                <w:sz w:val="24"/>
                <w:szCs w:val="24"/>
              </w:rPr>
              <w:t>Tādējādi administratīvo slogu nav iespējams noteikt naudas izteiksmē.</w:t>
            </w:r>
          </w:p>
          <w:p w14:paraId="606EA152" w14:textId="0F2FB77C" w:rsidR="00F96014" w:rsidRPr="003F4806" w:rsidRDefault="00F96014" w:rsidP="00EC321F">
            <w:pPr>
              <w:spacing w:before="60" w:after="60"/>
              <w:ind w:firstLine="227"/>
              <w:rPr>
                <w:rFonts w:ascii="Times New Roman" w:hAnsi="Times New Roman"/>
                <w:sz w:val="24"/>
                <w:szCs w:val="24"/>
              </w:rPr>
            </w:pPr>
            <w:r w:rsidRPr="003F4806">
              <w:rPr>
                <w:rFonts w:ascii="Times New Roman" w:hAnsi="Times New Roman"/>
                <w:sz w:val="24"/>
                <w:szCs w:val="24"/>
              </w:rPr>
              <w:t>Nav paredzama būtiska ietekme uz uzņēmējdarbības vidi.</w:t>
            </w:r>
          </w:p>
          <w:p w14:paraId="4D43BEF7" w14:textId="3A91CB05" w:rsidR="007B5691" w:rsidRPr="003F4806" w:rsidRDefault="008B1B3F">
            <w:pPr>
              <w:spacing w:before="60" w:after="60"/>
              <w:rPr>
                <w:rFonts w:ascii="Times New Roman" w:hAnsi="Times New Roman"/>
                <w:i/>
                <w:sz w:val="24"/>
                <w:szCs w:val="24"/>
              </w:rPr>
            </w:pPr>
            <w:r w:rsidRPr="003F4806">
              <w:rPr>
                <w:rFonts w:ascii="Times New Roman" w:hAnsi="Times New Roman"/>
                <w:i/>
                <w:sz w:val="24"/>
                <w:szCs w:val="24"/>
              </w:rPr>
              <w:t>V</w:t>
            </w:r>
            <w:r w:rsidR="00B3434A">
              <w:rPr>
                <w:rFonts w:ascii="Times New Roman" w:hAnsi="Times New Roman"/>
                <w:i/>
                <w:sz w:val="24"/>
                <w:szCs w:val="24"/>
              </w:rPr>
              <w:t>VD</w:t>
            </w:r>
            <w:r w:rsidRPr="003F4806">
              <w:rPr>
                <w:rFonts w:ascii="Times New Roman" w:hAnsi="Times New Roman"/>
                <w:i/>
                <w:sz w:val="24"/>
                <w:szCs w:val="24"/>
              </w:rPr>
              <w:t xml:space="preserve"> un tā reģionālajām vides pārvaldēm</w:t>
            </w:r>
          </w:p>
          <w:p w14:paraId="1CFBF86E" w14:textId="0F4E0AEB" w:rsidR="00F07CD0" w:rsidRPr="00F96014" w:rsidRDefault="008B1B3F" w:rsidP="00F96014">
            <w:pPr>
              <w:spacing w:before="60" w:after="60"/>
              <w:ind w:firstLine="227"/>
              <w:rPr>
                <w:rFonts w:ascii="Times New Roman" w:hAnsi="Times New Roman"/>
                <w:sz w:val="24"/>
                <w:szCs w:val="24"/>
              </w:rPr>
            </w:pPr>
            <w:r w:rsidRPr="003F4806">
              <w:rPr>
                <w:rFonts w:ascii="Times New Roman" w:hAnsi="Times New Roman"/>
                <w:sz w:val="24"/>
                <w:szCs w:val="24"/>
              </w:rPr>
              <w:t>VVD samazināsies administratīvais slogs</w:t>
            </w:r>
            <w:r w:rsidR="00B3434A">
              <w:rPr>
                <w:rFonts w:ascii="Times New Roman" w:hAnsi="Times New Roman"/>
                <w:sz w:val="24"/>
                <w:szCs w:val="24"/>
              </w:rPr>
              <w:t>, jo</w:t>
            </w:r>
            <w:r w:rsidRPr="003F4806">
              <w:rPr>
                <w:rFonts w:ascii="Times New Roman" w:hAnsi="Times New Roman"/>
                <w:sz w:val="24"/>
                <w:szCs w:val="24"/>
              </w:rPr>
              <w:t xml:space="preserve"> VVD </w:t>
            </w:r>
            <w:r w:rsidR="00B3434A">
              <w:rPr>
                <w:rFonts w:ascii="Times New Roman" w:hAnsi="Times New Roman"/>
                <w:sz w:val="24"/>
                <w:szCs w:val="24"/>
              </w:rPr>
              <w:t>tīmekļa vietnē</w:t>
            </w:r>
            <w:r w:rsidRPr="003F4806">
              <w:rPr>
                <w:rFonts w:ascii="Times New Roman" w:hAnsi="Times New Roman"/>
                <w:sz w:val="24"/>
                <w:szCs w:val="24"/>
              </w:rPr>
              <w:t xml:space="preserve"> būs nepieciešams turpmāk publicēt tikai SEG atļaujas un tā</w:t>
            </w:r>
            <w:r w:rsidR="00DA2EAB">
              <w:rPr>
                <w:rFonts w:ascii="Times New Roman" w:hAnsi="Times New Roman"/>
                <w:sz w:val="24"/>
                <w:szCs w:val="24"/>
              </w:rPr>
              <w:t>s</w:t>
            </w:r>
            <w:bookmarkStart w:id="0" w:name="_GoBack"/>
            <w:bookmarkEnd w:id="0"/>
            <w:r w:rsidRPr="003F4806">
              <w:rPr>
                <w:rFonts w:ascii="Times New Roman" w:hAnsi="Times New Roman"/>
                <w:sz w:val="24"/>
                <w:szCs w:val="24"/>
              </w:rPr>
              <w:t xml:space="preserve"> grozījumus, kā arī monitoringa plānus un VVD lēmumus par emisiju ziņojumu apstiprināšanu vai noraidīšanu.</w:t>
            </w:r>
          </w:p>
        </w:tc>
      </w:tr>
      <w:tr w:rsidR="00F122F9" w:rsidRPr="00F122F9" w14:paraId="32E93C38" w14:textId="77777777" w:rsidTr="00F122F9">
        <w:trPr>
          <w:trHeight w:val="510"/>
          <w:jc w:val="center"/>
        </w:trPr>
        <w:tc>
          <w:tcPr>
            <w:tcW w:w="250" w:type="pct"/>
          </w:tcPr>
          <w:p w14:paraId="1C45C6D7"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 xml:space="preserve">3. </w:t>
            </w:r>
          </w:p>
        </w:tc>
        <w:tc>
          <w:tcPr>
            <w:tcW w:w="927" w:type="pct"/>
          </w:tcPr>
          <w:p w14:paraId="3BE9F202"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Administratīvo izmaksu monetārs novērtējums</w:t>
            </w:r>
          </w:p>
        </w:tc>
        <w:tc>
          <w:tcPr>
            <w:tcW w:w="3823" w:type="pct"/>
          </w:tcPr>
          <w:p w14:paraId="18F610A5" w14:textId="5F9B8D0B" w:rsidR="0074243C" w:rsidRPr="00810942" w:rsidRDefault="008B1B3F" w:rsidP="00470F41">
            <w:pPr>
              <w:spacing w:before="60" w:after="60"/>
              <w:ind w:firstLine="170"/>
              <w:rPr>
                <w:rFonts w:ascii="Times New Roman" w:hAnsi="Times New Roman"/>
                <w:sz w:val="24"/>
                <w:szCs w:val="24"/>
              </w:rPr>
            </w:pPr>
            <w:r w:rsidRPr="00810942">
              <w:rPr>
                <w:rFonts w:ascii="Times New Roman" w:hAnsi="Times New Roman"/>
                <w:sz w:val="24"/>
                <w:szCs w:val="24"/>
              </w:rPr>
              <w:t>Šobrīd netiek paredzēta</w:t>
            </w:r>
            <w:r w:rsidR="00666413">
              <w:rPr>
                <w:rFonts w:ascii="Times New Roman" w:hAnsi="Times New Roman"/>
                <w:sz w:val="24"/>
                <w:szCs w:val="24"/>
              </w:rPr>
              <w:t xml:space="preserve"> būtiska</w:t>
            </w:r>
            <w:r w:rsidRPr="00810942">
              <w:rPr>
                <w:rFonts w:ascii="Times New Roman" w:hAnsi="Times New Roman"/>
                <w:sz w:val="24"/>
                <w:szCs w:val="24"/>
              </w:rPr>
              <w:t xml:space="preserve"> noteikumu projektā iekļauto nosacījumu ietekme uz administratīvajām izmaksām (naudas izteiksmē).</w:t>
            </w:r>
          </w:p>
        </w:tc>
      </w:tr>
      <w:tr w:rsidR="00F122F9" w:rsidRPr="00F122F9" w14:paraId="09480A27" w14:textId="77777777" w:rsidTr="00F122F9">
        <w:trPr>
          <w:trHeight w:val="345"/>
          <w:jc w:val="center"/>
        </w:trPr>
        <w:tc>
          <w:tcPr>
            <w:tcW w:w="250" w:type="pct"/>
          </w:tcPr>
          <w:p w14:paraId="38B8059D"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14:paraId="06BC26A4"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823" w:type="pct"/>
          </w:tcPr>
          <w:p w14:paraId="7B230371" w14:textId="77777777" w:rsidR="00CB4AAB" w:rsidRPr="00810942" w:rsidRDefault="008B1B3F" w:rsidP="00B63F0E">
            <w:pPr>
              <w:pStyle w:val="BodyTextIndent2"/>
              <w:spacing w:before="60" w:after="60" w:line="240" w:lineRule="auto"/>
              <w:ind w:left="0" w:firstLine="113"/>
              <w:jc w:val="both"/>
            </w:pPr>
            <w:r w:rsidRPr="00810942">
              <w:t>Nav</w:t>
            </w:r>
          </w:p>
        </w:tc>
      </w:tr>
    </w:tbl>
    <w:p w14:paraId="2BBA36A3" w14:textId="77777777" w:rsidR="00F07CD0" w:rsidRPr="00F122F9" w:rsidRDefault="00F07CD0" w:rsidP="005E117D">
      <w:pPr>
        <w:shd w:val="clear" w:color="auto" w:fill="FFFFFF"/>
        <w:spacing w:after="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82"/>
        <w:gridCol w:w="2637"/>
        <w:gridCol w:w="6520"/>
      </w:tblGrid>
      <w:tr w:rsidR="00F122F9" w:rsidRPr="00F122F9" w14:paraId="16D1D74F" w14:textId="77777777" w:rsidTr="005E117D">
        <w:trPr>
          <w:trHeight w:val="420"/>
          <w:jc w:val="center"/>
        </w:trPr>
        <w:tc>
          <w:tcPr>
            <w:tcW w:w="0" w:type="auto"/>
            <w:gridSpan w:val="3"/>
            <w:vAlign w:val="center"/>
          </w:tcPr>
          <w:p w14:paraId="21CED519" w14:textId="51FB7160" w:rsidR="00CB4AAB" w:rsidRPr="00810942" w:rsidRDefault="008B1B3F" w:rsidP="00B63F0E">
            <w:pPr>
              <w:pStyle w:val="tvhtml"/>
              <w:spacing w:before="60" w:beforeAutospacing="0" w:after="60" w:afterAutospacing="0"/>
              <w:jc w:val="center"/>
              <w:rPr>
                <w:b/>
                <w:bCs/>
              </w:rPr>
            </w:pPr>
            <w:r w:rsidRPr="00810942">
              <w:rPr>
                <w:b/>
                <w:bCs/>
              </w:rPr>
              <w:t>VI. Sabiedrības līdzdalība un komunikācijas aktivitātes</w:t>
            </w:r>
          </w:p>
        </w:tc>
      </w:tr>
      <w:tr w:rsidR="00F122F9" w:rsidRPr="00F122F9" w14:paraId="1A8A9FE5" w14:textId="77777777" w:rsidTr="00F122F9">
        <w:trPr>
          <w:trHeight w:val="540"/>
          <w:jc w:val="center"/>
        </w:trPr>
        <w:tc>
          <w:tcPr>
            <w:tcW w:w="250" w:type="pct"/>
          </w:tcPr>
          <w:p w14:paraId="0B3DA029" w14:textId="77777777" w:rsidR="00CB4AAB" w:rsidRPr="00F122F9" w:rsidRDefault="00CB4AAB" w:rsidP="00B63F0E">
            <w:pPr>
              <w:spacing w:before="60" w:after="60"/>
              <w:rPr>
                <w:rFonts w:ascii="Times New Roman" w:hAnsi="Times New Roman"/>
              </w:rPr>
            </w:pPr>
            <w:r w:rsidRPr="00F122F9">
              <w:rPr>
                <w:rFonts w:ascii="Times New Roman" w:hAnsi="Times New Roman"/>
              </w:rPr>
              <w:lastRenderedPageBreak/>
              <w:t>1.</w:t>
            </w:r>
          </w:p>
        </w:tc>
        <w:tc>
          <w:tcPr>
            <w:tcW w:w="1368" w:type="pct"/>
          </w:tcPr>
          <w:p w14:paraId="5635E9AF" w14:textId="77777777" w:rsidR="00CB4AAB"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Plānotās sabiedrības līdzdalības un komunikācijas aktivitātes saistībā ar projektu</w:t>
            </w:r>
          </w:p>
        </w:tc>
        <w:tc>
          <w:tcPr>
            <w:tcW w:w="3382" w:type="pct"/>
          </w:tcPr>
          <w:p w14:paraId="6D52BF87" w14:textId="345AD834" w:rsidR="00CB4AAB" w:rsidRPr="00F122F9" w:rsidRDefault="002C68A0" w:rsidP="006817ED">
            <w:pPr>
              <w:pStyle w:val="naiskr"/>
              <w:spacing w:before="60" w:after="60"/>
              <w:jc w:val="both"/>
              <w:rPr>
                <w:sz w:val="22"/>
                <w:szCs w:val="22"/>
              </w:rPr>
            </w:pPr>
            <w:r w:rsidRPr="00F42059">
              <w:t>Saskaņā ar Ministru kabineta 2009.</w:t>
            </w:r>
            <w:r w:rsidR="00B3434A">
              <w:t> </w:t>
            </w:r>
            <w:r w:rsidRPr="00F42059">
              <w:t>gada 25.</w:t>
            </w:r>
            <w:r w:rsidR="00B3434A">
              <w:t> </w:t>
            </w:r>
            <w:r w:rsidRPr="00F42059">
              <w:t>augusta noteikumu Nr.</w:t>
            </w:r>
            <w:r w:rsidR="00B3434A">
              <w:t> </w:t>
            </w:r>
            <w:r w:rsidRPr="00F42059">
              <w:t>970 „Sabiedrības līdzdalības kārtība attīstības plānošanas procesā” 7.4.</w:t>
            </w:r>
            <w:r w:rsidRPr="00F42059">
              <w:rPr>
                <w:vertAlign w:val="superscript"/>
              </w:rPr>
              <w:t>1</w:t>
            </w:r>
            <w:r w:rsidR="00B3434A">
              <w:rPr>
                <w:vertAlign w:val="superscript"/>
              </w:rPr>
              <w:t> </w:t>
            </w:r>
            <w:r w:rsidRPr="00F42059">
              <w:t xml:space="preserve">apakšpunktu sabiedrības pārstāvji ir aicināti līdzdarboties, rakstiski </w:t>
            </w:r>
            <w:r>
              <w:t xml:space="preserve">sniedzot viedokli par </w:t>
            </w:r>
            <w:r w:rsidR="006817ED">
              <w:t xml:space="preserve">noteikumu </w:t>
            </w:r>
            <w:r w:rsidRPr="00F42059">
              <w:t>projektu tā izstrādes stadijā. Sabiedrības pārstāvji ir informēti par iespēju līdzdarboties, publicējot paziņoju</w:t>
            </w:r>
            <w:r>
              <w:t>mu par līdzdalības procesu V</w:t>
            </w:r>
            <w:r w:rsidR="002C5FC4">
              <w:t>ARAM</w:t>
            </w:r>
            <w:r w:rsidRPr="00F42059">
              <w:t xml:space="preserve"> tīmekļa vietnē.</w:t>
            </w:r>
          </w:p>
        </w:tc>
      </w:tr>
      <w:tr w:rsidR="002C68A0" w:rsidRPr="00F122F9" w14:paraId="75A9AB73" w14:textId="77777777" w:rsidTr="00F122F9">
        <w:trPr>
          <w:trHeight w:val="330"/>
          <w:jc w:val="center"/>
        </w:trPr>
        <w:tc>
          <w:tcPr>
            <w:tcW w:w="250" w:type="pct"/>
          </w:tcPr>
          <w:p w14:paraId="5324E5CA" w14:textId="77777777" w:rsidR="002C68A0" w:rsidRPr="00F122F9" w:rsidRDefault="002C68A0" w:rsidP="00B63F0E">
            <w:pPr>
              <w:spacing w:before="60" w:after="60"/>
              <w:rPr>
                <w:rFonts w:ascii="Times New Roman" w:hAnsi="Times New Roman"/>
              </w:rPr>
            </w:pPr>
            <w:r w:rsidRPr="00F122F9">
              <w:rPr>
                <w:rFonts w:ascii="Times New Roman" w:hAnsi="Times New Roman"/>
              </w:rPr>
              <w:t>2.</w:t>
            </w:r>
          </w:p>
        </w:tc>
        <w:tc>
          <w:tcPr>
            <w:tcW w:w="1368" w:type="pct"/>
          </w:tcPr>
          <w:p w14:paraId="499048CE" w14:textId="77777777" w:rsidR="002C68A0"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Sabiedrības līdzdalība projekta izstrādē</w:t>
            </w:r>
          </w:p>
        </w:tc>
        <w:tc>
          <w:tcPr>
            <w:tcW w:w="3382" w:type="pct"/>
          </w:tcPr>
          <w:p w14:paraId="3F45D92F" w14:textId="16C0B987" w:rsidR="002C68A0" w:rsidRPr="00B501CB" w:rsidRDefault="00470F41" w:rsidP="003F4806">
            <w:pPr>
              <w:spacing w:before="60" w:after="60"/>
              <w:rPr>
                <w:rFonts w:ascii="Times New Roman" w:hAnsi="Times New Roman"/>
              </w:rPr>
            </w:pPr>
            <w:r>
              <w:rPr>
                <w:rFonts w:ascii="Times New Roman" w:hAnsi="Times New Roman"/>
                <w:sz w:val="24"/>
                <w:szCs w:val="24"/>
              </w:rPr>
              <w:t xml:space="preserve">Noteikumu </w:t>
            </w:r>
            <w:r w:rsidR="002C68A0" w:rsidRPr="003F4806">
              <w:rPr>
                <w:rFonts w:ascii="Times New Roman" w:hAnsi="Times New Roman"/>
                <w:sz w:val="24"/>
                <w:szCs w:val="24"/>
              </w:rPr>
              <w:t>projekts publicēts V</w:t>
            </w:r>
            <w:r w:rsidR="002C5FC4" w:rsidRPr="003F4806">
              <w:rPr>
                <w:rFonts w:ascii="Times New Roman" w:hAnsi="Times New Roman"/>
                <w:sz w:val="24"/>
                <w:szCs w:val="24"/>
              </w:rPr>
              <w:t>ARAM</w:t>
            </w:r>
            <w:r w:rsidR="000F0DF8">
              <w:rPr>
                <w:rFonts w:ascii="Times New Roman" w:hAnsi="Times New Roman"/>
                <w:sz w:val="24"/>
                <w:szCs w:val="24"/>
              </w:rPr>
              <w:t xml:space="preserve"> </w:t>
            </w:r>
            <w:r w:rsidR="002C68A0" w:rsidRPr="003F4806">
              <w:rPr>
                <w:rFonts w:ascii="Times New Roman" w:hAnsi="Times New Roman"/>
                <w:sz w:val="24"/>
                <w:szCs w:val="24"/>
              </w:rPr>
              <w:t xml:space="preserve">tīmekļa vietnē </w:t>
            </w:r>
            <w:r w:rsidR="002C68A0" w:rsidRPr="00810942">
              <w:rPr>
                <w:rFonts w:ascii="Times New Roman" w:hAnsi="Times New Roman"/>
                <w:sz w:val="24"/>
                <w:szCs w:val="24"/>
              </w:rPr>
              <w:t>2016.</w:t>
            </w:r>
            <w:r w:rsidR="002C5FC4" w:rsidRPr="00810942">
              <w:rPr>
                <w:rFonts w:ascii="Times New Roman" w:hAnsi="Times New Roman"/>
                <w:sz w:val="24"/>
                <w:szCs w:val="24"/>
              </w:rPr>
              <w:t> </w:t>
            </w:r>
            <w:r w:rsidR="002C68A0" w:rsidRPr="00810942">
              <w:rPr>
                <w:rFonts w:ascii="Times New Roman" w:hAnsi="Times New Roman"/>
                <w:sz w:val="24"/>
                <w:szCs w:val="24"/>
              </w:rPr>
              <w:t>gada </w:t>
            </w:r>
            <w:r w:rsidR="003F4806" w:rsidRPr="00810942">
              <w:rPr>
                <w:rFonts w:ascii="Times New Roman" w:hAnsi="Times New Roman"/>
                <w:sz w:val="24"/>
                <w:szCs w:val="24"/>
              </w:rPr>
              <w:t>29</w:t>
            </w:r>
            <w:r w:rsidR="002C68A0" w:rsidRPr="00810942">
              <w:rPr>
                <w:rFonts w:ascii="Times New Roman" w:hAnsi="Times New Roman"/>
                <w:sz w:val="24"/>
                <w:szCs w:val="24"/>
              </w:rPr>
              <w:t>.</w:t>
            </w:r>
            <w:r w:rsidR="00EC321F" w:rsidRPr="00810942">
              <w:rPr>
                <w:rFonts w:ascii="Times New Roman" w:hAnsi="Times New Roman"/>
                <w:sz w:val="24"/>
                <w:szCs w:val="24"/>
              </w:rPr>
              <w:t>septembrī</w:t>
            </w:r>
            <w:r w:rsidR="002C68A0" w:rsidRPr="00810942">
              <w:rPr>
                <w:rFonts w:ascii="Times New Roman" w:hAnsi="Times New Roman"/>
                <w:sz w:val="24"/>
                <w:szCs w:val="24"/>
              </w:rPr>
              <w:t>.</w:t>
            </w:r>
          </w:p>
        </w:tc>
      </w:tr>
      <w:tr w:rsidR="002C68A0" w:rsidRPr="00F122F9" w14:paraId="0AF6486A" w14:textId="77777777" w:rsidTr="00F122F9">
        <w:trPr>
          <w:trHeight w:val="465"/>
          <w:jc w:val="center"/>
        </w:trPr>
        <w:tc>
          <w:tcPr>
            <w:tcW w:w="250" w:type="pct"/>
          </w:tcPr>
          <w:p w14:paraId="092350A5" w14:textId="77777777" w:rsidR="002C68A0" w:rsidRPr="00F122F9" w:rsidRDefault="002C68A0" w:rsidP="00B63F0E">
            <w:pPr>
              <w:spacing w:before="60" w:after="60"/>
              <w:rPr>
                <w:rFonts w:ascii="Times New Roman" w:hAnsi="Times New Roman"/>
              </w:rPr>
            </w:pPr>
            <w:r w:rsidRPr="00F122F9">
              <w:rPr>
                <w:rFonts w:ascii="Times New Roman" w:hAnsi="Times New Roman"/>
              </w:rPr>
              <w:t>3.</w:t>
            </w:r>
          </w:p>
        </w:tc>
        <w:tc>
          <w:tcPr>
            <w:tcW w:w="1368" w:type="pct"/>
          </w:tcPr>
          <w:p w14:paraId="2AD972C7" w14:textId="77777777" w:rsidR="002C68A0"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Sabiedrības līdzdalības rezultāti</w:t>
            </w:r>
          </w:p>
        </w:tc>
        <w:tc>
          <w:tcPr>
            <w:tcW w:w="3382" w:type="pct"/>
          </w:tcPr>
          <w:p w14:paraId="731515E8" w14:textId="6F25787A" w:rsidR="002C68A0" w:rsidRPr="00B501CB" w:rsidRDefault="00220E71" w:rsidP="00B63F0E">
            <w:pPr>
              <w:spacing w:before="60" w:after="60"/>
              <w:rPr>
                <w:rFonts w:ascii="Times New Roman" w:hAnsi="Times New Roman"/>
              </w:rPr>
            </w:pPr>
            <w:r w:rsidRPr="00220E71">
              <w:rPr>
                <w:rFonts w:ascii="Times New Roman" w:hAnsi="Times New Roman"/>
                <w:sz w:val="24"/>
                <w:szCs w:val="24"/>
              </w:rPr>
              <w:t>Pēc noteikumu projekta ievietošanas tīmekļa vietnē netika saņemti priekšlikumi</w:t>
            </w:r>
            <w:r>
              <w:rPr>
                <w:rFonts w:ascii="Times New Roman" w:hAnsi="Times New Roman"/>
                <w:sz w:val="24"/>
                <w:szCs w:val="24"/>
              </w:rPr>
              <w:t xml:space="preserve"> vai iebildumi</w:t>
            </w:r>
            <w:r w:rsidRPr="00220E71">
              <w:rPr>
                <w:rFonts w:ascii="Times New Roman" w:hAnsi="Times New Roman"/>
                <w:sz w:val="24"/>
                <w:szCs w:val="24"/>
              </w:rPr>
              <w:t xml:space="preserve"> par noteikumu projektu.</w:t>
            </w:r>
          </w:p>
        </w:tc>
      </w:tr>
      <w:tr w:rsidR="00F122F9" w:rsidRPr="00F122F9" w14:paraId="3B57F1F7" w14:textId="77777777" w:rsidTr="00F122F9">
        <w:trPr>
          <w:trHeight w:val="465"/>
          <w:jc w:val="center"/>
        </w:trPr>
        <w:tc>
          <w:tcPr>
            <w:tcW w:w="250" w:type="pct"/>
          </w:tcPr>
          <w:p w14:paraId="2544C9F9" w14:textId="77777777" w:rsidR="00CB4AAB" w:rsidRPr="00F122F9" w:rsidRDefault="00CB4AAB" w:rsidP="00B63F0E">
            <w:pPr>
              <w:spacing w:before="60" w:after="60"/>
              <w:rPr>
                <w:rFonts w:ascii="Times New Roman" w:hAnsi="Times New Roman"/>
              </w:rPr>
            </w:pPr>
            <w:r w:rsidRPr="00F122F9">
              <w:rPr>
                <w:rFonts w:ascii="Times New Roman" w:hAnsi="Times New Roman"/>
              </w:rPr>
              <w:t>4.</w:t>
            </w:r>
          </w:p>
        </w:tc>
        <w:tc>
          <w:tcPr>
            <w:tcW w:w="1368" w:type="pct"/>
          </w:tcPr>
          <w:p w14:paraId="5B052986" w14:textId="77777777" w:rsidR="00CB4AAB"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Cita informācija</w:t>
            </w:r>
          </w:p>
        </w:tc>
        <w:tc>
          <w:tcPr>
            <w:tcW w:w="3382" w:type="pct"/>
          </w:tcPr>
          <w:p w14:paraId="7016F23D" w14:textId="77777777" w:rsidR="00CB4AAB" w:rsidRPr="00810942" w:rsidRDefault="008B1B3F" w:rsidP="00B63F0E">
            <w:pPr>
              <w:pStyle w:val="tvhtml"/>
              <w:spacing w:before="60" w:beforeAutospacing="0" w:after="60" w:afterAutospacing="0"/>
            </w:pPr>
            <w:r w:rsidRPr="00810942">
              <w:t>Nav</w:t>
            </w:r>
          </w:p>
        </w:tc>
      </w:tr>
    </w:tbl>
    <w:p w14:paraId="37EA6879" w14:textId="77777777" w:rsidR="00CB4AAB" w:rsidRPr="00F122F9" w:rsidRDefault="00CB4AAB" w:rsidP="00E01818">
      <w:pPr>
        <w:shd w:val="clear" w:color="auto" w:fill="FFFFFF"/>
        <w:spacing w:after="0"/>
        <w:ind w:firstLine="335"/>
        <w:jc w:val="left"/>
        <w:rPr>
          <w:rFonts w:ascii="Times New Roman" w:hAnsi="Times New Roman"/>
          <w:sz w:val="24"/>
          <w:szCs w:val="24"/>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82"/>
        <w:gridCol w:w="2070"/>
        <w:gridCol w:w="7087"/>
      </w:tblGrid>
      <w:tr w:rsidR="00F122F9" w:rsidRPr="00F122F9" w14:paraId="1ACA6E92" w14:textId="77777777" w:rsidTr="005E117D">
        <w:trPr>
          <w:trHeight w:val="375"/>
          <w:jc w:val="center"/>
        </w:trPr>
        <w:tc>
          <w:tcPr>
            <w:tcW w:w="0" w:type="auto"/>
            <w:gridSpan w:val="3"/>
            <w:vAlign w:val="center"/>
          </w:tcPr>
          <w:p w14:paraId="36B6B855" w14:textId="36394EEC" w:rsidR="00CB4AAB" w:rsidRPr="00810942" w:rsidRDefault="008B1B3F" w:rsidP="00B63F0E">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VII. Tiesību akta projekta izpildes nodrošināšana un tās ietekme uz institūcijām</w:t>
            </w:r>
          </w:p>
        </w:tc>
      </w:tr>
      <w:tr w:rsidR="00F122F9" w:rsidRPr="00F122F9" w14:paraId="3C570F89" w14:textId="77777777" w:rsidTr="00F122F9">
        <w:trPr>
          <w:trHeight w:val="420"/>
          <w:jc w:val="center"/>
        </w:trPr>
        <w:tc>
          <w:tcPr>
            <w:tcW w:w="250" w:type="pct"/>
          </w:tcPr>
          <w:p w14:paraId="63009AC6"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1074" w:type="pct"/>
          </w:tcPr>
          <w:p w14:paraId="293E7F90"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izpildē iesaistītās institūcijas</w:t>
            </w:r>
          </w:p>
        </w:tc>
        <w:tc>
          <w:tcPr>
            <w:tcW w:w="3676" w:type="pct"/>
          </w:tcPr>
          <w:p w14:paraId="57E30C2D" w14:textId="7D692D2B" w:rsidR="002C68A0" w:rsidRPr="00810942" w:rsidRDefault="008B1B3F" w:rsidP="004134E1">
            <w:pPr>
              <w:pStyle w:val="naisnod"/>
              <w:spacing w:before="40" w:after="40"/>
              <w:jc w:val="both"/>
              <w:rPr>
                <w:b w:val="0"/>
              </w:rPr>
            </w:pPr>
            <w:r w:rsidRPr="003F4806">
              <w:rPr>
                <w:b w:val="0"/>
                <w:bCs w:val="0"/>
              </w:rPr>
              <w:t>VARAM, VVD</w:t>
            </w:r>
          </w:p>
        </w:tc>
      </w:tr>
      <w:tr w:rsidR="00F122F9" w:rsidRPr="00F122F9" w14:paraId="7D0B20E2" w14:textId="77777777" w:rsidTr="00F122F9">
        <w:trPr>
          <w:trHeight w:val="450"/>
          <w:jc w:val="center"/>
        </w:trPr>
        <w:tc>
          <w:tcPr>
            <w:tcW w:w="250" w:type="pct"/>
          </w:tcPr>
          <w:p w14:paraId="72FBD7E7"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1074" w:type="pct"/>
          </w:tcPr>
          <w:p w14:paraId="4296B0A7"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izpildes ietekme uz pārvaldes funkcijām un institucionālo struktūru.</w:t>
            </w:r>
          </w:p>
          <w:p w14:paraId="2A03DAB3"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Jaunu institūciju izveide, esošu institūciju likvidācija vai reorganizācija, to ietekme uz institūcijas cilvēkresursiem</w:t>
            </w:r>
          </w:p>
        </w:tc>
        <w:tc>
          <w:tcPr>
            <w:tcW w:w="3676" w:type="pct"/>
          </w:tcPr>
          <w:p w14:paraId="70E9CB4F" w14:textId="77777777" w:rsidR="00C23BC0" w:rsidRPr="00810942" w:rsidRDefault="008B1B3F" w:rsidP="00B63F0E">
            <w:pPr>
              <w:spacing w:before="60" w:after="60"/>
              <w:rPr>
                <w:rFonts w:ascii="Times New Roman" w:hAnsi="Times New Roman"/>
                <w:sz w:val="24"/>
                <w:szCs w:val="24"/>
              </w:rPr>
            </w:pPr>
            <w:r w:rsidRPr="00810942">
              <w:rPr>
                <w:rFonts w:ascii="Times New Roman" w:hAnsi="Times New Roman"/>
                <w:sz w:val="24"/>
                <w:szCs w:val="24"/>
              </w:rPr>
              <w:t>Noteikumu projektā iekļautie nosacījumi var radīt ietekmi uz pārvaldes funkcijām, tomēr tas neietekmēs institucionālo sistēmu.</w:t>
            </w:r>
          </w:p>
          <w:p w14:paraId="54297E13" w14:textId="06064573" w:rsidR="00CB4AAB" w:rsidRDefault="008B1B3F" w:rsidP="00B63F0E">
            <w:pPr>
              <w:spacing w:before="60" w:after="60"/>
              <w:rPr>
                <w:rFonts w:ascii="Times New Roman" w:hAnsi="Times New Roman"/>
                <w:sz w:val="24"/>
                <w:szCs w:val="24"/>
              </w:rPr>
            </w:pPr>
            <w:r w:rsidRPr="00810942">
              <w:rPr>
                <w:rFonts w:ascii="Times New Roman" w:hAnsi="Times New Roman"/>
                <w:sz w:val="24"/>
                <w:szCs w:val="24"/>
              </w:rPr>
              <w:t>Noteikumu projektā iekļauto nosacījumu izpildei nav nepieciešams veidot jaunas institūcijas, likvidēt vai reorganizēt esošās institūcijas.</w:t>
            </w:r>
            <w:r w:rsidR="005F305E">
              <w:rPr>
                <w:rFonts w:ascii="Times New Roman" w:hAnsi="Times New Roman"/>
                <w:sz w:val="24"/>
                <w:szCs w:val="24"/>
              </w:rPr>
              <w:t xml:space="preserve"> </w:t>
            </w:r>
          </w:p>
          <w:p w14:paraId="4F33CC7F" w14:textId="77C01942" w:rsidR="00B841AC" w:rsidRPr="00810942" w:rsidRDefault="00B841AC" w:rsidP="00B63F0E">
            <w:pPr>
              <w:spacing w:before="60" w:after="60"/>
              <w:rPr>
                <w:rFonts w:ascii="Times New Roman" w:hAnsi="Times New Roman"/>
                <w:sz w:val="24"/>
                <w:szCs w:val="24"/>
              </w:rPr>
            </w:pPr>
            <w:r>
              <w:rPr>
                <w:rFonts w:ascii="Times New Roman" w:hAnsi="Times New Roman"/>
                <w:sz w:val="24"/>
                <w:szCs w:val="24"/>
              </w:rPr>
              <w:t>Noteikumu projektā iekļauto nosacījumu izpilde neatstās ietekmi uz cilvēkresursiem.</w:t>
            </w:r>
          </w:p>
          <w:p w14:paraId="56D679CA" w14:textId="77777777" w:rsidR="00C34B19" w:rsidRPr="00810942" w:rsidRDefault="008B1B3F" w:rsidP="006817ED">
            <w:pPr>
              <w:spacing w:before="60" w:after="60"/>
              <w:rPr>
                <w:rFonts w:ascii="Times New Roman" w:hAnsi="Times New Roman"/>
                <w:sz w:val="24"/>
                <w:szCs w:val="24"/>
              </w:rPr>
            </w:pPr>
            <w:r w:rsidRPr="00810942">
              <w:rPr>
                <w:rFonts w:ascii="Times New Roman" w:hAnsi="Times New Roman"/>
                <w:sz w:val="24"/>
                <w:szCs w:val="24"/>
              </w:rPr>
              <w:t xml:space="preserve">Noteikumu projekta izpildē iesaistītās institūcijas noteikumu projektā iekļautos pasākumu nodrošinās piešķirto valsts budžeta līdzekļu ietvaros. </w:t>
            </w:r>
          </w:p>
        </w:tc>
      </w:tr>
      <w:tr w:rsidR="00F122F9" w:rsidRPr="00F122F9" w14:paraId="7597577B" w14:textId="77777777" w:rsidTr="00F122F9">
        <w:trPr>
          <w:trHeight w:val="390"/>
          <w:jc w:val="center"/>
        </w:trPr>
        <w:tc>
          <w:tcPr>
            <w:tcW w:w="250" w:type="pct"/>
          </w:tcPr>
          <w:p w14:paraId="2EF96A86" w14:textId="77777777"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1074" w:type="pct"/>
          </w:tcPr>
          <w:p w14:paraId="31786A3A"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676" w:type="pct"/>
          </w:tcPr>
          <w:p w14:paraId="738FFAD9" w14:textId="77777777" w:rsidR="00CB4AAB" w:rsidRPr="00810942" w:rsidRDefault="008B1B3F" w:rsidP="00B63F0E">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Nav</w:t>
            </w:r>
          </w:p>
        </w:tc>
      </w:tr>
    </w:tbl>
    <w:p w14:paraId="4A04053D" w14:textId="77777777" w:rsidR="00F122F9" w:rsidRDefault="00F122F9" w:rsidP="00E57372">
      <w:pPr>
        <w:shd w:val="clear" w:color="auto" w:fill="FFFFFF"/>
        <w:spacing w:after="0"/>
        <w:rPr>
          <w:rFonts w:ascii="Times New Roman" w:hAnsi="Times New Roman"/>
          <w:sz w:val="20"/>
          <w:szCs w:val="20"/>
        </w:rPr>
      </w:pPr>
    </w:p>
    <w:p w14:paraId="1749E33C" w14:textId="77777777" w:rsidR="00EC321F" w:rsidRDefault="00EC321F" w:rsidP="00E57372">
      <w:pPr>
        <w:shd w:val="clear" w:color="auto" w:fill="FFFFFF"/>
        <w:spacing w:after="0"/>
        <w:rPr>
          <w:rFonts w:ascii="Times New Roman" w:hAnsi="Times New Roman"/>
          <w:sz w:val="20"/>
          <w:szCs w:val="20"/>
        </w:rPr>
      </w:pPr>
    </w:p>
    <w:p w14:paraId="089F21C2" w14:textId="77777777" w:rsidR="00EC321F" w:rsidRPr="00EC321F" w:rsidRDefault="00EC321F" w:rsidP="00EC321F">
      <w:pPr>
        <w:shd w:val="clear" w:color="auto" w:fill="FFFFFF"/>
        <w:spacing w:after="0"/>
        <w:jc w:val="center"/>
        <w:rPr>
          <w:rFonts w:ascii="Times New Roman" w:hAnsi="Times New Roman"/>
          <w:b/>
          <w:sz w:val="24"/>
          <w:szCs w:val="24"/>
        </w:rPr>
      </w:pPr>
      <w:r w:rsidRPr="00EC321F">
        <w:rPr>
          <w:rFonts w:ascii="Times New Roman" w:hAnsi="Times New Roman"/>
          <w:b/>
          <w:sz w:val="24"/>
          <w:szCs w:val="24"/>
        </w:rPr>
        <w:t>Anotācijas III, IV un V sadaļa - Projekts šo jomu neskar.</w:t>
      </w:r>
    </w:p>
    <w:p w14:paraId="5BDEC25A" w14:textId="77777777" w:rsidR="004C1C0E" w:rsidRDefault="004C1C0E" w:rsidP="00E57372">
      <w:pPr>
        <w:shd w:val="clear" w:color="auto" w:fill="FFFFFF"/>
        <w:spacing w:after="0"/>
        <w:rPr>
          <w:rFonts w:ascii="Times New Roman" w:hAnsi="Times New Roman"/>
          <w:sz w:val="20"/>
          <w:szCs w:val="20"/>
        </w:rPr>
      </w:pPr>
    </w:p>
    <w:p w14:paraId="0BD2DD5A" w14:textId="77777777" w:rsidR="004C1C0E" w:rsidRPr="001F16CF" w:rsidRDefault="004C1C0E" w:rsidP="00E57372">
      <w:pPr>
        <w:shd w:val="clear" w:color="auto" w:fill="FFFFFF"/>
        <w:spacing w:after="0"/>
        <w:rPr>
          <w:rFonts w:ascii="Times New Roman" w:hAnsi="Times New Roman"/>
          <w:sz w:val="24"/>
          <w:szCs w:val="24"/>
        </w:rPr>
      </w:pPr>
    </w:p>
    <w:p w14:paraId="33827354" w14:textId="77777777" w:rsidR="002B3A6D" w:rsidRPr="002B3A6D" w:rsidRDefault="002B3A6D" w:rsidP="002B3A6D">
      <w:pPr>
        <w:rPr>
          <w:rFonts w:ascii="Times New Roman" w:hAnsi="Times New Roman"/>
          <w:sz w:val="24"/>
          <w:szCs w:val="24"/>
        </w:rPr>
      </w:pPr>
      <w:r w:rsidRPr="002B3A6D">
        <w:rPr>
          <w:rFonts w:ascii="Times New Roman" w:hAnsi="Times New Roman"/>
          <w:sz w:val="24"/>
          <w:szCs w:val="24"/>
        </w:rPr>
        <w:t>Vides aizsardzības un reģionālās</w:t>
      </w:r>
    </w:p>
    <w:p w14:paraId="2E8F28BF" w14:textId="77777777" w:rsidR="002B3A6D" w:rsidRPr="002B3A6D" w:rsidRDefault="002B3A6D" w:rsidP="002B3A6D">
      <w:pPr>
        <w:rPr>
          <w:rFonts w:ascii="Times New Roman" w:hAnsi="Times New Roman"/>
          <w:sz w:val="24"/>
          <w:szCs w:val="24"/>
        </w:rPr>
      </w:pPr>
      <w:r w:rsidRPr="002B3A6D">
        <w:rPr>
          <w:rFonts w:ascii="Times New Roman" w:hAnsi="Times New Roman"/>
          <w:sz w:val="24"/>
          <w:szCs w:val="24"/>
        </w:rPr>
        <w:t>attīstības ministrs</w:t>
      </w:r>
      <w:r w:rsidRPr="002B3A6D">
        <w:rPr>
          <w:rFonts w:ascii="Times New Roman" w:hAnsi="Times New Roman"/>
          <w:sz w:val="24"/>
          <w:szCs w:val="24"/>
        </w:rPr>
        <w:tab/>
      </w:r>
      <w:r w:rsidRPr="002B3A6D">
        <w:rPr>
          <w:rFonts w:ascii="Times New Roman" w:hAnsi="Times New Roman"/>
          <w:sz w:val="24"/>
          <w:szCs w:val="24"/>
        </w:rPr>
        <w:tab/>
      </w:r>
      <w:r w:rsidRPr="002B3A6D">
        <w:rPr>
          <w:rFonts w:ascii="Times New Roman" w:hAnsi="Times New Roman"/>
          <w:sz w:val="24"/>
          <w:szCs w:val="24"/>
        </w:rPr>
        <w:tab/>
      </w:r>
      <w:r w:rsidRPr="002B3A6D">
        <w:rPr>
          <w:rFonts w:ascii="Times New Roman" w:hAnsi="Times New Roman"/>
          <w:sz w:val="24"/>
          <w:szCs w:val="24"/>
        </w:rPr>
        <w:tab/>
      </w:r>
      <w:r w:rsidRPr="002B3A6D">
        <w:rPr>
          <w:rFonts w:ascii="Times New Roman" w:hAnsi="Times New Roman"/>
          <w:sz w:val="24"/>
          <w:szCs w:val="24"/>
        </w:rPr>
        <w:tab/>
      </w:r>
      <w:r w:rsidRPr="002B3A6D">
        <w:rPr>
          <w:rFonts w:ascii="Times New Roman" w:hAnsi="Times New Roman"/>
          <w:sz w:val="24"/>
          <w:szCs w:val="24"/>
        </w:rPr>
        <w:tab/>
      </w:r>
      <w:r w:rsidRPr="002B3A6D">
        <w:rPr>
          <w:rFonts w:ascii="Times New Roman" w:hAnsi="Times New Roman"/>
          <w:sz w:val="24"/>
          <w:szCs w:val="24"/>
        </w:rPr>
        <w:tab/>
        <w:t xml:space="preserve">         K.</w:t>
      </w:r>
      <w:r>
        <w:rPr>
          <w:rFonts w:ascii="Times New Roman" w:hAnsi="Times New Roman"/>
          <w:sz w:val="24"/>
          <w:szCs w:val="24"/>
        </w:rPr>
        <w:t> </w:t>
      </w:r>
      <w:r w:rsidRPr="002B3A6D">
        <w:rPr>
          <w:rFonts w:ascii="Times New Roman" w:hAnsi="Times New Roman"/>
          <w:sz w:val="24"/>
          <w:szCs w:val="24"/>
        </w:rPr>
        <w:t>Gerhards</w:t>
      </w:r>
    </w:p>
    <w:p w14:paraId="346789A5" w14:textId="77777777" w:rsidR="002B3A6D" w:rsidRPr="002B3A6D" w:rsidRDefault="002B3A6D" w:rsidP="002B3A6D">
      <w:pPr>
        <w:tabs>
          <w:tab w:val="left" w:pos="5610"/>
        </w:tabs>
        <w:rPr>
          <w:rFonts w:ascii="Times New Roman" w:hAnsi="Times New Roman"/>
          <w:sz w:val="24"/>
          <w:szCs w:val="24"/>
        </w:rPr>
      </w:pPr>
    </w:p>
    <w:p w14:paraId="57E2A8A1" w14:textId="77777777" w:rsidR="00B52C2E" w:rsidRDefault="00B52C2E" w:rsidP="002B3A6D">
      <w:pPr>
        <w:tabs>
          <w:tab w:val="left" w:pos="5610"/>
        </w:tabs>
        <w:rPr>
          <w:rFonts w:ascii="Times New Roman" w:hAnsi="Times New Roman"/>
          <w:sz w:val="24"/>
          <w:szCs w:val="24"/>
        </w:rPr>
      </w:pPr>
      <w:r>
        <w:rPr>
          <w:rFonts w:ascii="Times New Roman" w:hAnsi="Times New Roman"/>
          <w:sz w:val="24"/>
          <w:szCs w:val="24"/>
        </w:rPr>
        <w:t xml:space="preserve">Vides aizsardzības un reģionālās </w:t>
      </w:r>
    </w:p>
    <w:p w14:paraId="51396279" w14:textId="22D53F67" w:rsidR="000F0DF8" w:rsidRDefault="00B52C2E" w:rsidP="00220E71">
      <w:pPr>
        <w:tabs>
          <w:tab w:val="left" w:pos="5610"/>
        </w:tabs>
        <w:rPr>
          <w:rFonts w:ascii="Times New Roman" w:hAnsi="Times New Roman"/>
          <w:sz w:val="24"/>
          <w:szCs w:val="24"/>
        </w:rPr>
      </w:pPr>
      <w:r>
        <w:rPr>
          <w:rFonts w:ascii="Times New Roman" w:hAnsi="Times New Roman"/>
          <w:sz w:val="24"/>
          <w:szCs w:val="24"/>
        </w:rPr>
        <w:t xml:space="preserve">attīstības ministrijas </w:t>
      </w:r>
      <w:r w:rsidR="002B3A6D" w:rsidRPr="002B3A6D">
        <w:rPr>
          <w:rFonts w:ascii="Times New Roman" w:hAnsi="Times New Roman"/>
          <w:sz w:val="24"/>
          <w:szCs w:val="24"/>
        </w:rPr>
        <w:t>valsts sekretārs</w:t>
      </w:r>
      <w:r w:rsidR="002B3A6D" w:rsidRPr="002B3A6D">
        <w:rPr>
          <w:rFonts w:ascii="Times New Roman" w:hAnsi="Times New Roman"/>
          <w:sz w:val="24"/>
          <w:szCs w:val="24"/>
        </w:rPr>
        <w:tab/>
      </w:r>
      <w:r w:rsidR="002B3A6D" w:rsidRPr="002B3A6D">
        <w:rPr>
          <w:rFonts w:ascii="Times New Roman" w:hAnsi="Times New Roman"/>
          <w:sz w:val="24"/>
          <w:szCs w:val="24"/>
        </w:rPr>
        <w:tab/>
        <w:t xml:space="preserve">         </w:t>
      </w:r>
      <w:r w:rsidR="002B3A6D" w:rsidRPr="002B3A6D">
        <w:rPr>
          <w:rFonts w:ascii="Times New Roman" w:hAnsi="Times New Roman"/>
          <w:sz w:val="24"/>
          <w:szCs w:val="24"/>
        </w:rPr>
        <w:tab/>
      </w:r>
      <w:r w:rsidR="003F4806">
        <w:rPr>
          <w:rFonts w:ascii="Times New Roman" w:hAnsi="Times New Roman"/>
          <w:sz w:val="24"/>
          <w:szCs w:val="24"/>
        </w:rPr>
        <w:tab/>
      </w:r>
      <w:r w:rsidR="002B3A6D" w:rsidRPr="002B3A6D">
        <w:rPr>
          <w:rFonts w:ascii="Times New Roman" w:hAnsi="Times New Roman"/>
          <w:sz w:val="24"/>
          <w:szCs w:val="24"/>
        </w:rPr>
        <w:t>R.</w:t>
      </w:r>
      <w:r w:rsidR="002B3A6D">
        <w:rPr>
          <w:rFonts w:ascii="Times New Roman" w:hAnsi="Times New Roman"/>
          <w:sz w:val="24"/>
          <w:szCs w:val="24"/>
        </w:rPr>
        <w:t> </w:t>
      </w:r>
      <w:r w:rsidR="002B3A6D" w:rsidRPr="002B3A6D">
        <w:rPr>
          <w:rFonts w:ascii="Times New Roman" w:hAnsi="Times New Roman"/>
          <w:sz w:val="24"/>
          <w:szCs w:val="24"/>
        </w:rPr>
        <w:t>Muciņš</w:t>
      </w:r>
    </w:p>
    <w:p w14:paraId="21839A4B" w14:textId="77777777" w:rsidR="000F0DF8" w:rsidRDefault="000F0DF8" w:rsidP="00590493">
      <w:pPr>
        <w:shd w:val="clear" w:color="auto" w:fill="FFFFFF"/>
        <w:tabs>
          <w:tab w:val="left" w:pos="7230"/>
        </w:tabs>
        <w:spacing w:after="0"/>
        <w:rPr>
          <w:rFonts w:ascii="Times New Roman" w:hAnsi="Times New Roman"/>
          <w:sz w:val="24"/>
          <w:szCs w:val="24"/>
        </w:rPr>
      </w:pPr>
    </w:p>
    <w:p w14:paraId="6AA8E5E9" w14:textId="0B8BCD1F" w:rsidR="00B52C2E" w:rsidRDefault="00C86B40" w:rsidP="00C86B40">
      <w:pPr>
        <w:shd w:val="clear" w:color="auto" w:fill="FFFFFF"/>
        <w:spacing w:after="0"/>
        <w:rPr>
          <w:rFonts w:ascii="Times New Roman" w:hAnsi="Times New Roman"/>
          <w:color w:val="000000"/>
          <w:sz w:val="20"/>
          <w:szCs w:val="20"/>
        </w:rPr>
      </w:pPr>
      <w:bookmarkStart w:id="1" w:name="piel4"/>
      <w:bookmarkEnd w:id="1"/>
      <w:r w:rsidRPr="00C86B40">
        <w:rPr>
          <w:rFonts w:ascii="Times New Roman" w:hAnsi="Times New Roman"/>
          <w:color w:val="000000"/>
          <w:sz w:val="20"/>
          <w:szCs w:val="20"/>
        </w:rPr>
        <w:t>Rūmnieks</w:t>
      </w:r>
      <w:r w:rsidR="00B52C2E">
        <w:rPr>
          <w:rFonts w:ascii="Times New Roman" w:hAnsi="Times New Roman"/>
          <w:color w:val="000000"/>
          <w:sz w:val="20"/>
          <w:szCs w:val="20"/>
        </w:rPr>
        <w:t xml:space="preserve"> </w:t>
      </w:r>
      <w:r w:rsidRPr="00C86B40">
        <w:rPr>
          <w:rFonts w:ascii="Times New Roman" w:hAnsi="Times New Roman"/>
          <w:color w:val="000000"/>
          <w:sz w:val="20"/>
          <w:szCs w:val="20"/>
        </w:rPr>
        <w:t xml:space="preserve">67026528 </w:t>
      </w:r>
    </w:p>
    <w:p w14:paraId="7C456399" w14:textId="6C891B8B" w:rsidR="00C86B40" w:rsidRPr="00C86B40" w:rsidRDefault="00DA2EAB" w:rsidP="00C86B40">
      <w:pPr>
        <w:shd w:val="clear" w:color="auto" w:fill="FFFFFF"/>
        <w:spacing w:after="0"/>
        <w:rPr>
          <w:rFonts w:ascii="Times New Roman" w:hAnsi="Times New Roman"/>
          <w:color w:val="000000"/>
          <w:sz w:val="20"/>
          <w:szCs w:val="20"/>
        </w:rPr>
      </w:pPr>
      <w:hyperlink r:id="rId8" w:history="1">
        <w:r w:rsidR="00C86B40" w:rsidRPr="00C86B40">
          <w:rPr>
            <w:rStyle w:val="Hyperlink"/>
            <w:rFonts w:ascii="Times New Roman" w:hAnsi="Times New Roman"/>
            <w:sz w:val="20"/>
            <w:szCs w:val="20"/>
          </w:rPr>
          <w:t>Fricis.Rumnieks@varam.gov.lv</w:t>
        </w:r>
      </w:hyperlink>
      <w:r w:rsidR="00C86B40" w:rsidRPr="00C86B40">
        <w:rPr>
          <w:rFonts w:ascii="Times New Roman" w:hAnsi="Times New Roman"/>
          <w:color w:val="000000"/>
          <w:sz w:val="20"/>
          <w:szCs w:val="20"/>
        </w:rPr>
        <w:t xml:space="preserve"> </w:t>
      </w:r>
    </w:p>
    <w:p w14:paraId="777BD361" w14:textId="3ED6FF51" w:rsidR="00B466FC" w:rsidRPr="00797A1A" w:rsidRDefault="00B466FC" w:rsidP="00C86B40">
      <w:pPr>
        <w:shd w:val="clear" w:color="auto" w:fill="FFFFFF"/>
        <w:spacing w:after="0"/>
        <w:rPr>
          <w:sz w:val="18"/>
          <w:szCs w:val="18"/>
        </w:rPr>
      </w:pPr>
    </w:p>
    <w:sectPr w:rsidR="00B466FC" w:rsidRPr="00797A1A" w:rsidSect="008F7F73">
      <w:headerReference w:type="default" r:id="rId9"/>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99BE7" w14:textId="77777777" w:rsidR="00DA2EAB" w:rsidRDefault="00DA2EAB" w:rsidP="004D7C36">
      <w:pPr>
        <w:spacing w:after="0"/>
      </w:pPr>
      <w:r>
        <w:separator/>
      </w:r>
    </w:p>
  </w:endnote>
  <w:endnote w:type="continuationSeparator" w:id="0">
    <w:p w14:paraId="0AC4E9E4" w14:textId="77777777" w:rsidR="00DA2EAB" w:rsidRDefault="00DA2EAB" w:rsidP="004D7C36">
      <w:pPr>
        <w:spacing w:after="0"/>
      </w:pPr>
      <w:r>
        <w:continuationSeparator/>
      </w:r>
    </w:p>
  </w:endnote>
  <w:endnote w:type="continuationNotice" w:id="1">
    <w:p w14:paraId="1D5C85DF" w14:textId="77777777" w:rsidR="00DA2EAB" w:rsidRDefault="00DA2E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4F45" w14:textId="2AF5AC9A" w:rsidR="00DA2EAB" w:rsidRPr="001E413D" w:rsidRDefault="00DA2EAB" w:rsidP="006817ED">
    <w:pPr>
      <w:spacing w:after="0"/>
      <w:rPr>
        <w:rFonts w:ascii="Times New Roman" w:hAnsi="Times New Roman"/>
        <w:sz w:val="18"/>
        <w:szCs w:val="18"/>
      </w:rPr>
    </w:pPr>
    <w:r w:rsidRPr="001E413D">
      <w:rPr>
        <w:rFonts w:ascii="Times New Roman" w:hAnsi="Times New Roman"/>
        <w:sz w:val="18"/>
        <w:szCs w:val="18"/>
      </w:rPr>
      <w:fldChar w:fldCharType="begin"/>
    </w:r>
    <w:r w:rsidRPr="001E413D">
      <w:rPr>
        <w:rFonts w:ascii="Times New Roman" w:hAnsi="Times New Roman"/>
        <w:sz w:val="18"/>
        <w:szCs w:val="18"/>
      </w:rPr>
      <w:instrText xml:space="preserve"> FILENAME   \* MERGEFORMAT </w:instrText>
    </w:r>
    <w:r w:rsidRPr="001E413D">
      <w:rPr>
        <w:rFonts w:ascii="Times New Roman" w:hAnsi="Times New Roman"/>
        <w:sz w:val="18"/>
        <w:szCs w:val="18"/>
      </w:rPr>
      <w:fldChar w:fldCharType="separate"/>
    </w:r>
    <w:r>
      <w:rPr>
        <w:rFonts w:ascii="Times New Roman" w:hAnsi="Times New Roman"/>
        <w:noProof/>
        <w:sz w:val="18"/>
        <w:szCs w:val="18"/>
      </w:rPr>
      <w:t>VARAMAnot_Groz769_13 02 2017</w:t>
    </w:r>
    <w:r w:rsidRPr="001E413D">
      <w:rPr>
        <w:rFonts w:ascii="Times New Roman" w:hAnsi="Times New Roman"/>
        <w:noProof/>
        <w:sz w:val="18"/>
        <w:szCs w:val="18"/>
      </w:rPr>
      <w:fldChar w:fldCharType="end"/>
    </w:r>
    <w:r w:rsidRPr="001E413D">
      <w:rPr>
        <w:rFonts w:ascii="Times New Roman" w:hAnsi="Times New Roman"/>
        <w:sz w:val="18"/>
        <w:szCs w:val="18"/>
      </w:rPr>
      <w:t>; Ministru kabineta noteikumu projekta „Grozījumi Ministru kabineta 2012. gada 13. novembra noteikumos Nr. 769 „Noteikumi par stacionāro tehnoloģisko iekārtu dalību Eiropas Savienības emisijas kvotu tirdzniecības sistēmā””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FDCC" w14:textId="7082D4B2" w:rsidR="00DA2EAB" w:rsidRPr="000F0DF8" w:rsidRDefault="00DA2EAB" w:rsidP="004D7C36">
    <w:pPr>
      <w:spacing w:after="0"/>
      <w:rPr>
        <w:rFonts w:ascii="Times New Roman" w:hAnsi="Times New Roman"/>
        <w:sz w:val="18"/>
        <w:szCs w:val="18"/>
      </w:rPr>
    </w:pPr>
    <w:r w:rsidRPr="000F0DF8">
      <w:rPr>
        <w:rFonts w:ascii="Times New Roman" w:hAnsi="Times New Roman"/>
        <w:sz w:val="18"/>
        <w:szCs w:val="18"/>
      </w:rPr>
      <w:fldChar w:fldCharType="begin"/>
    </w:r>
    <w:r w:rsidRPr="000F0DF8">
      <w:rPr>
        <w:rFonts w:ascii="Times New Roman" w:hAnsi="Times New Roman"/>
        <w:sz w:val="18"/>
        <w:szCs w:val="18"/>
      </w:rPr>
      <w:instrText xml:space="preserve"> FILENAME   \* MERGEFORMAT </w:instrText>
    </w:r>
    <w:r w:rsidRPr="000F0DF8">
      <w:rPr>
        <w:rFonts w:ascii="Times New Roman" w:hAnsi="Times New Roman"/>
        <w:sz w:val="18"/>
        <w:szCs w:val="18"/>
      </w:rPr>
      <w:fldChar w:fldCharType="separate"/>
    </w:r>
    <w:r>
      <w:rPr>
        <w:rFonts w:ascii="Times New Roman" w:hAnsi="Times New Roman"/>
        <w:noProof/>
        <w:sz w:val="18"/>
        <w:szCs w:val="18"/>
      </w:rPr>
      <w:t>VARAMAnot_Groz769_13 02 2017</w:t>
    </w:r>
    <w:r w:rsidRPr="000F0DF8">
      <w:rPr>
        <w:rFonts w:ascii="Times New Roman" w:hAnsi="Times New Roman"/>
        <w:noProof/>
        <w:sz w:val="18"/>
        <w:szCs w:val="18"/>
      </w:rPr>
      <w:fldChar w:fldCharType="end"/>
    </w:r>
    <w:r w:rsidRPr="000F0DF8">
      <w:rPr>
        <w:rFonts w:ascii="Times New Roman" w:hAnsi="Times New Roman"/>
        <w:sz w:val="18"/>
        <w:szCs w:val="18"/>
      </w:rPr>
      <w:t>; Ministru kabineta noteikumu projekta „Grozījumi Ministru kabineta 2012. gada 13. novembra noteikumos Nr. 769 „Noteikumi par stacionāro tehnoloģisko iekārtu dalību Eiropas Savienības emisijas kvotu tirdzniecības sistēmā””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E9196" w14:textId="77777777" w:rsidR="00DA2EAB" w:rsidRDefault="00DA2EAB" w:rsidP="004D7C36">
      <w:pPr>
        <w:spacing w:after="0"/>
      </w:pPr>
      <w:r>
        <w:separator/>
      </w:r>
    </w:p>
  </w:footnote>
  <w:footnote w:type="continuationSeparator" w:id="0">
    <w:p w14:paraId="7BFCC112" w14:textId="77777777" w:rsidR="00DA2EAB" w:rsidRDefault="00DA2EAB" w:rsidP="004D7C36">
      <w:pPr>
        <w:spacing w:after="0"/>
      </w:pPr>
      <w:r>
        <w:continuationSeparator/>
      </w:r>
    </w:p>
  </w:footnote>
  <w:footnote w:type="continuationNotice" w:id="1">
    <w:p w14:paraId="38E00AD6" w14:textId="77777777" w:rsidR="00DA2EAB" w:rsidRDefault="00DA2EA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5FD3" w14:textId="77777777" w:rsidR="00DA2EAB" w:rsidRDefault="00DA2EAB">
    <w:pPr>
      <w:pStyle w:val="Header"/>
      <w:jc w:val="center"/>
    </w:pPr>
    <w:r>
      <w:fldChar w:fldCharType="begin"/>
    </w:r>
    <w:r>
      <w:instrText xml:space="preserve"> PAGE   \* MERGEFORMAT </w:instrText>
    </w:r>
    <w:r>
      <w:fldChar w:fldCharType="separate"/>
    </w:r>
    <w:r w:rsidR="009936CB">
      <w:rPr>
        <w:noProof/>
      </w:rPr>
      <w:t>4</w:t>
    </w:r>
    <w:r>
      <w:rPr>
        <w:noProof/>
      </w:rPr>
      <w:fldChar w:fldCharType="end"/>
    </w:r>
  </w:p>
  <w:p w14:paraId="63ABD5E0" w14:textId="77777777" w:rsidR="00DA2EAB" w:rsidRDefault="00DA2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9F2"/>
    <w:multiLevelType w:val="hybridMultilevel"/>
    <w:tmpl w:val="E8280A7E"/>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A83C6C"/>
    <w:multiLevelType w:val="hybridMultilevel"/>
    <w:tmpl w:val="9B30130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A37EA9"/>
    <w:multiLevelType w:val="hybridMultilevel"/>
    <w:tmpl w:val="F2508D6E"/>
    <w:lvl w:ilvl="0" w:tplc="0EFE7DD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3" w15:restartNumberingAfterBreak="0">
    <w:nsid w:val="1CB74205"/>
    <w:multiLevelType w:val="hybridMultilevel"/>
    <w:tmpl w:val="165413C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18645E"/>
    <w:multiLevelType w:val="hybridMultilevel"/>
    <w:tmpl w:val="6FF6BFBA"/>
    <w:lvl w:ilvl="0" w:tplc="67A8F996">
      <w:start w:val="1"/>
      <w:numFmt w:val="bullet"/>
      <w:lvlText w:val="•"/>
      <w:lvlJc w:val="left"/>
      <w:pPr>
        <w:tabs>
          <w:tab w:val="num" w:pos="720"/>
        </w:tabs>
        <w:ind w:left="720" w:hanging="360"/>
      </w:pPr>
      <w:rPr>
        <w:rFonts w:ascii="Arial" w:hAnsi="Aria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03E6AA0"/>
    <w:multiLevelType w:val="hybridMultilevel"/>
    <w:tmpl w:val="9FBA3C66"/>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BE0813"/>
    <w:multiLevelType w:val="hybridMultilevel"/>
    <w:tmpl w:val="F574F362"/>
    <w:lvl w:ilvl="0" w:tplc="BF50EED4">
      <w:start w:val="1"/>
      <w:numFmt w:val="decimal"/>
      <w:lvlText w:val="%1)"/>
      <w:lvlJc w:val="left"/>
      <w:pPr>
        <w:ind w:left="587" w:hanging="360"/>
      </w:pPr>
      <w:rPr>
        <w:rFonts w:hint="default"/>
        <w:b/>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7" w15:restartNumberingAfterBreak="0">
    <w:nsid w:val="3D620BF9"/>
    <w:multiLevelType w:val="hybridMultilevel"/>
    <w:tmpl w:val="C4C4357E"/>
    <w:lvl w:ilvl="0" w:tplc="84D2CBE6">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5A44BE"/>
    <w:multiLevelType w:val="hybridMultilevel"/>
    <w:tmpl w:val="9B9AF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B0279C"/>
    <w:multiLevelType w:val="hybridMultilevel"/>
    <w:tmpl w:val="1CCE603A"/>
    <w:lvl w:ilvl="0" w:tplc="D53882E0">
      <w:start w:val="1"/>
      <w:numFmt w:val="bullet"/>
      <w:lvlText w:val=""/>
      <w:lvlJc w:val="left"/>
      <w:pPr>
        <w:ind w:left="947" w:hanging="360"/>
      </w:pPr>
      <w:rPr>
        <w:rFonts w:ascii="Symbol" w:hAnsi="Symbol" w:hint="default"/>
      </w:rPr>
    </w:lvl>
    <w:lvl w:ilvl="1" w:tplc="A0406780">
      <w:start w:val="5"/>
      <w:numFmt w:val="bullet"/>
      <w:lvlText w:val="-"/>
      <w:lvlJc w:val="left"/>
      <w:pPr>
        <w:ind w:left="1667" w:hanging="360"/>
      </w:pPr>
      <w:rPr>
        <w:rFonts w:ascii="Times New Roman" w:eastAsia="Times New Roman" w:hAnsi="Times New Roman"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0" w15:restartNumberingAfterBreak="0">
    <w:nsid w:val="51FB6389"/>
    <w:multiLevelType w:val="hybridMultilevel"/>
    <w:tmpl w:val="FBFEEC76"/>
    <w:lvl w:ilvl="0" w:tplc="A0406780">
      <w:start w:val="5"/>
      <w:numFmt w:val="bullet"/>
      <w:lvlText w:val="-"/>
      <w:lvlJc w:val="left"/>
      <w:pPr>
        <w:ind w:left="587" w:hanging="360"/>
      </w:pPr>
      <w:rPr>
        <w:rFonts w:ascii="Times New Roman" w:eastAsia="Times New Roman" w:hAnsi="Times New Roman"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11" w15:restartNumberingAfterBreak="0">
    <w:nsid w:val="56165214"/>
    <w:multiLevelType w:val="hybridMultilevel"/>
    <w:tmpl w:val="302EDA18"/>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59376E05"/>
    <w:multiLevelType w:val="hybridMultilevel"/>
    <w:tmpl w:val="1DACBB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8F119A"/>
    <w:multiLevelType w:val="hybridMultilevel"/>
    <w:tmpl w:val="9F925556"/>
    <w:lvl w:ilvl="0" w:tplc="383A6592">
      <w:start w:val="1"/>
      <w:numFmt w:val="decimal"/>
      <w:lvlText w:val="%1)"/>
      <w:lvlJc w:val="left"/>
      <w:pPr>
        <w:ind w:left="616" w:hanging="360"/>
      </w:pPr>
      <w:rPr>
        <w:rFonts w:eastAsia="Times New Roman" w:cs="Times New Roman" w:hint="default"/>
        <w:sz w:val="22"/>
        <w:szCs w:val="22"/>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14" w15:restartNumberingAfterBreak="0">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5" w15:restartNumberingAfterBreak="0">
    <w:nsid w:val="60142C52"/>
    <w:multiLevelType w:val="hybridMultilevel"/>
    <w:tmpl w:val="09BCB2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59376C"/>
    <w:multiLevelType w:val="hybridMultilevel"/>
    <w:tmpl w:val="BAA4D0DE"/>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5452AD"/>
    <w:multiLevelType w:val="hybridMultilevel"/>
    <w:tmpl w:val="04D4B3F8"/>
    <w:lvl w:ilvl="0" w:tplc="0EFE7DDE">
      <w:start w:val="1"/>
      <w:numFmt w:val="bullet"/>
      <w:lvlText w:val=""/>
      <w:lvlJc w:val="left"/>
      <w:pPr>
        <w:ind w:left="720" w:hanging="360"/>
      </w:pPr>
      <w:rPr>
        <w:rFonts w:ascii="Symbol" w:hAnsi="Symbol" w:hint="default"/>
      </w:rPr>
    </w:lvl>
    <w:lvl w:ilvl="1" w:tplc="E1F4E5E6">
      <w:numFmt w:val="bullet"/>
      <w:lvlText w:val="•"/>
      <w:lvlJc w:val="left"/>
      <w:pPr>
        <w:ind w:left="1515" w:hanging="435"/>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FF5FA8"/>
    <w:multiLevelType w:val="hybridMultilevel"/>
    <w:tmpl w:val="5678912C"/>
    <w:lvl w:ilvl="0" w:tplc="ECFC0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FD43D62"/>
    <w:multiLevelType w:val="hybridMultilevel"/>
    <w:tmpl w:val="18CCAF70"/>
    <w:lvl w:ilvl="0" w:tplc="0EFE7DDE">
      <w:start w:val="1"/>
      <w:numFmt w:val="bullet"/>
      <w:lvlText w:val=""/>
      <w:lvlJc w:val="left"/>
      <w:pPr>
        <w:ind w:left="587" w:hanging="360"/>
      </w:pPr>
      <w:rPr>
        <w:rFonts w:ascii="Symbol" w:hAnsi="Symbol"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
  </w:num>
  <w:num w:numId="7">
    <w:abstractNumId w:val="2"/>
  </w:num>
  <w:num w:numId="8">
    <w:abstractNumId w:val="4"/>
  </w:num>
  <w:num w:numId="9">
    <w:abstractNumId w:val="15"/>
  </w:num>
  <w:num w:numId="10">
    <w:abstractNumId w:val="19"/>
  </w:num>
  <w:num w:numId="11">
    <w:abstractNumId w:val="6"/>
  </w:num>
  <w:num w:numId="12">
    <w:abstractNumId w:val="12"/>
  </w:num>
  <w:num w:numId="13">
    <w:abstractNumId w:val="7"/>
  </w:num>
  <w:num w:numId="14">
    <w:abstractNumId w:val="8"/>
  </w:num>
  <w:num w:numId="15">
    <w:abstractNumId w:val="16"/>
  </w:num>
  <w:num w:numId="16">
    <w:abstractNumId w:val="18"/>
  </w:num>
  <w:num w:numId="17">
    <w:abstractNumId w:val="17"/>
  </w:num>
  <w:num w:numId="18">
    <w:abstractNumId w:val="5"/>
  </w:num>
  <w:num w:numId="19">
    <w:abstractNumId w:val="11"/>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CD"/>
    <w:rsid w:val="000022EA"/>
    <w:rsid w:val="0000357E"/>
    <w:rsid w:val="00003841"/>
    <w:rsid w:val="00005263"/>
    <w:rsid w:val="0000734C"/>
    <w:rsid w:val="00010007"/>
    <w:rsid w:val="0001568C"/>
    <w:rsid w:val="000204BD"/>
    <w:rsid w:val="00021F25"/>
    <w:rsid w:val="0002260A"/>
    <w:rsid w:val="00023CCB"/>
    <w:rsid w:val="00026472"/>
    <w:rsid w:val="00027F43"/>
    <w:rsid w:val="00030377"/>
    <w:rsid w:val="0003736E"/>
    <w:rsid w:val="0003767B"/>
    <w:rsid w:val="0004253C"/>
    <w:rsid w:val="00045D4D"/>
    <w:rsid w:val="00051505"/>
    <w:rsid w:val="00054B73"/>
    <w:rsid w:val="00056F61"/>
    <w:rsid w:val="000576A2"/>
    <w:rsid w:val="00057819"/>
    <w:rsid w:val="0005794B"/>
    <w:rsid w:val="00060163"/>
    <w:rsid w:val="0006049C"/>
    <w:rsid w:val="0006345C"/>
    <w:rsid w:val="00063EC8"/>
    <w:rsid w:val="000650B6"/>
    <w:rsid w:val="000731AD"/>
    <w:rsid w:val="00075007"/>
    <w:rsid w:val="00077E67"/>
    <w:rsid w:val="0008176E"/>
    <w:rsid w:val="00081A58"/>
    <w:rsid w:val="00085C58"/>
    <w:rsid w:val="00087398"/>
    <w:rsid w:val="00087922"/>
    <w:rsid w:val="000900A6"/>
    <w:rsid w:val="00090A98"/>
    <w:rsid w:val="00090B46"/>
    <w:rsid w:val="00090B58"/>
    <w:rsid w:val="00092875"/>
    <w:rsid w:val="00095EE4"/>
    <w:rsid w:val="000A5328"/>
    <w:rsid w:val="000A58A3"/>
    <w:rsid w:val="000A58AB"/>
    <w:rsid w:val="000A6199"/>
    <w:rsid w:val="000B00B7"/>
    <w:rsid w:val="000B34B9"/>
    <w:rsid w:val="000B4B09"/>
    <w:rsid w:val="000B51AB"/>
    <w:rsid w:val="000C3537"/>
    <w:rsid w:val="000C3F9F"/>
    <w:rsid w:val="000C5291"/>
    <w:rsid w:val="000D0AD8"/>
    <w:rsid w:val="000D2F76"/>
    <w:rsid w:val="000D481C"/>
    <w:rsid w:val="000D4A73"/>
    <w:rsid w:val="000E002A"/>
    <w:rsid w:val="000E05CA"/>
    <w:rsid w:val="000E2B45"/>
    <w:rsid w:val="000E6416"/>
    <w:rsid w:val="000E73F7"/>
    <w:rsid w:val="000F09DB"/>
    <w:rsid w:val="000F0DF8"/>
    <w:rsid w:val="000F14C9"/>
    <w:rsid w:val="000F4D55"/>
    <w:rsid w:val="000F513E"/>
    <w:rsid w:val="000F7C17"/>
    <w:rsid w:val="0010256C"/>
    <w:rsid w:val="00104A4D"/>
    <w:rsid w:val="00104D1D"/>
    <w:rsid w:val="00106528"/>
    <w:rsid w:val="00107093"/>
    <w:rsid w:val="001110AE"/>
    <w:rsid w:val="00122EF5"/>
    <w:rsid w:val="0012446F"/>
    <w:rsid w:val="00127EA7"/>
    <w:rsid w:val="001344FB"/>
    <w:rsid w:val="00137AEB"/>
    <w:rsid w:val="00137D4F"/>
    <w:rsid w:val="001424BB"/>
    <w:rsid w:val="00142CF5"/>
    <w:rsid w:val="00145C8C"/>
    <w:rsid w:val="001473AE"/>
    <w:rsid w:val="001524D8"/>
    <w:rsid w:val="00157133"/>
    <w:rsid w:val="00157710"/>
    <w:rsid w:val="001604B9"/>
    <w:rsid w:val="00160970"/>
    <w:rsid w:val="00161F22"/>
    <w:rsid w:val="0016323A"/>
    <w:rsid w:val="00165328"/>
    <w:rsid w:val="00167912"/>
    <w:rsid w:val="00167E1C"/>
    <w:rsid w:val="001707E7"/>
    <w:rsid w:val="00177113"/>
    <w:rsid w:val="0018092B"/>
    <w:rsid w:val="001811C2"/>
    <w:rsid w:val="0018158A"/>
    <w:rsid w:val="001849BF"/>
    <w:rsid w:val="001872D0"/>
    <w:rsid w:val="001926BF"/>
    <w:rsid w:val="00192C85"/>
    <w:rsid w:val="00194048"/>
    <w:rsid w:val="00196651"/>
    <w:rsid w:val="001B0A68"/>
    <w:rsid w:val="001C098C"/>
    <w:rsid w:val="001C250F"/>
    <w:rsid w:val="001C288A"/>
    <w:rsid w:val="001C37E7"/>
    <w:rsid w:val="001D141C"/>
    <w:rsid w:val="001D32BA"/>
    <w:rsid w:val="001D5A67"/>
    <w:rsid w:val="001D6769"/>
    <w:rsid w:val="001D6E29"/>
    <w:rsid w:val="001D70DB"/>
    <w:rsid w:val="001E413D"/>
    <w:rsid w:val="001F16CF"/>
    <w:rsid w:val="001F4B39"/>
    <w:rsid w:val="001F5A5D"/>
    <w:rsid w:val="00201F24"/>
    <w:rsid w:val="002044F6"/>
    <w:rsid w:val="00205F15"/>
    <w:rsid w:val="00206C9F"/>
    <w:rsid w:val="00206DFD"/>
    <w:rsid w:val="00212A4F"/>
    <w:rsid w:val="00214180"/>
    <w:rsid w:val="00215ACA"/>
    <w:rsid w:val="00217609"/>
    <w:rsid w:val="00217FC8"/>
    <w:rsid w:val="00220870"/>
    <w:rsid w:val="00220E71"/>
    <w:rsid w:val="002214F7"/>
    <w:rsid w:val="00223978"/>
    <w:rsid w:val="00226936"/>
    <w:rsid w:val="00230AF7"/>
    <w:rsid w:val="002322A2"/>
    <w:rsid w:val="002326CD"/>
    <w:rsid w:val="00233691"/>
    <w:rsid w:val="002372A4"/>
    <w:rsid w:val="002407E2"/>
    <w:rsid w:val="0024436B"/>
    <w:rsid w:val="002459DA"/>
    <w:rsid w:val="002608F1"/>
    <w:rsid w:val="002620EA"/>
    <w:rsid w:val="0026240C"/>
    <w:rsid w:val="0026429E"/>
    <w:rsid w:val="00277367"/>
    <w:rsid w:val="00281AA7"/>
    <w:rsid w:val="0028217A"/>
    <w:rsid w:val="00284C5D"/>
    <w:rsid w:val="002937C4"/>
    <w:rsid w:val="00294A2F"/>
    <w:rsid w:val="002A06D2"/>
    <w:rsid w:val="002B034D"/>
    <w:rsid w:val="002B3A6D"/>
    <w:rsid w:val="002B3E8E"/>
    <w:rsid w:val="002C4331"/>
    <w:rsid w:val="002C453A"/>
    <w:rsid w:val="002C5FC4"/>
    <w:rsid w:val="002C68A0"/>
    <w:rsid w:val="002C6DBC"/>
    <w:rsid w:val="002C7797"/>
    <w:rsid w:val="002D2B3E"/>
    <w:rsid w:val="002D4D53"/>
    <w:rsid w:val="002E4B3E"/>
    <w:rsid w:val="002E5386"/>
    <w:rsid w:val="002E5FF2"/>
    <w:rsid w:val="002F0C8F"/>
    <w:rsid w:val="002F30BB"/>
    <w:rsid w:val="002F38D0"/>
    <w:rsid w:val="00307433"/>
    <w:rsid w:val="003162E4"/>
    <w:rsid w:val="00317EFB"/>
    <w:rsid w:val="0032070E"/>
    <w:rsid w:val="00322017"/>
    <w:rsid w:val="003221C8"/>
    <w:rsid w:val="0032396A"/>
    <w:rsid w:val="00333FAA"/>
    <w:rsid w:val="00336675"/>
    <w:rsid w:val="00340056"/>
    <w:rsid w:val="0034370D"/>
    <w:rsid w:val="00344B08"/>
    <w:rsid w:val="00351AAB"/>
    <w:rsid w:val="00352E89"/>
    <w:rsid w:val="003553B3"/>
    <w:rsid w:val="00356575"/>
    <w:rsid w:val="0035716E"/>
    <w:rsid w:val="0036017A"/>
    <w:rsid w:val="00362787"/>
    <w:rsid w:val="00374001"/>
    <w:rsid w:val="00375924"/>
    <w:rsid w:val="00380243"/>
    <w:rsid w:val="00383D36"/>
    <w:rsid w:val="003859B6"/>
    <w:rsid w:val="00386AE8"/>
    <w:rsid w:val="00386BBA"/>
    <w:rsid w:val="003878E1"/>
    <w:rsid w:val="00391B99"/>
    <w:rsid w:val="00392A8F"/>
    <w:rsid w:val="003A057F"/>
    <w:rsid w:val="003A3ADD"/>
    <w:rsid w:val="003A7EFE"/>
    <w:rsid w:val="003B57C7"/>
    <w:rsid w:val="003B6E58"/>
    <w:rsid w:val="003C4D52"/>
    <w:rsid w:val="003D3065"/>
    <w:rsid w:val="003D4EB3"/>
    <w:rsid w:val="003E4275"/>
    <w:rsid w:val="003E4EB2"/>
    <w:rsid w:val="003E7EBE"/>
    <w:rsid w:val="003F0CD3"/>
    <w:rsid w:val="003F4806"/>
    <w:rsid w:val="003F5D80"/>
    <w:rsid w:val="00404329"/>
    <w:rsid w:val="004050B7"/>
    <w:rsid w:val="00406107"/>
    <w:rsid w:val="00406B06"/>
    <w:rsid w:val="00410902"/>
    <w:rsid w:val="00410CDD"/>
    <w:rsid w:val="004134E1"/>
    <w:rsid w:val="00417786"/>
    <w:rsid w:val="004177BE"/>
    <w:rsid w:val="00417E2B"/>
    <w:rsid w:val="00422573"/>
    <w:rsid w:val="00422921"/>
    <w:rsid w:val="00424F34"/>
    <w:rsid w:val="004265D9"/>
    <w:rsid w:val="00430CCF"/>
    <w:rsid w:val="00432216"/>
    <w:rsid w:val="004338E5"/>
    <w:rsid w:val="004348B3"/>
    <w:rsid w:val="004367B2"/>
    <w:rsid w:val="0044078B"/>
    <w:rsid w:val="0044629A"/>
    <w:rsid w:val="00450746"/>
    <w:rsid w:val="00451F24"/>
    <w:rsid w:val="00452056"/>
    <w:rsid w:val="004525F5"/>
    <w:rsid w:val="004550F6"/>
    <w:rsid w:val="004561F3"/>
    <w:rsid w:val="00456D95"/>
    <w:rsid w:val="00461F10"/>
    <w:rsid w:val="00462ED9"/>
    <w:rsid w:val="00467527"/>
    <w:rsid w:val="004679AD"/>
    <w:rsid w:val="00470F41"/>
    <w:rsid w:val="00471D1C"/>
    <w:rsid w:val="004726B9"/>
    <w:rsid w:val="004731C9"/>
    <w:rsid w:val="00475B65"/>
    <w:rsid w:val="004765E0"/>
    <w:rsid w:val="00477910"/>
    <w:rsid w:val="00481B53"/>
    <w:rsid w:val="00482BA0"/>
    <w:rsid w:val="00482F95"/>
    <w:rsid w:val="00483329"/>
    <w:rsid w:val="004844FA"/>
    <w:rsid w:val="0049563D"/>
    <w:rsid w:val="00495C34"/>
    <w:rsid w:val="004A550A"/>
    <w:rsid w:val="004B29DD"/>
    <w:rsid w:val="004B2CB9"/>
    <w:rsid w:val="004B374F"/>
    <w:rsid w:val="004B4856"/>
    <w:rsid w:val="004B5C27"/>
    <w:rsid w:val="004B6CB6"/>
    <w:rsid w:val="004C1C0E"/>
    <w:rsid w:val="004C43F7"/>
    <w:rsid w:val="004C49D6"/>
    <w:rsid w:val="004D397A"/>
    <w:rsid w:val="004D7C36"/>
    <w:rsid w:val="004E72BB"/>
    <w:rsid w:val="004F0372"/>
    <w:rsid w:val="004F18C0"/>
    <w:rsid w:val="004F20B9"/>
    <w:rsid w:val="004F2C02"/>
    <w:rsid w:val="004F2CB3"/>
    <w:rsid w:val="004F3B23"/>
    <w:rsid w:val="004F4CB2"/>
    <w:rsid w:val="0050347B"/>
    <w:rsid w:val="00503B07"/>
    <w:rsid w:val="00506393"/>
    <w:rsid w:val="00515421"/>
    <w:rsid w:val="00516C6F"/>
    <w:rsid w:val="0051728B"/>
    <w:rsid w:val="005403CC"/>
    <w:rsid w:val="0054093C"/>
    <w:rsid w:val="00542D64"/>
    <w:rsid w:val="005461CC"/>
    <w:rsid w:val="00551016"/>
    <w:rsid w:val="00552B20"/>
    <w:rsid w:val="005532AD"/>
    <w:rsid w:val="0055418D"/>
    <w:rsid w:val="00556CDE"/>
    <w:rsid w:val="0056592D"/>
    <w:rsid w:val="00566D01"/>
    <w:rsid w:val="005702CB"/>
    <w:rsid w:val="00572C7E"/>
    <w:rsid w:val="00574736"/>
    <w:rsid w:val="005764D9"/>
    <w:rsid w:val="0057701F"/>
    <w:rsid w:val="005804F8"/>
    <w:rsid w:val="00583177"/>
    <w:rsid w:val="00590493"/>
    <w:rsid w:val="00594397"/>
    <w:rsid w:val="00595B59"/>
    <w:rsid w:val="005A0323"/>
    <w:rsid w:val="005A110D"/>
    <w:rsid w:val="005B1274"/>
    <w:rsid w:val="005B1694"/>
    <w:rsid w:val="005B2FED"/>
    <w:rsid w:val="005B32B4"/>
    <w:rsid w:val="005B331F"/>
    <w:rsid w:val="005C5937"/>
    <w:rsid w:val="005D0338"/>
    <w:rsid w:val="005D13EB"/>
    <w:rsid w:val="005D48EE"/>
    <w:rsid w:val="005D628E"/>
    <w:rsid w:val="005D7E57"/>
    <w:rsid w:val="005D7EFB"/>
    <w:rsid w:val="005E0FFC"/>
    <w:rsid w:val="005E117D"/>
    <w:rsid w:val="005E1415"/>
    <w:rsid w:val="005F0098"/>
    <w:rsid w:val="005F16C8"/>
    <w:rsid w:val="005F2936"/>
    <w:rsid w:val="005F2FD8"/>
    <w:rsid w:val="005F305E"/>
    <w:rsid w:val="005F7788"/>
    <w:rsid w:val="00600452"/>
    <w:rsid w:val="00602636"/>
    <w:rsid w:val="006037C3"/>
    <w:rsid w:val="00604DCA"/>
    <w:rsid w:val="00613285"/>
    <w:rsid w:val="00620FA6"/>
    <w:rsid w:val="00622195"/>
    <w:rsid w:val="006249BD"/>
    <w:rsid w:val="00624E24"/>
    <w:rsid w:val="00625772"/>
    <w:rsid w:val="006317BF"/>
    <w:rsid w:val="00631816"/>
    <w:rsid w:val="00634911"/>
    <w:rsid w:val="00634A03"/>
    <w:rsid w:val="00643958"/>
    <w:rsid w:val="00651E6F"/>
    <w:rsid w:val="00653212"/>
    <w:rsid w:val="006601A5"/>
    <w:rsid w:val="00660684"/>
    <w:rsid w:val="00662161"/>
    <w:rsid w:val="006621BA"/>
    <w:rsid w:val="0066267E"/>
    <w:rsid w:val="00663998"/>
    <w:rsid w:val="00665626"/>
    <w:rsid w:val="00666413"/>
    <w:rsid w:val="00671F04"/>
    <w:rsid w:val="0067238A"/>
    <w:rsid w:val="00674310"/>
    <w:rsid w:val="006760E9"/>
    <w:rsid w:val="006762E7"/>
    <w:rsid w:val="006768F2"/>
    <w:rsid w:val="006769BE"/>
    <w:rsid w:val="00681392"/>
    <w:rsid w:val="006817ED"/>
    <w:rsid w:val="006826AF"/>
    <w:rsid w:val="00682846"/>
    <w:rsid w:val="00682AE5"/>
    <w:rsid w:val="00687104"/>
    <w:rsid w:val="006877F1"/>
    <w:rsid w:val="00687DA1"/>
    <w:rsid w:val="0069177C"/>
    <w:rsid w:val="006952F9"/>
    <w:rsid w:val="006A0F48"/>
    <w:rsid w:val="006A25FA"/>
    <w:rsid w:val="006A32CD"/>
    <w:rsid w:val="006A6B9A"/>
    <w:rsid w:val="006A7A3F"/>
    <w:rsid w:val="006B2C34"/>
    <w:rsid w:val="006B3AE9"/>
    <w:rsid w:val="006B5AED"/>
    <w:rsid w:val="006B6658"/>
    <w:rsid w:val="006C1C03"/>
    <w:rsid w:val="006C2654"/>
    <w:rsid w:val="006C4161"/>
    <w:rsid w:val="006D654B"/>
    <w:rsid w:val="006E0736"/>
    <w:rsid w:val="006E43C7"/>
    <w:rsid w:val="006E58C0"/>
    <w:rsid w:val="006F1A15"/>
    <w:rsid w:val="006F2CEE"/>
    <w:rsid w:val="00700D2E"/>
    <w:rsid w:val="00712302"/>
    <w:rsid w:val="0071517C"/>
    <w:rsid w:val="00717D42"/>
    <w:rsid w:val="0072372D"/>
    <w:rsid w:val="007241FD"/>
    <w:rsid w:val="007266B0"/>
    <w:rsid w:val="00727602"/>
    <w:rsid w:val="00727BBA"/>
    <w:rsid w:val="00741C87"/>
    <w:rsid w:val="00741CA1"/>
    <w:rsid w:val="007420F7"/>
    <w:rsid w:val="0074243C"/>
    <w:rsid w:val="00742CA3"/>
    <w:rsid w:val="00743CB3"/>
    <w:rsid w:val="00744BF9"/>
    <w:rsid w:val="007458AE"/>
    <w:rsid w:val="0074752B"/>
    <w:rsid w:val="00750422"/>
    <w:rsid w:val="00760A92"/>
    <w:rsid w:val="00760A9F"/>
    <w:rsid w:val="00760F89"/>
    <w:rsid w:val="007618BB"/>
    <w:rsid w:val="007643DF"/>
    <w:rsid w:val="00766075"/>
    <w:rsid w:val="0076657B"/>
    <w:rsid w:val="00766E7D"/>
    <w:rsid w:val="007707F1"/>
    <w:rsid w:val="00770980"/>
    <w:rsid w:val="00771393"/>
    <w:rsid w:val="0077404F"/>
    <w:rsid w:val="00776A44"/>
    <w:rsid w:val="00777ECE"/>
    <w:rsid w:val="007818E7"/>
    <w:rsid w:val="0078297A"/>
    <w:rsid w:val="00782C59"/>
    <w:rsid w:val="00785ED0"/>
    <w:rsid w:val="00786738"/>
    <w:rsid w:val="007874A2"/>
    <w:rsid w:val="007916EA"/>
    <w:rsid w:val="00791C34"/>
    <w:rsid w:val="007A1002"/>
    <w:rsid w:val="007A3B64"/>
    <w:rsid w:val="007A44F4"/>
    <w:rsid w:val="007A519C"/>
    <w:rsid w:val="007A60EA"/>
    <w:rsid w:val="007B1AC9"/>
    <w:rsid w:val="007B5691"/>
    <w:rsid w:val="007C1848"/>
    <w:rsid w:val="007C27C0"/>
    <w:rsid w:val="007C56FC"/>
    <w:rsid w:val="007C582C"/>
    <w:rsid w:val="007D0181"/>
    <w:rsid w:val="007D081F"/>
    <w:rsid w:val="007D2850"/>
    <w:rsid w:val="007D523F"/>
    <w:rsid w:val="007D6D34"/>
    <w:rsid w:val="007E432A"/>
    <w:rsid w:val="007F17D4"/>
    <w:rsid w:val="007F73EC"/>
    <w:rsid w:val="007F74DA"/>
    <w:rsid w:val="0080011A"/>
    <w:rsid w:val="00801DA7"/>
    <w:rsid w:val="00805918"/>
    <w:rsid w:val="00810942"/>
    <w:rsid w:val="008127AD"/>
    <w:rsid w:val="008148E0"/>
    <w:rsid w:val="00815F14"/>
    <w:rsid w:val="00824CFF"/>
    <w:rsid w:val="0082656B"/>
    <w:rsid w:val="008265CF"/>
    <w:rsid w:val="008350E4"/>
    <w:rsid w:val="00840C2F"/>
    <w:rsid w:val="0084262E"/>
    <w:rsid w:val="00842C83"/>
    <w:rsid w:val="00853FBE"/>
    <w:rsid w:val="00854E93"/>
    <w:rsid w:val="00855B55"/>
    <w:rsid w:val="008563DF"/>
    <w:rsid w:val="00865B7C"/>
    <w:rsid w:val="00870977"/>
    <w:rsid w:val="0087220F"/>
    <w:rsid w:val="00874A3E"/>
    <w:rsid w:val="00875362"/>
    <w:rsid w:val="00875B6C"/>
    <w:rsid w:val="00876FD1"/>
    <w:rsid w:val="00882CDB"/>
    <w:rsid w:val="0088482E"/>
    <w:rsid w:val="0088536E"/>
    <w:rsid w:val="00887248"/>
    <w:rsid w:val="00890902"/>
    <w:rsid w:val="00894189"/>
    <w:rsid w:val="00895CBA"/>
    <w:rsid w:val="00897B19"/>
    <w:rsid w:val="008A09A1"/>
    <w:rsid w:val="008A4B7F"/>
    <w:rsid w:val="008B16AB"/>
    <w:rsid w:val="008B1B3F"/>
    <w:rsid w:val="008B369D"/>
    <w:rsid w:val="008B5444"/>
    <w:rsid w:val="008C2970"/>
    <w:rsid w:val="008D0FA1"/>
    <w:rsid w:val="008D1DB4"/>
    <w:rsid w:val="008D4729"/>
    <w:rsid w:val="008E181D"/>
    <w:rsid w:val="008E2048"/>
    <w:rsid w:val="008E2339"/>
    <w:rsid w:val="008F0837"/>
    <w:rsid w:val="008F184D"/>
    <w:rsid w:val="008F43FF"/>
    <w:rsid w:val="008F652A"/>
    <w:rsid w:val="008F7A3D"/>
    <w:rsid w:val="008F7F73"/>
    <w:rsid w:val="00906338"/>
    <w:rsid w:val="009067AA"/>
    <w:rsid w:val="00907F32"/>
    <w:rsid w:val="009118FD"/>
    <w:rsid w:val="00912060"/>
    <w:rsid w:val="00914539"/>
    <w:rsid w:val="009216D3"/>
    <w:rsid w:val="00927C4D"/>
    <w:rsid w:val="009335AE"/>
    <w:rsid w:val="00933785"/>
    <w:rsid w:val="00934850"/>
    <w:rsid w:val="00935F0F"/>
    <w:rsid w:val="009419F6"/>
    <w:rsid w:val="0094491A"/>
    <w:rsid w:val="00950B6F"/>
    <w:rsid w:val="0095480F"/>
    <w:rsid w:val="00955789"/>
    <w:rsid w:val="009618CD"/>
    <w:rsid w:val="0096225F"/>
    <w:rsid w:val="00965793"/>
    <w:rsid w:val="00965DA4"/>
    <w:rsid w:val="009675D6"/>
    <w:rsid w:val="00970497"/>
    <w:rsid w:val="009731CE"/>
    <w:rsid w:val="009756E1"/>
    <w:rsid w:val="00976EF1"/>
    <w:rsid w:val="00980B16"/>
    <w:rsid w:val="00982FEC"/>
    <w:rsid w:val="00983DE2"/>
    <w:rsid w:val="009844A2"/>
    <w:rsid w:val="009846E7"/>
    <w:rsid w:val="00984958"/>
    <w:rsid w:val="0098768A"/>
    <w:rsid w:val="00987D4D"/>
    <w:rsid w:val="009909FE"/>
    <w:rsid w:val="009936CB"/>
    <w:rsid w:val="00995ACA"/>
    <w:rsid w:val="009A0D70"/>
    <w:rsid w:val="009A22CD"/>
    <w:rsid w:val="009A4B34"/>
    <w:rsid w:val="009B0263"/>
    <w:rsid w:val="009C4A16"/>
    <w:rsid w:val="009C76C6"/>
    <w:rsid w:val="009D192D"/>
    <w:rsid w:val="009E2FE7"/>
    <w:rsid w:val="009E394F"/>
    <w:rsid w:val="009E76FB"/>
    <w:rsid w:val="009E7A63"/>
    <w:rsid w:val="009F1438"/>
    <w:rsid w:val="009F26D0"/>
    <w:rsid w:val="009F7EAD"/>
    <w:rsid w:val="00A041F4"/>
    <w:rsid w:val="00A07EB9"/>
    <w:rsid w:val="00A11276"/>
    <w:rsid w:val="00A13006"/>
    <w:rsid w:val="00A153E5"/>
    <w:rsid w:val="00A162A2"/>
    <w:rsid w:val="00A16417"/>
    <w:rsid w:val="00A170DE"/>
    <w:rsid w:val="00A21A17"/>
    <w:rsid w:val="00A22586"/>
    <w:rsid w:val="00A251E6"/>
    <w:rsid w:val="00A267A9"/>
    <w:rsid w:val="00A32E15"/>
    <w:rsid w:val="00A3444D"/>
    <w:rsid w:val="00A415E2"/>
    <w:rsid w:val="00A4200E"/>
    <w:rsid w:val="00A42CA7"/>
    <w:rsid w:val="00A43A1F"/>
    <w:rsid w:val="00A45982"/>
    <w:rsid w:val="00A46330"/>
    <w:rsid w:val="00A47534"/>
    <w:rsid w:val="00A50C8D"/>
    <w:rsid w:val="00A56BFB"/>
    <w:rsid w:val="00A630B7"/>
    <w:rsid w:val="00A6503A"/>
    <w:rsid w:val="00A6520F"/>
    <w:rsid w:val="00A65A19"/>
    <w:rsid w:val="00A73DEC"/>
    <w:rsid w:val="00A7409E"/>
    <w:rsid w:val="00A74BE4"/>
    <w:rsid w:val="00A75432"/>
    <w:rsid w:val="00A77DFF"/>
    <w:rsid w:val="00A801B7"/>
    <w:rsid w:val="00A80527"/>
    <w:rsid w:val="00A81984"/>
    <w:rsid w:val="00A823F6"/>
    <w:rsid w:val="00A82961"/>
    <w:rsid w:val="00A85AC2"/>
    <w:rsid w:val="00A8634F"/>
    <w:rsid w:val="00A93CAD"/>
    <w:rsid w:val="00A94C46"/>
    <w:rsid w:val="00A964C7"/>
    <w:rsid w:val="00A964CA"/>
    <w:rsid w:val="00AA1A32"/>
    <w:rsid w:val="00AA3A63"/>
    <w:rsid w:val="00AA588C"/>
    <w:rsid w:val="00AA73AA"/>
    <w:rsid w:val="00AA78FF"/>
    <w:rsid w:val="00AB259C"/>
    <w:rsid w:val="00AB295A"/>
    <w:rsid w:val="00AB6D62"/>
    <w:rsid w:val="00AB77DE"/>
    <w:rsid w:val="00AC2DCE"/>
    <w:rsid w:val="00AC4125"/>
    <w:rsid w:val="00AC4AC7"/>
    <w:rsid w:val="00AC4ED9"/>
    <w:rsid w:val="00AC73FF"/>
    <w:rsid w:val="00AD02CB"/>
    <w:rsid w:val="00AD12A9"/>
    <w:rsid w:val="00AD31C8"/>
    <w:rsid w:val="00AD43BF"/>
    <w:rsid w:val="00AD50B6"/>
    <w:rsid w:val="00AD64AC"/>
    <w:rsid w:val="00AD6C3A"/>
    <w:rsid w:val="00AD7E93"/>
    <w:rsid w:val="00AE301B"/>
    <w:rsid w:val="00AE5847"/>
    <w:rsid w:val="00AF4DD3"/>
    <w:rsid w:val="00AF6864"/>
    <w:rsid w:val="00B05A7D"/>
    <w:rsid w:val="00B20CFF"/>
    <w:rsid w:val="00B21A42"/>
    <w:rsid w:val="00B22D26"/>
    <w:rsid w:val="00B3434A"/>
    <w:rsid w:val="00B40774"/>
    <w:rsid w:val="00B4475D"/>
    <w:rsid w:val="00B4619D"/>
    <w:rsid w:val="00B466FC"/>
    <w:rsid w:val="00B501CB"/>
    <w:rsid w:val="00B50C19"/>
    <w:rsid w:val="00B52C2E"/>
    <w:rsid w:val="00B55B88"/>
    <w:rsid w:val="00B563C3"/>
    <w:rsid w:val="00B573BA"/>
    <w:rsid w:val="00B609FF"/>
    <w:rsid w:val="00B6142B"/>
    <w:rsid w:val="00B63F0E"/>
    <w:rsid w:val="00B669C9"/>
    <w:rsid w:val="00B72256"/>
    <w:rsid w:val="00B73564"/>
    <w:rsid w:val="00B75965"/>
    <w:rsid w:val="00B828AF"/>
    <w:rsid w:val="00B841AC"/>
    <w:rsid w:val="00B861EA"/>
    <w:rsid w:val="00B90CE9"/>
    <w:rsid w:val="00BA0BFE"/>
    <w:rsid w:val="00BA24F0"/>
    <w:rsid w:val="00BA4011"/>
    <w:rsid w:val="00BA4CAF"/>
    <w:rsid w:val="00BA589E"/>
    <w:rsid w:val="00BB08F1"/>
    <w:rsid w:val="00BB0A2E"/>
    <w:rsid w:val="00BB0EE1"/>
    <w:rsid w:val="00BB0F8B"/>
    <w:rsid w:val="00BB1BE1"/>
    <w:rsid w:val="00BB2497"/>
    <w:rsid w:val="00BB49FA"/>
    <w:rsid w:val="00BB4BB8"/>
    <w:rsid w:val="00BC0C61"/>
    <w:rsid w:val="00BC2EF0"/>
    <w:rsid w:val="00BC4480"/>
    <w:rsid w:val="00BD0D80"/>
    <w:rsid w:val="00BD491E"/>
    <w:rsid w:val="00BE12C2"/>
    <w:rsid w:val="00BE3EBF"/>
    <w:rsid w:val="00BF07A2"/>
    <w:rsid w:val="00BF14CB"/>
    <w:rsid w:val="00BF305D"/>
    <w:rsid w:val="00BF3945"/>
    <w:rsid w:val="00BF7184"/>
    <w:rsid w:val="00BF7554"/>
    <w:rsid w:val="00C00CDA"/>
    <w:rsid w:val="00C066AE"/>
    <w:rsid w:val="00C066C0"/>
    <w:rsid w:val="00C117E3"/>
    <w:rsid w:val="00C16C56"/>
    <w:rsid w:val="00C203EB"/>
    <w:rsid w:val="00C23BC0"/>
    <w:rsid w:val="00C23FA8"/>
    <w:rsid w:val="00C26FF7"/>
    <w:rsid w:val="00C319AC"/>
    <w:rsid w:val="00C319EF"/>
    <w:rsid w:val="00C34B19"/>
    <w:rsid w:val="00C35630"/>
    <w:rsid w:val="00C40886"/>
    <w:rsid w:val="00C42B66"/>
    <w:rsid w:val="00C44C03"/>
    <w:rsid w:val="00C55AE2"/>
    <w:rsid w:val="00C56A88"/>
    <w:rsid w:val="00C572AE"/>
    <w:rsid w:val="00C61BFB"/>
    <w:rsid w:val="00C63262"/>
    <w:rsid w:val="00C715D5"/>
    <w:rsid w:val="00C71EAF"/>
    <w:rsid w:val="00C72650"/>
    <w:rsid w:val="00C72D81"/>
    <w:rsid w:val="00C7456B"/>
    <w:rsid w:val="00C7654B"/>
    <w:rsid w:val="00C76A46"/>
    <w:rsid w:val="00C82F50"/>
    <w:rsid w:val="00C83ABF"/>
    <w:rsid w:val="00C84078"/>
    <w:rsid w:val="00C85246"/>
    <w:rsid w:val="00C855B1"/>
    <w:rsid w:val="00C86B40"/>
    <w:rsid w:val="00C92D2B"/>
    <w:rsid w:val="00C975E5"/>
    <w:rsid w:val="00CA002C"/>
    <w:rsid w:val="00CA5158"/>
    <w:rsid w:val="00CA6A84"/>
    <w:rsid w:val="00CB34D7"/>
    <w:rsid w:val="00CB4AAB"/>
    <w:rsid w:val="00CB52C4"/>
    <w:rsid w:val="00CB5F51"/>
    <w:rsid w:val="00CC0981"/>
    <w:rsid w:val="00CC3B6A"/>
    <w:rsid w:val="00CC4056"/>
    <w:rsid w:val="00CC51F3"/>
    <w:rsid w:val="00CD1677"/>
    <w:rsid w:val="00CD5686"/>
    <w:rsid w:val="00CD5D36"/>
    <w:rsid w:val="00CD6F84"/>
    <w:rsid w:val="00CD7286"/>
    <w:rsid w:val="00CD756D"/>
    <w:rsid w:val="00CE0479"/>
    <w:rsid w:val="00CE4486"/>
    <w:rsid w:val="00CE4AB2"/>
    <w:rsid w:val="00CF4796"/>
    <w:rsid w:val="00CF48C9"/>
    <w:rsid w:val="00CF61E7"/>
    <w:rsid w:val="00CF61F9"/>
    <w:rsid w:val="00CF6CD7"/>
    <w:rsid w:val="00CF6F28"/>
    <w:rsid w:val="00D03CF2"/>
    <w:rsid w:val="00D04122"/>
    <w:rsid w:val="00D04125"/>
    <w:rsid w:val="00D127C1"/>
    <w:rsid w:val="00D138F8"/>
    <w:rsid w:val="00D15EC4"/>
    <w:rsid w:val="00D216F7"/>
    <w:rsid w:val="00D22B05"/>
    <w:rsid w:val="00D24D7B"/>
    <w:rsid w:val="00D26E10"/>
    <w:rsid w:val="00D27DF2"/>
    <w:rsid w:val="00D318B7"/>
    <w:rsid w:val="00D33079"/>
    <w:rsid w:val="00D36CD7"/>
    <w:rsid w:val="00D36FC9"/>
    <w:rsid w:val="00D4628F"/>
    <w:rsid w:val="00D5153C"/>
    <w:rsid w:val="00D51B19"/>
    <w:rsid w:val="00D53361"/>
    <w:rsid w:val="00D53B1A"/>
    <w:rsid w:val="00D55671"/>
    <w:rsid w:val="00D557B2"/>
    <w:rsid w:val="00D56C78"/>
    <w:rsid w:val="00D716DA"/>
    <w:rsid w:val="00D832EB"/>
    <w:rsid w:val="00D83518"/>
    <w:rsid w:val="00D85002"/>
    <w:rsid w:val="00D8537B"/>
    <w:rsid w:val="00D877F3"/>
    <w:rsid w:val="00D9122C"/>
    <w:rsid w:val="00D9400F"/>
    <w:rsid w:val="00D96CAC"/>
    <w:rsid w:val="00D97EC9"/>
    <w:rsid w:val="00DA2EAB"/>
    <w:rsid w:val="00DA33FD"/>
    <w:rsid w:val="00DA5789"/>
    <w:rsid w:val="00DB029F"/>
    <w:rsid w:val="00DB0F41"/>
    <w:rsid w:val="00DB1104"/>
    <w:rsid w:val="00DB3189"/>
    <w:rsid w:val="00DB3854"/>
    <w:rsid w:val="00DB64CD"/>
    <w:rsid w:val="00DB68EA"/>
    <w:rsid w:val="00DC0546"/>
    <w:rsid w:val="00DC346E"/>
    <w:rsid w:val="00DC3DC9"/>
    <w:rsid w:val="00DC6D6D"/>
    <w:rsid w:val="00DD05D6"/>
    <w:rsid w:val="00DD0805"/>
    <w:rsid w:val="00DD12A3"/>
    <w:rsid w:val="00DE680F"/>
    <w:rsid w:val="00DE70B7"/>
    <w:rsid w:val="00DE799C"/>
    <w:rsid w:val="00DF1F7E"/>
    <w:rsid w:val="00DF1FA9"/>
    <w:rsid w:val="00DF2845"/>
    <w:rsid w:val="00DF5F32"/>
    <w:rsid w:val="00E0091A"/>
    <w:rsid w:val="00E01818"/>
    <w:rsid w:val="00E02D15"/>
    <w:rsid w:val="00E054A8"/>
    <w:rsid w:val="00E11204"/>
    <w:rsid w:val="00E30085"/>
    <w:rsid w:val="00E303E7"/>
    <w:rsid w:val="00E31185"/>
    <w:rsid w:val="00E31C26"/>
    <w:rsid w:val="00E33009"/>
    <w:rsid w:val="00E35628"/>
    <w:rsid w:val="00E36503"/>
    <w:rsid w:val="00E42D90"/>
    <w:rsid w:val="00E43F9B"/>
    <w:rsid w:val="00E50093"/>
    <w:rsid w:val="00E52517"/>
    <w:rsid w:val="00E52F14"/>
    <w:rsid w:val="00E56319"/>
    <w:rsid w:val="00E572C9"/>
    <w:rsid w:val="00E57372"/>
    <w:rsid w:val="00E60BF8"/>
    <w:rsid w:val="00E61CD7"/>
    <w:rsid w:val="00E62321"/>
    <w:rsid w:val="00E636B5"/>
    <w:rsid w:val="00E6633C"/>
    <w:rsid w:val="00E71286"/>
    <w:rsid w:val="00E72719"/>
    <w:rsid w:val="00E76263"/>
    <w:rsid w:val="00E8263E"/>
    <w:rsid w:val="00E83003"/>
    <w:rsid w:val="00E8529B"/>
    <w:rsid w:val="00E968F2"/>
    <w:rsid w:val="00EA11DB"/>
    <w:rsid w:val="00EA17EB"/>
    <w:rsid w:val="00EA249F"/>
    <w:rsid w:val="00EC321F"/>
    <w:rsid w:val="00EC4A98"/>
    <w:rsid w:val="00EC60F1"/>
    <w:rsid w:val="00EC6B91"/>
    <w:rsid w:val="00ED3575"/>
    <w:rsid w:val="00ED4A2A"/>
    <w:rsid w:val="00EE1096"/>
    <w:rsid w:val="00EE2278"/>
    <w:rsid w:val="00EE407D"/>
    <w:rsid w:val="00EF23FC"/>
    <w:rsid w:val="00EF330D"/>
    <w:rsid w:val="00EF536D"/>
    <w:rsid w:val="00EF64BE"/>
    <w:rsid w:val="00EF6874"/>
    <w:rsid w:val="00F05E39"/>
    <w:rsid w:val="00F07CD0"/>
    <w:rsid w:val="00F10B61"/>
    <w:rsid w:val="00F11582"/>
    <w:rsid w:val="00F122F9"/>
    <w:rsid w:val="00F12EF8"/>
    <w:rsid w:val="00F1355F"/>
    <w:rsid w:val="00F1498A"/>
    <w:rsid w:val="00F236F4"/>
    <w:rsid w:val="00F23ED3"/>
    <w:rsid w:val="00F2457F"/>
    <w:rsid w:val="00F25417"/>
    <w:rsid w:val="00F27137"/>
    <w:rsid w:val="00F315C4"/>
    <w:rsid w:val="00F34AF3"/>
    <w:rsid w:val="00F35B52"/>
    <w:rsid w:val="00F3654E"/>
    <w:rsid w:val="00F37BCF"/>
    <w:rsid w:val="00F424CC"/>
    <w:rsid w:val="00F5054D"/>
    <w:rsid w:val="00F506FE"/>
    <w:rsid w:val="00F55A53"/>
    <w:rsid w:val="00F62D9A"/>
    <w:rsid w:val="00F66214"/>
    <w:rsid w:val="00F67711"/>
    <w:rsid w:val="00F70677"/>
    <w:rsid w:val="00F73385"/>
    <w:rsid w:val="00F763D2"/>
    <w:rsid w:val="00F772BF"/>
    <w:rsid w:val="00F80A7A"/>
    <w:rsid w:val="00F8213A"/>
    <w:rsid w:val="00F8482A"/>
    <w:rsid w:val="00F93018"/>
    <w:rsid w:val="00F96014"/>
    <w:rsid w:val="00FA0A11"/>
    <w:rsid w:val="00FA23D4"/>
    <w:rsid w:val="00FA27BC"/>
    <w:rsid w:val="00FA2BD1"/>
    <w:rsid w:val="00FA4857"/>
    <w:rsid w:val="00FB0DBE"/>
    <w:rsid w:val="00FB2B94"/>
    <w:rsid w:val="00FC07A0"/>
    <w:rsid w:val="00FC63E0"/>
    <w:rsid w:val="00FD3ABC"/>
    <w:rsid w:val="00FD58D0"/>
    <w:rsid w:val="00FD5A20"/>
    <w:rsid w:val="00FD6516"/>
    <w:rsid w:val="00FE1F8C"/>
    <w:rsid w:val="00FE2FBE"/>
    <w:rsid w:val="00FE7DE5"/>
    <w:rsid w:val="00FF098F"/>
    <w:rsid w:val="00FF4929"/>
    <w:rsid w:val="00FF5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3"/>
    <o:shapelayout v:ext="edit">
      <o:idmap v:ext="edit" data="1"/>
    </o:shapelayout>
  </w:shapeDefaults>
  <w:decimalSymbol w:val=","/>
  <w:listSeparator w:val=";"/>
  <w14:docId w14:val="7A2F02BD"/>
  <w15:docId w15:val="{EA1D1A29-30A5-4AFA-A105-E63E8A47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B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BE3EBF"/>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BE3EBF"/>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character" w:customStyle="1" w:styleId="ListParagraphChar">
    <w:name w:val="List Paragraph Char"/>
    <w:link w:val="ListParagraph"/>
    <w:uiPriority w:val="34"/>
    <w:locked/>
    <w:rsid w:val="0012446F"/>
    <w:rPr>
      <w:rFonts w:ascii="Times New Roman" w:eastAsia="Times New Roman" w:hAnsi="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0038">
      <w:bodyDiv w:val="1"/>
      <w:marLeft w:val="0"/>
      <w:marRight w:val="0"/>
      <w:marTop w:val="0"/>
      <w:marBottom w:val="0"/>
      <w:divBdr>
        <w:top w:val="none" w:sz="0" w:space="0" w:color="auto"/>
        <w:left w:val="none" w:sz="0" w:space="0" w:color="auto"/>
        <w:bottom w:val="none" w:sz="0" w:space="0" w:color="auto"/>
        <w:right w:val="none" w:sz="0" w:space="0" w:color="auto"/>
      </w:divBdr>
    </w:div>
    <w:div w:id="977341896">
      <w:bodyDiv w:val="1"/>
      <w:marLeft w:val="0"/>
      <w:marRight w:val="0"/>
      <w:marTop w:val="0"/>
      <w:marBottom w:val="0"/>
      <w:divBdr>
        <w:top w:val="none" w:sz="0" w:space="0" w:color="auto"/>
        <w:left w:val="none" w:sz="0" w:space="0" w:color="auto"/>
        <w:bottom w:val="none" w:sz="0" w:space="0" w:color="auto"/>
        <w:right w:val="none" w:sz="0" w:space="0" w:color="auto"/>
      </w:divBdr>
    </w:div>
    <w:div w:id="1337265122">
      <w:bodyDiv w:val="1"/>
      <w:marLeft w:val="0"/>
      <w:marRight w:val="0"/>
      <w:marTop w:val="0"/>
      <w:marBottom w:val="0"/>
      <w:divBdr>
        <w:top w:val="none" w:sz="0" w:space="0" w:color="auto"/>
        <w:left w:val="none" w:sz="0" w:space="0" w:color="auto"/>
        <w:bottom w:val="none" w:sz="0" w:space="0" w:color="auto"/>
        <w:right w:val="none" w:sz="0" w:space="0" w:color="auto"/>
      </w:divBdr>
      <w:divsChild>
        <w:div w:id="51195200">
          <w:marLeft w:val="0"/>
          <w:marRight w:val="0"/>
          <w:marTop w:val="0"/>
          <w:marBottom w:val="0"/>
          <w:divBdr>
            <w:top w:val="none" w:sz="0" w:space="0" w:color="auto"/>
            <w:left w:val="none" w:sz="0" w:space="0" w:color="auto"/>
            <w:bottom w:val="none" w:sz="0" w:space="0" w:color="auto"/>
            <w:right w:val="none" w:sz="0" w:space="0" w:color="auto"/>
          </w:divBdr>
        </w:div>
        <w:div w:id="194464713">
          <w:marLeft w:val="0"/>
          <w:marRight w:val="0"/>
          <w:marTop w:val="0"/>
          <w:marBottom w:val="0"/>
          <w:divBdr>
            <w:top w:val="none" w:sz="0" w:space="0" w:color="auto"/>
            <w:left w:val="none" w:sz="0" w:space="0" w:color="auto"/>
            <w:bottom w:val="none" w:sz="0" w:space="0" w:color="auto"/>
            <w:right w:val="none" w:sz="0" w:space="0" w:color="auto"/>
          </w:divBdr>
        </w:div>
        <w:div w:id="2092114511">
          <w:marLeft w:val="0"/>
          <w:marRight w:val="0"/>
          <w:marTop w:val="0"/>
          <w:marBottom w:val="0"/>
          <w:divBdr>
            <w:top w:val="none" w:sz="0" w:space="0" w:color="auto"/>
            <w:left w:val="none" w:sz="0" w:space="0" w:color="auto"/>
            <w:bottom w:val="none" w:sz="0" w:space="0" w:color="auto"/>
            <w:right w:val="none" w:sz="0" w:space="0" w:color="auto"/>
          </w:divBdr>
        </w:div>
      </w:divsChild>
    </w:div>
    <w:div w:id="1513186217">
      <w:bodyDiv w:val="1"/>
      <w:marLeft w:val="0"/>
      <w:marRight w:val="0"/>
      <w:marTop w:val="0"/>
      <w:marBottom w:val="0"/>
      <w:divBdr>
        <w:top w:val="none" w:sz="0" w:space="0" w:color="auto"/>
        <w:left w:val="none" w:sz="0" w:space="0" w:color="auto"/>
        <w:bottom w:val="none" w:sz="0" w:space="0" w:color="auto"/>
        <w:right w:val="none" w:sz="0" w:space="0" w:color="auto"/>
      </w:divBdr>
    </w:div>
    <w:div w:id="1813670546">
      <w:bodyDiv w:val="1"/>
      <w:marLeft w:val="0"/>
      <w:marRight w:val="0"/>
      <w:marTop w:val="0"/>
      <w:marBottom w:val="0"/>
      <w:divBdr>
        <w:top w:val="none" w:sz="0" w:space="0" w:color="auto"/>
        <w:left w:val="none" w:sz="0" w:space="0" w:color="auto"/>
        <w:bottom w:val="none" w:sz="0" w:space="0" w:color="auto"/>
        <w:right w:val="none" w:sz="0" w:space="0" w:color="auto"/>
      </w:divBdr>
    </w:div>
    <w:div w:id="1885822089">
      <w:marLeft w:val="0"/>
      <w:marRight w:val="0"/>
      <w:marTop w:val="0"/>
      <w:marBottom w:val="0"/>
      <w:divBdr>
        <w:top w:val="none" w:sz="0" w:space="0" w:color="auto"/>
        <w:left w:val="none" w:sz="0" w:space="0" w:color="auto"/>
        <w:bottom w:val="none" w:sz="0" w:space="0" w:color="auto"/>
        <w:right w:val="none" w:sz="0" w:space="0" w:color="auto"/>
      </w:divBdr>
    </w:div>
    <w:div w:id="1885822091">
      <w:marLeft w:val="0"/>
      <w:marRight w:val="0"/>
      <w:marTop w:val="0"/>
      <w:marBottom w:val="0"/>
      <w:divBdr>
        <w:top w:val="none" w:sz="0" w:space="0" w:color="auto"/>
        <w:left w:val="none" w:sz="0" w:space="0" w:color="auto"/>
        <w:bottom w:val="none" w:sz="0" w:space="0" w:color="auto"/>
        <w:right w:val="none" w:sz="0" w:space="0" w:color="auto"/>
      </w:divBdr>
    </w:div>
    <w:div w:id="1885822093">
      <w:marLeft w:val="0"/>
      <w:marRight w:val="0"/>
      <w:marTop w:val="0"/>
      <w:marBottom w:val="0"/>
      <w:divBdr>
        <w:top w:val="none" w:sz="0" w:space="0" w:color="auto"/>
        <w:left w:val="none" w:sz="0" w:space="0" w:color="auto"/>
        <w:bottom w:val="none" w:sz="0" w:space="0" w:color="auto"/>
        <w:right w:val="none" w:sz="0" w:space="0" w:color="auto"/>
      </w:divBdr>
    </w:div>
    <w:div w:id="1885822094">
      <w:marLeft w:val="0"/>
      <w:marRight w:val="0"/>
      <w:marTop w:val="0"/>
      <w:marBottom w:val="0"/>
      <w:divBdr>
        <w:top w:val="none" w:sz="0" w:space="0" w:color="auto"/>
        <w:left w:val="none" w:sz="0" w:space="0" w:color="auto"/>
        <w:bottom w:val="none" w:sz="0" w:space="0" w:color="auto"/>
        <w:right w:val="none" w:sz="0" w:space="0" w:color="auto"/>
      </w:divBdr>
      <w:divsChild>
        <w:div w:id="1885822088">
          <w:marLeft w:val="0"/>
          <w:marRight w:val="0"/>
          <w:marTop w:val="0"/>
          <w:marBottom w:val="0"/>
          <w:divBdr>
            <w:top w:val="none" w:sz="0" w:space="0" w:color="auto"/>
            <w:left w:val="none" w:sz="0" w:space="0" w:color="auto"/>
            <w:bottom w:val="none" w:sz="0" w:space="0" w:color="auto"/>
            <w:right w:val="none" w:sz="0" w:space="0" w:color="auto"/>
          </w:divBdr>
          <w:divsChild>
            <w:div w:id="1885822099">
              <w:marLeft w:val="0"/>
              <w:marRight w:val="0"/>
              <w:marTop w:val="0"/>
              <w:marBottom w:val="0"/>
              <w:divBdr>
                <w:top w:val="none" w:sz="0" w:space="0" w:color="auto"/>
                <w:left w:val="none" w:sz="0" w:space="0" w:color="auto"/>
                <w:bottom w:val="none" w:sz="0" w:space="0" w:color="auto"/>
                <w:right w:val="none" w:sz="0" w:space="0" w:color="auto"/>
              </w:divBdr>
              <w:divsChild>
                <w:div w:id="1885822090">
                  <w:marLeft w:val="150"/>
                  <w:marRight w:val="150"/>
                  <w:marTop w:val="480"/>
                  <w:marBottom w:val="0"/>
                  <w:divBdr>
                    <w:top w:val="single" w:sz="6" w:space="28" w:color="D4D4D4"/>
                    <w:left w:val="none" w:sz="0" w:space="0" w:color="auto"/>
                    <w:bottom w:val="none" w:sz="0" w:space="0" w:color="auto"/>
                    <w:right w:val="none" w:sz="0" w:space="0" w:color="auto"/>
                  </w:divBdr>
                </w:div>
                <w:div w:id="1885822097">
                  <w:marLeft w:val="0"/>
                  <w:marRight w:val="0"/>
                  <w:marTop w:val="240"/>
                  <w:marBottom w:val="0"/>
                  <w:divBdr>
                    <w:top w:val="none" w:sz="0" w:space="0" w:color="auto"/>
                    <w:left w:val="none" w:sz="0" w:space="0" w:color="auto"/>
                    <w:bottom w:val="none" w:sz="0" w:space="0" w:color="auto"/>
                    <w:right w:val="none" w:sz="0" w:space="0" w:color="auto"/>
                  </w:divBdr>
                </w:div>
                <w:div w:id="18858221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85822101">
          <w:marLeft w:val="0"/>
          <w:marRight w:val="0"/>
          <w:marTop w:val="0"/>
          <w:marBottom w:val="0"/>
          <w:divBdr>
            <w:top w:val="none" w:sz="0" w:space="0" w:color="auto"/>
            <w:left w:val="none" w:sz="0" w:space="0" w:color="auto"/>
            <w:bottom w:val="none" w:sz="0" w:space="0" w:color="auto"/>
            <w:right w:val="none" w:sz="0" w:space="0" w:color="auto"/>
          </w:divBdr>
          <w:divsChild>
            <w:div w:id="1885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2095">
      <w:marLeft w:val="0"/>
      <w:marRight w:val="0"/>
      <w:marTop w:val="0"/>
      <w:marBottom w:val="0"/>
      <w:divBdr>
        <w:top w:val="none" w:sz="0" w:space="0" w:color="auto"/>
        <w:left w:val="none" w:sz="0" w:space="0" w:color="auto"/>
        <w:bottom w:val="none" w:sz="0" w:space="0" w:color="auto"/>
        <w:right w:val="none" w:sz="0" w:space="0" w:color="auto"/>
      </w:divBdr>
    </w:div>
    <w:div w:id="1885822096">
      <w:marLeft w:val="0"/>
      <w:marRight w:val="0"/>
      <w:marTop w:val="0"/>
      <w:marBottom w:val="0"/>
      <w:divBdr>
        <w:top w:val="none" w:sz="0" w:space="0" w:color="auto"/>
        <w:left w:val="none" w:sz="0" w:space="0" w:color="auto"/>
        <w:bottom w:val="none" w:sz="0" w:space="0" w:color="auto"/>
        <w:right w:val="none" w:sz="0" w:space="0" w:color="auto"/>
      </w:divBdr>
    </w:div>
    <w:div w:id="1885822098">
      <w:marLeft w:val="0"/>
      <w:marRight w:val="0"/>
      <w:marTop w:val="0"/>
      <w:marBottom w:val="0"/>
      <w:divBdr>
        <w:top w:val="none" w:sz="0" w:space="0" w:color="auto"/>
        <w:left w:val="none" w:sz="0" w:space="0" w:color="auto"/>
        <w:bottom w:val="none" w:sz="0" w:space="0" w:color="auto"/>
        <w:right w:val="none" w:sz="0" w:space="0" w:color="auto"/>
      </w:divBdr>
    </w:div>
    <w:div w:id="1885822102">
      <w:marLeft w:val="0"/>
      <w:marRight w:val="0"/>
      <w:marTop w:val="0"/>
      <w:marBottom w:val="0"/>
      <w:divBdr>
        <w:top w:val="none" w:sz="0" w:space="0" w:color="auto"/>
        <w:left w:val="none" w:sz="0" w:space="0" w:color="auto"/>
        <w:bottom w:val="none" w:sz="0" w:space="0" w:color="auto"/>
        <w:right w:val="none" w:sz="0" w:space="0" w:color="auto"/>
      </w:divBdr>
    </w:div>
    <w:div w:id="21302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icis.Rumniek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B36F-FB58-49A5-A251-0737D1AD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7118</Words>
  <Characters>4058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Anotācija Ministru kabineta noteikumu projektam „Grozījumi Ministru kabineta 2012.gada 13. novembra noteikumos Nr. 769 „Noteikumi par stacionāro tehnoloģisko iekārtu dalību Eiropas Savienības emisijas kvotu tirdzniecības sistēmā””</vt:lpstr>
    </vt:vector>
  </TitlesOfParts>
  <Manager>Helena.Rimsa@varam.gov.lv</Manager>
  <Company>Vides aizsardzības un reģionālās attīstības ministrija</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„Grozījumi Ministru kabineta 2012.gada 13. novembra noteikumos Nr. 769 „Noteikumi par stacionāro tehnoloģisko iekārtu dalību Eiropas Savienības emisijas kvotu tirdzniecības sistēmā””</dc:title>
  <dc:subject>Anotācija Ministru kabineta noteikumu projektam</dc:subject>
  <dc:creator>Helena Rimsa</dc:creator>
  <cp:lastModifiedBy>Kaspars Cirsis</cp:lastModifiedBy>
  <cp:revision>5</cp:revision>
  <cp:lastPrinted>2016-02-11T13:52:00Z</cp:lastPrinted>
  <dcterms:created xsi:type="dcterms:W3CDTF">2017-02-10T09:49:00Z</dcterms:created>
  <dcterms:modified xsi:type="dcterms:W3CDTF">2017-02-15T08:06:00Z</dcterms:modified>
  <cp:category>Vides politika</cp:category>
</cp:coreProperties>
</file>