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C2105A" w:rsidRPr="00325FB8" w:rsidP="00325FB8">
      <w:pPr>
        <w:jc w:val="center"/>
        <w:rPr>
          <w:b/>
          <w:color w:val="000000"/>
          <w:sz w:val="28"/>
          <w:szCs w:val="28"/>
        </w:rPr>
      </w:pPr>
      <w:bookmarkStart w:id="0" w:name="OLE_LINK1"/>
      <w:bookmarkStart w:id="1" w:name="OLE_LINK2"/>
      <w:r w:rsidRPr="00325FB8">
        <w:rPr>
          <w:b/>
          <w:color w:val="000000"/>
          <w:sz w:val="28"/>
          <w:szCs w:val="28"/>
        </w:rPr>
        <w:t>Minist</w:t>
      </w:r>
      <w:r w:rsidR="00C60964">
        <w:rPr>
          <w:b/>
          <w:color w:val="000000"/>
          <w:sz w:val="28"/>
          <w:szCs w:val="28"/>
        </w:rPr>
        <w:t>ru kabineta noteikumu projekta “</w:t>
      </w:r>
      <w:r w:rsidRPr="00325FB8">
        <w:rPr>
          <w:b/>
          <w:color w:val="000000"/>
          <w:sz w:val="28"/>
          <w:szCs w:val="28"/>
        </w:rPr>
        <w:t>Grozījumi Ministru kabineta 2013.</w:t>
      </w:r>
      <w:r w:rsidRPr="00325FB8" w:rsidR="00106C6E">
        <w:rPr>
          <w:b/>
          <w:color w:val="000000"/>
          <w:sz w:val="28"/>
          <w:szCs w:val="28"/>
        </w:rPr>
        <w:t> </w:t>
      </w:r>
      <w:r w:rsidRPr="00325FB8">
        <w:rPr>
          <w:b/>
          <w:color w:val="000000"/>
          <w:sz w:val="28"/>
          <w:szCs w:val="28"/>
        </w:rPr>
        <w:t>gada 3.</w:t>
      </w:r>
      <w:r w:rsidRPr="00325FB8" w:rsidR="00106C6E">
        <w:rPr>
          <w:b/>
          <w:color w:val="000000"/>
          <w:sz w:val="28"/>
          <w:szCs w:val="28"/>
        </w:rPr>
        <w:t> </w:t>
      </w:r>
      <w:r w:rsidRPr="00325FB8">
        <w:rPr>
          <w:b/>
          <w:color w:val="000000"/>
          <w:sz w:val="28"/>
          <w:szCs w:val="28"/>
        </w:rPr>
        <w:t>septembra noteikumos Nr.</w:t>
      </w:r>
      <w:r w:rsidRPr="00325FB8" w:rsidR="00106C6E">
        <w:rPr>
          <w:b/>
          <w:color w:val="000000"/>
          <w:sz w:val="28"/>
          <w:szCs w:val="28"/>
        </w:rPr>
        <w:t> </w:t>
      </w:r>
      <w:r w:rsidR="00C60964">
        <w:rPr>
          <w:b/>
          <w:color w:val="000000"/>
          <w:sz w:val="28"/>
          <w:szCs w:val="28"/>
        </w:rPr>
        <w:t>752 “</w:t>
      </w:r>
      <w:r w:rsidRPr="00325FB8">
        <w:rPr>
          <w:b/>
          <w:color w:val="000000"/>
          <w:sz w:val="28"/>
          <w:szCs w:val="28"/>
        </w:rPr>
        <w:t>Valsts sabie</w:t>
      </w:r>
      <w:r w:rsidR="00C60964">
        <w:rPr>
          <w:b/>
          <w:color w:val="000000"/>
          <w:sz w:val="28"/>
          <w:szCs w:val="28"/>
        </w:rPr>
        <w:t>drības ar ierobežotu atbildību “</w:t>
      </w:r>
      <w:r w:rsidRPr="00325FB8">
        <w:rPr>
          <w:b/>
          <w:color w:val="000000"/>
          <w:sz w:val="28"/>
          <w:szCs w:val="28"/>
        </w:rPr>
        <w:t>Latvijas Vides, ģeoloģijas un meteoroloģijas centrs” maksas pakalpojumu cenrādis”” sākotnējās ietekmes novērtējuma ziņojums (anotācija)</w:t>
      </w:r>
    </w:p>
    <w:p w:rsidR="00C2105A" w:rsidRPr="006A32CD" w:rsidP="00C2105A">
      <w:pPr>
        <w:ind w:firstLine="300"/>
        <w:jc w:val="center"/>
        <w:rPr>
          <w:i/>
          <w:iCs/>
          <w:color w:val="000000"/>
          <w:sz w:val="20"/>
          <w:szCs w:val="20"/>
        </w:rPr>
      </w:pPr>
      <w:bookmarkEnd w:id="0"/>
      <w:bookmarkEnd w:id="1"/>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67"/>
        <w:gridCol w:w="2085"/>
        <w:gridCol w:w="6515"/>
      </w:tblGrid>
      <w:tr w:rsidTr="00AE28AB">
        <w:tblPrEx>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rHeight w:val="255"/>
          <w:jc w:val="center"/>
        </w:trPr>
        <w:tc>
          <w:tcPr>
            <w:tcW w:w="9067" w:type="dxa"/>
            <w:gridSpan w:val="3"/>
            <w:vAlign w:val="center"/>
            <w:hideMark/>
          </w:tcPr>
          <w:p w:rsidR="00C2105A" w:rsidRPr="008F6DD0" w:rsidP="006F6C35">
            <w:pPr>
              <w:jc w:val="center"/>
              <w:rPr>
                <w:b/>
                <w:bCs/>
                <w:color w:val="000000"/>
              </w:rPr>
            </w:pPr>
            <w:r w:rsidRPr="008F6DD0">
              <w:rPr>
                <w:b/>
                <w:bCs/>
                <w:color w:val="000000"/>
              </w:rPr>
              <w:t>I. Tiesību akta projekta izstrādes nepieciešamība</w:t>
            </w:r>
          </w:p>
        </w:tc>
      </w:tr>
      <w:tr w:rsidTr="00AE28AB">
        <w:tblPrEx>
          <w:tblW w:w="9067" w:type="dxa"/>
          <w:jc w:val="center"/>
          <w:tblCellMar>
            <w:left w:w="57" w:type="dxa"/>
            <w:right w:w="57" w:type="dxa"/>
          </w:tblCellMar>
          <w:tblLook w:val="04A0"/>
        </w:tblPrEx>
        <w:trPr>
          <w:trHeight w:val="405"/>
          <w:jc w:val="center"/>
        </w:trPr>
        <w:tc>
          <w:tcPr>
            <w:tcW w:w="467" w:type="dxa"/>
            <w:hideMark/>
          </w:tcPr>
          <w:p w:rsidR="00C2105A" w:rsidRPr="008F6DD0" w:rsidP="006F6C35">
            <w:pPr>
              <w:jc w:val="center"/>
              <w:rPr>
                <w:color w:val="000000"/>
              </w:rPr>
            </w:pPr>
            <w:r w:rsidRPr="008F6DD0">
              <w:rPr>
                <w:color w:val="000000"/>
              </w:rPr>
              <w:t>1.</w:t>
            </w:r>
          </w:p>
        </w:tc>
        <w:tc>
          <w:tcPr>
            <w:tcW w:w="2085" w:type="dxa"/>
            <w:hideMark/>
          </w:tcPr>
          <w:p w:rsidR="00C2105A" w:rsidRPr="008F6DD0" w:rsidP="006F6C35">
            <w:pPr>
              <w:rPr>
                <w:color w:val="000000"/>
              </w:rPr>
            </w:pPr>
            <w:r w:rsidRPr="008F6DD0">
              <w:rPr>
                <w:color w:val="000000"/>
              </w:rPr>
              <w:t>Pamatojums</w:t>
            </w:r>
          </w:p>
        </w:tc>
        <w:tc>
          <w:tcPr>
            <w:tcW w:w="6515" w:type="dxa"/>
            <w:hideMark/>
          </w:tcPr>
          <w:p w:rsidR="00C2105A" w:rsidRPr="008F6DD0" w:rsidP="00C2105A">
            <w:pPr>
              <w:pStyle w:val="naiskr"/>
              <w:numPr>
                <w:ilvl w:val="0"/>
                <w:numId w:val="8"/>
              </w:numPr>
              <w:jc w:val="both"/>
            </w:pPr>
            <w:r w:rsidRPr="008F6DD0">
              <w:t>Eiropas Parlamenta un Padomes 2012.</w:t>
            </w:r>
            <w:r w:rsidRPr="008F6DD0" w:rsidR="00106C6E">
              <w:t> </w:t>
            </w:r>
            <w:r w:rsidRPr="008F6DD0">
              <w:t>gada 22.</w:t>
            </w:r>
            <w:r w:rsidRPr="008F6DD0" w:rsidR="00106C6E">
              <w:t> </w:t>
            </w:r>
            <w:r w:rsidRPr="008F6DD0">
              <w:t>maija Regulas (ES) Nr.528/2012 par biocīdu piedāvāšanu tirgū un lietošanu (turpmāk – regula Nr.528/2012) 80.</w:t>
            </w:r>
            <w:r w:rsidRPr="008F6DD0" w:rsidR="005D37A3">
              <w:t> </w:t>
            </w:r>
            <w:r w:rsidRPr="008F6DD0">
              <w:t>panta 2.</w:t>
            </w:r>
            <w:r w:rsidRPr="008F6DD0" w:rsidR="005D37A3">
              <w:t> </w:t>
            </w:r>
            <w:r w:rsidRPr="008F6DD0">
              <w:t>punkts,</w:t>
            </w:r>
          </w:p>
          <w:p w:rsidR="00C2105A" w:rsidRPr="008F6DD0" w:rsidP="00C2105A">
            <w:pPr>
              <w:pStyle w:val="naiskr"/>
              <w:numPr>
                <w:ilvl w:val="0"/>
                <w:numId w:val="8"/>
              </w:numPr>
              <w:jc w:val="both"/>
            </w:pPr>
            <w:r w:rsidRPr="008F6DD0">
              <w:t>likuma „Par zemes dzīlēm” 5.</w:t>
            </w:r>
            <w:r w:rsidRPr="008F6DD0" w:rsidR="00662556">
              <w:t> </w:t>
            </w:r>
            <w:r w:rsidRPr="008F6DD0">
              <w:t>panta ceturtās daļas otrais punkts,</w:t>
            </w:r>
          </w:p>
          <w:p w:rsidR="00C2105A" w:rsidRPr="008F6DD0" w:rsidP="00C2105A">
            <w:pPr>
              <w:pStyle w:val="naiskr"/>
              <w:numPr>
                <w:ilvl w:val="0"/>
                <w:numId w:val="8"/>
              </w:numPr>
              <w:jc w:val="both"/>
            </w:pPr>
            <w:r w:rsidRPr="008F6DD0">
              <w:t>likuma „Par radiācijas drošību un kodoldrošību” 13.</w:t>
            </w:r>
            <w:r w:rsidRPr="008F6DD0" w:rsidR="005A2498">
              <w:t> </w:t>
            </w:r>
            <w:r w:rsidRPr="008F6DD0">
              <w:t>panta 4.</w:t>
            </w:r>
            <w:r w:rsidRPr="008F6DD0">
              <w:rPr>
                <w:vertAlign w:val="superscript"/>
              </w:rPr>
              <w:t>1</w:t>
            </w:r>
            <w:r w:rsidRPr="008F6DD0">
              <w:t>daļa,</w:t>
            </w:r>
          </w:p>
          <w:p w:rsidR="00C2105A" w:rsidRPr="008F6DD0" w:rsidP="002861F0">
            <w:pPr>
              <w:pStyle w:val="naiskr"/>
              <w:numPr>
                <w:ilvl w:val="0"/>
                <w:numId w:val="8"/>
              </w:numPr>
              <w:jc w:val="both"/>
            </w:pPr>
            <w:r w:rsidRPr="008F6DD0">
              <w:t>2016. gada 29. jūnijā ir veikti grozījumi likumā "Par piesārņojumu", kas nosaka, ka Ministru kabinets nosaka cenrādi maksas pakalpojumiem par stacionāru piesārņojuma avotu emisijas limita projektu izstrādi, tādēļ esošais cenrādis jāpapildina ar attiecīgām normām. Maksas pakalpojumu cenrādis Ministru kabinetam jāizdod līdz 2016.gada 31.decembrim.</w:t>
            </w:r>
          </w:p>
        </w:tc>
      </w:tr>
      <w:tr w:rsidTr="00AE28AB">
        <w:tblPrEx>
          <w:tblW w:w="9067" w:type="dxa"/>
          <w:jc w:val="center"/>
          <w:tblCellMar>
            <w:left w:w="57" w:type="dxa"/>
            <w:right w:w="57" w:type="dxa"/>
          </w:tblCellMar>
          <w:tblLook w:val="04A0"/>
        </w:tblPrEx>
        <w:trPr>
          <w:trHeight w:val="465"/>
          <w:jc w:val="center"/>
        </w:trPr>
        <w:tc>
          <w:tcPr>
            <w:tcW w:w="467" w:type="dxa"/>
            <w:hideMark/>
          </w:tcPr>
          <w:p w:rsidR="00C2105A" w:rsidRPr="008F6DD0" w:rsidP="006F6C35">
            <w:pPr>
              <w:jc w:val="center"/>
              <w:rPr>
                <w:color w:val="000000"/>
              </w:rPr>
            </w:pPr>
            <w:r w:rsidRPr="008F6DD0">
              <w:rPr>
                <w:color w:val="000000"/>
              </w:rPr>
              <w:t>2.</w:t>
            </w:r>
          </w:p>
        </w:tc>
        <w:tc>
          <w:tcPr>
            <w:tcW w:w="2085" w:type="dxa"/>
            <w:hideMark/>
          </w:tcPr>
          <w:p w:rsidR="00C2105A" w:rsidRPr="007B0C8C" w:rsidP="00C538ED">
            <w:pPr>
              <w:rPr>
                <w:color w:val="000000"/>
              </w:rPr>
            </w:pPr>
            <w:r w:rsidRPr="008F6DD0">
              <w:rPr>
                <w:color w:val="000000"/>
              </w:rPr>
              <w:t>Pašreizējā situācija un problēmas, kuru risināšanai tiesību akta projekts izstrādāts, tiesiskā regulējuma mērķis un būtība</w:t>
            </w:r>
          </w:p>
        </w:tc>
        <w:tc>
          <w:tcPr>
            <w:tcW w:w="6515" w:type="dxa"/>
            <w:hideMark/>
          </w:tcPr>
          <w:p w:rsidR="00C2105A" w:rsidRPr="006F6C35" w:rsidP="006847D9">
            <w:pPr>
              <w:pStyle w:val="naiskr"/>
              <w:numPr>
                <w:ilvl w:val="0"/>
                <w:numId w:val="9"/>
              </w:numPr>
              <w:jc w:val="both"/>
            </w:pPr>
            <w:r w:rsidRPr="007E5F01">
              <w:t>Regulas Nr.528/2012 80.</w:t>
            </w:r>
            <w:r w:rsidRPr="007E5F01" w:rsidR="00106C6E">
              <w:t> </w:t>
            </w:r>
            <w:r w:rsidRPr="007E5F01">
              <w:t>panta 2.</w:t>
            </w:r>
            <w:r w:rsidRPr="007E5F01" w:rsidR="00106C6E">
              <w:t> </w:t>
            </w:r>
            <w:r w:rsidRPr="007E5F01">
              <w:t xml:space="preserve">punkts paredz, ka dalībvalsts tieši iekasē maksu no pieteikuma iesniedzējiem par pakalpojumiem, ko tā sniedz attiecībā uz šajā regulā noteiktajām procedūrām, tostarp par pakalpojumiem, ko veikušas kompetentās iestādes, kas veic novērtēšanu, piemēram, aktīvās vielas vai Eiropas Savienības atļaujas gadījumā. Kopš regulas Nr.528/2012  stāšanās spēkā ir pieņemti vairāki ar tās prasībām saistīti normatīvie akti, kas precīzi nodefinē procesu, kā arī, ir gūta praktiska pieredze, </w:t>
            </w:r>
            <w:r w:rsidRPr="007E5F01" w:rsidR="000C530C">
              <w:t>kas ļauj novērtēt darba apjomu.</w:t>
            </w:r>
            <w:r w:rsidRPr="007E5F01">
              <w:t xml:space="preserve"> Līdz ar to ir nepieciešams pārskatīt pašreiz noteiktās izmaksas Ministru kabineta 2013.</w:t>
            </w:r>
            <w:r w:rsidRPr="007E5F01" w:rsidR="00106C6E">
              <w:t> </w:t>
            </w:r>
            <w:r w:rsidRPr="007E5F01">
              <w:t>gada 3.</w:t>
            </w:r>
            <w:r w:rsidRPr="007E5F01" w:rsidR="00106C6E">
              <w:t> </w:t>
            </w:r>
            <w:r w:rsidR="00C60964">
              <w:t>septembra noteikumos Nr.752 “</w:t>
            </w:r>
            <w:r w:rsidRPr="007E5F01">
              <w:t>Valsts sabie</w:t>
            </w:r>
            <w:r w:rsidR="00C60964">
              <w:t>drības ar ierobežotu atbildību “</w:t>
            </w:r>
            <w:r w:rsidRPr="007E5F01">
              <w:t>Latvijas Vides, ģeoloģijas un meteoroloģijas centrs” maksas pakalpojumu cenrādis” un papildināt ar jaunām pozīcijām par regulas Nr.528/2012 ietvaros veiktajiem pakalpojumiem. Lai kompetentās iestādes veiktu darbu saskaņā ar normatīvo aktu prasībām un kvalitatīvi maksas ir jāparedz tādas, lai pilnībā segtu izvērtēšanas izmaksas. 2014.</w:t>
            </w:r>
            <w:r w:rsidRPr="007E5F01" w:rsidR="00106C6E">
              <w:t> </w:t>
            </w:r>
            <w:r w:rsidRPr="007E5F01">
              <w:t>gada 11.</w:t>
            </w:r>
            <w:r w:rsidRPr="007E5F01" w:rsidR="00106C6E">
              <w:t> </w:t>
            </w:r>
            <w:r w:rsidRPr="007E5F01">
              <w:t>martā tika pieņemta Eiropas Parlamenta un Padomes regula (ES) Nr.334/2014 ar ko attiecībā uz konkrētiem nosacījumiem par piekļuvi tirgum groza Regulu (ES) Nr. 528/2012 par biocīdu piedāvāšanu tirgū un lietošanu, kuras ietvaros tiek grozīta definīcija “biocīdu saimei”, kas būtiski paplašina tā</w:t>
            </w:r>
            <w:r w:rsidRPr="007E5F01" w:rsidR="00EB31F5">
              <w:t>s</w:t>
            </w:r>
            <w:r w:rsidRPr="007E5F01">
              <w:t xml:space="preserve"> tvērumu, līdz ar to jāpārskata pašreiz noteiktās izmaksas. Biocīdu izvērtēšanas sadaļa ir jāpapildina ar jaunām </w:t>
            </w:r>
            <w:r w:rsidRPr="007E5F01">
              <w:t>pozīcijām</w:t>
            </w:r>
            <w:r w:rsidRPr="007E5F01" w:rsidR="009B2BEE">
              <w:t>,</w:t>
            </w:r>
            <w:r w:rsidRPr="007E5F01">
              <w:t xml:space="preserve"> ņemot vērā Eiropas Komisijas 2014.</w:t>
            </w:r>
            <w:r w:rsidRPr="007E5F01" w:rsidR="00106C6E">
              <w:t> </w:t>
            </w:r>
            <w:r w:rsidRPr="007E5F01">
              <w:t>gada 31.</w:t>
            </w:r>
            <w:r w:rsidRPr="007E5F01" w:rsidR="00106C6E">
              <w:t> </w:t>
            </w:r>
            <w:r w:rsidRPr="007E5F01">
              <w:t>janvāra īstenošanas regulu (ES) Nr. 88/2014, ar kuru nosaka procedūru, kas jāievēro, grozot I pielikumu Eiropas Parlamenta un Padomes regulā (ES) Nr. 528/2012 par biocīdu piedāvāšanu tirgū un lietošanu un Eiropas Komisijas 2014.</w:t>
            </w:r>
            <w:r w:rsidRPr="007E5F01" w:rsidR="00106C6E">
              <w:t> </w:t>
            </w:r>
            <w:r w:rsidRPr="007E5F01">
              <w:t>gada 7.</w:t>
            </w:r>
            <w:r w:rsidRPr="007E5F01" w:rsidR="00106C6E">
              <w:t> </w:t>
            </w:r>
            <w:r w:rsidRPr="007E5F01">
              <w:t>marta deleģētās regulas (ES) Nr. 492/2014, kas papildina Eiropas Parlamenta un Padomes regulu (ES) Nr. 528/2012 attiecībā uz noteikumiem par atļaujas atjaunošanu biocīdiem, uz kuriem attiecas savstarpējā atzīšana</w:t>
            </w:r>
            <w:r w:rsidRPr="007E5F01" w:rsidR="00674314">
              <w:t>,</w:t>
            </w:r>
            <w:r w:rsidRPr="007E5F01">
              <w:t xml:space="preserve"> prasības. 2014.</w:t>
            </w:r>
            <w:r w:rsidRPr="007E5F01" w:rsidR="00106C6E">
              <w:t> </w:t>
            </w:r>
            <w:r w:rsidRPr="007E5F01">
              <w:t>gadā VSIA “Latvijas Vides, ģeoloģijas un meteoroloģijas centrs” (turpmāk tekstā – LVĢMC) izvērtēja pieteikumu vienkāršotās atļaujas piešķiršanai saskaņā ar regulas Nr. 528/2012 V nodaļu un vairākus pieteikum</w:t>
            </w:r>
            <w:r w:rsidRPr="007E5F01" w:rsidR="00674314">
              <w:t>u</w:t>
            </w:r>
            <w:r w:rsidRPr="007E5F01">
              <w:t xml:space="preserve"> izmaiņām saskaņā ar regulas Nr. 528/2012 50.</w:t>
            </w:r>
            <w:r w:rsidRPr="007E5F01" w:rsidR="00106C6E">
              <w:t> </w:t>
            </w:r>
            <w:r w:rsidRPr="007E5F01">
              <w:t xml:space="preserve">pantu, kuras laikā tika gūta pieredze šādu darbu veikšanai un līdz ar to radīja nepieciešamību pārrēķināt pašreiz </w:t>
            </w:r>
            <w:r w:rsidRPr="006F6C35">
              <w:t>noteiktās cenas, lai pilnībā segtu izvērtēšanas izmaksas.</w:t>
            </w:r>
            <w:r w:rsidRPr="006F6C35" w:rsidR="00BD499C">
              <w:t xml:space="preserve"> </w:t>
            </w:r>
            <w:r w:rsidRPr="006F6C35" w:rsidR="001A4F7D">
              <w:t>Komersanti</w:t>
            </w:r>
            <w:r w:rsidRPr="006F6C35" w:rsidR="00E345CA">
              <w:t>em</w:t>
            </w:r>
            <w:r w:rsidRPr="006F6C35" w:rsidR="00BD499C">
              <w:t>, kuri vēlēsies saņemt atļauju vienkāršotās procedūras ietvaros</w:t>
            </w:r>
            <w:r w:rsidRPr="006F6C35" w:rsidR="00E345CA">
              <w:t>,</w:t>
            </w:r>
            <w:r w:rsidRPr="006F6C35" w:rsidR="00BD499C">
              <w:t xml:space="preserve"> turpmāk </w:t>
            </w:r>
            <w:r w:rsidRPr="006F6C35" w:rsidR="00380023">
              <w:t xml:space="preserve">būs jārēķinās </w:t>
            </w:r>
            <w:r w:rsidRPr="006F6C35" w:rsidR="00BD499C">
              <w:t xml:space="preserve">ar paaugstinātām izmaksām atļaujas saņemšanai. </w:t>
            </w:r>
            <w:r w:rsidRPr="006F6C35" w:rsidR="00380023">
              <w:t>Atbilstoši noteikumu projektā noteiktajam, komersant</w:t>
            </w:r>
            <w:r w:rsidRPr="006F6C35" w:rsidR="00E345CA">
              <w:t>iem, kuriem</w:t>
            </w:r>
            <w:r w:rsidRPr="006F6C35" w:rsidR="00380023">
              <w:t xml:space="preserve"> būs nepieciešama atsevišķa biocīda pieteikuma izvērtēšana,</w:t>
            </w:r>
            <w:r w:rsidRPr="006F6C35" w:rsidR="007668F1">
              <w:t xml:space="preserve"> lai piešķirtu atļauju vienkāršotās procedūras ietvaros,</w:t>
            </w:r>
            <w:r w:rsidRPr="006F6C35" w:rsidR="00380023">
              <w:t xml:space="preserve"> iepriekš noteikto 1</w:t>
            </w:r>
            <w:r w:rsidRPr="006F6C35" w:rsidR="006847D9">
              <w:t xml:space="preserve"> </w:t>
            </w:r>
            <w:r w:rsidRPr="006F6C35" w:rsidR="00380023">
              <w:t>376,06</w:t>
            </w:r>
            <w:r w:rsidRPr="006F6C35" w:rsidR="00345E35">
              <w:t> </w:t>
            </w:r>
            <w:r w:rsidRPr="006F6C35" w:rsidR="00380023">
              <w:rPr>
                <w:i/>
              </w:rPr>
              <w:t>euro</w:t>
            </w:r>
            <w:r w:rsidRPr="006F6C35" w:rsidR="00380023">
              <w:t xml:space="preserve"> vietā turpmāk būs jāmaksā 12026,34</w:t>
            </w:r>
            <w:r w:rsidRPr="006F6C35" w:rsidR="00345E35">
              <w:t> </w:t>
            </w:r>
            <w:r w:rsidRPr="006F6C35" w:rsidR="00380023">
              <w:rPr>
                <w:i/>
              </w:rPr>
              <w:t>euro</w:t>
            </w:r>
            <w:r w:rsidRPr="006F6C35" w:rsidR="00380023">
              <w:t>. Komersant</w:t>
            </w:r>
            <w:r w:rsidRPr="006F6C35" w:rsidR="00E345CA">
              <w:t>iem, kuriem</w:t>
            </w:r>
            <w:r w:rsidRPr="006F6C35" w:rsidR="00380023">
              <w:t xml:space="preserve"> būs nepieciešama biocīdu saimes pieteikuma izvērtēšana,</w:t>
            </w:r>
            <w:r w:rsidRPr="006F6C35" w:rsidR="007668F1">
              <w:t xml:space="preserve"> lai piešķirtu atļauju vienkāršotās procedūras ietvaros,</w:t>
            </w:r>
            <w:r w:rsidRPr="006F6C35" w:rsidR="00380023">
              <w:t xml:space="preserve"> iepriekš noteikto 1</w:t>
            </w:r>
            <w:r w:rsidRPr="006F6C35" w:rsidR="006847D9">
              <w:t xml:space="preserve"> </w:t>
            </w:r>
            <w:r w:rsidRPr="006F6C35" w:rsidR="00380023">
              <w:t>926,52</w:t>
            </w:r>
            <w:r w:rsidRPr="006F6C35" w:rsidR="00345E35">
              <w:t> </w:t>
            </w:r>
            <w:r w:rsidRPr="006F6C35" w:rsidR="00380023">
              <w:rPr>
                <w:i/>
              </w:rPr>
              <w:t>euro</w:t>
            </w:r>
            <w:r w:rsidRPr="006F6C35" w:rsidR="00380023">
              <w:t xml:space="preserve"> vietā turpmāk būs jāmaksā 13</w:t>
            </w:r>
            <w:r w:rsidRPr="006F6C35" w:rsidR="006847D9">
              <w:t xml:space="preserve"> </w:t>
            </w:r>
            <w:r w:rsidRPr="006F6C35" w:rsidR="00E92E85">
              <w:t>750</w:t>
            </w:r>
            <w:r w:rsidRPr="006F6C35" w:rsidR="00380023">
              <w:t>,48</w:t>
            </w:r>
            <w:r w:rsidRPr="006F6C35" w:rsidR="00345E35">
              <w:t> </w:t>
            </w:r>
            <w:r w:rsidRPr="006F6C35" w:rsidR="00380023">
              <w:rPr>
                <w:i/>
              </w:rPr>
              <w:t>euro</w:t>
            </w:r>
            <w:r w:rsidRPr="006F6C35" w:rsidR="00380023">
              <w:t xml:space="preserve">. </w:t>
            </w:r>
            <w:r w:rsidRPr="006F6C35" w:rsidR="007668F1">
              <w:t>Kopš regula</w:t>
            </w:r>
            <w:r w:rsidRPr="006F6C35" w:rsidR="00D071C2">
              <w:t>s 528/2012</w:t>
            </w:r>
            <w:r w:rsidRPr="006F6C35" w:rsidR="007668F1">
              <w:t xml:space="preserve"> stāšanās spēkā ir būtiski precizēta procedūra vienkāršotās atļaujas piešķiršanai</w:t>
            </w:r>
            <w:r w:rsidRPr="006F6C35" w:rsidR="00C279C8">
              <w:t>.</w:t>
            </w:r>
            <w:r w:rsidRPr="006F6C35" w:rsidR="007668F1">
              <w:t xml:space="preserve"> 2014.gadā LVĢMC piešķīra pirmo atļauju vienkāršotājā procedūrā Eiropas Savienībā</w:t>
            </w:r>
            <w:r w:rsidRPr="006F6C35" w:rsidR="00D071C2">
              <w:t>, kuras laikā, i</w:t>
            </w:r>
            <w:r w:rsidRPr="006F6C35" w:rsidR="008C0AD6">
              <w:t>evērojot regulas 528/2012 26.</w:t>
            </w:r>
            <w:r w:rsidRPr="006F6C35" w:rsidR="00C279C8">
              <w:t> panta</w:t>
            </w:r>
            <w:r w:rsidRPr="006F6C35" w:rsidR="008C0AD6">
              <w:t xml:space="preserve"> prasības, kā arī citus ar šo procedūru saistīto </w:t>
            </w:r>
            <w:r w:rsidRPr="006F6C35" w:rsidR="00D071C2">
              <w:t>kompetento</w:t>
            </w:r>
            <w:r w:rsidRPr="006F6C35" w:rsidR="008C0AD6">
              <w:t xml:space="preserve"> iestāžu dokumentus, tika konstatēts, ka </w:t>
            </w:r>
            <w:r w:rsidRPr="006F6C35" w:rsidR="00C279C8">
              <w:t>vienkāršotas atļaujas</w:t>
            </w:r>
            <w:r w:rsidRPr="006F6C35" w:rsidR="008C0AD6">
              <w:t xml:space="preserve"> pieteikumu izvērtēšanai ir nepieciešams</w:t>
            </w:r>
            <w:r w:rsidRPr="006F6C35" w:rsidR="00D071C2">
              <w:t xml:space="preserve"> </w:t>
            </w:r>
            <w:r w:rsidRPr="006F6C35" w:rsidR="008C0AD6">
              <w:t>piesaistīt ārējos ekspertus</w:t>
            </w:r>
            <w:r w:rsidRPr="006F6C35" w:rsidR="00C279C8">
              <w:t>,</w:t>
            </w:r>
            <w:r w:rsidRPr="006F6C35" w:rsidR="008C0AD6">
              <w:t xml:space="preserve"> efektivitātes un vielu, kas rada bažas, izvērtēšanai. </w:t>
            </w:r>
            <w:r w:rsidRPr="006F6C35" w:rsidR="00C279C8">
              <w:t xml:space="preserve">Saskaņā ar </w:t>
            </w:r>
            <w:r w:rsidRPr="006F6C35" w:rsidR="00BD499C">
              <w:t>LVĢMC rīcībā esošo informāciju Latvijā netiek ražoti biocīdi, kuriem varētu piemērot vienkāršotās atļaujas procedūru. Tomēr, ņemot vērā pašreizējo praksi un pieredzi tirgū, par šādu atļaujas saņemšanu Latvijas kompetentajā iestādē interesējas un ir saņēmuši tikai ārvalstu uzņēmumi</w:t>
            </w:r>
            <w:r w:rsidRPr="006F6C35" w:rsidR="007B0BA4">
              <w:t>, kas saskaņā ar regulas 528/2012 prasībām var izvēlēties jebkuru Eiropas Savienības dalībvalsti, kur saņemt atļauju vienkāršotās procedūras ietvaros.</w:t>
            </w:r>
            <w:r w:rsidRPr="006F6C35" w:rsidR="00BD499C">
              <w:t xml:space="preserve"> Līdz ar to, ja Latvijas </w:t>
            </w:r>
            <w:r w:rsidRPr="006F6C35" w:rsidR="001A4F7D">
              <w:t>komersanti</w:t>
            </w:r>
            <w:r w:rsidRPr="006F6C35" w:rsidR="00BD499C">
              <w:t xml:space="preserve"> vēlas izvietot Latvijas tirgū biocīdu, kuram ir piešķirta atļauja </w:t>
            </w:r>
            <w:r w:rsidRPr="006F6C35" w:rsidR="00BD499C">
              <w:t>vienkāršotājā procedūrā</w:t>
            </w:r>
            <w:r w:rsidRPr="006F6C35" w:rsidR="00E57671">
              <w:t xml:space="preserve"> citā Eiropas Savienības dalībvalstī</w:t>
            </w:r>
            <w:r w:rsidRPr="006F6C35" w:rsidR="00BD499C">
              <w:t xml:space="preserve">, ir nepieciešams vienoties, ka atļaujas turētājs paziņo par attiecīgi piešķirto atļauju Latvijas kompetentajā iestādē. Gadījumos, kad atļauju vienkāršotājā procedūrā ir piešķīris LVĢMC, tad Latvijas </w:t>
            </w:r>
            <w:r w:rsidRPr="006F6C35" w:rsidR="00BB2CF2">
              <w:t>komersantiem</w:t>
            </w:r>
            <w:r w:rsidRPr="006F6C35" w:rsidR="006847D9">
              <w:t xml:space="preserve"> </w:t>
            </w:r>
            <w:r w:rsidRPr="006F6C35" w:rsidR="00BD499C">
              <w:t>nekādas papildu darbības nav jāveic, tik jāvienojas ar ražotāju par piegādi.</w:t>
            </w:r>
            <w:r w:rsidRPr="006F6C35" w:rsidR="007B0BA4">
              <w:t xml:space="preserve"> Saskaņā ar publiski pieejamo informāciju maksa par vienkāršotās atļaujas piešķiršanu</w:t>
            </w:r>
            <w:r w:rsidRPr="006F6C35" w:rsidR="00E57671">
              <w:t xml:space="preserve"> atsevišķam biocīdam</w:t>
            </w:r>
            <w:r w:rsidRPr="006F6C35" w:rsidR="007B0BA4">
              <w:t xml:space="preserve"> </w:t>
            </w:r>
            <w:r w:rsidRPr="006F6C35" w:rsidR="00E57671">
              <w:t>citās</w:t>
            </w:r>
            <w:r w:rsidRPr="006F6C35" w:rsidR="007B0BA4">
              <w:t xml:space="preserve"> </w:t>
            </w:r>
            <w:r w:rsidRPr="006F6C35" w:rsidR="006847D9">
              <w:t xml:space="preserve">Eiropas Savienības </w:t>
            </w:r>
            <w:r w:rsidRPr="006F6C35" w:rsidR="007B0BA4">
              <w:t>dalībvalstīs ir</w:t>
            </w:r>
            <w:r w:rsidRPr="006F6C35" w:rsidR="006847D9">
              <w:t xml:space="preserve"> šādas</w:t>
            </w:r>
            <w:r w:rsidRPr="006F6C35" w:rsidR="006A4153">
              <w:t>:</w:t>
            </w:r>
            <w:r w:rsidRPr="006F6C35" w:rsidR="006847D9">
              <w:t xml:space="preserve"> </w:t>
            </w:r>
            <w:r w:rsidRPr="006F6C35" w:rsidR="006A4153">
              <w:t>Dānij</w:t>
            </w:r>
            <w:r w:rsidRPr="006F6C35" w:rsidR="006847D9">
              <w:t>ā</w:t>
            </w:r>
            <w:r w:rsidRPr="006F6C35" w:rsidR="006A4153">
              <w:t xml:space="preserve"> – kopējās izmaksas 17</w:t>
            </w:r>
            <w:r w:rsidRPr="006F6C35" w:rsidR="00BB2CF2">
              <w:t> </w:t>
            </w:r>
            <w:r w:rsidRPr="006F6C35" w:rsidR="006A4153">
              <w:t>923</w:t>
            </w:r>
            <w:r w:rsidRPr="006F6C35" w:rsidR="00BB2CF2">
              <w:t> </w:t>
            </w:r>
            <w:r w:rsidRPr="006F6C35" w:rsidR="006A4153">
              <w:rPr>
                <w:i/>
              </w:rPr>
              <w:t>euro</w:t>
            </w:r>
            <w:r w:rsidRPr="006F6C35" w:rsidR="006A4153">
              <w:t>;</w:t>
            </w:r>
            <w:r w:rsidRPr="006F6C35" w:rsidR="006847D9">
              <w:t xml:space="preserve"> </w:t>
            </w:r>
            <w:r w:rsidRPr="006F6C35" w:rsidR="007B0BA4">
              <w:t>N</w:t>
            </w:r>
            <w:r w:rsidRPr="006F6C35" w:rsidR="006A4153">
              <w:t>īderland</w:t>
            </w:r>
            <w:r w:rsidRPr="006F6C35" w:rsidR="006847D9">
              <w:t>ē</w:t>
            </w:r>
            <w:r w:rsidRPr="006F6C35" w:rsidR="006A4153">
              <w:t xml:space="preserve"> – </w:t>
            </w:r>
            <w:r w:rsidRPr="006F6C35" w:rsidR="00BB2CF2">
              <w:t>7 </w:t>
            </w:r>
            <w:r w:rsidRPr="006F6C35" w:rsidR="006A4153">
              <w:t>296</w:t>
            </w:r>
            <w:r w:rsidRPr="006F6C35" w:rsidR="00BB2CF2">
              <w:t> </w:t>
            </w:r>
            <w:r w:rsidRPr="006F6C35" w:rsidR="006A4153">
              <w:rPr>
                <w:i/>
              </w:rPr>
              <w:t>euro</w:t>
            </w:r>
            <w:r w:rsidRPr="006F6C35" w:rsidR="006A4153">
              <w:t xml:space="preserve">, </w:t>
            </w:r>
            <w:r w:rsidRPr="006F6C35" w:rsidR="006847D9">
              <w:t>(</w:t>
            </w:r>
            <w:r w:rsidRPr="006F6C35" w:rsidR="006A4153">
              <w:t>tomēr papildu</w:t>
            </w:r>
            <w:r w:rsidRPr="006F6C35" w:rsidR="006847D9">
              <w:t>s</w:t>
            </w:r>
            <w:r w:rsidRPr="006F6C35" w:rsidR="006A4153">
              <w:t xml:space="preserve"> izmaksas</w:t>
            </w:r>
            <w:r w:rsidRPr="006F6C35" w:rsidR="006847D9">
              <w:t xml:space="preserve"> </w:t>
            </w:r>
            <w:r w:rsidRPr="006F6C35" w:rsidR="00BB2CF2">
              <w:t>Nīderlandē</w:t>
            </w:r>
            <w:r w:rsidRPr="006F6C35" w:rsidR="006847D9">
              <w:t xml:space="preserve"> tiek piemērotas</w:t>
            </w:r>
            <w:r w:rsidRPr="006F6C35" w:rsidR="006A4153">
              <w:t xml:space="preserve"> par produkta veidiem (896</w:t>
            </w:r>
            <w:r w:rsidRPr="006F6C35" w:rsidR="006847D9">
              <w:t> </w:t>
            </w:r>
            <w:r w:rsidRPr="006F6C35" w:rsidR="006A4153">
              <w:rPr>
                <w:i/>
              </w:rPr>
              <w:t>euro</w:t>
            </w:r>
            <w:r w:rsidRPr="006F6C35" w:rsidR="006A4153">
              <w:t>), aktīvajām vielām (896</w:t>
            </w:r>
            <w:r w:rsidRPr="006F6C35" w:rsidR="006847D9">
              <w:t> </w:t>
            </w:r>
            <w:r w:rsidRPr="006F6C35" w:rsidR="006A4153">
              <w:rPr>
                <w:i/>
              </w:rPr>
              <w:t>euro</w:t>
            </w:r>
            <w:r w:rsidRPr="006F6C35" w:rsidR="006A4153">
              <w:t>), konfidencialitātes pieprasīšan</w:t>
            </w:r>
            <w:r w:rsidRPr="006F6C35" w:rsidR="006847D9">
              <w:t>u</w:t>
            </w:r>
            <w:r w:rsidRPr="006F6C35" w:rsidR="006A4153">
              <w:t xml:space="preserve"> (128</w:t>
            </w:r>
            <w:r w:rsidRPr="006F6C35" w:rsidR="006847D9">
              <w:t> </w:t>
            </w:r>
            <w:r w:rsidRPr="006F6C35" w:rsidR="006A4153">
              <w:rPr>
                <w:i/>
              </w:rPr>
              <w:t>euro</w:t>
            </w:r>
            <w:r w:rsidRPr="006F6C35" w:rsidR="006A4153">
              <w:t xml:space="preserve"> par vienu vienību), kā arī tiek noteikta papildu maksa pēc stundas likmes par fizikāl-ķīmijas, toksikoloģijas, analītisko metožu, efektivitātes, vides datu apkopošanu, bez kuras nevar piešķirt atļauju</w:t>
            </w:r>
            <w:r w:rsidRPr="006F6C35" w:rsidR="006847D9">
              <w:t>)</w:t>
            </w:r>
            <w:r w:rsidRPr="006F6C35" w:rsidR="006A4153">
              <w:t>;</w:t>
            </w:r>
            <w:r w:rsidRPr="006F6C35" w:rsidR="006847D9">
              <w:t xml:space="preserve"> </w:t>
            </w:r>
            <w:r w:rsidRPr="006F6C35" w:rsidR="006A4153">
              <w:t>Zviedrij</w:t>
            </w:r>
            <w:r w:rsidRPr="006F6C35" w:rsidR="00BA664D">
              <w:t>ā</w:t>
            </w:r>
            <w:r w:rsidRPr="006F6C35" w:rsidR="006A4153">
              <w:t xml:space="preserve"> – kopējās izmaksas 12</w:t>
            </w:r>
            <w:r w:rsidRPr="006F6C35" w:rsidR="00BB2CF2">
              <w:t> </w:t>
            </w:r>
            <w:r w:rsidRPr="006F6C35" w:rsidR="006A4153">
              <w:t>731</w:t>
            </w:r>
            <w:r w:rsidRPr="006F6C35" w:rsidR="00BB2CF2">
              <w:t> </w:t>
            </w:r>
            <w:r w:rsidRPr="006F6C35" w:rsidR="006A4153">
              <w:rPr>
                <w:i/>
              </w:rPr>
              <w:t>euro</w:t>
            </w:r>
            <w:r w:rsidRPr="006F6C35" w:rsidR="006A4153">
              <w:t>.</w:t>
            </w:r>
            <w:r w:rsidRPr="006F6C35" w:rsidR="007B0BA4">
              <w:t xml:space="preserve"> </w:t>
            </w:r>
          </w:p>
          <w:p w:rsidR="00C2105A" w:rsidRPr="006F6C35" w:rsidP="00C2105A">
            <w:pPr>
              <w:pStyle w:val="naiskr"/>
              <w:numPr>
                <w:ilvl w:val="0"/>
                <w:numId w:val="9"/>
              </w:numPr>
              <w:jc w:val="both"/>
            </w:pPr>
            <w:r w:rsidRPr="006F6C35">
              <w:rPr>
                <w:bCs/>
              </w:rPr>
              <w:t>Likuma “</w:t>
            </w:r>
            <w:r w:rsidRPr="006F6C35">
              <w:rPr>
                <w:bCs/>
              </w:rPr>
              <w:t>Par zemes dzīlēm” 5.</w:t>
            </w:r>
            <w:r w:rsidRPr="006F6C35" w:rsidR="00106C6E">
              <w:rPr>
                <w:bCs/>
              </w:rPr>
              <w:t> </w:t>
            </w:r>
            <w:r w:rsidRPr="006F6C35">
              <w:rPr>
                <w:bCs/>
              </w:rPr>
              <w:t>panta ceturtās daļas 2.</w:t>
            </w:r>
            <w:r w:rsidRPr="006F6C35" w:rsidR="00106C6E">
              <w:rPr>
                <w:bCs/>
              </w:rPr>
              <w:t> </w:t>
            </w:r>
            <w:r w:rsidRPr="006F6C35">
              <w:rPr>
                <w:bCs/>
              </w:rPr>
              <w:t xml:space="preserve">punkts nosaka, ka Ministru kabinets </w:t>
            </w:r>
            <w:r w:rsidRPr="006F6C35">
              <w:t>apstiprina ar derīgo izrakteņu krājumu akceptēšanu un ūdens ieguves urbuma un avota pases saskaņošanu saistīto maksas pakalpojumu cenrādi. Ģeoloģiskās informācijas izvērtēšanas cena nav mainīta kopš tā tika noteikta Ministru kabineta 2012.</w:t>
            </w:r>
            <w:r w:rsidRPr="006F6C35" w:rsidR="00106C6E">
              <w:t> </w:t>
            </w:r>
            <w:r w:rsidRPr="006F6C35">
              <w:t>gada 3.</w:t>
            </w:r>
            <w:r w:rsidRPr="006F6C35" w:rsidR="00106C6E">
              <w:t> </w:t>
            </w:r>
            <w:r w:rsidRPr="006F6C35">
              <w:t>aprīļa noteikumos Nr.</w:t>
            </w:r>
            <w:r w:rsidRPr="006F6C35" w:rsidR="00106C6E">
              <w:t> </w:t>
            </w:r>
            <w:r w:rsidRPr="006F6C35">
              <w:t>234 “</w:t>
            </w:r>
            <w:r w:rsidRPr="006F6C35">
              <w:t>Noteikumi par valsts sabie</w:t>
            </w:r>
            <w:r w:rsidRPr="006F6C35">
              <w:t>drības ar ierobežotu atbildību “</w:t>
            </w:r>
            <w:r w:rsidRPr="006F6C35">
              <w:t>Latvijas Vides, ģeoloģijas un meteoroloģijas centrs” sniegto maksas pakalpojumu cenrādi”, tomēr šajā laikā ir pasliktinājusies iesniegto pieteikumu kvalitāte, kas būtiski palielina speciālistu darbu pie izvērtēšanas, piem., 2013.-2015.</w:t>
            </w:r>
            <w:r w:rsidRPr="006F6C35" w:rsidR="00106C6E">
              <w:t> </w:t>
            </w:r>
            <w:r w:rsidRPr="006F6C35">
              <w:t xml:space="preserve">gada periodā ir saņemti 204 ģeoloģiskās izpētes un papildizpētes pārskati, no kuriem 121 gadījumā derīgo izrakteņu krājumi ir akceptēti ar otro pārskata izvērtēšanas reizi, 44 pārskati, kuros derīgo izrakteņu krājumi ir akceptēti ar trešo reizi,  9 pārskati, kuros derīgo izrakteņu krājumi ir akceptēti ar ceturto reizi, 5 pārskati, kuros derīgo izrakteņu krājumi ir akceptēti ar piekto reizi un 3 gadījumos krājumi ir akceptēti sestajā līdz astotajā izvērtēšanas reizē. Līdz ar to ir nepieciešamas pārskatīt pašreizējās izmaksas un papildināt pozīciju skaitu, atsevišķi izdalot pirmreizējo krājumu aprēķinu izvērtēšanu, kā arī pazemes ūdeņu, kūdras, ģeoloģiskās izpētes un papildizpētes rezultātā aprēķināto krājumu akceptēšanu, kas atšķiras pēc speciālistu ieguldītā darba, tādā veidā ir iespēja precīzāk piemērot izmaksas atkarībā no komersanta iesniegtā pieteikuma. </w:t>
            </w:r>
          </w:p>
          <w:p w:rsidR="007230A0" w:rsidRPr="006F6C35" w:rsidP="00A164F4">
            <w:pPr>
              <w:pStyle w:val="naiskr"/>
              <w:numPr>
                <w:ilvl w:val="0"/>
                <w:numId w:val="9"/>
              </w:numPr>
              <w:jc w:val="both"/>
            </w:pPr>
            <w:r w:rsidRPr="006F6C35">
              <w:t>Likuma “</w:t>
            </w:r>
            <w:r w:rsidRPr="006F6C35">
              <w:t>Par radiācijas drošību un kodoldrošību” 13. panta 4.</w:t>
            </w:r>
            <w:r w:rsidRPr="006F6C35">
              <w:rPr>
                <w:vertAlign w:val="superscript"/>
              </w:rPr>
              <w:t>1</w:t>
            </w:r>
            <w:r w:rsidRPr="006F6C35">
              <w:t xml:space="preserve">daļa nosaka, ka LVĢMC </w:t>
            </w:r>
            <w:r w:rsidRPr="006F6C35">
              <w:rPr>
                <w:bCs/>
              </w:rPr>
              <w:t xml:space="preserve">par maksu veic individuālos dozimetriskos mērījumus ar individuālajiem dozimetriem, </w:t>
            </w:r>
            <w:r w:rsidRPr="006F6C35">
              <w:rPr>
                <w:bCs/>
              </w:rPr>
              <w:t xml:space="preserve">bet Ministru kabinets apstiprina ar individuālo dozimetrisko mērījumu veikšanu saistīto maksas pakalpojumu cenrādi, kas nav mainīts kopš to apstiprināšanas Ministru kabineta </w:t>
            </w:r>
            <w:r w:rsidRPr="006F6C35">
              <w:t>2012. gada 3. aprīļa noteikumos Nr. 234</w:t>
            </w:r>
            <w:r w:rsidRPr="006F6C35">
              <w:rPr>
                <w:bCs/>
              </w:rPr>
              <w:t>. Ņemot vērā, ka individuālās dozimetrijas mērījumi tiek veikti ar vienu iekārtu, tad tiek samazināts pozīciju skaits, nosakot vienu cenu.</w:t>
            </w:r>
            <w:r w:rsidRPr="006F6C35" w:rsidR="00AD64DD">
              <w:rPr>
                <w:bCs/>
              </w:rPr>
              <w:t xml:space="preserve"> Norādām, ka atbilstoši noteikumu projektā noteiktajam, dozimetrisko mērījumu pakalpojumu cena salīdzinājumā pret 2014.</w:t>
            </w:r>
            <w:r w:rsidRPr="006F6C35" w:rsidR="00E532D3">
              <w:rPr>
                <w:bCs/>
              </w:rPr>
              <w:t> </w:t>
            </w:r>
            <w:r w:rsidRPr="006F6C35" w:rsidR="00AD64DD">
              <w:rPr>
                <w:bCs/>
              </w:rPr>
              <w:t>gadu ārstniecības iestādēm sadārdzinājumu ne</w:t>
            </w:r>
            <w:r w:rsidRPr="006F6C35" w:rsidR="00E532D3">
              <w:rPr>
                <w:bCs/>
              </w:rPr>
              <w:t>radīs. Salīdzinājumā pret 2016. </w:t>
            </w:r>
            <w:r w:rsidRPr="006F6C35" w:rsidR="00AD64DD">
              <w:rPr>
                <w:bCs/>
              </w:rPr>
              <w:t>gadu - sadārdzinājums visām ārstniecības iestādēm kopumā varētu būt līdz 10</w:t>
            </w:r>
            <w:r w:rsidRPr="006F6C35" w:rsidR="00E532D3">
              <w:rPr>
                <w:bCs/>
              </w:rPr>
              <w:t> </w:t>
            </w:r>
            <w:r w:rsidRPr="006F6C35" w:rsidR="00AD64DD">
              <w:rPr>
                <w:bCs/>
              </w:rPr>
              <w:t>000</w:t>
            </w:r>
            <w:r w:rsidRPr="006F6C35" w:rsidR="00E532D3">
              <w:rPr>
                <w:bCs/>
              </w:rPr>
              <w:t> </w:t>
            </w:r>
            <w:r w:rsidRPr="006F6C35" w:rsidR="00AD64DD">
              <w:rPr>
                <w:bCs/>
                <w:i/>
              </w:rPr>
              <w:t>euro</w:t>
            </w:r>
            <w:r w:rsidRPr="006F6C35" w:rsidR="00AD64DD">
              <w:rPr>
                <w:bCs/>
              </w:rPr>
              <w:t>.</w:t>
            </w:r>
            <w:r w:rsidRPr="006F6C35" w:rsidR="00A164F4">
              <w:t xml:space="preserve"> Ņemot vērā tendenci dozimetriskajiem mērījumiem samazināties, LVĢMC no izmaksu efektivitātes un pakalpojuma kvalitātes viedokļa nevar piemērot zemāku cenu (12,17 euro) visiem operatoriem, kuru lietošanā ir nodoti 20 un vairāk dozimetru. Izlīd</w:t>
            </w:r>
            <w:r w:rsidRPr="006F6C35" w:rsidR="00E532D3">
              <w:t>zinot pakalpojuma izmaksu (17,3 </w:t>
            </w:r>
            <w:r w:rsidRPr="006F6C35" w:rsidR="00A164F4">
              <w:rPr>
                <w:i/>
              </w:rPr>
              <w:t>euro</w:t>
            </w:r>
            <w:r w:rsidRPr="006F6C35" w:rsidR="00A164F4">
              <w:t>), tiktu nosegta šī pakalpojuma pašizmaksa.</w:t>
            </w:r>
          </w:p>
          <w:p w:rsidR="00186DB1" w:rsidRPr="006F6C35" w:rsidP="00186DB1">
            <w:pPr>
              <w:pStyle w:val="naiskr"/>
              <w:numPr>
                <w:ilvl w:val="0"/>
                <w:numId w:val="9"/>
              </w:numPr>
              <w:jc w:val="both"/>
            </w:pPr>
            <w:r w:rsidRPr="006F6C35">
              <w:t>Saskaņā ar Ministru kabineta 2013.</w:t>
            </w:r>
            <w:r w:rsidRPr="006F6C35" w:rsidR="00E170F3">
              <w:t> </w:t>
            </w:r>
            <w:r w:rsidRPr="006F6C35">
              <w:t>gada 2.</w:t>
            </w:r>
            <w:r w:rsidRPr="006F6C35" w:rsidR="00E170F3">
              <w:t> </w:t>
            </w:r>
            <w:r w:rsidRPr="006F6C35">
              <w:t>aprīļa noteikumu Nr</w:t>
            </w:r>
            <w:r w:rsidRPr="006F6C35">
              <w:rPr>
                <w:bCs/>
              </w:rPr>
              <w:t>.</w:t>
            </w:r>
            <w:r w:rsidRPr="006F6C35" w:rsidR="008A4AF9">
              <w:rPr>
                <w:bCs/>
              </w:rPr>
              <w:t> </w:t>
            </w:r>
            <w:r w:rsidRPr="006F6C35">
              <w:rPr>
                <w:bCs/>
              </w:rPr>
              <w:t>182</w:t>
            </w:r>
            <w:r w:rsidRPr="006F6C35">
              <w:t xml:space="preserve"> </w:t>
            </w:r>
            <w:r w:rsidRPr="006F6C35" w:rsidR="00C60964">
              <w:rPr>
                <w:bCs/>
              </w:rPr>
              <w:t>“</w:t>
            </w:r>
            <w:r w:rsidRPr="006F6C35">
              <w:rPr>
                <w:bCs/>
              </w:rPr>
              <w:t>Noteikumi par stacion</w:t>
            </w:r>
            <w:r w:rsidRPr="006F6C35" w:rsidR="00962017">
              <w:rPr>
                <w:bCs/>
              </w:rPr>
              <w:t xml:space="preserve">āru piesārņojuma avotu emisijas </w:t>
            </w:r>
            <w:r w:rsidRPr="006F6C35">
              <w:rPr>
                <w:bCs/>
              </w:rPr>
              <w:t>limita</w:t>
            </w:r>
            <w:r w:rsidRPr="006F6C35" w:rsidR="00962017">
              <w:t xml:space="preserve"> </w:t>
            </w:r>
            <w:r w:rsidRPr="006F6C35">
              <w:rPr>
                <w:bCs/>
              </w:rPr>
              <w:t>projektu izstrādi”</w:t>
            </w:r>
            <w:r w:rsidRPr="006F6C35" w:rsidR="00E170F3">
              <w:t xml:space="preserve"> </w:t>
            </w:r>
            <w:r w:rsidRPr="006F6C35">
              <w:t>44. un 47.</w:t>
            </w:r>
            <w:r w:rsidRPr="006F6C35" w:rsidR="00E170F3">
              <w:t> </w:t>
            </w:r>
            <w:r w:rsidRPr="006F6C35" w:rsidR="00C60964">
              <w:t>punktā noteikto VSIA “</w:t>
            </w:r>
            <w:r w:rsidRPr="006F6C35">
              <w:t xml:space="preserve">Latvijas Vides, ģeoloģijas un meteoroloģijas centrs” ir deleģēta valsts pārvaldes funkcija - sagatavot un sniegt piesārņojošas darbības veicējam jeb operatoram informāciju, kas nepieciešama stacionāro piesārņojuma avotu emisijas limita projektu izstrādei. </w:t>
            </w:r>
          </w:p>
          <w:p w:rsidR="00822078" w:rsidRPr="006F6C35" w:rsidP="00822078">
            <w:pPr>
              <w:pStyle w:val="naiskr"/>
              <w:ind w:left="720"/>
              <w:jc w:val="both"/>
            </w:pPr>
            <w:r w:rsidRPr="006F6C35">
              <w:t>2016.</w:t>
            </w:r>
            <w:r w:rsidRPr="006F6C35" w:rsidR="00E170F3">
              <w:t> </w:t>
            </w:r>
            <w:r w:rsidRPr="006F6C35">
              <w:t>gada 29.</w:t>
            </w:r>
            <w:r w:rsidRPr="006F6C35" w:rsidR="00E170F3">
              <w:t> </w:t>
            </w:r>
            <w:r w:rsidRPr="006F6C35">
              <w:t>jūnijā ir veikti grozījumi likumā "Par piesārņojumu", kas nosaka, ka Ministru kabinets nosaka cenrādi maksas pakalpojumiem par stacionāru piesārņojuma avotu emisijas limita projektu izstrādi, tādēļ</w:t>
            </w:r>
            <w:r w:rsidRPr="006F6C35" w:rsidR="00674314">
              <w:t>,</w:t>
            </w:r>
            <w:r w:rsidRPr="006F6C35">
              <w:t xml:space="preserve"> </w:t>
            </w:r>
            <w:r w:rsidRPr="006F6C35">
              <w:rPr>
                <w:bCs/>
              </w:rPr>
              <w:t>lai LVĢMC varētu īstenot deleģētos maksas pakalpojumus gaisa piesārņojošo vielu izkliedes aprēķinos, ir nepieciešams izstrādāt un apstiprināt maksas pakalpojumu cenrādi.</w:t>
            </w:r>
            <w:r w:rsidRPr="006F6C35" w:rsidR="00CC7007">
              <w:t xml:space="preserve"> </w:t>
            </w:r>
            <w:r w:rsidRPr="006F6C35">
              <w:t>Atbilstoši likumā noteiktajam, maksas pakalpojumu cenrādis Ministru kabinetam jāizdod līdz 2016.</w:t>
            </w:r>
            <w:r w:rsidRPr="006F6C35" w:rsidR="008A4AF9">
              <w:t> </w:t>
            </w:r>
            <w:r w:rsidRPr="006F6C35">
              <w:t>gada 31.</w:t>
            </w:r>
            <w:r w:rsidRPr="006F6C35" w:rsidR="008A4AF9">
              <w:t> </w:t>
            </w:r>
            <w:r w:rsidRPr="006F6C35">
              <w:t>decembrim.</w:t>
            </w:r>
          </w:p>
          <w:p w:rsidR="00896E21" w:rsidRPr="006F6C35" w:rsidP="00822078">
            <w:pPr>
              <w:pStyle w:val="naiskr"/>
              <w:numPr>
                <w:ilvl w:val="0"/>
                <w:numId w:val="9"/>
              </w:numPr>
              <w:jc w:val="both"/>
            </w:pPr>
            <w:r w:rsidRPr="006F6C35">
              <w:t>Atsevišķu pakalpojumu (piemēram, pakalpojumiem, kas norādīti noteikumu projekta 1., 2., 8., 15. punktā) nodrošināšanas izmaksas pieaug vairākas reizes, jo šobrīd noteiktās cenas neatbilst to nodrošināšanas izmaksām. Šo pakalpojumu nodrošināšanas izmaksas tiek segtas no LVĢMC iekšējiem resursiem, tā radot zaudējumus LVĢMC.</w:t>
            </w:r>
          </w:p>
          <w:p w:rsidR="001543FC" w:rsidRPr="007E5F01" w:rsidP="00896E21">
            <w:pPr>
              <w:pStyle w:val="naiskr"/>
              <w:numPr>
                <w:ilvl w:val="0"/>
                <w:numId w:val="9"/>
              </w:numPr>
              <w:jc w:val="both"/>
            </w:pPr>
            <w:r w:rsidRPr="006F6C35">
              <w:t>LVĢMC</w:t>
            </w:r>
            <w:r w:rsidRPr="006F6C35" w:rsidR="00690AEA">
              <w:t xml:space="preserve"> sniegtajiem pakalpojumiem pievienotās vēr</w:t>
            </w:r>
            <w:r w:rsidRPr="006F6C35" w:rsidR="00764474">
              <w:t>t</w:t>
            </w:r>
            <w:r w:rsidRPr="006F6C35" w:rsidR="00690AEA">
              <w:t>ības nodokli nepiemēro saskaņā ar Pievienotās vērtības nodokļa likuma 3.panta astoto daļu.</w:t>
            </w:r>
          </w:p>
        </w:tc>
      </w:tr>
      <w:tr w:rsidTr="00AE28AB">
        <w:tblPrEx>
          <w:tblW w:w="9067" w:type="dxa"/>
          <w:jc w:val="center"/>
          <w:tblCellMar>
            <w:left w:w="57" w:type="dxa"/>
            <w:right w:w="57" w:type="dxa"/>
          </w:tblCellMar>
          <w:tblLook w:val="04A0"/>
        </w:tblPrEx>
        <w:trPr>
          <w:trHeight w:val="465"/>
          <w:jc w:val="center"/>
        </w:trPr>
        <w:tc>
          <w:tcPr>
            <w:tcW w:w="467" w:type="dxa"/>
            <w:hideMark/>
          </w:tcPr>
          <w:p w:rsidR="00C2105A" w:rsidRPr="008F6DD0" w:rsidP="006F6C35">
            <w:pPr>
              <w:jc w:val="center"/>
              <w:rPr>
                <w:color w:val="000000"/>
              </w:rPr>
            </w:pPr>
            <w:r w:rsidRPr="008F6DD0">
              <w:rPr>
                <w:color w:val="000000"/>
              </w:rPr>
              <w:t>3.</w:t>
            </w:r>
          </w:p>
        </w:tc>
        <w:tc>
          <w:tcPr>
            <w:tcW w:w="2085" w:type="dxa"/>
            <w:hideMark/>
          </w:tcPr>
          <w:p w:rsidR="00C2105A" w:rsidRPr="008F6DD0" w:rsidP="006F6C35">
            <w:pPr>
              <w:rPr>
                <w:color w:val="000000"/>
              </w:rPr>
            </w:pPr>
            <w:r w:rsidRPr="008F6DD0">
              <w:rPr>
                <w:color w:val="000000"/>
              </w:rPr>
              <w:t>Projekta izstrādē iesaistītās institūcijas</w:t>
            </w:r>
          </w:p>
        </w:tc>
        <w:tc>
          <w:tcPr>
            <w:tcW w:w="6515" w:type="dxa"/>
            <w:hideMark/>
          </w:tcPr>
          <w:p w:rsidR="00C2105A" w:rsidRPr="008F6DD0" w:rsidP="00C2105A">
            <w:pPr>
              <w:pStyle w:val="naiskr"/>
              <w:numPr>
                <w:ilvl w:val="0"/>
                <w:numId w:val="6"/>
              </w:numPr>
              <w:spacing w:before="0" w:after="60"/>
              <w:ind w:left="397" w:hanging="340"/>
              <w:jc w:val="both"/>
              <w:rPr>
                <w:iCs/>
                <w:color w:val="000000"/>
              </w:rPr>
            </w:pPr>
            <w:r w:rsidRPr="008F6DD0">
              <w:rPr>
                <w:iCs/>
                <w:color w:val="000000"/>
              </w:rPr>
              <w:t>Vides aizsardzības un reģionālās attīstības ministrija, kas sagatavoja noteikumu projektu,</w:t>
            </w:r>
          </w:p>
          <w:p w:rsidR="00C2105A" w:rsidRPr="008F6DD0" w:rsidP="00C2105A">
            <w:pPr>
              <w:pStyle w:val="naiskr"/>
              <w:numPr>
                <w:ilvl w:val="0"/>
                <w:numId w:val="6"/>
              </w:numPr>
              <w:spacing w:before="0" w:after="60"/>
              <w:ind w:left="397" w:hanging="340"/>
              <w:jc w:val="both"/>
              <w:rPr>
                <w:iCs/>
                <w:color w:val="000000"/>
              </w:rPr>
            </w:pPr>
            <w:r w:rsidRPr="008F6DD0">
              <w:t>LVĢMC</w:t>
            </w:r>
            <w:r w:rsidRPr="008F6DD0">
              <w:rPr>
                <w:iCs/>
                <w:color w:val="000000"/>
              </w:rPr>
              <w:t>, kas iesniedza cenrādi – noteikumu projekta anotācijas pielikum</w:t>
            </w:r>
            <w:r w:rsidR="004F13A5">
              <w:rPr>
                <w:iCs/>
                <w:color w:val="000000"/>
              </w:rPr>
              <w:t>u</w:t>
            </w:r>
            <w:r w:rsidRPr="008F6DD0">
              <w:rPr>
                <w:iCs/>
                <w:color w:val="000000"/>
              </w:rPr>
              <w:t>, maksas noteikšanas aprēķinu un to pamatojošos dokumentus.</w:t>
            </w:r>
          </w:p>
          <w:p w:rsidR="00C2105A" w:rsidRPr="008F6DD0" w:rsidP="006F6C35">
            <w:pPr>
              <w:pStyle w:val="naiskr"/>
              <w:spacing w:before="0" w:after="60"/>
              <w:ind w:left="57"/>
              <w:jc w:val="both"/>
              <w:rPr>
                <w:iCs/>
                <w:color w:val="000000"/>
              </w:rPr>
            </w:pPr>
            <w:r w:rsidRPr="008F6DD0">
              <w:rPr>
                <w:iCs/>
                <w:color w:val="000000"/>
              </w:rPr>
              <w:t>Noteikumu projekta izstrādē netika organizēta darba grupa.</w:t>
            </w:r>
          </w:p>
        </w:tc>
      </w:tr>
      <w:tr w:rsidTr="00AE28AB">
        <w:tblPrEx>
          <w:tblW w:w="9067" w:type="dxa"/>
          <w:jc w:val="center"/>
          <w:tblCellMar>
            <w:left w:w="57" w:type="dxa"/>
            <w:right w:w="57" w:type="dxa"/>
          </w:tblCellMar>
          <w:tblLook w:val="04A0"/>
        </w:tblPrEx>
        <w:trPr>
          <w:jc w:val="center"/>
        </w:trPr>
        <w:tc>
          <w:tcPr>
            <w:tcW w:w="467" w:type="dxa"/>
            <w:hideMark/>
          </w:tcPr>
          <w:p w:rsidR="00C2105A" w:rsidRPr="008F6DD0" w:rsidP="006F6C35">
            <w:pPr>
              <w:jc w:val="center"/>
              <w:rPr>
                <w:color w:val="000000"/>
              </w:rPr>
            </w:pPr>
            <w:r w:rsidRPr="008F6DD0">
              <w:rPr>
                <w:color w:val="000000"/>
              </w:rPr>
              <w:t>4.</w:t>
            </w:r>
          </w:p>
        </w:tc>
        <w:tc>
          <w:tcPr>
            <w:tcW w:w="2085" w:type="dxa"/>
            <w:hideMark/>
          </w:tcPr>
          <w:p w:rsidR="00C2105A" w:rsidRPr="008F6DD0" w:rsidP="006F6C35">
            <w:pPr>
              <w:rPr>
                <w:color w:val="000000"/>
              </w:rPr>
            </w:pPr>
            <w:r w:rsidRPr="008F6DD0">
              <w:rPr>
                <w:color w:val="000000"/>
              </w:rPr>
              <w:t>Cita informācija</w:t>
            </w:r>
          </w:p>
        </w:tc>
        <w:tc>
          <w:tcPr>
            <w:tcW w:w="6515" w:type="dxa"/>
            <w:hideMark/>
          </w:tcPr>
          <w:p w:rsidR="00C2105A" w:rsidRPr="008F6DD0" w:rsidP="006F6C35">
            <w:pPr>
              <w:spacing w:after="60"/>
              <w:ind w:firstLine="232"/>
              <w:rPr>
                <w:color w:val="000000"/>
              </w:rPr>
            </w:pPr>
            <w:r w:rsidRPr="008F6DD0">
              <w:rPr>
                <w:color w:val="000000"/>
              </w:rPr>
              <w:t>Nav</w:t>
            </w:r>
          </w:p>
        </w:tc>
      </w:tr>
    </w:tbl>
    <w:p w:rsidR="00C2105A" w:rsidRPr="00935F0F" w:rsidP="00C2105A">
      <w:pPr>
        <w:ind w:firstLine="301"/>
        <w:rPr>
          <w:color w:val="000000"/>
          <w:sz w:val="28"/>
          <w:szCs w:val="28"/>
        </w:rPr>
      </w:pPr>
      <w:r w:rsidRPr="00935F0F">
        <w:rPr>
          <w:color w:val="000000"/>
          <w:sz w:val="28"/>
          <w:szCs w:val="28"/>
        </w:rPr>
        <w:t>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68"/>
        <w:gridCol w:w="2509"/>
        <w:gridCol w:w="6090"/>
      </w:tblGrid>
      <w:tr w:rsidTr="00AE28AB">
        <w:tblPrEx>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rHeight w:val="555"/>
          <w:jc w:val="center"/>
        </w:trPr>
        <w:tc>
          <w:tcPr>
            <w:tcW w:w="9067" w:type="dxa"/>
            <w:gridSpan w:val="3"/>
            <w:vAlign w:val="center"/>
            <w:hideMark/>
          </w:tcPr>
          <w:p w:rsidR="00C2105A" w:rsidRPr="001D6769" w:rsidP="006F6C35">
            <w:pPr>
              <w:jc w:val="center"/>
              <w:rPr>
                <w:b/>
                <w:bCs/>
                <w:color w:val="000000"/>
              </w:rPr>
            </w:pPr>
            <w:r w:rsidRPr="001D6769">
              <w:rPr>
                <w:b/>
                <w:bCs/>
                <w:color w:val="000000"/>
              </w:rPr>
              <w:t>II. Tiesību akta projekta ietekme uz sabiedrību, tautsaimniecības attīstību un administratīvo slogu</w:t>
            </w:r>
          </w:p>
        </w:tc>
      </w:tr>
      <w:tr w:rsidTr="00AE28AB">
        <w:tblPrEx>
          <w:tblW w:w="9067" w:type="dxa"/>
          <w:jc w:val="center"/>
          <w:tblCellMar>
            <w:left w:w="57" w:type="dxa"/>
            <w:right w:w="57" w:type="dxa"/>
          </w:tblCellMar>
          <w:tblLook w:val="04A0"/>
        </w:tblPrEx>
        <w:trPr>
          <w:trHeight w:val="465"/>
          <w:jc w:val="center"/>
        </w:trPr>
        <w:tc>
          <w:tcPr>
            <w:tcW w:w="468" w:type="dxa"/>
            <w:hideMark/>
          </w:tcPr>
          <w:p w:rsidR="00C2105A" w:rsidRPr="004F13A5" w:rsidP="006F6C35">
            <w:pPr>
              <w:rPr>
                <w:color w:val="000000"/>
              </w:rPr>
            </w:pPr>
            <w:r w:rsidRPr="004F13A5">
              <w:rPr>
                <w:color w:val="000000"/>
              </w:rPr>
              <w:t>1.</w:t>
            </w:r>
          </w:p>
        </w:tc>
        <w:tc>
          <w:tcPr>
            <w:tcW w:w="2509" w:type="dxa"/>
            <w:hideMark/>
          </w:tcPr>
          <w:p w:rsidR="00C2105A" w:rsidRPr="004F13A5" w:rsidP="006F6C35">
            <w:pPr>
              <w:rPr>
                <w:color w:val="000000"/>
              </w:rPr>
            </w:pPr>
            <w:r w:rsidRPr="004F13A5">
              <w:rPr>
                <w:color w:val="000000"/>
              </w:rPr>
              <w:t>Sabiedrības mērķgrupas, kuras tiesiskais regulējums ietekmē vai varētu ietekmēt</w:t>
            </w:r>
          </w:p>
        </w:tc>
        <w:tc>
          <w:tcPr>
            <w:tcW w:w="6090" w:type="dxa"/>
            <w:hideMark/>
          </w:tcPr>
          <w:p w:rsidR="00C2105A" w:rsidRPr="00CA0E88" w:rsidP="00C2105A">
            <w:pPr>
              <w:pStyle w:val="naiskr"/>
              <w:numPr>
                <w:ilvl w:val="0"/>
                <w:numId w:val="5"/>
              </w:numPr>
              <w:spacing w:before="0" w:after="40"/>
              <w:ind w:left="340" w:hanging="340"/>
              <w:jc w:val="both"/>
              <w:rPr>
                <w:color w:val="000000"/>
              </w:rPr>
            </w:pPr>
            <w:r w:rsidRPr="00CA0E88">
              <w:rPr>
                <w:color w:val="000000"/>
              </w:rPr>
              <w:t>Komersantus, kas ražo, ieved vai importē Latvijā biocīdus,</w:t>
            </w:r>
          </w:p>
          <w:p w:rsidR="00C2105A" w:rsidRPr="00CA0E88" w:rsidP="00C2105A">
            <w:pPr>
              <w:pStyle w:val="naiskr"/>
              <w:numPr>
                <w:ilvl w:val="0"/>
                <w:numId w:val="5"/>
              </w:numPr>
              <w:spacing w:before="0" w:after="40"/>
              <w:ind w:left="340" w:hanging="340"/>
              <w:jc w:val="both"/>
              <w:rPr>
                <w:color w:val="000000"/>
              </w:rPr>
            </w:pPr>
            <w:r w:rsidRPr="00CA0E88">
              <w:t>komersantus, kas izmanto zemes dzīles, kam jāsaņem zemes dzīļu izmantošanas licence vai bieži sastopamo derīgo izrakteņu ieguves atļauja</w:t>
            </w:r>
            <w:r w:rsidRPr="00CA0E88">
              <w:rPr>
                <w:color w:val="000000"/>
              </w:rPr>
              <w:t>,</w:t>
            </w:r>
          </w:p>
          <w:p w:rsidR="00C2105A" w:rsidRPr="00CA0E88" w:rsidP="00C2105A">
            <w:pPr>
              <w:pStyle w:val="naiskr"/>
              <w:numPr>
                <w:ilvl w:val="0"/>
                <w:numId w:val="5"/>
              </w:numPr>
              <w:spacing w:before="0" w:after="40"/>
              <w:ind w:left="340" w:hanging="340"/>
              <w:jc w:val="both"/>
              <w:rPr>
                <w:color w:val="000000"/>
              </w:rPr>
            </w:pPr>
            <w:r w:rsidRPr="00CA0E88">
              <w:t>operatorus, kas veic darbības ar jonizējošā starojuma avotiem</w:t>
            </w:r>
            <w:r w:rsidRPr="00CA0E88">
              <w:rPr>
                <w:color w:val="000000"/>
              </w:rPr>
              <w:t>,</w:t>
            </w:r>
          </w:p>
          <w:p w:rsidR="00C2105A" w:rsidRPr="00CA0E88" w:rsidP="00C2105A">
            <w:pPr>
              <w:pStyle w:val="naiskr"/>
              <w:numPr>
                <w:ilvl w:val="0"/>
                <w:numId w:val="5"/>
              </w:numPr>
              <w:spacing w:before="0" w:after="40"/>
              <w:ind w:left="340" w:hanging="340"/>
              <w:jc w:val="both"/>
              <w:rPr>
                <w:color w:val="000000"/>
              </w:rPr>
            </w:pPr>
            <w:r w:rsidRPr="00CA0E88">
              <w:rPr>
                <w:color w:val="000000"/>
              </w:rPr>
              <w:t xml:space="preserve">operatorus, kuri savā darbībā izmanto iekārtas, kurām nepieciešamas saņemt A vai B kategorijas atļaujas piesārņojošu darbību veikšanai </w:t>
            </w:r>
          </w:p>
          <w:p w:rsidR="00C2105A" w:rsidRPr="00CA0E88" w:rsidP="00C2105A">
            <w:pPr>
              <w:pStyle w:val="naiskr"/>
              <w:numPr>
                <w:ilvl w:val="0"/>
                <w:numId w:val="5"/>
              </w:numPr>
              <w:spacing w:before="0" w:after="40"/>
              <w:ind w:left="340" w:hanging="340"/>
              <w:jc w:val="both"/>
              <w:rPr>
                <w:color w:val="000000"/>
              </w:rPr>
            </w:pPr>
            <w:r>
              <w:rPr>
                <w:color w:val="000000"/>
              </w:rPr>
              <w:t>valsts SIA “</w:t>
            </w:r>
            <w:r w:rsidRPr="00CA0E88">
              <w:rPr>
                <w:color w:val="000000"/>
              </w:rPr>
              <w:t>Latvijas Vides, ģeoloģijas un meteoroloģijas centrs”.</w:t>
            </w:r>
          </w:p>
        </w:tc>
      </w:tr>
      <w:tr w:rsidTr="00AE28AB">
        <w:tblPrEx>
          <w:tblW w:w="9067" w:type="dxa"/>
          <w:jc w:val="center"/>
          <w:tblCellMar>
            <w:left w:w="57" w:type="dxa"/>
            <w:right w:w="57" w:type="dxa"/>
          </w:tblCellMar>
          <w:tblLook w:val="04A0"/>
        </w:tblPrEx>
        <w:trPr>
          <w:trHeight w:val="510"/>
          <w:jc w:val="center"/>
        </w:trPr>
        <w:tc>
          <w:tcPr>
            <w:tcW w:w="468" w:type="dxa"/>
            <w:hideMark/>
          </w:tcPr>
          <w:p w:rsidR="00C2105A" w:rsidRPr="004F13A5" w:rsidP="006F6C35">
            <w:pPr>
              <w:rPr>
                <w:color w:val="000000"/>
              </w:rPr>
            </w:pPr>
            <w:r w:rsidRPr="004F13A5">
              <w:rPr>
                <w:color w:val="000000"/>
              </w:rPr>
              <w:t>2.</w:t>
            </w:r>
          </w:p>
        </w:tc>
        <w:tc>
          <w:tcPr>
            <w:tcW w:w="2509" w:type="dxa"/>
            <w:hideMark/>
          </w:tcPr>
          <w:p w:rsidR="00C2105A" w:rsidRPr="004F13A5" w:rsidP="006F6C35">
            <w:pPr>
              <w:rPr>
                <w:color w:val="000000"/>
              </w:rPr>
            </w:pPr>
            <w:r w:rsidRPr="004F13A5">
              <w:rPr>
                <w:color w:val="000000"/>
              </w:rPr>
              <w:t>Tiesiskā regulējuma ietekme uz tautsaimniecību un administratīvo slogu</w:t>
            </w:r>
          </w:p>
        </w:tc>
        <w:tc>
          <w:tcPr>
            <w:tcW w:w="6090" w:type="dxa"/>
            <w:hideMark/>
          </w:tcPr>
          <w:p w:rsidR="00C2105A" w:rsidRPr="004F13A5" w:rsidP="005D37A3">
            <w:pPr>
              <w:spacing w:after="40"/>
              <w:jc w:val="both"/>
              <w:rPr>
                <w:color w:val="000000"/>
              </w:rPr>
            </w:pPr>
            <w:r w:rsidRPr="004F13A5">
              <w:rPr>
                <w:color w:val="000000"/>
              </w:rPr>
              <w:t>Sabiedrības grupām un institūcijām noteikumu projekta tiesiskais regulējums nemaina tiesības un pienākumus, kā arī veicamās darbības; nenosaka papildu administratīvo slogu institūcijām un anotācijas II sadaļas 1.punktā minētajiem sabiedrības mērķgrupas pārstāvjiem.</w:t>
            </w:r>
          </w:p>
          <w:p w:rsidR="00C2105A" w:rsidRPr="004F13A5" w:rsidP="005D37A3">
            <w:pPr>
              <w:spacing w:after="40"/>
              <w:jc w:val="both"/>
              <w:rPr>
                <w:color w:val="000000"/>
              </w:rPr>
            </w:pPr>
            <w:r w:rsidRPr="004F13A5">
              <w:rPr>
                <w:color w:val="000000"/>
              </w:rPr>
              <w:t>Detalizēts izmaksu sadalījums un aprēķins norādīts anotācijas pielikumā.</w:t>
            </w:r>
          </w:p>
          <w:p w:rsidR="00C2105A" w:rsidRPr="004F13A5" w:rsidP="005D37A3">
            <w:pPr>
              <w:spacing w:after="40"/>
              <w:jc w:val="both"/>
              <w:rPr>
                <w:color w:val="000000"/>
              </w:rPr>
            </w:pPr>
            <w:r w:rsidRPr="004F13A5">
              <w:rPr>
                <w:color w:val="000000"/>
              </w:rPr>
              <w:t>Noteikumu projektam nav ietekme uz Nacionālā attīstības plāna rādītājiem, mikro vai makro līmenī.</w:t>
            </w:r>
          </w:p>
        </w:tc>
      </w:tr>
      <w:tr w:rsidTr="00AE28AB">
        <w:tblPrEx>
          <w:tblW w:w="9067" w:type="dxa"/>
          <w:jc w:val="center"/>
          <w:tblCellMar>
            <w:left w:w="57" w:type="dxa"/>
            <w:right w:w="57" w:type="dxa"/>
          </w:tblCellMar>
          <w:tblLook w:val="04A0"/>
        </w:tblPrEx>
        <w:trPr>
          <w:trHeight w:val="510"/>
          <w:jc w:val="center"/>
        </w:trPr>
        <w:tc>
          <w:tcPr>
            <w:tcW w:w="468" w:type="dxa"/>
            <w:hideMark/>
          </w:tcPr>
          <w:p w:rsidR="00C2105A" w:rsidRPr="004F13A5" w:rsidP="006F6C35">
            <w:pPr>
              <w:rPr>
                <w:color w:val="000000"/>
              </w:rPr>
            </w:pPr>
            <w:r w:rsidRPr="004F13A5">
              <w:rPr>
                <w:color w:val="000000"/>
              </w:rPr>
              <w:t xml:space="preserve"> </w:t>
            </w:r>
          </w:p>
        </w:tc>
        <w:tc>
          <w:tcPr>
            <w:tcW w:w="2509" w:type="dxa"/>
            <w:hideMark/>
          </w:tcPr>
          <w:p w:rsidR="00C2105A" w:rsidRPr="004F13A5" w:rsidP="006F6C35">
            <w:pPr>
              <w:rPr>
                <w:color w:val="000000"/>
              </w:rPr>
            </w:pPr>
            <w:r w:rsidRPr="004F13A5">
              <w:rPr>
                <w:color w:val="000000"/>
              </w:rPr>
              <w:t>Administratīvo izmaksu monetārs novērtējums</w:t>
            </w:r>
          </w:p>
        </w:tc>
        <w:tc>
          <w:tcPr>
            <w:tcW w:w="6090" w:type="dxa"/>
            <w:hideMark/>
          </w:tcPr>
          <w:p w:rsidR="00C2105A" w:rsidRPr="004F13A5" w:rsidP="006F6C35">
            <w:pPr>
              <w:spacing w:after="60"/>
              <w:ind w:firstLine="113"/>
              <w:rPr>
                <w:color w:val="000000"/>
              </w:rPr>
            </w:pPr>
            <w:r w:rsidRPr="004F13A5">
              <w:rPr>
                <w:color w:val="000000"/>
              </w:rPr>
              <w:t>Projekts šo jomu neskar.</w:t>
            </w:r>
          </w:p>
        </w:tc>
      </w:tr>
      <w:tr w:rsidTr="00AE28AB">
        <w:tblPrEx>
          <w:tblW w:w="9067" w:type="dxa"/>
          <w:jc w:val="center"/>
          <w:tblCellMar>
            <w:left w:w="57" w:type="dxa"/>
            <w:right w:w="57" w:type="dxa"/>
          </w:tblCellMar>
          <w:tblLook w:val="04A0"/>
        </w:tblPrEx>
        <w:trPr>
          <w:trHeight w:val="345"/>
          <w:jc w:val="center"/>
        </w:trPr>
        <w:tc>
          <w:tcPr>
            <w:tcW w:w="468" w:type="dxa"/>
            <w:hideMark/>
          </w:tcPr>
          <w:p w:rsidR="00C2105A" w:rsidRPr="004F13A5" w:rsidP="006F6C35">
            <w:pPr>
              <w:rPr>
                <w:color w:val="000000"/>
              </w:rPr>
            </w:pPr>
            <w:r w:rsidRPr="004F13A5">
              <w:rPr>
                <w:color w:val="000000"/>
              </w:rPr>
              <w:t>4.</w:t>
            </w:r>
          </w:p>
        </w:tc>
        <w:tc>
          <w:tcPr>
            <w:tcW w:w="2509" w:type="dxa"/>
            <w:hideMark/>
          </w:tcPr>
          <w:p w:rsidR="00C2105A" w:rsidRPr="004F13A5" w:rsidP="006F6C35">
            <w:pPr>
              <w:rPr>
                <w:color w:val="000000"/>
              </w:rPr>
            </w:pPr>
            <w:r w:rsidRPr="004F13A5">
              <w:rPr>
                <w:color w:val="000000"/>
              </w:rPr>
              <w:t>Cita informācija</w:t>
            </w:r>
          </w:p>
        </w:tc>
        <w:tc>
          <w:tcPr>
            <w:tcW w:w="6090" w:type="dxa"/>
            <w:hideMark/>
          </w:tcPr>
          <w:p w:rsidR="00C2105A" w:rsidRPr="00CA0E88" w:rsidP="006F6C35">
            <w:pPr>
              <w:pStyle w:val="BodyTextIndent2"/>
              <w:spacing w:after="60" w:line="240" w:lineRule="auto"/>
              <w:ind w:left="0" w:firstLine="113"/>
              <w:jc w:val="both"/>
              <w:rPr>
                <w:color w:val="000000"/>
                <w:lang w:val="lv-LV"/>
              </w:rPr>
            </w:pPr>
            <w:r w:rsidRPr="00CA0E88">
              <w:rPr>
                <w:color w:val="000000"/>
                <w:lang w:val="lv-LV"/>
              </w:rPr>
              <w:t>Nav</w:t>
            </w:r>
          </w:p>
        </w:tc>
      </w:tr>
    </w:tbl>
    <w:p w:rsidR="00C2105A" w:rsidRPr="00583077" w:rsidP="00C2105A">
      <w:pPr>
        <w:shd w:val="clear" w:color="auto" w:fill="FFFFFF"/>
        <w:rPr>
          <w:color w:val="414142"/>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004"/>
        <w:gridCol w:w="1155"/>
        <w:gridCol w:w="1431"/>
        <w:gridCol w:w="1155"/>
        <w:gridCol w:w="1155"/>
        <w:gridCol w:w="1155"/>
      </w:tblGrid>
      <w:tr w:rsidTr="00AE28AB">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AE28AB" w:rsidRPr="00E84EB8">
            <w:pPr>
              <w:spacing w:before="100" w:beforeAutospacing="1" w:after="100" w:afterAutospacing="1" w:line="293" w:lineRule="atLeast"/>
              <w:jc w:val="center"/>
              <w:rPr>
                <w:b/>
                <w:bCs/>
              </w:rPr>
            </w:pPr>
            <w:r w:rsidRPr="00E84EB8">
              <w:rPr>
                <w:b/>
                <w:bCs/>
              </w:rPr>
              <w:t>III. Tiesību akta projekta ietekme uz valsts budžetu un pašvaldību budžetiem</w:t>
            </w:r>
          </w:p>
        </w:tc>
      </w:tr>
      <w:tr w:rsidTr="00741360">
        <w:tblPrEx>
          <w:tblW w:w="5000" w:type="pct"/>
          <w:jc w:val="center"/>
          <w:tblCellMar>
            <w:top w:w="24" w:type="dxa"/>
            <w:left w:w="24" w:type="dxa"/>
            <w:bottom w:w="24" w:type="dxa"/>
            <w:right w:w="24" w:type="dxa"/>
          </w:tblCellMar>
          <w:tblLook w:val="04A0"/>
        </w:tblPrEx>
        <w:trPr>
          <w:jc w:val="center"/>
        </w:trPr>
        <w:tc>
          <w:tcPr>
            <w:tcW w:w="1659" w:type="pct"/>
            <w:vMerge w:val="restart"/>
            <w:tcBorders>
              <w:top w:val="outset" w:sz="6" w:space="0" w:color="414142"/>
              <w:left w:val="outset" w:sz="6" w:space="0" w:color="414142"/>
              <w:bottom w:val="outset" w:sz="6" w:space="0" w:color="414142"/>
              <w:right w:val="outset" w:sz="6" w:space="0" w:color="414142"/>
            </w:tcBorders>
            <w:vAlign w:val="center"/>
            <w:hideMark/>
          </w:tcPr>
          <w:p w:rsidR="00AE28AB" w:rsidRPr="00E84EB8">
            <w:pPr>
              <w:spacing w:before="100" w:beforeAutospacing="1" w:after="100" w:afterAutospacing="1" w:line="293" w:lineRule="atLeast"/>
              <w:jc w:val="center"/>
              <w:rPr>
                <w:b/>
                <w:bCs/>
              </w:rPr>
            </w:pPr>
            <w:r w:rsidRPr="00E84EB8">
              <w:rPr>
                <w:b/>
                <w:bCs/>
              </w:rPr>
              <w:t>Rādītāji</w:t>
            </w:r>
          </w:p>
        </w:tc>
        <w:tc>
          <w:tcPr>
            <w:tcW w:w="1428"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E28AB" w:rsidRPr="00E84EB8" w:rsidP="002C66BF">
            <w:pPr>
              <w:spacing w:before="100" w:beforeAutospacing="1" w:after="100" w:afterAutospacing="1" w:line="293" w:lineRule="atLeast"/>
              <w:jc w:val="center"/>
              <w:rPr>
                <w:b/>
                <w:bCs/>
              </w:rPr>
            </w:pPr>
            <w:r w:rsidRPr="00E84EB8">
              <w:rPr>
                <w:b/>
                <w:bCs/>
              </w:rPr>
              <w:t>2017</w:t>
            </w:r>
            <w:r w:rsidR="002C66BF">
              <w:rPr>
                <w:b/>
                <w:bCs/>
              </w:rPr>
              <w:t>.</w:t>
            </w:r>
            <w:r w:rsidRPr="00E84EB8">
              <w:rPr>
                <w:b/>
                <w:bCs/>
              </w:rPr>
              <w:t xml:space="preserve"> gads</w:t>
            </w:r>
          </w:p>
        </w:tc>
        <w:tc>
          <w:tcPr>
            <w:tcW w:w="1913" w:type="pct"/>
            <w:gridSpan w:val="3"/>
            <w:tcBorders>
              <w:top w:val="outset" w:sz="6" w:space="0" w:color="414142"/>
              <w:left w:val="outset" w:sz="6" w:space="0" w:color="414142"/>
              <w:bottom w:val="outset" w:sz="6" w:space="0" w:color="414142"/>
              <w:right w:val="outset" w:sz="6" w:space="0" w:color="414142"/>
            </w:tcBorders>
            <w:vAlign w:val="center"/>
            <w:hideMark/>
          </w:tcPr>
          <w:p w:rsidR="00AE28AB" w:rsidRPr="00E84EB8">
            <w:pPr>
              <w:spacing w:before="100" w:beforeAutospacing="1" w:after="100" w:afterAutospacing="1" w:line="293" w:lineRule="atLeast"/>
              <w:jc w:val="center"/>
            </w:pPr>
            <w:r w:rsidRPr="00E84EB8">
              <w:t>Turpmākie trīs gadi (</w:t>
            </w:r>
            <w:r w:rsidRPr="00E84EB8">
              <w:rPr>
                <w:i/>
                <w:iCs/>
              </w:rPr>
              <w:t>euro</w:t>
            </w:r>
            <w:r w:rsidRPr="00E84EB8">
              <w:t>)</w:t>
            </w:r>
          </w:p>
        </w:tc>
      </w:tr>
      <w:tr w:rsidTr="001D34DD">
        <w:tblPrEx>
          <w:tblW w:w="5000" w:type="pct"/>
          <w:jc w:val="center"/>
          <w:tblCellMar>
            <w:top w:w="24" w:type="dxa"/>
            <w:left w:w="24" w:type="dxa"/>
            <w:bottom w:w="24" w:type="dxa"/>
            <w:right w:w="24"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28AB" w:rsidRPr="00E84EB8">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AE28AB" w:rsidRPr="00E84EB8">
            <w:pPr>
              <w:rPr>
                <w:b/>
                <w:bCs/>
              </w:rPr>
            </w:pP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AE28AB" w:rsidRPr="00E84EB8">
            <w:pPr>
              <w:spacing w:before="100" w:beforeAutospacing="1" w:after="100" w:afterAutospacing="1" w:line="293" w:lineRule="atLeast"/>
              <w:jc w:val="center"/>
              <w:rPr>
                <w:b/>
                <w:bCs/>
              </w:rPr>
            </w:pPr>
            <w:r w:rsidRPr="00E84EB8">
              <w:rPr>
                <w:b/>
                <w:bCs/>
              </w:rPr>
              <w:t>2018</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AE28AB" w:rsidRPr="00E84EB8">
            <w:pPr>
              <w:spacing w:before="100" w:beforeAutospacing="1" w:after="100" w:afterAutospacing="1" w:line="293" w:lineRule="atLeast"/>
              <w:jc w:val="center"/>
              <w:rPr>
                <w:b/>
                <w:bCs/>
              </w:rPr>
            </w:pPr>
            <w:r w:rsidRPr="00E84EB8">
              <w:rPr>
                <w:b/>
                <w:bCs/>
              </w:rPr>
              <w:t>2019</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AE28AB" w:rsidRPr="00E84EB8">
            <w:pPr>
              <w:spacing w:before="100" w:beforeAutospacing="1" w:after="100" w:afterAutospacing="1" w:line="293" w:lineRule="atLeast"/>
              <w:jc w:val="center"/>
              <w:rPr>
                <w:b/>
                <w:bCs/>
              </w:rPr>
            </w:pPr>
            <w:r w:rsidRPr="00E84EB8">
              <w:rPr>
                <w:b/>
                <w:bCs/>
              </w:rPr>
              <w:t>2020</w:t>
            </w:r>
          </w:p>
        </w:tc>
      </w:tr>
      <w:tr w:rsidTr="001D34DD">
        <w:tblPrEx>
          <w:tblW w:w="5000" w:type="pct"/>
          <w:jc w:val="center"/>
          <w:tblCellMar>
            <w:top w:w="24" w:type="dxa"/>
            <w:left w:w="24" w:type="dxa"/>
            <w:bottom w:w="24" w:type="dxa"/>
            <w:right w:w="24"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28AB" w:rsidRPr="00E84EB8">
            <w:pPr>
              <w:rPr>
                <w:b/>
                <w:bCs/>
              </w:rPr>
            </w:pP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AE28AB" w:rsidRPr="00E84EB8">
            <w:pPr>
              <w:spacing w:before="100" w:beforeAutospacing="1" w:after="100" w:afterAutospacing="1" w:line="293" w:lineRule="atLeast"/>
              <w:jc w:val="center"/>
            </w:pPr>
            <w:r w:rsidRPr="00E84EB8">
              <w:t>saskaņā ar valsts budžetu kārtējam gadam</w:t>
            </w:r>
          </w:p>
        </w:tc>
        <w:tc>
          <w:tcPr>
            <w:tcW w:w="790" w:type="pct"/>
            <w:tcBorders>
              <w:top w:val="outset" w:sz="6" w:space="0" w:color="414142"/>
              <w:left w:val="outset" w:sz="6" w:space="0" w:color="414142"/>
              <w:bottom w:val="outset" w:sz="6" w:space="0" w:color="414142"/>
              <w:right w:val="outset" w:sz="6" w:space="0" w:color="414142"/>
            </w:tcBorders>
            <w:vAlign w:val="center"/>
            <w:hideMark/>
          </w:tcPr>
          <w:p w:rsidR="00AE28AB" w:rsidRPr="00E84EB8">
            <w:pPr>
              <w:spacing w:before="100" w:beforeAutospacing="1" w:after="100" w:afterAutospacing="1" w:line="293" w:lineRule="atLeast"/>
              <w:jc w:val="center"/>
            </w:pPr>
            <w:r w:rsidRPr="00E84EB8">
              <w:t>izmaiņas kārtējā gadā, salīdzinot ar valsts budžetu kārtējam gadam</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AE28AB" w:rsidRPr="00E84EB8" w:rsidP="002C66BF">
            <w:pPr>
              <w:spacing w:before="100" w:beforeAutospacing="1" w:after="100" w:afterAutospacing="1" w:line="293" w:lineRule="atLeast"/>
              <w:jc w:val="center"/>
            </w:pPr>
            <w:r w:rsidRPr="00E84EB8">
              <w:t>izmaiņas, salīdzinot ar kārtējo (</w:t>
            </w:r>
            <w:r w:rsidR="002C66BF">
              <w:t>2017</w:t>
            </w:r>
            <w:r w:rsidR="000F4AFE">
              <w:t>.</w:t>
            </w:r>
            <w:r w:rsidRPr="00E84EB8">
              <w:t>) gadu</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AE28AB" w:rsidRPr="00E84EB8" w:rsidP="002C66BF">
            <w:pPr>
              <w:spacing w:before="100" w:beforeAutospacing="1" w:after="100" w:afterAutospacing="1" w:line="293" w:lineRule="atLeast"/>
              <w:jc w:val="center"/>
            </w:pPr>
            <w:r w:rsidRPr="00E84EB8">
              <w:t>izmaiņas, salīdzinot ar kārtējo (</w:t>
            </w:r>
            <w:r w:rsidR="002C66BF">
              <w:t>2017</w:t>
            </w:r>
            <w:r w:rsidR="000F4AFE">
              <w:t>.</w:t>
            </w:r>
            <w:r w:rsidRPr="00E84EB8">
              <w:t>) gadu</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AE28AB" w:rsidRPr="00E84EB8" w:rsidP="002C66BF">
            <w:pPr>
              <w:spacing w:before="100" w:beforeAutospacing="1" w:after="100" w:afterAutospacing="1" w:line="293" w:lineRule="atLeast"/>
              <w:jc w:val="center"/>
            </w:pPr>
            <w:r w:rsidRPr="00E84EB8">
              <w:t>izmaiņas, salīdzinot ar kārtējo (</w:t>
            </w:r>
            <w:r w:rsidR="002C66BF">
              <w:t>2017</w:t>
            </w:r>
            <w:r w:rsidR="000F4AFE">
              <w:t>.</w:t>
            </w:r>
            <w:r w:rsidRPr="00E84EB8">
              <w:t>) gadu</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vAlign w:val="center"/>
            <w:hideMark/>
          </w:tcPr>
          <w:p w:rsidR="00AE28AB" w:rsidRPr="00E84EB8">
            <w:pPr>
              <w:spacing w:before="100" w:beforeAutospacing="1" w:after="100" w:afterAutospacing="1" w:line="293" w:lineRule="atLeast"/>
              <w:jc w:val="center"/>
              <w:rPr>
                <w:sz w:val="20"/>
              </w:rPr>
            </w:pPr>
            <w:r w:rsidRPr="00E84EB8">
              <w:rPr>
                <w:sz w:val="20"/>
              </w:rPr>
              <w:t>1</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AE28AB" w:rsidRPr="000F4AFE">
            <w:pPr>
              <w:spacing w:before="100" w:beforeAutospacing="1" w:after="100" w:afterAutospacing="1" w:line="293" w:lineRule="atLeast"/>
              <w:jc w:val="center"/>
              <w:rPr>
                <w:sz w:val="20"/>
              </w:rPr>
            </w:pPr>
            <w:r w:rsidRPr="000F4AFE">
              <w:rPr>
                <w:sz w:val="20"/>
              </w:rPr>
              <w:t>2</w:t>
            </w:r>
          </w:p>
        </w:tc>
        <w:tc>
          <w:tcPr>
            <w:tcW w:w="790" w:type="pct"/>
            <w:tcBorders>
              <w:top w:val="outset" w:sz="6" w:space="0" w:color="414142"/>
              <w:left w:val="outset" w:sz="6" w:space="0" w:color="414142"/>
              <w:bottom w:val="outset" w:sz="6" w:space="0" w:color="414142"/>
              <w:right w:val="outset" w:sz="6" w:space="0" w:color="414142"/>
            </w:tcBorders>
            <w:vAlign w:val="center"/>
            <w:hideMark/>
          </w:tcPr>
          <w:p w:rsidR="00AE28AB" w:rsidRPr="000F4AFE">
            <w:pPr>
              <w:spacing w:before="100" w:beforeAutospacing="1" w:after="100" w:afterAutospacing="1" w:line="293" w:lineRule="atLeast"/>
              <w:jc w:val="center"/>
              <w:rPr>
                <w:sz w:val="20"/>
              </w:rPr>
            </w:pPr>
            <w:r w:rsidRPr="000F4AFE">
              <w:rPr>
                <w:sz w:val="20"/>
              </w:rPr>
              <w:t>3</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AE28AB" w:rsidRPr="000F4AFE">
            <w:pPr>
              <w:spacing w:before="100" w:beforeAutospacing="1" w:after="100" w:afterAutospacing="1" w:line="293" w:lineRule="atLeast"/>
              <w:jc w:val="center"/>
              <w:rPr>
                <w:sz w:val="20"/>
              </w:rPr>
            </w:pPr>
            <w:r w:rsidRPr="000F4AFE">
              <w:rPr>
                <w:sz w:val="20"/>
              </w:rPr>
              <w:t>4</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AE28AB" w:rsidRPr="000F4AFE">
            <w:pPr>
              <w:spacing w:before="100" w:beforeAutospacing="1" w:after="100" w:afterAutospacing="1" w:line="293" w:lineRule="atLeast"/>
              <w:jc w:val="center"/>
              <w:rPr>
                <w:sz w:val="20"/>
              </w:rPr>
            </w:pPr>
            <w:r w:rsidRPr="000F4AFE">
              <w:rPr>
                <w:sz w:val="20"/>
              </w:rPr>
              <w:t>5</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AE28AB" w:rsidRPr="000F4AFE">
            <w:pPr>
              <w:spacing w:before="100" w:beforeAutospacing="1" w:after="100" w:afterAutospacing="1" w:line="293" w:lineRule="atLeast"/>
              <w:jc w:val="center"/>
              <w:rPr>
                <w:sz w:val="20"/>
              </w:rPr>
            </w:pPr>
            <w:r w:rsidRPr="000F4AFE">
              <w:rPr>
                <w:sz w:val="20"/>
              </w:rPr>
              <w:t>6</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741360" w:rsidRPr="004E36ED" w:rsidP="00741360">
            <w:r w:rsidRPr="004E36ED">
              <w:t>1. Budžeta ieņēmumi:</w:t>
            </w:r>
          </w:p>
        </w:tc>
        <w:tc>
          <w:tcPr>
            <w:tcW w:w="638" w:type="pct"/>
            <w:tcBorders>
              <w:top w:val="outset" w:sz="6" w:space="0" w:color="414142"/>
              <w:left w:val="outset" w:sz="6" w:space="0" w:color="414142"/>
              <w:bottom w:val="outset" w:sz="6" w:space="0" w:color="414142"/>
              <w:right w:val="outset" w:sz="6" w:space="0" w:color="414142"/>
            </w:tcBorders>
            <w:hideMark/>
          </w:tcPr>
          <w:p w:rsidR="00741360" w:rsidRPr="000F4AFE" w:rsidP="00741360">
            <w:r w:rsidRPr="000F4AFE">
              <w:t>0</w:t>
            </w:r>
          </w:p>
        </w:tc>
        <w:tc>
          <w:tcPr>
            <w:tcW w:w="790" w:type="pct"/>
            <w:tcBorders>
              <w:top w:val="outset" w:sz="6" w:space="0" w:color="414142"/>
              <w:left w:val="outset" w:sz="6" w:space="0" w:color="414142"/>
              <w:bottom w:val="outset" w:sz="6" w:space="0" w:color="414142"/>
              <w:right w:val="outset" w:sz="6" w:space="0" w:color="414142"/>
            </w:tcBorders>
            <w:hideMark/>
          </w:tcPr>
          <w:p w:rsidR="00741360" w:rsidRPr="000F4AFE" w:rsidP="00741360">
            <w:pPr>
              <w:rPr>
                <w:sz w:val="20"/>
                <w:szCs w:val="20"/>
              </w:rPr>
            </w:pPr>
            <w:r w:rsidRPr="000F4AFE">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741360" w:rsidRPr="000F4AFE" w:rsidP="00741360">
            <w:pPr>
              <w:rPr>
                <w:sz w:val="20"/>
                <w:szCs w:val="20"/>
              </w:rPr>
            </w:pPr>
            <w:r w:rsidRPr="000F4AFE">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741360" w:rsidRPr="000F4AFE" w:rsidP="00741360">
            <w:pPr>
              <w:rPr>
                <w:sz w:val="20"/>
                <w:szCs w:val="20"/>
              </w:rPr>
            </w:pPr>
            <w:r w:rsidRPr="000F4AFE">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741360" w:rsidRPr="000F4AFE" w:rsidP="00741360">
            <w:pPr>
              <w:rPr>
                <w:sz w:val="20"/>
                <w:szCs w:val="20"/>
              </w:rPr>
            </w:pPr>
            <w:r w:rsidRPr="000F4AFE">
              <w:t>nav precīzi aprēķināms</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741360" w:rsidRPr="004E36ED" w:rsidP="00741360">
            <w:r w:rsidRPr="004E36ED">
              <w:t>1.1. valsts pamatbudžets, tai skaitā ieņēmumi no maksas pakalpojumiem un citi pašu ieņēmumi</w:t>
            </w:r>
          </w:p>
        </w:tc>
        <w:tc>
          <w:tcPr>
            <w:tcW w:w="638" w:type="pct"/>
            <w:tcBorders>
              <w:top w:val="outset" w:sz="6" w:space="0" w:color="414142"/>
              <w:left w:val="outset" w:sz="6" w:space="0" w:color="414142"/>
              <w:bottom w:val="outset" w:sz="6" w:space="0" w:color="414142"/>
              <w:right w:val="outset" w:sz="6" w:space="0" w:color="414142"/>
            </w:tcBorders>
            <w:hideMark/>
          </w:tcPr>
          <w:p w:rsidR="00741360" w:rsidRPr="000F4AFE" w:rsidP="00741360">
            <w:r w:rsidRPr="000F4AFE">
              <w:t>0</w:t>
            </w:r>
          </w:p>
        </w:tc>
        <w:tc>
          <w:tcPr>
            <w:tcW w:w="790" w:type="pct"/>
            <w:tcBorders>
              <w:top w:val="outset" w:sz="6" w:space="0" w:color="414142"/>
              <w:left w:val="outset" w:sz="6" w:space="0" w:color="414142"/>
              <w:bottom w:val="outset" w:sz="6" w:space="0" w:color="414142"/>
              <w:right w:val="outset" w:sz="6" w:space="0" w:color="414142"/>
            </w:tcBorders>
            <w:hideMark/>
          </w:tcPr>
          <w:p w:rsidR="00741360" w:rsidRPr="000F4AFE" w:rsidP="00741360">
            <w:pPr>
              <w:rPr>
                <w:sz w:val="20"/>
                <w:szCs w:val="20"/>
              </w:rPr>
            </w:pPr>
            <w:r w:rsidRPr="000F4AFE">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741360" w:rsidRPr="000F4AFE" w:rsidP="00741360">
            <w:pPr>
              <w:rPr>
                <w:sz w:val="20"/>
                <w:szCs w:val="20"/>
              </w:rPr>
            </w:pPr>
            <w:r w:rsidRPr="000F4AFE">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741360" w:rsidRPr="000F4AFE" w:rsidP="00741360">
            <w:pPr>
              <w:rPr>
                <w:sz w:val="20"/>
                <w:szCs w:val="20"/>
              </w:rPr>
            </w:pPr>
            <w:r w:rsidRPr="000F4AFE">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741360" w:rsidRPr="000F4AFE" w:rsidP="00741360">
            <w:pPr>
              <w:rPr>
                <w:sz w:val="20"/>
                <w:szCs w:val="20"/>
              </w:rPr>
            </w:pPr>
            <w:r w:rsidRPr="000F4AFE">
              <w:t>nav precīzi aprēķināms</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1.2. valsts speciālais budžets</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790"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1.3. pašvaldību budžets</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790"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2. Budžeta izdevumi:</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790" w:type="pct"/>
            <w:tcBorders>
              <w:top w:val="outset" w:sz="6" w:space="0" w:color="414142"/>
              <w:left w:val="outset" w:sz="6" w:space="0" w:color="414142"/>
              <w:bottom w:val="outset" w:sz="6" w:space="0" w:color="414142"/>
              <w:right w:val="outset" w:sz="6" w:space="0" w:color="414142"/>
            </w:tcBorders>
            <w:hideMark/>
          </w:tcPr>
          <w:p w:rsidR="00AE28AB" w:rsidRPr="000F4AFE">
            <w:pPr>
              <w:rPr>
                <w:sz w:val="20"/>
                <w:szCs w:val="20"/>
              </w:rPr>
            </w:pPr>
            <w:r w:rsidRPr="000F4AFE">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pPr>
              <w:rPr>
                <w:sz w:val="20"/>
                <w:szCs w:val="20"/>
              </w:rPr>
            </w:pPr>
            <w:r w:rsidRPr="000F4AFE">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pPr>
              <w:rPr>
                <w:sz w:val="20"/>
                <w:szCs w:val="20"/>
              </w:rPr>
            </w:pPr>
            <w:r w:rsidRPr="000F4AFE">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pPr>
              <w:rPr>
                <w:sz w:val="20"/>
                <w:szCs w:val="20"/>
              </w:rPr>
            </w:pPr>
            <w:r w:rsidRPr="000F4AFE">
              <w:t>nav precīzi aprēķināms</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2.1. valsts pamatbudžets</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790" w:type="pct"/>
            <w:tcBorders>
              <w:top w:val="outset" w:sz="6" w:space="0" w:color="414142"/>
              <w:left w:val="outset" w:sz="6" w:space="0" w:color="414142"/>
              <w:bottom w:val="outset" w:sz="6" w:space="0" w:color="414142"/>
              <w:right w:val="outset" w:sz="6" w:space="0" w:color="414142"/>
            </w:tcBorders>
            <w:hideMark/>
          </w:tcPr>
          <w:p w:rsidR="00AE28AB" w:rsidRPr="000F4AFE">
            <w:pPr>
              <w:rPr>
                <w:sz w:val="20"/>
                <w:szCs w:val="20"/>
              </w:rPr>
            </w:pPr>
            <w:r w:rsidRPr="000F4AFE">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pPr>
              <w:rPr>
                <w:sz w:val="20"/>
                <w:szCs w:val="20"/>
              </w:rPr>
            </w:pPr>
            <w:r w:rsidRPr="000F4AFE">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pPr>
              <w:rPr>
                <w:sz w:val="20"/>
                <w:szCs w:val="20"/>
              </w:rPr>
            </w:pPr>
            <w:r w:rsidRPr="000F4AFE">
              <w:t>nav precīzi aprēķināms</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pPr>
              <w:rPr>
                <w:sz w:val="20"/>
                <w:szCs w:val="20"/>
              </w:rPr>
            </w:pPr>
            <w:r w:rsidRPr="000F4AFE">
              <w:t>nav precīzi aprēķināms</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2.2. valsts speciālais budžets</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790"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2.3. pašvaldību budžets</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790"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1D34DD" w:rsidRPr="004E36ED" w:rsidP="001D34DD">
            <w:r w:rsidRPr="004E36ED">
              <w:t>3. Finansiālā ietekme:</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1D34DD" w:rsidRPr="000F4AFE" w:rsidP="001D34DD">
            <w:r w:rsidRPr="000F4AFE">
              <w:t>0</w:t>
            </w:r>
          </w:p>
        </w:tc>
        <w:tc>
          <w:tcPr>
            <w:tcW w:w="790" w:type="pct"/>
            <w:tcBorders>
              <w:top w:val="outset" w:sz="6" w:space="0" w:color="414142"/>
              <w:left w:val="outset" w:sz="6" w:space="0" w:color="414142"/>
              <w:bottom w:val="outset" w:sz="6" w:space="0" w:color="414142"/>
              <w:right w:val="outset" w:sz="6" w:space="0" w:color="414142"/>
            </w:tcBorders>
            <w:hideMark/>
          </w:tcPr>
          <w:p w:rsidR="001D34DD" w:rsidRPr="000F4AFE" w:rsidP="001D34DD">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1D34DD" w:rsidRPr="000F4AFE" w:rsidP="001D34DD">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1D34DD" w:rsidRPr="000F4AFE" w:rsidP="001D34DD">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1D34DD" w:rsidRPr="000F4AFE" w:rsidP="001D34DD">
            <w:r w:rsidRPr="000F4AFE">
              <w:t>0</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3.1. valsts pamatbudžets</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790"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0F4AFE">
            <w:r w:rsidRPr="000F4AFE">
              <w:t>0</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3.2. speciālais budžets</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790"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3.3. pašvaldību budžets</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790"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r>
      <w:tr w:rsidTr="001D34DD">
        <w:tblPrEx>
          <w:tblW w:w="5000" w:type="pct"/>
          <w:jc w:val="center"/>
          <w:tblCellMar>
            <w:top w:w="24" w:type="dxa"/>
            <w:left w:w="24" w:type="dxa"/>
            <w:bottom w:w="24" w:type="dxa"/>
            <w:right w:w="24" w:type="dxa"/>
          </w:tblCellMar>
          <w:tblLook w:val="04A0"/>
        </w:tblPrEx>
        <w:trPr>
          <w:jc w:val="center"/>
        </w:trPr>
        <w:tc>
          <w:tcPr>
            <w:tcW w:w="1659" w:type="pct"/>
            <w:vMerge w:val="restart"/>
            <w:tcBorders>
              <w:top w:val="outset" w:sz="6" w:space="0" w:color="414142"/>
              <w:left w:val="outset" w:sz="6" w:space="0" w:color="414142"/>
              <w:bottom w:val="outset" w:sz="6" w:space="0" w:color="414142"/>
              <w:right w:val="outset" w:sz="6" w:space="0" w:color="414142"/>
            </w:tcBorders>
            <w:hideMark/>
          </w:tcPr>
          <w:p w:rsidR="00AE28AB" w:rsidRPr="004E36ED">
            <w:r w:rsidRPr="004E36ED">
              <w:t>4. Finanšu līdzekļi papildu izdevumu finansēšanai (kompensējošu izdevumu samazinājumu norāda ar "+" zīmi)</w:t>
            </w:r>
          </w:p>
        </w:tc>
        <w:tc>
          <w:tcPr>
            <w:tcW w:w="638" w:type="pct"/>
            <w:vMerge w:val="restart"/>
            <w:tcBorders>
              <w:top w:val="outset" w:sz="6" w:space="0" w:color="414142"/>
              <w:left w:val="outset" w:sz="6" w:space="0" w:color="414142"/>
              <w:bottom w:val="outset" w:sz="6" w:space="0" w:color="414142"/>
              <w:right w:val="outset" w:sz="6" w:space="0" w:color="414142"/>
            </w:tcBorders>
            <w:hideMark/>
          </w:tcPr>
          <w:p w:rsidR="00AE28AB" w:rsidRPr="008F59E1">
            <w:pPr>
              <w:spacing w:before="100" w:beforeAutospacing="1" w:after="100" w:afterAutospacing="1" w:line="293" w:lineRule="atLeast"/>
              <w:jc w:val="center"/>
            </w:pPr>
            <w:r w:rsidRPr="008F59E1">
              <w:t>X</w:t>
            </w:r>
          </w:p>
        </w:tc>
        <w:tc>
          <w:tcPr>
            <w:tcW w:w="790"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r>
      <w:tr w:rsidTr="001D34DD">
        <w:tblPrEx>
          <w:tblW w:w="5000" w:type="pct"/>
          <w:jc w:val="center"/>
          <w:tblCellMar>
            <w:top w:w="24" w:type="dxa"/>
            <w:left w:w="24" w:type="dxa"/>
            <w:bottom w:w="24" w:type="dxa"/>
            <w:right w:w="24"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28AB" w:rsidRPr="004E36ED"/>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28AB" w:rsidRPr="008F59E1"/>
        </w:tc>
        <w:tc>
          <w:tcPr>
            <w:tcW w:w="790"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r>
      <w:tr w:rsidTr="001D34DD">
        <w:tblPrEx>
          <w:tblW w:w="5000" w:type="pct"/>
          <w:jc w:val="center"/>
          <w:tblCellMar>
            <w:top w:w="24" w:type="dxa"/>
            <w:left w:w="24" w:type="dxa"/>
            <w:bottom w:w="24" w:type="dxa"/>
            <w:right w:w="24"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28AB" w:rsidRPr="004E36ED"/>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28AB" w:rsidRPr="008F59E1"/>
        </w:tc>
        <w:tc>
          <w:tcPr>
            <w:tcW w:w="790"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5. Precizēta finansiālā ietekme:</w:t>
            </w:r>
          </w:p>
        </w:tc>
        <w:tc>
          <w:tcPr>
            <w:tcW w:w="638" w:type="pct"/>
            <w:vMerge w:val="restart"/>
            <w:tcBorders>
              <w:top w:val="outset" w:sz="6" w:space="0" w:color="414142"/>
              <w:left w:val="outset" w:sz="6" w:space="0" w:color="414142"/>
              <w:bottom w:val="outset" w:sz="6" w:space="0" w:color="414142"/>
              <w:right w:val="outset" w:sz="6" w:space="0" w:color="414142"/>
            </w:tcBorders>
            <w:hideMark/>
          </w:tcPr>
          <w:p w:rsidR="00AE28AB" w:rsidRPr="008F59E1">
            <w:pPr>
              <w:spacing w:before="100" w:beforeAutospacing="1" w:after="100" w:afterAutospacing="1" w:line="293" w:lineRule="atLeast"/>
              <w:jc w:val="center"/>
            </w:pPr>
            <w:r w:rsidRPr="008F59E1">
              <w:t>X</w:t>
            </w:r>
          </w:p>
        </w:tc>
        <w:tc>
          <w:tcPr>
            <w:tcW w:w="790"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28AB" w:rsidRPr="008F59E1"/>
        </w:tc>
        <w:tc>
          <w:tcPr>
            <w:tcW w:w="790"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28AB" w:rsidRPr="008F59E1"/>
        </w:tc>
        <w:tc>
          <w:tcPr>
            <w:tcW w:w="790"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28AB" w:rsidRPr="008F59E1"/>
        </w:tc>
        <w:tc>
          <w:tcPr>
            <w:tcW w:w="790" w:type="pct"/>
            <w:tcBorders>
              <w:top w:val="outset" w:sz="6" w:space="0" w:color="414142"/>
              <w:left w:val="outset" w:sz="6" w:space="0" w:color="414142"/>
              <w:bottom w:val="outset" w:sz="6" w:space="0" w:color="414142"/>
              <w:right w:val="outset" w:sz="6" w:space="0" w:color="414142"/>
            </w:tcBorders>
            <w:hideMark/>
          </w:tcPr>
          <w:p w:rsidR="00AE28AB" w:rsidRPr="003463AF">
            <w:r w:rsidRPr="003463AF">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c>
          <w:tcPr>
            <w:tcW w:w="638" w:type="pct"/>
            <w:tcBorders>
              <w:top w:val="outset" w:sz="6" w:space="0" w:color="414142"/>
              <w:left w:val="outset" w:sz="6" w:space="0" w:color="414142"/>
              <w:bottom w:val="outset" w:sz="6" w:space="0" w:color="414142"/>
              <w:right w:val="outset" w:sz="6" w:space="0" w:color="414142"/>
            </w:tcBorders>
            <w:hideMark/>
          </w:tcPr>
          <w:p w:rsidR="00AE28AB" w:rsidRPr="008F59E1">
            <w:r w:rsidRPr="008F59E1">
              <w:t>0</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6. Detalizēts ieņēmumu un izdevumu aprēķins (ja nepieciešams, detalizētu ieņēmumu un izdevumu aprēķinu var pievienot anotācijas pielikumā):</w:t>
            </w:r>
          </w:p>
        </w:tc>
        <w:tc>
          <w:tcPr>
            <w:tcW w:w="334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AE28AB" w:rsidRPr="004E36ED">
            <w:r>
              <w:t>-</w:t>
            </w:r>
          </w:p>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AE28AB" w:rsidRPr="004E36ED"/>
        </w:tc>
      </w:tr>
      <w:tr w:rsidTr="001D34DD">
        <w:tblPrEx>
          <w:tblW w:w="5000" w:type="pct"/>
          <w:jc w:val="center"/>
          <w:tblCellMar>
            <w:top w:w="24" w:type="dxa"/>
            <w:left w:w="24" w:type="dxa"/>
            <w:bottom w:w="24" w:type="dxa"/>
            <w:right w:w="24" w:type="dxa"/>
          </w:tblCellMar>
          <w:tblLook w:val="04A0"/>
        </w:tblPrEx>
        <w:trPr>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AE28AB" w:rsidRPr="004E36ED"/>
        </w:tc>
      </w:tr>
      <w:tr w:rsidTr="001D34DD">
        <w:tblPrEx>
          <w:tblW w:w="5000" w:type="pct"/>
          <w:jc w:val="center"/>
          <w:tblCellMar>
            <w:top w:w="24" w:type="dxa"/>
            <w:left w:w="24" w:type="dxa"/>
            <w:bottom w:w="24" w:type="dxa"/>
            <w:right w:w="24" w:type="dxa"/>
          </w:tblCellMar>
          <w:tblLook w:val="04A0"/>
        </w:tblPrEx>
        <w:trPr>
          <w:trHeight w:val="444"/>
          <w:jc w:val="center"/>
        </w:trPr>
        <w:tc>
          <w:tcPr>
            <w:tcW w:w="1659" w:type="pct"/>
            <w:tcBorders>
              <w:top w:val="outset" w:sz="6" w:space="0" w:color="414142"/>
              <w:left w:val="outset" w:sz="6" w:space="0" w:color="414142"/>
              <w:bottom w:val="outset" w:sz="6" w:space="0" w:color="414142"/>
              <w:right w:val="outset" w:sz="6" w:space="0" w:color="414142"/>
            </w:tcBorders>
            <w:hideMark/>
          </w:tcPr>
          <w:p w:rsidR="00AE28AB" w:rsidRPr="004E36ED">
            <w:r w:rsidRPr="004E36ED">
              <w:t>7. Cita informācija</w:t>
            </w:r>
          </w:p>
        </w:tc>
        <w:tc>
          <w:tcPr>
            <w:tcW w:w="3341" w:type="pct"/>
            <w:gridSpan w:val="5"/>
            <w:tcBorders>
              <w:top w:val="outset" w:sz="6" w:space="0" w:color="414142"/>
              <w:left w:val="outset" w:sz="6" w:space="0" w:color="414142"/>
              <w:bottom w:val="outset" w:sz="6" w:space="0" w:color="414142"/>
              <w:right w:val="outset" w:sz="6" w:space="0" w:color="414142"/>
            </w:tcBorders>
            <w:hideMark/>
          </w:tcPr>
          <w:p w:rsidR="00607655" w:rsidRPr="006F6C35" w:rsidP="00626F67">
            <w:pPr>
              <w:jc w:val="both"/>
            </w:pPr>
            <w:r w:rsidRPr="006F6C35">
              <w:t xml:space="preserve">Ņemot vērā to, ka nav iespējams noteikt cik ilgā laika periodā ārstniecības iestādēs notiks pāreja tikai uz B kategorijas darbiniekiem, norādām, ka šobrīd nav iespējams precīzi aprēķināt izdevumus, kuri radīsies ārstniecības iestādēm, pēc noteikumu projekta apstiprināšanas. </w:t>
            </w:r>
          </w:p>
          <w:p w:rsidR="00B032FD" w:rsidRPr="006F6C35" w:rsidP="00B032FD">
            <w:pPr>
              <w:jc w:val="both"/>
            </w:pPr>
            <w:r w:rsidRPr="006F6C35">
              <w:t>2013.gadā stājās spēkā Mi</w:t>
            </w:r>
            <w:bookmarkStart w:id="2" w:name="_GoBack"/>
            <w:bookmarkEnd w:id="2"/>
            <w:r w:rsidRPr="006F6C35">
              <w:t>nistru kabineta 2013. gada 12. novembra noteikumi Nr. 1284 “Darbinieku apstarošanas kontroles un uzskaites kārtība”, kas paredz retāku dozimetru nomaiņu atsevišķu kategoriju darbiniekiem, kuri veic darbības ar jonizējoša starojuma avotiem. Veicot cenu salīdzināšanu redzams, ka atbilstoši noteikumu projektā noteiktajam, sadārdzinājums, piemēram, pret 2014.</w:t>
            </w:r>
            <w:r w:rsidRPr="006F6C35" w:rsidR="00C60964">
              <w:t> </w:t>
            </w:r>
            <w:r w:rsidRPr="006F6C35">
              <w:t>gadu nebūs, jo 2014.</w:t>
            </w:r>
            <w:r w:rsidRPr="006F6C35" w:rsidR="00C60964">
              <w:t> </w:t>
            </w:r>
            <w:r w:rsidRPr="006F6C35">
              <w:t>gadā ārstniecības iestādēs B kategorijas darbinieku skaits bija salīdzinoši neliels, attiecīgi dozimetru nomaiņa tika veikta biežāk. Veicot cenu salīdzināšanu, piemēram, pret 2016.</w:t>
            </w:r>
            <w:r w:rsidRPr="006F6C35" w:rsidR="00C60964">
              <w:t> </w:t>
            </w:r>
            <w:r w:rsidRPr="006F6C35">
              <w:t>gadu sadārdzinājums būtu līdz 10 000eur. 2016.</w:t>
            </w:r>
            <w:r w:rsidRPr="006F6C35" w:rsidR="00C60964">
              <w:t> </w:t>
            </w:r>
            <w:r w:rsidRPr="006F6C35">
              <w:t>gadā, ņemot vērā kategoriju nomaiņu darbiniekiem (no A kategorijas  uz B kategoriju), samazinājās veikto dozimetru nomaiņas skaits, taču vienlaikus ārstniecības iestādēs palielinājies B kategorijas darbinieku skaits. Attiecīgi 2016.</w:t>
            </w:r>
            <w:r w:rsidRPr="006F6C35" w:rsidR="00C60964">
              <w:t> </w:t>
            </w:r>
            <w:r w:rsidRPr="006F6C35">
              <w:t>gadā ārstniecības iestādēm izdevumi par dozimetru nomaiņu bija mazāki, nekā, piemēram, 2014.</w:t>
            </w:r>
            <w:r w:rsidRPr="006F6C35" w:rsidR="00C60964">
              <w:t> </w:t>
            </w:r>
            <w:r w:rsidRPr="006F6C35">
              <w:t>gadā.</w:t>
            </w:r>
          </w:p>
          <w:p w:rsidR="00F132E8" w:rsidRPr="006F6C35" w:rsidP="00B032FD">
            <w:pPr>
              <w:jc w:val="both"/>
            </w:pPr>
            <w:r w:rsidRPr="006F6C35">
              <w:t>Iesaistītās institūcijas noteikumu projekta īstenošanu nodrošinās to budžetā esošo līdzekļu ietvaros.</w:t>
            </w:r>
          </w:p>
        </w:tc>
      </w:tr>
    </w:tbl>
    <w:p w:rsidR="00AE28AB" w:rsidP="00AE28AB">
      <w:pPr>
        <w:shd w:val="clear" w:color="auto" w:fill="FFFFFF"/>
        <w:ind w:firstLine="301"/>
        <w:rPr>
          <w:color w:val="414142"/>
        </w:rPr>
      </w:pPr>
    </w:p>
    <w:p w:rsidR="00C2105A" w:rsidRPr="00583077" w:rsidP="00C2105A">
      <w:pPr>
        <w:shd w:val="clear" w:color="auto" w:fill="FFFFFF"/>
        <w:jc w:val="center"/>
        <w:rPr>
          <w:color w:val="414142"/>
        </w:rPr>
      </w:pPr>
    </w:p>
    <w:tbl>
      <w:tblPr>
        <w:tblW w:w="9064"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8"/>
        <w:gridCol w:w="2807"/>
        <w:gridCol w:w="5789"/>
      </w:tblGrid>
      <w:tr w:rsidTr="00CC7007">
        <w:tblPrEx>
          <w:tblW w:w="9064"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9064" w:type="dxa"/>
            <w:gridSpan w:val="3"/>
            <w:tcBorders>
              <w:top w:val="outset" w:sz="6" w:space="0" w:color="414142"/>
              <w:left w:val="outset" w:sz="6" w:space="0" w:color="414142"/>
              <w:bottom w:val="outset" w:sz="6" w:space="0" w:color="414142"/>
              <w:right w:val="outset" w:sz="6" w:space="0" w:color="414142"/>
            </w:tcBorders>
            <w:vAlign w:val="center"/>
            <w:hideMark/>
          </w:tcPr>
          <w:p w:rsidR="00C2105A" w:rsidRPr="00583077" w:rsidP="006F6C35">
            <w:pPr>
              <w:pStyle w:val="tvhtml"/>
              <w:spacing w:before="0" w:beforeAutospacing="0" w:after="0" w:afterAutospacing="0"/>
              <w:jc w:val="center"/>
              <w:rPr>
                <w:b/>
                <w:bCs/>
                <w:color w:val="000000"/>
              </w:rPr>
            </w:pPr>
            <w:r w:rsidRPr="00583077">
              <w:rPr>
                <w:b/>
                <w:bCs/>
                <w:color w:val="000000"/>
              </w:rPr>
              <w:t>VI. Sabiedrības līdzdalība un komunikācijas aktivitātes</w:t>
            </w:r>
          </w:p>
        </w:tc>
      </w:tr>
      <w:tr w:rsidTr="00CC7007">
        <w:tblPrEx>
          <w:tblW w:w="9064" w:type="dxa"/>
          <w:jc w:val="center"/>
          <w:tblCellMar>
            <w:top w:w="30" w:type="dxa"/>
            <w:left w:w="30" w:type="dxa"/>
            <w:bottom w:w="30" w:type="dxa"/>
            <w:right w:w="30" w:type="dxa"/>
          </w:tblCellMar>
          <w:tblLook w:val="04A0"/>
        </w:tblPrEx>
        <w:trPr>
          <w:trHeight w:val="540"/>
          <w:jc w:val="center"/>
        </w:trPr>
        <w:tc>
          <w:tcPr>
            <w:tcW w:w="468" w:type="dxa"/>
            <w:tcBorders>
              <w:top w:val="outset" w:sz="6" w:space="0" w:color="414142"/>
              <w:left w:val="outset" w:sz="6" w:space="0" w:color="414142"/>
              <w:bottom w:val="outset" w:sz="6" w:space="0" w:color="414142"/>
              <w:right w:val="outset" w:sz="6" w:space="0" w:color="414142"/>
            </w:tcBorders>
            <w:hideMark/>
          </w:tcPr>
          <w:p w:rsidR="00C2105A" w:rsidRPr="004F13A5" w:rsidP="006F6C35">
            <w:pPr>
              <w:rPr>
                <w:color w:val="000000"/>
              </w:rPr>
            </w:pPr>
            <w:r w:rsidRPr="004F13A5">
              <w:rPr>
                <w:color w:val="000000"/>
              </w:rPr>
              <w:t>1.</w:t>
            </w:r>
          </w:p>
        </w:tc>
        <w:tc>
          <w:tcPr>
            <w:tcW w:w="2807" w:type="dxa"/>
            <w:tcBorders>
              <w:top w:val="outset" w:sz="6" w:space="0" w:color="414142"/>
              <w:left w:val="outset" w:sz="6" w:space="0" w:color="414142"/>
              <w:bottom w:val="outset" w:sz="6" w:space="0" w:color="414142"/>
              <w:right w:val="outset" w:sz="6" w:space="0" w:color="414142"/>
            </w:tcBorders>
            <w:hideMark/>
          </w:tcPr>
          <w:p w:rsidR="00C2105A" w:rsidRPr="004F13A5" w:rsidP="006F6C35">
            <w:pPr>
              <w:rPr>
                <w:color w:val="000000"/>
              </w:rPr>
            </w:pPr>
            <w:r w:rsidRPr="004F13A5">
              <w:rPr>
                <w:color w:val="000000"/>
              </w:rPr>
              <w:t>Plānotās sabiedrības līdzdalības un komunikācijas aktivitātes saistībā ar projektu</w:t>
            </w:r>
          </w:p>
        </w:tc>
        <w:tc>
          <w:tcPr>
            <w:tcW w:w="5789" w:type="dxa"/>
            <w:tcBorders>
              <w:top w:val="outset" w:sz="6" w:space="0" w:color="414142"/>
              <w:left w:val="outset" w:sz="6" w:space="0" w:color="414142"/>
              <w:bottom w:val="outset" w:sz="6" w:space="0" w:color="414142"/>
              <w:right w:val="outset" w:sz="6" w:space="0" w:color="414142"/>
            </w:tcBorders>
            <w:hideMark/>
          </w:tcPr>
          <w:p w:rsidR="00C2105A" w:rsidRPr="00583077" w:rsidP="00223603">
            <w:pPr>
              <w:pStyle w:val="naiskr"/>
              <w:spacing w:before="0" w:after="0"/>
              <w:jc w:val="both"/>
              <w:rPr>
                <w:color w:val="000000"/>
              </w:rPr>
            </w:pPr>
            <w:r w:rsidRPr="00583077">
              <w:rPr>
                <w:color w:val="000000"/>
              </w:rPr>
              <w:t>Personas, uz kurām attiecas noteikumu projektā iekļautie nosacījumi, kā arī pārējā sabiedrība tika informēta par noteikuma projekta izstrādi, kad noteikumu projekts tika ievietots publiskai apspriešanai Vides aizsardzības un reģionālās attīstības ministrijas tīmekļa vietnē 201</w:t>
            </w:r>
            <w:r w:rsidR="00223603">
              <w:rPr>
                <w:color w:val="000000"/>
              </w:rPr>
              <w:t>6</w:t>
            </w:r>
            <w:r w:rsidRPr="00583077">
              <w:rPr>
                <w:color w:val="000000"/>
              </w:rPr>
              <w:t>.</w:t>
            </w:r>
            <w:r w:rsidR="00223603">
              <w:rPr>
                <w:color w:val="000000"/>
              </w:rPr>
              <w:t> </w:t>
            </w:r>
            <w:r w:rsidRPr="00583077">
              <w:rPr>
                <w:color w:val="000000"/>
              </w:rPr>
              <w:t xml:space="preserve">gada </w:t>
            </w:r>
            <w:r w:rsidR="00223603">
              <w:rPr>
                <w:color w:val="000000"/>
              </w:rPr>
              <w:t>23</w:t>
            </w:r>
            <w:r w:rsidRPr="00583077">
              <w:rPr>
                <w:color w:val="000000"/>
              </w:rPr>
              <w:t>.</w:t>
            </w:r>
            <w:r w:rsidR="00223603">
              <w:rPr>
                <w:color w:val="000000"/>
              </w:rPr>
              <w:t> novembrī</w:t>
            </w:r>
            <w:r w:rsidRPr="00583077">
              <w:rPr>
                <w:color w:val="000000"/>
              </w:rPr>
              <w:t>.</w:t>
            </w:r>
          </w:p>
        </w:tc>
      </w:tr>
      <w:tr w:rsidTr="00CC7007">
        <w:tblPrEx>
          <w:tblW w:w="9064" w:type="dxa"/>
          <w:jc w:val="center"/>
          <w:tblCellMar>
            <w:top w:w="30" w:type="dxa"/>
            <w:left w:w="30" w:type="dxa"/>
            <w:bottom w:w="30" w:type="dxa"/>
            <w:right w:w="30" w:type="dxa"/>
          </w:tblCellMar>
          <w:tblLook w:val="04A0"/>
        </w:tblPrEx>
        <w:trPr>
          <w:trHeight w:val="330"/>
          <w:jc w:val="center"/>
        </w:trPr>
        <w:tc>
          <w:tcPr>
            <w:tcW w:w="468" w:type="dxa"/>
            <w:tcBorders>
              <w:top w:val="outset" w:sz="6" w:space="0" w:color="414142"/>
              <w:left w:val="outset" w:sz="6" w:space="0" w:color="414142"/>
              <w:bottom w:val="outset" w:sz="6" w:space="0" w:color="414142"/>
              <w:right w:val="outset" w:sz="6" w:space="0" w:color="414142"/>
            </w:tcBorders>
            <w:hideMark/>
          </w:tcPr>
          <w:p w:rsidR="00C2105A" w:rsidRPr="004F13A5" w:rsidP="006F6C35">
            <w:pPr>
              <w:rPr>
                <w:color w:val="000000"/>
              </w:rPr>
            </w:pPr>
            <w:r w:rsidRPr="004F13A5">
              <w:rPr>
                <w:color w:val="000000"/>
              </w:rPr>
              <w:t>2.</w:t>
            </w:r>
          </w:p>
        </w:tc>
        <w:tc>
          <w:tcPr>
            <w:tcW w:w="2807" w:type="dxa"/>
            <w:tcBorders>
              <w:top w:val="outset" w:sz="6" w:space="0" w:color="414142"/>
              <w:left w:val="outset" w:sz="6" w:space="0" w:color="414142"/>
              <w:bottom w:val="outset" w:sz="6" w:space="0" w:color="414142"/>
              <w:right w:val="outset" w:sz="6" w:space="0" w:color="414142"/>
            </w:tcBorders>
            <w:hideMark/>
          </w:tcPr>
          <w:p w:rsidR="00C2105A" w:rsidRPr="004F13A5" w:rsidP="006F6C35">
            <w:pPr>
              <w:rPr>
                <w:color w:val="000000"/>
              </w:rPr>
            </w:pPr>
            <w:r w:rsidRPr="004F13A5">
              <w:rPr>
                <w:color w:val="000000"/>
              </w:rPr>
              <w:t>Sabiedrības līdzdalība projekta izstrādē</w:t>
            </w:r>
          </w:p>
        </w:tc>
        <w:tc>
          <w:tcPr>
            <w:tcW w:w="5789" w:type="dxa"/>
            <w:tcBorders>
              <w:top w:val="outset" w:sz="6" w:space="0" w:color="414142"/>
              <w:left w:val="outset" w:sz="6" w:space="0" w:color="414142"/>
              <w:bottom w:val="outset" w:sz="6" w:space="0" w:color="414142"/>
              <w:right w:val="outset" w:sz="6" w:space="0" w:color="414142"/>
            </w:tcBorders>
            <w:hideMark/>
          </w:tcPr>
          <w:p w:rsidR="00C2105A" w:rsidRPr="004F13A5" w:rsidP="006F6C35">
            <w:pPr>
              <w:rPr>
                <w:color w:val="000000"/>
              </w:rPr>
            </w:pPr>
            <w:r w:rsidRPr="004F13A5">
              <w:rPr>
                <w:color w:val="000000"/>
              </w:rPr>
              <w:t>Noteikumu projekts publicēts Vides aizsardzības un reģionālās attīstības tīmekļa vietnē.</w:t>
            </w:r>
          </w:p>
        </w:tc>
      </w:tr>
      <w:tr w:rsidTr="00CC7007">
        <w:tblPrEx>
          <w:tblW w:w="9064" w:type="dxa"/>
          <w:jc w:val="center"/>
          <w:tblCellMar>
            <w:top w:w="30" w:type="dxa"/>
            <w:left w:w="30" w:type="dxa"/>
            <w:bottom w:w="30" w:type="dxa"/>
            <w:right w:w="30" w:type="dxa"/>
          </w:tblCellMar>
          <w:tblLook w:val="04A0"/>
        </w:tblPrEx>
        <w:trPr>
          <w:trHeight w:val="465"/>
          <w:jc w:val="center"/>
        </w:trPr>
        <w:tc>
          <w:tcPr>
            <w:tcW w:w="468" w:type="dxa"/>
            <w:tcBorders>
              <w:top w:val="outset" w:sz="6" w:space="0" w:color="414142"/>
              <w:left w:val="outset" w:sz="6" w:space="0" w:color="414142"/>
              <w:bottom w:val="outset" w:sz="6" w:space="0" w:color="414142"/>
              <w:right w:val="outset" w:sz="6" w:space="0" w:color="414142"/>
            </w:tcBorders>
            <w:hideMark/>
          </w:tcPr>
          <w:p w:rsidR="00C2105A" w:rsidRPr="004F13A5" w:rsidP="006F6C35">
            <w:pPr>
              <w:rPr>
                <w:color w:val="000000"/>
              </w:rPr>
            </w:pPr>
            <w:r w:rsidRPr="004F13A5">
              <w:rPr>
                <w:color w:val="000000"/>
              </w:rPr>
              <w:t>3.</w:t>
            </w:r>
          </w:p>
        </w:tc>
        <w:tc>
          <w:tcPr>
            <w:tcW w:w="2807" w:type="dxa"/>
            <w:tcBorders>
              <w:top w:val="outset" w:sz="6" w:space="0" w:color="414142"/>
              <w:left w:val="outset" w:sz="6" w:space="0" w:color="414142"/>
              <w:bottom w:val="outset" w:sz="6" w:space="0" w:color="414142"/>
              <w:right w:val="outset" w:sz="6" w:space="0" w:color="414142"/>
            </w:tcBorders>
            <w:hideMark/>
          </w:tcPr>
          <w:p w:rsidR="00C2105A" w:rsidRPr="004F13A5" w:rsidP="006F6C35">
            <w:pPr>
              <w:rPr>
                <w:color w:val="000000"/>
              </w:rPr>
            </w:pPr>
            <w:r w:rsidRPr="004F13A5">
              <w:rPr>
                <w:color w:val="000000"/>
              </w:rPr>
              <w:t>Sabiedrības līdzdalības rezultāti</w:t>
            </w:r>
          </w:p>
        </w:tc>
        <w:tc>
          <w:tcPr>
            <w:tcW w:w="5789" w:type="dxa"/>
            <w:tcBorders>
              <w:top w:val="outset" w:sz="6" w:space="0" w:color="414142"/>
              <w:left w:val="outset" w:sz="6" w:space="0" w:color="414142"/>
              <w:bottom w:val="outset" w:sz="6" w:space="0" w:color="414142"/>
              <w:right w:val="outset" w:sz="6" w:space="0" w:color="414142"/>
            </w:tcBorders>
          </w:tcPr>
          <w:p w:rsidR="00C2105A" w:rsidRPr="004F13A5" w:rsidP="006F6C35">
            <w:pPr>
              <w:spacing w:before="40" w:after="40"/>
              <w:rPr>
                <w:color w:val="000000"/>
              </w:rPr>
            </w:pPr>
            <w:r>
              <w:rPr>
                <w:color w:val="000000"/>
              </w:rPr>
              <w:t>Komentāri no sabiedrības pārstāvjiem nav saņemti.</w:t>
            </w:r>
          </w:p>
        </w:tc>
      </w:tr>
      <w:tr w:rsidTr="00CC7007">
        <w:tblPrEx>
          <w:tblW w:w="9064" w:type="dxa"/>
          <w:jc w:val="center"/>
          <w:tblCellMar>
            <w:top w:w="30" w:type="dxa"/>
            <w:left w:w="30" w:type="dxa"/>
            <w:bottom w:w="30" w:type="dxa"/>
            <w:right w:w="30" w:type="dxa"/>
          </w:tblCellMar>
          <w:tblLook w:val="04A0"/>
        </w:tblPrEx>
        <w:trPr>
          <w:trHeight w:val="465"/>
          <w:jc w:val="center"/>
        </w:trPr>
        <w:tc>
          <w:tcPr>
            <w:tcW w:w="468" w:type="dxa"/>
            <w:tcBorders>
              <w:top w:val="outset" w:sz="6" w:space="0" w:color="414142"/>
              <w:left w:val="outset" w:sz="6" w:space="0" w:color="414142"/>
              <w:bottom w:val="outset" w:sz="6" w:space="0" w:color="414142"/>
              <w:right w:val="outset" w:sz="6" w:space="0" w:color="414142"/>
            </w:tcBorders>
            <w:hideMark/>
          </w:tcPr>
          <w:p w:rsidR="00C2105A" w:rsidRPr="004F13A5" w:rsidP="006F6C35">
            <w:pPr>
              <w:rPr>
                <w:color w:val="000000"/>
              </w:rPr>
            </w:pPr>
            <w:r w:rsidRPr="004F13A5">
              <w:rPr>
                <w:color w:val="000000"/>
              </w:rPr>
              <w:t>4.</w:t>
            </w:r>
          </w:p>
        </w:tc>
        <w:tc>
          <w:tcPr>
            <w:tcW w:w="2807" w:type="dxa"/>
            <w:tcBorders>
              <w:top w:val="outset" w:sz="6" w:space="0" w:color="414142"/>
              <w:left w:val="outset" w:sz="6" w:space="0" w:color="414142"/>
              <w:bottom w:val="outset" w:sz="6" w:space="0" w:color="414142"/>
              <w:right w:val="outset" w:sz="6" w:space="0" w:color="414142"/>
            </w:tcBorders>
            <w:hideMark/>
          </w:tcPr>
          <w:p w:rsidR="00C2105A" w:rsidRPr="004F13A5" w:rsidP="006F6C35">
            <w:pPr>
              <w:rPr>
                <w:color w:val="000000"/>
              </w:rPr>
            </w:pPr>
            <w:r w:rsidRPr="004F13A5">
              <w:rPr>
                <w:color w:val="000000"/>
              </w:rPr>
              <w:t>Cita informācija</w:t>
            </w:r>
          </w:p>
        </w:tc>
        <w:tc>
          <w:tcPr>
            <w:tcW w:w="5789" w:type="dxa"/>
            <w:tcBorders>
              <w:top w:val="outset" w:sz="6" w:space="0" w:color="414142"/>
              <w:left w:val="outset" w:sz="6" w:space="0" w:color="414142"/>
              <w:bottom w:val="outset" w:sz="6" w:space="0" w:color="414142"/>
              <w:right w:val="outset" w:sz="6" w:space="0" w:color="414142"/>
            </w:tcBorders>
            <w:hideMark/>
          </w:tcPr>
          <w:p w:rsidR="00C2105A" w:rsidRPr="00583077" w:rsidP="006F6C35">
            <w:pPr>
              <w:pStyle w:val="tvhtml"/>
              <w:spacing w:before="0" w:beforeAutospacing="0" w:after="0" w:afterAutospacing="0"/>
              <w:rPr>
                <w:color w:val="000000"/>
              </w:rPr>
            </w:pPr>
            <w:r w:rsidRPr="00583077">
              <w:rPr>
                <w:color w:val="000000"/>
              </w:rPr>
              <w:t>Nav</w:t>
            </w:r>
          </w:p>
        </w:tc>
      </w:tr>
    </w:tbl>
    <w:p w:rsidR="00C2105A" w:rsidRPr="00583077" w:rsidP="00C2105A">
      <w:pPr>
        <w:shd w:val="clear" w:color="auto" w:fill="FFFFFF"/>
        <w:ind w:firstLine="335"/>
        <w:rPr>
          <w:color w:val="414142"/>
        </w:rPr>
      </w:pPr>
    </w:p>
    <w:tbl>
      <w:tblPr>
        <w:tblW w:w="484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2812"/>
        <w:gridCol w:w="5519"/>
      </w:tblGrid>
      <w:tr w:rsidTr="00CC7007">
        <w:tblPrEx>
          <w:tblW w:w="484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2105A" w:rsidRPr="00A827FD" w:rsidP="006F6C35">
            <w:pPr>
              <w:spacing w:before="100" w:beforeAutospacing="1" w:after="100" w:afterAutospacing="1" w:line="327" w:lineRule="atLeast"/>
              <w:jc w:val="center"/>
              <w:rPr>
                <w:b/>
                <w:bCs/>
              </w:rPr>
            </w:pPr>
            <w:r w:rsidRPr="00A827FD">
              <w:rPr>
                <w:b/>
                <w:bCs/>
              </w:rPr>
              <w:t>VII. Tiesību akta projekta izpildes nodrošināšana un tās ietekme uz institūcijām</w:t>
            </w:r>
          </w:p>
        </w:tc>
      </w:tr>
      <w:tr w:rsidTr="00CC7007">
        <w:tblPrEx>
          <w:tblW w:w="4849" w:type="pct"/>
          <w:jc w:val="center"/>
          <w:tblCellMar>
            <w:top w:w="30" w:type="dxa"/>
            <w:left w:w="30" w:type="dxa"/>
            <w:bottom w:w="30" w:type="dxa"/>
            <w:right w:w="30" w:type="dxa"/>
          </w:tblCellMar>
          <w:tblLook w:val="04A0"/>
        </w:tblPrEx>
        <w:trPr>
          <w:trHeight w:val="420"/>
          <w:jc w:val="center"/>
        </w:trPr>
        <w:tc>
          <w:tcPr>
            <w:tcW w:w="257" w:type="pct"/>
            <w:tcBorders>
              <w:top w:val="outset" w:sz="6" w:space="0" w:color="414142"/>
              <w:left w:val="outset" w:sz="6" w:space="0" w:color="414142"/>
              <w:bottom w:val="outset" w:sz="6" w:space="0" w:color="414142"/>
              <w:right w:val="outset" w:sz="6" w:space="0" w:color="414142"/>
            </w:tcBorders>
            <w:hideMark/>
          </w:tcPr>
          <w:p w:rsidR="00C2105A" w:rsidRPr="00A827FD" w:rsidP="006F6C35">
            <w:pPr>
              <w:spacing w:before="40" w:after="40"/>
            </w:pPr>
            <w:r w:rsidRPr="00A827FD">
              <w:t>1.</w:t>
            </w:r>
          </w:p>
        </w:tc>
        <w:tc>
          <w:tcPr>
            <w:tcW w:w="1601" w:type="pct"/>
            <w:tcBorders>
              <w:top w:val="outset" w:sz="6" w:space="0" w:color="414142"/>
              <w:left w:val="outset" w:sz="6" w:space="0" w:color="414142"/>
              <w:bottom w:val="outset" w:sz="6" w:space="0" w:color="414142"/>
              <w:right w:val="outset" w:sz="6" w:space="0" w:color="414142"/>
            </w:tcBorders>
            <w:hideMark/>
          </w:tcPr>
          <w:p w:rsidR="00C2105A" w:rsidRPr="00A827FD" w:rsidP="006F6C35">
            <w:pPr>
              <w:spacing w:before="40" w:after="40"/>
            </w:pPr>
            <w:r w:rsidRPr="00A827FD">
              <w:t>Projekta izpildē iesaistītās institūcijas</w:t>
            </w:r>
          </w:p>
        </w:tc>
        <w:tc>
          <w:tcPr>
            <w:tcW w:w="3142" w:type="pct"/>
            <w:tcBorders>
              <w:top w:val="outset" w:sz="6" w:space="0" w:color="414142"/>
              <w:left w:val="outset" w:sz="6" w:space="0" w:color="414142"/>
              <w:bottom w:val="outset" w:sz="6" w:space="0" w:color="414142"/>
              <w:right w:val="outset" w:sz="6" w:space="0" w:color="414142"/>
            </w:tcBorders>
            <w:hideMark/>
          </w:tcPr>
          <w:p w:rsidR="00C2105A" w:rsidRPr="00A827FD" w:rsidP="00C2105A">
            <w:pPr>
              <w:pStyle w:val="naisnod"/>
              <w:numPr>
                <w:ilvl w:val="0"/>
                <w:numId w:val="7"/>
              </w:numPr>
              <w:spacing w:before="40" w:after="40"/>
              <w:ind w:left="227" w:hanging="227"/>
              <w:jc w:val="both"/>
              <w:rPr>
                <w:b w:val="0"/>
              </w:rPr>
            </w:pPr>
            <w:r w:rsidRPr="00A827FD">
              <w:rPr>
                <w:b w:val="0"/>
              </w:rPr>
              <w:t>Vides aizsardzības un reģionālās attīstības ministrija;</w:t>
            </w:r>
          </w:p>
          <w:p w:rsidR="00C2105A" w:rsidRPr="00A827FD" w:rsidP="00C2105A">
            <w:pPr>
              <w:pStyle w:val="naisnod"/>
              <w:numPr>
                <w:ilvl w:val="0"/>
                <w:numId w:val="7"/>
              </w:numPr>
              <w:spacing w:before="40" w:after="40"/>
              <w:ind w:left="227" w:hanging="227"/>
              <w:jc w:val="both"/>
              <w:rPr>
                <w:b w:val="0"/>
              </w:rPr>
            </w:pPr>
            <w:r w:rsidRPr="00A827FD">
              <w:rPr>
                <w:b w:val="0"/>
              </w:rPr>
              <w:t>LVĢMC.</w:t>
            </w:r>
          </w:p>
        </w:tc>
      </w:tr>
      <w:tr w:rsidTr="00CC7007">
        <w:tblPrEx>
          <w:tblW w:w="4849" w:type="pct"/>
          <w:jc w:val="center"/>
          <w:tblCellMar>
            <w:top w:w="30" w:type="dxa"/>
            <w:left w:w="30" w:type="dxa"/>
            <w:bottom w:w="30" w:type="dxa"/>
            <w:right w:w="30" w:type="dxa"/>
          </w:tblCellMar>
          <w:tblLook w:val="04A0"/>
        </w:tblPrEx>
        <w:trPr>
          <w:trHeight w:val="450"/>
          <w:jc w:val="center"/>
        </w:trPr>
        <w:tc>
          <w:tcPr>
            <w:tcW w:w="257" w:type="pct"/>
            <w:tcBorders>
              <w:top w:val="outset" w:sz="6" w:space="0" w:color="414142"/>
              <w:left w:val="outset" w:sz="6" w:space="0" w:color="414142"/>
              <w:bottom w:val="outset" w:sz="6" w:space="0" w:color="414142"/>
              <w:right w:val="outset" w:sz="6" w:space="0" w:color="414142"/>
            </w:tcBorders>
            <w:hideMark/>
          </w:tcPr>
          <w:p w:rsidR="00C2105A" w:rsidRPr="00A827FD" w:rsidP="006F6C35">
            <w:pPr>
              <w:spacing w:before="40" w:after="40"/>
            </w:pPr>
            <w:r w:rsidRPr="00A827FD">
              <w:t>2.</w:t>
            </w:r>
          </w:p>
        </w:tc>
        <w:tc>
          <w:tcPr>
            <w:tcW w:w="1601" w:type="pct"/>
            <w:tcBorders>
              <w:top w:val="outset" w:sz="6" w:space="0" w:color="414142"/>
              <w:left w:val="outset" w:sz="6" w:space="0" w:color="414142"/>
              <w:bottom w:val="outset" w:sz="6" w:space="0" w:color="414142"/>
              <w:right w:val="outset" w:sz="6" w:space="0" w:color="414142"/>
            </w:tcBorders>
            <w:hideMark/>
          </w:tcPr>
          <w:p w:rsidR="00C2105A" w:rsidRPr="00A827FD" w:rsidP="006F6C35">
            <w:pPr>
              <w:spacing w:before="40" w:after="40"/>
            </w:pPr>
            <w:r w:rsidRPr="00A827FD">
              <w:t>Projekta izpildes ietekme uz pārvaldes funkcijām un institucionālo struktūru.</w:t>
            </w:r>
          </w:p>
          <w:p w:rsidR="00C2105A" w:rsidRPr="00A827FD" w:rsidP="006F6C35">
            <w:pPr>
              <w:spacing w:before="40" w:after="40"/>
            </w:pPr>
            <w:r w:rsidRPr="00A827FD">
              <w:t>Jaunu institūciju izveide, esošu institūciju likvidācija vai reorganizācija, to ietekme uz institūcijas cilvēkresursiem</w:t>
            </w:r>
          </w:p>
        </w:tc>
        <w:tc>
          <w:tcPr>
            <w:tcW w:w="3142" w:type="pct"/>
            <w:tcBorders>
              <w:top w:val="outset" w:sz="6" w:space="0" w:color="414142"/>
              <w:left w:val="outset" w:sz="6" w:space="0" w:color="414142"/>
              <w:bottom w:val="outset" w:sz="6" w:space="0" w:color="414142"/>
              <w:right w:val="outset" w:sz="6" w:space="0" w:color="414142"/>
            </w:tcBorders>
            <w:hideMark/>
          </w:tcPr>
          <w:p w:rsidR="00C2105A" w:rsidRPr="00A827FD" w:rsidP="00106C6E">
            <w:pPr>
              <w:spacing w:before="40" w:after="40"/>
              <w:jc w:val="both"/>
            </w:pPr>
            <w:r w:rsidRPr="00A827FD">
              <w:t xml:space="preserve">Noteikumu projektā noteiktie pienākumi attiecas uz </w:t>
            </w:r>
            <w:r w:rsidRPr="00A827FD" w:rsidR="00035E04">
              <w:t>LVĢMC.</w:t>
            </w:r>
          </w:p>
          <w:p w:rsidR="00C2105A" w:rsidRPr="00A827FD" w:rsidP="00106C6E">
            <w:pPr>
              <w:spacing w:before="40" w:after="40"/>
              <w:jc w:val="both"/>
            </w:pPr>
            <w:r w:rsidRPr="00A827FD">
              <w:t>Tā kā maksa par pakalpojumiem biocīdu jomā, izv</w:t>
            </w:r>
            <w:r w:rsidRPr="00A827FD" w:rsidR="00A525DA">
              <w:t xml:space="preserve">ērtējot ģeoloģisko informāciju </w:t>
            </w:r>
            <w:r w:rsidRPr="00A827FD">
              <w:t>un gaisa kvalitātes jomā jau šobrīd ir noteikta, tad noteikumu projekts neietekmēs institūcijas funkcijas un uzdevumus, tos paplašinot vai sašaurinot, un noteikumu projekts neietekmēs institūcijai pieejamos cilvēkresursu.</w:t>
            </w:r>
          </w:p>
          <w:p w:rsidR="00C2105A" w:rsidRPr="00A827FD" w:rsidP="00106C6E">
            <w:pPr>
              <w:spacing w:before="40" w:after="40"/>
              <w:jc w:val="both"/>
            </w:pPr>
            <w:r w:rsidRPr="00A827FD">
              <w:t>Saskaņā ar noteikumu projektu netiek plānota jauna institūciju izveide, esošo institūciju likvidācija vai reorganizācijā, kā arī netiek prognozēta ietekme uz institūcijas cilvēkresursiem.</w:t>
            </w:r>
          </w:p>
        </w:tc>
      </w:tr>
      <w:tr w:rsidTr="00CC7007">
        <w:tblPrEx>
          <w:tblW w:w="4849" w:type="pct"/>
          <w:jc w:val="center"/>
          <w:tblCellMar>
            <w:top w:w="30" w:type="dxa"/>
            <w:left w:w="30" w:type="dxa"/>
            <w:bottom w:w="30" w:type="dxa"/>
            <w:right w:w="30" w:type="dxa"/>
          </w:tblCellMar>
          <w:tblLook w:val="04A0"/>
        </w:tblPrEx>
        <w:trPr>
          <w:trHeight w:val="390"/>
          <w:jc w:val="center"/>
        </w:trPr>
        <w:tc>
          <w:tcPr>
            <w:tcW w:w="257" w:type="pct"/>
            <w:tcBorders>
              <w:top w:val="outset" w:sz="6" w:space="0" w:color="414142"/>
              <w:left w:val="outset" w:sz="6" w:space="0" w:color="414142"/>
              <w:bottom w:val="outset" w:sz="6" w:space="0" w:color="414142"/>
              <w:right w:val="outset" w:sz="6" w:space="0" w:color="414142"/>
            </w:tcBorders>
            <w:hideMark/>
          </w:tcPr>
          <w:p w:rsidR="00C2105A" w:rsidRPr="00A827FD" w:rsidP="006F6C35">
            <w:pPr>
              <w:spacing w:before="40" w:after="40"/>
            </w:pPr>
            <w:r w:rsidRPr="00A827FD">
              <w:t>3.</w:t>
            </w:r>
          </w:p>
        </w:tc>
        <w:tc>
          <w:tcPr>
            <w:tcW w:w="1601" w:type="pct"/>
            <w:tcBorders>
              <w:top w:val="outset" w:sz="6" w:space="0" w:color="414142"/>
              <w:left w:val="outset" w:sz="6" w:space="0" w:color="414142"/>
              <w:bottom w:val="outset" w:sz="6" w:space="0" w:color="414142"/>
              <w:right w:val="outset" w:sz="6" w:space="0" w:color="414142"/>
            </w:tcBorders>
            <w:hideMark/>
          </w:tcPr>
          <w:p w:rsidR="00C2105A" w:rsidRPr="00A827FD" w:rsidP="006F6C35">
            <w:pPr>
              <w:spacing w:before="40" w:after="40"/>
            </w:pPr>
            <w:r w:rsidRPr="00A827FD">
              <w:t>Cita informācija</w:t>
            </w:r>
          </w:p>
        </w:tc>
        <w:tc>
          <w:tcPr>
            <w:tcW w:w="3142" w:type="pct"/>
            <w:tcBorders>
              <w:top w:val="outset" w:sz="6" w:space="0" w:color="414142"/>
              <w:left w:val="outset" w:sz="6" w:space="0" w:color="414142"/>
              <w:bottom w:val="outset" w:sz="6" w:space="0" w:color="414142"/>
              <w:right w:val="outset" w:sz="6" w:space="0" w:color="414142"/>
            </w:tcBorders>
            <w:hideMark/>
          </w:tcPr>
          <w:p w:rsidR="00C2105A" w:rsidRPr="00A827FD" w:rsidP="006F6C35">
            <w:pPr>
              <w:spacing w:before="40" w:after="40"/>
            </w:pPr>
            <w:r w:rsidRPr="00A827FD">
              <w:t>Nav</w:t>
            </w:r>
          </w:p>
        </w:tc>
      </w:tr>
    </w:tbl>
    <w:p w:rsidR="00C2105A" w:rsidP="00CA0E88">
      <w:pPr>
        <w:pStyle w:val="naisf"/>
        <w:spacing w:before="0" w:after="0"/>
        <w:ind w:firstLine="0"/>
        <w:jc w:val="left"/>
        <w:rPr>
          <w:b/>
          <w:sz w:val="28"/>
          <w:szCs w:val="28"/>
        </w:rPr>
      </w:pPr>
    </w:p>
    <w:p w:rsidR="00C2105A" w:rsidRPr="00C20E7E" w:rsidP="00C20E7E">
      <w:pPr>
        <w:pStyle w:val="naisf"/>
        <w:spacing w:before="0" w:after="0"/>
        <w:ind w:firstLine="0"/>
        <w:jc w:val="center"/>
        <w:rPr>
          <w:b/>
          <w:color w:val="000000"/>
        </w:rPr>
      </w:pPr>
      <w:r w:rsidRPr="00C20E7E">
        <w:rPr>
          <w:b/>
          <w:color w:val="000000"/>
        </w:rPr>
        <w:t>Anotācijas IV</w:t>
      </w:r>
      <w:r w:rsidRPr="00C20E7E" w:rsidR="00583077">
        <w:rPr>
          <w:b/>
          <w:color w:val="000000"/>
        </w:rPr>
        <w:t xml:space="preserve"> un V</w:t>
      </w:r>
      <w:r w:rsidRPr="00C20E7E">
        <w:rPr>
          <w:b/>
          <w:color w:val="000000"/>
        </w:rPr>
        <w:t xml:space="preserve"> sadaļa – projekts šo jomu neskar</w:t>
      </w:r>
    </w:p>
    <w:p w:rsidR="00537C8E" w:rsidRPr="001E149D" w:rsidP="0047576F">
      <w:pPr>
        <w:pStyle w:val="naisf"/>
        <w:tabs>
          <w:tab w:val="left" w:pos="6804"/>
        </w:tabs>
        <w:spacing w:before="0" w:after="0"/>
        <w:ind w:firstLine="0"/>
        <w:rPr>
          <w:highlight w:val="yellow"/>
        </w:rPr>
      </w:pPr>
    </w:p>
    <w:p w:rsidR="001673DD" w:rsidP="0047576F">
      <w:pPr>
        <w:pStyle w:val="naisf"/>
        <w:tabs>
          <w:tab w:val="left" w:pos="6804"/>
        </w:tabs>
        <w:spacing w:before="0" w:after="0"/>
        <w:ind w:firstLine="0"/>
      </w:pPr>
    </w:p>
    <w:p w:rsidR="00AA0CCC" w:rsidP="00A231EE">
      <w:pPr>
        <w:pStyle w:val="naisf"/>
        <w:tabs>
          <w:tab w:val="left" w:pos="6804"/>
        </w:tabs>
        <w:spacing w:before="0" w:after="0"/>
        <w:ind w:firstLine="0"/>
      </w:pPr>
      <w:r>
        <w:t>Ministru</w:t>
      </w:r>
      <w:r w:rsidR="00ED6499">
        <w:t xml:space="preserve"> prezidents</w:t>
      </w:r>
      <w:r w:rsidR="00ED6499">
        <w:tab/>
      </w:r>
      <w:r w:rsidR="00ED6499">
        <w:tab/>
        <w:t xml:space="preserve">Māris </w:t>
      </w:r>
      <w:r w:rsidRPr="00BA08B5">
        <w:t>Kučinskis</w:t>
      </w:r>
    </w:p>
    <w:p w:rsidR="00BA08B5" w:rsidRPr="00C2105A" w:rsidP="00A231EE">
      <w:pPr>
        <w:pStyle w:val="naisf"/>
        <w:tabs>
          <w:tab w:val="left" w:pos="6804"/>
        </w:tabs>
        <w:spacing w:before="0" w:after="0"/>
        <w:ind w:firstLine="0"/>
      </w:pPr>
    </w:p>
    <w:p w:rsidR="009C2C02" w:rsidP="00A77DF9">
      <w:pPr>
        <w:pStyle w:val="naisf"/>
        <w:tabs>
          <w:tab w:val="left" w:pos="6804"/>
        </w:tabs>
        <w:spacing w:before="0" w:after="0"/>
        <w:ind w:firstLine="0"/>
      </w:pPr>
      <w:r w:rsidRPr="00C2105A">
        <w:t xml:space="preserve">Iesniedzējs: </w:t>
      </w:r>
    </w:p>
    <w:p w:rsidR="009C2C02" w:rsidP="00A77DF9">
      <w:pPr>
        <w:pStyle w:val="naisf"/>
        <w:tabs>
          <w:tab w:val="left" w:pos="6804"/>
        </w:tabs>
        <w:spacing w:before="0" w:after="0"/>
        <w:ind w:firstLine="0"/>
      </w:pPr>
      <w:r w:rsidRPr="00C2105A">
        <w:t>v</w:t>
      </w:r>
      <w:r>
        <w:t>ides aizsardzības un reģionālās</w:t>
      </w:r>
    </w:p>
    <w:p w:rsidR="0047576F" w:rsidRPr="00C2105A" w:rsidP="00A77DF9">
      <w:pPr>
        <w:pStyle w:val="naisf"/>
        <w:tabs>
          <w:tab w:val="left" w:pos="6804"/>
        </w:tabs>
        <w:spacing w:before="0" w:after="0"/>
        <w:ind w:firstLine="0"/>
      </w:pPr>
      <w:r w:rsidRPr="00C2105A">
        <w:t>a</w:t>
      </w:r>
      <w:r w:rsidR="00D244E1">
        <w:t>ttīstības ministrs</w:t>
      </w:r>
      <w:r w:rsidR="00D244E1">
        <w:tab/>
      </w:r>
      <w:r w:rsidR="00D244E1">
        <w:tab/>
      </w:r>
      <w:r w:rsidR="00ED6499">
        <w:t xml:space="preserve">Kaspars </w:t>
      </w:r>
      <w:r w:rsidR="009C2C02">
        <w:t>Gerhards</w:t>
      </w:r>
    </w:p>
    <w:p w:rsidR="00537C8E" w:rsidRPr="00C2105A" w:rsidP="00056BBE">
      <w:pPr>
        <w:pStyle w:val="ListParagraph"/>
        <w:spacing w:after="0" w:line="240" w:lineRule="auto"/>
        <w:ind w:left="0"/>
        <w:jc w:val="both"/>
        <w:rPr>
          <w:rFonts w:ascii="Times New Roman" w:hAnsi="Times New Roman"/>
          <w:sz w:val="24"/>
          <w:szCs w:val="24"/>
        </w:rPr>
      </w:pPr>
    </w:p>
    <w:p w:rsidR="00243824" w:rsidRPr="00C2105A" w:rsidP="00056BBE">
      <w:pPr>
        <w:pStyle w:val="ListParagraph"/>
        <w:spacing w:after="0" w:line="240" w:lineRule="auto"/>
        <w:ind w:left="0"/>
        <w:jc w:val="both"/>
        <w:rPr>
          <w:rFonts w:ascii="Times New Roman" w:hAnsi="Times New Roman"/>
          <w:sz w:val="24"/>
          <w:szCs w:val="24"/>
        </w:rPr>
      </w:pPr>
    </w:p>
    <w:p w:rsidR="00877822" w:rsidRPr="00C2105A" w:rsidP="00715ACF">
      <w:pPr>
        <w:pStyle w:val="ListParagraph"/>
        <w:spacing w:after="0" w:line="240" w:lineRule="auto"/>
        <w:ind w:left="0"/>
        <w:jc w:val="both"/>
        <w:rPr>
          <w:rFonts w:ascii="Times New Roman" w:hAnsi="Times New Roman"/>
          <w:sz w:val="24"/>
          <w:szCs w:val="24"/>
        </w:rPr>
      </w:pPr>
      <w:r w:rsidRPr="00C2105A">
        <w:rPr>
          <w:rFonts w:ascii="Times New Roman" w:hAnsi="Times New Roman"/>
          <w:sz w:val="24"/>
          <w:szCs w:val="24"/>
        </w:rPr>
        <w:t>Vīza:</w:t>
      </w:r>
    </w:p>
    <w:p w:rsidR="00056BBE" w:rsidRPr="00C2105A" w:rsidP="008035B4">
      <w:pPr>
        <w:pStyle w:val="ListParagraph"/>
        <w:tabs>
          <w:tab w:val="left" w:pos="6480"/>
        </w:tabs>
        <w:spacing w:after="0" w:line="240" w:lineRule="auto"/>
        <w:ind w:left="0"/>
        <w:jc w:val="both"/>
        <w:rPr>
          <w:rFonts w:ascii="Times New Roman" w:hAnsi="Times New Roman"/>
          <w:sz w:val="24"/>
          <w:szCs w:val="24"/>
        </w:rPr>
      </w:pPr>
      <w:r w:rsidRPr="00C2105A">
        <w:rPr>
          <w:rFonts w:ascii="Times New Roman" w:hAnsi="Times New Roman"/>
          <w:bCs/>
          <w:sz w:val="24"/>
          <w:szCs w:val="24"/>
        </w:rPr>
        <w:t>valsts sekretā</w:t>
      </w:r>
      <w:r w:rsidRPr="00C2105A" w:rsidR="002E6C6A">
        <w:rPr>
          <w:rFonts w:ascii="Times New Roman" w:hAnsi="Times New Roman"/>
          <w:bCs/>
          <w:sz w:val="24"/>
          <w:szCs w:val="24"/>
        </w:rPr>
        <w:t xml:space="preserve">rs </w:t>
      </w:r>
      <w:r w:rsidRPr="00C2105A" w:rsidR="002E6C6A">
        <w:rPr>
          <w:rFonts w:ascii="Times New Roman" w:hAnsi="Times New Roman"/>
          <w:bCs/>
          <w:sz w:val="24"/>
          <w:szCs w:val="24"/>
        </w:rPr>
        <w:tab/>
      </w:r>
      <w:r w:rsidRPr="00C2105A" w:rsidR="00A128A2">
        <w:rPr>
          <w:rFonts w:ascii="Times New Roman" w:hAnsi="Times New Roman"/>
          <w:bCs/>
          <w:sz w:val="24"/>
          <w:szCs w:val="24"/>
        </w:rPr>
        <w:tab/>
      </w:r>
      <w:r w:rsidR="00ED6499">
        <w:rPr>
          <w:rFonts w:ascii="Times New Roman" w:hAnsi="Times New Roman"/>
          <w:bCs/>
          <w:sz w:val="24"/>
          <w:szCs w:val="24"/>
        </w:rPr>
        <w:t xml:space="preserve">Rinalds </w:t>
      </w:r>
      <w:r w:rsidRPr="00C2105A" w:rsidR="002334BF">
        <w:rPr>
          <w:rFonts w:ascii="Times New Roman" w:hAnsi="Times New Roman"/>
          <w:bCs/>
          <w:sz w:val="24"/>
          <w:szCs w:val="24"/>
        </w:rPr>
        <w:t>Muciņš</w:t>
      </w:r>
    </w:p>
    <w:p w:rsidR="00537C8E" w:rsidRPr="00C2105A" w:rsidP="0047576F">
      <w:pPr>
        <w:pStyle w:val="NormalWeb"/>
        <w:spacing w:before="0" w:beforeAutospacing="0" w:after="0" w:afterAutospacing="0"/>
      </w:pPr>
    </w:p>
    <w:p w:rsidR="00DF69EC" w:rsidP="0047576F">
      <w:pPr>
        <w:pStyle w:val="NormalWeb"/>
        <w:spacing w:before="0" w:beforeAutospacing="0" w:after="0" w:afterAutospacing="0"/>
        <w:rPr>
          <w:highlight w:val="yellow"/>
        </w:rPr>
      </w:pPr>
    </w:p>
    <w:p w:rsidR="00DF69EC" w:rsidP="0047576F">
      <w:pPr>
        <w:pStyle w:val="NormalWeb"/>
        <w:spacing w:before="0" w:beforeAutospacing="0" w:after="0" w:afterAutospacing="0"/>
        <w:rPr>
          <w:highlight w:val="yellow"/>
        </w:rPr>
      </w:pPr>
    </w:p>
    <w:p w:rsidR="00DF69EC" w:rsidP="0047576F">
      <w:pPr>
        <w:pStyle w:val="NormalWeb"/>
        <w:spacing w:before="0" w:beforeAutospacing="0" w:after="0" w:afterAutospacing="0"/>
        <w:rPr>
          <w:highlight w:val="yellow"/>
        </w:rPr>
      </w:pPr>
    </w:p>
    <w:p w:rsidR="00DF69EC" w:rsidP="0047576F">
      <w:pPr>
        <w:pStyle w:val="NormalWeb"/>
        <w:spacing w:before="0" w:beforeAutospacing="0" w:after="0" w:afterAutospacing="0"/>
        <w:rPr>
          <w:highlight w:val="yellow"/>
        </w:rPr>
      </w:pPr>
    </w:p>
    <w:p w:rsidR="00DF69EC" w:rsidP="0047576F">
      <w:pPr>
        <w:pStyle w:val="NormalWeb"/>
        <w:spacing w:before="0" w:beforeAutospacing="0" w:after="0" w:afterAutospacing="0"/>
        <w:rPr>
          <w:highlight w:val="yellow"/>
        </w:rPr>
      </w:pPr>
    </w:p>
    <w:p w:rsidR="00056BBE" w:rsidRPr="00DF69EC" w:rsidP="0047576F">
      <w:pPr>
        <w:pStyle w:val="NormalWeb"/>
        <w:spacing w:before="0" w:beforeAutospacing="0" w:after="0" w:afterAutospacing="0"/>
      </w:pPr>
      <w:r w:rsidRPr="00DF69EC">
        <w:t>Z</w:t>
      </w:r>
      <w:r w:rsidRPr="00DF69EC" w:rsidR="002334BF">
        <w:t>.</w:t>
      </w:r>
      <w:r w:rsidRPr="00DF69EC" w:rsidR="004F4C69">
        <w:t> </w:t>
      </w:r>
      <w:r w:rsidRPr="00DF69EC">
        <w:t>Balode</w:t>
      </w:r>
    </w:p>
    <w:p w:rsidR="00C867E8" w:rsidRPr="00DF69EC" w:rsidP="0047576F">
      <w:pPr>
        <w:pStyle w:val="NormalWeb"/>
        <w:spacing w:before="0" w:beforeAutospacing="0" w:after="0" w:afterAutospacing="0"/>
      </w:pPr>
      <w:r w:rsidRPr="00DF69EC">
        <w:t>6</w:t>
      </w:r>
      <w:r w:rsidRPr="00DF69EC" w:rsidR="00DF69EC">
        <w:t>7026578</w:t>
      </w:r>
      <w:r w:rsidRPr="00DF69EC" w:rsidR="00877822">
        <w:t xml:space="preserve">, </w:t>
      </w:r>
      <w:r>
        <w:fldChar w:fldCharType="begin"/>
      </w:r>
      <w:r>
        <w:instrText xml:space="preserve"> HYPERLINK "mailto:zita.balode@varam.gov.lv" </w:instrText>
      </w:r>
      <w:r>
        <w:fldChar w:fldCharType="separate"/>
      </w:r>
      <w:r w:rsidRPr="00DF69EC" w:rsidR="00DF69EC">
        <w:rPr>
          <w:rStyle w:val="Hyperlink"/>
        </w:rPr>
        <w:t>zita.balode@varam.gov.lv</w:t>
      </w:r>
      <w:r>
        <w:fldChar w:fldCharType="end"/>
      </w:r>
    </w:p>
    <w:sectPr w:rsidSect="009B1784">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C35" w:rsidRPr="0010174A" w:rsidP="0010174A">
    <w:pPr>
      <w:jc w:val="both"/>
      <w:rPr>
        <w:sz w:val="20"/>
        <w:szCs w:val="20"/>
      </w:rPr>
    </w:pPr>
    <w:r w:rsidRPr="004639EC">
      <w:rPr>
        <w:sz w:val="20"/>
        <w:szCs w:val="20"/>
      </w:rPr>
      <w:t>V</w:t>
    </w:r>
    <w:r>
      <w:rPr>
        <w:sz w:val="20"/>
        <w:szCs w:val="20"/>
      </w:rPr>
      <w:t>ARAMa</w:t>
    </w:r>
    <w:r w:rsidRPr="004639EC">
      <w:rPr>
        <w:sz w:val="20"/>
        <w:szCs w:val="20"/>
      </w:rPr>
      <w:t>not_</w:t>
    </w:r>
    <w:r>
      <w:rPr>
        <w:sz w:val="20"/>
        <w:szCs w:val="20"/>
      </w:rPr>
      <w:t>060317</w:t>
    </w:r>
    <w:r w:rsidRPr="004639EC">
      <w:rPr>
        <w:sz w:val="20"/>
        <w:szCs w:val="20"/>
      </w:rPr>
      <w:t>_</w:t>
    </w:r>
    <w:r>
      <w:rPr>
        <w:sz w:val="20"/>
        <w:szCs w:val="20"/>
      </w:rPr>
      <w:t>LVGMC_cenradis</w:t>
    </w:r>
    <w:r w:rsidRPr="004639EC">
      <w:rPr>
        <w:sz w:val="20"/>
        <w:szCs w:val="20"/>
      </w:rPr>
      <w:t xml:space="preserve">; </w:t>
    </w:r>
    <w:r w:rsidRPr="00EE1D2C">
      <w:rPr>
        <w:sz w:val="20"/>
        <w:szCs w:val="20"/>
      </w:rPr>
      <w:t>Minist</w:t>
    </w:r>
    <w:r>
      <w:rPr>
        <w:sz w:val="20"/>
        <w:szCs w:val="20"/>
      </w:rPr>
      <w:t>ru kabineta noteikumu projekta “</w:t>
    </w:r>
    <w:r w:rsidRPr="00EE1D2C">
      <w:rPr>
        <w:sz w:val="20"/>
        <w:szCs w:val="20"/>
      </w:rPr>
      <w:t>Grozījumi Ministru kabineta 2013.</w:t>
    </w:r>
    <w:r>
      <w:rPr>
        <w:sz w:val="20"/>
        <w:szCs w:val="20"/>
      </w:rPr>
      <w:t> </w:t>
    </w:r>
    <w:r w:rsidRPr="00EE1D2C">
      <w:rPr>
        <w:sz w:val="20"/>
        <w:szCs w:val="20"/>
      </w:rPr>
      <w:t>gada 3.</w:t>
    </w:r>
    <w:r>
      <w:rPr>
        <w:sz w:val="20"/>
        <w:szCs w:val="20"/>
      </w:rPr>
      <w:t> septembra noteikumos Nr.752 “</w:t>
    </w:r>
    <w:r w:rsidRPr="00EE1D2C">
      <w:rPr>
        <w:sz w:val="20"/>
        <w:szCs w:val="20"/>
      </w:rPr>
      <w:t>Valsts sabie</w:t>
    </w:r>
    <w:r>
      <w:rPr>
        <w:sz w:val="20"/>
        <w:szCs w:val="20"/>
      </w:rPr>
      <w:t>drības ar ierobežotu atbildību “</w:t>
    </w:r>
    <w:r w:rsidRPr="00EE1D2C">
      <w:rPr>
        <w:sz w:val="20"/>
        <w:szCs w:val="20"/>
      </w:rPr>
      <w:t>Latvijas Vides, ģeoloģijas un meteoroloģijas centrs” maksas pakalpojumu cenrādis””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C35" w:rsidRPr="00EE1D2C" w:rsidP="00EE1D2C">
    <w:pPr>
      <w:jc w:val="both"/>
      <w:rPr>
        <w:sz w:val="20"/>
        <w:szCs w:val="20"/>
      </w:rPr>
    </w:pPr>
    <w:r w:rsidRPr="004639EC">
      <w:rPr>
        <w:sz w:val="20"/>
        <w:szCs w:val="20"/>
      </w:rPr>
      <w:t>V</w:t>
    </w:r>
    <w:r>
      <w:rPr>
        <w:sz w:val="20"/>
        <w:szCs w:val="20"/>
      </w:rPr>
      <w:t>ARAMa</w:t>
    </w:r>
    <w:r w:rsidRPr="004639EC">
      <w:rPr>
        <w:sz w:val="20"/>
        <w:szCs w:val="20"/>
      </w:rPr>
      <w:t>not_</w:t>
    </w:r>
    <w:r>
      <w:rPr>
        <w:sz w:val="20"/>
        <w:szCs w:val="20"/>
      </w:rPr>
      <w:t>060317</w:t>
    </w:r>
    <w:r w:rsidRPr="004639EC">
      <w:rPr>
        <w:sz w:val="20"/>
        <w:szCs w:val="20"/>
      </w:rPr>
      <w:t>_</w:t>
    </w:r>
    <w:r>
      <w:rPr>
        <w:sz w:val="20"/>
        <w:szCs w:val="20"/>
      </w:rPr>
      <w:t>LVGMC_cenradis</w:t>
    </w:r>
    <w:r w:rsidRPr="004639EC">
      <w:rPr>
        <w:sz w:val="20"/>
        <w:szCs w:val="20"/>
      </w:rPr>
      <w:t xml:space="preserve">; </w:t>
    </w:r>
    <w:r w:rsidRPr="00EE1D2C">
      <w:rPr>
        <w:sz w:val="20"/>
        <w:szCs w:val="20"/>
      </w:rPr>
      <w:t>Minist</w:t>
    </w:r>
    <w:r>
      <w:rPr>
        <w:sz w:val="20"/>
        <w:szCs w:val="20"/>
      </w:rPr>
      <w:t>ru kabineta noteikumu projekta “</w:t>
    </w:r>
    <w:r w:rsidRPr="00EE1D2C">
      <w:rPr>
        <w:sz w:val="20"/>
        <w:szCs w:val="20"/>
      </w:rPr>
      <w:t>Grozījumi Ministru kabineta 2013.</w:t>
    </w:r>
    <w:r>
      <w:rPr>
        <w:sz w:val="20"/>
        <w:szCs w:val="20"/>
      </w:rPr>
      <w:t> </w:t>
    </w:r>
    <w:r w:rsidRPr="00EE1D2C">
      <w:rPr>
        <w:sz w:val="20"/>
        <w:szCs w:val="20"/>
      </w:rPr>
      <w:t>gada 3.</w:t>
    </w:r>
    <w:r>
      <w:rPr>
        <w:sz w:val="20"/>
        <w:szCs w:val="20"/>
      </w:rPr>
      <w:t> septembra noteikumos Nr.752 “</w:t>
    </w:r>
    <w:r w:rsidRPr="00EE1D2C">
      <w:rPr>
        <w:sz w:val="20"/>
        <w:szCs w:val="20"/>
      </w:rPr>
      <w:t>Valsts sabiedrības ar i</w:t>
    </w:r>
    <w:r>
      <w:rPr>
        <w:sz w:val="20"/>
        <w:szCs w:val="20"/>
      </w:rPr>
      <w:t>erobežotu atbildību “</w:t>
    </w:r>
    <w:r w:rsidRPr="00EE1D2C">
      <w:rPr>
        <w:sz w:val="20"/>
        <w:szCs w:val="20"/>
      </w:rPr>
      <w:t>Latvijas Vides, ģeoloģijas un meteoroloģijas centrs” maksas pakalpojumu cenrādis”” sākotnējās ietekmes novērtējuma ziņojums (anotācija)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C35" w:rsidP="009B1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F6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C35" w:rsidP="009B1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6F6C35" w:rsidRPr="00BE0B3D">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2D153A"/>
    <w:multiLevelType w:val="hybridMultilevel"/>
    <w:tmpl w:val="14463D42"/>
    <w:lvl w:ilvl="0">
      <w:start w:val="1"/>
      <w:numFmt w:val="bullet"/>
      <w:lvlText w:val="­"/>
      <w:lvlJc w:val="left"/>
      <w:pPr>
        <w:tabs>
          <w:tab w:val="num" w:pos="1085"/>
        </w:tabs>
        <w:ind w:left="1085" w:hanging="338"/>
      </w:pPr>
      <w:rPr>
        <w:rFonts w:ascii="Courier New" w:hAnsi="Courier New"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
    <w:nsid w:val="25CE195D"/>
    <w:multiLevelType w:val="hybridMultilevel"/>
    <w:tmpl w:val="82289CA8"/>
    <w:lvl w:ilvl="0">
      <w:start w:val="1"/>
      <w:numFmt w:val="bullet"/>
      <w:lvlText w:val=""/>
      <w:lvlJc w:val="left"/>
      <w:pPr>
        <w:ind w:left="952" w:hanging="360"/>
      </w:pPr>
      <w:rPr>
        <w:rFonts w:ascii="Symbol" w:hAnsi="Symbol" w:hint="default"/>
      </w:rPr>
    </w:lvl>
    <w:lvl w:ilvl="1" w:tentative="1">
      <w:start w:val="1"/>
      <w:numFmt w:val="bullet"/>
      <w:lvlText w:val="o"/>
      <w:lvlJc w:val="left"/>
      <w:pPr>
        <w:ind w:left="1672" w:hanging="360"/>
      </w:pPr>
      <w:rPr>
        <w:rFonts w:ascii="Courier New" w:hAnsi="Courier New" w:cs="Courier New" w:hint="default"/>
      </w:rPr>
    </w:lvl>
    <w:lvl w:ilvl="2" w:tentative="1">
      <w:start w:val="1"/>
      <w:numFmt w:val="bullet"/>
      <w:lvlText w:val=""/>
      <w:lvlJc w:val="left"/>
      <w:pPr>
        <w:ind w:left="2392" w:hanging="360"/>
      </w:pPr>
      <w:rPr>
        <w:rFonts w:ascii="Wingdings" w:hAnsi="Wingdings" w:hint="default"/>
      </w:rPr>
    </w:lvl>
    <w:lvl w:ilvl="3" w:tentative="1">
      <w:start w:val="1"/>
      <w:numFmt w:val="bullet"/>
      <w:lvlText w:val=""/>
      <w:lvlJc w:val="left"/>
      <w:pPr>
        <w:ind w:left="3112" w:hanging="360"/>
      </w:pPr>
      <w:rPr>
        <w:rFonts w:ascii="Symbol" w:hAnsi="Symbol" w:hint="default"/>
      </w:rPr>
    </w:lvl>
    <w:lvl w:ilvl="4" w:tentative="1">
      <w:start w:val="1"/>
      <w:numFmt w:val="bullet"/>
      <w:lvlText w:val="o"/>
      <w:lvlJc w:val="left"/>
      <w:pPr>
        <w:ind w:left="3832" w:hanging="360"/>
      </w:pPr>
      <w:rPr>
        <w:rFonts w:ascii="Courier New" w:hAnsi="Courier New" w:cs="Courier New" w:hint="default"/>
      </w:rPr>
    </w:lvl>
    <w:lvl w:ilvl="5" w:tentative="1">
      <w:start w:val="1"/>
      <w:numFmt w:val="bullet"/>
      <w:lvlText w:val=""/>
      <w:lvlJc w:val="left"/>
      <w:pPr>
        <w:ind w:left="4552" w:hanging="360"/>
      </w:pPr>
      <w:rPr>
        <w:rFonts w:ascii="Wingdings" w:hAnsi="Wingdings" w:hint="default"/>
      </w:rPr>
    </w:lvl>
    <w:lvl w:ilvl="6" w:tentative="1">
      <w:start w:val="1"/>
      <w:numFmt w:val="bullet"/>
      <w:lvlText w:val=""/>
      <w:lvlJc w:val="left"/>
      <w:pPr>
        <w:ind w:left="5272" w:hanging="360"/>
      </w:pPr>
      <w:rPr>
        <w:rFonts w:ascii="Symbol" w:hAnsi="Symbol" w:hint="default"/>
      </w:rPr>
    </w:lvl>
    <w:lvl w:ilvl="7" w:tentative="1">
      <w:start w:val="1"/>
      <w:numFmt w:val="bullet"/>
      <w:lvlText w:val="o"/>
      <w:lvlJc w:val="left"/>
      <w:pPr>
        <w:ind w:left="5992" w:hanging="360"/>
      </w:pPr>
      <w:rPr>
        <w:rFonts w:ascii="Courier New" w:hAnsi="Courier New" w:cs="Courier New" w:hint="default"/>
      </w:rPr>
    </w:lvl>
    <w:lvl w:ilvl="8" w:tentative="1">
      <w:start w:val="1"/>
      <w:numFmt w:val="bullet"/>
      <w:lvlText w:val=""/>
      <w:lvlJc w:val="left"/>
      <w:pPr>
        <w:ind w:left="6712" w:hanging="360"/>
      </w:pPr>
      <w:rPr>
        <w:rFonts w:ascii="Wingdings" w:hAnsi="Wingdings" w:hint="default"/>
      </w:rPr>
    </w:lvl>
  </w:abstractNum>
  <w:abstractNum w:abstractNumId="2">
    <w:nsid w:val="28E931BF"/>
    <w:multiLevelType w:val="hybridMultilevel"/>
    <w:tmpl w:val="67AA6042"/>
    <w:lvl w:ilvl="0">
      <w:start w:val="1"/>
      <w:numFmt w:val="bullet"/>
      <w:lvlText w:val="­"/>
      <w:lvlJc w:val="left"/>
      <w:pPr>
        <w:tabs>
          <w:tab w:val="num" w:pos="1085"/>
        </w:tabs>
        <w:ind w:left="1085" w:hanging="338"/>
      </w:pPr>
      <w:rPr>
        <w:rFonts w:ascii="Courier New" w:hAnsi="Courier New"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
    <w:nsid w:val="3EB0279C"/>
    <w:multiLevelType w:val="hybridMultilevel"/>
    <w:tmpl w:val="7A5479B6"/>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4">
    <w:nsid w:val="40C919C9"/>
    <w:multiLevelType w:val="hybridMultilevel"/>
    <w:tmpl w:val="DBCE2030"/>
    <w:lvl w:ilvl="0">
      <w:start w:val="1"/>
      <w:numFmt w:val="bullet"/>
      <w:lvlText w:val="­"/>
      <w:lvlJc w:val="left"/>
      <w:pPr>
        <w:tabs>
          <w:tab w:val="num" w:pos="905"/>
        </w:tabs>
        <w:ind w:left="905" w:hanging="338"/>
      </w:pPr>
      <w:rPr>
        <w:rFonts w:ascii="Courier New" w:hAnsi="Courier New" w:hint="default"/>
      </w:rPr>
    </w:lvl>
    <w:lvl w:ilvl="1" w:tentative="1">
      <w:start w:val="1"/>
      <w:numFmt w:val="bullet"/>
      <w:lvlText w:val="o"/>
      <w:lvlJc w:val="left"/>
      <w:pPr>
        <w:tabs>
          <w:tab w:val="num" w:pos="1625"/>
        </w:tabs>
        <w:ind w:left="1625" w:hanging="360"/>
      </w:pPr>
      <w:rPr>
        <w:rFonts w:ascii="Courier New" w:hAnsi="Courier New" w:cs="Courier New" w:hint="default"/>
      </w:rPr>
    </w:lvl>
    <w:lvl w:ilvl="2" w:tentative="1">
      <w:start w:val="1"/>
      <w:numFmt w:val="bullet"/>
      <w:lvlText w:val=""/>
      <w:lvlJc w:val="left"/>
      <w:pPr>
        <w:tabs>
          <w:tab w:val="num" w:pos="2345"/>
        </w:tabs>
        <w:ind w:left="2345" w:hanging="360"/>
      </w:pPr>
      <w:rPr>
        <w:rFonts w:ascii="Wingdings" w:hAnsi="Wingdings" w:hint="default"/>
      </w:rPr>
    </w:lvl>
    <w:lvl w:ilvl="3" w:tentative="1">
      <w:start w:val="1"/>
      <w:numFmt w:val="bullet"/>
      <w:lvlText w:val=""/>
      <w:lvlJc w:val="left"/>
      <w:pPr>
        <w:tabs>
          <w:tab w:val="num" w:pos="3065"/>
        </w:tabs>
        <w:ind w:left="3065" w:hanging="360"/>
      </w:pPr>
      <w:rPr>
        <w:rFonts w:ascii="Symbol" w:hAnsi="Symbol" w:hint="default"/>
      </w:rPr>
    </w:lvl>
    <w:lvl w:ilvl="4" w:tentative="1">
      <w:start w:val="1"/>
      <w:numFmt w:val="bullet"/>
      <w:lvlText w:val="o"/>
      <w:lvlJc w:val="left"/>
      <w:pPr>
        <w:tabs>
          <w:tab w:val="num" w:pos="3785"/>
        </w:tabs>
        <w:ind w:left="3785" w:hanging="360"/>
      </w:pPr>
      <w:rPr>
        <w:rFonts w:ascii="Courier New" w:hAnsi="Courier New" w:cs="Courier New" w:hint="default"/>
      </w:rPr>
    </w:lvl>
    <w:lvl w:ilvl="5" w:tentative="1">
      <w:start w:val="1"/>
      <w:numFmt w:val="bullet"/>
      <w:lvlText w:val=""/>
      <w:lvlJc w:val="left"/>
      <w:pPr>
        <w:tabs>
          <w:tab w:val="num" w:pos="4505"/>
        </w:tabs>
        <w:ind w:left="4505" w:hanging="360"/>
      </w:pPr>
      <w:rPr>
        <w:rFonts w:ascii="Wingdings" w:hAnsi="Wingdings" w:hint="default"/>
      </w:rPr>
    </w:lvl>
    <w:lvl w:ilvl="6" w:tentative="1">
      <w:start w:val="1"/>
      <w:numFmt w:val="bullet"/>
      <w:lvlText w:val=""/>
      <w:lvlJc w:val="left"/>
      <w:pPr>
        <w:tabs>
          <w:tab w:val="num" w:pos="5225"/>
        </w:tabs>
        <w:ind w:left="5225" w:hanging="360"/>
      </w:pPr>
      <w:rPr>
        <w:rFonts w:ascii="Symbol" w:hAnsi="Symbol" w:hint="default"/>
      </w:rPr>
    </w:lvl>
    <w:lvl w:ilvl="7" w:tentative="1">
      <w:start w:val="1"/>
      <w:numFmt w:val="bullet"/>
      <w:lvlText w:val="o"/>
      <w:lvlJc w:val="left"/>
      <w:pPr>
        <w:tabs>
          <w:tab w:val="num" w:pos="5945"/>
        </w:tabs>
        <w:ind w:left="5945" w:hanging="360"/>
      </w:pPr>
      <w:rPr>
        <w:rFonts w:ascii="Courier New" w:hAnsi="Courier New" w:cs="Courier New" w:hint="default"/>
      </w:rPr>
    </w:lvl>
    <w:lvl w:ilvl="8" w:tentative="1">
      <w:start w:val="1"/>
      <w:numFmt w:val="bullet"/>
      <w:lvlText w:val=""/>
      <w:lvlJc w:val="left"/>
      <w:pPr>
        <w:tabs>
          <w:tab w:val="num" w:pos="6665"/>
        </w:tabs>
        <w:ind w:left="6665" w:hanging="360"/>
      </w:pPr>
      <w:rPr>
        <w:rFonts w:ascii="Wingdings" w:hAnsi="Wingdings" w:hint="default"/>
      </w:rPr>
    </w:lvl>
  </w:abstractNum>
  <w:abstractNum w:abstractNumId="5">
    <w:nsid w:val="4BC51C35"/>
    <w:multiLevelType w:val="hybridMultilevel"/>
    <w:tmpl w:val="16A2B430"/>
    <w:lvl w:ilvl="0">
      <w:start w:val="1"/>
      <w:numFmt w:val="bullet"/>
      <w:lvlText w:val="­"/>
      <w:lvlJc w:val="left"/>
      <w:pPr>
        <w:tabs>
          <w:tab w:val="num" w:pos="1085"/>
        </w:tabs>
        <w:ind w:left="1085" w:hanging="338"/>
      </w:pPr>
      <w:rPr>
        <w:rFonts w:ascii="Courier New" w:hAnsi="Courier New"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6">
    <w:nsid w:val="4C5809B7"/>
    <w:multiLevelType w:val="hybridMultilevel"/>
    <w:tmpl w:val="AE464C9A"/>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7">
    <w:nsid w:val="5ED32202"/>
    <w:multiLevelType w:val="hybridMultilevel"/>
    <w:tmpl w:val="B8E48524"/>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8">
    <w:nsid w:val="7CD96C22"/>
    <w:multiLevelType w:val="hybridMultilevel"/>
    <w:tmpl w:val="3FCA72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7"/>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D977FE48-6483-49AE-94C7-41C60DDD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81"/>
    <w:rPr>
      <w:sz w:val="24"/>
      <w:szCs w:val="24"/>
    </w:rPr>
  </w:style>
  <w:style w:type="paragraph" w:styleId="Heading3">
    <w:name w:val="heading 3"/>
    <w:basedOn w:val="Normal"/>
    <w:link w:val="Heading3Char"/>
    <w:qFormat/>
    <w:rsid w:val="000938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6F"/>
    <w:pPr>
      <w:tabs>
        <w:tab w:val="center" w:pos="4153"/>
        <w:tab w:val="right" w:pos="8306"/>
      </w:tabs>
    </w:pPr>
  </w:style>
  <w:style w:type="character" w:styleId="PageNumber">
    <w:name w:val="page number"/>
    <w:basedOn w:val="DefaultParagraphFont"/>
    <w:rsid w:val="0047576F"/>
  </w:style>
  <w:style w:type="paragraph" w:customStyle="1" w:styleId="naisf">
    <w:name w:val="naisf"/>
    <w:basedOn w:val="Normal"/>
    <w:uiPriority w:val="99"/>
    <w:rsid w:val="0047576F"/>
    <w:pPr>
      <w:spacing w:before="75" w:after="75"/>
      <w:ind w:firstLine="375"/>
      <w:jc w:val="both"/>
    </w:pPr>
  </w:style>
  <w:style w:type="paragraph" w:customStyle="1" w:styleId="naisnod">
    <w:name w:val="naisnod"/>
    <w:basedOn w:val="Normal"/>
    <w:uiPriority w:val="99"/>
    <w:rsid w:val="0047576F"/>
    <w:pPr>
      <w:spacing w:before="150" w:after="150"/>
      <w:jc w:val="center"/>
    </w:pPr>
    <w:rPr>
      <w:b/>
      <w:bCs/>
    </w:rPr>
  </w:style>
  <w:style w:type="paragraph" w:customStyle="1" w:styleId="naislab">
    <w:name w:val="naislab"/>
    <w:basedOn w:val="Normal"/>
    <w:rsid w:val="0047576F"/>
    <w:pPr>
      <w:spacing w:before="75" w:after="75"/>
      <w:jc w:val="right"/>
    </w:pPr>
  </w:style>
  <w:style w:type="paragraph" w:customStyle="1" w:styleId="naiskr">
    <w:name w:val="naiskr"/>
    <w:basedOn w:val="Normal"/>
    <w:rsid w:val="0047576F"/>
    <w:pPr>
      <w:spacing w:before="75" w:after="75"/>
    </w:pPr>
  </w:style>
  <w:style w:type="paragraph" w:styleId="FootnoteText">
    <w:name w:val="footnote text"/>
    <w:basedOn w:val="Normal"/>
    <w:semiHidden/>
    <w:rsid w:val="0047576F"/>
    <w:rPr>
      <w:sz w:val="20"/>
      <w:szCs w:val="20"/>
    </w:rPr>
  </w:style>
  <w:style w:type="paragraph" w:styleId="Footer">
    <w:name w:val="footer"/>
    <w:basedOn w:val="Normal"/>
    <w:link w:val="FooterChar"/>
    <w:rsid w:val="0047576F"/>
    <w:pPr>
      <w:tabs>
        <w:tab w:val="center" w:pos="4153"/>
        <w:tab w:val="right" w:pos="8306"/>
      </w:tabs>
    </w:pPr>
  </w:style>
  <w:style w:type="character" w:customStyle="1" w:styleId="FooterChar">
    <w:name w:val="Footer Char"/>
    <w:link w:val="Footer"/>
    <w:semiHidden/>
    <w:rsid w:val="0047576F"/>
    <w:rPr>
      <w:sz w:val="24"/>
      <w:szCs w:val="24"/>
      <w:lang w:val="lv-LV" w:eastAsia="lv-LV" w:bidi="ar-SA"/>
    </w:rPr>
  </w:style>
  <w:style w:type="character" w:styleId="Hyperlink">
    <w:name w:val="Hyperlink"/>
    <w:rsid w:val="0047576F"/>
    <w:rPr>
      <w:color w:val="0000FF"/>
      <w:u w:val="single"/>
    </w:rPr>
  </w:style>
  <w:style w:type="paragraph" w:styleId="NormalWeb">
    <w:name w:val="Normal (Web)"/>
    <w:basedOn w:val="Normal"/>
    <w:rsid w:val="0047576F"/>
    <w:pPr>
      <w:spacing w:before="100" w:beforeAutospacing="1" w:after="100" w:afterAutospacing="1"/>
    </w:pPr>
  </w:style>
  <w:style w:type="paragraph" w:styleId="ListParagraph">
    <w:name w:val="List Paragraph"/>
    <w:basedOn w:val="Normal"/>
    <w:qFormat/>
    <w:rsid w:val="0047576F"/>
    <w:pPr>
      <w:spacing w:after="200" w:line="276" w:lineRule="auto"/>
      <w:ind w:left="720"/>
      <w:contextualSpacing/>
    </w:pPr>
    <w:rPr>
      <w:rFonts w:ascii="Calibri" w:eastAsia="Calibri" w:hAnsi="Calibri"/>
      <w:sz w:val="22"/>
      <w:szCs w:val="22"/>
      <w:lang w:eastAsia="en-US"/>
    </w:rPr>
  </w:style>
  <w:style w:type="paragraph" w:customStyle="1" w:styleId="parasts">
    <w:name w:val="parasts"/>
    <w:basedOn w:val="Normal"/>
    <w:link w:val="parastsChar"/>
    <w:rsid w:val="0047576F"/>
    <w:pPr>
      <w:spacing w:before="50" w:after="50"/>
      <w:jc w:val="both"/>
    </w:pPr>
    <w:rPr>
      <w:lang w:eastAsia="en-US"/>
    </w:rPr>
  </w:style>
  <w:style w:type="character" w:customStyle="1" w:styleId="parastsChar">
    <w:name w:val="parasts Char"/>
    <w:link w:val="parasts"/>
    <w:rsid w:val="0047576F"/>
    <w:rPr>
      <w:sz w:val="24"/>
      <w:szCs w:val="24"/>
      <w:lang w:val="lv-LV" w:eastAsia="en-US" w:bidi="ar-SA"/>
    </w:rPr>
  </w:style>
  <w:style w:type="paragraph" w:customStyle="1" w:styleId="tvhtmlmktable">
    <w:name w:val="tv_html mk_table"/>
    <w:basedOn w:val="Normal"/>
    <w:rsid w:val="0047576F"/>
    <w:pPr>
      <w:spacing w:before="100" w:beforeAutospacing="1" w:after="100" w:afterAutospacing="1"/>
    </w:pPr>
    <w:rPr>
      <w:rFonts w:ascii="Verdana" w:hAnsi="Verdana"/>
      <w:sz w:val="18"/>
      <w:szCs w:val="18"/>
    </w:rPr>
  </w:style>
  <w:style w:type="character" w:styleId="Strong">
    <w:name w:val="Strong"/>
    <w:qFormat/>
    <w:rsid w:val="003739F5"/>
    <w:rPr>
      <w:b/>
      <w:bCs/>
    </w:rPr>
  </w:style>
  <w:style w:type="paragraph" w:customStyle="1" w:styleId="naisc">
    <w:name w:val="naisc"/>
    <w:basedOn w:val="Normal"/>
    <w:rsid w:val="003B2E04"/>
    <w:pPr>
      <w:spacing w:before="75" w:after="75"/>
      <w:jc w:val="center"/>
    </w:pPr>
  </w:style>
  <w:style w:type="character" w:customStyle="1" w:styleId="Heading3Char">
    <w:name w:val="Heading 3 Char"/>
    <w:link w:val="Heading3"/>
    <w:locked/>
    <w:rsid w:val="00093832"/>
    <w:rPr>
      <w:b/>
      <w:bCs/>
      <w:sz w:val="27"/>
      <w:szCs w:val="27"/>
      <w:lang w:val="lv-LV" w:eastAsia="lv-LV" w:bidi="ar-SA"/>
    </w:rPr>
  </w:style>
  <w:style w:type="character" w:styleId="CommentReference">
    <w:name w:val="annotation reference"/>
    <w:semiHidden/>
    <w:rsid w:val="00945C56"/>
    <w:rPr>
      <w:sz w:val="16"/>
      <w:szCs w:val="16"/>
    </w:rPr>
  </w:style>
  <w:style w:type="paragraph" w:styleId="CommentText">
    <w:name w:val="annotation text"/>
    <w:basedOn w:val="Normal"/>
    <w:link w:val="CommentTextChar"/>
    <w:semiHidden/>
    <w:rsid w:val="00945C56"/>
    <w:rPr>
      <w:sz w:val="20"/>
      <w:szCs w:val="20"/>
    </w:rPr>
  </w:style>
  <w:style w:type="paragraph" w:styleId="BalloonText">
    <w:name w:val="Balloon Text"/>
    <w:basedOn w:val="Normal"/>
    <w:semiHidden/>
    <w:rsid w:val="00945C56"/>
    <w:rPr>
      <w:rFonts w:ascii="Tahoma" w:hAnsi="Tahoma" w:cs="Tahoma"/>
      <w:sz w:val="16"/>
      <w:szCs w:val="16"/>
    </w:rPr>
  </w:style>
  <w:style w:type="character" w:customStyle="1" w:styleId="CommentTextChar">
    <w:name w:val="Comment Text Char"/>
    <w:link w:val="CommentText"/>
    <w:locked/>
    <w:rsid w:val="00E564A7"/>
    <w:rPr>
      <w:lang w:val="lv-LV" w:eastAsia="lv-LV" w:bidi="ar-SA"/>
    </w:rPr>
  </w:style>
  <w:style w:type="paragraph" w:styleId="CommentSubject">
    <w:name w:val="annotation subject"/>
    <w:basedOn w:val="CommentText"/>
    <w:next w:val="CommentText"/>
    <w:link w:val="CommentSubjectChar"/>
    <w:rsid w:val="005D1561"/>
    <w:rPr>
      <w:b/>
      <w:bCs/>
    </w:rPr>
  </w:style>
  <w:style w:type="character" w:customStyle="1" w:styleId="CommentSubjectChar">
    <w:name w:val="Comment Subject Char"/>
    <w:link w:val="CommentSubject"/>
    <w:rsid w:val="005D1561"/>
    <w:rPr>
      <w:b/>
      <w:bCs/>
      <w:lang w:val="lv-LV" w:eastAsia="lv-LV" w:bidi="ar-SA"/>
    </w:rPr>
  </w:style>
  <w:style w:type="paragraph" w:customStyle="1" w:styleId="tvhtml">
    <w:name w:val="tv_html"/>
    <w:basedOn w:val="Normal"/>
    <w:rsid w:val="00C2105A"/>
    <w:pPr>
      <w:spacing w:before="100" w:beforeAutospacing="1" w:after="100" w:afterAutospacing="1"/>
    </w:pPr>
  </w:style>
  <w:style w:type="paragraph" w:styleId="BodyTextIndent2">
    <w:name w:val="Body Text Indent 2"/>
    <w:basedOn w:val="Normal"/>
    <w:link w:val="BodyTextIndent2Char"/>
    <w:uiPriority w:val="99"/>
    <w:rsid w:val="00C2105A"/>
    <w:pPr>
      <w:spacing w:after="120" w:line="480" w:lineRule="auto"/>
      <w:ind w:left="283"/>
    </w:pPr>
  </w:style>
  <w:style w:type="character" w:customStyle="1" w:styleId="BodyTextIndent2Char">
    <w:name w:val="Body Text Indent 2 Char"/>
    <w:basedOn w:val="DefaultParagraphFont"/>
    <w:link w:val="BodyTextIndent2"/>
    <w:uiPriority w:val="99"/>
    <w:rsid w:val="00C2105A"/>
    <w:rPr>
      <w:sz w:val="24"/>
      <w:szCs w:val="24"/>
    </w:rPr>
  </w:style>
  <w:style w:type="character" w:styleId="FollowedHyperlink">
    <w:name w:val="FollowedHyperlink"/>
    <w:basedOn w:val="DefaultParagraphFont"/>
    <w:semiHidden/>
    <w:unhideWhenUsed/>
    <w:rsid w:val="00626F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FCD5-6D63-4B93-A2C9-44FE7F24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10752</Words>
  <Characters>6130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Zita.Balode@varam.gov.lv</dc:creator>
  <cp:lastModifiedBy>Zita Balode</cp:lastModifiedBy>
  <cp:revision>40</cp:revision>
  <cp:lastPrinted>2017-02-21T08:47:00Z</cp:lastPrinted>
  <dcterms:created xsi:type="dcterms:W3CDTF">2017-02-21T09:50:00Z</dcterms:created>
  <dcterms:modified xsi:type="dcterms:W3CDTF">2017-03-06T09:17:00Z</dcterms:modified>
</cp:coreProperties>
</file>