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2B1BC" w14:textId="77777777" w:rsidR="003B7D61" w:rsidRPr="00393389" w:rsidRDefault="003B7D61" w:rsidP="003B7D61">
      <w:pPr>
        <w:shd w:val="clear" w:color="auto" w:fill="FFFFFF"/>
        <w:jc w:val="center"/>
        <w:rPr>
          <w:b/>
          <w:bCs/>
          <w:sz w:val="28"/>
          <w:szCs w:val="28"/>
          <w:lang w:eastAsia="lv-LV"/>
        </w:rPr>
      </w:pPr>
      <w:bookmarkStart w:id="0" w:name="OLE_LINK5"/>
      <w:bookmarkStart w:id="1" w:name="OLE_LINK6"/>
      <w:r w:rsidRPr="00393389">
        <w:rPr>
          <w:b/>
          <w:bCs/>
          <w:sz w:val="28"/>
          <w:szCs w:val="28"/>
          <w:lang w:eastAsia="lv-LV"/>
        </w:rPr>
        <w:t>Likumprojekta "</w:t>
      </w:r>
      <w:r>
        <w:rPr>
          <w:b/>
          <w:bCs/>
          <w:sz w:val="28"/>
          <w:szCs w:val="28"/>
          <w:lang w:eastAsia="lv-LV"/>
        </w:rPr>
        <w:t>Grozījums</w:t>
      </w:r>
      <w:r w:rsidRPr="00393389">
        <w:rPr>
          <w:b/>
          <w:sz w:val="28"/>
          <w:szCs w:val="28"/>
        </w:rPr>
        <w:t xml:space="preserve"> Latvijas Administratīvo pārkāpumu kodeksā</w:t>
      </w:r>
      <w:r w:rsidRPr="00393389">
        <w:rPr>
          <w:b/>
          <w:bCs/>
          <w:sz w:val="28"/>
          <w:szCs w:val="28"/>
          <w:lang w:eastAsia="lv-LV"/>
        </w:rPr>
        <w:t>" sākotnējās ietekmes novērtējuma ziņojums (anotācija)</w:t>
      </w:r>
    </w:p>
    <w:p w14:paraId="6BF2B1BD" w14:textId="77777777" w:rsidR="003B7D61" w:rsidRPr="004E4D81" w:rsidRDefault="003B7D61" w:rsidP="003B7D61">
      <w:pPr>
        <w:jc w:val="center"/>
        <w:rPr>
          <w:bCs/>
        </w:rPr>
      </w:pPr>
    </w:p>
    <w:tbl>
      <w:tblPr>
        <w:tblW w:w="91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6"/>
        <w:gridCol w:w="2126"/>
        <w:gridCol w:w="6604"/>
      </w:tblGrid>
      <w:tr w:rsidR="003B7D61" w:rsidRPr="004E4D81" w14:paraId="6BF2B1BF" w14:textId="77777777" w:rsidTr="00B123E7">
        <w:tc>
          <w:tcPr>
            <w:tcW w:w="9186" w:type="dxa"/>
            <w:gridSpan w:val="3"/>
            <w:tcBorders>
              <w:top w:val="single" w:sz="6" w:space="0" w:color="auto"/>
              <w:left w:val="single" w:sz="6" w:space="0" w:color="auto"/>
              <w:bottom w:val="outset" w:sz="6" w:space="0" w:color="000000"/>
              <w:right w:val="single" w:sz="6" w:space="0" w:color="auto"/>
            </w:tcBorders>
            <w:vAlign w:val="center"/>
          </w:tcPr>
          <w:bookmarkEnd w:id="0"/>
          <w:bookmarkEnd w:id="1"/>
          <w:p w14:paraId="6BF2B1BE" w14:textId="77777777" w:rsidR="003B7D61" w:rsidRPr="004E4D81" w:rsidRDefault="003B7D61" w:rsidP="00F907E0">
            <w:pPr>
              <w:jc w:val="center"/>
              <w:rPr>
                <w:b/>
                <w:bCs/>
              </w:rPr>
            </w:pPr>
            <w:r w:rsidRPr="004E4D81">
              <w:rPr>
                <w:b/>
                <w:bCs/>
              </w:rPr>
              <w:t>I. Tiesību akta projekta izstrādes nepieciešamība</w:t>
            </w:r>
          </w:p>
        </w:tc>
      </w:tr>
      <w:tr w:rsidR="003B7D61" w:rsidRPr="004E4D81" w14:paraId="6BF2B1C3" w14:textId="77777777" w:rsidTr="00B123E7">
        <w:trPr>
          <w:trHeight w:val="479"/>
        </w:trPr>
        <w:tc>
          <w:tcPr>
            <w:tcW w:w="456" w:type="dxa"/>
            <w:tcBorders>
              <w:top w:val="outset" w:sz="6" w:space="0" w:color="000000"/>
              <w:bottom w:val="outset" w:sz="6" w:space="0" w:color="000000"/>
              <w:right w:val="outset" w:sz="6" w:space="0" w:color="000000"/>
            </w:tcBorders>
          </w:tcPr>
          <w:p w14:paraId="6BF2B1C0" w14:textId="77777777" w:rsidR="003B7D61" w:rsidRPr="004E4D81" w:rsidRDefault="003B7D61" w:rsidP="00F907E0">
            <w:r w:rsidRPr="004E4D81">
              <w:t>1.</w:t>
            </w:r>
          </w:p>
        </w:tc>
        <w:tc>
          <w:tcPr>
            <w:tcW w:w="2126" w:type="dxa"/>
            <w:tcBorders>
              <w:top w:val="outset" w:sz="6" w:space="0" w:color="000000"/>
              <w:left w:val="outset" w:sz="6" w:space="0" w:color="000000"/>
              <w:bottom w:val="outset" w:sz="6" w:space="0" w:color="000000"/>
              <w:right w:val="outset" w:sz="6" w:space="0" w:color="000000"/>
            </w:tcBorders>
          </w:tcPr>
          <w:p w14:paraId="6BF2B1C1" w14:textId="77777777" w:rsidR="003B7D61" w:rsidRPr="004E4D81" w:rsidRDefault="003B7D61" w:rsidP="00F907E0">
            <w:pPr>
              <w:pStyle w:val="BodyText"/>
              <w:outlineLvl w:val="0"/>
              <w:rPr>
                <w:sz w:val="24"/>
                <w:szCs w:val="24"/>
                <w:lang w:val="lv-LV"/>
              </w:rPr>
            </w:pPr>
            <w:r w:rsidRPr="004E4D81">
              <w:rPr>
                <w:sz w:val="24"/>
                <w:szCs w:val="24"/>
                <w:lang w:val="lv-LV"/>
              </w:rPr>
              <w:t>Pamatojums</w:t>
            </w:r>
          </w:p>
        </w:tc>
        <w:tc>
          <w:tcPr>
            <w:tcW w:w="6604" w:type="dxa"/>
            <w:tcBorders>
              <w:top w:val="outset" w:sz="6" w:space="0" w:color="000000"/>
              <w:left w:val="outset" w:sz="6" w:space="0" w:color="000000"/>
              <w:bottom w:val="outset" w:sz="6" w:space="0" w:color="000000"/>
            </w:tcBorders>
          </w:tcPr>
          <w:p w14:paraId="6BF2B1C2" w14:textId="141493ED" w:rsidR="003B7D61" w:rsidRPr="004E4D81" w:rsidRDefault="003B7D61" w:rsidP="00B123E7">
            <w:pPr>
              <w:ind w:left="112" w:right="195"/>
              <w:jc w:val="both"/>
              <w:rPr>
                <w:spacing w:val="-4"/>
              </w:rPr>
            </w:pPr>
            <w:r w:rsidRPr="004E4D81">
              <w:rPr>
                <w:spacing w:val="-4"/>
              </w:rPr>
              <w:t xml:space="preserve">Likumprojekts "Grozījums Latvijas Administratīvo pārkāpumu kodeksā" izstrādāts, lai izpildītu likuma "Par Valsts ieņēmumu dienestu" (likuma "Grozījumi likumā "Par Valsts ieņēmumu dienestu"" </w:t>
            </w:r>
            <w:r w:rsidR="00B123E7" w:rsidRPr="004E4D81">
              <w:rPr>
                <w:spacing w:val="-4"/>
              </w:rPr>
              <w:t xml:space="preserve">2016. gada 2. jūnija </w:t>
            </w:r>
            <w:r w:rsidRPr="004E4D81">
              <w:rPr>
                <w:spacing w:val="-4"/>
              </w:rPr>
              <w:t>redakcijā) pārejas noteikumu 35. punkta 2.</w:t>
            </w:r>
            <w:r w:rsidR="001729E4" w:rsidRPr="004E4D81">
              <w:rPr>
                <w:spacing w:val="-4"/>
              </w:rPr>
              <w:t> apakšpunktā noteikto uzdevumu M</w:t>
            </w:r>
            <w:r w:rsidRPr="004E4D81">
              <w:rPr>
                <w:spacing w:val="-4"/>
              </w:rPr>
              <w:t>inistru kabinetam līdz 2016.</w:t>
            </w:r>
            <w:r w:rsidR="00B123E7" w:rsidRPr="004E4D81">
              <w:rPr>
                <w:spacing w:val="-4"/>
              </w:rPr>
              <w:t> </w:t>
            </w:r>
            <w:r w:rsidRPr="004E4D81">
              <w:rPr>
                <w:spacing w:val="-4"/>
              </w:rPr>
              <w:t>gada 1. oktobrim izvērtēt iespēju plašāk piemērot administratīvo papildsodu – liegumu ieņemt valsts amatpersonas amatus – par pārkāpumiem korupcijas novēršanas jomā un, ja nepieciešams, iesniegt Saeimā atbilstošus grozījumus Latvijas Administratīvo pārkāpumu kodeksa divpadsmitajā "c" nodaļā "Administratīvie pārkāpumi korupcijas novēršanas jomā", attiecīgi nodrošinot Ministru kabinetam dotā uzdevuma (Nr. 2016-UZD-1738) izpildi</w:t>
            </w:r>
          </w:p>
        </w:tc>
      </w:tr>
      <w:tr w:rsidR="003B7D61" w:rsidRPr="004E4D81" w14:paraId="6BF2B1D2" w14:textId="77777777" w:rsidTr="00B123E7">
        <w:tc>
          <w:tcPr>
            <w:tcW w:w="456" w:type="dxa"/>
            <w:tcBorders>
              <w:top w:val="outset" w:sz="6" w:space="0" w:color="000000"/>
              <w:bottom w:val="outset" w:sz="6" w:space="0" w:color="000000"/>
              <w:right w:val="outset" w:sz="6" w:space="0" w:color="000000"/>
            </w:tcBorders>
          </w:tcPr>
          <w:p w14:paraId="6BF2B1C4" w14:textId="77777777" w:rsidR="003B7D61" w:rsidRPr="004E4D81" w:rsidRDefault="003B7D61" w:rsidP="00F907E0">
            <w:r w:rsidRPr="004E4D81">
              <w:t>2.</w:t>
            </w:r>
          </w:p>
        </w:tc>
        <w:tc>
          <w:tcPr>
            <w:tcW w:w="2126" w:type="dxa"/>
            <w:tcBorders>
              <w:top w:val="outset" w:sz="6" w:space="0" w:color="000000"/>
              <w:left w:val="outset" w:sz="6" w:space="0" w:color="000000"/>
              <w:bottom w:val="outset" w:sz="6" w:space="0" w:color="000000"/>
              <w:right w:val="outset" w:sz="6" w:space="0" w:color="000000"/>
            </w:tcBorders>
          </w:tcPr>
          <w:p w14:paraId="6BF2B1C5" w14:textId="77777777" w:rsidR="003B7D61" w:rsidRPr="004E4D81" w:rsidRDefault="003B7D61" w:rsidP="00F907E0">
            <w:r w:rsidRPr="004E4D81">
              <w:t>Pašreizējā situācija un problēmas, kuru risināšanai tiesību akta projekts izstrādāts, tiesiskā regulējuma mērķis un būtība</w:t>
            </w:r>
          </w:p>
        </w:tc>
        <w:tc>
          <w:tcPr>
            <w:tcW w:w="6604" w:type="dxa"/>
            <w:tcBorders>
              <w:top w:val="outset" w:sz="6" w:space="0" w:color="000000"/>
              <w:left w:val="outset" w:sz="6" w:space="0" w:color="000000"/>
              <w:bottom w:val="outset" w:sz="6" w:space="0" w:color="000000"/>
            </w:tcBorders>
          </w:tcPr>
          <w:p w14:paraId="6BF2B1C6" w14:textId="13733364" w:rsidR="003B7D61" w:rsidRPr="004E4D81" w:rsidRDefault="003B7D61" w:rsidP="00B123E7">
            <w:pPr>
              <w:pStyle w:val="ListParagraph"/>
              <w:ind w:left="112" w:right="195"/>
              <w:jc w:val="both"/>
              <w:rPr>
                <w:rFonts w:cs="Times New Roman"/>
                <w:sz w:val="24"/>
                <w:szCs w:val="24"/>
                <w:lang w:val="lv-LV"/>
              </w:rPr>
            </w:pPr>
            <w:r w:rsidRPr="004E4D81">
              <w:rPr>
                <w:rFonts w:cs="Times New Roman"/>
                <w:sz w:val="24"/>
                <w:szCs w:val="24"/>
                <w:lang w:val="lv-LV"/>
              </w:rPr>
              <w:t>Saskaņā ar Valsts civildienesta likuma 1.</w:t>
            </w:r>
            <w:r w:rsidR="00B123E7" w:rsidRPr="004E4D81">
              <w:rPr>
                <w:rFonts w:cs="Times New Roman"/>
                <w:sz w:val="24"/>
                <w:szCs w:val="24"/>
                <w:lang w:val="lv-LV"/>
              </w:rPr>
              <w:t> </w:t>
            </w:r>
            <w:r w:rsidRPr="004E4D81">
              <w:rPr>
                <w:rFonts w:cs="Times New Roman"/>
                <w:sz w:val="24"/>
                <w:szCs w:val="24"/>
                <w:lang w:val="lv-LV"/>
              </w:rPr>
              <w:t>pantā un Valsts pārvaldes iekārtas likuma 10.</w:t>
            </w:r>
            <w:r w:rsidR="00B123E7" w:rsidRPr="004E4D81">
              <w:rPr>
                <w:rFonts w:cs="Times New Roman"/>
                <w:sz w:val="24"/>
                <w:szCs w:val="24"/>
                <w:lang w:val="lv-LV"/>
              </w:rPr>
              <w:t> </w:t>
            </w:r>
            <w:r w:rsidRPr="004E4D81">
              <w:rPr>
                <w:rFonts w:cs="Times New Roman"/>
                <w:sz w:val="24"/>
                <w:szCs w:val="24"/>
                <w:lang w:val="lv-LV"/>
              </w:rPr>
              <w:t>pantā ietvertajiem civildienesta un valsts pārvaldes principiem tiesību akta mērķis ir veicināt valsts civildienesta ierēdņu darba efektivitāti, nodrošinot tiem uzticēto uzdevumu izpildi</w:t>
            </w:r>
            <w:r w:rsidR="00B123E7" w:rsidRPr="004E4D81">
              <w:rPr>
                <w:rFonts w:cs="Times New Roman"/>
                <w:sz w:val="24"/>
                <w:szCs w:val="24"/>
                <w:lang w:val="lv-LV"/>
              </w:rPr>
              <w:t xml:space="preserve"> un</w:t>
            </w:r>
            <w:r w:rsidRPr="004E4D81">
              <w:rPr>
                <w:rFonts w:cs="Times New Roman"/>
                <w:sz w:val="24"/>
                <w:szCs w:val="24"/>
                <w:lang w:val="lv-LV"/>
              </w:rPr>
              <w:t xml:space="preserve"> korupcijas risku mazināšanos</w:t>
            </w:r>
            <w:r w:rsidR="00381F26">
              <w:rPr>
                <w:rFonts w:cs="Times New Roman"/>
                <w:sz w:val="24"/>
                <w:szCs w:val="24"/>
                <w:lang w:val="lv-LV"/>
              </w:rPr>
              <w:t>,</w:t>
            </w:r>
            <w:r w:rsidRPr="004E4D81">
              <w:rPr>
                <w:rFonts w:cs="Times New Roman"/>
                <w:sz w:val="24"/>
                <w:szCs w:val="24"/>
                <w:lang w:val="lv-LV"/>
              </w:rPr>
              <w:t xml:space="preserve"> un vairot sabiedrības uzticēšanos valsts civildienestam, kā arī nodrošināt, ka valsts pārvaldē strādā tikai tādas personas, kam patiesi rūp tiesiska, stabila, efektīva un atklāta valsts pārvaldes darbība.</w:t>
            </w:r>
          </w:p>
          <w:p w14:paraId="6BF2B1C7" w14:textId="72480C3C" w:rsidR="003B7D61" w:rsidRPr="004E4D81" w:rsidRDefault="003B7D61" w:rsidP="00B123E7">
            <w:pPr>
              <w:pStyle w:val="ListParagraph"/>
              <w:ind w:left="112" w:right="195"/>
              <w:jc w:val="both"/>
              <w:rPr>
                <w:rFonts w:cs="Times New Roman"/>
                <w:sz w:val="24"/>
                <w:szCs w:val="24"/>
                <w:lang w:val="lv-LV"/>
              </w:rPr>
            </w:pPr>
            <w:r w:rsidRPr="004E4D81">
              <w:rPr>
                <w:rFonts w:cs="Times New Roman"/>
                <w:sz w:val="24"/>
                <w:szCs w:val="24"/>
                <w:lang w:val="lv-LV"/>
              </w:rPr>
              <w:t>Pašreizējā situācijā tiesiskās atbildības regulējums par valsts amatpersonu pārkāpumiem saistībā ar valsts amatpersonas deklarācijas neiesniegšanu nav adekvāts to mērķu sasniegšanai, kas norādīti Valsts civildienesta likuma 1.</w:t>
            </w:r>
            <w:r w:rsidR="00B123E7" w:rsidRPr="004E4D81">
              <w:rPr>
                <w:rFonts w:cs="Times New Roman"/>
                <w:sz w:val="24"/>
                <w:szCs w:val="24"/>
                <w:lang w:val="lv-LV"/>
              </w:rPr>
              <w:t> </w:t>
            </w:r>
            <w:r w:rsidRPr="004E4D81">
              <w:rPr>
                <w:rFonts w:cs="Times New Roman"/>
                <w:sz w:val="24"/>
                <w:szCs w:val="24"/>
                <w:lang w:val="lv-LV"/>
              </w:rPr>
              <w:t>pantā. Proti, kriminālatbildība saskaņā ar Krimināllikuma 219.</w:t>
            </w:r>
            <w:r w:rsidR="00B123E7" w:rsidRPr="004E4D81">
              <w:rPr>
                <w:rFonts w:cs="Times New Roman"/>
                <w:sz w:val="24"/>
                <w:szCs w:val="24"/>
                <w:lang w:val="lv-LV"/>
              </w:rPr>
              <w:t> </w:t>
            </w:r>
            <w:r w:rsidRPr="004E4D81">
              <w:rPr>
                <w:rFonts w:cs="Times New Roman"/>
                <w:sz w:val="24"/>
                <w:szCs w:val="24"/>
                <w:lang w:val="lv-LV"/>
              </w:rPr>
              <w:t xml:space="preserve">panta otrās daļas (izvairīšanās no deklarācijas iesniegšanas) nosacījumiem iestātos tikai par nepatiesu ziņu norādīšanu likumā noteiktajā ienākumu, īpašuma, darījumu vai cita mantiska rakstura deklarācijā, ja nepatiesās ziņas norādītas par mantu vai citiem ienākumiem lielā apmērā, t. i., no </w:t>
            </w:r>
            <w:r w:rsidR="00EF0C68" w:rsidRPr="004E4D81">
              <w:rPr>
                <w:rFonts w:cs="Times New Roman"/>
                <w:sz w:val="24"/>
                <w:szCs w:val="24"/>
                <w:lang w:val="lv-LV"/>
              </w:rPr>
              <w:t>19000</w:t>
            </w:r>
            <w:r w:rsidR="00B123E7" w:rsidRPr="004E4D81">
              <w:rPr>
                <w:rFonts w:cs="Times New Roman"/>
                <w:sz w:val="24"/>
                <w:szCs w:val="24"/>
                <w:lang w:val="lv-LV"/>
              </w:rPr>
              <w:t> </w:t>
            </w:r>
            <w:proofErr w:type="spellStart"/>
            <w:r w:rsidRPr="004E4D81">
              <w:rPr>
                <w:rFonts w:cs="Times New Roman"/>
                <w:i/>
                <w:sz w:val="24"/>
                <w:szCs w:val="24"/>
                <w:lang w:val="lv-LV"/>
              </w:rPr>
              <w:t>euro</w:t>
            </w:r>
            <w:proofErr w:type="spellEnd"/>
            <w:r w:rsidRPr="004E4D81">
              <w:rPr>
                <w:rFonts w:cs="Times New Roman"/>
                <w:sz w:val="24"/>
                <w:szCs w:val="24"/>
                <w:lang w:val="lv-LV"/>
              </w:rPr>
              <w:t>. Likuma "Par Krimināllikuma spēkā stāšanās un piemērošanas kārtību" 20.</w:t>
            </w:r>
            <w:r w:rsidR="00B123E7" w:rsidRPr="004E4D81">
              <w:rPr>
                <w:rFonts w:cs="Times New Roman"/>
                <w:sz w:val="24"/>
                <w:szCs w:val="24"/>
                <w:lang w:val="lv-LV"/>
              </w:rPr>
              <w:t> </w:t>
            </w:r>
            <w:r w:rsidRPr="004E4D81">
              <w:rPr>
                <w:rFonts w:cs="Times New Roman"/>
                <w:sz w:val="24"/>
                <w:szCs w:val="24"/>
                <w:lang w:val="lv-LV"/>
              </w:rPr>
              <w:t xml:space="preserve">pantā noteikts, ka kriminālatbildība par noziedzīgu nodarījumu, kas izdarīts lielā apmērā, iestājas tikai tad, ja nozieguma priekšmeta kopējā vērtība nodarījuma izdarīšanas brīdī nav bijusi mazāka par 50 tai laikā Latvijas Republikā noteikto minimālo mēnešalgu kopsummu. </w:t>
            </w:r>
            <w:r w:rsidR="00381F26">
              <w:rPr>
                <w:rFonts w:cs="Times New Roman"/>
                <w:sz w:val="24"/>
                <w:szCs w:val="24"/>
                <w:lang w:val="lv-LV"/>
              </w:rPr>
              <w:t>Vienlaikus</w:t>
            </w:r>
            <w:r w:rsidRPr="004E4D81">
              <w:rPr>
                <w:rFonts w:cs="Times New Roman"/>
                <w:sz w:val="24"/>
                <w:szCs w:val="24"/>
                <w:lang w:val="lv-LV"/>
              </w:rPr>
              <w:t xml:space="preserve"> Latvijas Administratīvo pārkāpumu kodeksa </w:t>
            </w:r>
            <w:r w:rsidRPr="004E4D81">
              <w:rPr>
                <w:color w:val="000000"/>
                <w:sz w:val="24"/>
                <w:szCs w:val="24"/>
                <w:lang w:val="lv-LV" w:eastAsia="lv-LV"/>
              </w:rPr>
              <w:t>166.</w:t>
            </w:r>
            <w:r w:rsidRPr="004E4D81">
              <w:rPr>
                <w:color w:val="000000"/>
                <w:sz w:val="24"/>
                <w:szCs w:val="24"/>
                <w:vertAlign w:val="superscript"/>
                <w:lang w:val="lv-LV" w:eastAsia="lv-LV"/>
              </w:rPr>
              <w:t>27</w:t>
            </w:r>
            <w:r w:rsidR="00B123E7" w:rsidRPr="004E4D81">
              <w:rPr>
                <w:color w:val="000000"/>
                <w:sz w:val="24"/>
                <w:szCs w:val="24"/>
                <w:lang w:val="lv-LV" w:eastAsia="lv-LV"/>
              </w:rPr>
              <w:t> </w:t>
            </w:r>
            <w:r w:rsidRPr="004E4D81">
              <w:rPr>
                <w:rFonts w:cs="Times New Roman"/>
                <w:sz w:val="24"/>
                <w:szCs w:val="24"/>
                <w:lang w:val="lv-LV"/>
              </w:rPr>
              <w:t>pantā noteikts, ka par valsts amatpersonas deklarācijas neiesniegšanu noteikt</w:t>
            </w:r>
            <w:r w:rsidR="00B123E7" w:rsidRPr="004E4D81">
              <w:rPr>
                <w:rFonts w:cs="Times New Roman"/>
                <w:sz w:val="24"/>
                <w:szCs w:val="24"/>
                <w:lang w:val="lv-LV"/>
              </w:rPr>
              <w:t>aj</w:t>
            </w:r>
            <w:r w:rsidRPr="004E4D81">
              <w:rPr>
                <w:rFonts w:cs="Times New Roman"/>
                <w:sz w:val="24"/>
                <w:szCs w:val="24"/>
                <w:lang w:val="lv-LV"/>
              </w:rPr>
              <w:t xml:space="preserve">ā termiņā, deklarācijas aizpildīšanas un iesniegšanas kārtības neievērošanu vai par nepatiesu ziņu norādīšanu deklarācijā uzliek naudas sodu līdz trīssimt piecdesmit </w:t>
            </w:r>
            <w:proofErr w:type="spellStart"/>
            <w:r w:rsidRPr="004E4D81">
              <w:rPr>
                <w:rFonts w:cs="Times New Roman"/>
                <w:i/>
                <w:sz w:val="24"/>
                <w:szCs w:val="24"/>
                <w:lang w:val="lv-LV"/>
              </w:rPr>
              <w:t>euro</w:t>
            </w:r>
            <w:proofErr w:type="spellEnd"/>
            <w:r w:rsidRPr="004E4D81">
              <w:rPr>
                <w:rFonts w:cs="Times New Roman"/>
                <w:i/>
                <w:sz w:val="24"/>
                <w:szCs w:val="24"/>
                <w:lang w:val="lv-LV"/>
              </w:rPr>
              <w:t>.</w:t>
            </w:r>
            <w:r w:rsidRPr="004E4D81">
              <w:rPr>
                <w:rFonts w:cs="Times New Roman"/>
                <w:sz w:val="24"/>
                <w:szCs w:val="24"/>
                <w:lang w:val="lv-LV"/>
              </w:rPr>
              <w:t xml:space="preserve"> Tādējādi rodas situācija, ka valsts amatpersona, rīkojoties pretēji Valsts pārvaldes iekārtas likuma 10.</w:t>
            </w:r>
            <w:r w:rsidR="00B123E7" w:rsidRPr="004E4D81">
              <w:rPr>
                <w:rFonts w:cs="Times New Roman"/>
                <w:sz w:val="24"/>
                <w:szCs w:val="24"/>
                <w:lang w:val="lv-LV"/>
              </w:rPr>
              <w:t> </w:t>
            </w:r>
            <w:r w:rsidRPr="004E4D81">
              <w:rPr>
                <w:rFonts w:cs="Times New Roman"/>
                <w:sz w:val="24"/>
                <w:szCs w:val="24"/>
                <w:lang w:val="lv-LV"/>
              </w:rPr>
              <w:t xml:space="preserve">panta ceturtajā daļā noteiktajam, ka amatpersonai, īstenojot valsts pārvaldes funkcijas, nav savu interešu, kā arī citiem principiem, var turpināt pildīt valsts </w:t>
            </w:r>
            <w:r w:rsidRPr="004E4D81">
              <w:rPr>
                <w:rFonts w:cs="Times New Roman"/>
                <w:sz w:val="24"/>
                <w:szCs w:val="24"/>
                <w:lang w:val="lv-LV"/>
              </w:rPr>
              <w:lastRenderedPageBreak/>
              <w:t xml:space="preserve">amatpersonas pienākumus. </w:t>
            </w:r>
          </w:p>
          <w:p w14:paraId="6BF2B1C8" w14:textId="2C16F1EE" w:rsidR="003B7D61" w:rsidRPr="004E4D81" w:rsidRDefault="003B7D61" w:rsidP="00B123E7">
            <w:pPr>
              <w:pStyle w:val="ListParagraph"/>
              <w:ind w:left="112" w:right="195"/>
              <w:jc w:val="both"/>
              <w:rPr>
                <w:rFonts w:cs="Times New Roman"/>
                <w:sz w:val="24"/>
                <w:szCs w:val="24"/>
                <w:lang w:val="lv-LV"/>
              </w:rPr>
            </w:pPr>
            <w:r w:rsidRPr="004E4D81">
              <w:rPr>
                <w:rFonts w:cs="Times New Roman"/>
                <w:sz w:val="24"/>
                <w:szCs w:val="24"/>
                <w:lang w:val="lv-LV"/>
              </w:rPr>
              <w:t>Ņemot vērā minēto un citus argumentus, 2016.</w:t>
            </w:r>
            <w:r w:rsidR="00B123E7" w:rsidRPr="004E4D81">
              <w:rPr>
                <w:rFonts w:cs="Times New Roman"/>
                <w:sz w:val="24"/>
                <w:szCs w:val="24"/>
                <w:lang w:val="lv-LV"/>
              </w:rPr>
              <w:t> </w:t>
            </w:r>
            <w:r w:rsidRPr="004E4D81">
              <w:rPr>
                <w:rFonts w:cs="Times New Roman"/>
                <w:sz w:val="24"/>
                <w:szCs w:val="24"/>
                <w:lang w:val="lv-LV"/>
              </w:rPr>
              <w:t xml:space="preserve">gada 21. jūnijā Saeima pieņēma tiesību akta projektu "Grozījumi likumā "Par Valsts ieņēmumu dienestu"" </w:t>
            </w:r>
            <w:proofErr w:type="gramStart"/>
            <w:r w:rsidRPr="004E4D81">
              <w:rPr>
                <w:rFonts w:cs="Times New Roman"/>
                <w:sz w:val="24"/>
                <w:szCs w:val="24"/>
                <w:lang w:val="lv-LV"/>
              </w:rPr>
              <w:t>(</w:t>
            </w:r>
            <w:proofErr w:type="gramEnd"/>
            <w:r w:rsidRPr="004E4D81">
              <w:rPr>
                <w:rFonts w:cs="Times New Roman"/>
                <w:sz w:val="24"/>
                <w:szCs w:val="24"/>
                <w:lang w:val="lv-LV"/>
              </w:rPr>
              <w:t>Latvijas Vēstnesis, 2016, 119. (5691.) nr.), papildinot tiesību akta 17.</w:t>
            </w:r>
            <w:r w:rsidR="00B123E7" w:rsidRPr="004E4D81">
              <w:rPr>
                <w:rFonts w:cs="Times New Roman"/>
                <w:sz w:val="24"/>
                <w:szCs w:val="24"/>
                <w:lang w:val="lv-LV"/>
              </w:rPr>
              <w:t> </w:t>
            </w:r>
            <w:r w:rsidRPr="004E4D81">
              <w:rPr>
                <w:rFonts w:cs="Times New Roman"/>
                <w:sz w:val="24"/>
                <w:szCs w:val="24"/>
                <w:lang w:val="lv-LV"/>
              </w:rPr>
              <w:t>panta pirmo daļu ar 12. punktu, kas nosaka, ka par Valsts ieņēmumu dienesta ierēdni var būt persona, attiecībā</w:t>
            </w:r>
            <w:proofErr w:type="gramStart"/>
            <w:r w:rsidRPr="004E4D81">
              <w:rPr>
                <w:rFonts w:cs="Times New Roman"/>
                <w:sz w:val="24"/>
                <w:szCs w:val="24"/>
                <w:lang w:val="lv-LV"/>
              </w:rPr>
              <w:t xml:space="preserve"> uz kuru nav saglabājušās tāda administratīvā soda darbības sekas, kas liedz ieņemt valsts amatpersonas amatu</w:t>
            </w:r>
            <w:proofErr w:type="gramEnd"/>
            <w:r w:rsidRPr="004E4D81">
              <w:rPr>
                <w:rFonts w:cs="Times New Roman"/>
                <w:sz w:val="24"/>
                <w:szCs w:val="24"/>
                <w:lang w:val="lv-LV"/>
              </w:rPr>
              <w:t>. Minētā tiesību akta pārejas noteikumi papildināti ar 35.</w:t>
            </w:r>
            <w:r w:rsidR="00B123E7" w:rsidRPr="004E4D81">
              <w:rPr>
                <w:rFonts w:cs="Times New Roman"/>
                <w:sz w:val="24"/>
                <w:szCs w:val="24"/>
                <w:lang w:val="lv-LV"/>
              </w:rPr>
              <w:t> </w:t>
            </w:r>
            <w:r w:rsidRPr="004E4D81">
              <w:rPr>
                <w:rFonts w:cs="Times New Roman"/>
                <w:sz w:val="24"/>
                <w:szCs w:val="24"/>
                <w:lang w:val="lv-LV"/>
              </w:rPr>
              <w:t>punktu, kas nosaka, ka Ministru kabinets līdz 2016. gada 1. oktobrim iesniedz Saeimā grozījumus Valsts civildienesta likumā, kas paredz nosacījumu, ka uz ierēdņa amatu var pretendēt persona, kurai nav saglabājušās tāda administratīvā soda darbības sekas, kas liedz ieņemt valsts amatpersonas amatu. 2016. gada 29. jūlijā Saeimā iesniegts tiesību akta projekts "Grozījums Valsts civildienesta likumā", kas paredz papildināt Valsts civildienesta likuma 7.</w:t>
            </w:r>
            <w:r w:rsidR="00B123E7" w:rsidRPr="004E4D81">
              <w:rPr>
                <w:rFonts w:cs="Times New Roman"/>
                <w:sz w:val="24"/>
                <w:szCs w:val="24"/>
                <w:lang w:val="lv-LV"/>
              </w:rPr>
              <w:t> </w:t>
            </w:r>
            <w:r w:rsidRPr="004E4D81">
              <w:rPr>
                <w:rFonts w:cs="Times New Roman"/>
                <w:sz w:val="24"/>
                <w:szCs w:val="24"/>
                <w:lang w:val="lv-LV"/>
              </w:rPr>
              <w:t>panta pirmo daļu ar 12.</w:t>
            </w:r>
            <w:r w:rsidR="00B123E7" w:rsidRPr="004E4D81">
              <w:rPr>
                <w:rFonts w:cs="Times New Roman"/>
                <w:sz w:val="24"/>
                <w:szCs w:val="24"/>
                <w:lang w:val="lv-LV"/>
              </w:rPr>
              <w:t> </w:t>
            </w:r>
            <w:r w:rsidRPr="004E4D81">
              <w:rPr>
                <w:rFonts w:cs="Times New Roman"/>
                <w:sz w:val="24"/>
                <w:szCs w:val="24"/>
                <w:lang w:val="lv-LV"/>
              </w:rPr>
              <w:t xml:space="preserve">punktu, nosakot, ka uz ierēdņa amatu var pretendēt persona, kurai nav saglabājušās tāda administratīvā soda darbības sekas, kas liedz ieņemt valsts amatpersonas amatu. </w:t>
            </w:r>
          </w:p>
          <w:p w14:paraId="6BF2B1C9" w14:textId="297CDEB0" w:rsidR="003B7D61" w:rsidRPr="004E4D81" w:rsidRDefault="003B7D61" w:rsidP="00B123E7">
            <w:pPr>
              <w:pStyle w:val="ListParagraph"/>
              <w:ind w:left="112" w:right="195"/>
              <w:jc w:val="both"/>
              <w:rPr>
                <w:rFonts w:cs="Times New Roman"/>
                <w:sz w:val="24"/>
                <w:szCs w:val="24"/>
                <w:lang w:val="lv-LV"/>
              </w:rPr>
            </w:pPr>
            <w:r w:rsidRPr="004E4D81">
              <w:rPr>
                <w:rFonts w:cs="Times New Roman"/>
                <w:sz w:val="24"/>
                <w:szCs w:val="24"/>
                <w:lang w:val="lv-LV"/>
              </w:rPr>
              <w:t xml:space="preserve">Saskaņā ar Saeimā </w:t>
            </w:r>
            <w:r w:rsidR="00B123E7" w:rsidRPr="004E4D81">
              <w:rPr>
                <w:rFonts w:cs="Times New Roman"/>
                <w:sz w:val="24"/>
                <w:szCs w:val="24"/>
                <w:lang w:val="lv-LV"/>
              </w:rPr>
              <w:t xml:space="preserve">2016. gada 21. jūnijā </w:t>
            </w:r>
            <w:r w:rsidRPr="004E4D81">
              <w:rPr>
                <w:rFonts w:cs="Times New Roman"/>
                <w:sz w:val="24"/>
                <w:szCs w:val="24"/>
                <w:lang w:val="lv-LV"/>
              </w:rPr>
              <w:t>pieņemto likumu "Grozījumi likumā "Par Valsts ieņēmumu dienestu"" likuma "Par Valsts ieņēmumu dienestu" 17.</w:t>
            </w:r>
            <w:r w:rsidR="00B123E7" w:rsidRPr="004E4D81">
              <w:rPr>
                <w:rFonts w:cs="Times New Roman"/>
                <w:sz w:val="24"/>
                <w:szCs w:val="24"/>
                <w:lang w:val="lv-LV"/>
              </w:rPr>
              <w:t> </w:t>
            </w:r>
            <w:r w:rsidRPr="004E4D81">
              <w:rPr>
                <w:rFonts w:cs="Times New Roman"/>
                <w:sz w:val="24"/>
                <w:szCs w:val="24"/>
                <w:lang w:val="lv-LV"/>
              </w:rPr>
              <w:t>panta otro daļu (nosaka Valsts ieņēmumu dienesta darbiniekiem izvirzāmās prasības), kas tika papildināta ar 10.</w:t>
            </w:r>
            <w:r w:rsidR="00B123E7" w:rsidRPr="004E4D81">
              <w:rPr>
                <w:rFonts w:cs="Times New Roman"/>
                <w:sz w:val="24"/>
                <w:szCs w:val="24"/>
                <w:lang w:val="lv-LV"/>
              </w:rPr>
              <w:t> </w:t>
            </w:r>
            <w:r w:rsidRPr="004E4D81">
              <w:rPr>
                <w:rFonts w:cs="Times New Roman"/>
                <w:sz w:val="24"/>
                <w:szCs w:val="24"/>
                <w:lang w:val="lv-LV"/>
              </w:rPr>
              <w:t>punktu (nosaka, ka attiecībā uz personu nav saglabājušās tāda administratīvā soda darbības sekas, kas liedz ieņemt valsts amatpersonas amatu, un minētais pants papildināts ar trešo daļu, un ka šā panta otrās daļas 10. punktu piemēro arī gadījumos, ja darbinieka amatā darba pienākumi veicami valsts amatpersonas statusā), attiecina ne vien uz valsts civildienesta ierēdņiem, bet arī uz tām personām, kas ir darba tiesiskajās attiecībās, bet pienākumus veic valsts amatpersonas statusā, kā arī uz visām tām personām, kas saskaņā ar likuma "Par interešu konflikta novēršanu valsts amatpersonu darbībā" 4. pantu ir noteiktas kā valsts amatpersonas, bet kuras nav civildienesta ierēdņi, jo valsts amatpersonas deklarāciju iesniegšanas pienākums attiecas uz visām likuma "Par interešu konflikta novēršanu valsts amatpersonu darbībā" 4. pantā noteiktajām valsts amatpersonām.</w:t>
            </w:r>
          </w:p>
          <w:p w14:paraId="6BF2B1CA" w14:textId="510A47A4" w:rsidR="007732D9" w:rsidRPr="004E4D81" w:rsidRDefault="00C74192" w:rsidP="00B123E7">
            <w:pPr>
              <w:ind w:left="112" w:right="195"/>
              <w:jc w:val="both"/>
            </w:pPr>
            <w:r w:rsidRPr="004E4D81">
              <w:t xml:space="preserve">Likumprojekts paredz Latvijas Administratīvo pārkāpumu kodeksa </w:t>
            </w:r>
            <w:r w:rsidRPr="004E4D81">
              <w:rPr>
                <w:color w:val="000000"/>
                <w:lang w:eastAsia="lv-LV"/>
              </w:rPr>
              <w:t>166.</w:t>
            </w:r>
            <w:r w:rsidRPr="004E4D81">
              <w:rPr>
                <w:color w:val="000000"/>
                <w:vertAlign w:val="superscript"/>
                <w:lang w:eastAsia="lv-LV"/>
              </w:rPr>
              <w:t>27</w:t>
            </w:r>
            <w:r w:rsidR="00B123E7" w:rsidRPr="004E4D81">
              <w:rPr>
                <w:color w:val="000000"/>
                <w:lang w:eastAsia="lv-LV"/>
              </w:rPr>
              <w:t> </w:t>
            </w:r>
            <w:r w:rsidRPr="004E4D81">
              <w:t xml:space="preserve">panta pirmās daļas dispozīciju atstāt nemainīgu, neierobežojot </w:t>
            </w:r>
            <w:r w:rsidR="00F77E0E" w:rsidRPr="004E4D81">
              <w:t xml:space="preserve">to </w:t>
            </w:r>
            <w:r w:rsidRPr="004E4D81">
              <w:t>ziņu loku, par kuru persona saucama pie administratīvās atbildības</w:t>
            </w:r>
            <w:r w:rsidR="007732D9" w:rsidRPr="004E4D81">
              <w:t xml:space="preserve">. </w:t>
            </w:r>
            <w:r w:rsidR="0017453B" w:rsidRPr="004E4D81">
              <w:t>Ievērojot panta pirmajā un otrajā daļā ietverto administratīvo pārkāpumu sastāvu atšķirības, n</w:t>
            </w:r>
            <w:r w:rsidR="0014419E" w:rsidRPr="004E4D81">
              <w:t xml:space="preserve">audas sods </w:t>
            </w:r>
            <w:r w:rsidR="0017453B" w:rsidRPr="004E4D81">
              <w:t xml:space="preserve">par </w:t>
            </w:r>
            <w:r w:rsidR="0014419E" w:rsidRPr="004E4D81">
              <w:t>panta pirmajā daļā</w:t>
            </w:r>
            <w:r w:rsidR="007732D9" w:rsidRPr="004E4D81">
              <w:t xml:space="preserve"> </w:t>
            </w:r>
            <w:r w:rsidR="0017453B" w:rsidRPr="004E4D81">
              <w:t>minēto pārkāpumu noteikts</w:t>
            </w:r>
            <w:r w:rsidR="007732D9" w:rsidRPr="004E4D81">
              <w:t xml:space="preserve"> 150</w:t>
            </w:r>
            <w:r w:rsidR="0017453B" w:rsidRPr="004E4D81">
              <w:t> </w:t>
            </w:r>
            <w:proofErr w:type="spellStart"/>
            <w:r w:rsidR="007732D9" w:rsidRPr="004E4D81">
              <w:rPr>
                <w:i/>
              </w:rPr>
              <w:t>euro</w:t>
            </w:r>
            <w:proofErr w:type="spellEnd"/>
            <w:r w:rsidR="007732D9" w:rsidRPr="004E4D81">
              <w:rPr>
                <w:i/>
              </w:rPr>
              <w:t xml:space="preserve"> </w:t>
            </w:r>
            <w:r w:rsidR="0017453B" w:rsidRPr="004E4D81">
              <w:t>apmērā</w:t>
            </w:r>
            <w:r w:rsidR="007732D9" w:rsidRPr="004E4D81">
              <w:t>.</w:t>
            </w:r>
          </w:p>
          <w:p w14:paraId="6BF2B1CB" w14:textId="2BE276A5" w:rsidR="007732D9" w:rsidRPr="004E4D81" w:rsidRDefault="007732D9" w:rsidP="00B123E7">
            <w:pPr>
              <w:ind w:left="112" w:right="195"/>
              <w:jc w:val="both"/>
            </w:pPr>
            <w:r w:rsidRPr="004E4D81">
              <w:t xml:space="preserve">Papildus Valsts ieņēmumu dienests sniedzis informāciju, ka administratīvo pārkāpumu lietās par Latvijas Administratīvo pārkāpumu kodeksa </w:t>
            </w:r>
            <w:r w:rsidRPr="004E4D81">
              <w:rPr>
                <w:color w:val="000000"/>
                <w:lang w:eastAsia="lv-LV"/>
              </w:rPr>
              <w:t>166.</w:t>
            </w:r>
            <w:r w:rsidRPr="004E4D81">
              <w:rPr>
                <w:color w:val="000000"/>
                <w:vertAlign w:val="superscript"/>
                <w:lang w:eastAsia="lv-LV"/>
              </w:rPr>
              <w:t>27</w:t>
            </w:r>
            <w:r w:rsidR="00B123E7" w:rsidRPr="004E4D81">
              <w:rPr>
                <w:color w:val="000000"/>
                <w:lang w:eastAsia="lv-LV"/>
              </w:rPr>
              <w:t> </w:t>
            </w:r>
            <w:r w:rsidRPr="004E4D81">
              <w:t>pantā noteikto līdz šim pārsvarā tiek piemērots naudas sods līdz 50 </w:t>
            </w:r>
            <w:proofErr w:type="spellStart"/>
            <w:r w:rsidRPr="004E4D81">
              <w:rPr>
                <w:i/>
              </w:rPr>
              <w:t>euro</w:t>
            </w:r>
            <w:proofErr w:type="spellEnd"/>
            <w:r w:rsidRPr="004E4D81">
              <w:t xml:space="preserve">. Retos gadījumos tiek </w:t>
            </w:r>
            <w:r w:rsidRPr="004E4D81">
              <w:lastRenderedPageBreak/>
              <w:t>piemērots naudas sods no 100 līdz 350</w:t>
            </w:r>
            <w:r w:rsidR="00B123E7" w:rsidRPr="004E4D81">
              <w:t> </w:t>
            </w:r>
            <w:proofErr w:type="spellStart"/>
            <w:r w:rsidRPr="004E4D81">
              <w:rPr>
                <w:i/>
              </w:rPr>
              <w:t>euro</w:t>
            </w:r>
            <w:proofErr w:type="spellEnd"/>
            <w:r w:rsidRPr="004E4D81">
              <w:rPr>
                <w:i/>
              </w:rPr>
              <w:t xml:space="preserve"> </w:t>
            </w:r>
            <w:r w:rsidRPr="004E4D81">
              <w:t>(2014.</w:t>
            </w:r>
            <w:r w:rsidR="00B123E7" w:rsidRPr="004E4D81">
              <w:t> </w:t>
            </w:r>
            <w:r w:rsidRPr="004E4D81">
              <w:t>g</w:t>
            </w:r>
            <w:r w:rsidR="00B123E7" w:rsidRPr="004E4D81">
              <w:t>.</w:t>
            </w:r>
            <w:r w:rsidRPr="004E4D81">
              <w:t xml:space="preserve"> – 10, 2015.</w:t>
            </w:r>
            <w:r w:rsidR="00B123E7" w:rsidRPr="004E4D81">
              <w:t> </w:t>
            </w:r>
            <w:r w:rsidRPr="004E4D81">
              <w:t>g</w:t>
            </w:r>
            <w:r w:rsidR="00B123E7" w:rsidRPr="004E4D81">
              <w:t>.</w:t>
            </w:r>
            <w:r w:rsidRPr="004E4D81">
              <w:t xml:space="preserve"> – 4, 2016.</w:t>
            </w:r>
            <w:r w:rsidR="00B123E7" w:rsidRPr="004E4D81">
              <w:t> </w:t>
            </w:r>
            <w:r w:rsidRPr="004E4D81">
              <w:t>g</w:t>
            </w:r>
            <w:r w:rsidR="00B123E7" w:rsidRPr="004E4D81">
              <w:t>. –</w:t>
            </w:r>
            <w:r w:rsidRPr="004E4D81">
              <w:t xml:space="preserve"> 3 personām).</w:t>
            </w:r>
          </w:p>
          <w:p w14:paraId="6BF2B1CC" w14:textId="214E9EE8" w:rsidR="007732D9" w:rsidRPr="004E4D81" w:rsidRDefault="007732D9" w:rsidP="00B123E7">
            <w:pPr>
              <w:ind w:left="112" w:right="195"/>
              <w:jc w:val="both"/>
            </w:pPr>
            <w:r w:rsidRPr="004E4D81">
              <w:t>P</w:t>
            </w:r>
            <w:r w:rsidR="00C74192" w:rsidRPr="004E4D81">
              <w:t xml:space="preserve">ants papildināts ar otro daļu, kas paredz administratīvo atbildību par nepatiesu ziņu norādīšanu valsts amatpersonas deklarācijā par valsts amatpersonas mantu, darījumiem, finanšu instrumentiem, parādsaistībām, aizdevumiem, skaidrās un bezskaidrās naudas uzkrājumiem vai citiem ienākumiem, kas pārsniedz 20 minimālās mēnešalgas, vai par valsts amatpersonas deklarācijas neiesniegšanu pēc tās valsts institūcijas brīdinājuma, kura ir tiesīga pieprasīt šādas deklarācijas iesniegšanu. Panta otrajā daļā noteiktais piemērojamā naudas soda maksimālais apmērs ir vienāds ar pašlaik spēkā esošās </w:t>
            </w:r>
            <w:r w:rsidR="00C74192" w:rsidRPr="004E4D81">
              <w:rPr>
                <w:color w:val="000000"/>
                <w:lang w:eastAsia="lv-LV"/>
              </w:rPr>
              <w:t>166.</w:t>
            </w:r>
            <w:r w:rsidR="00C74192" w:rsidRPr="004E4D81">
              <w:rPr>
                <w:color w:val="000000"/>
                <w:vertAlign w:val="superscript"/>
                <w:lang w:eastAsia="lv-LV"/>
              </w:rPr>
              <w:t>27</w:t>
            </w:r>
            <w:r w:rsidR="004E4D81" w:rsidRPr="004E4D81">
              <w:rPr>
                <w:color w:val="000000"/>
                <w:lang w:eastAsia="lv-LV"/>
              </w:rPr>
              <w:t> </w:t>
            </w:r>
            <w:r w:rsidR="00C74192" w:rsidRPr="004E4D81">
              <w:t xml:space="preserve">pantā noteiktās sankcijas apmēru, taču papildināts ar iespēju piemērot papildsodu </w:t>
            </w:r>
            <w:r w:rsidR="004E4D81" w:rsidRPr="004E4D81">
              <w:t>–</w:t>
            </w:r>
            <w:r w:rsidR="00C74192" w:rsidRPr="004E4D81">
              <w:t xml:space="preserve"> atņemt tiesības ieņemt valsts amatpersonas amatu vai bez tā. </w:t>
            </w:r>
          </w:p>
          <w:p w14:paraId="6BF2B1CD" w14:textId="1EAAFC86" w:rsidR="00B2536E" w:rsidRPr="004E4D81" w:rsidRDefault="00C74192" w:rsidP="00B123E7">
            <w:pPr>
              <w:pStyle w:val="ListParagraph"/>
              <w:ind w:left="112" w:right="195"/>
              <w:jc w:val="both"/>
              <w:rPr>
                <w:sz w:val="24"/>
                <w:szCs w:val="24"/>
                <w:lang w:val="lv-LV"/>
              </w:rPr>
            </w:pPr>
            <w:r w:rsidRPr="004E4D81">
              <w:rPr>
                <w:sz w:val="24"/>
                <w:szCs w:val="24"/>
                <w:lang w:val="lv-LV"/>
              </w:rPr>
              <w:t>Panta otrajā daļā minētie pārkāpumi nav savienojami ar Valsts pārvaldes iekārtas likuma 10.</w:t>
            </w:r>
            <w:r w:rsidR="004E4D81" w:rsidRPr="004E4D81">
              <w:rPr>
                <w:sz w:val="24"/>
                <w:szCs w:val="24"/>
                <w:lang w:val="lv-LV"/>
              </w:rPr>
              <w:t> </w:t>
            </w:r>
            <w:r w:rsidRPr="004E4D81">
              <w:rPr>
                <w:sz w:val="24"/>
                <w:szCs w:val="24"/>
                <w:lang w:val="lv-LV"/>
              </w:rPr>
              <w:t>panta ceturtajā daļā paredzēto amatpersonas pienākumu realizēt valsts pārvaldes funkcijas tikai sabiedrības interesēs. Paredzot iespēju piemērot šādu papildsodu, valsts pārvaldes interes</w:t>
            </w:r>
            <w:r w:rsidR="00B2536E" w:rsidRPr="004E4D81">
              <w:rPr>
                <w:sz w:val="24"/>
                <w:szCs w:val="24"/>
                <w:lang w:val="lv-LV"/>
              </w:rPr>
              <w:t>es tiktu pienācīgi aizsargātas.</w:t>
            </w:r>
          </w:p>
          <w:p w14:paraId="6BF2B1CE" w14:textId="77777777" w:rsidR="003B7D61" w:rsidRPr="004E4D81" w:rsidRDefault="003B7D61" w:rsidP="00B123E7">
            <w:pPr>
              <w:pStyle w:val="ListParagraph"/>
              <w:ind w:left="112" w:right="195"/>
              <w:jc w:val="both"/>
              <w:rPr>
                <w:rFonts w:cs="Times New Roman"/>
                <w:sz w:val="24"/>
                <w:szCs w:val="24"/>
                <w:lang w:val="lv-LV"/>
              </w:rPr>
            </w:pPr>
            <w:r w:rsidRPr="004E4D81">
              <w:rPr>
                <w:rFonts w:cs="Times New Roman"/>
                <w:sz w:val="24"/>
                <w:szCs w:val="24"/>
                <w:lang w:val="lv-LV"/>
              </w:rPr>
              <w:t>Likumprojekts ir izstrādāts, lai Administratīvo pārkāpumu kodeksā</w:t>
            </w:r>
            <w:r w:rsidR="007732D9" w:rsidRPr="004E4D81">
              <w:rPr>
                <w:rFonts w:cs="Times New Roman"/>
                <w:sz w:val="24"/>
                <w:szCs w:val="24"/>
                <w:lang w:val="lv-LV"/>
              </w:rPr>
              <w:t xml:space="preserve"> </w:t>
            </w:r>
            <w:r w:rsidR="00C74192" w:rsidRPr="004E4D81">
              <w:rPr>
                <w:rFonts w:cs="Times New Roman"/>
                <w:sz w:val="24"/>
                <w:szCs w:val="24"/>
                <w:lang w:val="lv-LV"/>
              </w:rPr>
              <w:t>noteiktu iespēju plašāk piemērot administratīvo papildsodu – liegumu ieņemt valsts amatpersonas amatus – par pārkāpumiem korupcijas novēršanas jomā:</w:t>
            </w:r>
          </w:p>
          <w:p w14:paraId="6BF2B1CF" w14:textId="77777777" w:rsidR="003B7D61" w:rsidRPr="004E4D81" w:rsidRDefault="003B7D61" w:rsidP="004E4D81">
            <w:pPr>
              <w:pStyle w:val="ListParagraph"/>
              <w:numPr>
                <w:ilvl w:val="0"/>
                <w:numId w:val="3"/>
              </w:numPr>
              <w:ind w:left="395" w:right="195" w:hanging="283"/>
              <w:jc w:val="both"/>
              <w:rPr>
                <w:sz w:val="24"/>
                <w:szCs w:val="24"/>
              </w:rPr>
            </w:pPr>
            <w:r w:rsidRPr="004E4D81">
              <w:rPr>
                <w:sz w:val="24"/>
                <w:szCs w:val="24"/>
              </w:rPr>
              <w:t>valsts civildienesta ierēdņiem;</w:t>
            </w:r>
          </w:p>
          <w:p w14:paraId="6BF2B1D0" w14:textId="77777777" w:rsidR="003B7D61" w:rsidRPr="004E4D81" w:rsidRDefault="003B7D61" w:rsidP="004E4D81">
            <w:pPr>
              <w:pStyle w:val="ListParagraph"/>
              <w:numPr>
                <w:ilvl w:val="0"/>
                <w:numId w:val="3"/>
              </w:numPr>
              <w:ind w:left="395" w:right="195" w:hanging="283"/>
              <w:jc w:val="both"/>
              <w:rPr>
                <w:sz w:val="24"/>
                <w:szCs w:val="24"/>
              </w:rPr>
            </w:pPr>
            <w:r w:rsidRPr="004E4D81">
              <w:rPr>
                <w:sz w:val="24"/>
                <w:szCs w:val="24"/>
              </w:rPr>
              <w:t>personām, kuras ir darba tiesiskajās attiecībās, bet pienākumus veic valsts amatpersonas statusā;</w:t>
            </w:r>
          </w:p>
          <w:p w14:paraId="6BF2B1D1" w14:textId="59BDF02E" w:rsidR="003B7D61" w:rsidRPr="004E4D81" w:rsidRDefault="003B7D61" w:rsidP="004E4D81">
            <w:pPr>
              <w:pStyle w:val="ListParagraph"/>
              <w:numPr>
                <w:ilvl w:val="0"/>
                <w:numId w:val="3"/>
              </w:numPr>
              <w:ind w:left="395" w:right="195" w:hanging="283"/>
              <w:jc w:val="both"/>
              <w:rPr>
                <w:sz w:val="24"/>
                <w:szCs w:val="24"/>
              </w:rPr>
            </w:pPr>
            <w:proofErr w:type="gramStart"/>
            <w:r w:rsidRPr="004E4D81">
              <w:rPr>
                <w:sz w:val="24"/>
                <w:szCs w:val="24"/>
              </w:rPr>
              <w:t>personām</w:t>
            </w:r>
            <w:proofErr w:type="gramEnd"/>
            <w:r w:rsidRPr="004E4D81">
              <w:rPr>
                <w:sz w:val="24"/>
                <w:szCs w:val="24"/>
              </w:rPr>
              <w:t>, kuras saskaņā ar likuma "Par interešu konflikta novēršanu valsts amatpersonu darbībā" 4. </w:t>
            </w:r>
            <w:proofErr w:type="spellStart"/>
            <w:r w:rsidRPr="004E4D81">
              <w:rPr>
                <w:sz w:val="24"/>
                <w:szCs w:val="24"/>
              </w:rPr>
              <w:t>panta</w:t>
            </w:r>
            <w:proofErr w:type="spellEnd"/>
            <w:r w:rsidRPr="004E4D81">
              <w:rPr>
                <w:sz w:val="24"/>
                <w:szCs w:val="24"/>
              </w:rPr>
              <w:t xml:space="preserve"> </w:t>
            </w:r>
            <w:proofErr w:type="spellStart"/>
            <w:r w:rsidRPr="004E4D81">
              <w:rPr>
                <w:sz w:val="24"/>
                <w:szCs w:val="24"/>
              </w:rPr>
              <w:t>prasībām</w:t>
            </w:r>
            <w:proofErr w:type="spellEnd"/>
            <w:r w:rsidRPr="004E4D81">
              <w:rPr>
                <w:sz w:val="24"/>
                <w:szCs w:val="24"/>
              </w:rPr>
              <w:t xml:space="preserve"> </w:t>
            </w:r>
            <w:proofErr w:type="spellStart"/>
            <w:r w:rsidRPr="004E4D81">
              <w:rPr>
                <w:sz w:val="24"/>
                <w:szCs w:val="24"/>
              </w:rPr>
              <w:t>ir</w:t>
            </w:r>
            <w:proofErr w:type="spellEnd"/>
            <w:r w:rsidRPr="004E4D81">
              <w:rPr>
                <w:sz w:val="24"/>
                <w:szCs w:val="24"/>
              </w:rPr>
              <w:t xml:space="preserve"> </w:t>
            </w:r>
            <w:proofErr w:type="spellStart"/>
            <w:r w:rsidRPr="004E4D81">
              <w:rPr>
                <w:sz w:val="24"/>
                <w:szCs w:val="24"/>
              </w:rPr>
              <w:t>valsts</w:t>
            </w:r>
            <w:proofErr w:type="spellEnd"/>
            <w:r w:rsidRPr="004E4D81">
              <w:rPr>
                <w:sz w:val="24"/>
                <w:szCs w:val="24"/>
              </w:rPr>
              <w:t xml:space="preserve"> </w:t>
            </w:r>
            <w:proofErr w:type="spellStart"/>
            <w:r w:rsidRPr="004E4D81">
              <w:rPr>
                <w:sz w:val="24"/>
                <w:szCs w:val="24"/>
              </w:rPr>
              <w:t>amatpersonas</w:t>
            </w:r>
            <w:proofErr w:type="spellEnd"/>
            <w:r w:rsidRPr="004E4D81">
              <w:rPr>
                <w:sz w:val="24"/>
                <w:szCs w:val="24"/>
              </w:rPr>
              <w:t xml:space="preserve">, bet </w:t>
            </w:r>
            <w:proofErr w:type="spellStart"/>
            <w:r w:rsidRPr="004E4D81">
              <w:rPr>
                <w:sz w:val="24"/>
                <w:szCs w:val="24"/>
              </w:rPr>
              <w:t>kuras</w:t>
            </w:r>
            <w:proofErr w:type="spellEnd"/>
            <w:r w:rsidRPr="004E4D81">
              <w:rPr>
                <w:sz w:val="24"/>
                <w:szCs w:val="24"/>
              </w:rPr>
              <w:t xml:space="preserve"> </w:t>
            </w:r>
            <w:proofErr w:type="spellStart"/>
            <w:r w:rsidRPr="004E4D81">
              <w:rPr>
                <w:sz w:val="24"/>
                <w:szCs w:val="24"/>
              </w:rPr>
              <w:t>nav</w:t>
            </w:r>
            <w:proofErr w:type="spellEnd"/>
            <w:r w:rsidRPr="004E4D81">
              <w:rPr>
                <w:sz w:val="24"/>
                <w:szCs w:val="24"/>
              </w:rPr>
              <w:t xml:space="preserve"> </w:t>
            </w:r>
            <w:proofErr w:type="spellStart"/>
            <w:r w:rsidRPr="004E4D81">
              <w:rPr>
                <w:sz w:val="24"/>
                <w:szCs w:val="24"/>
              </w:rPr>
              <w:t>civildienesta</w:t>
            </w:r>
            <w:proofErr w:type="spellEnd"/>
            <w:r w:rsidRPr="004E4D81">
              <w:rPr>
                <w:sz w:val="24"/>
                <w:szCs w:val="24"/>
              </w:rPr>
              <w:t xml:space="preserve"> </w:t>
            </w:r>
            <w:proofErr w:type="spellStart"/>
            <w:r w:rsidRPr="004E4D81">
              <w:rPr>
                <w:sz w:val="24"/>
                <w:szCs w:val="24"/>
              </w:rPr>
              <w:t>ierēdņi</w:t>
            </w:r>
            <w:proofErr w:type="spellEnd"/>
          </w:p>
        </w:tc>
      </w:tr>
      <w:tr w:rsidR="003B7D61" w:rsidRPr="004E4D81" w14:paraId="6BF2B1D8" w14:textId="77777777" w:rsidTr="00B123E7">
        <w:tc>
          <w:tcPr>
            <w:tcW w:w="456" w:type="dxa"/>
            <w:tcBorders>
              <w:top w:val="outset" w:sz="6" w:space="0" w:color="000000"/>
              <w:bottom w:val="outset" w:sz="6" w:space="0" w:color="000000"/>
              <w:right w:val="outset" w:sz="6" w:space="0" w:color="000000"/>
            </w:tcBorders>
          </w:tcPr>
          <w:p w14:paraId="6BF2B1D3" w14:textId="77777777" w:rsidR="003B7D61" w:rsidRPr="004E4D81" w:rsidRDefault="003B7D61" w:rsidP="00F907E0">
            <w:r w:rsidRPr="004E4D81">
              <w:lastRenderedPageBreak/>
              <w:t>3.</w:t>
            </w:r>
          </w:p>
        </w:tc>
        <w:tc>
          <w:tcPr>
            <w:tcW w:w="2126" w:type="dxa"/>
            <w:tcBorders>
              <w:top w:val="outset" w:sz="6" w:space="0" w:color="000000"/>
              <w:left w:val="outset" w:sz="6" w:space="0" w:color="000000"/>
              <w:bottom w:val="outset" w:sz="6" w:space="0" w:color="000000"/>
              <w:right w:val="outset" w:sz="6" w:space="0" w:color="000000"/>
            </w:tcBorders>
          </w:tcPr>
          <w:p w14:paraId="6BF2B1D4" w14:textId="77777777" w:rsidR="003B7D61" w:rsidRPr="004E4D81" w:rsidRDefault="003B7D61" w:rsidP="00F907E0">
            <w:r w:rsidRPr="004E4D81">
              <w:t>Projekta izstrādē iesaistītās institūcijas</w:t>
            </w:r>
          </w:p>
        </w:tc>
        <w:tc>
          <w:tcPr>
            <w:tcW w:w="6604" w:type="dxa"/>
            <w:tcBorders>
              <w:top w:val="outset" w:sz="6" w:space="0" w:color="000000"/>
              <w:left w:val="outset" w:sz="6" w:space="0" w:color="000000"/>
              <w:bottom w:val="outset" w:sz="6" w:space="0" w:color="000000"/>
            </w:tcBorders>
          </w:tcPr>
          <w:p w14:paraId="6BF2B1D5" w14:textId="14AB2508" w:rsidR="003B7D61" w:rsidRPr="004E4D81" w:rsidRDefault="003B7D61" w:rsidP="004E4D81">
            <w:pPr>
              <w:numPr>
                <w:ilvl w:val="0"/>
                <w:numId w:val="1"/>
              </w:numPr>
              <w:tabs>
                <w:tab w:val="clear" w:pos="720"/>
                <w:tab w:val="num" w:pos="-28"/>
              </w:tabs>
              <w:ind w:left="0"/>
              <w:jc w:val="both"/>
              <w:outlineLvl w:val="3"/>
            </w:pPr>
            <w:r w:rsidRPr="004E4D81">
              <w:rPr>
                <w:lang w:eastAsia="lv-LV"/>
              </w:rPr>
              <w:t>Valsts kanceleja, Finanšu ministrija</w:t>
            </w:r>
            <w:r w:rsidR="004E4D81" w:rsidRPr="004E4D81">
              <w:rPr>
                <w:lang w:eastAsia="lv-LV"/>
              </w:rPr>
              <w:t xml:space="preserve"> un</w:t>
            </w:r>
            <w:r w:rsidRPr="004E4D81">
              <w:rPr>
                <w:lang w:eastAsia="lv-LV"/>
              </w:rPr>
              <w:t xml:space="preserve"> Tieslietu ministrija.</w:t>
            </w:r>
          </w:p>
          <w:p w14:paraId="6BF2B1D6" w14:textId="77777777" w:rsidR="00553511" w:rsidRPr="004E4D81" w:rsidRDefault="00553511" w:rsidP="004E4D81">
            <w:pPr>
              <w:jc w:val="both"/>
              <w:outlineLvl w:val="3"/>
              <w:rPr>
                <w:lang w:eastAsia="lv-LV"/>
              </w:rPr>
            </w:pPr>
          </w:p>
          <w:p w14:paraId="6BF2B1D7" w14:textId="1920ABEF" w:rsidR="007732D9" w:rsidRPr="004E4D81" w:rsidRDefault="007732D9" w:rsidP="004E4D81">
            <w:pPr>
              <w:jc w:val="both"/>
              <w:outlineLvl w:val="3"/>
              <w:rPr>
                <w:lang w:eastAsia="lv-LV"/>
              </w:rPr>
            </w:pPr>
            <w:r w:rsidRPr="004E4D81">
              <w:t>Tieslietu ministrijas Latvijas Administratīvo pārkāpumu kodeksa pastāvīgā darba grupa izskatīja likumprojektu 2016.</w:t>
            </w:r>
            <w:r w:rsidR="004E4D81" w:rsidRPr="004E4D81">
              <w:t> </w:t>
            </w:r>
            <w:r w:rsidRPr="004E4D81">
              <w:t>gada 8.</w:t>
            </w:r>
            <w:r w:rsidR="004E4D81" w:rsidRPr="004E4D81">
              <w:t> </w:t>
            </w:r>
            <w:r w:rsidRPr="004E4D81">
              <w:t>septembra sēdē (prot.</w:t>
            </w:r>
            <w:r w:rsidR="004E4D81">
              <w:t> </w:t>
            </w:r>
            <w:r w:rsidRPr="004E4D81">
              <w:t>Nr.</w:t>
            </w:r>
            <w:r w:rsidR="004E4D81">
              <w:t> </w:t>
            </w:r>
            <w:r w:rsidRPr="004E4D81">
              <w:t xml:space="preserve">33-6.1/43) </w:t>
            </w:r>
            <w:r w:rsidR="004E4D81" w:rsidRPr="004E4D81">
              <w:t>un atbalstīja tā tālāku virzību</w:t>
            </w:r>
          </w:p>
        </w:tc>
      </w:tr>
      <w:tr w:rsidR="003B7D61" w:rsidRPr="004E4D81" w14:paraId="6BF2B1DC" w14:textId="77777777" w:rsidTr="00B123E7">
        <w:tc>
          <w:tcPr>
            <w:tcW w:w="456" w:type="dxa"/>
            <w:tcBorders>
              <w:top w:val="outset" w:sz="6" w:space="0" w:color="000000"/>
              <w:bottom w:val="outset" w:sz="6" w:space="0" w:color="000000"/>
              <w:right w:val="outset" w:sz="6" w:space="0" w:color="000000"/>
            </w:tcBorders>
          </w:tcPr>
          <w:p w14:paraId="6BF2B1D9" w14:textId="77777777" w:rsidR="003B7D61" w:rsidRPr="004E4D81" w:rsidRDefault="003B7D61" w:rsidP="00F907E0">
            <w:r w:rsidRPr="004E4D81">
              <w:t>4.</w:t>
            </w:r>
          </w:p>
        </w:tc>
        <w:tc>
          <w:tcPr>
            <w:tcW w:w="2126" w:type="dxa"/>
            <w:tcBorders>
              <w:top w:val="outset" w:sz="6" w:space="0" w:color="000000"/>
              <w:left w:val="outset" w:sz="6" w:space="0" w:color="000000"/>
              <w:bottom w:val="outset" w:sz="6" w:space="0" w:color="000000"/>
              <w:right w:val="outset" w:sz="6" w:space="0" w:color="000000"/>
            </w:tcBorders>
          </w:tcPr>
          <w:p w14:paraId="6BF2B1DA" w14:textId="77777777" w:rsidR="003B7D61" w:rsidRPr="004E4D81" w:rsidRDefault="003B7D61" w:rsidP="00F907E0">
            <w:r w:rsidRPr="004E4D81">
              <w:t>Cita informācija</w:t>
            </w:r>
          </w:p>
        </w:tc>
        <w:tc>
          <w:tcPr>
            <w:tcW w:w="6604" w:type="dxa"/>
            <w:tcBorders>
              <w:top w:val="outset" w:sz="6" w:space="0" w:color="000000"/>
              <w:left w:val="outset" w:sz="6" w:space="0" w:color="000000"/>
              <w:bottom w:val="outset" w:sz="6" w:space="0" w:color="000000"/>
            </w:tcBorders>
          </w:tcPr>
          <w:p w14:paraId="6BF2B1DB" w14:textId="77777777" w:rsidR="003B7D61" w:rsidRPr="004E4D81" w:rsidRDefault="007732D9" w:rsidP="007732D9">
            <w:pPr>
              <w:jc w:val="both"/>
            </w:pPr>
            <w:r w:rsidRPr="004E4D81">
              <w:t xml:space="preserve">Nav </w:t>
            </w:r>
          </w:p>
        </w:tc>
      </w:tr>
    </w:tbl>
    <w:p w14:paraId="6BF2B1DD" w14:textId="77777777" w:rsidR="003B7D61" w:rsidRPr="004E4D81" w:rsidRDefault="003B7D61" w:rsidP="003B7D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3B7D61" w:rsidRPr="004E4D81" w14:paraId="6BF2B1DF" w14:textId="77777777" w:rsidTr="00F907E0">
        <w:tc>
          <w:tcPr>
            <w:tcW w:w="0" w:type="auto"/>
            <w:hideMark/>
          </w:tcPr>
          <w:p w14:paraId="6BF2B1DE" w14:textId="77777777" w:rsidR="003B7D61" w:rsidRPr="004E4D81" w:rsidRDefault="003B7D61" w:rsidP="00F907E0">
            <w:pPr>
              <w:jc w:val="center"/>
              <w:rPr>
                <w:b/>
                <w:lang w:eastAsia="lv-LV"/>
              </w:rPr>
            </w:pPr>
            <w:r w:rsidRPr="004E4D81">
              <w:rPr>
                <w:lang w:eastAsia="lv-LV"/>
              </w:rPr>
              <w:t> </w:t>
            </w:r>
            <w:r w:rsidRPr="004E4D81">
              <w:rPr>
                <w:b/>
                <w:lang w:eastAsia="lv-LV"/>
              </w:rPr>
              <w:t xml:space="preserve">II. Tiesību akta projekta ietekme uz sabiedrību, </w:t>
            </w:r>
            <w:r w:rsidRPr="004E4D81">
              <w:rPr>
                <w:b/>
                <w:bCs/>
                <w:lang w:eastAsia="lv-LV"/>
              </w:rPr>
              <w:t>tautsaimniecības attīstību un administratīvo slogu</w:t>
            </w:r>
          </w:p>
        </w:tc>
      </w:tr>
      <w:tr w:rsidR="003B7D61" w:rsidRPr="004E4D81" w14:paraId="6BF2B1E1" w14:textId="77777777" w:rsidTr="00F907E0">
        <w:tc>
          <w:tcPr>
            <w:tcW w:w="0" w:type="auto"/>
          </w:tcPr>
          <w:p w14:paraId="6BF2B1E0" w14:textId="77777777" w:rsidR="003B7D61" w:rsidRPr="004E4D81" w:rsidRDefault="003B7D61" w:rsidP="00F907E0">
            <w:pPr>
              <w:jc w:val="center"/>
              <w:rPr>
                <w:lang w:eastAsia="lv-LV"/>
              </w:rPr>
            </w:pPr>
            <w:r w:rsidRPr="004E4D81">
              <w:t>Projekts šo jomu neskar</w:t>
            </w:r>
          </w:p>
        </w:tc>
      </w:tr>
    </w:tbl>
    <w:p w14:paraId="6BF2B1E2" w14:textId="77777777" w:rsidR="003B7D61" w:rsidRPr="004E4D81" w:rsidRDefault="003B7D61" w:rsidP="003B7D61"/>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B7D61" w:rsidRPr="004E4D81" w14:paraId="6BF2B1E4" w14:textId="77777777" w:rsidTr="00F907E0">
        <w:tc>
          <w:tcPr>
            <w:tcW w:w="9322" w:type="dxa"/>
            <w:hideMark/>
          </w:tcPr>
          <w:p w14:paraId="6BF2B1E3" w14:textId="77777777" w:rsidR="003B7D61" w:rsidRPr="004E4D81" w:rsidRDefault="003B7D61" w:rsidP="00F907E0">
            <w:pPr>
              <w:jc w:val="center"/>
              <w:rPr>
                <w:b/>
                <w:lang w:eastAsia="lv-LV"/>
              </w:rPr>
            </w:pPr>
            <w:r w:rsidRPr="004E4D81">
              <w:rPr>
                <w:b/>
                <w:bCs/>
                <w:lang w:eastAsia="lv-LV"/>
              </w:rPr>
              <w:t>III. Tiesību akta projekta ietekme uz valsts budžetu un pašvaldību budžetiem</w:t>
            </w:r>
          </w:p>
        </w:tc>
      </w:tr>
      <w:tr w:rsidR="003B7D61" w:rsidRPr="004E4D81" w14:paraId="6BF2B1E6" w14:textId="77777777" w:rsidTr="00F907E0">
        <w:tc>
          <w:tcPr>
            <w:tcW w:w="9322" w:type="dxa"/>
          </w:tcPr>
          <w:p w14:paraId="6BF2B1E5" w14:textId="77777777" w:rsidR="003B7D61" w:rsidRPr="004E4D81" w:rsidRDefault="003B7D61" w:rsidP="00F907E0">
            <w:pPr>
              <w:jc w:val="center"/>
              <w:rPr>
                <w:b/>
                <w:bCs/>
                <w:lang w:eastAsia="lv-LV"/>
              </w:rPr>
            </w:pPr>
            <w:r w:rsidRPr="004E4D81">
              <w:t>Projekts šo jomu neskar</w:t>
            </w:r>
          </w:p>
        </w:tc>
      </w:tr>
    </w:tbl>
    <w:p w14:paraId="6BF2B1E8" w14:textId="0FD0D667" w:rsidR="003B7D61" w:rsidRPr="004E4D81" w:rsidRDefault="003B7D61" w:rsidP="003B7D61">
      <w:r w:rsidRPr="004E4D81">
        <w:t xml:space="preserve"> </w:t>
      </w:r>
    </w:p>
    <w:tbl>
      <w:tblPr>
        <w:tblW w:w="9357" w:type="dxa"/>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2977"/>
        <w:gridCol w:w="5954"/>
      </w:tblGrid>
      <w:tr w:rsidR="003B7D61" w:rsidRPr="004E4D81" w14:paraId="6BF2B1EA" w14:textId="77777777" w:rsidTr="00F907E0">
        <w:trPr>
          <w:trHeight w:val="239"/>
        </w:trPr>
        <w:tc>
          <w:tcPr>
            <w:tcW w:w="9357" w:type="dxa"/>
            <w:gridSpan w:val="3"/>
            <w:tcBorders>
              <w:top w:val="outset" w:sz="6" w:space="0" w:color="auto"/>
              <w:left w:val="outset" w:sz="6" w:space="0" w:color="auto"/>
              <w:bottom w:val="outset" w:sz="6" w:space="0" w:color="auto"/>
              <w:right w:val="outset" w:sz="6" w:space="0" w:color="auto"/>
            </w:tcBorders>
          </w:tcPr>
          <w:p w14:paraId="6BF2B1E9" w14:textId="77777777" w:rsidR="003B7D61" w:rsidRPr="004E4D81" w:rsidRDefault="003B7D61" w:rsidP="00F907E0">
            <w:pPr>
              <w:jc w:val="center"/>
              <w:rPr>
                <w:rFonts w:eastAsia="Times New Roman"/>
                <w:b/>
                <w:bCs/>
                <w:lang w:eastAsia="lv-LV"/>
              </w:rPr>
            </w:pPr>
            <w:r w:rsidRPr="004E4D81">
              <w:rPr>
                <w:rFonts w:eastAsia="Times New Roman"/>
                <w:b/>
                <w:bCs/>
                <w:lang w:eastAsia="lv-LV"/>
              </w:rPr>
              <w:t xml:space="preserve">IV. </w:t>
            </w:r>
            <w:r w:rsidRPr="004E4D81">
              <w:rPr>
                <w:rFonts w:eastAsia="Times New Roman"/>
                <w:b/>
                <w:color w:val="000000"/>
                <w:lang w:eastAsia="lv-LV"/>
              </w:rPr>
              <w:t>Tiesību akta projekta ietekme uz spēkā esošo tiesību normu sistēmu</w:t>
            </w:r>
          </w:p>
        </w:tc>
      </w:tr>
      <w:tr w:rsidR="003B7D61" w:rsidRPr="004E4D81" w14:paraId="6BF2B1EE" w14:textId="77777777" w:rsidTr="00F907E0">
        <w:tc>
          <w:tcPr>
            <w:tcW w:w="426" w:type="dxa"/>
            <w:tcBorders>
              <w:top w:val="outset" w:sz="6" w:space="0" w:color="auto"/>
              <w:left w:val="outset" w:sz="6" w:space="0" w:color="auto"/>
              <w:bottom w:val="outset" w:sz="6" w:space="0" w:color="auto"/>
              <w:right w:val="outset" w:sz="6" w:space="0" w:color="auto"/>
            </w:tcBorders>
          </w:tcPr>
          <w:p w14:paraId="6BF2B1EB"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1.</w:t>
            </w:r>
          </w:p>
        </w:tc>
        <w:tc>
          <w:tcPr>
            <w:tcW w:w="2977" w:type="dxa"/>
            <w:tcBorders>
              <w:top w:val="outset" w:sz="6" w:space="0" w:color="auto"/>
              <w:left w:val="outset" w:sz="6" w:space="0" w:color="auto"/>
              <w:bottom w:val="outset" w:sz="6" w:space="0" w:color="auto"/>
              <w:right w:val="outset" w:sz="6" w:space="0" w:color="auto"/>
            </w:tcBorders>
          </w:tcPr>
          <w:p w14:paraId="6BF2B1EC" w14:textId="77777777" w:rsidR="003B7D61" w:rsidRPr="004E4D81" w:rsidRDefault="003B7D61" w:rsidP="00F907E0">
            <w:pPr>
              <w:spacing w:before="100" w:beforeAutospacing="1" w:after="100" w:afterAutospacing="1"/>
              <w:rPr>
                <w:rFonts w:eastAsia="Times New Roman"/>
                <w:color w:val="000000"/>
                <w:lang w:eastAsia="lv-LV"/>
              </w:rPr>
            </w:pPr>
            <w:r w:rsidRPr="004E4D81">
              <w:rPr>
                <w:rFonts w:eastAsia="Times New Roman"/>
                <w:color w:val="000000"/>
                <w:lang w:eastAsia="lv-LV"/>
              </w:rPr>
              <w:t> Nepieciešamie saistītie tiesību aktu projekti</w:t>
            </w:r>
          </w:p>
        </w:tc>
        <w:tc>
          <w:tcPr>
            <w:tcW w:w="5954" w:type="dxa"/>
            <w:tcBorders>
              <w:top w:val="outset" w:sz="6" w:space="0" w:color="auto"/>
              <w:left w:val="outset" w:sz="6" w:space="0" w:color="auto"/>
              <w:bottom w:val="outset" w:sz="6" w:space="0" w:color="auto"/>
              <w:right w:val="outset" w:sz="6" w:space="0" w:color="auto"/>
            </w:tcBorders>
          </w:tcPr>
          <w:p w14:paraId="6BF2B1ED" w14:textId="77777777" w:rsidR="003B7D61" w:rsidRPr="004E4D81" w:rsidRDefault="003B7D61" w:rsidP="00F907E0">
            <w:pPr>
              <w:jc w:val="both"/>
              <w:rPr>
                <w:rFonts w:eastAsia="Times New Roman"/>
                <w:color w:val="000000"/>
                <w:lang w:eastAsia="lv-LV"/>
              </w:rPr>
            </w:pPr>
            <w:r w:rsidRPr="004E4D81">
              <w:rPr>
                <w:rFonts w:eastAsia="Times New Roman"/>
                <w:color w:val="000000"/>
                <w:lang w:eastAsia="lv-LV"/>
              </w:rPr>
              <w:t>Nav</w:t>
            </w:r>
          </w:p>
        </w:tc>
      </w:tr>
      <w:tr w:rsidR="003B7D61" w:rsidRPr="004E4D81" w14:paraId="6BF2B1F2" w14:textId="77777777" w:rsidTr="00F907E0">
        <w:tc>
          <w:tcPr>
            <w:tcW w:w="426" w:type="dxa"/>
            <w:tcBorders>
              <w:top w:val="outset" w:sz="6" w:space="0" w:color="auto"/>
              <w:left w:val="outset" w:sz="6" w:space="0" w:color="auto"/>
              <w:bottom w:val="outset" w:sz="6" w:space="0" w:color="auto"/>
              <w:right w:val="outset" w:sz="6" w:space="0" w:color="auto"/>
            </w:tcBorders>
          </w:tcPr>
          <w:p w14:paraId="6BF2B1EF"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2.</w:t>
            </w:r>
          </w:p>
        </w:tc>
        <w:tc>
          <w:tcPr>
            <w:tcW w:w="2977" w:type="dxa"/>
            <w:tcBorders>
              <w:top w:val="outset" w:sz="6" w:space="0" w:color="auto"/>
              <w:left w:val="outset" w:sz="6" w:space="0" w:color="auto"/>
              <w:bottom w:val="outset" w:sz="6" w:space="0" w:color="auto"/>
              <w:right w:val="outset" w:sz="6" w:space="0" w:color="auto"/>
            </w:tcBorders>
          </w:tcPr>
          <w:p w14:paraId="6BF2B1F0" w14:textId="77777777" w:rsidR="003B7D61" w:rsidRPr="004E4D81" w:rsidRDefault="003B7D61" w:rsidP="00F907E0">
            <w:pPr>
              <w:rPr>
                <w:rFonts w:eastAsia="Times New Roman"/>
                <w:lang w:eastAsia="lv-LV"/>
              </w:rPr>
            </w:pPr>
            <w:r w:rsidRPr="004E4D81">
              <w:rPr>
                <w:rFonts w:eastAsia="Times New Roman"/>
                <w:lang w:eastAsia="lv-LV"/>
              </w:rPr>
              <w:t xml:space="preserve">Atbildīgā institūcija </w:t>
            </w:r>
          </w:p>
        </w:tc>
        <w:tc>
          <w:tcPr>
            <w:tcW w:w="5954" w:type="dxa"/>
            <w:tcBorders>
              <w:top w:val="outset" w:sz="6" w:space="0" w:color="auto"/>
              <w:left w:val="outset" w:sz="6" w:space="0" w:color="auto"/>
              <w:bottom w:val="outset" w:sz="6" w:space="0" w:color="auto"/>
              <w:right w:val="outset" w:sz="6" w:space="0" w:color="auto"/>
            </w:tcBorders>
          </w:tcPr>
          <w:p w14:paraId="6BF2B1F1" w14:textId="77777777" w:rsidR="003B7D61" w:rsidRPr="004E4D81" w:rsidRDefault="003B7D61" w:rsidP="00F907E0">
            <w:pPr>
              <w:jc w:val="both"/>
              <w:rPr>
                <w:rFonts w:eastAsia="Times New Roman"/>
                <w:highlight w:val="yellow"/>
                <w:lang w:eastAsia="lv-LV"/>
              </w:rPr>
            </w:pPr>
            <w:r w:rsidRPr="004E4D81">
              <w:rPr>
                <w:rFonts w:eastAsia="Times New Roman"/>
                <w:lang w:eastAsia="lv-LV"/>
              </w:rPr>
              <w:t>Nav</w:t>
            </w:r>
          </w:p>
        </w:tc>
      </w:tr>
      <w:tr w:rsidR="003B7D61" w:rsidRPr="004E4D81" w14:paraId="6BF2B1F6" w14:textId="77777777" w:rsidTr="00F907E0">
        <w:tc>
          <w:tcPr>
            <w:tcW w:w="426" w:type="dxa"/>
            <w:tcBorders>
              <w:top w:val="outset" w:sz="6" w:space="0" w:color="auto"/>
              <w:left w:val="outset" w:sz="6" w:space="0" w:color="auto"/>
              <w:bottom w:val="outset" w:sz="6" w:space="0" w:color="auto"/>
              <w:right w:val="outset" w:sz="6" w:space="0" w:color="auto"/>
            </w:tcBorders>
          </w:tcPr>
          <w:p w14:paraId="6BF2B1F3" w14:textId="38099F67" w:rsidR="003B7D61" w:rsidRPr="004E4D81" w:rsidRDefault="00381F26" w:rsidP="00F907E0">
            <w:pPr>
              <w:spacing w:before="100" w:beforeAutospacing="1" w:after="100" w:afterAutospacing="1"/>
              <w:rPr>
                <w:rFonts w:eastAsia="Times New Roman"/>
                <w:lang w:eastAsia="lv-LV"/>
              </w:rPr>
            </w:pPr>
            <w:r>
              <w:rPr>
                <w:rFonts w:eastAsia="Times New Roman"/>
                <w:lang w:eastAsia="lv-LV"/>
              </w:rPr>
              <w:lastRenderedPageBreak/>
              <w:t>3</w:t>
            </w:r>
            <w:r w:rsidR="003B7D61" w:rsidRPr="004E4D81">
              <w:rPr>
                <w:rFonts w:eastAsia="Times New Roman"/>
                <w:lang w:eastAsia="lv-LV"/>
              </w:rPr>
              <w:t>.</w:t>
            </w:r>
          </w:p>
        </w:tc>
        <w:tc>
          <w:tcPr>
            <w:tcW w:w="2977" w:type="dxa"/>
            <w:tcBorders>
              <w:top w:val="outset" w:sz="6" w:space="0" w:color="auto"/>
              <w:left w:val="outset" w:sz="6" w:space="0" w:color="auto"/>
              <w:bottom w:val="outset" w:sz="6" w:space="0" w:color="auto"/>
              <w:right w:val="outset" w:sz="6" w:space="0" w:color="auto"/>
            </w:tcBorders>
          </w:tcPr>
          <w:p w14:paraId="6BF2B1F4"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Cita informācija</w:t>
            </w:r>
          </w:p>
        </w:tc>
        <w:tc>
          <w:tcPr>
            <w:tcW w:w="5954" w:type="dxa"/>
            <w:tcBorders>
              <w:top w:val="outset" w:sz="6" w:space="0" w:color="auto"/>
              <w:left w:val="outset" w:sz="6" w:space="0" w:color="auto"/>
              <w:bottom w:val="outset" w:sz="6" w:space="0" w:color="auto"/>
              <w:right w:val="outset" w:sz="6" w:space="0" w:color="auto"/>
            </w:tcBorders>
          </w:tcPr>
          <w:p w14:paraId="6BF2B1F5"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Nav</w:t>
            </w:r>
          </w:p>
        </w:tc>
      </w:tr>
    </w:tbl>
    <w:p w14:paraId="6BF2B1F7" w14:textId="77777777" w:rsidR="003B7D61" w:rsidRPr="004E4D81" w:rsidRDefault="003B7D61" w:rsidP="003B7D61"/>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B7D61" w:rsidRPr="004E4D81" w14:paraId="6BF2B1F9" w14:textId="77777777" w:rsidTr="00F907E0">
        <w:tc>
          <w:tcPr>
            <w:tcW w:w="9322" w:type="dxa"/>
            <w:hideMark/>
          </w:tcPr>
          <w:p w14:paraId="6BF2B1F8" w14:textId="77777777" w:rsidR="003B7D61" w:rsidRPr="004E4D81" w:rsidRDefault="003B7D61" w:rsidP="00F907E0">
            <w:pPr>
              <w:jc w:val="center"/>
              <w:rPr>
                <w:b/>
                <w:lang w:eastAsia="lv-LV"/>
              </w:rPr>
            </w:pPr>
            <w:r w:rsidRPr="004E4D81">
              <w:rPr>
                <w:b/>
                <w:bCs/>
                <w:lang w:eastAsia="lv-LV"/>
              </w:rPr>
              <w:t>V. Tiesību akta projekta atbilstība Latvijas Republikas starptautiskajām saistībām</w:t>
            </w:r>
          </w:p>
        </w:tc>
      </w:tr>
      <w:tr w:rsidR="003B7D61" w:rsidRPr="004E4D81" w14:paraId="6BF2B1FB" w14:textId="77777777" w:rsidTr="00F907E0">
        <w:tc>
          <w:tcPr>
            <w:tcW w:w="9322" w:type="dxa"/>
          </w:tcPr>
          <w:p w14:paraId="6BF2B1FA" w14:textId="77777777" w:rsidR="003B7D61" w:rsidRPr="004E4D81" w:rsidRDefault="003B7D61" w:rsidP="00F907E0">
            <w:pPr>
              <w:jc w:val="center"/>
              <w:rPr>
                <w:b/>
                <w:bCs/>
                <w:lang w:eastAsia="lv-LV"/>
              </w:rPr>
            </w:pPr>
            <w:r w:rsidRPr="004E4D81">
              <w:t>Projekts šo jomu neskar</w:t>
            </w:r>
          </w:p>
        </w:tc>
      </w:tr>
    </w:tbl>
    <w:p w14:paraId="6BF2B1FC" w14:textId="77777777" w:rsidR="003B7D61" w:rsidRPr="004E4D81" w:rsidRDefault="003B7D61" w:rsidP="003B7D61">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B7D61" w:rsidRPr="004E4D81" w14:paraId="6BF2B1FE" w14:textId="77777777" w:rsidTr="00F907E0">
        <w:tc>
          <w:tcPr>
            <w:tcW w:w="9322" w:type="dxa"/>
            <w:hideMark/>
          </w:tcPr>
          <w:p w14:paraId="6BF2B1FD" w14:textId="77777777" w:rsidR="003B7D61" w:rsidRPr="004E4D81" w:rsidRDefault="003B7D61" w:rsidP="00F907E0">
            <w:pPr>
              <w:jc w:val="center"/>
              <w:rPr>
                <w:b/>
                <w:lang w:eastAsia="lv-LV"/>
              </w:rPr>
            </w:pPr>
            <w:r w:rsidRPr="004E4D81">
              <w:rPr>
                <w:b/>
                <w:bCs/>
                <w:lang w:eastAsia="lv-LV"/>
              </w:rPr>
              <w:t>VI. Sabiedrības līdzdalība un komunikācijas aktivitātes</w:t>
            </w:r>
          </w:p>
        </w:tc>
      </w:tr>
      <w:tr w:rsidR="003B7D61" w:rsidRPr="004E4D81" w14:paraId="6BF2B200" w14:textId="77777777" w:rsidTr="00F907E0">
        <w:tc>
          <w:tcPr>
            <w:tcW w:w="9322" w:type="dxa"/>
          </w:tcPr>
          <w:p w14:paraId="6BF2B1FF" w14:textId="77777777" w:rsidR="003B7D61" w:rsidRPr="004E4D81" w:rsidRDefault="003B7D61" w:rsidP="00F907E0">
            <w:pPr>
              <w:jc w:val="center"/>
              <w:rPr>
                <w:b/>
                <w:bCs/>
                <w:lang w:eastAsia="lv-LV"/>
              </w:rPr>
            </w:pPr>
            <w:r w:rsidRPr="004E4D81">
              <w:t>Projekts šo jomu neskar</w:t>
            </w:r>
          </w:p>
        </w:tc>
      </w:tr>
    </w:tbl>
    <w:p w14:paraId="6BF2B201" w14:textId="77777777" w:rsidR="003B7D61" w:rsidRPr="004E4D81" w:rsidRDefault="003B7D61" w:rsidP="003B7D61"/>
    <w:tbl>
      <w:tblPr>
        <w:tblW w:w="9357" w:type="dxa"/>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544"/>
        <w:gridCol w:w="5387"/>
      </w:tblGrid>
      <w:tr w:rsidR="003B7D61" w:rsidRPr="004E4D81" w14:paraId="6BF2B203" w14:textId="77777777" w:rsidTr="00F907E0">
        <w:trPr>
          <w:trHeight w:val="656"/>
        </w:trPr>
        <w:tc>
          <w:tcPr>
            <w:tcW w:w="9357" w:type="dxa"/>
            <w:gridSpan w:val="3"/>
            <w:tcBorders>
              <w:top w:val="outset" w:sz="6" w:space="0" w:color="auto"/>
              <w:left w:val="outset" w:sz="6" w:space="0" w:color="auto"/>
              <w:bottom w:val="outset" w:sz="6" w:space="0" w:color="auto"/>
              <w:right w:val="outset" w:sz="6" w:space="0" w:color="auto"/>
            </w:tcBorders>
          </w:tcPr>
          <w:p w14:paraId="6BF2B202" w14:textId="77777777" w:rsidR="003B7D61" w:rsidRPr="004E4D81" w:rsidRDefault="003B7D61" w:rsidP="00F907E0">
            <w:pPr>
              <w:jc w:val="center"/>
              <w:rPr>
                <w:rFonts w:eastAsia="Times New Roman"/>
                <w:b/>
                <w:bCs/>
                <w:lang w:eastAsia="lv-LV"/>
              </w:rPr>
            </w:pPr>
            <w:r w:rsidRPr="004E4D81">
              <w:rPr>
                <w:rFonts w:eastAsia="Times New Roman"/>
                <w:b/>
                <w:bCs/>
                <w:lang w:eastAsia="lv-LV"/>
              </w:rPr>
              <w:t>VII. Tiesību akta projekta izpildes nodrošināšana un tās ietekme uz institūcijām</w:t>
            </w:r>
          </w:p>
        </w:tc>
      </w:tr>
      <w:tr w:rsidR="003B7D61" w:rsidRPr="004E4D81" w14:paraId="6BF2B207" w14:textId="77777777" w:rsidTr="00F907E0">
        <w:tc>
          <w:tcPr>
            <w:tcW w:w="426" w:type="dxa"/>
            <w:tcBorders>
              <w:top w:val="outset" w:sz="6" w:space="0" w:color="auto"/>
              <w:left w:val="outset" w:sz="6" w:space="0" w:color="auto"/>
              <w:bottom w:val="outset" w:sz="6" w:space="0" w:color="auto"/>
              <w:right w:val="outset" w:sz="6" w:space="0" w:color="auto"/>
            </w:tcBorders>
          </w:tcPr>
          <w:p w14:paraId="6BF2B204"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1.</w:t>
            </w:r>
          </w:p>
        </w:tc>
        <w:tc>
          <w:tcPr>
            <w:tcW w:w="3544" w:type="dxa"/>
            <w:tcBorders>
              <w:top w:val="outset" w:sz="6" w:space="0" w:color="auto"/>
              <w:left w:val="outset" w:sz="6" w:space="0" w:color="auto"/>
              <w:bottom w:val="outset" w:sz="6" w:space="0" w:color="auto"/>
              <w:right w:val="outset" w:sz="6" w:space="0" w:color="auto"/>
            </w:tcBorders>
          </w:tcPr>
          <w:p w14:paraId="6BF2B205" w14:textId="77777777" w:rsidR="003B7D61" w:rsidRPr="004E4D81" w:rsidRDefault="003B7D61" w:rsidP="00F907E0">
            <w:pPr>
              <w:rPr>
                <w:rFonts w:eastAsia="Times New Roman"/>
                <w:lang w:eastAsia="lv-LV"/>
              </w:rPr>
            </w:pPr>
            <w:r w:rsidRPr="004E4D81">
              <w:rPr>
                <w:rFonts w:eastAsia="Times New Roman"/>
                <w:lang w:eastAsia="lv-LV"/>
              </w:rPr>
              <w:t>Projekta izpildē iesaistītās institūcijas</w:t>
            </w:r>
          </w:p>
        </w:tc>
        <w:tc>
          <w:tcPr>
            <w:tcW w:w="5387" w:type="dxa"/>
            <w:tcBorders>
              <w:top w:val="outset" w:sz="6" w:space="0" w:color="auto"/>
              <w:left w:val="outset" w:sz="6" w:space="0" w:color="auto"/>
              <w:bottom w:val="outset" w:sz="6" w:space="0" w:color="auto"/>
              <w:right w:val="outset" w:sz="6" w:space="0" w:color="auto"/>
            </w:tcBorders>
          </w:tcPr>
          <w:p w14:paraId="6BF2B206" w14:textId="458EBC0B" w:rsidR="001729E4" w:rsidRPr="004E4D81" w:rsidRDefault="003B7D61" w:rsidP="004E4D81">
            <w:pPr>
              <w:ind w:left="111" w:right="113"/>
              <w:jc w:val="both"/>
              <w:rPr>
                <w:lang w:eastAsia="lv-LV"/>
              </w:rPr>
            </w:pPr>
            <w:r w:rsidRPr="004E4D81">
              <w:rPr>
                <w:lang w:eastAsia="lv-LV"/>
              </w:rPr>
              <w:t>Valsts tiešās pārvaldes institūcijas, tai skaitā Valsts ieņēmumu dienests</w:t>
            </w:r>
          </w:p>
        </w:tc>
      </w:tr>
      <w:tr w:rsidR="003B7D61" w:rsidRPr="004E4D81" w14:paraId="6BF2B20B" w14:textId="77777777" w:rsidTr="00F907E0">
        <w:tc>
          <w:tcPr>
            <w:tcW w:w="426" w:type="dxa"/>
            <w:tcBorders>
              <w:top w:val="outset" w:sz="6" w:space="0" w:color="auto"/>
              <w:left w:val="outset" w:sz="6" w:space="0" w:color="auto"/>
              <w:bottom w:val="outset" w:sz="6" w:space="0" w:color="auto"/>
              <w:right w:val="outset" w:sz="6" w:space="0" w:color="auto"/>
            </w:tcBorders>
          </w:tcPr>
          <w:p w14:paraId="6BF2B208"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2.</w:t>
            </w:r>
          </w:p>
        </w:tc>
        <w:tc>
          <w:tcPr>
            <w:tcW w:w="3544" w:type="dxa"/>
            <w:tcBorders>
              <w:top w:val="outset" w:sz="6" w:space="0" w:color="auto"/>
              <w:left w:val="outset" w:sz="6" w:space="0" w:color="auto"/>
              <w:bottom w:val="outset" w:sz="6" w:space="0" w:color="auto"/>
              <w:right w:val="outset" w:sz="6" w:space="0" w:color="auto"/>
            </w:tcBorders>
          </w:tcPr>
          <w:p w14:paraId="6BF2B209" w14:textId="131A20CD" w:rsidR="003B7D61" w:rsidRPr="004E4D81" w:rsidRDefault="003B7D61" w:rsidP="00F907E0">
            <w:pPr>
              <w:rPr>
                <w:rFonts w:eastAsia="Times New Roman"/>
                <w:lang w:eastAsia="lv-LV"/>
              </w:rPr>
            </w:pPr>
            <w:r w:rsidRPr="004E4D81">
              <w:rPr>
                <w:rFonts w:eastAsia="Times New Roman"/>
                <w:lang w:eastAsia="lv-LV"/>
              </w:rPr>
              <w:t>Projekta izpildes ietekme uz pārvaldes funkcij</w:t>
            </w:r>
            <w:r w:rsidR="004E4D81" w:rsidRPr="004E4D81">
              <w:rPr>
                <w:rFonts w:eastAsia="Times New Roman"/>
                <w:lang w:eastAsia="lv-LV"/>
              </w:rPr>
              <w:t>ām un institucionālo struktūru</w:t>
            </w:r>
          </w:p>
        </w:tc>
        <w:tc>
          <w:tcPr>
            <w:tcW w:w="5387" w:type="dxa"/>
            <w:tcBorders>
              <w:top w:val="outset" w:sz="6" w:space="0" w:color="auto"/>
              <w:left w:val="outset" w:sz="6" w:space="0" w:color="auto"/>
              <w:bottom w:val="outset" w:sz="6" w:space="0" w:color="auto"/>
              <w:right w:val="outset" w:sz="6" w:space="0" w:color="auto"/>
            </w:tcBorders>
          </w:tcPr>
          <w:p w14:paraId="6BF2B20A" w14:textId="513DA924" w:rsidR="003B7D61" w:rsidRPr="004E4D81" w:rsidRDefault="003B7D61" w:rsidP="004E4D81">
            <w:pPr>
              <w:ind w:left="111" w:right="113"/>
              <w:rPr>
                <w:rFonts w:eastAsia="Times New Roman"/>
                <w:highlight w:val="yellow"/>
                <w:lang w:eastAsia="lv-LV"/>
              </w:rPr>
            </w:pPr>
            <w:r w:rsidRPr="004E4D81">
              <w:rPr>
                <w:rFonts w:eastAsia="Times New Roman"/>
                <w:lang w:eastAsia="lv-LV"/>
              </w:rPr>
              <w:t>Projekts šo jomu neskar</w:t>
            </w:r>
          </w:p>
        </w:tc>
      </w:tr>
      <w:tr w:rsidR="003B7D61" w:rsidRPr="004E4D81" w14:paraId="6BF2B20F" w14:textId="77777777" w:rsidTr="00F907E0">
        <w:tc>
          <w:tcPr>
            <w:tcW w:w="426" w:type="dxa"/>
            <w:tcBorders>
              <w:top w:val="outset" w:sz="6" w:space="0" w:color="auto"/>
              <w:left w:val="outset" w:sz="6" w:space="0" w:color="auto"/>
              <w:bottom w:val="outset" w:sz="6" w:space="0" w:color="auto"/>
              <w:right w:val="outset" w:sz="6" w:space="0" w:color="auto"/>
            </w:tcBorders>
          </w:tcPr>
          <w:p w14:paraId="6BF2B20C"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3.</w:t>
            </w:r>
          </w:p>
        </w:tc>
        <w:tc>
          <w:tcPr>
            <w:tcW w:w="3544" w:type="dxa"/>
            <w:tcBorders>
              <w:top w:val="outset" w:sz="6" w:space="0" w:color="auto"/>
              <w:left w:val="outset" w:sz="6" w:space="0" w:color="auto"/>
              <w:bottom w:val="outset" w:sz="6" w:space="0" w:color="auto"/>
              <w:right w:val="outset" w:sz="6" w:space="0" w:color="auto"/>
            </w:tcBorders>
          </w:tcPr>
          <w:p w14:paraId="6BF2B20D"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Jaunu institūciju izveide, esošu institūciju likvidācija vai reorganizācija, to ietekme uz institūcijas cilvēkresursiem</w:t>
            </w:r>
          </w:p>
        </w:tc>
        <w:tc>
          <w:tcPr>
            <w:tcW w:w="5387" w:type="dxa"/>
            <w:tcBorders>
              <w:top w:val="outset" w:sz="6" w:space="0" w:color="auto"/>
              <w:left w:val="outset" w:sz="6" w:space="0" w:color="auto"/>
              <w:bottom w:val="outset" w:sz="6" w:space="0" w:color="auto"/>
              <w:right w:val="outset" w:sz="6" w:space="0" w:color="auto"/>
            </w:tcBorders>
          </w:tcPr>
          <w:p w14:paraId="6BF2B20E" w14:textId="6C690CC5" w:rsidR="003B7D61" w:rsidRPr="004E4D81" w:rsidRDefault="003B7D61" w:rsidP="004E4D81">
            <w:pPr>
              <w:spacing w:before="100" w:beforeAutospacing="1" w:after="100" w:afterAutospacing="1"/>
              <w:ind w:left="111" w:right="113"/>
              <w:jc w:val="both"/>
              <w:rPr>
                <w:rFonts w:eastAsia="Times New Roman"/>
                <w:lang w:eastAsia="lv-LV"/>
              </w:rPr>
            </w:pPr>
            <w:r w:rsidRPr="004E4D81">
              <w:rPr>
                <w:rFonts w:eastAsia="Times New Roman"/>
                <w:lang w:eastAsia="lv-LV"/>
              </w:rPr>
              <w:t>Pasākumi ir īstenojami esošo valsts budžeta līdzekļu ietvaros, un iestādēm nav tiesību pieprasīt papildu finansējumu no valsts budžeta</w:t>
            </w:r>
          </w:p>
        </w:tc>
      </w:tr>
      <w:tr w:rsidR="003B7D61" w:rsidRPr="004E4D81" w14:paraId="6BF2B213" w14:textId="77777777" w:rsidTr="00F907E0">
        <w:tc>
          <w:tcPr>
            <w:tcW w:w="426" w:type="dxa"/>
            <w:tcBorders>
              <w:top w:val="outset" w:sz="6" w:space="0" w:color="auto"/>
              <w:left w:val="outset" w:sz="6" w:space="0" w:color="auto"/>
              <w:bottom w:val="outset" w:sz="6" w:space="0" w:color="auto"/>
              <w:right w:val="outset" w:sz="6" w:space="0" w:color="auto"/>
            </w:tcBorders>
          </w:tcPr>
          <w:p w14:paraId="6BF2B210"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4.</w:t>
            </w:r>
          </w:p>
        </w:tc>
        <w:tc>
          <w:tcPr>
            <w:tcW w:w="3544" w:type="dxa"/>
            <w:tcBorders>
              <w:top w:val="outset" w:sz="6" w:space="0" w:color="auto"/>
              <w:left w:val="outset" w:sz="6" w:space="0" w:color="auto"/>
              <w:bottom w:val="outset" w:sz="6" w:space="0" w:color="auto"/>
              <w:right w:val="outset" w:sz="6" w:space="0" w:color="auto"/>
            </w:tcBorders>
          </w:tcPr>
          <w:p w14:paraId="6BF2B211" w14:textId="77777777" w:rsidR="003B7D61" w:rsidRPr="004E4D81" w:rsidRDefault="003B7D61" w:rsidP="00F907E0">
            <w:pPr>
              <w:spacing w:before="100" w:beforeAutospacing="1" w:after="100" w:afterAutospacing="1"/>
              <w:rPr>
                <w:rFonts w:eastAsia="Times New Roman"/>
                <w:lang w:eastAsia="lv-LV"/>
              </w:rPr>
            </w:pPr>
            <w:r w:rsidRPr="004E4D81">
              <w:rPr>
                <w:rFonts w:eastAsia="Times New Roman"/>
                <w:lang w:eastAsia="lv-LV"/>
              </w:rPr>
              <w:t>Cita informācija</w:t>
            </w:r>
          </w:p>
        </w:tc>
        <w:tc>
          <w:tcPr>
            <w:tcW w:w="5387" w:type="dxa"/>
            <w:tcBorders>
              <w:top w:val="outset" w:sz="6" w:space="0" w:color="auto"/>
              <w:left w:val="outset" w:sz="6" w:space="0" w:color="auto"/>
              <w:bottom w:val="outset" w:sz="6" w:space="0" w:color="auto"/>
              <w:right w:val="outset" w:sz="6" w:space="0" w:color="auto"/>
            </w:tcBorders>
          </w:tcPr>
          <w:p w14:paraId="6BF2B212" w14:textId="77777777" w:rsidR="003B7D61" w:rsidRPr="004E4D81" w:rsidRDefault="003B7D61" w:rsidP="004E4D81">
            <w:pPr>
              <w:spacing w:before="100" w:beforeAutospacing="1" w:after="100" w:afterAutospacing="1"/>
              <w:ind w:left="111" w:right="113"/>
              <w:rPr>
                <w:rFonts w:eastAsia="Times New Roman"/>
                <w:lang w:eastAsia="lv-LV"/>
              </w:rPr>
            </w:pPr>
            <w:r w:rsidRPr="004E4D81">
              <w:rPr>
                <w:rFonts w:eastAsia="Times New Roman"/>
                <w:lang w:eastAsia="lv-LV"/>
              </w:rPr>
              <w:t>Nav</w:t>
            </w:r>
          </w:p>
        </w:tc>
      </w:tr>
    </w:tbl>
    <w:p w14:paraId="6BF2B214" w14:textId="77777777" w:rsidR="003B7D61" w:rsidRDefault="003B7D61" w:rsidP="003B7D61">
      <w:pPr>
        <w:rPr>
          <w:rFonts w:eastAsia="Times New Roman"/>
          <w:i/>
          <w:iCs/>
          <w:sz w:val="28"/>
          <w:szCs w:val="28"/>
          <w:lang w:eastAsia="lv-LV"/>
        </w:rPr>
      </w:pPr>
    </w:p>
    <w:p w14:paraId="554AC23E" w14:textId="77777777" w:rsidR="00547D5A" w:rsidRPr="004E4D81" w:rsidRDefault="00547D5A" w:rsidP="003B7D61">
      <w:pPr>
        <w:rPr>
          <w:rFonts w:eastAsia="Times New Roman"/>
          <w:iCs/>
          <w:sz w:val="28"/>
          <w:szCs w:val="28"/>
          <w:lang w:eastAsia="lv-LV"/>
        </w:rPr>
      </w:pPr>
    </w:p>
    <w:p w14:paraId="6BF2B215" w14:textId="77777777" w:rsidR="003B7D61" w:rsidRPr="00082B49" w:rsidRDefault="003B7D61" w:rsidP="003B7D61">
      <w:pPr>
        <w:pStyle w:val="naisf"/>
        <w:spacing w:before="0" w:after="0"/>
        <w:ind w:firstLine="700"/>
        <w:rPr>
          <w:sz w:val="28"/>
          <w:szCs w:val="28"/>
        </w:rPr>
      </w:pPr>
    </w:p>
    <w:p w14:paraId="6BF2B216" w14:textId="77777777" w:rsidR="003B7D61" w:rsidRPr="00082B49" w:rsidRDefault="003B7D61" w:rsidP="003D7F61">
      <w:pPr>
        <w:tabs>
          <w:tab w:val="left" w:pos="6946"/>
        </w:tabs>
        <w:rPr>
          <w:sz w:val="28"/>
          <w:szCs w:val="28"/>
        </w:rPr>
      </w:pPr>
      <w:r w:rsidRPr="00082B49">
        <w:rPr>
          <w:sz w:val="28"/>
          <w:szCs w:val="28"/>
        </w:rPr>
        <w:t>Ministru prezidents</w:t>
      </w:r>
      <w:r w:rsidRPr="00082B49">
        <w:rPr>
          <w:sz w:val="28"/>
          <w:szCs w:val="28"/>
        </w:rPr>
        <w:tab/>
      </w:r>
      <w:r>
        <w:rPr>
          <w:sz w:val="28"/>
          <w:szCs w:val="28"/>
        </w:rPr>
        <w:t>Māris Kučinskis</w:t>
      </w:r>
    </w:p>
    <w:p w14:paraId="6BF2B217" w14:textId="77777777" w:rsidR="003B7D61" w:rsidRDefault="003B7D61" w:rsidP="003B7D61">
      <w:pPr>
        <w:tabs>
          <w:tab w:val="left" w:pos="6840"/>
        </w:tabs>
        <w:ind w:firstLine="700"/>
        <w:rPr>
          <w:sz w:val="28"/>
          <w:szCs w:val="28"/>
        </w:rPr>
      </w:pPr>
    </w:p>
    <w:p w14:paraId="300AADE0" w14:textId="77777777" w:rsidR="00547D5A" w:rsidRDefault="00547D5A" w:rsidP="003B7D61">
      <w:pPr>
        <w:tabs>
          <w:tab w:val="left" w:pos="6840"/>
        </w:tabs>
        <w:ind w:firstLine="700"/>
        <w:rPr>
          <w:sz w:val="28"/>
          <w:szCs w:val="28"/>
        </w:rPr>
      </w:pPr>
    </w:p>
    <w:p w14:paraId="6BF2B218" w14:textId="77777777" w:rsidR="003B7D61" w:rsidRPr="00082B49" w:rsidRDefault="003B7D61" w:rsidP="003B7D61">
      <w:pPr>
        <w:tabs>
          <w:tab w:val="left" w:pos="6840"/>
        </w:tabs>
        <w:ind w:firstLine="700"/>
        <w:rPr>
          <w:sz w:val="28"/>
          <w:szCs w:val="28"/>
        </w:rPr>
      </w:pPr>
    </w:p>
    <w:p w14:paraId="6BF2B219" w14:textId="77777777" w:rsidR="003B7D61" w:rsidRPr="00082B49" w:rsidRDefault="003B7D61" w:rsidP="003D7F61">
      <w:pPr>
        <w:tabs>
          <w:tab w:val="left" w:pos="6840"/>
        </w:tabs>
        <w:rPr>
          <w:sz w:val="28"/>
          <w:szCs w:val="28"/>
        </w:rPr>
      </w:pPr>
      <w:r w:rsidRPr="00082B49">
        <w:rPr>
          <w:sz w:val="28"/>
          <w:szCs w:val="28"/>
        </w:rPr>
        <w:t>Vizē:</w:t>
      </w:r>
    </w:p>
    <w:p w14:paraId="705EECA3" w14:textId="77777777" w:rsidR="003D7F61" w:rsidRDefault="003D7F61" w:rsidP="0081545F">
      <w:pPr>
        <w:shd w:val="clear" w:color="auto" w:fill="FFFFFF"/>
        <w:rPr>
          <w:rFonts w:eastAsia="Times New Roman"/>
          <w:sz w:val="28"/>
          <w:szCs w:val="28"/>
        </w:rPr>
      </w:pPr>
      <w:r>
        <w:rPr>
          <w:rFonts w:eastAsia="Times New Roman"/>
          <w:sz w:val="28"/>
          <w:szCs w:val="28"/>
        </w:rPr>
        <w:t>Valsts kancelejas direktora pienākumu izpildītāja,</w:t>
      </w:r>
    </w:p>
    <w:p w14:paraId="04A91EB5" w14:textId="77777777" w:rsidR="003D7F61" w:rsidRDefault="003D7F61" w:rsidP="0081545F">
      <w:pPr>
        <w:shd w:val="clear" w:color="auto" w:fill="FFFFFF"/>
        <w:rPr>
          <w:rFonts w:eastAsia="Times New Roman"/>
          <w:sz w:val="28"/>
          <w:szCs w:val="28"/>
        </w:rPr>
      </w:pPr>
      <w:r>
        <w:rPr>
          <w:rFonts w:eastAsia="Times New Roman"/>
          <w:sz w:val="28"/>
          <w:szCs w:val="28"/>
        </w:rPr>
        <w:t>direktora vietniece juridiskajos jautājumos,</w:t>
      </w:r>
    </w:p>
    <w:p w14:paraId="6BF2B21A" w14:textId="6566D5B1" w:rsidR="003B7D61" w:rsidRPr="00082B49" w:rsidRDefault="003D7F61" w:rsidP="003D7F61">
      <w:pPr>
        <w:tabs>
          <w:tab w:val="left" w:pos="6804"/>
        </w:tabs>
        <w:rPr>
          <w:sz w:val="28"/>
          <w:szCs w:val="28"/>
        </w:rPr>
      </w:pPr>
      <w:r>
        <w:rPr>
          <w:rFonts w:eastAsia="Times New Roman"/>
          <w:sz w:val="28"/>
          <w:szCs w:val="28"/>
          <w:lang w:eastAsia="lv-LV"/>
        </w:rPr>
        <w:t xml:space="preserve">Juridiskā departamenta </w:t>
      </w:r>
      <w:proofErr w:type="spellStart"/>
      <w:r>
        <w:rPr>
          <w:rFonts w:eastAsia="Times New Roman"/>
          <w:sz w:val="28"/>
          <w:szCs w:val="28"/>
          <w:lang w:eastAsia="lv-LV"/>
        </w:rPr>
        <w:t>vadītāja_________________________Inese</w:t>
      </w:r>
      <w:proofErr w:type="spellEnd"/>
      <w:r>
        <w:rPr>
          <w:rFonts w:eastAsia="Times New Roman"/>
          <w:sz w:val="28"/>
          <w:szCs w:val="28"/>
          <w:lang w:eastAsia="lv-LV"/>
        </w:rPr>
        <w:t xml:space="preserve"> Gailīte</w:t>
      </w:r>
    </w:p>
    <w:p w14:paraId="6BF2B21B" w14:textId="77777777" w:rsidR="003B7D61" w:rsidRDefault="003B7D61" w:rsidP="003B7D61">
      <w:pPr>
        <w:tabs>
          <w:tab w:val="left" w:pos="6840"/>
        </w:tabs>
        <w:ind w:firstLine="700"/>
        <w:rPr>
          <w:sz w:val="28"/>
          <w:szCs w:val="28"/>
        </w:rPr>
      </w:pPr>
    </w:p>
    <w:p w14:paraId="6BF2B21C" w14:textId="77777777" w:rsidR="003B7D61" w:rsidRDefault="003B7D61" w:rsidP="003B7D61">
      <w:pPr>
        <w:tabs>
          <w:tab w:val="left" w:pos="6840"/>
        </w:tabs>
        <w:ind w:firstLine="700"/>
        <w:rPr>
          <w:sz w:val="28"/>
          <w:szCs w:val="28"/>
        </w:rPr>
      </w:pPr>
    </w:p>
    <w:p w14:paraId="24BD2CB0" w14:textId="77777777" w:rsidR="00547D5A" w:rsidRDefault="00547D5A" w:rsidP="003B7D61">
      <w:pPr>
        <w:tabs>
          <w:tab w:val="left" w:pos="6840"/>
        </w:tabs>
        <w:ind w:firstLine="700"/>
        <w:rPr>
          <w:sz w:val="28"/>
          <w:szCs w:val="28"/>
        </w:rPr>
      </w:pPr>
    </w:p>
    <w:p w14:paraId="08682C44" w14:textId="77777777" w:rsidR="00547D5A" w:rsidRDefault="00547D5A" w:rsidP="003B7D61">
      <w:pPr>
        <w:tabs>
          <w:tab w:val="left" w:pos="6840"/>
        </w:tabs>
        <w:ind w:firstLine="700"/>
        <w:rPr>
          <w:sz w:val="28"/>
          <w:szCs w:val="28"/>
        </w:rPr>
      </w:pPr>
    </w:p>
    <w:p w14:paraId="1F76D564" w14:textId="56AEBBA0" w:rsidR="00547D5A" w:rsidRPr="00547D5A" w:rsidRDefault="003D7F61" w:rsidP="00547D5A">
      <w:pPr>
        <w:tabs>
          <w:tab w:val="left" w:pos="6840"/>
        </w:tabs>
        <w:rPr>
          <w:sz w:val="20"/>
          <w:szCs w:val="20"/>
        </w:rPr>
      </w:pPr>
      <w:r>
        <w:rPr>
          <w:sz w:val="20"/>
          <w:szCs w:val="20"/>
        </w:rPr>
        <w:t>1194</w:t>
      </w:r>
      <w:bookmarkStart w:id="2" w:name="_GoBack"/>
      <w:bookmarkEnd w:id="2"/>
    </w:p>
    <w:p w14:paraId="6BF2B21D" w14:textId="77777777" w:rsidR="00E279A7" w:rsidRPr="00547D5A" w:rsidRDefault="00E279A7" w:rsidP="00E279A7">
      <w:pPr>
        <w:jc w:val="both"/>
        <w:rPr>
          <w:rFonts w:eastAsia="Times New Roman"/>
          <w:color w:val="000000"/>
          <w:sz w:val="20"/>
          <w:szCs w:val="20"/>
          <w:lang w:val="en-US"/>
        </w:rPr>
      </w:pPr>
      <w:proofErr w:type="spellStart"/>
      <w:r w:rsidRPr="00547D5A">
        <w:rPr>
          <w:rFonts w:eastAsia="Times New Roman"/>
          <w:color w:val="000000"/>
          <w:sz w:val="20"/>
          <w:szCs w:val="20"/>
          <w:lang w:val="en-US"/>
        </w:rPr>
        <w:t>Sīle</w:t>
      </w:r>
      <w:proofErr w:type="spellEnd"/>
      <w:r w:rsidRPr="00547D5A">
        <w:rPr>
          <w:rFonts w:eastAsia="Times New Roman"/>
          <w:color w:val="000000"/>
          <w:sz w:val="20"/>
          <w:szCs w:val="20"/>
          <w:lang w:val="en-US"/>
        </w:rPr>
        <w:t xml:space="preserve"> 67082948</w:t>
      </w:r>
    </w:p>
    <w:p w14:paraId="6BF2B21E" w14:textId="77777777" w:rsidR="003B7D61" w:rsidRPr="00547D5A" w:rsidRDefault="00E279A7" w:rsidP="00E279A7">
      <w:pPr>
        <w:jc w:val="both"/>
        <w:rPr>
          <w:rFonts w:eastAsia="Times New Roman"/>
          <w:sz w:val="20"/>
          <w:szCs w:val="20"/>
          <w:lang w:val="en-US"/>
        </w:rPr>
      </w:pPr>
      <w:r w:rsidRPr="00547D5A">
        <w:rPr>
          <w:rFonts w:eastAsia="Times New Roman"/>
          <w:color w:val="000000"/>
          <w:sz w:val="20"/>
          <w:szCs w:val="20"/>
          <w:lang w:val="en-US"/>
        </w:rPr>
        <w:t>Dita.Erna.Sile@mk.gov.lv</w:t>
      </w:r>
      <w:r w:rsidR="003B7D61" w:rsidRPr="00547D5A">
        <w:rPr>
          <w:rFonts w:eastAsia="Times New Roman"/>
          <w:sz w:val="20"/>
          <w:szCs w:val="20"/>
          <w:lang w:val="en-US"/>
        </w:rPr>
        <w:t xml:space="preserve"> </w:t>
      </w:r>
    </w:p>
    <w:sectPr w:rsidR="003B7D61" w:rsidRPr="00547D5A" w:rsidSect="00547D5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2B223" w14:textId="77777777" w:rsidR="00B816E6" w:rsidRDefault="00B816E6">
      <w:r>
        <w:separator/>
      </w:r>
    </w:p>
  </w:endnote>
  <w:endnote w:type="continuationSeparator" w:id="0">
    <w:p w14:paraId="6BF2B224" w14:textId="77777777" w:rsidR="00B816E6" w:rsidRDefault="00B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BC90" w14:textId="77777777" w:rsidR="00547D5A" w:rsidRPr="00547D5A" w:rsidRDefault="00547D5A" w:rsidP="00547D5A">
    <w:pPr>
      <w:jc w:val="both"/>
      <w:rPr>
        <w:bCs/>
        <w:color w:val="000000"/>
        <w:sz w:val="16"/>
        <w:szCs w:val="16"/>
      </w:rPr>
    </w:pPr>
    <w:proofErr w:type="spellStart"/>
    <w:r w:rsidRPr="00547D5A">
      <w:rPr>
        <w:bCs/>
        <w:sz w:val="16"/>
        <w:szCs w:val="16"/>
      </w:rPr>
      <w:t>VKAnot_230217_LAPK-grozijumi</w:t>
    </w:r>
    <w:proofErr w:type="spellEnd"/>
    <w:proofErr w:type="gramStart"/>
    <w:r w:rsidRPr="00547D5A">
      <w:rPr>
        <w:bCs/>
        <w:sz w:val="16"/>
        <w:szCs w:val="16"/>
      </w:rPr>
      <w:t xml:space="preserve">  </w:t>
    </w:r>
    <w:proofErr w:type="gramEnd"/>
    <w:r w:rsidRPr="00547D5A">
      <w:rPr>
        <w:bCs/>
        <w:sz w:val="16"/>
        <w:szCs w:val="16"/>
      </w:rPr>
      <w:t>(12698)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B22A" w14:textId="60CBD5F1" w:rsidR="00981CE8" w:rsidRPr="00547D5A" w:rsidRDefault="001729E4" w:rsidP="001729E4">
    <w:pPr>
      <w:jc w:val="both"/>
      <w:rPr>
        <w:bCs/>
        <w:color w:val="000000"/>
        <w:sz w:val="16"/>
        <w:szCs w:val="16"/>
      </w:rPr>
    </w:pPr>
    <w:proofErr w:type="spellStart"/>
    <w:r w:rsidRPr="00547D5A">
      <w:rPr>
        <w:bCs/>
        <w:sz w:val="16"/>
        <w:szCs w:val="16"/>
      </w:rPr>
      <w:t>VKAnot_</w:t>
    </w:r>
    <w:r w:rsidR="00EF0C68" w:rsidRPr="00547D5A">
      <w:rPr>
        <w:bCs/>
        <w:sz w:val="16"/>
        <w:szCs w:val="16"/>
      </w:rPr>
      <w:t>23</w:t>
    </w:r>
    <w:r w:rsidRPr="00547D5A">
      <w:rPr>
        <w:bCs/>
        <w:sz w:val="16"/>
        <w:szCs w:val="16"/>
      </w:rPr>
      <w:t>0</w:t>
    </w:r>
    <w:r w:rsidR="00B2536E" w:rsidRPr="00547D5A">
      <w:rPr>
        <w:bCs/>
        <w:sz w:val="16"/>
        <w:szCs w:val="16"/>
      </w:rPr>
      <w:t>2</w:t>
    </w:r>
    <w:r w:rsidRPr="00547D5A">
      <w:rPr>
        <w:bCs/>
        <w:sz w:val="16"/>
        <w:szCs w:val="16"/>
      </w:rPr>
      <w:t>17_LAPK-grozijumi</w:t>
    </w:r>
    <w:proofErr w:type="spellEnd"/>
    <w:proofErr w:type="gramStart"/>
    <w:r w:rsidR="00547D5A" w:rsidRPr="00547D5A">
      <w:rPr>
        <w:bCs/>
        <w:sz w:val="16"/>
        <w:szCs w:val="16"/>
      </w:rPr>
      <w:t xml:space="preserve">  </w:t>
    </w:r>
    <w:proofErr w:type="gramEnd"/>
    <w:r w:rsidR="00547D5A" w:rsidRPr="00547D5A">
      <w:rPr>
        <w:bCs/>
        <w:sz w:val="16"/>
        <w:szCs w:val="16"/>
      </w:rPr>
      <w:t>(12698)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2B221" w14:textId="77777777" w:rsidR="00B816E6" w:rsidRDefault="00B816E6">
      <w:r>
        <w:separator/>
      </w:r>
    </w:p>
  </w:footnote>
  <w:footnote w:type="continuationSeparator" w:id="0">
    <w:p w14:paraId="6BF2B222" w14:textId="77777777" w:rsidR="00B816E6" w:rsidRDefault="00B8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B225" w14:textId="77777777" w:rsidR="00677E41" w:rsidRDefault="003B7D61" w:rsidP="00B83F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F2B226" w14:textId="77777777" w:rsidR="00677E41" w:rsidRDefault="003D7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B227" w14:textId="696CC1CC" w:rsidR="00677E41" w:rsidRPr="00F42345" w:rsidRDefault="003B7D61" w:rsidP="00B83F43">
    <w:pPr>
      <w:pStyle w:val="Header"/>
      <w:framePr w:wrap="around" w:vAnchor="text" w:hAnchor="margin" w:xAlign="center" w:y="1"/>
      <w:spacing w:line="240" w:lineRule="auto"/>
      <w:rPr>
        <w:rStyle w:val="PageNumber"/>
      </w:rPr>
    </w:pPr>
    <w:r w:rsidRPr="00F42345">
      <w:rPr>
        <w:rStyle w:val="PageNumber"/>
      </w:rPr>
      <w:fldChar w:fldCharType="begin"/>
    </w:r>
    <w:r w:rsidRPr="00F42345">
      <w:rPr>
        <w:rStyle w:val="PageNumber"/>
      </w:rPr>
      <w:instrText xml:space="preserve">PAGE  </w:instrText>
    </w:r>
    <w:r w:rsidRPr="00F42345">
      <w:rPr>
        <w:rStyle w:val="PageNumber"/>
      </w:rPr>
      <w:fldChar w:fldCharType="separate"/>
    </w:r>
    <w:r w:rsidR="003D7F61">
      <w:rPr>
        <w:rStyle w:val="PageNumber"/>
        <w:noProof/>
      </w:rPr>
      <w:t>3</w:t>
    </w:r>
    <w:r w:rsidRPr="00F42345">
      <w:rPr>
        <w:rStyle w:val="PageNumber"/>
      </w:rPr>
      <w:fldChar w:fldCharType="end"/>
    </w:r>
  </w:p>
  <w:p w14:paraId="6BF2B228" w14:textId="77777777" w:rsidR="00677E41" w:rsidRDefault="003D7F61" w:rsidP="00B83F43">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939A7"/>
    <w:multiLevelType w:val="hybridMultilevel"/>
    <w:tmpl w:val="074E8508"/>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1">
    <w:nsid w:val="4B4014E5"/>
    <w:multiLevelType w:val="hybridMultilevel"/>
    <w:tmpl w:val="17B6FC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EF75BD"/>
    <w:multiLevelType w:val="multilevel"/>
    <w:tmpl w:val="4E04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61"/>
    <w:rsid w:val="0005087F"/>
    <w:rsid w:val="0014419E"/>
    <w:rsid w:val="00146CAE"/>
    <w:rsid w:val="001729E4"/>
    <w:rsid w:val="0017453B"/>
    <w:rsid w:val="00213AF9"/>
    <w:rsid w:val="00237728"/>
    <w:rsid w:val="00381F26"/>
    <w:rsid w:val="003B7D61"/>
    <w:rsid w:val="003C7DC9"/>
    <w:rsid w:val="003D7F61"/>
    <w:rsid w:val="003E00AB"/>
    <w:rsid w:val="003F54B0"/>
    <w:rsid w:val="00466C49"/>
    <w:rsid w:val="004A3D8A"/>
    <w:rsid w:val="004E4D81"/>
    <w:rsid w:val="004F54DC"/>
    <w:rsid w:val="00547D5A"/>
    <w:rsid w:val="00553511"/>
    <w:rsid w:val="00565883"/>
    <w:rsid w:val="00632933"/>
    <w:rsid w:val="00641886"/>
    <w:rsid w:val="006B0530"/>
    <w:rsid w:val="006B74BE"/>
    <w:rsid w:val="007732D9"/>
    <w:rsid w:val="007C03C0"/>
    <w:rsid w:val="00820F4B"/>
    <w:rsid w:val="008519B4"/>
    <w:rsid w:val="009D06FE"/>
    <w:rsid w:val="00B123E7"/>
    <w:rsid w:val="00B2536E"/>
    <w:rsid w:val="00B65D48"/>
    <w:rsid w:val="00B816E6"/>
    <w:rsid w:val="00BF0844"/>
    <w:rsid w:val="00C568CF"/>
    <w:rsid w:val="00C627AC"/>
    <w:rsid w:val="00C74192"/>
    <w:rsid w:val="00D17219"/>
    <w:rsid w:val="00D1741E"/>
    <w:rsid w:val="00D902B7"/>
    <w:rsid w:val="00E279A7"/>
    <w:rsid w:val="00E5331D"/>
    <w:rsid w:val="00E55E90"/>
    <w:rsid w:val="00E63DAA"/>
    <w:rsid w:val="00EF0C68"/>
    <w:rsid w:val="00F55D07"/>
    <w:rsid w:val="00F73B64"/>
    <w:rsid w:val="00F77E0E"/>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61"/>
    <w:pPr>
      <w:spacing w:after="0" w:line="240" w:lineRule="auto"/>
    </w:pPr>
    <w:rPr>
      <w:rFonts w:ascii="Times New Roman" w:eastAsia="Calibri"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D61"/>
    <w:pPr>
      <w:widowControl w:val="0"/>
      <w:tabs>
        <w:tab w:val="center" w:pos="4153"/>
        <w:tab w:val="right" w:pos="8306"/>
      </w:tabs>
      <w:adjustRightInd w:val="0"/>
      <w:spacing w:line="360" w:lineRule="atLeast"/>
      <w:jc w:val="both"/>
      <w:textAlignment w:val="baseline"/>
    </w:pPr>
  </w:style>
  <w:style w:type="character" w:customStyle="1" w:styleId="HeaderChar">
    <w:name w:val="Header Char"/>
    <w:basedOn w:val="DefaultParagraphFont"/>
    <w:link w:val="Header"/>
    <w:rsid w:val="003B7D61"/>
    <w:rPr>
      <w:rFonts w:ascii="Times New Roman" w:eastAsia="Calibri" w:hAnsi="Times New Roman" w:cs="Times New Roman"/>
      <w:sz w:val="24"/>
      <w:szCs w:val="24"/>
      <w:lang w:val="lv-LV"/>
    </w:rPr>
  </w:style>
  <w:style w:type="paragraph" w:customStyle="1" w:styleId="naisf">
    <w:name w:val="naisf"/>
    <w:basedOn w:val="Normal"/>
    <w:rsid w:val="003B7D61"/>
    <w:pPr>
      <w:spacing w:before="75" w:after="75"/>
      <w:ind w:firstLine="375"/>
      <w:jc w:val="both"/>
    </w:pPr>
  </w:style>
  <w:style w:type="paragraph" w:styleId="BodyText">
    <w:name w:val="Body Text"/>
    <w:basedOn w:val="Normal"/>
    <w:link w:val="BodyTextChar"/>
    <w:rsid w:val="003B7D61"/>
    <w:pPr>
      <w:jc w:val="both"/>
    </w:pPr>
    <w:rPr>
      <w:sz w:val="28"/>
      <w:szCs w:val="28"/>
      <w:lang w:val="en-AU"/>
    </w:rPr>
  </w:style>
  <w:style w:type="character" w:customStyle="1" w:styleId="BodyTextChar">
    <w:name w:val="Body Text Char"/>
    <w:basedOn w:val="DefaultParagraphFont"/>
    <w:link w:val="BodyText"/>
    <w:rsid w:val="003B7D61"/>
    <w:rPr>
      <w:rFonts w:ascii="Times New Roman" w:eastAsia="Calibri" w:hAnsi="Times New Roman" w:cs="Times New Roman"/>
      <w:sz w:val="28"/>
      <w:szCs w:val="28"/>
      <w:lang w:val="en-AU"/>
    </w:rPr>
  </w:style>
  <w:style w:type="character" w:styleId="PageNumber">
    <w:name w:val="page number"/>
    <w:basedOn w:val="DefaultParagraphFont"/>
    <w:rsid w:val="003B7D61"/>
  </w:style>
  <w:style w:type="paragraph" w:styleId="Footer">
    <w:name w:val="footer"/>
    <w:basedOn w:val="Normal"/>
    <w:link w:val="FooterChar"/>
    <w:uiPriority w:val="99"/>
    <w:rsid w:val="003B7D61"/>
    <w:pPr>
      <w:tabs>
        <w:tab w:val="center" w:pos="4153"/>
        <w:tab w:val="right" w:pos="8306"/>
      </w:tabs>
    </w:pPr>
  </w:style>
  <w:style w:type="character" w:customStyle="1" w:styleId="FooterChar">
    <w:name w:val="Footer Char"/>
    <w:basedOn w:val="DefaultParagraphFont"/>
    <w:link w:val="Footer"/>
    <w:uiPriority w:val="99"/>
    <w:rsid w:val="003B7D61"/>
    <w:rPr>
      <w:rFonts w:ascii="Times New Roman" w:eastAsia="Calibri" w:hAnsi="Times New Roman" w:cs="Times New Roman"/>
      <w:sz w:val="24"/>
      <w:szCs w:val="24"/>
      <w:lang w:val="lv-LV"/>
    </w:rPr>
  </w:style>
  <w:style w:type="character" w:styleId="Hyperlink">
    <w:name w:val="Hyperlink"/>
    <w:uiPriority w:val="99"/>
    <w:unhideWhenUsed/>
    <w:rsid w:val="003B7D61"/>
    <w:rPr>
      <w:rFonts w:ascii="Arial" w:hAnsi="Arial" w:cs="Arial" w:hint="default"/>
      <w:color w:val="1A0DAB"/>
      <w:u w:val="single"/>
    </w:rPr>
  </w:style>
  <w:style w:type="paragraph" w:styleId="ListParagraph">
    <w:name w:val="List Paragraph"/>
    <w:basedOn w:val="Normal"/>
    <w:uiPriority w:val="34"/>
    <w:qFormat/>
    <w:rsid w:val="003B7D61"/>
    <w:pPr>
      <w:ind w:left="720"/>
      <w:contextualSpacing/>
    </w:pPr>
    <w:rPr>
      <w:rFonts w:eastAsia="Times New Roman" w:cs="Arial Unicode MS"/>
      <w:sz w:val="20"/>
      <w:szCs w:val="20"/>
      <w:lang w:val="en-GB" w:bidi="lo-LA"/>
    </w:rPr>
  </w:style>
  <w:style w:type="character" w:styleId="CommentReference">
    <w:name w:val="annotation reference"/>
    <w:basedOn w:val="DefaultParagraphFont"/>
    <w:uiPriority w:val="99"/>
    <w:semiHidden/>
    <w:unhideWhenUsed/>
    <w:rsid w:val="00C568CF"/>
    <w:rPr>
      <w:sz w:val="16"/>
      <w:szCs w:val="16"/>
    </w:rPr>
  </w:style>
  <w:style w:type="paragraph" w:styleId="CommentText">
    <w:name w:val="annotation text"/>
    <w:basedOn w:val="Normal"/>
    <w:link w:val="CommentTextChar"/>
    <w:uiPriority w:val="99"/>
    <w:semiHidden/>
    <w:unhideWhenUsed/>
    <w:rsid w:val="00C568CF"/>
    <w:rPr>
      <w:sz w:val="20"/>
      <w:szCs w:val="20"/>
    </w:rPr>
  </w:style>
  <w:style w:type="character" w:customStyle="1" w:styleId="CommentTextChar">
    <w:name w:val="Comment Text Char"/>
    <w:basedOn w:val="DefaultParagraphFont"/>
    <w:link w:val="CommentText"/>
    <w:uiPriority w:val="99"/>
    <w:semiHidden/>
    <w:rsid w:val="00C568CF"/>
    <w:rPr>
      <w:rFonts w:ascii="Times New Roman" w:eastAsia="Calibri"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568CF"/>
    <w:rPr>
      <w:b/>
      <w:bCs/>
    </w:rPr>
  </w:style>
  <w:style w:type="character" w:customStyle="1" w:styleId="CommentSubjectChar">
    <w:name w:val="Comment Subject Char"/>
    <w:basedOn w:val="CommentTextChar"/>
    <w:link w:val="CommentSubject"/>
    <w:uiPriority w:val="99"/>
    <w:semiHidden/>
    <w:rsid w:val="00C568CF"/>
    <w:rPr>
      <w:rFonts w:ascii="Times New Roman" w:eastAsia="Calibri" w:hAnsi="Times New Roman" w:cs="Times New Roman"/>
      <w:b/>
      <w:bCs/>
      <w:sz w:val="20"/>
      <w:szCs w:val="20"/>
      <w:lang w:val="lv-LV"/>
    </w:rPr>
  </w:style>
  <w:style w:type="paragraph" w:styleId="BalloonText">
    <w:name w:val="Balloon Text"/>
    <w:basedOn w:val="Normal"/>
    <w:link w:val="BalloonTextChar"/>
    <w:uiPriority w:val="99"/>
    <w:semiHidden/>
    <w:unhideWhenUsed/>
    <w:rsid w:val="00C568CF"/>
    <w:rPr>
      <w:rFonts w:ascii="Tahoma" w:hAnsi="Tahoma" w:cs="Tahoma"/>
      <w:sz w:val="16"/>
      <w:szCs w:val="16"/>
    </w:rPr>
  </w:style>
  <w:style w:type="character" w:customStyle="1" w:styleId="BalloonTextChar">
    <w:name w:val="Balloon Text Char"/>
    <w:basedOn w:val="DefaultParagraphFont"/>
    <w:link w:val="BalloonText"/>
    <w:uiPriority w:val="99"/>
    <w:semiHidden/>
    <w:rsid w:val="00C568CF"/>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61"/>
    <w:pPr>
      <w:spacing w:after="0" w:line="240" w:lineRule="auto"/>
    </w:pPr>
    <w:rPr>
      <w:rFonts w:ascii="Times New Roman" w:eastAsia="Calibri"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D61"/>
    <w:pPr>
      <w:widowControl w:val="0"/>
      <w:tabs>
        <w:tab w:val="center" w:pos="4153"/>
        <w:tab w:val="right" w:pos="8306"/>
      </w:tabs>
      <w:adjustRightInd w:val="0"/>
      <w:spacing w:line="360" w:lineRule="atLeast"/>
      <w:jc w:val="both"/>
      <w:textAlignment w:val="baseline"/>
    </w:pPr>
  </w:style>
  <w:style w:type="character" w:customStyle="1" w:styleId="HeaderChar">
    <w:name w:val="Header Char"/>
    <w:basedOn w:val="DefaultParagraphFont"/>
    <w:link w:val="Header"/>
    <w:rsid w:val="003B7D61"/>
    <w:rPr>
      <w:rFonts w:ascii="Times New Roman" w:eastAsia="Calibri" w:hAnsi="Times New Roman" w:cs="Times New Roman"/>
      <w:sz w:val="24"/>
      <w:szCs w:val="24"/>
      <w:lang w:val="lv-LV"/>
    </w:rPr>
  </w:style>
  <w:style w:type="paragraph" w:customStyle="1" w:styleId="naisf">
    <w:name w:val="naisf"/>
    <w:basedOn w:val="Normal"/>
    <w:rsid w:val="003B7D61"/>
    <w:pPr>
      <w:spacing w:before="75" w:after="75"/>
      <w:ind w:firstLine="375"/>
      <w:jc w:val="both"/>
    </w:pPr>
  </w:style>
  <w:style w:type="paragraph" w:styleId="BodyText">
    <w:name w:val="Body Text"/>
    <w:basedOn w:val="Normal"/>
    <w:link w:val="BodyTextChar"/>
    <w:rsid w:val="003B7D61"/>
    <w:pPr>
      <w:jc w:val="both"/>
    </w:pPr>
    <w:rPr>
      <w:sz w:val="28"/>
      <w:szCs w:val="28"/>
      <w:lang w:val="en-AU"/>
    </w:rPr>
  </w:style>
  <w:style w:type="character" w:customStyle="1" w:styleId="BodyTextChar">
    <w:name w:val="Body Text Char"/>
    <w:basedOn w:val="DefaultParagraphFont"/>
    <w:link w:val="BodyText"/>
    <w:rsid w:val="003B7D61"/>
    <w:rPr>
      <w:rFonts w:ascii="Times New Roman" w:eastAsia="Calibri" w:hAnsi="Times New Roman" w:cs="Times New Roman"/>
      <w:sz w:val="28"/>
      <w:szCs w:val="28"/>
      <w:lang w:val="en-AU"/>
    </w:rPr>
  </w:style>
  <w:style w:type="character" w:styleId="PageNumber">
    <w:name w:val="page number"/>
    <w:basedOn w:val="DefaultParagraphFont"/>
    <w:rsid w:val="003B7D61"/>
  </w:style>
  <w:style w:type="paragraph" w:styleId="Footer">
    <w:name w:val="footer"/>
    <w:basedOn w:val="Normal"/>
    <w:link w:val="FooterChar"/>
    <w:uiPriority w:val="99"/>
    <w:rsid w:val="003B7D61"/>
    <w:pPr>
      <w:tabs>
        <w:tab w:val="center" w:pos="4153"/>
        <w:tab w:val="right" w:pos="8306"/>
      </w:tabs>
    </w:pPr>
  </w:style>
  <w:style w:type="character" w:customStyle="1" w:styleId="FooterChar">
    <w:name w:val="Footer Char"/>
    <w:basedOn w:val="DefaultParagraphFont"/>
    <w:link w:val="Footer"/>
    <w:uiPriority w:val="99"/>
    <w:rsid w:val="003B7D61"/>
    <w:rPr>
      <w:rFonts w:ascii="Times New Roman" w:eastAsia="Calibri" w:hAnsi="Times New Roman" w:cs="Times New Roman"/>
      <w:sz w:val="24"/>
      <w:szCs w:val="24"/>
      <w:lang w:val="lv-LV"/>
    </w:rPr>
  </w:style>
  <w:style w:type="character" w:styleId="Hyperlink">
    <w:name w:val="Hyperlink"/>
    <w:uiPriority w:val="99"/>
    <w:unhideWhenUsed/>
    <w:rsid w:val="003B7D61"/>
    <w:rPr>
      <w:rFonts w:ascii="Arial" w:hAnsi="Arial" w:cs="Arial" w:hint="default"/>
      <w:color w:val="1A0DAB"/>
      <w:u w:val="single"/>
    </w:rPr>
  </w:style>
  <w:style w:type="paragraph" w:styleId="ListParagraph">
    <w:name w:val="List Paragraph"/>
    <w:basedOn w:val="Normal"/>
    <w:uiPriority w:val="34"/>
    <w:qFormat/>
    <w:rsid w:val="003B7D61"/>
    <w:pPr>
      <w:ind w:left="720"/>
      <w:contextualSpacing/>
    </w:pPr>
    <w:rPr>
      <w:rFonts w:eastAsia="Times New Roman" w:cs="Arial Unicode MS"/>
      <w:sz w:val="20"/>
      <w:szCs w:val="20"/>
      <w:lang w:val="en-GB" w:bidi="lo-LA"/>
    </w:rPr>
  </w:style>
  <w:style w:type="character" w:styleId="CommentReference">
    <w:name w:val="annotation reference"/>
    <w:basedOn w:val="DefaultParagraphFont"/>
    <w:uiPriority w:val="99"/>
    <w:semiHidden/>
    <w:unhideWhenUsed/>
    <w:rsid w:val="00C568CF"/>
    <w:rPr>
      <w:sz w:val="16"/>
      <w:szCs w:val="16"/>
    </w:rPr>
  </w:style>
  <w:style w:type="paragraph" w:styleId="CommentText">
    <w:name w:val="annotation text"/>
    <w:basedOn w:val="Normal"/>
    <w:link w:val="CommentTextChar"/>
    <w:uiPriority w:val="99"/>
    <w:semiHidden/>
    <w:unhideWhenUsed/>
    <w:rsid w:val="00C568CF"/>
    <w:rPr>
      <w:sz w:val="20"/>
      <w:szCs w:val="20"/>
    </w:rPr>
  </w:style>
  <w:style w:type="character" w:customStyle="1" w:styleId="CommentTextChar">
    <w:name w:val="Comment Text Char"/>
    <w:basedOn w:val="DefaultParagraphFont"/>
    <w:link w:val="CommentText"/>
    <w:uiPriority w:val="99"/>
    <w:semiHidden/>
    <w:rsid w:val="00C568CF"/>
    <w:rPr>
      <w:rFonts w:ascii="Times New Roman" w:eastAsia="Calibri"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568CF"/>
    <w:rPr>
      <w:b/>
      <w:bCs/>
    </w:rPr>
  </w:style>
  <w:style w:type="character" w:customStyle="1" w:styleId="CommentSubjectChar">
    <w:name w:val="Comment Subject Char"/>
    <w:basedOn w:val="CommentTextChar"/>
    <w:link w:val="CommentSubject"/>
    <w:uiPriority w:val="99"/>
    <w:semiHidden/>
    <w:rsid w:val="00C568CF"/>
    <w:rPr>
      <w:rFonts w:ascii="Times New Roman" w:eastAsia="Calibri" w:hAnsi="Times New Roman" w:cs="Times New Roman"/>
      <w:b/>
      <w:bCs/>
      <w:sz w:val="20"/>
      <w:szCs w:val="20"/>
      <w:lang w:val="lv-LV"/>
    </w:rPr>
  </w:style>
  <w:style w:type="paragraph" w:styleId="BalloonText">
    <w:name w:val="Balloon Text"/>
    <w:basedOn w:val="Normal"/>
    <w:link w:val="BalloonTextChar"/>
    <w:uiPriority w:val="99"/>
    <w:semiHidden/>
    <w:unhideWhenUsed/>
    <w:rsid w:val="00C568CF"/>
    <w:rPr>
      <w:rFonts w:ascii="Tahoma" w:hAnsi="Tahoma" w:cs="Tahoma"/>
      <w:sz w:val="16"/>
      <w:szCs w:val="16"/>
    </w:rPr>
  </w:style>
  <w:style w:type="character" w:customStyle="1" w:styleId="BalloonTextChar">
    <w:name w:val="Balloon Text Char"/>
    <w:basedOn w:val="DefaultParagraphFont"/>
    <w:link w:val="BalloonText"/>
    <w:uiPriority w:val="99"/>
    <w:semiHidden/>
    <w:rsid w:val="00C568CF"/>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6029</Words>
  <Characters>3437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Valsts kanceleja</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Administratīvo pārkāpumu kodeksā" sākotnējās ietekmes novērtējuma ziņojums (anotācija)</dc:title>
  <dc:subject>Sākotnējās ietekmes novērtējuma ziņojums (anotācija)</dc:subject>
  <dc:creator>Dita Erna Sile</dc:creator>
  <dc:description>67082948
Dita.Erna.Sile@mk.gov.lv </dc:description>
  <cp:lastModifiedBy>Anna Putāne</cp:lastModifiedBy>
  <cp:revision>9</cp:revision>
  <cp:lastPrinted>2017-03-17T08:09:00Z</cp:lastPrinted>
  <dcterms:created xsi:type="dcterms:W3CDTF">2017-02-13T15:25:00Z</dcterms:created>
  <dcterms:modified xsi:type="dcterms:W3CDTF">2017-03-30T12:20:00Z</dcterms:modified>
</cp:coreProperties>
</file>