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9F" w:rsidRPr="00DE7184" w:rsidRDefault="00D05448" w:rsidP="0020145C">
      <w:pPr>
        <w:spacing w:line="240" w:lineRule="auto"/>
        <w:ind w:firstLine="720"/>
        <w:jc w:val="center"/>
        <w:rPr>
          <w:rFonts w:ascii="Times New Roman" w:hAnsi="Times New Roman"/>
          <w:b/>
          <w:sz w:val="28"/>
          <w:szCs w:val="28"/>
        </w:rPr>
      </w:pPr>
      <w:bookmarkStart w:id="0" w:name="OLE_LINK1"/>
      <w:bookmarkStart w:id="1" w:name="OLE_LINK2"/>
      <w:r w:rsidRPr="00DE7184">
        <w:rPr>
          <w:rFonts w:ascii="Times New Roman" w:hAnsi="Times New Roman"/>
          <w:b/>
          <w:sz w:val="28"/>
          <w:szCs w:val="28"/>
        </w:rPr>
        <w:t>Ministru kabineta noteikumu projekt</w:t>
      </w:r>
      <w:r w:rsidR="00B45C8D" w:rsidRPr="00DE7184">
        <w:rPr>
          <w:rFonts w:ascii="Times New Roman" w:hAnsi="Times New Roman"/>
          <w:b/>
          <w:sz w:val="28"/>
          <w:szCs w:val="28"/>
        </w:rPr>
        <w:t>a</w:t>
      </w:r>
      <w:r w:rsidRPr="00DE7184">
        <w:rPr>
          <w:rFonts w:ascii="Times New Roman" w:hAnsi="Times New Roman"/>
          <w:b/>
          <w:sz w:val="28"/>
          <w:szCs w:val="28"/>
        </w:rPr>
        <w:t xml:space="preserve"> </w:t>
      </w:r>
      <w:r w:rsidR="001659BE" w:rsidRPr="00DE7184">
        <w:rPr>
          <w:rFonts w:ascii="Times New Roman" w:hAnsi="Times New Roman"/>
          <w:b/>
          <w:sz w:val="28"/>
          <w:szCs w:val="28"/>
        </w:rPr>
        <w:t>„</w:t>
      </w:r>
      <w:r w:rsidR="006C5E77" w:rsidRPr="00DE7184">
        <w:rPr>
          <w:rFonts w:ascii="Times New Roman" w:hAnsi="Times New Roman"/>
          <w:b/>
          <w:sz w:val="28"/>
          <w:szCs w:val="28"/>
        </w:rPr>
        <w:t>Grozījumi Ministru kabineta 2015.gada 3.februāra noteikumos Nr.59 „Valsts un Eiropas Savienības atbalsta piešķiršanas kārtība investīciju veicināšanai lauksaimniecībā””</w:t>
      </w:r>
      <w:r w:rsidRPr="00DE7184">
        <w:rPr>
          <w:rFonts w:ascii="Times New Roman" w:hAnsi="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DE7184">
          <w:rPr>
            <w:rFonts w:ascii="Times New Roman" w:hAnsi="Times New Roman"/>
            <w:b/>
            <w:sz w:val="28"/>
            <w:szCs w:val="28"/>
          </w:rPr>
          <w:t>ziņojums</w:t>
        </w:r>
      </w:smartTag>
      <w:r w:rsidRPr="00DE7184">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FB0F9F" w:rsidRPr="00FB0F9F" w:rsidRDefault="00102696" w:rsidP="00CC534B">
            <w:pPr>
              <w:spacing w:after="0" w:line="240" w:lineRule="auto"/>
              <w:ind w:firstLine="413"/>
              <w:jc w:val="both"/>
              <w:rPr>
                <w:rFonts w:ascii="Times New Roman" w:hAnsi="Times New Roman"/>
                <w:sz w:val="24"/>
                <w:szCs w:val="24"/>
              </w:rPr>
            </w:pPr>
            <w:r w:rsidRPr="00557425">
              <w:rPr>
                <w:rFonts w:ascii="Times New Roman" w:hAnsi="Times New Roman"/>
                <w:sz w:val="24"/>
                <w:szCs w:val="24"/>
              </w:rPr>
              <w:t>Ministru kabineta noteikumu projekts „</w:t>
            </w:r>
            <w:r w:rsidRPr="00D732A1">
              <w:rPr>
                <w:rFonts w:ascii="Times New Roman" w:hAnsi="Times New Roman"/>
                <w:sz w:val="24"/>
                <w:szCs w:val="24"/>
              </w:rPr>
              <w:t xml:space="preserve">Grozījumi </w:t>
            </w:r>
            <w:r w:rsidRPr="00B5180C">
              <w:rPr>
                <w:rFonts w:ascii="Times New Roman" w:hAnsi="Times New Roman"/>
                <w:sz w:val="24"/>
                <w:szCs w:val="24"/>
              </w:rPr>
              <w:t>Ministru kabineta 2015.gada 3.februāra noteikum</w:t>
            </w:r>
            <w:r>
              <w:rPr>
                <w:rFonts w:ascii="Times New Roman" w:hAnsi="Times New Roman"/>
                <w:sz w:val="24"/>
                <w:szCs w:val="24"/>
              </w:rPr>
              <w:t>os</w:t>
            </w:r>
            <w:r w:rsidRPr="00B5180C">
              <w:rPr>
                <w:rFonts w:ascii="Times New Roman" w:hAnsi="Times New Roman"/>
                <w:sz w:val="24"/>
                <w:szCs w:val="24"/>
              </w:rPr>
              <w:t xml:space="preserve"> Nr.59 „Valsts un Eiropas Savienības atbalsta piešķiršanas kārtība investīciju veicināšanai lauksaimniecībā”</w:t>
            </w:r>
            <w:r w:rsidRPr="00557425">
              <w:rPr>
                <w:rFonts w:ascii="Times New Roman" w:hAnsi="Times New Roman"/>
                <w:sz w:val="24"/>
                <w:szCs w:val="24"/>
              </w:rPr>
              <w:t>” (turpmāk – noteikumu projekts)</w:t>
            </w:r>
            <w:r w:rsidR="00CC534B">
              <w:rPr>
                <w:rFonts w:ascii="Times New Roman" w:hAnsi="Times New Roman"/>
                <w:sz w:val="24"/>
                <w:szCs w:val="24"/>
              </w:rPr>
              <w:t xml:space="preserve"> ir sagatavots, pamatojoties uz </w:t>
            </w:r>
            <w:r w:rsidR="005C62CD" w:rsidRPr="00102696">
              <w:rPr>
                <w:rFonts w:ascii="Times New Roman" w:hAnsi="Times New Roman"/>
                <w:sz w:val="24"/>
                <w:szCs w:val="24"/>
              </w:rPr>
              <w:t>Lauksaimniecības un lauku attīstības likuma 5.panta 3.</w:t>
            </w:r>
            <w:r w:rsidR="005C62CD" w:rsidRPr="00102696">
              <w:rPr>
                <w:rFonts w:ascii="Times New Roman" w:hAnsi="Times New Roman"/>
                <w:sz w:val="24"/>
                <w:szCs w:val="24"/>
                <w:vertAlign w:val="superscript"/>
              </w:rPr>
              <w:t>1</w:t>
            </w:r>
            <w:r w:rsidR="005C62CD" w:rsidRPr="00102696">
              <w:rPr>
                <w:rFonts w:ascii="Times New Roman" w:hAnsi="Times New Roman"/>
                <w:sz w:val="24"/>
                <w:szCs w:val="24"/>
              </w:rPr>
              <w:t xml:space="preserve"> un </w:t>
            </w:r>
            <w:r w:rsidRPr="00102696">
              <w:rPr>
                <w:rFonts w:ascii="Times New Roman" w:hAnsi="Times New Roman"/>
                <w:sz w:val="24"/>
                <w:szCs w:val="24"/>
              </w:rPr>
              <w:t>ceturt</w:t>
            </w:r>
            <w:r>
              <w:rPr>
                <w:rFonts w:ascii="Times New Roman" w:hAnsi="Times New Roman"/>
                <w:sz w:val="24"/>
                <w:szCs w:val="24"/>
              </w:rPr>
              <w:t>o</w:t>
            </w:r>
            <w:r w:rsidRPr="00102696">
              <w:rPr>
                <w:rFonts w:ascii="Times New Roman" w:hAnsi="Times New Roman"/>
                <w:sz w:val="24"/>
                <w:szCs w:val="24"/>
              </w:rPr>
              <w:t xml:space="preserve"> daļ</w:t>
            </w:r>
            <w:r>
              <w:rPr>
                <w:rFonts w:ascii="Times New Roman" w:hAnsi="Times New Roman"/>
                <w:sz w:val="24"/>
                <w:szCs w:val="24"/>
              </w:rPr>
              <w:t>u</w:t>
            </w:r>
            <w:r w:rsidR="00CC534B">
              <w:rPr>
                <w:rFonts w:ascii="Times New Roman" w:hAnsi="Times New Roman"/>
                <w:sz w:val="24"/>
                <w:szCs w:val="24"/>
              </w:rPr>
              <w:t>.</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6C5E77" w:rsidRDefault="006C5E77" w:rsidP="00BF3153">
            <w:pPr>
              <w:spacing w:after="0" w:line="240" w:lineRule="auto"/>
              <w:ind w:firstLine="388"/>
              <w:jc w:val="both"/>
              <w:rPr>
                <w:rFonts w:ascii="Times New Roman" w:hAnsi="Times New Roman"/>
                <w:sz w:val="24"/>
                <w:szCs w:val="24"/>
              </w:rPr>
            </w:pPr>
            <w:r w:rsidRPr="00B5180C">
              <w:rPr>
                <w:rFonts w:ascii="Times New Roman" w:hAnsi="Times New Roman"/>
                <w:sz w:val="24"/>
                <w:szCs w:val="24"/>
              </w:rPr>
              <w:t>Spēkā esošie Ministru kabineta 2015.</w:t>
            </w:r>
            <w:r w:rsidR="00476070">
              <w:rPr>
                <w:rFonts w:ascii="Times New Roman" w:hAnsi="Times New Roman"/>
                <w:sz w:val="24"/>
                <w:szCs w:val="24"/>
              </w:rPr>
              <w:t xml:space="preserve"> </w:t>
            </w:r>
            <w:r w:rsidRPr="00B5180C">
              <w:rPr>
                <w:rFonts w:ascii="Times New Roman" w:hAnsi="Times New Roman"/>
                <w:sz w:val="24"/>
                <w:szCs w:val="24"/>
              </w:rPr>
              <w:t>gada 3.</w:t>
            </w:r>
            <w:r w:rsidR="00476070">
              <w:rPr>
                <w:rFonts w:ascii="Times New Roman" w:hAnsi="Times New Roman"/>
                <w:sz w:val="24"/>
                <w:szCs w:val="24"/>
              </w:rPr>
              <w:t xml:space="preserve"> </w:t>
            </w:r>
            <w:r w:rsidRPr="00B5180C">
              <w:rPr>
                <w:rFonts w:ascii="Times New Roman" w:hAnsi="Times New Roman"/>
                <w:sz w:val="24"/>
                <w:szCs w:val="24"/>
              </w:rPr>
              <w:t>februāra noteikumi Nr.</w:t>
            </w:r>
            <w:r w:rsidR="00476070">
              <w:rPr>
                <w:rFonts w:ascii="Times New Roman" w:hAnsi="Times New Roman"/>
                <w:sz w:val="24"/>
                <w:szCs w:val="24"/>
              </w:rPr>
              <w:t xml:space="preserve"> </w:t>
            </w:r>
            <w:r w:rsidRPr="00B5180C">
              <w:rPr>
                <w:rFonts w:ascii="Times New Roman" w:hAnsi="Times New Roman"/>
                <w:sz w:val="24"/>
                <w:szCs w:val="24"/>
              </w:rPr>
              <w:t xml:space="preserve">59 „Valsts un Eiropas Savienības atbalsta piešķiršanas kārtība investīciju veicināšanai lauksaimniecībā” (turpmāk – </w:t>
            </w:r>
            <w:r w:rsidR="00E226A9">
              <w:rPr>
                <w:rFonts w:ascii="Times New Roman" w:hAnsi="Times New Roman"/>
                <w:sz w:val="24"/>
                <w:szCs w:val="24"/>
              </w:rPr>
              <w:t xml:space="preserve">MK </w:t>
            </w:r>
            <w:r w:rsidRPr="00B5180C">
              <w:rPr>
                <w:rFonts w:ascii="Times New Roman" w:hAnsi="Times New Roman"/>
                <w:sz w:val="24"/>
                <w:szCs w:val="24"/>
              </w:rPr>
              <w:t>noteikumi Nr.</w:t>
            </w:r>
            <w:r w:rsidR="00476070">
              <w:rPr>
                <w:rFonts w:ascii="Times New Roman" w:hAnsi="Times New Roman"/>
                <w:sz w:val="24"/>
                <w:szCs w:val="24"/>
              </w:rPr>
              <w:t xml:space="preserve"> </w:t>
            </w:r>
            <w:r w:rsidRPr="00B5180C">
              <w:rPr>
                <w:rFonts w:ascii="Times New Roman" w:hAnsi="Times New Roman"/>
                <w:sz w:val="24"/>
                <w:szCs w:val="24"/>
              </w:rPr>
              <w:t xml:space="preserve">59) nosaka kārtību, kādā piešķir valsts un Eiropas Savienības atbalstu, kā arī atbalsta piešķiršanas kritērijus un </w:t>
            </w:r>
            <w:r w:rsidR="002C3263">
              <w:rPr>
                <w:rFonts w:ascii="Times New Roman" w:hAnsi="Times New Roman"/>
                <w:sz w:val="24"/>
                <w:szCs w:val="24"/>
              </w:rPr>
              <w:t xml:space="preserve">atbalsta </w:t>
            </w:r>
            <w:r w:rsidRPr="00B5180C">
              <w:rPr>
                <w:rFonts w:ascii="Times New Roman" w:hAnsi="Times New Roman"/>
                <w:sz w:val="24"/>
                <w:szCs w:val="24"/>
              </w:rPr>
              <w:t>apmēru</w:t>
            </w:r>
            <w:r w:rsidR="002C3263">
              <w:rPr>
                <w:rFonts w:ascii="Times New Roman" w:hAnsi="Times New Roman"/>
                <w:sz w:val="24"/>
                <w:szCs w:val="24"/>
              </w:rPr>
              <w:t xml:space="preserve"> </w:t>
            </w:r>
            <w:r w:rsidR="00E226A9">
              <w:rPr>
                <w:rFonts w:ascii="Times New Roman" w:hAnsi="Times New Roman"/>
                <w:sz w:val="24"/>
                <w:szCs w:val="24"/>
              </w:rPr>
              <w:t>2016</w:t>
            </w:r>
            <w:r w:rsidR="002C3263">
              <w:rPr>
                <w:rFonts w:ascii="Times New Roman" w:hAnsi="Times New Roman"/>
                <w:sz w:val="24"/>
                <w:szCs w:val="24"/>
              </w:rPr>
              <w:t>.</w:t>
            </w:r>
            <w:r w:rsidR="00476070">
              <w:rPr>
                <w:rFonts w:ascii="Times New Roman" w:hAnsi="Times New Roman"/>
                <w:sz w:val="24"/>
                <w:szCs w:val="24"/>
              </w:rPr>
              <w:t xml:space="preserve"> </w:t>
            </w:r>
            <w:r w:rsidR="002C3263">
              <w:rPr>
                <w:rFonts w:ascii="Times New Roman" w:hAnsi="Times New Roman"/>
                <w:sz w:val="24"/>
                <w:szCs w:val="24"/>
              </w:rPr>
              <w:t>gadam</w:t>
            </w:r>
            <w:r w:rsidRPr="00B5180C">
              <w:rPr>
                <w:rFonts w:ascii="Times New Roman" w:hAnsi="Times New Roman"/>
                <w:sz w:val="24"/>
                <w:szCs w:val="24"/>
              </w:rPr>
              <w:t>.</w:t>
            </w:r>
          </w:p>
          <w:p w:rsidR="00B366C0" w:rsidRDefault="00661251" w:rsidP="00260055">
            <w:pPr>
              <w:spacing w:after="0" w:line="240" w:lineRule="auto"/>
              <w:ind w:firstLine="388"/>
              <w:jc w:val="both"/>
              <w:rPr>
                <w:rFonts w:ascii="Times New Roman" w:hAnsi="Times New Roman"/>
                <w:sz w:val="24"/>
                <w:szCs w:val="24"/>
              </w:rPr>
            </w:pPr>
            <w:r>
              <w:rPr>
                <w:rFonts w:ascii="Times New Roman" w:hAnsi="Times New Roman"/>
                <w:sz w:val="24"/>
                <w:szCs w:val="24"/>
              </w:rPr>
              <w:t xml:space="preserve">Tā kā </w:t>
            </w:r>
            <w:r w:rsidR="00605B25" w:rsidRPr="009232CF">
              <w:rPr>
                <w:rFonts w:ascii="Times New Roman" w:hAnsi="Times New Roman"/>
                <w:sz w:val="24"/>
                <w:szCs w:val="24"/>
              </w:rPr>
              <w:t>MK noteikumu Nr. 59 2.punktā ir norādītas atsauces uz spēkā neesošiem Ministru kabineta noteikumiem</w:t>
            </w:r>
            <w:r>
              <w:rPr>
                <w:rFonts w:ascii="Times New Roman" w:hAnsi="Times New Roman"/>
                <w:sz w:val="24"/>
                <w:szCs w:val="24"/>
              </w:rPr>
              <w:t>,</w:t>
            </w:r>
            <w:r w:rsidR="00605B25" w:rsidRPr="009232CF">
              <w:rPr>
                <w:rFonts w:ascii="Times New Roman" w:hAnsi="Times New Roman"/>
                <w:sz w:val="24"/>
                <w:szCs w:val="24"/>
              </w:rPr>
              <w:t xml:space="preserve"> noteikumu </w:t>
            </w:r>
            <w:r w:rsidR="00B366C0" w:rsidRPr="009232CF">
              <w:rPr>
                <w:rFonts w:ascii="Times New Roman" w:hAnsi="Times New Roman"/>
                <w:sz w:val="24"/>
                <w:szCs w:val="24"/>
              </w:rPr>
              <w:t xml:space="preserve">projekta 1.punktā tiek precizēta atsauce uz </w:t>
            </w:r>
            <w:r w:rsidR="00605B25" w:rsidRPr="009232CF">
              <w:rPr>
                <w:rFonts w:ascii="Times New Roman" w:hAnsi="Times New Roman"/>
                <w:sz w:val="24"/>
                <w:szCs w:val="24"/>
              </w:rPr>
              <w:t xml:space="preserve">spēkā esošiem </w:t>
            </w:r>
            <w:r w:rsidR="00B366C0" w:rsidRPr="009232CF">
              <w:rPr>
                <w:rFonts w:ascii="Times New Roman" w:hAnsi="Times New Roman"/>
                <w:sz w:val="24"/>
                <w:szCs w:val="24"/>
              </w:rPr>
              <w:t>normatīvajiem aktiem, kas paredz investīciju projektu īstenošanu.</w:t>
            </w:r>
          </w:p>
          <w:p w:rsidR="002C3263" w:rsidRDefault="002C3263" w:rsidP="00F23C64">
            <w:pPr>
              <w:spacing w:after="0" w:line="240" w:lineRule="auto"/>
              <w:ind w:firstLine="388"/>
              <w:jc w:val="both"/>
              <w:rPr>
                <w:rFonts w:ascii="Times New Roman" w:hAnsi="Times New Roman"/>
                <w:sz w:val="24"/>
                <w:szCs w:val="24"/>
              </w:rPr>
            </w:pPr>
            <w:r>
              <w:rPr>
                <w:rFonts w:ascii="Times New Roman" w:hAnsi="Times New Roman"/>
                <w:sz w:val="24"/>
                <w:szCs w:val="24"/>
              </w:rPr>
              <w:t xml:space="preserve">Lai nodrošinātu atbalstu arī </w:t>
            </w:r>
            <w:r w:rsidR="00E226A9">
              <w:rPr>
                <w:rFonts w:ascii="Times New Roman" w:hAnsi="Times New Roman"/>
                <w:sz w:val="24"/>
                <w:szCs w:val="24"/>
              </w:rPr>
              <w:t>2017</w:t>
            </w:r>
            <w:r>
              <w:rPr>
                <w:rFonts w:ascii="Times New Roman" w:hAnsi="Times New Roman"/>
                <w:sz w:val="24"/>
                <w:szCs w:val="24"/>
              </w:rPr>
              <w:t>.</w:t>
            </w:r>
            <w:r w:rsidR="00476070">
              <w:rPr>
                <w:rFonts w:ascii="Times New Roman" w:hAnsi="Times New Roman"/>
                <w:sz w:val="24"/>
                <w:szCs w:val="24"/>
              </w:rPr>
              <w:t xml:space="preserve"> </w:t>
            </w:r>
            <w:r>
              <w:rPr>
                <w:rFonts w:ascii="Times New Roman" w:hAnsi="Times New Roman"/>
                <w:sz w:val="24"/>
                <w:szCs w:val="24"/>
              </w:rPr>
              <w:t>gadā</w:t>
            </w:r>
            <w:r w:rsidR="00B366C0">
              <w:rPr>
                <w:rFonts w:ascii="Times New Roman" w:hAnsi="Times New Roman"/>
                <w:sz w:val="24"/>
                <w:szCs w:val="24"/>
              </w:rPr>
              <w:t>, noteikumu projekta 2.punktā precizēts atbalsta pasākuma īstenošanas periods.</w:t>
            </w:r>
          </w:p>
          <w:p w:rsidR="00B366C0" w:rsidRDefault="00B366C0" w:rsidP="00F23C64">
            <w:pPr>
              <w:spacing w:after="0" w:line="240" w:lineRule="auto"/>
              <w:ind w:firstLine="388"/>
              <w:jc w:val="both"/>
              <w:rPr>
                <w:rFonts w:ascii="Times New Roman" w:hAnsi="Times New Roman"/>
                <w:sz w:val="24"/>
                <w:szCs w:val="24"/>
              </w:rPr>
            </w:pPr>
            <w:r>
              <w:rPr>
                <w:rFonts w:ascii="Times New Roman" w:hAnsi="Times New Roman"/>
                <w:sz w:val="24"/>
                <w:szCs w:val="24"/>
              </w:rPr>
              <w:t>2016.gadā beidzās Zemkopības ministrijas un kādreizējās “Latvijas Hipotēku un zemes bankas” savstarpējais līgums par Lauksaimniecības ilgtermiņa investīciju kreditēšanas programmu. Minētā programma vairs netiek īstenota par īpašām fiksētām aizdevumu likmēm</w:t>
            </w:r>
            <w:r w:rsidR="00661251">
              <w:rPr>
                <w:rFonts w:ascii="Times New Roman" w:hAnsi="Times New Roman"/>
                <w:sz w:val="24"/>
                <w:szCs w:val="24"/>
              </w:rPr>
              <w:t>,</w:t>
            </w:r>
            <w:r>
              <w:rPr>
                <w:rFonts w:ascii="Times New Roman" w:hAnsi="Times New Roman"/>
                <w:sz w:val="24"/>
                <w:szCs w:val="24"/>
              </w:rPr>
              <w:t xml:space="preserve"> un ir izbeigta tās likmju pieauguma iespējamā starpības subsidēšana no Zemkopības ministrijas ikgadējiem</w:t>
            </w:r>
            <w:r w:rsidR="00661251">
              <w:rPr>
                <w:rFonts w:ascii="Times New Roman" w:hAnsi="Times New Roman"/>
                <w:sz w:val="24"/>
                <w:szCs w:val="24"/>
              </w:rPr>
              <w:t xml:space="preserve"> resursiem – </w:t>
            </w:r>
            <w:r>
              <w:rPr>
                <w:rFonts w:ascii="Times New Roman" w:hAnsi="Times New Roman"/>
                <w:sz w:val="24"/>
                <w:szCs w:val="24"/>
              </w:rPr>
              <w:t>valsts atbalsta līdzekļiem lauksaimniecībai.</w:t>
            </w:r>
            <w:r w:rsidR="00185ACE">
              <w:rPr>
                <w:rFonts w:ascii="Times New Roman" w:hAnsi="Times New Roman"/>
                <w:sz w:val="24"/>
                <w:szCs w:val="24"/>
              </w:rPr>
              <w:t xml:space="preserve"> </w:t>
            </w:r>
            <w:r w:rsidR="00661251">
              <w:rPr>
                <w:rFonts w:ascii="Times New Roman" w:hAnsi="Times New Roman"/>
                <w:sz w:val="24"/>
                <w:szCs w:val="24"/>
              </w:rPr>
              <w:t>Tas nozīmē, ka</w:t>
            </w:r>
            <w:r w:rsidR="00185ACE">
              <w:rPr>
                <w:rFonts w:ascii="Times New Roman" w:hAnsi="Times New Roman"/>
                <w:sz w:val="24"/>
                <w:szCs w:val="24"/>
              </w:rPr>
              <w:t xml:space="preserve"> vairs nepastāv dubultās subsidēšanas iespēja.</w:t>
            </w:r>
            <w:r>
              <w:rPr>
                <w:rFonts w:ascii="Times New Roman" w:hAnsi="Times New Roman"/>
                <w:sz w:val="24"/>
                <w:szCs w:val="24"/>
              </w:rPr>
              <w:t xml:space="preserve"> Tā kā lauksaimniekiem šie aizdevumi kļūst līdzīgi klasiskiem aizdevumiem</w:t>
            </w:r>
            <w:r w:rsidR="00185ACE">
              <w:rPr>
                <w:rFonts w:ascii="Times New Roman" w:hAnsi="Times New Roman"/>
                <w:sz w:val="24"/>
                <w:szCs w:val="24"/>
              </w:rPr>
              <w:t xml:space="preserve">, </w:t>
            </w:r>
            <w:r w:rsidR="00BF592E">
              <w:rPr>
                <w:rFonts w:ascii="Times New Roman" w:hAnsi="Times New Roman"/>
                <w:sz w:val="24"/>
                <w:szCs w:val="24"/>
              </w:rPr>
              <w:t xml:space="preserve">ar noteikumu projekta 4.punktu </w:t>
            </w:r>
            <w:r w:rsidR="00185ACE">
              <w:rPr>
                <w:rFonts w:ascii="Times New Roman" w:hAnsi="Times New Roman"/>
                <w:sz w:val="24"/>
                <w:szCs w:val="24"/>
              </w:rPr>
              <w:t xml:space="preserve">tiek noņemts ierobežojums par pretendēšanu uz MK noteikumu Nr.59 </w:t>
            </w:r>
            <w:r w:rsidR="00130C87">
              <w:rPr>
                <w:rFonts w:ascii="Times New Roman" w:hAnsi="Times New Roman"/>
                <w:sz w:val="24"/>
                <w:szCs w:val="24"/>
              </w:rPr>
              <w:t xml:space="preserve">atbalstu </w:t>
            </w:r>
            <w:r w:rsidR="00185ACE">
              <w:rPr>
                <w:rFonts w:ascii="Times New Roman" w:hAnsi="Times New Roman"/>
                <w:sz w:val="24"/>
                <w:szCs w:val="24"/>
              </w:rPr>
              <w:t>finansējumu.</w:t>
            </w:r>
          </w:p>
          <w:p w:rsidR="00BF592E" w:rsidRPr="00260055" w:rsidRDefault="00130C87" w:rsidP="00F23C64">
            <w:pPr>
              <w:spacing w:after="0" w:line="240" w:lineRule="auto"/>
              <w:ind w:firstLine="388"/>
              <w:jc w:val="both"/>
              <w:rPr>
                <w:rFonts w:ascii="Times New Roman" w:hAnsi="Times New Roman"/>
                <w:sz w:val="24"/>
                <w:szCs w:val="24"/>
              </w:rPr>
            </w:pPr>
            <w:r w:rsidRPr="00260055">
              <w:rPr>
                <w:rFonts w:ascii="Times New Roman" w:hAnsi="Times New Roman"/>
                <w:sz w:val="24"/>
                <w:szCs w:val="24"/>
              </w:rPr>
              <w:t xml:space="preserve">Eiropas Savienības dalībvalstīs ir atšķirīga pieeja dzīvnieku ierakstīšanai ciltsgrāmatā. Ir valstis, kas dzīvniekus ciltsgrāmatā ieraksta bez produktivitātes rādītājiem – kā </w:t>
            </w:r>
            <w:proofErr w:type="spellStart"/>
            <w:r w:rsidRPr="00260055">
              <w:rPr>
                <w:rFonts w:ascii="Times New Roman" w:hAnsi="Times New Roman"/>
                <w:sz w:val="24"/>
                <w:szCs w:val="24"/>
              </w:rPr>
              <w:t>jaundzīvniekus</w:t>
            </w:r>
            <w:proofErr w:type="spellEnd"/>
            <w:r w:rsidRPr="00260055">
              <w:rPr>
                <w:rFonts w:ascii="Times New Roman" w:hAnsi="Times New Roman"/>
                <w:sz w:val="24"/>
                <w:szCs w:val="24"/>
              </w:rPr>
              <w:t xml:space="preserve"> ar zināmu ģenētisko kvalitāti. Latvijā ciltsgrāmatā ieraksta tikai tos dzīvniekus, kas ir sasnieguši produktivitātes rādītājus</w:t>
            </w:r>
            <w:r w:rsidR="00661251">
              <w:rPr>
                <w:rFonts w:ascii="Times New Roman" w:hAnsi="Times New Roman"/>
                <w:sz w:val="24"/>
                <w:szCs w:val="24"/>
              </w:rPr>
              <w:t>, tas ir,</w:t>
            </w:r>
            <w:r w:rsidRPr="00260055">
              <w:rPr>
                <w:rFonts w:ascii="Times New Roman" w:hAnsi="Times New Roman"/>
                <w:sz w:val="24"/>
                <w:szCs w:val="24"/>
              </w:rPr>
              <w:t xml:space="preserve"> sieviešu kārtas dzīvniekus pēc atnešanās. Lai varētu saņemt atbalstu par ārvalstīs iegādātām grūsnām telēm, ir nepieciešams šķirnes organizācijas apliecinājums, ka dzīvnieks atbilst ierakstīšanai ciltsgrāmatā. </w:t>
            </w:r>
            <w:r w:rsidR="00F23C64" w:rsidRPr="00260055">
              <w:rPr>
                <w:rFonts w:ascii="Times New Roman" w:hAnsi="Times New Roman"/>
                <w:sz w:val="24"/>
                <w:szCs w:val="24"/>
              </w:rPr>
              <w:t>Noteikumu projekta 5.punkts p</w:t>
            </w:r>
            <w:r w:rsidRPr="00260055">
              <w:rPr>
                <w:rFonts w:ascii="Times New Roman" w:hAnsi="Times New Roman"/>
                <w:sz w:val="24"/>
                <w:szCs w:val="24"/>
              </w:rPr>
              <w:t>recizē MK noteikumu Nr.59 18.12.</w:t>
            </w:r>
            <w:r w:rsidR="00661251">
              <w:rPr>
                <w:rFonts w:ascii="Times New Roman" w:hAnsi="Times New Roman"/>
                <w:sz w:val="24"/>
                <w:szCs w:val="24"/>
              </w:rPr>
              <w:t> </w:t>
            </w:r>
            <w:r w:rsidRPr="00260055">
              <w:rPr>
                <w:rFonts w:ascii="Times New Roman" w:hAnsi="Times New Roman"/>
                <w:sz w:val="24"/>
                <w:szCs w:val="24"/>
              </w:rPr>
              <w:t>apakšpunktu, lai minētā norma būtu nepārprotama.</w:t>
            </w:r>
          </w:p>
          <w:p w:rsidR="001B218F" w:rsidRPr="009232CF" w:rsidRDefault="00723F40" w:rsidP="0025065C">
            <w:pPr>
              <w:spacing w:after="0" w:line="240" w:lineRule="auto"/>
              <w:ind w:firstLine="388"/>
              <w:jc w:val="both"/>
              <w:rPr>
                <w:rFonts w:ascii="Times New Roman" w:hAnsi="Times New Roman"/>
                <w:sz w:val="24"/>
                <w:szCs w:val="24"/>
              </w:rPr>
            </w:pPr>
            <w:r w:rsidRPr="009232CF">
              <w:rPr>
                <w:rFonts w:ascii="Times New Roman" w:hAnsi="Times New Roman"/>
                <w:sz w:val="24"/>
                <w:szCs w:val="24"/>
              </w:rPr>
              <w:lastRenderedPageBreak/>
              <w:t xml:space="preserve">Tās </w:t>
            </w:r>
            <w:r w:rsidR="0025065C" w:rsidRPr="009232CF">
              <w:rPr>
                <w:rFonts w:ascii="Times New Roman" w:hAnsi="Times New Roman"/>
                <w:sz w:val="24"/>
                <w:szCs w:val="24"/>
              </w:rPr>
              <w:t>lauksaimniecības pakal</w:t>
            </w:r>
            <w:r w:rsidR="005062D0" w:rsidRPr="009232CF">
              <w:rPr>
                <w:rFonts w:ascii="Times New Roman" w:hAnsi="Times New Roman"/>
                <w:sz w:val="24"/>
                <w:szCs w:val="24"/>
              </w:rPr>
              <w:t>pojumu kooperatīvās sabiedrības</w:t>
            </w:r>
            <w:r w:rsidRPr="009232CF">
              <w:rPr>
                <w:rFonts w:ascii="Times New Roman" w:hAnsi="Times New Roman"/>
                <w:sz w:val="24"/>
                <w:szCs w:val="24"/>
              </w:rPr>
              <w:t>, kas saņēmušas aizdevumus Lauksaimniecības ilgtermiņa investīciju kreditēšanas programm</w:t>
            </w:r>
            <w:r w:rsidR="00661251">
              <w:rPr>
                <w:rFonts w:ascii="Times New Roman" w:hAnsi="Times New Roman"/>
                <w:sz w:val="24"/>
                <w:szCs w:val="24"/>
              </w:rPr>
              <w:t>ā</w:t>
            </w:r>
            <w:r w:rsidRPr="009232CF">
              <w:rPr>
                <w:rFonts w:ascii="Times New Roman" w:hAnsi="Times New Roman"/>
                <w:sz w:val="24"/>
                <w:szCs w:val="24"/>
              </w:rPr>
              <w:t>, paš</w:t>
            </w:r>
            <w:r w:rsidR="00661251">
              <w:rPr>
                <w:rFonts w:ascii="Times New Roman" w:hAnsi="Times New Roman"/>
                <w:sz w:val="24"/>
                <w:szCs w:val="24"/>
              </w:rPr>
              <w:t>laik</w:t>
            </w:r>
            <w:r w:rsidRPr="009232CF">
              <w:rPr>
                <w:rFonts w:ascii="Times New Roman" w:hAnsi="Times New Roman"/>
                <w:sz w:val="24"/>
                <w:szCs w:val="24"/>
              </w:rPr>
              <w:t xml:space="preserve"> nevar pretendēt uz atbalsta saņemšanu saskaņā ar MK noteikumu Nr.59 nosacījumiem. Lai nodrošinātu fiksēt</w:t>
            </w:r>
            <w:r w:rsidR="001B218F" w:rsidRPr="009232CF">
              <w:rPr>
                <w:rFonts w:ascii="Times New Roman" w:hAnsi="Times New Roman"/>
                <w:sz w:val="24"/>
                <w:szCs w:val="24"/>
              </w:rPr>
              <w:t>u ilgtermiņa</w:t>
            </w:r>
            <w:r w:rsidRPr="009232CF">
              <w:rPr>
                <w:rFonts w:ascii="Times New Roman" w:hAnsi="Times New Roman"/>
                <w:sz w:val="24"/>
                <w:szCs w:val="24"/>
              </w:rPr>
              <w:t xml:space="preserve"> aizdevuma likm</w:t>
            </w:r>
            <w:r w:rsidR="001B218F" w:rsidRPr="009232CF">
              <w:rPr>
                <w:rFonts w:ascii="Times New Roman" w:hAnsi="Times New Roman"/>
                <w:sz w:val="24"/>
                <w:szCs w:val="24"/>
              </w:rPr>
              <w:t>i, šiem aizdevumiem jau ir ieplānota subsidēšana, tāpēc netiek paredzēta dubultas subsidēšanas iespēja.</w:t>
            </w:r>
          </w:p>
          <w:p w:rsidR="0010578E" w:rsidRDefault="001B218F" w:rsidP="0025065C">
            <w:pPr>
              <w:spacing w:after="0" w:line="240" w:lineRule="auto"/>
              <w:ind w:firstLine="388"/>
              <w:jc w:val="both"/>
              <w:rPr>
                <w:rFonts w:ascii="Times New Roman" w:hAnsi="Times New Roman"/>
                <w:sz w:val="24"/>
                <w:szCs w:val="24"/>
              </w:rPr>
            </w:pPr>
            <w:r w:rsidRPr="009232CF">
              <w:rPr>
                <w:rFonts w:ascii="Times New Roman" w:hAnsi="Times New Roman"/>
                <w:sz w:val="24"/>
                <w:szCs w:val="24"/>
              </w:rPr>
              <w:t>2016.</w:t>
            </w:r>
            <w:r w:rsidR="0010578E" w:rsidRPr="009232CF">
              <w:rPr>
                <w:rFonts w:ascii="Times New Roman" w:hAnsi="Times New Roman"/>
                <w:sz w:val="24"/>
                <w:szCs w:val="24"/>
              </w:rPr>
              <w:t xml:space="preserve"> </w:t>
            </w:r>
            <w:r w:rsidRPr="009232CF">
              <w:rPr>
                <w:rFonts w:ascii="Times New Roman" w:hAnsi="Times New Roman"/>
                <w:sz w:val="24"/>
                <w:szCs w:val="24"/>
              </w:rPr>
              <w:t>gadā beidzās Zemkopības ministrijas un kādreizējās “Latvijas Hipotēku un zemes bankas” savstarpējais līgums par Lauksaimniecības ilgtermiņa investīciju kreditēšanas programmu. Minētā programma vairs netiek īstenota par īpašām fiksētām aizdevumu likmēm</w:t>
            </w:r>
            <w:r w:rsidR="00661251">
              <w:rPr>
                <w:rFonts w:ascii="Times New Roman" w:hAnsi="Times New Roman"/>
                <w:sz w:val="24"/>
                <w:szCs w:val="24"/>
              </w:rPr>
              <w:t>,</w:t>
            </w:r>
            <w:r w:rsidRPr="009232CF">
              <w:rPr>
                <w:rFonts w:ascii="Times New Roman" w:hAnsi="Times New Roman"/>
                <w:sz w:val="24"/>
                <w:szCs w:val="24"/>
              </w:rPr>
              <w:t xml:space="preserve"> un ir izbeigta tās likmju pieauguma iespējamā starpības subsidēšana no Zemkopības ministrijas ikgadējiem valsts atbalsta līdzekļiem lauksaimniecībai resursiem. </w:t>
            </w:r>
            <w:r w:rsidR="00661251">
              <w:rPr>
                <w:rFonts w:ascii="Times New Roman" w:hAnsi="Times New Roman"/>
                <w:sz w:val="24"/>
                <w:szCs w:val="24"/>
              </w:rPr>
              <w:t>Tas nozīmē, ka</w:t>
            </w:r>
            <w:r w:rsidRPr="009232CF">
              <w:rPr>
                <w:rFonts w:ascii="Times New Roman" w:hAnsi="Times New Roman"/>
                <w:sz w:val="24"/>
                <w:szCs w:val="24"/>
              </w:rPr>
              <w:t xml:space="preserve"> vairs nepastāv dubultās subsidēšanas iespēja. Tā kā lauksaimniecības pakalpojumu kooperatīvajām sabiedrībām šie aizdevumi kļūst līdzīgi klasiskiem aizdevumiem, ar noteikumu projekta 6.punktu tiek noņemts ierobežojums par pretendēšanu uz atbalstu MK noteikum</w:t>
            </w:r>
            <w:r w:rsidR="00661251">
              <w:rPr>
                <w:rFonts w:ascii="Times New Roman" w:hAnsi="Times New Roman"/>
                <w:sz w:val="24"/>
                <w:szCs w:val="24"/>
              </w:rPr>
              <w:t>os</w:t>
            </w:r>
            <w:r w:rsidRPr="009232CF">
              <w:rPr>
                <w:rFonts w:ascii="Times New Roman" w:hAnsi="Times New Roman"/>
                <w:sz w:val="24"/>
                <w:szCs w:val="24"/>
              </w:rPr>
              <w:t xml:space="preserve"> Nr.59 </w:t>
            </w:r>
            <w:r w:rsidR="00661251">
              <w:rPr>
                <w:rFonts w:ascii="Times New Roman" w:hAnsi="Times New Roman"/>
                <w:sz w:val="24"/>
                <w:szCs w:val="24"/>
              </w:rPr>
              <w:t xml:space="preserve">paredzētajam </w:t>
            </w:r>
            <w:r w:rsidRPr="009232CF">
              <w:rPr>
                <w:rFonts w:ascii="Times New Roman" w:hAnsi="Times New Roman"/>
                <w:sz w:val="24"/>
                <w:szCs w:val="24"/>
              </w:rPr>
              <w:t>finansējum</w:t>
            </w:r>
            <w:r w:rsidR="00661251">
              <w:rPr>
                <w:rFonts w:ascii="Times New Roman" w:hAnsi="Times New Roman"/>
                <w:sz w:val="24"/>
                <w:szCs w:val="24"/>
              </w:rPr>
              <w:t>am</w:t>
            </w:r>
            <w:r w:rsidRPr="009232CF">
              <w:rPr>
                <w:rFonts w:ascii="Times New Roman" w:hAnsi="Times New Roman"/>
                <w:sz w:val="24"/>
                <w:szCs w:val="24"/>
              </w:rPr>
              <w:t>.</w:t>
            </w:r>
          </w:p>
          <w:p w:rsidR="00B21F86" w:rsidRPr="009232CF" w:rsidRDefault="00B21F86" w:rsidP="0025065C">
            <w:pPr>
              <w:spacing w:after="0" w:line="240" w:lineRule="auto"/>
              <w:ind w:firstLine="388"/>
              <w:jc w:val="both"/>
              <w:rPr>
                <w:rFonts w:ascii="Times New Roman" w:hAnsi="Times New Roman"/>
                <w:sz w:val="24"/>
                <w:szCs w:val="24"/>
              </w:rPr>
            </w:pPr>
            <w:r>
              <w:rPr>
                <w:rFonts w:ascii="Times New Roman" w:hAnsi="Times New Roman"/>
                <w:sz w:val="24"/>
                <w:szCs w:val="24"/>
              </w:rPr>
              <w:t>Noteikumu projekta 7.punktā tiek precizēts termins</w:t>
            </w:r>
            <w:r w:rsidR="00661251">
              <w:rPr>
                <w:rFonts w:ascii="Times New Roman" w:hAnsi="Times New Roman"/>
                <w:sz w:val="24"/>
                <w:szCs w:val="24"/>
              </w:rPr>
              <w:t>, ievērojot</w:t>
            </w:r>
            <w:r>
              <w:rPr>
                <w:rFonts w:ascii="Times New Roman" w:hAnsi="Times New Roman"/>
                <w:sz w:val="24"/>
                <w:szCs w:val="24"/>
              </w:rPr>
              <w:t xml:space="preserve"> </w:t>
            </w:r>
            <w:r w:rsidRPr="009232CF">
              <w:rPr>
                <w:rFonts w:ascii="Times New Roman" w:hAnsi="Times New Roman"/>
                <w:sz w:val="24"/>
                <w:szCs w:val="24"/>
              </w:rPr>
              <w:t>Būvniecības likumā lietoto terminoloģiju.</w:t>
            </w:r>
          </w:p>
          <w:p w:rsidR="00A15202" w:rsidRPr="009232CF" w:rsidRDefault="003C53A8" w:rsidP="0025065C">
            <w:pPr>
              <w:spacing w:after="0" w:line="240" w:lineRule="auto"/>
              <w:ind w:firstLine="388"/>
              <w:jc w:val="both"/>
              <w:rPr>
                <w:rFonts w:ascii="Times New Roman" w:hAnsi="Times New Roman"/>
                <w:sz w:val="24"/>
                <w:szCs w:val="24"/>
              </w:rPr>
            </w:pPr>
            <w:r w:rsidRPr="009232CF">
              <w:rPr>
                <w:rFonts w:ascii="Times New Roman" w:hAnsi="Times New Roman"/>
                <w:sz w:val="24"/>
                <w:szCs w:val="24"/>
              </w:rPr>
              <w:t>MK noteikumu Nr.59 43.3. apakšpunkta redakcij</w:t>
            </w:r>
            <w:r w:rsidR="00661251">
              <w:rPr>
                <w:rFonts w:ascii="Times New Roman" w:hAnsi="Times New Roman"/>
                <w:sz w:val="24"/>
                <w:szCs w:val="24"/>
              </w:rPr>
              <w:t>ā noteikts, ka tiek</w:t>
            </w:r>
            <w:r w:rsidRPr="009232CF">
              <w:rPr>
                <w:rFonts w:ascii="Times New Roman" w:hAnsi="Times New Roman"/>
                <w:sz w:val="24"/>
                <w:szCs w:val="24"/>
              </w:rPr>
              <w:t xml:space="preserve"> atbalst</w:t>
            </w:r>
            <w:r w:rsidR="00661251">
              <w:rPr>
                <w:rFonts w:ascii="Times New Roman" w:hAnsi="Times New Roman"/>
                <w:sz w:val="24"/>
                <w:szCs w:val="24"/>
              </w:rPr>
              <w:t>īta</w:t>
            </w:r>
            <w:r w:rsidRPr="009232CF">
              <w:rPr>
                <w:rFonts w:ascii="Times New Roman" w:hAnsi="Times New Roman"/>
                <w:sz w:val="24"/>
                <w:szCs w:val="24"/>
              </w:rPr>
              <w:t xml:space="preserve"> biroja tehnikas un aprīkojuma iegād</w:t>
            </w:r>
            <w:r w:rsidR="00661251">
              <w:rPr>
                <w:rFonts w:ascii="Times New Roman" w:hAnsi="Times New Roman"/>
                <w:sz w:val="24"/>
                <w:szCs w:val="24"/>
              </w:rPr>
              <w:t>e</w:t>
            </w:r>
            <w:r w:rsidRPr="009232CF">
              <w:rPr>
                <w:rFonts w:ascii="Times New Roman" w:hAnsi="Times New Roman"/>
                <w:sz w:val="24"/>
                <w:szCs w:val="24"/>
              </w:rPr>
              <w:t>. Minētā apakšpunkta redakcija nav pietiekami skaidra</w:t>
            </w:r>
            <w:proofErr w:type="gramStart"/>
            <w:r w:rsidR="00661251">
              <w:rPr>
                <w:rFonts w:ascii="Times New Roman" w:hAnsi="Times New Roman"/>
                <w:sz w:val="24"/>
                <w:szCs w:val="24"/>
              </w:rPr>
              <w:t xml:space="preserve"> , </w:t>
            </w:r>
            <w:proofErr w:type="gramEnd"/>
            <w:r w:rsidR="00661251">
              <w:rPr>
                <w:rFonts w:ascii="Times New Roman" w:hAnsi="Times New Roman"/>
                <w:sz w:val="24"/>
                <w:szCs w:val="24"/>
              </w:rPr>
              <w:t>proti,</w:t>
            </w:r>
            <w:r w:rsidRPr="009232CF">
              <w:rPr>
                <w:rFonts w:ascii="Times New Roman" w:hAnsi="Times New Roman"/>
                <w:sz w:val="24"/>
                <w:szCs w:val="24"/>
              </w:rPr>
              <w:t xml:space="preserve"> vai šajā kategorijā ietilpst arī laboratorijas tehnikas un aprīkojuma iegāde vai tikai un vienīgi klasiskā biroja tehnika. </w:t>
            </w:r>
            <w:r w:rsidR="00A15202" w:rsidRPr="009232CF">
              <w:rPr>
                <w:rFonts w:ascii="Times New Roman" w:hAnsi="Times New Roman"/>
                <w:sz w:val="24"/>
                <w:szCs w:val="24"/>
              </w:rPr>
              <w:t xml:space="preserve">Noteikumu projekta 8.punktā tiek precizēts atbalstāmo pozīciju </w:t>
            </w:r>
            <w:r w:rsidR="00661251">
              <w:rPr>
                <w:rFonts w:ascii="Times New Roman" w:hAnsi="Times New Roman"/>
                <w:sz w:val="24"/>
                <w:szCs w:val="24"/>
              </w:rPr>
              <w:t>saraksts</w:t>
            </w:r>
            <w:r w:rsidR="00C226CD" w:rsidRPr="009232CF">
              <w:rPr>
                <w:rFonts w:ascii="Times New Roman" w:hAnsi="Times New Roman"/>
                <w:sz w:val="24"/>
                <w:szCs w:val="24"/>
              </w:rPr>
              <w:t xml:space="preserve">, </w:t>
            </w:r>
            <w:r w:rsidR="00661251">
              <w:rPr>
                <w:rFonts w:ascii="Times New Roman" w:hAnsi="Times New Roman"/>
                <w:sz w:val="24"/>
                <w:szCs w:val="24"/>
              </w:rPr>
              <w:t>tajā ietverot</w:t>
            </w:r>
            <w:r w:rsidR="00C226CD" w:rsidRPr="009232CF">
              <w:rPr>
                <w:rFonts w:ascii="Times New Roman" w:hAnsi="Times New Roman"/>
                <w:sz w:val="24"/>
                <w:szCs w:val="24"/>
              </w:rPr>
              <w:t xml:space="preserve"> arī laboratoriskās tehnikas un aprīkojuma iegād</w:t>
            </w:r>
            <w:r w:rsidR="00661251">
              <w:rPr>
                <w:rFonts w:ascii="Times New Roman" w:hAnsi="Times New Roman"/>
                <w:sz w:val="24"/>
                <w:szCs w:val="24"/>
              </w:rPr>
              <w:t>i</w:t>
            </w:r>
            <w:r w:rsidR="00C226CD" w:rsidRPr="009232CF">
              <w:rPr>
                <w:rFonts w:ascii="Times New Roman" w:hAnsi="Times New Roman"/>
                <w:sz w:val="24"/>
                <w:szCs w:val="24"/>
              </w:rPr>
              <w:t>.</w:t>
            </w:r>
          </w:p>
          <w:p w:rsidR="00B21F86" w:rsidRDefault="00ED31EB" w:rsidP="00ED31EB">
            <w:pPr>
              <w:spacing w:after="0" w:line="240" w:lineRule="auto"/>
              <w:ind w:firstLine="388"/>
              <w:jc w:val="both"/>
              <w:rPr>
                <w:rFonts w:ascii="Times New Roman" w:hAnsi="Times New Roman"/>
                <w:sz w:val="24"/>
                <w:szCs w:val="24"/>
              </w:rPr>
            </w:pPr>
            <w:r w:rsidRPr="009232CF">
              <w:rPr>
                <w:rFonts w:ascii="Times New Roman" w:hAnsi="Times New Roman"/>
                <w:sz w:val="24"/>
                <w:szCs w:val="24"/>
              </w:rPr>
              <w:t xml:space="preserve">2016. gadā tika </w:t>
            </w:r>
            <w:r w:rsidR="00661251">
              <w:rPr>
                <w:rFonts w:ascii="Times New Roman" w:hAnsi="Times New Roman"/>
                <w:sz w:val="24"/>
                <w:szCs w:val="24"/>
              </w:rPr>
              <w:t>aiz</w:t>
            </w:r>
            <w:r w:rsidRPr="009232CF">
              <w:rPr>
                <w:rFonts w:ascii="Times New Roman" w:hAnsi="Times New Roman"/>
                <w:sz w:val="24"/>
                <w:szCs w:val="24"/>
              </w:rPr>
              <w:t>sākt</w:t>
            </w:r>
            <w:r w:rsidR="00661251">
              <w:rPr>
                <w:rFonts w:ascii="Times New Roman" w:hAnsi="Times New Roman"/>
                <w:sz w:val="24"/>
                <w:szCs w:val="24"/>
              </w:rPr>
              <w:t>i</w:t>
            </w:r>
            <w:r w:rsidRPr="009232CF">
              <w:rPr>
                <w:rFonts w:ascii="Times New Roman" w:hAnsi="Times New Roman"/>
                <w:sz w:val="24"/>
                <w:szCs w:val="24"/>
              </w:rPr>
              <w:t xml:space="preserve"> piec</w:t>
            </w:r>
            <w:r w:rsidR="00661251">
              <w:rPr>
                <w:rFonts w:ascii="Times New Roman" w:hAnsi="Times New Roman"/>
                <w:sz w:val="24"/>
                <w:szCs w:val="24"/>
              </w:rPr>
              <w:t>i</w:t>
            </w:r>
            <w:r w:rsidRPr="009232CF">
              <w:rPr>
                <w:rFonts w:ascii="Times New Roman" w:hAnsi="Times New Roman"/>
                <w:sz w:val="24"/>
                <w:szCs w:val="24"/>
              </w:rPr>
              <w:t xml:space="preserve"> jaun</w:t>
            </w:r>
            <w:r w:rsidR="00DE7184">
              <w:rPr>
                <w:rFonts w:ascii="Times New Roman" w:hAnsi="Times New Roman"/>
                <w:sz w:val="24"/>
                <w:szCs w:val="24"/>
              </w:rPr>
              <w:t>i</w:t>
            </w:r>
            <w:r w:rsidRPr="009232CF">
              <w:rPr>
                <w:rFonts w:ascii="Times New Roman" w:hAnsi="Times New Roman"/>
                <w:sz w:val="24"/>
                <w:szCs w:val="24"/>
              </w:rPr>
              <w:t xml:space="preserve"> pētījum</w:t>
            </w:r>
            <w:r w:rsidR="00661251">
              <w:rPr>
                <w:rFonts w:ascii="Times New Roman" w:hAnsi="Times New Roman"/>
                <w:sz w:val="24"/>
                <w:szCs w:val="24"/>
              </w:rPr>
              <w:t>i</w:t>
            </w:r>
            <w:r w:rsidRPr="009232CF">
              <w:rPr>
                <w:rFonts w:ascii="Times New Roman" w:hAnsi="Times New Roman"/>
                <w:sz w:val="24"/>
                <w:szCs w:val="24"/>
              </w:rPr>
              <w:t>. Savukārt 2017. gadā tiek plānota trīs jaunu pētījumu uzsākšana. N</w:t>
            </w:r>
            <w:r w:rsidR="00B21F86" w:rsidRPr="009232CF">
              <w:rPr>
                <w:rFonts w:ascii="Times New Roman" w:hAnsi="Times New Roman"/>
                <w:sz w:val="24"/>
                <w:szCs w:val="24"/>
              </w:rPr>
              <w:t xml:space="preserve">oteikumu projekta </w:t>
            </w:r>
            <w:r w:rsidR="00C226CD" w:rsidRPr="009232CF">
              <w:rPr>
                <w:rFonts w:ascii="Times New Roman" w:hAnsi="Times New Roman"/>
                <w:sz w:val="24"/>
                <w:szCs w:val="24"/>
              </w:rPr>
              <w:t>9</w:t>
            </w:r>
            <w:r w:rsidR="00B21F86" w:rsidRPr="009232CF">
              <w:rPr>
                <w:rFonts w:ascii="Times New Roman" w:hAnsi="Times New Roman"/>
                <w:sz w:val="24"/>
                <w:szCs w:val="24"/>
              </w:rPr>
              <w:t>.</w:t>
            </w:r>
            <w:r w:rsidRPr="009232CF">
              <w:rPr>
                <w:rFonts w:ascii="Times New Roman" w:hAnsi="Times New Roman"/>
                <w:sz w:val="24"/>
                <w:szCs w:val="24"/>
              </w:rPr>
              <w:t xml:space="preserve"> </w:t>
            </w:r>
            <w:r w:rsidR="00B21F86" w:rsidRPr="009232CF">
              <w:rPr>
                <w:rFonts w:ascii="Times New Roman" w:hAnsi="Times New Roman"/>
                <w:sz w:val="24"/>
                <w:szCs w:val="24"/>
              </w:rPr>
              <w:t xml:space="preserve">punkts precizē </w:t>
            </w:r>
            <w:r w:rsidRPr="009232CF">
              <w:rPr>
                <w:rFonts w:ascii="Times New Roman" w:hAnsi="Times New Roman"/>
                <w:sz w:val="24"/>
                <w:szCs w:val="24"/>
              </w:rPr>
              <w:t xml:space="preserve">MK noteikumu Nr.59 44.1. apakšpunktā minētos turpināmos pētījumu projektus, kā arī 44.2. apakšpunktā </w:t>
            </w:r>
            <w:r w:rsidR="00661251">
              <w:rPr>
                <w:rFonts w:ascii="Times New Roman" w:hAnsi="Times New Roman"/>
                <w:sz w:val="24"/>
                <w:szCs w:val="24"/>
              </w:rPr>
              <w:t>–</w:t>
            </w:r>
            <w:r w:rsidRPr="009232CF">
              <w:rPr>
                <w:rFonts w:ascii="Times New Roman" w:hAnsi="Times New Roman"/>
                <w:sz w:val="24"/>
                <w:szCs w:val="24"/>
              </w:rPr>
              <w:t xml:space="preserve"> no</w:t>
            </w:r>
            <w:r w:rsidR="00B21F86" w:rsidRPr="009232CF">
              <w:rPr>
                <w:rFonts w:ascii="Times New Roman" w:hAnsi="Times New Roman"/>
                <w:sz w:val="24"/>
                <w:szCs w:val="24"/>
              </w:rPr>
              <w:t xml:space="preserve"> jauna </w:t>
            </w:r>
            <w:r w:rsidRPr="009232CF">
              <w:rPr>
                <w:rFonts w:ascii="Times New Roman" w:hAnsi="Times New Roman"/>
                <w:sz w:val="24"/>
                <w:szCs w:val="24"/>
              </w:rPr>
              <w:t xml:space="preserve">uzsākamos </w:t>
            </w:r>
            <w:r w:rsidR="00B21F86" w:rsidRPr="009232CF">
              <w:rPr>
                <w:rFonts w:ascii="Times New Roman" w:hAnsi="Times New Roman"/>
                <w:sz w:val="24"/>
                <w:szCs w:val="24"/>
              </w:rPr>
              <w:t xml:space="preserve">pētījumu </w:t>
            </w:r>
            <w:r w:rsidRPr="009232CF">
              <w:rPr>
                <w:rFonts w:ascii="Times New Roman" w:hAnsi="Times New Roman"/>
                <w:sz w:val="24"/>
                <w:szCs w:val="24"/>
              </w:rPr>
              <w:t>projektus</w:t>
            </w:r>
            <w:r w:rsidR="00B21F86" w:rsidRPr="009232CF">
              <w:rPr>
                <w:rFonts w:ascii="Times New Roman" w:hAnsi="Times New Roman"/>
                <w:sz w:val="24"/>
                <w:szCs w:val="24"/>
              </w:rPr>
              <w:t>.</w:t>
            </w:r>
          </w:p>
          <w:p w:rsidR="00C226CD" w:rsidRDefault="007323B8" w:rsidP="0025065C">
            <w:pPr>
              <w:spacing w:after="0" w:line="240" w:lineRule="auto"/>
              <w:ind w:firstLine="388"/>
              <w:jc w:val="both"/>
              <w:rPr>
                <w:rFonts w:ascii="Times New Roman" w:hAnsi="Times New Roman"/>
                <w:sz w:val="24"/>
                <w:szCs w:val="24"/>
              </w:rPr>
            </w:pPr>
            <w:r>
              <w:rPr>
                <w:rFonts w:ascii="Times New Roman" w:hAnsi="Times New Roman"/>
                <w:sz w:val="24"/>
                <w:szCs w:val="24"/>
              </w:rPr>
              <w:t xml:space="preserve">Lai nodrošinātu kvalificētu dārzkopības nozares speciālistu sagatavošanu, ir nepieciešams veicināt vidējās </w:t>
            </w:r>
            <w:r>
              <w:rPr>
                <w:rFonts w:ascii="Times New Roman" w:hAnsi="Times New Roman"/>
                <w:sz w:val="24"/>
                <w:szCs w:val="24"/>
              </w:rPr>
              <w:softHyphen/>
              <w:t xml:space="preserve"> profesionālās izglītības profesijas apguves līmeni. Lai to nodrošinātu, ir vajadzīga</w:t>
            </w:r>
            <w:r w:rsidR="00661251">
              <w:rPr>
                <w:rFonts w:ascii="Times New Roman" w:hAnsi="Times New Roman"/>
                <w:sz w:val="24"/>
                <w:szCs w:val="24"/>
              </w:rPr>
              <w:t>s</w:t>
            </w:r>
            <w:r>
              <w:rPr>
                <w:rFonts w:ascii="Times New Roman" w:hAnsi="Times New Roman"/>
                <w:sz w:val="24"/>
                <w:szCs w:val="24"/>
              </w:rPr>
              <w:t xml:space="preserve"> investīcij</w:t>
            </w:r>
            <w:r w:rsidR="00661251">
              <w:rPr>
                <w:rFonts w:ascii="Times New Roman" w:hAnsi="Times New Roman"/>
                <w:sz w:val="24"/>
                <w:szCs w:val="24"/>
              </w:rPr>
              <w:t>as</w:t>
            </w:r>
            <w:r>
              <w:rPr>
                <w:rFonts w:ascii="Times New Roman" w:hAnsi="Times New Roman"/>
                <w:sz w:val="24"/>
                <w:szCs w:val="24"/>
              </w:rPr>
              <w:t xml:space="preserve"> materiālās bāzes uzlabošanai, lai celtu apmācīb</w:t>
            </w:r>
            <w:r w:rsidR="00661251">
              <w:rPr>
                <w:rFonts w:ascii="Times New Roman" w:hAnsi="Times New Roman"/>
                <w:sz w:val="24"/>
                <w:szCs w:val="24"/>
              </w:rPr>
              <w:t>as</w:t>
            </w:r>
            <w:r>
              <w:rPr>
                <w:rFonts w:ascii="Times New Roman" w:hAnsi="Times New Roman"/>
                <w:sz w:val="24"/>
                <w:szCs w:val="24"/>
              </w:rPr>
              <w:t xml:space="preserve"> kvalitāti. </w:t>
            </w:r>
            <w:r w:rsidR="00C226CD">
              <w:rPr>
                <w:rFonts w:ascii="Times New Roman" w:hAnsi="Times New Roman"/>
                <w:sz w:val="24"/>
                <w:szCs w:val="24"/>
              </w:rPr>
              <w:t>Noteikumu projekta 10.punkts paredz MK noteikumu Nr.59 V</w:t>
            </w:r>
            <w:r w:rsidR="00661251">
              <w:rPr>
                <w:rFonts w:ascii="Times New Roman" w:hAnsi="Times New Roman"/>
                <w:sz w:val="24"/>
                <w:szCs w:val="24"/>
              </w:rPr>
              <w:t> </w:t>
            </w:r>
            <w:r w:rsidR="00C226CD">
              <w:rPr>
                <w:rFonts w:ascii="Times New Roman" w:hAnsi="Times New Roman"/>
                <w:sz w:val="24"/>
                <w:szCs w:val="24"/>
              </w:rPr>
              <w:t>sadaļas atbalsta pretendentu loka paplašināšanu</w:t>
            </w:r>
            <w:r>
              <w:rPr>
                <w:rFonts w:ascii="Times New Roman" w:hAnsi="Times New Roman"/>
                <w:sz w:val="24"/>
                <w:szCs w:val="24"/>
              </w:rPr>
              <w:t>, lai veicinātu investīcijas dārzkopības nozares apmācībā</w:t>
            </w:r>
            <w:r w:rsidR="006724DF">
              <w:rPr>
                <w:rFonts w:ascii="Times New Roman" w:hAnsi="Times New Roman"/>
                <w:sz w:val="24"/>
                <w:szCs w:val="24"/>
              </w:rPr>
              <w:t>.</w:t>
            </w:r>
          </w:p>
          <w:p w:rsidR="00C35AD6" w:rsidRDefault="00C35AD6" w:rsidP="0025065C">
            <w:pPr>
              <w:spacing w:after="0" w:line="240" w:lineRule="auto"/>
              <w:ind w:firstLine="388"/>
              <w:jc w:val="both"/>
              <w:rPr>
                <w:rFonts w:ascii="Times New Roman" w:hAnsi="Times New Roman"/>
                <w:sz w:val="24"/>
                <w:szCs w:val="24"/>
              </w:rPr>
            </w:pPr>
            <w:r>
              <w:rPr>
                <w:rFonts w:ascii="Times New Roman" w:hAnsi="Times New Roman"/>
                <w:sz w:val="24"/>
                <w:szCs w:val="24"/>
              </w:rPr>
              <w:t>Ņemot vērā plānoto noteikumu projekta apstiprināšanas datumu Ministru kabineta sēdē</w:t>
            </w:r>
            <w:r w:rsidR="00661251">
              <w:rPr>
                <w:rFonts w:ascii="Times New Roman" w:hAnsi="Times New Roman"/>
                <w:sz w:val="24"/>
                <w:szCs w:val="24"/>
              </w:rPr>
              <w:t>,</w:t>
            </w:r>
            <w:r>
              <w:rPr>
                <w:rFonts w:ascii="Times New Roman" w:hAnsi="Times New Roman"/>
                <w:sz w:val="24"/>
                <w:szCs w:val="24"/>
              </w:rPr>
              <w:t xml:space="preserve"> MK noteikumu Nr.59 49.punktā noteiktais iesniegumu iesniegšanas termiņš – līdz kārtējā gada 15.aprīlim </w:t>
            </w:r>
            <w:r w:rsidR="00661251">
              <w:rPr>
                <w:rFonts w:ascii="Times New Roman" w:hAnsi="Times New Roman"/>
                <w:sz w:val="24"/>
                <w:szCs w:val="24"/>
              </w:rPr>
              <w:t xml:space="preserve">– </w:t>
            </w:r>
            <w:r>
              <w:rPr>
                <w:rFonts w:ascii="Times New Roman" w:hAnsi="Times New Roman"/>
                <w:sz w:val="24"/>
                <w:szCs w:val="24"/>
              </w:rPr>
              <w:t xml:space="preserve">nebūs izpildāms. Projekta 11.punkts paredz tehnisku precizējumu – minēto termiņu noteikt līdz </w:t>
            </w:r>
            <w:r w:rsidR="001B385D">
              <w:rPr>
                <w:rFonts w:ascii="Times New Roman" w:hAnsi="Times New Roman"/>
                <w:sz w:val="24"/>
                <w:szCs w:val="24"/>
              </w:rPr>
              <w:t>5.maijam</w:t>
            </w:r>
            <w:r>
              <w:rPr>
                <w:rFonts w:ascii="Times New Roman" w:hAnsi="Times New Roman"/>
                <w:sz w:val="24"/>
                <w:szCs w:val="24"/>
              </w:rPr>
              <w:t>.</w:t>
            </w:r>
          </w:p>
          <w:p w:rsidR="00B21F86" w:rsidRDefault="00C00C0F" w:rsidP="0025065C">
            <w:pPr>
              <w:spacing w:after="0" w:line="240" w:lineRule="auto"/>
              <w:ind w:firstLine="388"/>
              <w:jc w:val="both"/>
              <w:rPr>
                <w:rFonts w:ascii="Times New Roman" w:hAnsi="Times New Roman"/>
                <w:sz w:val="24"/>
                <w:szCs w:val="24"/>
              </w:rPr>
            </w:pPr>
            <w:r w:rsidRPr="009232CF">
              <w:rPr>
                <w:rFonts w:ascii="Times New Roman" w:hAnsi="Times New Roman"/>
                <w:sz w:val="24"/>
                <w:szCs w:val="24"/>
              </w:rPr>
              <w:lastRenderedPageBreak/>
              <w:t xml:space="preserve">Atbilstoši Zemkopības ministrijas iekšējā audita ieteikumiem vairāku gadu garumā īstenotajiem pētījumiem būtu jāiesniedz ne tikai gala </w:t>
            </w:r>
            <w:r w:rsidR="00661251">
              <w:rPr>
                <w:rFonts w:ascii="Times New Roman" w:hAnsi="Times New Roman"/>
                <w:sz w:val="24"/>
                <w:szCs w:val="24"/>
              </w:rPr>
              <w:t>pārskats</w:t>
            </w:r>
            <w:r w:rsidRPr="009232CF">
              <w:rPr>
                <w:rFonts w:ascii="Times New Roman" w:hAnsi="Times New Roman"/>
                <w:sz w:val="24"/>
                <w:szCs w:val="24"/>
              </w:rPr>
              <w:t>, bet arī starp</w:t>
            </w:r>
            <w:r w:rsidR="00661251">
              <w:rPr>
                <w:rFonts w:ascii="Times New Roman" w:hAnsi="Times New Roman"/>
                <w:sz w:val="24"/>
                <w:szCs w:val="24"/>
              </w:rPr>
              <w:t>pārskats</w:t>
            </w:r>
            <w:r w:rsidRPr="009232CF">
              <w:rPr>
                <w:rFonts w:ascii="Times New Roman" w:hAnsi="Times New Roman"/>
                <w:sz w:val="24"/>
                <w:szCs w:val="24"/>
              </w:rPr>
              <w:t>. Tad Zemkopības ministrija būtu lai</w:t>
            </w:r>
            <w:r w:rsidR="00661251">
              <w:rPr>
                <w:rFonts w:ascii="Times New Roman" w:hAnsi="Times New Roman"/>
                <w:sz w:val="24"/>
                <w:szCs w:val="24"/>
              </w:rPr>
              <w:t>kus</w:t>
            </w:r>
            <w:r w:rsidRPr="009232CF">
              <w:rPr>
                <w:rFonts w:ascii="Times New Roman" w:hAnsi="Times New Roman"/>
                <w:sz w:val="24"/>
                <w:szCs w:val="24"/>
              </w:rPr>
              <w:t xml:space="preserve"> informēta par pētījuma īstenošanas gaitu un nepieciešamajām korekcijām tā sekmīgā izpildē. </w:t>
            </w:r>
            <w:r w:rsidR="00C35AD6">
              <w:rPr>
                <w:rFonts w:ascii="Times New Roman" w:hAnsi="Times New Roman"/>
                <w:sz w:val="24"/>
                <w:szCs w:val="24"/>
              </w:rPr>
              <w:t>P</w:t>
            </w:r>
            <w:r w:rsidR="00C35AD6" w:rsidRPr="009232CF">
              <w:rPr>
                <w:rFonts w:ascii="Times New Roman" w:hAnsi="Times New Roman"/>
                <w:sz w:val="24"/>
                <w:szCs w:val="24"/>
              </w:rPr>
              <w:t>rojekta 1</w:t>
            </w:r>
            <w:r w:rsidR="00C35AD6">
              <w:rPr>
                <w:rFonts w:ascii="Times New Roman" w:hAnsi="Times New Roman"/>
                <w:sz w:val="24"/>
                <w:szCs w:val="24"/>
              </w:rPr>
              <w:t>2</w:t>
            </w:r>
            <w:r w:rsidR="00897705" w:rsidRPr="009232CF">
              <w:rPr>
                <w:rFonts w:ascii="Times New Roman" w:hAnsi="Times New Roman"/>
                <w:sz w:val="24"/>
                <w:szCs w:val="24"/>
              </w:rPr>
              <w:t>.punkts paredz MK noteikumu</w:t>
            </w:r>
            <w:r w:rsidR="00661251">
              <w:rPr>
                <w:rFonts w:ascii="Times New Roman" w:hAnsi="Times New Roman"/>
                <w:sz w:val="24"/>
                <w:szCs w:val="24"/>
              </w:rPr>
              <w:t>s</w:t>
            </w:r>
            <w:r w:rsidR="00897705" w:rsidRPr="009232CF">
              <w:rPr>
                <w:rFonts w:ascii="Times New Roman" w:hAnsi="Times New Roman"/>
                <w:sz w:val="24"/>
                <w:szCs w:val="24"/>
              </w:rPr>
              <w:t xml:space="preserve"> Nr.59 papildinā</w:t>
            </w:r>
            <w:r w:rsidR="00661251">
              <w:rPr>
                <w:rFonts w:ascii="Times New Roman" w:hAnsi="Times New Roman"/>
                <w:sz w:val="24"/>
                <w:szCs w:val="24"/>
              </w:rPr>
              <w:t>t</w:t>
            </w:r>
            <w:r w:rsidR="00897705" w:rsidRPr="009232CF">
              <w:rPr>
                <w:rFonts w:ascii="Times New Roman" w:hAnsi="Times New Roman"/>
                <w:sz w:val="24"/>
                <w:szCs w:val="24"/>
              </w:rPr>
              <w:t xml:space="preserve"> ar papildu nosacījumu, ka pētījumu veicēji sniedz arī informāciju par pētījuma izpildes gaitu (starprezultātiem), nevis tikai gala </w:t>
            </w:r>
            <w:r w:rsidR="00661251">
              <w:rPr>
                <w:rFonts w:ascii="Times New Roman" w:hAnsi="Times New Roman"/>
                <w:sz w:val="24"/>
                <w:szCs w:val="24"/>
              </w:rPr>
              <w:t>pārskatu</w:t>
            </w:r>
            <w:r w:rsidR="00897705" w:rsidRPr="009232CF">
              <w:rPr>
                <w:rFonts w:ascii="Times New Roman" w:hAnsi="Times New Roman"/>
                <w:sz w:val="24"/>
                <w:szCs w:val="24"/>
              </w:rPr>
              <w:t>.</w:t>
            </w:r>
          </w:p>
          <w:p w:rsidR="00897705" w:rsidRPr="009232CF" w:rsidRDefault="00897705" w:rsidP="0025065C">
            <w:pPr>
              <w:spacing w:after="0" w:line="240" w:lineRule="auto"/>
              <w:ind w:firstLine="388"/>
              <w:jc w:val="both"/>
              <w:rPr>
                <w:rFonts w:ascii="Times New Roman" w:hAnsi="Times New Roman"/>
                <w:sz w:val="24"/>
                <w:szCs w:val="24"/>
              </w:rPr>
            </w:pPr>
            <w:r>
              <w:rPr>
                <w:rFonts w:ascii="Times New Roman" w:hAnsi="Times New Roman"/>
                <w:sz w:val="24"/>
                <w:szCs w:val="24"/>
              </w:rPr>
              <w:t xml:space="preserve">Noteikumu projekta </w:t>
            </w:r>
            <w:r w:rsidR="00B76DDD">
              <w:rPr>
                <w:rFonts w:ascii="Times New Roman" w:hAnsi="Times New Roman"/>
                <w:sz w:val="24"/>
                <w:szCs w:val="24"/>
              </w:rPr>
              <w:t>13</w:t>
            </w:r>
            <w:r>
              <w:rPr>
                <w:rFonts w:ascii="Times New Roman" w:hAnsi="Times New Roman"/>
                <w:sz w:val="24"/>
                <w:szCs w:val="24"/>
              </w:rPr>
              <w:t>.</w:t>
            </w:r>
            <w:proofErr w:type="gramStart"/>
            <w:r>
              <w:rPr>
                <w:rFonts w:ascii="Times New Roman" w:hAnsi="Times New Roman"/>
                <w:sz w:val="24"/>
                <w:szCs w:val="24"/>
              </w:rPr>
              <w:t xml:space="preserve"> </w:t>
            </w:r>
            <w:r w:rsidR="00C35AD6">
              <w:rPr>
                <w:rFonts w:ascii="Times New Roman" w:hAnsi="Times New Roman"/>
                <w:sz w:val="24"/>
                <w:szCs w:val="24"/>
              </w:rPr>
              <w:t>,</w:t>
            </w:r>
            <w:r w:rsidR="00B76DDD">
              <w:rPr>
                <w:rFonts w:ascii="Times New Roman" w:hAnsi="Times New Roman"/>
                <w:sz w:val="24"/>
                <w:szCs w:val="24"/>
              </w:rPr>
              <w:t>1</w:t>
            </w:r>
            <w:proofErr w:type="gramEnd"/>
            <w:r w:rsidR="00B76DDD">
              <w:rPr>
                <w:rFonts w:ascii="Times New Roman" w:hAnsi="Times New Roman"/>
                <w:sz w:val="24"/>
                <w:szCs w:val="24"/>
              </w:rPr>
              <w:t>4</w:t>
            </w:r>
            <w:r>
              <w:rPr>
                <w:rFonts w:ascii="Times New Roman" w:hAnsi="Times New Roman"/>
                <w:sz w:val="24"/>
                <w:szCs w:val="24"/>
              </w:rPr>
              <w:t>.</w:t>
            </w:r>
            <w:r w:rsidR="00C35AD6">
              <w:rPr>
                <w:rFonts w:ascii="Times New Roman" w:hAnsi="Times New Roman"/>
                <w:sz w:val="24"/>
                <w:szCs w:val="24"/>
              </w:rPr>
              <w:t xml:space="preserve"> un 15.</w:t>
            </w:r>
            <w:r>
              <w:rPr>
                <w:rFonts w:ascii="Times New Roman" w:hAnsi="Times New Roman"/>
                <w:sz w:val="24"/>
                <w:szCs w:val="24"/>
              </w:rPr>
              <w:t>punktā precizēta iesnieguma otrajā daļā esošā tabula</w:t>
            </w:r>
            <w:r w:rsidR="00661251">
              <w:rPr>
                <w:rFonts w:ascii="Times New Roman" w:hAnsi="Times New Roman"/>
                <w:sz w:val="24"/>
                <w:szCs w:val="24"/>
              </w:rPr>
              <w:t xml:space="preserve">, t.i., </w:t>
            </w:r>
            <w:r>
              <w:rPr>
                <w:rFonts w:ascii="Times New Roman" w:hAnsi="Times New Roman"/>
                <w:sz w:val="24"/>
                <w:szCs w:val="24"/>
              </w:rPr>
              <w:t xml:space="preserve">kolonnas attiecībā uz kredīta (finanšu </w:t>
            </w:r>
            <w:r w:rsidR="00313B2D">
              <w:rPr>
                <w:rFonts w:ascii="Times New Roman" w:hAnsi="Times New Roman"/>
                <w:sz w:val="24"/>
                <w:szCs w:val="24"/>
              </w:rPr>
              <w:t>līzinga</w:t>
            </w:r>
            <w:r>
              <w:rPr>
                <w:rFonts w:ascii="Times New Roman" w:hAnsi="Times New Roman"/>
                <w:sz w:val="24"/>
                <w:szCs w:val="24"/>
              </w:rPr>
              <w:t xml:space="preserve">) </w:t>
            </w:r>
            <w:r w:rsidR="00313B2D">
              <w:rPr>
                <w:rFonts w:ascii="Times New Roman" w:hAnsi="Times New Roman"/>
                <w:sz w:val="24"/>
                <w:szCs w:val="24"/>
              </w:rPr>
              <w:t xml:space="preserve">līguma </w:t>
            </w:r>
            <w:r>
              <w:rPr>
                <w:rFonts w:ascii="Times New Roman" w:hAnsi="Times New Roman"/>
                <w:sz w:val="24"/>
                <w:szCs w:val="24"/>
              </w:rPr>
              <w:t xml:space="preserve">numura norādīšanu un provizoriski maksājamās kredītprocentu </w:t>
            </w:r>
            <w:r w:rsidRPr="009232CF">
              <w:rPr>
                <w:rFonts w:ascii="Times New Roman" w:hAnsi="Times New Roman"/>
                <w:sz w:val="24"/>
                <w:szCs w:val="24"/>
              </w:rPr>
              <w:t>summas kārtējā atbalsta periodā.</w:t>
            </w:r>
          </w:p>
          <w:p w:rsidR="00897705" w:rsidRPr="009232CF" w:rsidRDefault="00EC5298" w:rsidP="00AF2A50">
            <w:pPr>
              <w:spacing w:after="0" w:line="240" w:lineRule="auto"/>
              <w:ind w:firstLine="388"/>
              <w:jc w:val="both"/>
              <w:rPr>
                <w:rFonts w:ascii="Times New Roman" w:hAnsi="Times New Roman"/>
                <w:sz w:val="24"/>
                <w:szCs w:val="24"/>
              </w:rPr>
            </w:pPr>
            <w:r w:rsidRPr="009232CF">
              <w:rPr>
                <w:rFonts w:ascii="Times New Roman" w:hAnsi="Times New Roman"/>
                <w:sz w:val="24"/>
                <w:szCs w:val="24"/>
              </w:rPr>
              <w:t xml:space="preserve">Izvērtējot 2016.gadā īstenoto pētījumu izpildes gaitu, tika konstatēta nepieciešamība precizēt noteiktos darba uzdevumus. </w:t>
            </w:r>
            <w:r w:rsidR="00661251">
              <w:rPr>
                <w:rFonts w:ascii="Times New Roman" w:hAnsi="Times New Roman"/>
                <w:sz w:val="24"/>
                <w:szCs w:val="24"/>
              </w:rPr>
              <w:t>Dažos</w:t>
            </w:r>
            <w:r w:rsidR="00F32808">
              <w:rPr>
                <w:rFonts w:ascii="Times New Roman" w:hAnsi="Times New Roman"/>
                <w:sz w:val="24"/>
                <w:szCs w:val="24"/>
              </w:rPr>
              <w:t xml:space="preserve"> pētījum</w:t>
            </w:r>
            <w:r w:rsidR="00661251">
              <w:rPr>
                <w:rFonts w:ascii="Times New Roman" w:hAnsi="Times New Roman"/>
                <w:sz w:val="24"/>
                <w:szCs w:val="24"/>
              </w:rPr>
              <w:t>os jāiegulda lielāks darbs</w:t>
            </w:r>
            <w:r w:rsidR="00F32808">
              <w:rPr>
                <w:rFonts w:ascii="Times New Roman" w:hAnsi="Times New Roman"/>
                <w:sz w:val="24"/>
                <w:szCs w:val="24"/>
              </w:rPr>
              <w:t xml:space="preserve"> esoš</w:t>
            </w:r>
            <w:r w:rsidR="00661251">
              <w:rPr>
                <w:rFonts w:ascii="Times New Roman" w:hAnsi="Times New Roman"/>
                <w:sz w:val="24"/>
                <w:szCs w:val="24"/>
              </w:rPr>
              <w:t>o</w:t>
            </w:r>
            <w:r w:rsidR="00F32808">
              <w:rPr>
                <w:rFonts w:ascii="Times New Roman" w:hAnsi="Times New Roman"/>
                <w:sz w:val="24"/>
                <w:szCs w:val="24"/>
              </w:rPr>
              <w:t xml:space="preserve"> uzdevumu i</w:t>
            </w:r>
            <w:r w:rsidR="00661251">
              <w:rPr>
                <w:rFonts w:ascii="Times New Roman" w:hAnsi="Times New Roman"/>
                <w:sz w:val="24"/>
                <w:szCs w:val="24"/>
              </w:rPr>
              <w:t>zpildei</w:t>
            </w:r>
            <w:r w:rsidR="00F32808">
              <w:rPr>
                <w:rFonts w:ascii="Times New Roman" w:hAnsi="Times New Roman"/>
                <w:sz w:val="24"/>
                <w:szCs w:val="24"/>
              </w:rPr>
              <w:t>, bet citos veicamo darbu ap</w:t>
            </w:r>
            <w:r w:rsidR="00661251">
              <w:rPr>
                <w:rFonts w:ascii="Times New Roman" w:hAnsi="Times New Roman"/>
                <w:sz w:val="24"/>
                <w:szCs w:val="24"/>
              </w:rPr>
              <w:t>jom</w:t>
            </w:r>
            <w:r w:rsidR="00F32808">
              <w:rPr>
                <w:rFonts w:ascii="Times New Roman" w:hAnsi="Times New Roman"/>
                <w:sz w:val="24"/>
                <w:szCs w:val="24"/>
              </w:rPr>
              <w:t>s samazinās</w:t>
            </w:r>
            <w:r w:rsidR="00661251">
              <w:rPr>
                <w:rFonts w:ascii="Times New Roman" w:hAnsi="Times New Roman"/>
                <w:sz w:val="24"/>
                <w:szCs w:val="24"/>
              </w:rPr>
              <w:t>,</w:t>
            </w:r>
            <w:r w:rsidR="00F32808">
              <w:rPr>
                <w:rFonts w:ascii="Times New Roman" w:hAnsi="Times New Roman"/>
                <w:sz w:val="24"/>
                <w:szCs w:val="24"/>
              </w:rPr>
              <w:t xml:space="preserve"> </w:t>
            </w:r>
            <w:r w:rsidR="00661251">
              <w:rPr>
                <w:rFonts w:ascii="Times New Roman" w:hAnsi="Times New Roman"/>
                <w:sz w:val="24"/>
                <w:szCs w:val="24"/>
              </w:rPr>
              <w:t>t</w:t>
            </w:r>
            <w:r w:rsidR="00F32808">
              <w:rPr>
                <w:rFonts w:ascii="Times New Roman" w:hAnsi="Times New Roman"/>
                <w:sz w:val="24"/>
                <w:szCs w:val="24"/>
              </w:rPr>
              <w:t xml:space="preserve">āpēc ir jāprecizē iepriekšējos gados uzsāktajiem pētījumiem paredzētais finansējums </w:t>
            </w:r>
            <w:proofErr w:type="gramStart"/>
            <w:r w:rsidR="00F32808">
              <w:rPr>
                <w:rFonts w:ascii="Times New Roman" w:hAnsi="Times New Roman"/>
                <w:sz w:val="24"/>
                <w:szCs w:val="24"/>
              </w:rPr>
              <w:t>2017.gadā</w:t>
            </w:r>
            <w:proofErr w:type="gramEnd"/>
            <w:r w:rsidR="00F32808">
              <w:rPr>
                <w:rFonts w:ascii="Times New Roman" w:hAnsi="Times New Roman"/>
                <w:sz w:val="24"/>
                <w:szCs w:val="24"/>
              </w:rPr>
              <w:t xml:space="preserve">. </w:t>
            </w:r>
            <w:r w:rsidRPr="009232CF">
              <w:rPr>
                <w:rFonts w:ascii="Times New Roman" w:hAnsi="Times New Roman"/>
                <w:sz w:val="24"/>
                <w:szCs w:val="24"/>
              </w:rPr>
              <w:t xml:space="preserve">MK noteikumu Nr.59 7.pielikums ir </w:t>
            </w:r>
            <w:r w:rsidR="009232CF" w:rsidRPr="009232CF">
              <w:rPr>
                <w:rFonts w:ascii="Times New Roman" w:hAnsi="Times New Roman"/>
                <w:sz w:val="24"/>
                <w:szCs w:val="24"/>
              </w:rPr>
              <w:t>j</w:t>
            </w:r>
            <w:r w:rsidR="009232CF">
              <w:rPr>
                <w:rFonts w:ascii="Times New Roman" w:hAnsi="Times New Roman"/>
                <w:sz w:val="24"/>
                <w:szCs w:val="24"/>
              </w:rPr>
              <w:t>ā</w:t>
            </w:r>
            <w:r w:rsidR="009232CF" w:rsidRPr="009232CF">
              <w:rPr>
                <w:rFonts w:ascii="Times New Roman" w:hAnsi="Times New Roman"/>
                <w:sz w:val="24"/>
                <w:szCs w:val="24"/>
              </w:rPr>
              <w:t xml:space="preserve">papildina </w:t>
            </w:r>
            <w:r w:rsidRPr="009232CF">
              <w:rPr>
                <w:rFonts w:ascii="Times New Roman" w:hAnsi="Times New Roman"/>
                <w:sz w:val="24"/>
                <w:szCs w:val="24"/>
              </w:rPr>
              <w:t xml:space="preserve">ar </w:t>
            </w:r>
            <w:r w:rsidR="00F32808">
              <w:rPr>
                <w:rFonts w:ascii="Times New Roman" w:hAnsi="Times New Roman"/>
                <w:sz w:val="24"/>
                <w:szCs w:val="24"/>
              </w:rPr>
              <w:t xml:space="preserve">trīs jauniem </w:t>
            </w:r>
            <w:r w:rsidRPr="009232CF">
              <w:rPr>
                <w:rFonts w:ascii="Times New Roman" w:hAnsi="Times New Roman"/>
                <w:sz w:val="24"/>
                <w:szCs w:val="24"/>
              </w:rPr>
              <w:t xml:space="preserve">pētījumiem, kuru izpilde ir jāuzsāk 2017.gadā. Tiem projektiem, </w:t>
            </w:r>
            <w:r w:rsidR="007323B8" w:rsidRPr="009232CF">
              <w:rPr>
                <w:rFonts w:ascii="Times New Roman" w:hAnsi="Times New Roman"/>
                <w:sz w:val="24"/>
                <w:szCs w:val="24"/>
              </w:rPr>
              <w:t>k</w:t>
            </w:r>
            <w:r w:rsidR="007323B8" w:rsidRPr="00260055">
              <w:rPr>
                <w:rFonts w:ascii="Times New Roman" w:hAnsi="Times New Roman"/>
                <w:sz w:val="24"/>
                <w:szCs w:val="24"/>
              </w:rPr>
              <w:t>uriem</w:t>
            </w:r>
            <w:r w:rsidR="007323B8" w:rsidRPr="009232CF">
              <w:rPr>
                <w:rFonts w:ascii="Times New Roman" w:hAnsi="Times New Roman"/>
                <w:sz w:val="24"/>
                <w:szCs w:val="24"/>
              </w:rPr>
              <w:t xml:space="preserve"> </w:t>
            </w:r>
            <w:r w:rsidRPr="009232CF">
              <w:rPr>
                <w:rFonts w:ascii="Times New Roman" w:hAnsi="Times New Roman"/>
                <w:sz w:val="24"/>
                <w:szCs w:val="24"/>
              </w:rPr>
              <w:t xml:space="preserve">2016.gadā tika atrasti izpildītāji, attiecībā uz informāciju par 2017.gadu ir jānomaina apzīmējums “**” ar izvēlētā izpildītāja nosaukumu. </w:t>
            </w:r>
            <w:r w:rsidR="00B13706" w:rsidRPr="009232CF">
              <w:rPr>
                <w:rFonts w:ascii="Times New Roman" w:hAnsi="Times New Roman"/>
                <w:sz w:val="24"/>
                <w:szCs w:val="24"/>
              </w:rPr>
              <w:t xml:space="preserve">Noteikumu projekta </w:t>
            </w:r>
            <w:r w:rsidR="00C35AD6" w:rsidRPr="009232CF">
              <w:rPr>
                <w:rFonts w:ascii="Times New Roman" w:hAnsi="Times New Roman"/>
                <w:sz w:val="24"/>
                <w:szCs w:val="24"/>
              </w:rPr>
              <w:t>1</w:t>
            </w:r>
            <w:r w:rsidR="00C35AD6">
              <w:rPr>
                <w:rFonts w:ascii="Times New Roman" w:hAnsi="Times New Roman"/>
                <w:sz w:val="24"/>
                <w:szCs w:val="24"/>
              </w:rPr>
              <w:t>6</w:t>
            </w:r>
            <w:r w:rsidR="00B13706" w:rsidRPr="009232CF">
              <w:rPr>
                <w:rFonts w:ascii="Times New Roman" w:hAnsi="Times New Roman"/>
                <w:sz w:val="24"/>
                <w:szCs w:val="24"/>
              </w:rPr>
              <w:t xml:space="preserve">.punktā </w:t>
            </w:r>
            <w:r w:rsidR="00AF2A50" w:rsidRPr="009232CF">
              <w:rPr>
                <w:rFonts w:ascii="Times New Roman" w:hAnsi="Times New Roman"/>
                <w:sz w:val="24"/>
                <w:szCs w:val="24"/>
              </w:rPr>
              <w:t>tiek precizēts lauksaimniecībā izmantojamo zinātnes pētījumu saraksts, kur</w:t>
            </w:r>
            <w:r w:rsidR="00A416EE">
              <w:rPr>
                <w:rFonts w:ascii="Times New Roman" w:hAnsi="Times New Roman"/>
                <w:sz w:val="24"/>
                <w:szCs w:val="24"/>
              </w:rPr>
              <w:t>ā</w:t>
            </w:r>
            <w:r w:rsidR="00AF2A50" w:rsidRPr="009232CF">
              <w:rPr>
                <w:rFonts w:ascii="Times New Roman" w:hAnsi="Times New Roman"/>
                <w:sz w:val="24"/>
                <w:szCs w:val="24"/>
              </w:rPr>
              <w:t xml:space="preserve"> </w:t>
            </w:r>
            <w:r w:rsidR="00A416EE">
              <w:rPr>
                <w:rFonts w:ascii="Times New Roman" w:hAnsi="Times New Roman"/>
                <w:sz w:val="24"/>
                <w:szCs w:val="24"/>
              </w:rPr>
              <w:t>izdarītas</w:t>
            </w:r>
            <w:r w:rsidR="00AF2A50" w:rsidRPr="009232CF">
              <w:rPr>
                <w:rFonts w:ascii="Times New Roman" w:hAnsi="Times New Roman"/>
                <w:sz w:val="24"/>
                <w:szCs w:val="24"/>
              </w:rPr>
              <w:t xml:space="preserve"> izmaiņas pētījumu nosaukumos, darba uzdevumos, izpildītājos, </w:t>
            </w:r>
            <w:r w:rsidR="00A416EE">
              <w:rPr>
                <w:rFonts w:ascii="Times New Roman" w:hAnsi="Times New Roman"/>
                <w:sz w:val="24"/>
                <w:szCs w:val="24"/>
              </w:rPr>
              <w:t>un tas</w:t>
            </w:r>
            <w:r w:rsidR="00AF2A50" w:rsidRPr="009232CF">
              <w:rPr>
                <w:rFonts w:ascii="Times New Roman" w:hAnsi="Times New Roman"/>
                <w:sz w:val="24"/>
                <w:szCs w:val="24"/>
              </w:rPr>
              <w:t xml:space="preserve"> </w:t>
            </w:r>
            <w:r w:rsidR="00A416EE">
              <w:rPr>
                <w:rFonts w:ascii="Times New Roman" w:hAnsi="Times New Roman"/>
                <w:sz w:val="24"/>
                <w:szCs w:val="24"/>
              </w:rPr>
              <w:t xml:space="preserve">arī </w:t>
            </w:r>
            <w:r w:rsidR="00AF2A50" w:rsidRPr="009232CF">
              <w:rPr>
                <w:rFonts w:ascii="Times New Roman" w:hAnsi="Times New Roman"/>
                <w:sz w:val="24"/>
                <w:szCs w:val="24"/>
              </w:rPr>
              <w:t>papildināts ar jauniem pētījumiem.</w:t>
            </w:r>
            <w:r w:rsidRPr="009232CF">
              <w:rPr>
                <w:rFonts w:ascii="Times New Roman" w:hAnsi="Times New Roman"/>
                <w:sz w:val="24"/>
                <w:szCs w:val="24"/>
              </w:rPr>
              <w:t xml:space="preserve"> </w:t>
            </w:r>
            <w:proofErr w:type="gramStart"/>
            <w:r w:rsidR="00260055">
              <w:rPr>
                <w:rFonts w:ascii="Times New Roman" w:hAnsi="Times New Roman"/>
                <w:sz w:val="24"/>
                <w:szCs w:val="24"/>
              </w:rPr>
              <w:t>2017.gadā</w:t>
            </w:r>
            <w:proofErr w:type="gramEnd"/>
            <w:r w:rsidR="00260055">
              <w:rPr>
                <w:rFonts w:ascii="Times New Roman" w:hAnsi="Times New Roman"/>
                <w:sz w:val="24"/>
                <w:szCs w:val="24"/>
              </w:rPr>
              <w:t xml:space="preserve"> pētījumiem kopā paredzēti 929 405 </w:t>
            </w:r>
            <w:proofErr w:type="spellStart"/>
            <w:r w:rsidR="00260055" w:rsidRPr="00260055">
              <w:rPr>
                <w:rFonts w:ascii="Times New Roman" w:hAnsi="Times New Roman"/>
                <w:i/>
                <w:sz w:val="24"/>
                <w:szCs w:val="24"/>
              </w:rPr>
              <w:t>euro</w:t>
            </w:r>
            <w:proofErr w:type="spellEnd"/>
            <w:r w:rsidR="00260055">
              <w:rPr>
                <w:rFonts w:ascii="Times New Roman" w:hAnsi="Times New Roman"/>
                <w:sz w:val="24"/>
                <w:szCs w:val="24"/>
              </w:rPr>
              <w:t xml:space="preserve"> salīdzinājumā ar 792 005 </w:t>
            </w:r>
            <w:proofErr w:type="spellStart"/>
            <w:r w:rsidR="00260055" w:rsidRPr="00260055">
              <w:rPr>
                <w:rFonts w:ascii="Times New Roman" w:hAnsi="Times New Roman"/>
                <w:i/>
                <w:sz w:val="24"/>
                <w:szCs w:val="24"/>
              </w:rPr>
              <w:t>euro</w:t>
            </w:r>
            <w:proofErr w:type="spellEnd"/>
            <w:r w:rsidR="00260055">
              <w:rPr>
                <w:rFonts w:ascii="Times New Roman" w:hAnsi="Times New Roman"/>
                <w:sz w:val="24"/>
                <w:szCs w:val="24"/>
              </w:rPr>
              <w:t xml:space="preserve"> 2016.gadā. Minētais finansējums tiks </w:t>
            </w:r>
            <w:proofErr w:type="gramStart"/>
            <w:r w:rsidR="00260055">
              <w:rPr>
                <w:rFonts w:ascii="Times New Roman" w:hAnsi="Times New Roman"/>
                <w:sz w:val="24"/>
                <w:szCs w:val="24"/>
              </w:rPr>
              <w:t>nodrošināts no MK noteikumu</w:t>
            </w:r>
            <w:proofErr w:type="gramEnd"/>
            <w:r w:rsidR="00260055">
              <w:rPr>
                <w:rFonts w:ascii="Times New Roman" w:hAnsi="Times New Roman"/>
                <w:sz w:val="24"/>
                <w:szCs w:val="24"/>
              </w:rPr>
              <w:t xml:space="preserve"> Nr.59 3.4.apakšpunktā paredzētā finansējuma. </w:t>
            </w:r>
            <w:r w:rsidRPr="009232CF">
              <w:rPr>
                <w:rFonts w:ascii="Times New Roman" w:hAnsi="Times New Roman"/>
                <w:sz w:val="24"/>
                <w:szCs w:val="24"/>
              </w:rPr>
              <w:t xml:space="preserve">Ņemot vērā plānoto </w:t>
            </w:r>
            <w:r w:rsidR="00A416EE">
              <w:rPr>
                <w:rFonts w:ascii="Times New Roman" w:hAnsi="Times New Roman"/>
                <w:sz w:val="24"/>
                <w:szCs w:val="24"/>
              </w:rPr>
              <w:t>grozījumu</w:t>
            </w:r>
            <w:r w:rsidRPr="009232CF">
              <w:rPr>
                <w:rFonts w:ascii="Times New Roman" w:hAnsi="Times New Roman"/>
                <w:sz w:val="24"/>
                <w:szCs w:val="24"/>
              </w:rPr>
              <w:t xml:space="preserve"> ap</w:t>
            </w:r>
            <w:r w:rsidR="00A416EE">
              <w:rPr>
                <w:rFonts w:ascii="Times New Roman" w:hAnsi="Times New Roman"/>
                <w:sz w:val="24"/>
                <w:szCs w:val="24"/>
              </w:rPr>
              <w:t>jomu</w:t>
            </w:r>
            <w:r w:rsidRPr="009232CF">
              <w:rPr>
                <w:rFonts w:ascii="Times New Roman" w:hAnsi="Times New Roman"/>
                <w:sz w:val="24"/>
                <w:szCs w:val="24"/>
              </w:rPr>
              <w:t>, kas pārsnied</w:t>
            </w:r>
            <w:r w:rsidR="00A6134F" w:rsidRPr="009232CF">
              <w:rPr>
                <w:rFonts w:ascii="Times New Roman" w:hAnsi="Times New Roman"/>
                <w:sz w:val="24"/>
                <w:szCs w:val="24"/>
              </w:rPr>
              <w:t xml:space="preserve">z </w:t>
            </w:r>
            <w:r w:rsidR="00A416EE">
              <w:rPr>
                <w:rFonts w:ascii="Times New Roman" w:hAnsi="Times New Roman"/>
                <w:sz w:val="24"/>
                <w:szCs w:val="24"/>
              </w:rPr>
              <w:t>pusi</w:t>
            </w:r>
            <w:r w:rsidR="00A6134F" w:rsidRPr="009232CF">
              <w:rPr>
                <w:rFonts w:ascii="Times New Roman" w:hAnsi="Times New Roman"/>
                <w:sz w:val="24"/>
                <w:szCs w:val="24"/>
              </w:rPr>
              <w:t xml:space="preserve"> no MK noteikumu Nr.59 7.pielikuma apjom</w:t>
            </w:r>
            <w:r w:rsidR="00A416EE">
              <w:rPr>
                <w:rFonts w:ascii="Times New Roman" w:hAnsi="Times New Roman"/>
                <w:sz w:val="24"/>
                <w:szCs w:val="24"/>
              </w:rPr>
              <w:t>a</w:t>
            </w:r>
            <w:r w:rsidR="00A6134F" w:rsidRPr="009232CF">
              <w:rPr>
                <w:rFonts w:ascii="Times New Roman" w:hAnsi="Times New Roman"/>
                <w:sz w:val="24"/>
                <w:szCs w:val="24"/>
              </w:rPr>
              <w:t>, tas tiek izteikts jaunā redakcijā.</w:t>
            </w:r>
          </w:p>
          <w:p w:rsidR="008C0D20" w:rsidRPr="0013147D" w:rsidRDefault="00E65C74" w:rsidP="00DE7184">
            <w:pPr>
              <w:spacing w:after="0" w:line="240" w:lineRule="auto"/>
              <w:ind w:firstLine="388"/>
              <w:jc w:val="both"/>
              <w:rPr>
                <w:rFonts w:ascii="Times New Roman" w:hAnsi="Times New Roman"/>
                <w:sz w:val="24"/>
                <w:szCs w:val="24"/>
              </w:rPr>
            </w:pPr>
            <w:r w:rsidRPr="009232CF">
              <w:rPr>
                <w:rFonts w:ascii="Times New Roman" w:hAnsi="Times New Roman"/>
                <w:sz w:val="24"/>
                <w:szCs w:val="24"/>
              </w:rPr>
              <w:t xml:space="preserve">Izpildot MK noteikumu Nr.59 10.pielikuma 4.punktā minēto kritēriju, atbalsta pretendenti paši savu institūciju mēdz </w:t>
            </w:r>
            <w:r w:rsidR="00A416EE">
              <w:rPr>
                <w:rFonts w:ascii="Times New Roman" w:hAnsi="Times New Roman"/>
                <w:sz w:val="24"/>
                <w:szCs w:val="24"/>
              </w:rPr>
              <w:t>pieskaitīt</w:t>
            </w:r>
            <w:r w:rsidRPr="009232CF">
              <w:rPr>
                <w:rFonts w:ascii="Times New Roman" w:hAnsi="Times New Roman"/>
                <w:sz w:val="24"/>
                <w:szCs w:val="24"/>
              </w:rPr>
              <w:t xml:space="preserve"> </w:t>
            </w:r>
            <w:r w:rsidR="00A416EE">
              <w:rPr>
                <w:rFonts w:ascii="Times New Roman" w:hAnsi="Times New Roman"/>
                <w:sz w:val="24"/>
                <w:szCs w:val="24"/>
              </w:rPr>
              <w:t>pie</w:t>
            </w:r>
            <w:r w:rsidRPr="009232CF">
              <w:rPr>
                <w:rFonts w:ascii="Times New Roman" w:hAnsi="Times New Roman"/>
                <w:sz w:val="24"/>
                <w:szCs w:val="24"/>
              </w:rPr>
              <w:t xml:space="preserve"> projekta īstenošanā iesaistīt</w:t>
            </w:r>
            <w:r w:rsidR="00A416EE">
              <w:rPr>
                <w:rFonts w:ascii="Times New Roman" w:hAnsi="Times New Roman"/>
                <w:sz w:val="24"/>
                <w:szCs w:val="24"/>
              </w:rPr>
              <w:t>ās</w:t>
            </w:r>
            <w:r w:rsidRPr="009232CF">
              <w:rPr>
                <w:rFonts w:ascii="Times New Roman" w:hAnsi="Times New Roman"/>
                <w:sz w:val="24"/>
                <w:szCs w:val="24"/>
              </w:rPr>
              <w:t xml:space="preserve"> institūcij</w:t>
            </w:r>
            <w:r w:rsidR="00A416EE">
              <w:rPr>
                <w:rFonts w:ascii="Times New Roman" w:hAnsi="Times New Roman"/>
                <w:sz w:val="24"/>
                <w:szCs w:val="24"/>
              </w:rPr>
              <w:t>as,</w:t>
            </w:r>
            <w:r w:rsidRPr="009232CF">
              <w:rPr>
                <w:rFonts w:ascii="Times New Roman" w:hAnsi="Times New Roman"/>
                <w:sz w:val="24"/>
                <w:szCs w:val="24"/>
              </w:rPr>
              <w:t xml:space="preserve"> </w:t>
            </w:r>
            <w:r w:rsidR="00A416EE">
              <w:rPr>
                <w:rFonts w:ascii="Times New Roman" w:hAnsi="Times New Roman"/>
                <w:sz w:val="24"/>
                <w:szCs w:val="24"/>
              </w:rPr>
              <w:t>t</w:t>
            </w:r>
            <w:r w:rsidRPr="009232CF">
              <w:rPr>
                <w:rFonts w:ascii="Times New Roman" w:hAnsi="Times New Roman"/>
                <w:sz w:val="24"/>
                <w:szCs w:val="24"/>
              </w:rPr>
              <w:t xml:space="preserve">aču mērķis papildu punktu piešķiršanai ir citu institūciju iesaiste. </w:t>
            </w:r>
            <w:r w:rsidR="00AF2A50" w:rsidRPr="009232CF">
              <w:rPr>
                <w:rFonts w:ascii="Times New Roman" w:hAnsi="Times New Roman"/>
                <w:sz w:val="24"/>
                <w:szCs w:val="24"/>
              </w:rPr>
              <w:t xml:space="preserve">Noteikumu projekta </w:t>
            </w:r>
            <w:r w:rsidR="00C35AD6" w:rsidRPr="009232CF">
              <w:rPr>
                <w:rFonts w:ascii="Times New Roman" w:hAnsi="Times New Roman"/>
                <w:sz w:val="24"/>
                <w:szCs w:val="24"/>
              </w:rPr>
              <w:t>1</w:t>
            </w:r>
            <w:r w:rsidR="00C35AD6">
              <w:rPr>
                <w:rFonts w:ascii="Times New Roman" w:hAnsi="Times New Roman"/>
                <w:sz w:val="24"/>
                <w:szCs w:val="24"/>
              </w:rPr>
              <w:t>7</w:t>
            </w:r>
            <w:r w:rsidR="00AF2A50" w:rsidRPr="009232CF">
              <w:rPr>
                <w:rFonts w:ascii="Times New Roman" w:hAnsi="Times New Roman"/>
                <w:sz w:val="24"/>
                <w:szCs w:val="24"/>
              </w:rPr>
              <w:t xml:space="preserve">.punktā precizēta zinātnes projekta vērtēšanas kritēriju tabula, </w:t>
            </w:r>
            <w:r w:rsidR="00A416EE">
              <w:rPr>
                <w:rFonts w:ascii="Times New Roman" w:hAnsi="Times New Roman"/>
                <w:sz w:val="24"/>
                <w:szCs w:val="24"/>
              </w:rPr>
              <w:t>t.i.,</w:t>
            </w:r>
            <w:r w:rsidR="00AF2A50" w:rsidRPr="009232CF">
              <w:rPr>
                <w:rFonts w:ascii="Times New Roman" w:hAnsi="Times New Roman"/>
                <w:sz w:val="24"/>
                <w:szCs w:val="24"/>
              </w:rPr>
              <w:t xml:space="preserve"> ceturtajā kritērijā ir precizēts nosacījums, ka punkt</w:t>
            </w:r>
            <w:r w:rsidR="00A416EE">
              <w:rPr>
                <w:rFonts w:ascii="Times New Roman" w:hAnsi="Times New Roman"/>
                <w:sz w:val="24"/>
                <w:szCs w:val="24"/>
              </w:rPr>
              <w:t>i</w:t>
            </w:r>
            <w:r w:rsidR="00AF2A50" w:rsidRPr="009232CF">
              <w:rPr>
                <w:rFonts w:ascii="Times New Roman" w:hAnsi="Times New Roman"/>
                <w:sz w:val="24"/>
                <w:szCs w:val="24"/>
              </w:rPr>
              <w:t xml:space="preserve"> par iesaistītajām institūcijām tiek</w:t>
            </w:r>
            <w:r w:rsidR="00A416EE" w:rsidRPr="009232CF">
              <w:rPr>
                <w:rFonts w:ascii="Times New Roman" w:hAnsi="Times New Roman"/>
                <w:sz w:val="24"/>
                <w:szCs w:val="24"/>
              </w:rPr>
              <w:t xml:space="preserve"> </w:t>
            </w:r>
            <w:r w:rsidR="00A416EE">
              <w:rPr>
                <w:rFonts w:ascii="Times New Roman" w:hAnsi="Times New Roman"/>
                <w:sz w:val="24"/>
                <w:szCs w:val="24"/>
              </w:rPr>
              <w:t>summēti</w:t>
            </w:r>
            <w:r w:rsidR="00AF2A50" w:rsidRPr="009232CF">
              <w:rPr>
                <w:rFonts w:ascii="Times New Roman" w:hAnsi="Times New Roman"/>
                <w:sz w:val="24"/>
                <w:szCs w:val="24"/>
              </w:rPr>
              <w:t>, neieskaitot pašu projekta īstenotāju.</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C5E77">
            <w:pPr>
              <w:spacing w:after="0" w:line="240" w:lineRule="auto"/>
              <w:ind w:right="57"/>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6C5E77">
            <w:pPr>
              <w:spacing w:after="0" w:line="240" w:lineRule="auto"/>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lastRenderedPageBreak/>
              <w:t>1.</w:t>
            </w:r>
          </w:p>
        </w:tc>
        <w:tc>
          <w:tcPr>
            <w:tcW w:w="2976" w:type="dxa"/>
          </w:tcPr>
          <w:p w:rsidR="006F5F9F" w:rsidRPr="00DD49B6" w:rsidRDefault="006F5F9F" w:rsidP="00420CFD">
            <w:pPr>
              <w:pStyle w:val="naiskr"/>
              <w:spacing w:before="0" w:beforeAutospacing="0" w:after="0" w:afterAutospacing="0"/>
              <w:ind w:left="57" w:right="57"/>
            </w:pPr>
            <w:r w:rsidRPr="00DD49B6">
              <w:t>Sabiedrības mēr</w:t>
            </w:r>
            <w:r w:rsidR="00420CFD">
              <w:t>ķ</w:t>
            </w:r>
            <w:r w:rsidRPr="00DD49B6">
              <w:t>grupas, kuras tiesiskais regulējums ietekmē vai varētu ietekmēt</w:t>
            </w:r>
          </w:p>
        </w:tc>
        <w:tc>
          <w:tcPr>
            <w:tcW w:w="6096" w:type="dxa"/>
          </w:tcPr>
          <w:p w:rsidR="006F5F9F" w:rsidRPr="00DD49B6" w:rsidRDefault="00261C13" w:rsidP="00261C13">
            <w:pPr>
              <w:shd w:val="clear" w:color="auto" w:fill="FFFFFF"/>
              <w:spacing w:after="0" w:line="240" w:lineRule="auto"/>
              <w:ind w:left="57" w:right="57"/>
              <w:jc w:val="both"/>
              <w:rPr>
                <w:rFonts w:ascii="Times New Roman" w:hAnsi="Times New Roman"/>
                <w:sz w:val="24"/>
                <w:szCs w:val="24"/>
              </w:rPr>
            </w:pPr>
            <w:bookmarkStart w:id="2" w:name="p21"/>
            <w:bookmarkEnd w:id="2"/>
            <w:r w:rsidRPr="00B232A4">
              <w:rPr>
                <w:rFonts w:ascii="Times New Roman" w:hAnsi="Times New Roman"/>
                <w:sz w:val="24"/>
              </w:rPr>
              <w:t>Fiziskas un juridiskas personas, kas nodarbojas ar lauksaimniecisko ražošanu</w:t>
            </w:r>
            <w:r>
              <w:rPr>
                <w:rFonts w:ascii="Times New Roman" w:hAnsi="Times New Roman"/>
                <w:sz w:val="24"/>
              </w:rPr>
              <w:t xml:space="preserve">, </w:t>
            </w:r>
            <w:r>
              <w:rPr>
                <w:rFonts w:ascii="Times New Roman" w:hAnsi="Times New Roman"/>
                <w:sz w:val="24"/>
                <w:szCs w:val="24"/>
              </w:rPr>
              <w:t>lauksaimniecības produktu pārstrādes</w:t>
            </w:r>
            <w:r>
              <w:rPr>
                <w:rFonts w:ascii="Times New Roman" w:hAnsi="Times New Roman"/>
                <w:sz w:val="24"/>
              </w:rPr>
              <w:t xml:space="preserve"> uzņēmumi, zvejniecību un zvejas apstrādi un lauksaimniecības pakalpojumu kooperatīvi </w:t>
            </w:r>
            <w:r w:rsidR="006F5F9F">
              <w:rPr>
                <w:rFonts w:ascii="Times New Roman" w:hAnsi="Times New Roman"/>
                <w:sz w:val="24"/>
              </w:rPr>
              <w:t>– kopā</w:t>
            </w:r>
            <w:r w:rsidR="006F5F9F" w:rsidRPr="00B232A4">
              <w:rPr>
                <w:rFonts w:ascii="Times New Roman" w:hAnsi="Times New Roman"/>
                <w:sz w:val="24"/>
              </w:rPr>
              <w:t xml:space="preserve"> aptuveni </w:t>
            </w:r>
            <w:r w:rsidR="002756BB">
              <w:rPr>
                <w:rFonts w:ascii="Times New Roman" w:hAnsi="Times New Roman"/>
                <w:sz w:val="24"/>
              </w:rPr>
              <w:t>1</w:t>
            </w:r>
            <w:r w:rsidR="00B5180C">
              <w:rPr>
                <w:rFonts w:ascii="Times New Roman" w:hAnsi="Times New Roman"/>
                <w:sz w:val="24"/>
              </w:rPr>
              <w:t>000</w:t>
            </w:r>
            <w:r w:rsidR="006F5F9F" w:rsidRPr="00B232A4">
              <w:rPr>
                <w:rFonts w:ascii="Times New Roman" w:hAnsi="Times New Roman"/>
                <w:sz w:val="24"/>
              </w:rPr>
              <w:t xml:space="preserve"> vals</w:t>
            </w:r>
            <w:r w:rsidR="006F5F9F">
              <w:rPr>
                <w:rFonts w:ascii="Times New Roman" w:hAnsi="Times New Roman"/>
                <w:sz w:val="24"/>
              </w:rPr>
              <w:t>ts atbalsta saņēmēju</w:t>
            </w:r>
            <w:r w:rsidR="006F5F9F" w:rsidRPr="00B232A4">
              <w:rPr>
                <w:rFonts w:ascii="Times New Roman" w:hAnsi="Times New Roman"/>
                <w:sz w:val="24"/>
              </w:rPr>
              <w:t>.</w:t>
            </w:r>
          </w:p>
        </w:tc>
      </w:tr>
      <w:tr w:rsidR="006C5E77" w:rsidRPr="00DD49B6" w:rsidTr="008B5311">
        <w:trPr>
          <w:trHeight w:val="523"/>
        </w:trPr>
        <w:tc>
          <w:tcPr>
            <w:tcW w:w="431" w:type="dxa"/>
          </w:tcPr>
          <w:p w:rsidR="006C5E77" w:rsidRPr="00DD49B6" w:rsidRDefault="006C5E77" w:rsidP="006C5E77">
            <w:pPr>
              <w:pStyle w:val="naiskr"/>
              <w:spacing w:before="0" w:beforeAutospacing="0" w:after="0" w:afterAutospacing="0"/>
              <w:ind w:left="57" w:right="57"/>
              <w:jc w:val="both"/>
            </w:pPr>
            <w:r w:rsidRPr="00DD49B6">
              <w:t>2.</w:t>
            </w:r>
          </w:p>
        </w:tc>
        <w:tc>
          <w:tcPr>
            <w:tcW w:w="2976" w:type="dxa"/>
          </w:tcPr>
          <w:p w:rsidR="006C5E77" w:rsidRPr="00DD49B6" w:rsidRDefault="006C5E77" w:rsidP="006C5E77">
            <w:pPr>
              <w:pStyle w:val="naiskr"/>
              <w:spacing w:before="0" w:beforeAutospacing="0" w:after="0" w:afterAutospacing="0"/>
              <w:ind w:left="57" w:right="57"/>
            </w:pPr>
            <w:r w:rsidRPr="00DD49B6">
              <w:t>Tiesiskā regulējuma ietekme uz tautsaimniecību un administratīvo slogu</w:t>
            </w:r>
          </w:p>
        </w:tc>
        <w:tc>
          <w:tcPr>
            <w:tcW w:w="6096" w:type="dxa"/>
          </w:tcPr>
          <w:p w:rsidR="008F20DD" w:rsidRPr="0058384B" w:rsidRDefault="008F20DD" w:rsidP="008F20DD">
            <w:pPr>
              <w:spacing w:after="0" w:line="240" w:lineRule="auto"/>
              <w:jc w:val="both"/>
              <w:rPr>
                <w:rFonts w:ascii="Times New Roman" w:hAnsi="Times New Roman"/>
                <w:sz w:val="24"/>
              </w:rPr>
            </w:pPr>
            <w:r>
              <w:rPr>
                <w:rFonts w:ascii="Times New Roman" w:hAnsi="Times New Roman"/>
                <w:sz w:val="24"/>
              </w:rPr>
              <w:t xml:space="preserve">Lai sekmētu Eiropas Savienības struktūrfondu </w:t>
            </w:r>
            <w:r w:rsidR="00D97368">
              <w:rPr>
                <w:rFonts w:ascii="Times New Roman" w:hAnsi="Times New Roman"/>
                <w:sz w:val="24"/>
              </w:rPr>
              <w:t xml:space="preserve">finansēto </w:t>
            </w:r>
            <w:r>
              <w:rPr>
                <w:rFonts w:ascii="Times New Roman" w:hAnsi="Times New Roman"/>
                <w:sz w:val="24"/>
              </w:rPr>
              <w:t>projektu īstenošanu un lauksaimniecības</w:t>
            </w:r>
            <w:r w:rsidR="00261C13">
              <w:rPr>
                <w:rFonts w:ascii="Times New Roman" w:hAnsi="Times New Roman"/>
                <w:sz w:val="24"/>
              </w:rPr>
              <w:t xml:space="preserve"> nozarē, lauksaimniecības produktu pārstrādē un zvejniecības un zvejas produktu apstrādē</w:t>
            </w:r>
            <w:r>
              <w:rPr>
                <w:rFonts w:ascii="Times New Roman" w:hAnsi="Times New Roman"/>
                <w:sz w:val="24"/>
              </w:rPr>
              <w:t xml:space="preserve"> iesaistītajiem uzņēmumiem nodrošin</w:t>
            </w:r>
            <w:r w:rsidR="00D97368">
              <w:rPr>
                <w:rFonts w:ascii="Times New Roman" w:hAnsi="Times New Roman"/>
                <w:sz w:val="24"/>
              </w:rPr>
              <w:t>ātu</w:t>
            </w:r>
            <w:r>
              <w:rPr>
                <w:rFonts w:ascii="Times New Roman" w:hAnsi="Times New Roman"/>
                <w:sz w:val="24"/>
              </w:rPr>
              <w:t xml:space="preserve"> ilgtermiņa investīcijas ar atbilstošām aizdevumu likmēm, papildus ir jāparedz atbalsts kredītprocentu daļējai dzēšanai. Tādējādi </w:t>
            </w:r>
            <w:r w:rsidR="00D97368">
              <w:rPr>
                <w:rFonts w:ascii="Times New Roman" w:hAnsi="Times New Roman"/>
                <w:sz w:val="24"/>
              </w:rPr>
              <w:t xml:space="preserve">tiks </w:t>
            </w:r>
            <w:r>
              <w:rPr>
                <w:rFonts w:ascii="Times New Roman" w:hAnsi="Times New Roman"/>
                <w:sz w:val="24"/>
              </w:rPr>
              <w:t>mazin</w:t>
            </w:r>
            <w:r w:rsidR="00D97368">
              <w:rPr>
                <w:rFonts w:ascii="Times New Roman" w:hAnsi="Times New Roman"/>
                <w:sz w:val="24"/>
              </w:rPr>
              <w:t>ā</w:t>
            </w:r>
            <w:r>
              <w:rPr>
                <w:rFonts w:ascii="Times New Roman" w:hAnsi="Times New Roman"/>
                <w:sz w:val="24"/>
              </w:rPr>
              <w:t>t</w:t>
            </w:r>
            <w:r w:rsidR="00D97368">
              <w:rPr>
                <w:rFonts w:ascii="Times New Roman" w:hAnsi="Times New Roman"/>
                <w:sz w:val="24"/>
              </w:rPr>
              <w:t>s</w:t>
            </w:r>
            <w:r>
              <w:rPr>
                <w:rFonts w:ascii="Times New Roman" w:hAnsi="Times New Roman"/>
                <w:sz w:val="24"/>
              </w:rPr>
              <w:t xml:space="preserve"> finansiāl</w:t>
            </w:r>
            <w:r w:rsidR="00D97368">
              <w:rPr>
                <w:rFonts w:ascii="Times New Roman" w:hAnsi="Times New Roman"/>
                <w:sz w:val="24"/>
              </w:rPr>
              <w:t>ais</w:t>
            </w:r>
            <w:r>
              <w:rPr>
                <w:rFonts w:ascii="Times New Roman" w:hAnsi="Times New Roman"/>
                <w:sz w:val="24"/>
              </w:rPr>
              <w:t xml:space="preserve"> slog</w:t>
            </w:r>
            <w:r w:rsidR="00D97368">
              <w:rPr>
                <w:rFonts w:ascii="Times New Roman" w:hAnsi="Times New Roman"/>
                <w:sz w:val="24"/>
              </w:rPr>
              <w:t>s</w:t>
            </w:r>
            <w:r>
              <w:rPr>
                <w:rFonts w:ascii="Times New Roman" w:hAnsi="Times New Roman"/>
                <w:sz w:val="24"/>
              </w:rPr>
              <w:t xml:space="preserve"> uzņēmumiem</w:t>
            </w:r>
            <w:r w:rsidR="00D97368">
              <w:rPr>
                <w:rFonts w:ascii="Times New Roman" w:hAnsi="Times New Roman"/>
                <w:sz w:val="24"/>
              </w:rPr>
              <w:t>, kas</w:t>
            </w:r>
            <w:r>
              <w:rPr>
                <w:rFonts w:ascii="Times New Roman" w:hAnsi="Times New Roman"/>
                <w:sz w:val="24"/>
              </w:rPr>
              <w:t xml:space="preserve"> maksā kredītprocentus par aizdevumu likmēm.</w:t>
            </w:r>
          </w:p>
          <w:p w:rsidR="006C5E77" w:rsidRDefault="003A6E81" w:rsidP="008F20DD">
            <w:pPr>
              <w:spacing w:after="0" w:line="240" w:lineRule="auto"/>
              <w:jc w:val="both"/>
              <w:rPr>
                <w:rFonts w:ascii="Times New Roman" w:hAnsi="Times New Roman"/>
                <w:sz w:val="24"/>
              </w:rPr>
            </w:pPr>
            <w:r>
              <w:rPr>
                <w:rFonts w:ascii="Times New Roman" w:hAnsi="Times New Roman"/>
                <w:sz w:val="24"/>
              </w:rPr>
              <w:t>U</w:t>
            </w:r>
            <w:r w:rsidR="008F20DD" w:rsidRPr="004A07AB">
              <w:rPr>
                <w:rFonts w:ascii="Times New Roman" w:hAnsi="Times New Roman"/>
                <w:sz w:val="24"/>
              </w:rPr>
              <w:t>zņēmumos lieli līdzekļi</w:t>
            </w:r>
            <w:r>
              <w:rPr>
                <w:rFonts w:ascii="Times New Roman" w:hAnsi="Times New Roman"/>
                <w:sz w:val="24"/>
              </w:rPr>
              <w:t xml:space="preserve"> tiek novirzīti maksājumiem par aizdevumu likmēm</w:t>
            </w:r>
            <w:r w:rsidR="008F20DD" w:rsidRPr="004A07AB">
              <w:rPr>
                <w:rFonts w:ascii="Times New Roman" w:hAnsi="Times New Roman"/>
                <w:sz w:val="24"/>
              </w:rPr>
              <w:t xml:space="preserve">, </w:t>
            </w:r>
            <w:r w:rsidR="009F7371">
              <w:rPr>
                <w:rFonts w:ascii="Times New Roman" w:hAnsi="Times New Roman"/>
                <w:sz w:val="24"/>
              </w:rPr>
              <w:t>bet tos</w:t>
            </w:r>
            <w:r w:rsidR="008F20DD" w:rsidRPr="004A07AB">
              <w:rPr>
                <w:rFonts w:ascii="Times New Roman" w:hAnsi="Times New Roman"/>
                <w:sz w:val="24"/>
              </w:rPr>
              <w:t xml:space="preserve"> varētu izmantot</w:t>
            </w:r>
            <w:r>
              <w:rPr>
                <w:rFonts w:ascii="Times New Roman" w:hAnsi="Times New Roman"/>
                <w:sz w:val="24"/>
              </w:rPr>
              <w:t xml:space="preserve"> efektīvāk</w:t>
            </w:r>
            <w:r w:rsidR="009F7371">
              <w:rPr>
                <w:rFonts w:ascii="Times New Roman" w:hAnsi="Times New Roman"/>
                <w:sz w:val="24"/>
              </w:rPr>
              <w:t>,</w:t>
            </w:r>
            <w:r>
              <w:rPr>
                <w:rFonts w:ascii="Times New Roman" w:hAnsi="Times New Roman"/>
                <w:sz w:val="24"/>
              </w:rPr>
              <w:t xml:space="preserve"> novirzot</w:t>
            </w:r>
            <w:r w:rsidR="008F20DD" w:rsidRPr="004A07AB">
              <w:rPr>
                <w:rFonts w:ascii="Times New Roman" w:hAnsi="Times New Roman"/>
                <w:sz w:val="24"/>
              </w:rPr>
              <w:t xml:space="preserve"> </w:t>
            </w:r>
            <w:r w:rsidR="00F475EA">
              <w:rPr>
                <w:rFonts w:ascii="Times New Roman" w:hAnsi="Times New Roman"/>
                <w:sz w:val="24"/>
              </w:rPr>
              <w:t xml:space="preserve">apgrozāmo līdzekļu iegādes finansēšanai, </w:t>
            </w:r>
            <w:r w:rsidR="008F20DD" w:rsidRPr="004A07AB">
              <w:rPr>
                <w:rFonts w:ascii="Times New Roman" w:hAnsi="Times New Roman"/>
                <w:sz w:val="24"/>
              </w:rPr>
              <w:t>investīcijām efektivitātes palielināšanai un jaunu darbavietu radīšanai.</w:t>
            </w:r>
          </w:p>
          <w:p w:rsidR="008F20DD" w:rsidRDefault="008F20DD" w:rsidP="008F20DD">
            <w:pPr>
              <w:spacing w:after="0" w:line="240" w:lineRule="auto"/>
              <w:jc w:val="both"/>
              <w:rPr>
                <w:rFonts w:ascii="Times New Roman" w:hAnsi="Times New Roman"/>
                <w:sz w:val="24"/>
              </w:rPr>
            </w:pPr>
            <w:r w:rsidRPr="004A07AB">
              <w:rPr>
                <w:rFonts w:ascii="Times New Roman" w:hAnsi="Times New Roman"/>
                <w:sz w:val="24"/>
              </w:rPr>
              <w:t xml:space="preserve">Tādēļ ir nepieciešams atbalsts kredītprocentu daļējai dzēšanai lauksaimniecības </w:t>
            </w:r>
            <w:r>
              <w:rPr>
                <w:rFonts w:ascii="Times New Roman" w:hAnsi="Times New Roman"/>
                <w:sz w:val="24"/>
              </w:rPr>
              <w:t>nozarē</w:t>
            </w:r>
            <w:r w:rsidRPr="004A07AB">
              <w:rPr>
                <w:rFonts w:ascii="Times New Roman" w:hAnsi="Times New Roman"/>
                <w:sz w:val="24"/>
              </w:rPr>
              <w:t>,</w:t>
            </w:r>
            <w:r w:rsidR="003A6E81">
              <w:rPr>
                <w:rFonts w:ascii="Times New Roman" w:hAnsi="Times New Roman"/>
                <w:sz w:val="24"/>
              </w:rPr>
              <w:t xml:space="preserve"> lauksaimniecības produktu pārstrādē un zvejniecības un zvejas produktu apstrādē iesaistītajiem uzņēmumiem,</w:t>
            </w:r>
            <w:r w:rsidRPr="004A07AB">
              <w:rPr>
                <w:rFonts w:ascii="Times New Roman" w:hAnsi="Times New Roman"/>
                <w:sz w:val="24"/>
              </w:rPr>
              <w:t xml:space="preserve"> jo tā tiktu veicināta uzņēmumu efektivitāte un nodrošināta arī turpmāka investīciju ieplūšana uzņēmumos.</w:t>
            </w:r>
          </w:p>
          <w:p w:rsidR="003A6E81" w:rsidRPr="003A6E81" w:rsidRDefault="003A6E81" w:rsidP="003A6E81">
            <w:pPr>
              <w:spacing w:after="0" w:line="240" w:lineRule="auto"/>
              <w:jc w:val="both"/>
              <w:rPr>
                <w:rFonts w:ascii="Times New Roman" w:hAnsi="Times New Roman"/>
                <w:sz w:val="24"/>
                <w:szCs w:val="24"/>
              </w:rPr>
            </w:pPr>
            <w:r w:rsidRPr="003A6E81">
              <w:rPr>
                <w:rFonts w:ascii="Times New Roman" w:hAnsi="Times New Roman"/>
                <w:sz w:val="24"/>
                <w:szCs w:val="24"/>
              </w:rPr>
              <w:t xml:space="preserve">Atbalsts lauksaimniecībā izmantojamiem zinātnes pētījumiem </w:t>
            </w:r>
            <w:r>
              <w:rPr>
                <w:rFonts w:ascii="Times New Roman" w:hAnsi="Times New Roman"/>
                <w:sz w:val="24"/>
                <w:szCs w:val="24"/>
              </w:rPr>
              <w:t xml:space="preserve">un ar </w:t>
            </w:r>
            <w:r w:rsidRPr="003A6E81">
              <w:rPr>
                <w:rFonts w:ascii="Times New Roman" w:hAnsi="Times New Roman"/>
                <w:sz w:val="24"/>
                <w:szCs w:val="24"/>
              </w:rPr>
              <w:t xml:space="preserve">pētījumu un laboratorisko analīžu veikšanu saistītās </w:t>
            </w:r>
            <w:r>
              <w:rPr>
                <w:rFonts w:ascii="Times New Roman" w:hAnsi="Times New Roman"/>
                <w:sz w:val="24"/>
                <w:szCs w:val="24"/>
              </w:rPr>
              <w:t>materiālās bāzes pilnveidošanai nepieciešams, lai nodrošinātu efektīvāku lauksaimniecības produkcijas ražošanu – izturīgāku šķirņu selekcionēšan</w:t>
            </w:r>
            <w:r w:rsidR="009F7371">
              <w:rPr>
                <w:rFonts w:ascii="Times New Roman" w:hAnsi="Times New Roman"/>
                <w:sz w:val="24"/>
                <w:szCs w:val="24"/>
              </w:rPr>
              <w:t>u</w:t>
            </w:r>
            <w:r>
              <w:rPr>
                <w:rFonts w:ascii="Times New Roman" w:hAnsi="Times New Roman"/>
                <w:sz w:val="24"/>
                <w:szCs w:val="24"/>
              </w:rPr>
              <w:t>, nepieciešamo barības vielu izpēt</w:t>
            </w:r>
            <w:r w:rsidR="009F7371">
              <w:rPr>
                <w:rFonts w:ascii="Times New Roman" w:hAnsi="Times New Roman"/>
                <w:sz w:val="24"/>
                <w:szCs w:val="24"/>
              </w:rPr>
              <w:t>i</w:t>
            </w:r>
            <w:r>
              <w:rPr>
                <w:rFonts w:ascii="Times New Roman" w:hAnsi="Times New Roman"/>
                <w:sz w:val="24"/>
                <w:szCs w:val="24"/>
              </w:rPr>
              <w:t xml:space="preserve"> un slimību apkarošan</w:t>
            </w:r>
            <w:r w:rsidR="009F7371">
              <w:rPr>
                <w:rFonts w:ascii="Times New Roman" w:hAnsi="Times New Roman"/>
                <w:sz w:val="24"/>
                <w:szCs w:val="24"/>
              </w:rPr>
              <w:t>u</w:t>
            </w:r>
            <w:r>
              <w:rPr>
                <w:rFonts w:ascii="Times New Roman" w:hAnsi="Times New Roman"/>
                <w:sz w:val="24"/>
                <w:szCs w:val="24"/>
              </w:rPr>
              <w:t>.</w:t>
            </w:r>
          </w:p>
        </w:tc>
      </w:tr>
      <w:tr w:rsidR="006C5E77" w:rsidRPr="00DD49B6" w:rsidTr="008B5311">
        <w:trPr>
          <w:trHeight w:val="523"/>
        </w:trPr>
        <w:tc>
          <w:tcPr>
            <w:tcW w:w="431" w:type="dxa"/>
          </w:tcPr>
          <w:p w:rsidR="006C5E77" w:rsidRPr="00DD49B6" w:rsidRDefault="006C5E77" w:rsidP="006C5E77">
            <w:pPr>
              <w:pStyle w:val="naiskr"/>
              <w:spacing w:before="0" w:beforeAutospacing="0" w:after="0" w:afterAutospacing="0"/>
              <w:ind w:left="57" w:right="57"/>
              <w:jc w:val="both"/>
            </w:pPr>
            <w:r w:rsidRPr="00DD49B6">
              <w:t>3.</w:t>
            </w:r>
          </w:p>
        </w:tc>
        <w:tc>
          <w:tcPr>
            <w:tcW w:w="2976" w:type="dxa"/>
          </w:tcPr>
          <w:p w:rsidR="006C5E77" w:rsidRPr="00DD49B6" w:rsidRDefault="006C5E77" w:rsidP="006C5E77">
            <w:pPr>
              <w:pStyle w:val="naiskr"/>
              <w:spacing w:before="0" w:beforeAutospacing="0" w:after="0" w:afterAutospacing="0"/>
              <w:ind w:left="57" w:right="57"/>
            </w:pPr>
            <w:r w:rsidRPr="00DD49B6">
              <w:t>Administratīvo izmaksu monetārs novērtējums</w:t>
            </w:r>
          </w:p>
        </w:tc>
        <w:tc>
          <w:tcPr>
            <w:tcW w:w="6096" w:type="dxa"/>
          </w:tcPr>
          <w:p w:rsidR="006C5E77" w:rsidRPr="00A44D47" w:rsidRDefault="006E476D" w:rsidP="006C5E77">
            <w:pPr>
              <w:shd w:val="clear" w:color="auto" w:fill="FFFFFF"/>
              <w:spacing w:after="0" w:line="240" w:lineRule="auto"/>
              <w:ind w:left="57" w:right="57"/>
              <w:rPr>
                <w:rFonts w:ascii="Times New Roman" w:hAnsi="Times New Roman"/>
                <w:sz w:val="24"/>
              </w:rPr>
            </w:pPr>
            <w:r>
              <w:rPr>
                <w:rFonts w:ascii="Times New Roman" w:hAnsi="Times New Roman"/>
                <w:sz w:val="24"/>
              </w:rPr>
              <w:t>Projekts šo jomu neskar.</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DD3B0D" w:rsidRPr="00DD49B6" w:rsidRDefault="00DD3B0D" w:rsidP="006F5F9F">
      <w:pPr>
        <w:spacing w:after="0" w:line="240" w:lineRule="auto"/>
        <w:rPr>
          <w:rFonts w:ascii="Times New Roman" w:hAnsi="Times New Roman"/>
          <w:sz w:val="24"/>
          <w:szCs w:val="24"/>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1555"/>
        <w:gridCol w:w="1276"/>
        <w:gridCol w:w="1402"/>
        <w:gridCol w:w="1286"/>
        <w:gridCol w:w="1332"/>
      </w:tblGrid>
      <w:tr w:rsidR="00FE72F8" w:rsidRPr="00DD49B6" w:rsidTr="001B385D">
        <w:trPr>
          <w:trHeight w:val="361"/>
          <w:jc w:val="center"/>
        </w:trPr>
        <w:tc>
          <w:tcPr>
            <w:tcW w:w="9549" w:type="dxa"/>
            <w:gridSpan w:val="6"/>
            <w:vAlign w:val="center"/>
          </w:tcPr>
          <w:p w:rsidR="00FE72F8" w:rsidRPr="00DD49B6" w:rsidRDefault="00FE72F8" w:rsidP="00420CFD">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FE72F8" w:rsidRPr="00DD49B6" w:rsidTr="001B385D">
        <w:trPr>
          <w:jc w:val="center"/>
        </w:trPr>
        <w:tc>
          <w:tcPr>
            <w:tcW w:w="2698" w:type="dxa"/>
            <w:vMerge w:val="restart"/>
            <w:vAlign w:val="center"/>
          </w:tcPr>
          <w:p w:rsidR="00FE72F8" w:rsidRPr="00DD49B6" w:rsidRDefault="00FE72F8" w:rsidP="00420CFD">
            <w:pPr>
              <w:pStyle w:val="naisf"/>
              <w:spacing w:before="0" w:beforeAutospacing="0" w:after="0" w:afterAutospacing="0"/>
              <w:jc w:val="center"/>
              <w:rPr>
                <w:b/>
              </w:rPr>
            </w:pPr>
            <w:r w:rsidRPr="00DD49B6">
              <w:rPr>
                <w:b/>
              </w:rPr>
              <w:t>Rādītāji</w:t>
            </w:r>
          </w:p>
        </w:tc>
        <w:tc>
          <w:tcPr>
            <w:tcW w:w="2831" w:type="dxa"/>
            <w:gridSpan w:val="2"/>
            <w:vMerge w:val="restart"/>
            <w:vAlign w:val="center"/>
          </w:tcPr>
          <w:p w:rsidR="00FE72F8" w:rsidRPr="00DD49B6" w:rsidRDefault="00916850">
            <w:pPr>
              <w:pStyle w:val="naisf"/>
              <w:spacing w:before="0" w:beforeAutospacing="0" w:after="0" w:afterAutospacing="0"/>
              <w:jc w:val="center"/>
              <w:rPr>
                <w:b/>
              </w:rPr>
            </w:pPr>
            <w:r>
              <w:rPr>
                <w:b/>
              </w:rPr>
              <w:t>2017</w:t>
            </w:r>
            <w:r w:rsidR="00FE72F8">
              <w:rPr>
                <w:b/>
              </w:rPr>
              <w:t>.</w:t>
            </w:r>
            <w:r w:rsidR="00FE72F8" w:rsidRPr="00DD49B6">
              <w:rPr>
                <w:b/>
              </w:rPr>
              <w:t>gads</w:t>
            </w:r>
          </w:p>
        </w:tc>
        <w:tc>
          <w:tcPr>
            <w:tcW w:w="4020" w:type="dxa"/>
            <w:gridSpan w:val="3"/>
            <w:vAlign w:val="center"/>
          </w:tcPr>
          <w:p w:rsidR="00FE72F8" w:rsidRPr="00DD49B6" w:rsidRDefault="00FE72F8" w:rsidP="00420CFD">
            <w:pPr>
              <w:pStyle w:val="naisf"/>
              <w:spacing w:before="0" w:beforeAutospacing="0" w:after="0" w:afterAutospacing="0"/>
              <w:jc w:val="center"/>
              <w:rPr>
                <w:b/>
                <w:i/>
              </w:rPr>
            </w:pPr>
            <w:r w:rsidRPr="00DD49B6">
              <w:t>Turpmākie trīs gadi (</w:t>
            </w:r>
            <w:proofErr w:type="spellStart"/>
            <w:r w:rsidRPr="00487C57">
              <w:rPr>
                <w:i/>
              </w:rPr>
              <w:t>euro</w:t>
            </w:r>
            <w:proofErr w:type="spellEnd"/>
            <w:r w:rsidRPr="00DD49B6">
              <w:t>)</w:t>
            </w:r>
          </w:p>
        </w:tc>
      </w:tr>
      <w:tr w:rsidR="00FE72F8" w:rsidRPr="00DD49B6" w:rsidTr="001B385D">
        <w:trPr>
          <w:jc w:val="center"/>
        </w:trPr>
        <w:tc>
          <w:tcPr>
            <w:tcW w:w="2698" w:type="dxa"/>
            <w:vMerge/>
            <w:vAlign w:val="center"/>
          </w:tcPr>
          <w:p w:rsidR="00FE72F8" w:rsidRPr="00DD49B6" w:rsidRDefault="00FE72F8" w:rsidP="00420CFD">
            <w:pPr>
              <w:pStyle w:val="naisf"/>
              <w:spacing w:before="0" w:beforeAutospacing="0" w:after="0" w:afterAutospacing="0"/>
              <w:jc w:val="center"/>
              <w:rPr>
                <w:b/>
                <w:i/>
              </w:rPr>
            </w:pPr>
          </w:p>
        </w:tc>
        <w:tc>
          <w:tcPr>
            <w:tcW w:w="2831" w:type="dxa"/>
            <w:gridSpan w:val="2"/>
            <w:vMerge/>
            <w:vAlign w:val="center"/>
          </w:tcPr>
          <w:p w:rsidR="00FE72F8" w:rsidRPr="00DD49B6" w:rsidRDefault="00FE72F8" w:rsidP="00420CFD">
            <w:pPr>
              <w:pStyle w:val="naisf"/>
              <w:spacing w:before="0" w:beforeAutospacing="0" w:after="0" w:afterAutospacing="0"/>
              <w:jc w:val="center"/>
              <w:rPr>
                <w:b/>
                <w:i/>
              </w:rPr>
            </w:pPr>
          </w:p>
        </w:tc>
        <w:tc>
          <w:tcPr>
            <w:tcW w:w="1402" w:type="dxa"/>
            <w:vAlign w:val="center"/>
          </w:tcPr>
          <w:p w:rsidR="00FE72F8" w:rsidRPr="00DD49B6" w:rsidRDefault="00FE72F8">
            <w:pPr>
              <w:pStyle w:val="naisf"/>
              <w:spacing w:before="0" w:beforeAutospacing="0" w:after="0" w:afterAutospacing="0"/>
              <w:jc w:val="center"/>
              <w:rPr>
                <w:b/>
                <w:i/>
              </w:rPr>
            </w:pPr>
            <w:r>
              <w:rPr>
                <w:b/>
                <w:bCs/>
              </w:rPr>
              <w:t>201</w:t>
            </w:r>
            <w:r w:rsidR="00916850">
              <w:rPr>
                <w:b/>
                <w:bCs/>
              </w:rPr>
              <w:t>8</w:t>
            </w:r>
          </w:p>
        </w:tc>
        <w:tc>
          <w:tcPr>
            <w:tcW w:w="1286" w:type="dxa"/>
            <w:vAlign w:val="center"/>
          </w:tcPr>
          <w:p w:rsidR="00FE72F8" w:rsidRPr="00DD49B6" w:rsidRDefault="00916850">
            <w:pPr>
              <w:pStyle w:val="naisf"/>
              <w:spacing w:before="0" w:beforeAutospacing="0" w:after="0" w:afterAutospacing="0"/>
              <w:jc w:val="center"/>
              <w:rPr>
                <w:b/>
                <w:i/>
              </w:rPr>
            </w:pPr>
            <w:r>
              <w:rPr>
                <w:b/>
                <w:bCs/>
              </w:rPr>
              <w:t>2019</w:t>
            </w:r>
          </w:p>
        </w:tc>
        <w:tc>
          <w:tcPr>
            <w:tcW w:w="1332" w:type="dxa"/>
            <w:vAlign w:val="center"/>
          </w:tcPr>
          <w:p w:rsidR="00FE72F8" w:rsidRPr="00DD49B6" w:rsidRDefault="00916850">
            <w:pPr>
              <w:pStyle w:val="naisf"/>
              <w:spacing w:before="0" w:beforeAutospacing="0" w:after="0" w:afterAutospacing="0"/>
              <w:jc w:val="center"/>
              <w:rPr>
                <w:b/>
                <w:i/>
              </w:rPr>
            </w:pPr>
            <w:r>
              <w:rPr>
                <w:b/>
                <w:bCs/>
              </w:rPr>
              <w:t>2020</w:t>
            </w:r>
          </w:p>
        </w:tc>
      </w:tr>
      <w:tr w:rsidR="00FE72F8" w:rsidRPr="00DD49B6" w:rsidTr="001B385D">
        <w:trPr>
          <w:jc w:val="center"/>
        </w:trPr>
        <w:tc>
          <w:tcPr>
            <w:tcW w:w="2698" w:type="dxa"/>
            <w:vMerge/>
            <w:vAlign w:val="center"/>
          </w:tcPr>
          <w:p w:rsidR="00FE72F8" w:rsidRPr="00DD49B6" w:rsidRDefault="00FE72F8" w:rsidP="00420CFD">
            <w:pPr>
              <w:pStyle w:val="naisf"/>
              <w:spacing w:before="0" w:beforeAutospacing="0" w:after="0" w:afterAutospacing="0"/>
              <w:jc w:val="center"/>
              <w:rPr>
                <w:b/>
                <w:i/>
              </w:rPr>
            </w:pPr>
          </w:p>
        </w:tc>
        <w:tc>
          <w:tcPr>
            <w:tcW w:w="1555" w:type="dxa"/>
            <w:vAlign w:val="center"/>
          </w:tcPr>
          <w:p w:rsidR="00FE72F8" w:rsidRPr="00DD49B6" w:rsidRDefault="00FE72F8" w:rsidP="00420CFD">
            <w:pPr>
              <w:pStyle w:val="naisf"/>
              <w:spacing w:before="0" w:beforeAutospacing="0" w:after="0" w:afterAutospacing="0"/>
              <w:jc w:val="center"/>
              <w:rPr>
                <w:b/>
                <w:i/>
              </w:rPr>
            </w:pPr>
            <w:r>
              <w:t>s</w:t>
            </w:r>
            <w:r w:rsidRPr="00DD49B6">
              <w:t>askaņā ar valsts budžetu kārtējam gadam</w:t>
            </w:r>
          </w:p>
        </w:tc>
        <w:tc>
          <w:tcPr>
            <w:tcW w:w="1276" w:type="dxa"/>
            <w:vAlign w:val="center"/>
          </w:tcPr>
          <w:p w:rsidR="00FE72F8" w:rsidRPr="00DD49B6" w:rsidRDefault="00FE72F8" w:rsidP="00420CFD">
            <w:pPr>
              <w:pStyle w:val="naisf"/>
              <w:spacing w:before="0" w:beforeAutospacing="0" w:after="0" w:afterAutospacing="0"/>
              <w:jc w:val="center"/>
              <w:rPr>
                <w:b/>
                <w:i/>
              </w:rPr>
            </w:pPr>
            <w:r>
              <w:t>i</w:t>
            </w:r>
            <w:r w:rsidRPr="00DD49B6">
              <w:t>zmaiņas kārtējā gadā, salīdzinot ar budžetu kārtējam gadam</w:t>
            </w:r>
          </w:p>
        </w:tc>
        <w:tc>
          <w:tcPr>
            <w:tcW w:w="1402" w:type="dxa"/>
            <w:vAlign w:val="center"/>
          </w:tcPr>
          <w:p w:rsidR="00FE72F8" w:rsidRPr="00DD49B6" w:rsidRDefault="00FE72F8" w:rsidP="00A52F6A">
            <w:pPr>
              <w:pStyle w:val="naisf"/>
              <w:spacing w:before="0" w:beforeAutospacing="0" w:after="0" w:afterAutospacing="0"/>
              <w:jc w:val="center"/>
              <w:rPr>
                <w:b/>
                <w:i/>
              </w:rPr>
            </w:pPr>
            <w:r>
              <w:t>i</w:t>
            </w:r>
            <w:r w:rsidRPr="00DD49B6">
              <w:t xml:space="preserve">zmaiņas, salīdzinot ar kārtējo </w:t>
            </w:r>
            <w:r w:rsidR="00A52F6A">
              <w:t>2017.</w:t>
            </w:r>
            <w:r w:rsidRPr="00DD49B6">
              <w:t xml:space="preserve"> gadu</w:t>
            </w:r>
          </w:p>
        </w:tc>
        <w:tc>
          <w:tcPr>
            <w:tcW w:w="1286" w:type="dxa"/>
            <w:vAlign w:val="center"/>
          </w:tcPr>
          <w:p w:rsidR="00FE72F8" w:rsidRPr="00DD49B6" w:rsidRDefault="00FE72F8" w:rsidP="00A52F6A">
            <w:pPr>
              <w:pStyle w:val="naisf"/>
              <w:spacing w:before="0" w:beforeAutospacing="0" w:after="0" w:afterAutospacing="0"/>
              <w:jc w:val="center"/>
              <w:rPr>
                <w:b/>
                <w:i/>
              </w:rPr>
            </w:pPr>
            <w:r>
              <w:t>i</w:t>
            </w:r>
            <w:r w:rsidRPr="00DD49B6">
              <w:t xml:space="preserve">zmaiņas, salīdzinot ar kārtējo </w:t>
            </w:r>
            <w:r w:rsidR="00A52F6A">
              <w:t>2017.</w:t>
            </w:r>
            <w:r w:rsidRPr="00DD49B6">
              <w:t xml:space="preserve"> gadu</w:t>
            </w:r>
          </w:p>
        </w:tc>
        <w:tc>
          <w:tcPr>
            <w:tcW w:w="1332" w:type="dxa"/>
            <w:vAlign w:val="center"/>
          </w:tcPr>
          <w:p w:rsidR="00FE72F8" w:rsidRPr="00DD49B6" w:rsidRDefault="00FE72F8" w:rsidP="00A52F6A">
            <w:pPr>
              <w:pStyle w:val="naisf"/>
              <w:spacing w:before="0" w:beforeAutospacing="0" w:after="0" w:afterAutospacing="0"/>
              <w:jc w:val="center"/>
              <w:rPr>
                <w:b/>
                <w:i/>
              </w:rPr>
            </w:pPr>
            <w:r>
              <w:t>i</w:t>
            </w:r>
            <w:r w:rsidRPr="00DD49B6">
              <w:t xml:space="preserve">zmaiņas, salīdzinot ar kārtējo </w:t>
            </w:r>
            <w:r w:rsidR="00A52F6A">
              <w:t>2017.</w:t>
            </w:r>
            <w:r w:rsidRPr="00DD49B6">
              <w:t xml:space="preserve"> gadu</w:t>
            </w:r>
          </w:p>
        </w:tc>
      </w:tr>
      <w:tr w:rsidR="00FE72F8" w:rsidRPr="00DD49B6" w:rsidTr="001B385D">
        <w:trPr>
          <w:jc w:val="center"/>
        </w:trPr>
        <w:tc>
          <w:tcPr>
            <w:tcW w:w="2698" w:type="dxa"/>
            <w:vAlign w:val="center"/>
          </w:tcPr>
          <w:p w:rsidR="00FE72F8" w:rsidRPr="00DD49B6" w:rsidRDefault="00FE72F8" w:rsidP="00420CFD">
            <w:pPr>
              <w:pStyle w:val="naisf"/>
              <w:spacing w:before="0" w:beforeAutospacing="0" w:after="0" w:afterAutospacing="0"/>
              <w:jc w:val="center"/>
              <w:rPr>
                <w:bCs/>
              </w:rPr>
            </w:pPr>
            <w:r w:rsidRPr="00DD49B6">
              <w:rPr>
                <w:bCs/>
              </w:rPr>
              <w:t>1</w:t>
            </w:r>
          </w:p>
        </w:tc>
        <w:tc>
          <w:tcPr>
            <w:tcW w:w="1555" w:type="dxa"/>
            <w:vAlign w:val="center"/>
          </w:tcPr>
          <w:p w:rsidR="00FE72F8" w:rsidRPr="00DD49B6" w:rsidRDefault="00FE72F8" w:rsidP="00420CFD">
            <w:pPr>
              <w:pStyle w:val="naisf"/>
              <w:spacing w:before="0" w:beforeAutospacing="0" w:after="0" w:afterAutospacing="0"/>
              <w:jc w:val="center"/>
              <w:rPr>
                <w:bCs/>
              </w:rPr>
            </w:pPr>
            <w:r w:rsidRPr="00DD49B6">
              <w:rPr>
                <w:bCs/>
              </w:rPr>
              <w:t>2</w:t>
            </w:r>
          </w:p>
        </w:tc>
        <w:tc>
          <w:tcPr>
            <w:tcW w:w="1276" w:type="dxa"/>
            <w:vAlign w:val="center"/>
          </w:tcPr>
          <w:p w:rsidR="00FE72F8" w:rsidRPr="00DD49B6" w:rsidRDefault="00FE72F8" w:rsidP="00420CFD">
            <w:pPr>
              <w:pStyle w:val="naisf"/>
              <w:spacing w:before="0" w:beforeAutospacing="0" w:after="0" w:afterAutospacing="0"/>
              <w:jc w:val="center"/>
              <w:rPr>
                <w:bCs/>
              </w:rPr>
            </w:pPr>
            <w:r w:rsidRPr="00DD49B6">
              <w:rPr>
                <w:bCs/>
              </w:rPr>
              <w:t>3</w:t>
            </w:r>
          </w:p>
        </w:tc>
        <w:tc>
          <w:tcPr>
            <w:tcW w:w="1402" w:type="dxa"/>
            <w:vAlign w:val="center"/>
          </w:tcPr>
          <w:p w:rsidR="00FE72F8" w:rsidRPr="00DD49B6" w:rsidRDefault="00FE72F8" w:rsidP="00420CFD">
            <w:pPr>
              <w:pStyle w:val="naisf"/>
              <w:spacing w:before="0" w:beforeAutospacing="0" w:after="0" w:afterAutospacing="0"/>
              <w:jc w:val="center"/>
              <w:rPr>
                <w:bCs/>
              </w:rPr>
            </w:pPr>
            <w:r w:rsidRPr="00DD49B6">
              <w:rPr>
                <w:bCs/>
              </w:rPr>
              <w:t>4</w:t>
            </w:r>
          </w:p>
        </w:tc>
        <w:tc>
          <w:tcPr>
            <w:tcW w:w="1286" w:type="dxa"/>
            <w:vAlign w:val="center"/>
          </w:tcPr>
          <w:p w:rsidR="00FE72F8" w:rsidRPr="00DD49B6" w:rsidRDefault="00FE72F8" w:rsidP="00420CFD">
            <w:pPr>
              <w:pStyle w:val="naisf"/>
              <w:spacing w:before="0" w:beforeAutospacing="0" w:after="0" w:afterAutospacing="0"/>
              <w:jc w:val="center"/>
              <w:rPr>
                <w:bCs/>
              </w:rPr>
            </w:pPr>
            <w:r w:rsidRPr="00DD49B6">
              <w:rPr>
                <w:bCs/>
              </w:rPr>
              <w:t>5</w:t>
            </w:r>
          </w:p>
        </w:tc>
        <w:tc>
          <w:tcPr>
            <w:tcW w:w="1332" w:type="dxa"/>
            <w:vAlign w:val="center"/>
          </w:tcPr>
          <w:p w:rsidR="00FE72F8" w:rsidRPr="00DD49B6" w:rsidRDefault="00FE72F8" w:rsidP="00420CFD">
            <w:pPr>
              <w:pStyle w:val="naisf"/>
              <w:spacing w:before="0" w:beforeAutospacing="0" w:after="0" w:afterAutospacing="0"/>
              <w:jc w:val="center"/>
              <w:rPr>
                <w:bCs/>
              </w:rPr>
            </w:pPr>
            <w:r w:rsidRPr="00DD49B6">
              <w:rPr>
                <w:bCs/>
              </w:rPr>
              <w:t>6</w:t>
            </w:r>
          </w:p>
        </w:tc>
      </w:tr>
      <w:tr w:rsidR="00FE72F8" w:rsidRPr="00DD49B6" w:rsidTr="001B385D">
        <w:trPr>
          <w:jc w:val="center"/>
        </w:trPr>
        <w:tc>
          <w:tcPr>
            <w:tcW w:w="2698" w:type="dxa"/>
          </w:tcPr>
          <w:p w:rsidR="00FE72F8" w:rsidRPr="00DD49B6" w:rsidRDefault="00FE72F8" w:rsidP="00420CFD">
            <w:pPr>
              <w:pStyle w:val="naisf"/>
              <w:spacing w:before="0" w:beforeAutospacing="0" w:after="0" w:afterAutospacing="0"/>
              <w:rPr>
                <w:i/>
              </w:rPr>
            </w:pPr>
            <w:r w:rsidRPr="00DD49B6">
              <w:t>1. Budžeta ieņēmumi:</w:t>
            </w:r>
          </w:p>
        </w:tc>
        <w:tc>
          <w:tcPr>
            <w:tcW w:w="1555" w:type="dxa"/>
          </w:tcPr>
          <w:p w:rsidR="00FE72F8" w:rsidRPr="00434301" w:rsidRDefault="00083064" w:rsidP="001B385D">
            <w:pPr>
              <w:spacing w:after="0" w:line="240" w:lineRule="auto"/>
              <w:jc w:val="center"/>
              <w:rPr>
                <w:rFonts w:ascii="Times New Roman" w:hAnsi="Times New Roman"/>
                <w:sz w:val="24"/>
                <w:szCs w:val="24"/>
              </w:rPr>
            </w:pPr>
            <w:r>
              <w:rPr>
                <w:rFonts w:ascii="Times New Roman" w:hAnsi="Times New Roman"/>
                <w:sz w:val="24"/>
                <w:szCs w:val="24"/>
              </w:rPr>
              <w:t>10 000 000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pStyle w:val="naisf"/>
              <w:spacing w:before="0" w:beforeAutospacing="0" w:after="0" w:afterAutospacing="0"/>
              <w:rPr>
                <w:i/>
              </w:rPr>
            </w:pPr>
            <w:r w:rsidRPr="00DD49B6">
              <w:t>1.1. valsts pamatbudžets, tai skaitā ieņēmumi no maksas pakalpojumiem un citi pašu ieņēmumi</w:t>
            </w:r>
          </w:p>
        </w:tc>
        <w:tc>
          <w:tcPr>
            <w:tcW w:w="1555" w:type="dxa"/>
          </w:tcPr>
          <w:p w:rsidR="00083064" w:rsidRDefault="00083064" w:rsidP="001B385D">
            <w:pPr>
              <w:spacing w:after="0" w:line="240" w:lineRule="auto"/>
              <w:jc w:val="center"/>
              <w:rPr>
                <w:rFonts w:ascii="Times New Roman" w:hAnsi="Times New Roman"/>
                <w:sz w:val="24"/>
                <w:szCs w:val="24"/>
              </w:rPr>
            </w:pPr>
            <w:r>
              <w:rPr>
                <w:rFonts w:ascii="Times New Roman" w:hAnsi="Times New Roman"/>
                <w:sz w:val="24"/>
                <w:szCs w:val="24"/>
              </w:rPr>
              <w:t>10 000 000</w:t>
            </w:r>
          </w:p>
          <w:p w:rsidR="00FE72F8" w:rsidRPr="00434301" w:rsidRDefault="00FE72F8" w:rsidP="001B385D">
            <w:pPr>
              <w:spacing w:after="0" w:line="240" w:lineRule="auto"/>
              <w:jc w:val="center"/>
              <w:rPr>
                <w:rFonts w:ascii="Times New Roman" w:hAnsi="Times New Roman"/>
                <w:sz w:val="24"/>
                <w:szCs w:val="24"/>
              </w:rPr>
            </w:pP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pStyle w:val="naisf"/>
              <w:spacing w:before="0" w:beforeAutospacing="0" w:after="0" w:afterAutospacing="0"/>
              <w:rPr>
                <w:i/>
              </w:rPr>
            </w:pPr>
            <w:r w:rsidRPr="00DD49B6">
              <w:t>1.2. valsts speciālais budžets</w:t>
            </w:r>
          </w:p>
        </w:tc>
        <w:tc>
          <w:tcPr>
            <w:tcW w:w="1555"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trHeight w:val="60"/>
          <w:jc w:val="center"/>
        </w:trPr>
        <w:tc>
          <w:tcPr>
            <w:tcW w:w="2698" w:type="dxa"/>
          </w:tcPr>
          <w:p w:rsidR="00FE72F8" w:rsidRPr="00DD49B6" w:rsidRDefault="00FE72F8" w:rsidP="00420CFD">
            <w:pPr>
              <w:pStyle w:val="naisf"/>
              <w:spacing w:before="0" w:beforeAutospacing="0" w:after="0" w:afterAutospacing="0"/>
              <w:rPr>
                <w:i/>
              </w:rPr>
            </w:pPr>
            <w:r w:rsidRPr="00DD49B6">
              <w:lastRenderedPageBreak/>
              <w:t>1.3. pašvaldību budžets</w:t>
            </w:r>
          </w:p>
        </w:tc>
        <w:tc>
          <w:tcPr>
            <w:tcW w:w="1555"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2. Budžeta izdevumi:</w:t>
            </w:r>
          </w:p>
        </w:tc>
        <w:tc>
          <w:tcPr>
            <w:tcW w:w="1555"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10 000 000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2.1. valsts pamatbudžets</w:t>
            </w:r>
          </w:p>
        </w:tc>
        <w:tc>
          <w:tcPr>
            <w:tcW w:w="1555"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10 000 000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A61CD6"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2.2. valsts speciālais budžets</w:t>
            </w:r>
          </w:p>
        </w:tc>
        <w:tc>
          <w:tcPr>
            <w:tcW w:w="1555"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 xml:space="preserve">2.3. pašvaldību budžets </w:t>
            </w:r>
          </w:p>
        </w:tc>
        <w:tc>
          <w:tcPr>
            <w:tcW w:w="1555"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555" w:type="dxa"/>
            <w:shd w:val="clear" w:color="auto" w:fill="auto"/>
            <w:vAlign w:val="center"/>
          </w:tcPr>
          <w:p w:rsidR="00FE72F8" w:rsidRPr="00434301" w:rsidRDefault="00425B38" w:rsidP="001B385D">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3.1. valsts pamatbudžets</w:t>
            </w:r>
          </w:p>
        </w:tc>
        <w:tc>
          <w:tcPr>
            <w:tcW w:w="1555" w:type="dxa"/>
            <w:shd w:val="clear" w:color="auto" w:fill="auto"/>
          </w:tcPr>
          <w:p w:rsidR="00FE72F8" w:rsidRPr="00434301" w:rsidRDefault="00425B38" w:rsidP="001B385D">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3.2. speciālais budžets</w:t>
            </w:r>
          </w:p>
        </w:tc>
        <w:tc>
          <w:tcPr>
            <w:tcW w:w="1555" w:type="dxa"/>
            <w:shd w:val="clear" w:color="auto" w:fill="auto"/>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 xml:space="preserve">3.3. pašvaldību budžets </w:t>
            </w:r>
          </w:p>
        </w:tc>
        <w:tc>
          <w:tcPr>
            <w:tcW w:w="1555" w:type="dxa"/>
            <w:shd w:val="clear" w:color="auto" w:fill="auto"/>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vMerge w:val="restart"/>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4. Finanšu līdzekļi papildu izdevumu finansēšanai (kompensējošu izdevumu samazinājumu norāda ar "+" zīmi)</w:t>
            </w:r>
          </w:p>
        </w:tc>
        <w:tc>
          <w:tcPr>
            <w:tcW w:w="1555" w:type="dxa"/>
            <w:vMerge w:val="restart"/>
          </w:tcPr>
          <w:p w:rsidR="00FE72F8" w:rsidRPr="00434301" w:rsidRDefault="00425B38" w:rsidP="001B385D">
            <w:pPr>
              <w:spacing w:after="0" w:line="240" w:lineRule="auto"/>
              <w:jc w:val="center"/>
              <w:rPr>
                <w:rFonts w:ascii="Times New Roman" w:hAnsi="Times New Roman"/>
                <w:sz w:val="24"/>
                <w:szCs w:val="24"/>
              </w:rPr>
            </w:pPr>
            <w:r>
              <w:rPr>
                <w:rFonts w:ascii="Times New Roman" w:hAnsi="Times New Roman"/>
                <w:sz w:val="24"/>
                <w:szCs w:val="24"/>
              </w:rPr>
              <w:t>0</w:t>
            </w:r>
          </w:p>
          <w:p w:rsidR="00FE72F8" w:rsidRPr="00434301" w:rsidRDefault="00FE72F8" w:rsidP="001B385D">
            <w:pPr>
              <w:spacing w:after="0" w:line="240" w:lineRule="auto"/>
              <w:jc w:val="center"/>
              <w:rPr>
                <w:rFonts w:ascii="Times New Roman" w:hAnsi="Times New Roman"/>
                <w:sz w:val="24"/>
                <w:szCs w:val="24"/>
              </w:rPr>
            </w:pP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vMerge/>
          </w:tcPr>
          <w:p w:rsidR="00FE72F8" w:rsidRPr="00DD49B6" w:rsidRDefault="00FE72F8" w:rsidP="00420CFD">
            <w:pPr>
              <w:spacing w:after="0" w:line="240" w:lineRule="auto"/>
              <w:rPr>
                <w:rFonts w:ascii="Times New Roman" w:hAnsi="Times New Roman"/>
                <w:sz w:val="24"/>
                <w:szCs w:val="24"/>
              </w:rPr>
            </w:pPr>
          </w:p>
        </w:tc>
        <w:tc>
          <w:tcPr>
            <w:tcW w:w="1555" w:type="dxa"/>
            <w:vMerge/>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1B385D">
            <w:pPr>
              <w:pStyle w:val="naisf"/>
              <w:spacing w:before="0" w:beforeAutospacing="0" w:after="0" w:afterAutospacing="0"/>
              <w:jc w:val="center"/>
              <w:rPr>
                <w:b/>
                <w:i/>
              </w:rPr>
            </w:pPr>
            <w:r w:rsidRPr="00434301">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DE7184">
            <w:pPr>
              <w:pStyle w:val="naisf"/>
              <w:spacing w:before="0" w:beforeAutospacing="0" w:after="0" w:afterAutospacing="0"/>
              <w:jc w:val="center"/>
              <w:rPr>
                <w:b/>
                <w:i/>
              </w:rPr>
            </w:pPr>
            <w:r>
              <w:t>0</w:t>
            </w:r>
          </w:p>
        </w:tc>
        <w:tc>
          <w:tcPr>
            <w:tcW w:w="1332" w:type="dxa"/>
          </w:tcPr>
          <w:p w:rsidR="00FE72F8" w:rsidRPr="00434301" w:rsidRDefault="00DE7184" w:rsidP="00DE7184">
            <w:pPr>
              <w:pStyle w:val="naisf"/>
              <w:spacing w:before="0" w:beforeAutospacing="0" w:after="0" w:afterAutospacing="0"/>
              <w:jc w:val="center"/>
              <w:rPr>
                <w:b/>
                <w:i/>
              </w:rPr>
            </w:pPr>
            <w:r>
              <w:t>0</w:t>
            </w:r>
          </w:p>
        </w:tc>
      </w:tr>
      <w:tr w:rsidR="00FE72F8" w:rsidRPr="00DD49B6" w:rsidTr="001B385D">
        <w:trPr>
          <w:jc w:val="center"/>
        </w:trPr>
        <w:tc>
          <w:tcPr>
            <w:tcW w:w="2698" w:type="dxa"/>
            <w:vMerge/>
          </w:tcPr>
          <w:p w:rsidR="00FE72F8" w:rsidRPr="00DD49B6" w:rsidRDefault="00FE72F8" w:rsidP="00420CFD">
            <w:pPr>
              <w:spacing w:after="0" w:line="240" w:lineRule="auto"/>
              <w:rPr>
                <w:rFonts w:ascii="Times New Roman" w:hAnsi="Times New Roman"/>
                <w:sz w:val="24"/>
                <w:szCs w:val="24"/>
              </w:rPr>
            </w:pPr>
          </w:p>
        </w:tc>
        <w:tc>
          <w:tcPr>
            <w:tcW w:w="1555" w:type="dxa"/>
            <w:vMerge/>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1B385D">
            <w:pPr>
              <w:pStyle w:val="naisf"/>
              <w:spacing w:before="0" w:beforeAutospacing="0" w:after="0" w:afterAutospacing="0"/>
              <w:jc w:val="center"/>
              <w:rPr>
                <w:b/>
                <w:i/>
              </w:rPr>
            </w:pPr>
            <w:r w:rsidRPr="00434301">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DE7184">
            <w:pPr>
              <w:pStyle w:val="naisf"/>
              <w:spacing w:before="0" w:beforeAutospacing="0" w:after="0" w:afterAutospacing="0"/>
              <w:jc w:val="center"/>
              <w:rPr>
                <w:b/>
                <w:i/>
              </w:rPr>
            </w:pPr>
            <w:r>
              <w:t>0</w:t>
            </w:r>
          </w:p>
        </w:tc>
        <w:tc>
          <w:tcPr>
            <w:tcW w:w="1332" w:type="dxa"/>
          </w:tcPr>
          <w:p w:rsidR="00FE72F8" w:rsidRPr="00434301" w:rsidRDefault="00DE7184" w:rsidP="00DE7184">
            <w:pPr>
              <w:pStyle w:val="naisf"/>
              <w:spacing w:before="0" w:beforeAutospacing="0" w:after="0" w:afterAutospacing="0"/>
              <w:jc w:val="center"/>
              <w:rPr>
                <w:b/>
                <w:i/>
              </w:rPr>
            </w:pPr>
            <w: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555" w:type="dxa"/>
            <w:vMerge w:val="restart"/>
          </w:tcPr>
          <w:p w:rsidR="00FE72F8" w:rsidRPr="00434301" w:rsidRDefault="00622396"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33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5.1. valsts pamatbudžets</w:t>
            </w:r>
          </w:p>
        </w:tc>
        <w:tc>
          <w:tcPr>
            <w:tcW w:w="1555" w:type="dxa"/>
            <w:vMerge/>
            <w:vAlign w:val="center"/>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1B385D">
            <w:pPr>
              <w:spacing w:after="0" w:line="240" w:lineRule="auto"/>
              <w:jc w:val="center"/>
              <w:rPr>
                <w:rFonts w:ascii="Times New Roman" w:hAnsi="Times New Roman"/>
                <w:sz w:val="24"/>
                <w:szCs w:val="24"/>
              </w:rPr>
            </w:pPr>
            <w:r w:rsidRPr="00434301">
              <w:rPr>
                <w:rFonts w:ascii="Times New Roman" w:hAnsi="Times New Roman"/>
                <w:sz w:val="24"/>
                <w:szCs w:val="24"/>
              </w:rPr>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DE7184">
            <w:pPr>
              <w:pStyle w:val="naisf"/>
              <w:spacing w:before="0" w:beforeAutospacing="0" w:after="0" w:afterAutospacing="0"/>
              <w:jc w:val="center"/>
              <w:rPr>
                <w:b/>
                <w:i/>
              </w:rPr>
            </w:pPr>
            <w:r>
              <w:t>0</w:t>
            </w:r>
          </w:p>
        </w:tc>
        <w:tc>
          <w:tcPr>
            <w:tcW w:w="1332" w:type="dxa"/>
          </w:tcPr>
          <w:p w:rsidR="00FE72F8" w:rsidRPr="00434301" w:rsidRDefault="00DE7184" w:rsidP="00DE7184">
            <w:pPr>
              <w:pStyle w:val="naisf"/>
              <w:spacing w:before="0" w:beforeAutospacing="0" w:after="0" w:afterAutospacing="0"/>
              <w:jc w:val="center"/>
              <w:rPr>
                <w:b/>
                <w:i/>
              </w:rPr>
            </w:pPr>
            <w: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5.2. speciālais budžets</w:t>
            </w:r>
          </w:p>
        </w:tc>
        <w:tc>
          <w:tcPr>
            <w:tcW w:w="1555" w:type="dxa"/>
            <w:vMerge/>
            <w:vAlign w:val="center"/>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1B385D">
            <w:pPr>
              <w:pStyle w:val="naisf"/>
              <w:spacing w:before="0" w:beforeAutospacing="0" w:after="0" w:afterAutospacing="0"/>
              <w:jc w:val="center"/>
              <w:rPr>
                <w:b/>
                <w:i/>
              </w:rPr>
            </w:pPr>
            <w:r w:rsidRPr="00434301">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DE7184">
            <w:pPr>
              <w:pStyle w:val="naisf"/>
              <w:spacing w:before="0" w:beforeAutospacing="0" w:after="0" w:afterAutospacing="0"/>
              <w:jc w:val="center"/>
              <w:rPr>
                <w:b/>
                <w:i/>
              </w:rPr>
            </w:pPr>
            <w:r>
              <w:t>0</w:t>
            </w:r>
          </w:p>
        </w:tc>
        <w:tc>
          <w:tcPr>
            <w:tcW w:w="1332" w:type="dxa"/>
          </w:tcPr>
          <w:p w:rsidR="00FE72F8" w:rsidRPr="00434301" w:rsidRDefault="00DE7184" w:rsidP="00DE7184">
            <w:pPr>
              <w:pStyle w:val="naisf"/>
              <w:spacing w:before="0" w:beforeAutospacing="0" w:after="0" w:afterAutospacing="0"/>
              <w:jc w:val="center"/>
              <w:rPr>
                <w:b/>
                <w:i/>
              </w:rPr>
            </w:pPr>
            <w: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 xml:space="preserve">5.3. pašvaldību budžets </w:t>
            </w:r>
          </w:p>
        </w:tc>
        <w:tc>
          <w:tcPr>
            <w:tcW w:w="1555" w:type="dxa"/>
            <w:vMerge/>
            <w:vAlign w:val="center"/>
          </w:tcPr>
          <w:p w:rsidR="00FE72F8" w:rsidRPr="00434301" w:rsidRDefault="00FE72F8" w:rsidP="00420CFD">
            <w:pPr>
              <w:pStyle w:val="naisf"/>
              <w:spacing w:before="0" w:beforeAutospacing="0" w:after="0" w:afterAutospacing="0"/>
              <w:jc w:val="center"/>
              <w:rPr>
                <w:i/>
              </w:rPr>
            </w:pPr>
          </w:p>
        </w:tc>
        <w:tc>
          <w:tcPr>
            <w:tcW w:w="1276" w:type="dxa"/>
          </w:tcPr>
          <w:p w:rsidR="00FE72F8" w:rsidRPr="00434301" w:rsidRDefault="00FE72F8" w:rsidP="001B385D">
            <w:pPr>
              <w:pStyle w:val="naisf"/>
              <w:spacing w:before="0" w:beforeAutospacing="0" w:after="0" w:afterAutospacing="0"/>
              <w:jc w:val="center"/>
              <w:rPr>
                <w:b/>
                <w:i/>
              </w:rPr>
            </w:pPr>
            <w:r w:rsidRPr="00434301">
              <w:t>0</w:t>
            </w:r>
          </w:p>
        </w:tc>
        <w:tc>
          <w:tcPr>
            <w:tcW w:w="1402" w:type="dxa"/>
          </w:tcPr>
          <w:p w:rsidR="00FE72F8" w:rsidRPr="00434301" w:rsidRDefault="00DE7184" w:rsidP="00420CFD">
            <w:pPr>
              <w:spacing w:after="0"/>
              <w:jc w:val="center"/>
              <w:rPr>
                <w:rFonts w:ascii="Times New Roman" w:hAnsi="Times New Roman"/>
                <w:sz w:val="24"/>
                <w:szCs w:val="24"/>
              </w:rPr>
            </w:pPr>
            <w:r>
              <w:rPr>
                <w:rFonts w:ascii="Times New Roman" w:hAnsi="Times New Roman"/>
                <w:sz w:val="24"/>
                <w:szCs w:val="24"/>
              </w:rPr>
              <w:t>0</w:t>
            </w:r>
          </w:p>
        </w:tc>
        <w:tc>
          <w:tcPr>
            <w:tcW w:w="1286" w:type="dxa"/>
          </w:tcPr>
          <w:p w:rsidR="00FE72F8" w:rsidRPr="00434301" w:rsidRDefault="00DE7184" w:rsidP="00DE7184">
            <w:pPr>
              <w:pStyle w:val="naisf"/>
              <w:spacing w:before="0" w:beforeAutospacing="0" w:after="0" w:afterAutospacing="0"/>
              <w:jc w:val="center"/>
              <w:rPr>
                <w:b/>
                <w:i/>
              </w:rPr>
            </w:pPr>
            <w:r>
              <w:t>0</w:t>
            </w:r>
          </w:p>
        </w:tc>
        <w:tc>
          <w:tcPr>
            <w:tcW w:w="1332" w:type="dxa"/>
          </w:tcPr>
          <w:p w:rsidR="00FE72F8" w:rsidRPr="00434301" w:rsidRDefault="00DE7184" w:rsidP="00DE7184">
            <w:pPr>
              <w:pStyle w:val="naisf"/>
              <w:spacing w:before="0" w:beforeAutospacing="0" w:after="0" w:afterAutospacing="0"/>
              <w:jc w:val="center"/>
              <w:rPr>
                <w:b/>
                <w:i/>
              </w:rPr>
            </w:pPr>
            <w:r>
              <w:t>0</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851" w:type="dxa"/>
            <w:gridSpan w:val="5"/>
            <w:vMerge w:val="restart"/>
            <w:vAlign w:val="center"/>
          </w:tcPr>
          <w:p w:rsidR="00FE72F8" w:rsidRPr="00434301" w:rsidRDefault="007323B8" w:rsidP="001B385D">
            <w:pPr>
              <w:spacing w:after="0" w:line="240" w:lineRule="auto"/>
              <w:jc w:val="both"/>
              <w:rPr>
                <w:rFonts w:ascii="Times New Roman" w:hAnsi="Times New Roman"/>
                <w:sz w:val="24"/>
                <w:szCs w:val="24"/>
              </w:rPr>
            </w:pPr>
            <w:r>
              <w:rPr>
                <w:rFonts w:ascii="Times New Roman" w:hAnsi="Times New Roman"/>
                <w:sz w:val="24"/>
                <w:szCs w:val="24"/>
              </w:rPr>
              <w:t>2017.</w:t>
            </w:r>
            <w:r w:rsidR="00C071D0">
              <w:rPr>
                <w:rFonts w:ascii="Times New Roman" w:hAnsi="Times New Roman"/>
                <w:sz w:val="24"/>
                <w:szCs w:val="24"/>
              </w:rPr>
              <w:t>, 2018., 2019</w:t>
            </w:r>
            <w:r w:rsidR="001B385D">
              <w:rPr>
                <w:rFonts w:ascii="Times New Roman" w:hAnsi="Times New Roman"/>
                <w:sz w:val="24"/>
                <w:szCs w:val="24"/>
              </w:rPr>
              <w:t>.</w:t>
            </w:r>
            <w:r w:rsidR="00C071D0">
              <w:rPr>
                <w:rFonts w:ascii="Times New Roman" w:hAnsi="Times New Roman"/>
                <w:sz w:val="24"/>
                <w:szCs w:val="24"/>
              </w:rPr>
              <w:t xml:space="preserve"> un </w:t>
            </w:r>
            <w:r w:rsidR="001B385D">
              <w:rPr>
                <w:rFonts w:ascii="Times New Roman" w:hAnsi="Times New Roman"/>
                <w:sz w:val="24"/>
                <w:szCs w:val="24"/>
              </w:rPr>
              <w:t>2020</w:t>
            </w:r>
            <w:r w:rsidR="00C071D0">
              <w:rPr>
                <w:rFonts w:ascii="Times New Roman" w:hAnsi="Times New Roman"/>
                <w:sz w:val="24"/>
                <w:szCs w:val="24"/>
              </w:rPr>
              <w:t>.</w:t>
            </w:r>
            <w:r w:rsidR="00A416EE">
              <w:rPr>
                <w:rFonts w:ascii="Times New Roman" w:hAnsi="Times New Roman"/>
                <w:sz w:val="24"/>
                <w:szCs w:val="24"/>
              </w:rPr>
              <w:t> </w:t>
            </w:r>
            <w:r>
              <w:rPr>
                <w:rFonts w:ascii="Times New Roman" w:hAnsi="Times New Roman"/>
                <w:sz w:val="24"/>
                <w:szCs w:val="24"/>
              </w:rPr>
              <w:t xml:space="preserve">gadā plānots izmaksāt atbalstu 10 000 000 </w:t>
            </w:r>
            <w:proofErr w:type="spellStart"/>
            <w:r w:rsidRPr="00260055">
              <w:rPr>
                <w:rFonts w:ascii="Times New Roman" w:hAnsi="Times New Roman"/>
                <w:i/>
                <w:sz w:val="24"/>
                <w:szCs w:val="24"/>
              </w:rPr>
              <w:t>euro</w:t>
            </w:r>
            <w:proofErr w:type="spellEnd"/>
            <w:r>
              <w:rPr>
                <w:rFonts w:ascii="Times New Roman" w:hAnsi="Times New Roman"/>
                <w:sz w:val="24"/>
                <w:szCs w:val="24"/>
              </w:rPr>
              <w:t xml:space="preserve"> apmērā</w:t>
            </w:r>
            <w:r w:rsidR="00C071D0">
              <w:rPr>
                <w:rFonts w:ascii="Times New Roman" w:hAnsi="Times New Roman"/>
                <w:sz w:val="24"/>
                <w:szCs w:val="24"/>
              </w:rPr>
              <w:t xml:space="preserve"> (katru gadu)</w:t>
            </w:r>
            <w:r>
              <w:rPr>
                <w:rFonts w:ascii="Times New Roman" w:hAnsi="Times New Roman"/>
                <w:sz w:val="24"/>
                <w:szCs w:val="24"/>
              </w:rPr>
              <w:t>.</w:t>
            </w: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851" w:type="dxa"/>
            <w:gridSpan w:val="5"/>
            <w:vMerge/>
            <w:vAlign w:val="center"/>
          </w:tcPr>
          <w:p w:rsidR="00FE72F8" w:rsidRPr="00434301" w:rsidRDefault="00FE72F8" w:rsidP="00420CFD">
            <w:pPr>
              <w:pStyle w:val="naisf"/>
              <w:spacing w:before="0" w:beforeAutospacing="0" w:after="0" w:afterAutospacing="0"/>
              <w:rPr>
                <w:b/>
                <w:i/>
              </w:rPr>
            </w:pPr>
          </w:p>
        </w:tc>
      </w:tr>
      <w:tr w:rsidR="00FE72F8" w:rsidRPr="00DD49B6" w:rsidTr="001B385D">
        <w:trPr>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851" w:type="dxa"/>
            <w:gridSpan w:val="5"/>
            <w:vMerge/>
            <w:vAlign w:val="center"/>
          </w:tcPr>
          <w:p w:rsidR="00FE72F8" w:rsidRPr="00434301" w:rsidRDefault="00FE72F8" w:rsidP="00420CFD">
            <w:pPr>
              <w:pStyle w:val="naisf"/>
              <w:spacing w:before="0" w:beforeAutospacing="0" w:after="0" w:afterAutospacing="0"/>
              <w:rPr>
                <w:b/>
                <w:i/>
              </w:rPr>
            </w:pPr>
          </w:p>
        </w:tc>
      </w:tr>
      <w:tr w:rsidR="00FE72F8" w:rsidRPr="00DD49B6" w:rsidTr="001B385D">
        <w:trPr>
          <w:trHeight w:val="556"/>
          <w:jc w:val="center"/>
        </w:trPr>
        <w:tc>
          <w:tcPr>
            <w:tcW w:w="2698" w:type="dxa"/>
          </w:tcPr>
          <w:p w:rsidR="00FE72F8" w:rsidRPr="00DD49B6" w:rsidRDefault="00FE72F8" w:rsidP="00420CFD">
            <w:pPr>
              <w:spacing w:after="0" w:line="240" w:lineRule="auto"/>
              <w:rPr>
                <w:rFonts w:ascii="Times New Roman" w:hAnsi="Times New Roman"/>
                <w:sz w:val="24"/>
                <w:szCs w:val="24"/>
              </w:rPr>
            </w:pPr>
            <w:r w:rsidRPr="00DD49B6">
              <w:rPr>
                <w:rFonts w:ascii="Times New Roman" w:hAnsi="Times New Roman"/>
                <w:sz w:val="24"/>
                <w:szCs w:val="24"/>
              </w:rPr>
              <w:t>7. Cita informācija</w:t>
            </w:r>
          </w:p>
        </w:tc>
        <w:tc>
          <w:tcPr>
            <w:tcW w:w="6851" w:type="dxa"/>
            <w:gridSpan w:val="5"/>
          </w:tcPr>
          <w:p w:rsidR="00FE72F8" w:rsidRPr="00434301" w:rsidRDefault="00FE72F8" w:rsidP="00420CFD">
            <w:pPr>
              <w:spacing w:after="0" w:line="240" w:lineRule="auto"/>
              <w:jc w:val="both"/>
              <w:rPr>
                <w:rFonts w:ascii="Times New Roman" w:hAnsi="Times New Roman"/>
                <w:sz w:val="24"/>
                <w:szCs w:val="24"/>
              </w:rPr>
            </w:pPr>
            <w:r w:rsidRPr="00434301">
              <w:rPr>
                <w:rFonts w:ascii="Times New Roman" w:hAnsi="Times New Roman"/>
                <w:sz w:val="24"/>
                <w:szCs w:val="24"/>
              </w:rPr>
              <w:t xml:space="preserve">Atbalsts kredītprocentu daļējai dzēšanai un investīcijām materiālās bāzes pilnveidošanai </w:t>
            </w:r>
            <w:r w:rsidR="00C071D0">
              <w:rPr>
                <w:rFonts w:ascii="Times New Roman" w:hAnsi="Times New Roman"/>
                <w:sz w:val="24"/>
                <w:szCs w:val="24"/>
              </w:rPr>
              <w:t>2017., 2018., 2019</w:t>
            </w:r>
            <w:r w:rsidR="001B385D">
              <w:rPr>
                <w:rFonts w:ascii="Times New Roman" w:hAnsi="Times New Roman"/>
                <w:sz w:val="24"/>
                <w:szCs w:val="24"/>
              </w:rPr>
              <w:t>.</w:t>
            </w:r>
            <w:r w:rsidR="00C071D0">
              <w:rPr>
                <w:rFonts w:ascii="Times New Roman" w:hAnsi="Times New Roman"/>
                <w:sz w:val="24"/>
                <w:szCs w:val="24"/>
              </w:rPr>
              <w:t xml:space="preserve"> un </w:t>
            </w:r>
            <w:proofErr w:type="gramStart"/>
            <w:r w:rsidR="00C071D0">
              <w:rPr>
                <w:rFonts w:ascii="Times New Roman" w:hAnsi="Times New Roman"/>
                <w:sz w:val="24"/>
                <w:szCs w:val="24"/>
              </w:rPr>
              <w:t>20</w:t>
            </w:r>
            <w:r w:rsidR="001B385D">
              <w:rPr>
                <w:rFonts w:ascii="Times New Roman" w:hAnsi="Times New Roman"/>
                <w:sz w:val="24"/>
                <w:szCs w:val="24"/>
              </w:rPr>
              <w:t>20</w:t>
            </w:r>
            <w:r w:rsidR="00C071D0">
              <w:rPr>
                <w:rFonts w:ascii="Times New Roman" w:hAnsi="Times New Roman"/>
                <w:sz w:val="24"/>
                <w:szCs w:val="24"/>
              </w:rPr>
              <w:t>.gadā</w:t>
            </w:r>
            <w:proofErr w:type="gramEnd"/>
            <w:r w:rsidR="00C071D0" w:rsidRPr="00434301">
              <w:rPr>
                <w:rFonts w:ascii="Times New Roman" w:hAnsi="Times New Roman"/>
                <w:sz w:val="24"/>
                <w:szCs w:val="24"/>
              </w:rPr>
              <w:t xml:space="preserve"> </w:t>
            </w:r>
            <w:r w:rsidRPr="00434301">
              <w:rPr>
                <w:rFonts w:ascii="Times New Roman" w:hAnsi="Times New Roman"/>
                <w:sz w:val="24"/>
                <w:szCs w:val="24"/>
              </w:rPr>
              <w:t xml:space="preserve">10 000 000 </w:t>
            </w:r>
            <w:proofErr w:type="spellStart"/>
            <w:r w:rsidRPr="00434301">
              <w:rPr>
                <w:rFonts w:ascii="Times New Roman" w:hAnsi="Times New Roman"/>
                <w:i/>
                <w:sz w:val="24"/>
                <w:szCs w:val="24"/>
              </w:rPr>
              <w:t>euro</w:t>
            </w:r>
            <w:proofErr w:type="spellEnd"/>
            <w:r w:rsidRPr="00434301">
              <w:rPr>
                <w:rFonts w:ascii="Times New Roman" w:hAnsi="Times New Roman"/>
                <w:sz w:val="24"/>
                <w:szCs w:val="24"/>
              </w:rPr>
              <w:t xml:space="preserve"> apmērā</w:t>
            </w:r>
            <w:r w:rsidR="00C071D0">
              <w:rPr>
                <w:rFonts w:ascii="Times New Roman" w:hAnsi="Times New Roman"/>
                <w:sz w:val="24"/>
                <w:szCs w:val="24"/>
              </w:rPr>
              <w:t xml:space="preserve"> (katru gadu)</w:t>
            </w:r>
            <w:r w:rsidRPr="00434301">
              <w:rPr>
                <w:rFonts w:ascii="Times New Roman" w:hAnsi="Times New Roman"/>
                <w:sz w:val="24"/>
                <w:szCs w:val="24"/>
              </w:rPr>
              <w:t xml:space="preserve"> tiks izmaksāts no Zemkopības ministrijas budžeta programmas 65.00.00. „Eiropas Lauksaimniecības fonda lauku attīstībai (ELFLA) projektu un pasākumu ī</w:t>
            </w:r>
            <w:r w:rsidR="00B545D4" w:rsidRPr="00434301">
              <w:rPr>
                <w:rFonts w:ascii="Times New Roman" w:hAnsi="Times New Roman"/>
                <w:sz w:val="24"/>
                <w:szCs w:val="24"/>
              </w:rPr>
              <w:t>stenošana” apakšprogramma</w:t>
            </w:r>
            <w:r w:rsidR="00A416EE">
              <w:rPr>
                <w:rFonts w:ascii="Times New Roman" w:hAnsi="Times New Roman"/>
                <w:sz w:val="24"/>
                <w:szCs w:val="24"/>
              </w:rPr>
              <w:t>i</w:t>
            </w:r>
            <w:r w:rsidR="00B545D4" w:rsidRPr="00434301">
              <w:rPr>
                <w:rFonts w:ascii="Times New Roman" w:hAnsi="Times New Roman"/>
                <w:sz w:val="24"/>
                <w:szCs w:val="24"/>
              </w:rPr>
              <w:t xml:space="preserve"> 65.08</w:t>
            </w:r>
            <w:r w:rsidRPr="00434301">
              <w:rPr>
                <w:rFonts w:ascii="Times New Roman" w:hAnsi="Times New Roman"/>
                <w:sz w:val="24"/>
                <w:szCs w:val="24"/>
              </w:rPr>
              <w:t>.00. „Maksājumu iestādes izdevumi Eiropas Lauksaimniecības fonda lauku attīstībai (ELFLA) projektu un pasākumu īstenošanai (20</w:t>
            </w:r>
            <w:r w:rsidR="006F0604" w:rsidRPr="00434301">
              <w:rPr>
                <w:rFonts w:ascii="Times New Roman" w:hAnsi="Times New Roman"/>
                <w:sz w:val="24"/>
                <w:szCs w:val="24"/>
              </w:rPr>
              <w:t>14</w:t>
            </w:r>
            <w:r w:rsidRPr="00434301">
              <w:rPr>
                <w:rFonts w:ascii="Times New Roman" w:hAnsi="Times New Roman"/>
                <w:sz w:val="24"/>
                <w:szCs w:val="24"/>
              </w:rPr>
              <w:t>–20</w:t>
            </w:r>
            <w:r w:rsidR="006F0604" w:rsidRPr="00434301">
              <w:rPr>
                <w:rFonts w:ascii="Times New Roman" w:hAnsi="Times New Roman"/>
                <w:sz w:val="24"/>
                <w:szCs w:val="24"/>
              </w:rPr>
              <w:t>20</w:t>
            </w:r>
            <w:r w:rsidRPr="00434301">
              <w:rPr>
                <w:rFonts w:ascii="Times New Roman" w:hAnsi="Times New Roman"/>
                <w:sz w:val="24"/>
                <w:szCs w:val="24"/>
              </w:rPr>
              <w:t xml:space="preserve">)” </w:t>
            </w:r>
            <w:r w:rsidR="00916850" w:rsidRPr="00434301">
              <w:rPr>
                <w:rFonts w:ascii="Times New Roman" w:hAnsi="Times New Roman"/>
                <w:sz w:val="24"/>
                <w:szCs w:val="24"/>
              </w:rPr>
              <w:t>201</w:t>
            </w:r>
            <w:r w:rsidR="00916850">
              <w:rPr>
                <w:rFonts w:ascii="Times New Roman" w:hAnsi="Times New Roman"/>
                <w:sz w:val="24"/>
                <w:szCs w:val="24"/>
              </w:rPr>
              <w:t>7</w:t>
            </w:r>
            <w:r w:rsidR="00B545D4" w:rsidRPr="00434301">
              <w:rPr>
                <w:rFonts w:ascii="Times New Roman" w:hAnsi="Times New Roman"/>
                <w:sz w:val="24"/>
                <w:szCs w:val="24"/>
              </w:rPr>
              <w:t>.gadam piešķirtā finansējuma</w:t>
            </w:r>
            <w:r w:rsidRPr="00434301">
              <w:rPr>
                <w:rFonts w:ascii="Times New Roman" w:hAnsi="Times New Roman"/>
                <w:sz w:val="24"/>
                <w:szCs w:val="24"/>
              </w:rPr>
              <w:t xml:space="preserve"> Latvijas Lauku attīstības programmas 20</w:t>
            </w:r>
            <w:r w:rsidR="006F0604" w:rsidRPr="00434301">
              <w:rPr>
                <w:rFonts w:ascii="Times New Roman" w:hAnsi="Times New Roman"/>
                <w:sz w:val="24"/>
                <w:szCs w:val="24"/>
              </w:rPr>
              <w:t>14</w:t>
            </w:r>
            <w:r w:rsidRPr="00434301">
              <w:rPr>
                <w:rFonts w:ascii="Times New Roman" w:hAnsi="Times New Roman"/>
                <w:sz w:val="24"/>
                <w:szCs w:val="24"/>
              </w:rPr>
              <w:t>.–20</w:t>
            </w:r>
            <w:r w:rsidR="006F0604" w:rsidRPr="00434301">
              <w:rPr>
                <w:rFonts w:ascii="Times New Roman" w:hAnsi="Times New Roman"/>
                <w:sz w:val="24"/>
                <w:szCs w:val="24"/>
              </w:rPr>
              <w:t>20.gadam pasākum</w:t>
            </w:r>
            <w:r w:rsidR="009F7371">
              <w:rPr>
                <w:rFonts w:ascii="Times New Roman" w:hAnsi="Times New Roman"/>
                <w:sz w:val="24"/>
                <w:szCs w:val="24"/>
              </w:rPr>
              <w:t>ā</w:t>
            </w:r>
            <w:r w:rsidR="006F0604" w:rsidRPr="00434301">
              <w:rPr>
                <w:rFonts w:ascii="Times New Roman" w:hAnsi="Times New Roman"/>
                <w:sz w:val="24"/>
                <w:szCs w:val="24"/>
              </w:rPr>
              <w:t xml:space="preserve"> M04 </w:t>
            </w:r>
            <w:r w:rsidR="009F7371">
              <w:rPr>
                <w:rFonts w:ascii="Times New Roman" w:hAnsi="Times New Roman"/>
                <w:sz w:val="24"/>
                <w:szCs w:val="24"/>
              </w:rPr>
              <w:t>–</w:t>
            </w:r>
            <w:r w:rsidR="006F0604" w:rsidRPr="00434301">
              <w:rPr>
                <w:rFonts w:ascii="Times New Roman" w:hAnsi="Times New Roman"/>
                <w:sz w:val="24"/>
                <w:szCs w:val="24"/>
              </w:rPr>
              <w:t xml:space="preserve"> Ieguldījumi </w:t>
            </w:r>
            <w:r w:rsidR="00AE5FBB">
              <w:rPr>
                <w:rFonts w:ascii="Times New Roman" w:hAnsi="Times New Roman"/>
                <w:sz w:val="24"/>
                <w:szCs w:val="24"/>
              </w:rPr>
              <w:t>materiālajos</w:t>
            </w:r>
            <w:r w:rsidR="00AE5FBB" w:rsidRPr="00434301">
              <w:rPr>
                <w:rFonts w:ascii="Times New Roman" w:hAnsi="Times New Roman"/>
                <w:sz w:val="24"/>
                <w:szCs w:val="24"/>
              </w:rPr>
              <w:t xml:space="preserve"> </w:t>
            </w:r>
            <w:r w:rsidR="006F0604" w:rsidRPr="00434301">
              <w:rPr>
                <w:rFonts w:ascii="Times New Roman" w:hAnsi="Times New Roman"/>
                <w:sz w:val="24"/>
                <w:szCs w:val="24"/>
              </w:rPr>
              <w:t>aktīvos.</w:t>
            </w:r>
          </w:p>
          <w:p w:rsidR="00FE72F8" w:rsidRPr="00434301" w:rsidRDefault="00FE72F8" w:rsidP="00AE5FBB">
            <w:pPr>
              <w:spacing w:after="0" w:line="240" w:lineRule="auto"/>
              <w:jc w:val="both"/>
              <w:rPr>
                <w:rFonts w:ascii="Times New Roman" w:hAnsi="Times New Roman"/>
                <w:sz w:val="24"/>
                <w:szCs w:val="24"/>
              </w:rPr>
            </w:pPr>
            <w:r w:rsidRPr="00434301">
              <w:rPr>
                <w:rFonts w:ascii="Times New Roman" w:hAnsi="Times New Roman"/>
                <w:bCs/>
                <w:sz w:val="24"/>
                <w:szCs w:val="24"/>
              </w:rPr>
              <w:t>Lauku attīstības programmas 20</w:t>
            </w:r>
            <w:r w:rsidR="008E0E43" w:rsidRPr="00434301">
              <w:rPr>
                <w:rFonts w:ascii="Times New Roman" w:hAnsi="Times New Roman"/>
                <w:bCs/>
                <w:sz w:val="24"/>
                <w:szCs w:val="24"/>
              </w:rPr>
              <w:t>14</w:t>
            </w:r>
            <w:r w:rsidRPr="00434301">
              <w:rPr>
                <w:rFonts w:ascii="Times New Roman" w:hAnsi="Times New Roman"/>
                <w:bCs/>
                <w:sz w:val="24"/>
                <w:szCs w:val="24"/>
              </w:rPr>
              <w:t>.–20</w:t>
            </w:r>
            <w:r w:rsidR="008E0E43" w:rsidRPr="00434301">
              <w:rPr>
                <w:rFonts w:ascii="Times New Roman" w:hAnsi="Times New Roman"/>
                <w:bCs/>
                <w:sz w:val="24"/>
                <w:szCs w:val="24"/>
              </w:rPr>
              <w:t>20</w:t>
            </w:r>
            <w:r w:rsidRPr="00434301">
              <w:rPr>
                <w:rFonts w:ascii="Times New Roman" w:hAnsi="Times New Roman"/>
                <w:bCs/>
                <w:sz w:val="24"/>
                <w:szCs w:val="24"/>
              </w:rPr>
              <w:t xml:space="preserve">.gadam (turpmāk – LAP) kopējais pieejamais finansējums netiks pārsniegts, </w:t>
            </w:r>
            <w:r w:rsidR="008E0E43" w:rsidRPr="00434301">
              <w:rPr>
                <w:rFonts w:ascii="Times New Roman" w:hAnsi="Times New Roman"/>
                <w:bCs/>
                <w:sz w:val="24"/>
                <w:szCs w:val="24"/>
              </w:rPr>
              <w:t>jo</w:t>
            </w:r>
            <w:r w:rsidRPr="00434301">
              <w:rPr>
                <w:rFonts w:ascii="Times New Roman" w:hAnsi="Times New Roman"/>
                <w:bCs/>
                <w:sz w:val="24"/>
                <w:szCs w:val="24"/>
              </w:rPr>
              <w:t xml:space="preserve"> ir atbrīvojušies finanšu līdzekļi</w:t>
            </w:r>
            <w:r w:rsidR="008E0E43" w:rsidRPr="00434301">
              <w:rPr>
                <w:rFonts w:ascii="Times New Roman" w:hAnsi="Times New Roman"/>
                <w:bCs/>
                <w:sz w:val="24"/>
                <w:szCs w:val="24"/>
              </w:rPr>
              <w:t xml:space="preserve"> </w:t>
            </w:r>
            <w:r w:rsidR="008E0E43" w:rsidRPr="00434301">
              <w:rPr>
                <w:rFonts w:ascii="Times New Roman" w:hAnsi="Times New Roman"/>
                <w:sz w:val="24"/>
                <w:szCs w:val="24"/>
              </w:rPr>
              <w:t>pasākum</w:t>
            </w:r>
            <w:r w:rsidR="009F7371">
              <w:rPr>
                <w:rFonts w:ascii="Times New Roman" w:hAnsi="Times New Roman"/>
                <w:sz w:val="24"/>
                <w:szCs w:val="24"/>
              </w:rPr>
              <w:t>ā</w:t>
            </w:r>
            <w:r w:rsidR="008E0E43" w:rsidRPr="00434301">
              <w:rPr>
                <w:rFonts w:ascii="Times New Roman" w:hAnsi="Times New Roman"/>
                <w:sz w:val="24"/>
                <w:szCs w:val="24"/>
              </w:rPr>
              <w:t xml:space="preserve"> M04 </w:t>
            </w:r>
            <w:r w:rsidR="009F7371">
              <w:rPr>
                <w:rFonts w:ascii="Times New Roman" w:hAnsi="Times New Roman"/>
                <w:sz w:val="24"/>
                <w:szCs w:val="24"/>
              </w:rPr>
              <w:t>–</w:t>
            </w:r>
            <w:r w:rsidR="008E0E43" w:rsidRPr="00434301">
              <w:rPr>
                <w:rFonts w:ascii="Times New Roman" w:hAnsi="Times New Roman"/>
                <w:sz w:val="24"/>
                <w:szCs w:val="24"/>
              </w:rPr>
              <w:t xml:space="preserve"> </w:t>
            </w:r>
            <w:r w:rsidR="00A416EE">
              <w:rPr>
                <w:rFonts w:ascii="Times New Roman" w:hAnsi="Times New Roman"/>
                <w:sz w:val="24"/>
                <w:szCs w:val="24"/>
              </w:rPr>
              <w:t>“</w:t>
            </w:r>
            <w:r w:rsidR="008E0E43" w:rsidRPr="00434301">
              <w:rPr>
                <w:rFonts w:ascii="Times New Roman" w:hAnsi="Times New Roman"/>
                <w:sz w:val="24"/>
                <w:szCs w:val="24"/>
              </w:rPr>
              <w:t xml:space="preserve">Ieguldījumi </w:t>
            </w:r>
            <w:r w:rsidR="00AE5FBB">
              <w:rPr>
                <w:rFonts w:ascii="Times New Roman" w:hAnsi="Times New Roman"/>
                <w:sz w:val="24"/>
                <w:szCs w:val="24"/>
              </w:rPr>
              <w:t>materiālajos</w:t>
            </w:r>
            <w:r w:rsidR="00AE5FBB" w:rsidRPr="00434301">
              <w:rPr>
                <w:rFonts w:ascii="Times New Roman" w:hAnsi="Times New Roman"/>
                <w:sz w:val="24"/>
                <w:szCs w:val="24"/>
              </w:rPr>
              <w:t xml:space="preserve"> </w:t>
            </w:r>
            <w:r w:rsidR="008E0E43" w:rsidRPr="00434301">
              <w:rPr>
                <w:rFonts w:ascii="Times New Roman" w:hAnsi="Times New Roman"/>
                <w:sz w:val="24"/>
                <w:szCs w:val="24"/>
              </w:rPr>
              <w:t>aktīvos</w:t>
            </w:r>
            <w:r w:rsidR="00A416EE">
              <w:rPr>
                <w:rFonts w:ascii="Times New Roman" w:hAnsi="Times New Roman"/>
                <w:sz w:val="24"/>
                <w:szCs w:val="24"/>
              </w:rPr>
              <w:t>”</w:t>
            </w:r>
            <w:r w:rsidR="008E0E43" w:rsidRPr="00434301">
              <w:rPr>
                <w:rFonts w:ascii="Times New Roman" w:hAnsi="Times New Roman"/>
                <w:sz w:val="24"/>
                <w:szCs w:val="24"/>
              </w:rPr>
              <w:t xml:space="preserve">, </w:t>
            </w:r>
            <w:r w:rsidR="009F7371">
              <w:rPr>
                <w:rFonts w:ascii="Times New Roman" w:hAnsi="Times New Roman"/>
                <w:sz w:val="24"/>
                <w:szCs w:val="24"/>
              </w:rPr>
              <w:t>tāpēc ka</w:t>
            </w:r>
            <w:r w:rsidR="008E0E43" w:rsidRPr="00434301">
              <w:rPr>
                <w:rFonts w:ascii="Times New Roman" w:hAnsi="Times New Roman"/>
                <w:sz w:val="24"/>
                <w:szCs w:val="24"/>
              </w:rPr>
              <w:t xml:space="preserve"> </w:t>
            </w:r>
            <w:r w:rsidR="0069348D" w:rsidRPr="00434301">
              <w:rPr>
                <w:rFonts w:ascii="Times New Roman" w:hAnsi="Times New Roman"/>
                <w:sz w:val="24"/>
                <w:szCs w:val="24"/>
              </w:rPr>
              <w:t xml:space="preserve">neplānoti ir tikuši lauzti </w:t>
            </w:r>
            <w:r w:rsidR="0069348D" w:rsidRPr="00434301">
              <w:rPr>
                <w:rFonts w:ascii="Times New Roman" w:hAnsi="Times New Roman"/>
                <w:bCs/>
                <w:sz w:val="24"/>
                <w:szCs w:val="24"/>
              </w:rPr>
              <w:t>vairāki liela apjoma līgumi</w:t>
            </w:r>
            <w:r w:rsidRPr="00434301">
              <w:rPr>
                <w:rFonts w:ascii="Times New Roman" w:hAnsi="Times New Roman"/>
                <w:bCs/>
                <w:sz w:val="24"/>
                <w:szCs w:val="24"/>
              </w:rPr>
              <w:t xml:space="preserve">. </w:t>
            </w:r>
            <w:r w:rsidR="009F7371">
              <w:rPr>
                <w:rFonts w:ascii="Times New Roman" w:hAnsi="Times New Roman"/>
                <w:bCs/>
                <w:sz w:val="24"/>
                <w:szCs w:val="24"/>
              </w:rPr>
              <w:t>Līdz ar to</w:t>
            </w:r>
            <w:r w:rsidR="0069348D" w:rsidRPr="00434301">
              <w:rPr>
                <w:rFonts w:ascii="Times New Roman" w:hAnsi="Times New Roman"/>
                <w:bCs/>
                <w:sz w:val="24"/>
                <w:szCs w:val="24"/>
              </w:rPr>
              <w:t xml:space="preserve"> ir radusies valsts budžeta līdzekļu ekonomija</w:t>
            </w:r>
            <w:r w:rsidR="00A416EE">
              <w:rPr>
                <w:rFonts w:ascii="Times New Roman" w:hAnsi="Times New Roman"/>
                <w:bCs/>
                <w:sz w:val="24"/>
                <w:szCs w:val="24"/>
              </w:rPr>
              <w:t>,</w:t>
            </w:r>
            <w:r w:rsidR="0069348D" w:rsidRPr="00434301">
              <w:rPr>
                <w:rFonts w:ascii="Times New Roman" w:hAnsi="Times New Roman"/>
                <w:bCs/>
                <w:sz w:val="24"/>
                <w:szCs w:val="24"/>
              </w:rPr>
              <w:t xml:space="preserve"> un tos iespējams novirzīt citu atbalsta pasākumu segšanai. </w:t>
            </w:r>
          </w:p>
        </w:tc>
      </w:tr>
    </w:tbl>
    <w:p w:rsidR="006F5F9F" w:rsidRPr="00DD49B6" w:rsidDel="009D1634" w:rsidRDefault="006F5F9F" w:rsidP="006F5F9F">
      <w:pPr>
        <w:spacing w:after="0" w:line="240" w:lineRule="auto"/>
        <w:rPr>
          <w:rFonts w:ascii="Times New Roman" w:hAnsi="Times New Roman"/>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842"/>
        <w:gridCol w:w="6206"/>
      </w:tblGrid>
      <w:tr w:rsidR="006F5F9F" w:rsidRPr="00190B7B" w:rsidTr="007A7182">
        <w:trPr>
          <w:trHeight w:val="421"/>
          <w:jc w:val="center"/>
        </w:trPr>
        <w:tc>
          <w:tcPr>
            <w:tcW w:w="9900" w:type="dxa"/>
            <w:gridSpan w:val="3"/>
            <w:vAlign w:val="center"/>
          </w:tcPr>
          <w:p w:rsidR="006F5F9F" w:rsidRPr="00190B7B" w:rsidRDefault="006F5F9F" w:rsidP="00C301E7">
            <w:pPr>
              <w:pStyle w:val="naisnod"/>
              <w:spacing w:before="0" w:beforeAutospacing="0" w:after="0" w:afterAutospacing="0"/>
              <w:ind w:left="57" w:right="57"/>
              <w:jc w:val="center"/>
              <w:rPr>
                <w:highlight w:val="yellow"/>
              </w:rPr>
            </w:pPr>
            <w:r w:rsidRPr="00487C57">
              <w:rPr>
                <w:b/>
              </w:rPr>
              <w:t>VI. Sabiedrības līdzdalība un komunikācijas aktivitāte</w:t>
            </w:r>
          </w:p>
        </w:tc>
      </w:tr>
      <w:tr w:rsidR="006F5F9F" w:rsidRPr="00DD49B6" w:rsidTr="007A7182">
        <w:trPr>
          <w:trHeight w:val="553"/>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Plānotās sabiedrības līdzdalības un komunikācijas aktivitātes saistībā ar projektu</w:t>
            </w:r>
          </w:p>
        </w:tc>
        <w:tc>
          <w:tcPr>
            <w:tcW w:w="6206" w:type="dxa"/>
          </w:tcPr>
          <w:p w:rsidR="006F5F9F" w:rsidRPr="00DD49B6" w:rsidRDefault="00FD2DCC" w:rsidP="00BF3153">
            <w:pPr>
              <w:shd w:val="clear" w:color="auto" w:fill="FFFFFF"/>
              <w:spacing w:after="0" w:line="240" w:lineRule="auto"/>
              <w:ind w:left="169"/>
              <w:jc w:val="both"/>
              <w:rPr>
                <w:rFonts w:ascii="Times New Roman" w:hAnsi="Times New Roman"/>
                <w:sz w:val="24"/>
                <w:szCs w:val="24"/>
              </w:rPr>
            </w:pPr>
            <w:bookmarkStart w:id="3" w:name="p61"/>
            <w:bookmarkEnd w:id="3"/>
            <w:r>
              <w:rPr>
                <w:rFonts w:ascii="Times New Roman" w:eastAsia="Times New Roman" w:hAnsi="Times New Roman"/>
                <w:sz w:val="24"/>
                <w:szCs w:val="24"/>
                <w:lang w:eastAsia="lv-LV"/>
              </w:rPr>
              <w:t xml:space="preserve">Noteikumu projekts 2017.gada </w:t>
            </w:r>
            <w:r w:rsidR="00BF3153">
              <w:rPr>
                <w:rFonts w:ascii="Times New Roman" w:eastAsia="Times New Roman" w:hAnsi="Times New Roman"/>
                <w:sz w:val="24"/>
                <w:szCs w:val="24"/>
                <w:lang w:eastAsia="lv-LV"/>
              </w:rPr>
              <w:t>24</w:t>
            </w:r>
            <w:r>
              <w:rPr>
                <w:rFonts w:ascii="Times New Roman" w:eastAsia="Times New Roman" w:hAnsi="Times New Roman"/>
                <w:sz w:val="24"/>
                <w:szCs w:val="24"/>
                <w:lang w:eastAsia="lv-LV"/>
              </w:rPr>
              <w:t>.februārī elektroniski tika nosūtīts saskaņošanai lauksaimnieku konsultatīvās padomes dalīborganizācijām (Lauksaimnieku organizāciju sadarbības padomei, Zemnieku saeimai, Lauksaimniecības statūtsabiedrību asociācijai, Latvijas Lauksaimniecības kooperatīvu asociācijai, Latvijas Zemnieku federācijai, Lauksaimnieku apvienībai, Latvijas Jauno zemnieku klubam, Latvijas Pārtikas uzņēmumu federācijai un Latvijas Bioloģiskās lauksaimniecības asociācijai).</w:t>
            </w:r>
          </w:p>
        </w:tc>
      </w:tr>
      <w:tr w:rsidR="006F5F9F" w:rsidRPr="00DD49B6" w:rsidTr="007A7182">
        <w:trPr>
          <w:trHeight w:val="339"/>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DD49B6" w:rsidRDefault="001810FD" w:rsidP="006C5E77">
            <w:pPr>
              <w:shd w:val="clear" w:color="auto" w:fill="FFFFFF"/>
              <w:spacing w:after="0" w:line="240" w:lineRule="auto"/>
              <w:ind w:left="169"/>
              <w:jc w:val="both"/>
              <w:rPr>
                <w:rFonts w:ascii="Times New Roman" w:hAnsi="Times New Roman"/>
                <w:sz w:val="24"/>
                <w:szCs w:val="24"/>
                <w:lang w:eastAsia="lv-LV"/>
              </w:rPr>
            </w:pPr>
            <w:bookmarkStart w:id="4" w:name="p62"/>
            <w:bookmarkEnd w:id="4"/>
            <w:r>
              <w:rPr>
                <w:rFonts w:ascii="Times New Roman" w:hAnsi="Times New Roman"/>
                <w:sz w:val="24"/>
                <w:szCs w:val="24"/>
                <w:lang w:eastAsia="lv-LV"/>
              </w:rPr>
              <w:t>Noteiktajā termiņā atzinumi netika saņemti.</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DD49B6" w:rsidRDefault="001810FD" w:rsidP="006C5E77">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rPr>
              <w:t>Nav.</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CC534B" w:rsidRDefault="00CC534B" w:rsidP="00384017">
      <w:pPr>
        <w:pStyle w:val="Paraststmeklis"/>
        <w:spacing w:before="0" w:beforeAutospacing="0" w:after="0" w:afterAutospacing="0"/>
        <w:rPr>
          <w:i/>
        </w:rPr>
      </w:pPr>
    </w:p>
    <w:p w:rsidR="00384017" w:rsidRPr="00DE7184" w:rsidRDefault="00384017" w:rsidP="00384017">
      <w:pPr>
        <w:pStyle w:val="Paraststmeklis"/>
        <w:spacing w:before="0" w:beforeAutospacing="0" w:after="0" w:afterAutospacing="0"/>
        <w:rPr>
          <w:i/>
          <w:sz w:val="28"/>
          <w:szCs w:val="28"/>
        </w:rPr>
      </w:pPr>
      <w:r w:rsidRPr="00DE7184">
        <w:rPr>
          <w:i/>
          <w:sz w:val="28"/>
          <w:szCs w:val="28"/>
        </w:rPr>
        <w:t>Anotācijas</w:t>
      </w:r>
      <w:r w:rsidR="00916850" w:rsidRPr="00DE7184">
        <w:rPr>
          <w:i/>
          <w:sz w:val="28"/>
          <w:szCs w:val="28"/>
        </w:rPr>
        <w:t xml:space="preserve"> V un</w:t>
      </w:r>
      <w:r w:rsidRPr="00DE7184">
        <w:rPr>
          <w:i/>
          <w:sz w:val="28"/>
          <w:szCs w:val="28"/>
        </w:rPr>
        <w:t xml:space="preserve"> IV sadaļa – projekts šo jomu neskar.</w:t>
      </w:r>
    </w:p>
    <w:p w:rsidR="00B45C8D" w:rsidRPr="00DE7184" w:rsidRDefault="00B45C8D" w:rsidP="000E1C40">
      <w:pPr>
        <w:spacing w:after="0" w:line="240" w:lineRule="auto"/>
        <w:rPr>
          <w:rFonts w:ascii="Times New Roman" w:hAnsi="Times New Roman"/>
          <w:i/>
          <w:iCs/>
          <w:sz w:val="28"/>
          <w:szCs w:val="28"/>
          <w:lang w:eastAsia="lv-LV"/>
        </w:rPr>
      </w:pPr>
    </w:p>
    <w:p w:rsidR="001B385D" w:rsidRPr="00DE7184" w:rsidRDefault="001B385D" w:rsidP="000E1C40">
      <w:pPr>
        <w:spacing w:after="0" w:line="240" w:lineRule="auto"/>
        <w:rPr>
          <w:rFonts w:ascii="Times New Roman" w:hAnsi="Times New Roman"/>
          <w:i/>
          <w:iCs/>
          <w:sz w:val="28"/>
          <w:szCs w:val="28"/>
          <w:lang w:eastAsia="lv-LV"/>
        </w:rPr>
      </w:pPr>
    </w:p>
    <w:p w:rsidR="007D3B2C" w:rsidRPr="00DE7184" w:rsidRDefault="00221248" w:rsidP="00221248">
      <w:pPr>
        <w:spacing w:after="0" w:line="240" w:lineRule="auto"/>
        <w:rPr>
          <w:rFonts w:ascii="Times New Roman" w:hAnsi="Times New Roman"/>
          <w:sz w:val="28"/>
          <w:szCs w:val="28"/>
        </w:rPr>
      </w:pPr>
      <w:r w:rsidRPr="00DE7184">
        <w:rPr>
          <w:rFonts w:ascii="Times New Roman" w:hAnsi="Times New Roman"/>
          <w:sz w:val="28"/>
          <w:szCs w:val="28"/>
        </w:rPr>
        <w:t>Zemkopības ministr</w:t>
      </w:r>
      <w:r w:rsidR="006E2484" w:rsidRPr="00DE7184">
        <w:rPr>
          <w:rFonts w:ascii="Times New Roman" w:hAnsi="Times New Roman"/>
          <w:sz w:val="28"/>
          <w:szCs w:val="28"/>
        </w:rPr>
        <w:t>s</w:t>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Pr="00DE7184">
        <w:rPr>
          <w:rFonts w:ascii="Times New Roman" w:hAnsi="Times New Roman"/>
          <w:sz w:val="28"/>
          <w:szCs w:val="28"/>
        </w:rPr>
        <w:tab/>
      </w:r>
      <w:r w:rsidR="0020145C" w:rsidRPr="00DE7184">
        <w:rPr>
          <w:rFonts w:ascii="Times New Roman" w:hAnsi="Times New Roman"/>
          <w:sz w:val="28"/>
          <w:szCs w:val="28"/>
        </w:rPr>
        <w:tab/>
      </w:r>
      <w:r w:rsidR="006E2484" w:rsidRPr="00DE7184">
        <w:rPr>
          <w:rFonts w:ascii="Times New Roman" w:hAnsi="Times New Roman"/>
          <w:sz w:val="28"/>
          <w:szCs w:val="28"/>
        </w:rPr>
        <w:t>J.</w:t>
      </w:r>
      <w:r w:rsidR="00A416EE">
        <w:rPr>
          <w:rFonts w:ascii="Times New Roman" w:hAnsi="Times New Roman"/>
          <w:sz w:val="28"/>
          <w:szCs w:val="28"/>
        </w:rPr>
        <w:t> </w:t>
      </w:r>
      <w:r w:rsidR="006E2484" w:rsidRPr="00DE7184">
        <w:rPr>
          <w:rFonts w:ascii="Times New Roman" w:hAnsi="Times New Roman"/>
          <w:sz w:val="28"/>
          <w:szCs w:val="28"/>
        </w:rPr>
        <w:t>Dūklavs</w:t>
      </w:r>
    </w:p>
    <w:p w:rsidR="004A07AB" w:rsidRDefault="004A07AB" w:rsidP="000D6F10">
      <w:pPr>
        <w:spacing w:after="0"/>
        <w:rPr>
          <w:rFonts w:ascii="Times New Roman" w:hAnsi="Times New Roman"/>
          <w:sz w:val="20"/>
          <w:szCs w:val="20"/>
        </w:rPr>
      </w:pPr>
    </w:p>
    <w:p w:rsidR="001B385D" w:rsidRDefault="001B385D" w:rsidP="000D6F10">
      <w:pPr>
        <w:spacing w:after="0"/>
        <w:rPr>
          <w:rFonts w:ascii="Times New Roman" w:hAnsi="Times New Roman"/>
          <w:sz w:val="20"/>
          <w:szCs w:val="20"/>
        </w:rPr>
      </w:pPr>
    </w:p>
    <w:p w:rsidR="001B385D" w:rsidRPr="00A320FD" w:rsidRDefault="00A320FD" w:rsidP="000D6F10">
      <w:pPr>
        <w:spacing w:after="0"/>
        <w:rPr>
          <w:rFonts w:ascii="Times New Roman" w:hAnsi="Times New Roman"/>
          <w:sz w:val="28"/>
          <w:szCs w:val="20"/>
        </w:rPr>
      </w:pPr>
      <w:r w:rsidRPr="00A320FD">
        <w:rPr>
          <w:rFonts w:ascii="Times New Roman" w:hAnsi="Times New Roman"/>
          <w:sz w:val="28"/>
          <w:szCs w:val="20"/>
        </w:rPr>
        <w:t>Zemkopības ministrijas valsts sekret</w:t>
      </w:r>
      <w:r>
        <w:rPr>
          <w:rFonts w:ascii="Times New Roman" w:hAnsi="Times New Roman"/>
          <w:sz w:val="28"/>
          <w:szCs w:val="20"/>
        </w:rPr>
        <w:t>āre</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A320FD">
        <w:rPr>
          <w:rFonts w:ascii="Times New Roman" w:hAnsi="Times New Roman"/>
          <w:sz w:val="28"/>
          <w:szCs w:val="20"/>
        </w:rPr>
        <w:t>D.Lucaua</w:t>
      </w:r>
    </w:p>
    <w:p w:rsidR="001B385D" w:rsidRDefault="001B385D" w:rsidP="000D6F10">
      <w:pPr>
        <w:spacing w:after="0"/>
        <w:rPr>
          <w:rFonts w:ascii="Times New Roman" w:hAnsi="Times New Roman"/>
          <w:sz w:val="20"/>
          <w:szCs w:val="20"/>
        </w:rPr>
      </w:pPr>
    </w:p>
    <w:p w:rsidR="001B385D" w:rsidRDefault="001B385D" w:rsidP="000D6F10">
      <w:pPr>
        <w:spacing w:after="0"/>
        <w:rPr>
          <w:rFonts w:ascii="Times New Roman" w:hAnsi="Times New Roman"/>
          <w:sz w:val="20"/>
          <w:szCs w:val="20"/>
        </w:rPr>
      </w:pPr>
    </w:p>
    <w:p w:rsidR="001B385D" w:rsidRDefault="001B385D" w:rsidP="000D6F10">
      <w:pPr>
        <w:spacing w:after="0"/>
        <w:rPr>
          <w:rFonts w:ascii="Times New Roman" w:hAnsi="Times New Roman"/>
          <w:sz w:val="20"/>
          <w:szCs w:val="20"/>
        </w:rPr>
      </w:pPr>
    </w:p>
    <w:p w:rsidR="001B385D" w:rsidRDefault="001B385D" w:rsidP="000D6F10">
      <w:pPr>
        <w:spacing w:after="0"/>
        <w:rPr>
          <w:rFonts w:ascii="Times New Roman" w:hAnsi="Times New Roman"/>
          <w:sz w:val="20"/>
          <w:szCs w:val="20"/>
        </w:rPr>
      </w:pPr>
    </w:p>
    <w:p w:rsidR="001B385D" w:rsidRDefault="001B385D" w:rsidP="000D6F10">
      <w:pPr>
        <w:spacing w:after="0"/>
        <w:rPr>
          <w:rFonts w:ascii="Times New Roman" w:hAnsi="Times New Roman"/>
          <w:sz w:val="20"/>
          <w:szCs w:val="20"/>
        </w:rPr>
      </w:pPr>
    </w:p>
    <w:p w:rsidR="00A320FD" w:rsidRDefault="00A320FD" w:rsidP="000D6F10">
      <w:pPr>
        <w:spacing w:after="0"/>
        <w:rPr>
          <w:rFonts w:ascii="Times New Roman" w:hAnsi="Times New Roman"/>
          <w:sz w:val="20"/>
          <w:szCs w:val="20"/>
        </w:rPr>
      </w:pPr>
    </w:p>
    <w:p w:rsidR="00A320FD" w:rsidRDefault="00A320FD" w:rsidP="000D6F10">
      <w:pPr>
        <w:spacing w:after="0"/>
        <w:rPr>
          <w:rFonts w:ascii="Times New Roman" w:hAnsi="Times New Roman"/>
          <w:sz w:val="20"/>
          <w:szCs w:val="20"/>
        </w:rPr>
      </w:pPr>
      <w:bookmarkStart w:id="9" w:name="_GoBack"/>
      <w:bookmarkEnd w:id="9"/>
    </w:p>
    <w:p w:rsidR="001B385D" w:rsidRDefault="001B385D" w:rsidP="000D6F10">
      <w:pPr>
        <w:spacing w:after="0"/>
        <w:rPr>
          <w:rFonts w:ascii="Times New Roman" w:hAnsi="Times New Roman"/>
          <w:sz w:val="20"/>
          <w:szCs w:val="20"/>
        </w:rPr>
      </w:pPr>
    </w:p>
    <w:p w:rsidR="002A2938" w:rsidRPr="00DE7184" w:rsidRDefault="003955CF" w:rsidP="00A320FD">
      <w:pPr>
        <w:spacing w:after="0" w:line="240" w:lineRule="auto"/>
        <w:rPr>
          <w:rFonts w:ascii="Times New Roman" w:hAnsi="Times New Roman"/>
          <w:sz w:val="24"/>
          <w:szCs w:val="24"/>
        </w:rPr>
      </w:pPr>
      <w:r w:rsidRPr="00DE7184">
        <w:rPr>
          <w:rFonts w:ascii="Times New Roman" w:hAnsi="Times New Roman"/>
          <w:sz w:val="24"/>
          <w:szCs w:val="24"/>
        </w:rPr>
        <w:t>R.Zapereckis</w:t>
      </w:r>
      <w:r w:rsidR="002A2938" w:rsidRPr="00DE7184">
        <w:rPr>
          <w:rFonts w:ascii="Times New Roman" w:hAnsi="Times New Roman"/>
          <w:sz w:val="24"/>
          <w:szCs w:val="24"/>
        </w:rPr>
        <w:t xml:space="preserve"> </w:t>
      </w:r>
      <w:r w:rsidRPr="00DE7184">
        <w:rPr>
          <w:rFonts w:ascii="Times New Roman" w:hAnsi="Times New Roman"/>
          <w:sz w:val="24"/>
          <w:szCs w:val="24"/>
        </w:rPr>
        <w:t>67027301</w:t>
      </w:r>
      <w:r w:rsidR="007108AD" w:rsidRPr="00DE7184">
        <w:rPr>
          <w:rFonts w:ascii="Times New Roman" w:hAnsi="Times New Roman"/>
          <w:sz w:val="24"/>
          <w:szCs w:val="24"/>
        </w:rPr>
        <w:t xml:space="preserve">, </w:t>
      </w:r>
    </w:p>
    <w:p w:rsidR="00D05448" w:rsidRPr="00DE7184" w:rsidRDefault="003955CF" w:rsidP="00A320FD">
      <w:pPr>
        <w:spacing w:after="0" w:line="240" w:lineRule="auto"/>
        <w:rPr>
          <w:rFonts w:ascii="Times New Roman" w:hAnsi="Times New Roman"/>
          <w:sz w:val="24"/>
          <w:szCs w:val="24"/>
        </w:rPr>
      </w:pPr>
      <w:r w:rsidRPr="00DE7184">
        <w:rPr>
          <w:rFonts w:ascii="Times New Roman" w:hAnsi="Times New Roman"/>
          <w:sz w:val="24"/>
          <w:szCs w:val="24"/>
        </w:rPr>
        <w:t>Ritvars.Zapereckis</w:t>
      </w:r>
      <w:r w:rsidR="00D05448" w:rsidRPr="00DE7184">
        <w:rPr>
          <w:rFonts w:ascii="Times New Roman" w:hAnsi="Times New Roman"/>
          <w:sz w:val="24"/>
          <w:szCs w:val="24"/>
        </w:rPr>
        <w:t>@zm.gov.lv</w:t>
      </w:r>
    </w:p>
    <w:sectPr w:rsidR="00D05448" w:rsidRPr="00DE7184" w:rsidSect="00A320FD">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72" w:rsidRDefault="00CB1072" w:rsidP="000D6F10">
      <w:pPr>
        <w:spacing w:after="0" w:line="240" w:lineRule="auto"/>
      </w:pPr>
      <w:r>
        <w:separator/>
      </w:r>
    </w:p>
  </w:endnote>
  <w:endnote w:type="continuationSeparator" w:id="0">
    <w:p w:rsidR="00CB1072" w:rsidRDefault="00CB1072"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06" w:rsidRPr="00A320FD" w:rsidRDefault="00A320FD" w:rsidP="00A320FD">
    <w:pPr>
      <w:pStyle w:val="Kjene"/>
    </w:pPr>
    <w:r w:rsidRPr="00A320FD">
      <w:rPr>
        <w:rFonts w:ascii="Times New Roman" w:eastAsia="Times New Roman" w:hAnsi="Times New Roman"/>
        <w:lang w:eastAsia="lv-LV"/>
      </w:rPr>
      <w:t>ZMAnot_120417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06" w:rsidRPr="00A320FD" w:rsidRDefault="00A320FD" w:rsidP="00A320FD">
    <w:pPr>
      <w:pStyle w:val="Kjene"/>
    </w:pPr>
    <w:r w:rsidRPr="00A320FD">
      <w:rPr>
        <w:rFonts w:ascii="Times New Roman" w:eastAsia="Times New Roman" w:hAnsi="Times New Roman"/>
        <w:lang w:eastAsia="lv-LV"/>
      </w:rPr>
      <w:t>ZMAnot_120417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72" w:rsidRDefault="00CB1072" w:rsidP="000D6F10">
      <w:pPr>
        <w:spacing w:after="0" w:line="240" w:lineRule="auto"/>
      </w:pPr>
      <w:r>
        <w:separator/>
      </w:r>
    </w:p>
  </w:footnote>
  <w:footnote w:type="continuationSeparator" w:id="0">
    <w:p w:rsidR="00CB1072" w:rsidRDefault="00CB1072"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06" w:rsidRDefault="00B13706" w:rsidP="00EC59B6">
    <w:pPr>
      <w:pStyle w:val="Galvene"/>
      <w:jc w:val="center"/>
    </w:pPr>
    <w:r>
      <w:fldChar w:fldCharType="begin"/>
    </w:r>
    <w:r>
      <w:instrText xml:space="preserve"> PAGE   \* MERGEFORMAT </w:instrText>
    </w:r>
    <w:r>
      <w:fldChar w:fldCharType="separate"/>
    </w:r>
    <w:r w:rsidR="00A320F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15:restartNumberingAfterBreak="0">
    <w:nsid w:val="17803794"/>
    <w:multiLevelType w:val="hybridMultilevel"/>
    <w:tmpl w:val="538A61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AC29EB"/>
    <w:multiLevelType w:val="hybridMultilevel"/>
    <w:tmpl w:val="EC40E3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60486AA8"/>
    <w:multiLevelType w:val="hybridMultilevel"/>
    <w:tmpl w:val="AA8EA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8"/>
    <w:rsid w:val="0000330C"/>
    <w:rsid w:val="00016696"/>
    <w:rsid w:val="00017282"/>
    <w:rsid w:val="0002194E"/>
    <w:rsid w:val="000231BB"/>
    <w:rsid w:val="00024F53"/>
    <w:rsid w:val="00030E56"/>
    <w:rsid w:val="0003397F"/>
    <w:rsid w:val="00053B16"/>
    <w:rsid w:val="00054DB4"/>
    <w:rsid w:val="00060F03"/>
    <w:rsid w:val="000748C0"/>
    <w:rsid w:val="00083064"/>
    <w:rsid w:val="00084BF1"/>
    <w:rsid w:val="00087D58"/>
    <w:rsid w:val="00091D8A"/>
    <w:rsid w:val="00091FEA"/>
    <w:rsid w:val="00096C32"/>
    <w:rsid w:val="000A010B"/>
    <w:rsid w:val="000A491D"/>
    <w:rsid w:val="000A4C3A"/>
    <w:rsid w:val="000A75B7"/>
    <w:rsid w:val="000B0ACF"/>
    <w:rsid w:val="000B494B"/>
    <w:rsid w:val="000B5326"/>
    <w:rsid w:val="000C3925"/>
    <w:rsid w:val="000C4A47"/>
    <w:rsid w:val="000C54EC"/>
    <w:rsid w:val="000C6429"/>
    <w:rsid w:val="000C6811"/>
    <w:rsid w:val="000D5276"/>
    <w:rsid w:val="000D6F10"/>
    <w:rsid w:val="000E1C40"/>
    <w:rsid w:val="000E2990"/>
    <w:rsid w:val="000E4D7E"/>
    <w:rsid w:val="000F693C"/>
    <w:rsid w:val="000F7418"/>
    <w:rsid w:val="00100582"/>
    <w:rsid w:val="00102227"/>
    <w:rsid w:val="00102696"/>
    <w:rsid w:val="0010413A"/>
    <w:rsid w:val="0010578E"/>
    <w:rsid w:val="001069B2"/>
    <w:rsid w:val="00112FA0"/>
    <w:rsid w:val="00114F71"/>
    <w:rsid w:val="00116002"/>
    <w:rsid w:val="0011732C"/>
    <w:rsid w:val="001205FA"/>
    <w:rsid w:val="0012274B"/>
    <w:rsid w:val="00125E72"/>
    <w:rsid w:val="00127926"/>
    <w:rsid w:val="00130C87"/>
    <w:rsid w:val="0013147D"/>
    <w:rsid w:val="00150615"/>
    <w:rsid w:val="00152210"/>
    <w:rsid w:val="0015290B"/>
    <w:rsid w:val="00155970"/>
    <w:rsid w:val="0015792F"/>
    <w:rsid w:val="001659BE"/>
    <w:rsid w:val="00170C47"/>
    <w:rsid w:val="00171074"/>
    <w:rsid w:val="00175072"/>
    <w:rsid w:val="001810FD"/>
    <w:rsid w:val="00183ADE"/>
    <w:rsid w:val="00185ACE"/>
    <w:rsid w:val="001908E6"/>
    <w:rsid w:val="00190EC7"/>
    <w:rsid w:val="0019782C"/>
    <w:rsid w:val="001A11B1"/>
    <w:rsid w:val="001A696C"/>
    <w:rsid w:val="001B0512"/>
    <w:rsid w:val="001B218F"/>
    <w:rsid w:val="001B385D"/>
    <w:rsid w:val="001B3D4F"/>
    <w:rsid w:val="001C68E5"/>
    <w:rsid w:val="001D4C0F"/>
    <w:rsid w:val="001E528F"/>
    <w:rsid w:val="001E592D"/>
    <w:rsid w:val="001F267B"/>
    <w:rsid w:val="001F4AD2"/>
    <w:rsid w:val="0020145C"/>
    <w:rsid w:val="00203AD0"/>
    <w:rsid w:val="00203E87"/>
    <w:rsid w:val="0020745B"/>
    <w:rsid w:val="002102EB"/>
    <w:rsid w:val="00210742"/>
    <w:rsid w:val="0021269C"/>
    <w:rsid w:val="00212CC3"/>
    <w:rsid w:val="00215577"/>
    <w:rsid w:val="00215832"/>
    <w:rsid w:val="00216D0D"/>
    <w:rsid w:val="002205DC"/>
    <w:rsid w:val="00220A48"/>
    <w:rsid w:val="00221248"/>
    <w:rsid w:val="002217DF"/>
    <w:rsid w:val="002235F3"/>
    <w:rsid w:val="00224CA9"/>
    <w:rsid w:val="00230A96"/>
    <w:rsid w:val="00230D39"/>
    <w:rsid w:val="00235345"/>
    <w:rsid w:val="00241023"/>
    <w:rsid w:val="002445B2"/>
    <w:rsid w:val="00244604"/>
    <w:rsid w:val="00246BB5"/>
    <w:rsid w:val="0025065C"/>
    <w:rsid w:val="00251B0C"/>
    <w:rsid w:val="00260055"/>
    <w:rsid w:val="00261C13"/>
    <w:rsid w:val="002629B4"/>
    <w:rsid w:val="00263457"/>
    <w:rsid w:val="00265894"/>
    <w:rsid w:val="002662E1"/>
    <w:rsid w:val="0027196D"/>
    <w:rsid w:val="00272BBB"/>
    <w:rsid w:val="002744F0"/>
    <w:rsid w:val="00274708"/>
    <w:rsid w:val="002756BB"/>
    <w:rsid w:val="002855A3"/>
    <w:rsid w:val="0028773B"/>
    <w:rsid w:val="00293F9C"/>
    <w:rsid w:val="002A23E8"/>
    <w:rsid w:val="002A2938"/>
    <w:rsid w:val="002B0002"/>
    <w:rsid w:val="002B0805"/>
    <w:rsid w:val="002B1BC2"/>
    <w:rsid w:val="002B2A8C"/>
    <w:rsid w:val="002B4891"/>
    <w:rsid w:val="002B71A5"/>
    <w:rsid w:val="002C27C8"/>
    <w:rsid w:val="002C3263"/>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3B2D"/>
    <w:rsid w:val="00315F80"/>
    <w:rsid w:val="00316466"/>
    <w:rsid w:val="003175A7"/>
    <w:rsid w:val="003177DB"/>
    <w:rsid w:val="00323975"/>
    <w:rsid w:val="003312F1"/>
    <w:rsid w:val="00336E76"/>
    <w:rsid w:val="00340C45"/>
    <w:rsid w:val="00351238"/>
    <w:rsid w:val="00354B2D"/>
    <w:rsid w:val="003575DD"/>
    <w:rsid w:val="00365CE3"/>
    <w:rsid w:val="00377221"/>
    <w:rsid w:val="003813AA"/>
    <w:rsid w:val="00381CC5"/>
    <w:rsid w:val="00383991"/>
    <w:rsid w:val="00384017"/>
    <w:rsid w:val="00386250"/>
    <w:rsid w:val="0039030C"/>
    <w:rsid w:val="003909C0"/>
    <w:rsid w:val="003955CF"/>
    <w:rsid w:val="00396268"/>
    <w:rsid w:val="003A086F"/>
    <w:rsid w:val="003A1E94"/>
    <w:rsid w:val="003A2EB0"/>
    <w:rsid w:val="003A4BAB"/>
    <w:rsid w:val="003A6E81"/>
    <w:rsid w:val="003A789E"/>
    <w:rsid w:val="003B33B7"/>
    <w:rsid w:val="003B3F4F"/>
    <w:rsid w:val="003B5362"/>
    <w:rsid w:val="003B6079"/>
    <w:rsid w:val="003B74AB"/>
    <w:rsid w:val="003C1175"/>
    <w:rsid w:val="003C3E32"/>
    <w:rsid w:val="003C53A8"/>
    <w:rsid w:val="003D284A"/>
    <w:rsid w:val="003E0EA4"/>
    <w:rsid w:val="003E4683"/>
    <w:rsid w:val="003E5D82"/>
    <w:rsid w:val="003E5EFA"/>
    <w:rsid w:val="003F0D45"/>
    <w:rsid w:val="003F4FE0"/>
    <w:rsid w:val="0040434F"/>
    <w:rsid w:val="004109D9"/>
    <w:rsid w:val="00413A83"/>
    <w:rsid w:val="0041578D"/>
    <w:rsid w:val="00416CCF"/>
    <w:rsid w:val="00417FBF"/>
    <w:rsid w:val="00420CFD"/>
    <w:rsid w:val="0042318A"/>
    <w:rsid w:val="00425B38"/>
    <w:rsid w:val="004264CD"/>
    <w:rsid w:val="00434301"/>
    <w:rsid w:val="00435D3C"/>
    <w:rsid w:val="00437E4A"/>
    <w:rsid w:val="004409AA"/>
    <w:rsid w:val="004549EF"/>
    <w:rsid w:val="00462228"/>
    <w:rsid w:val="00462AAA"/>
    <w:rsid w:val="00467810"/>
    <w:rsid w:val="00476070"/>
    <w:rsid w:val="00476492"/>
    <w:rsid w:val="00477669"/>
    <w:rsid w:val="0048403F"/>
    <w:rsid w:val="0048636A"/>
    <w:rsid w:val="004964FB"/>
    <w:rsid w:val="0049736E"/>
    <w:rsid w:val="004A07AB"/>
    <w:rsid w:val="004A0BDF"/>
    <w:rsid w:val="004A6FE8"/>
    <w:rsid w:val="004B07EA"/>
    <w:rsid w:val="004B708C"/>
    <w:rsid w:val="004D6E18"/>
    <w:rsid w:val="004E17FF"/>
    <w:rsid w:val="004E38B3"/>
    <w:rsid w:val="004F0B5A"/>
    <w:rsid w:val="004F1D37"/>
    <w:rsid w:val="00502978"/>
    <w:rsid w:val="0050577E"/>
    <w:rsid w:val="005062D0"/>
    <w:rsid w:val="00515677"/>
    <w:rsid w:val="00522F94"/>
    <w:rsid w:val="00523298"/>
    <w:rsid w:val="005256DA"/>
    <w:rsid w:val="005270E4"/>
    <w:rsid w:val="005272C5"/>
    <w:rsid w:val="00530C1C"/>
    <w:rsid w:val="00533B4D"/>
    <w:rsid w:val="0053550A"/>
    <w:rsid w:val="00536FFF"/>
    <w:rsid w:val="00545652"/>
    <w:rsid w:val="00545FC5"/>
    <w:rsid w:val="00553AAB"/>
    <w:rsid w:val="005554F8"/>
    <w:rsid w:val="005560FA"/>
    <w:rsid w:val="005620FC"/>
    <w:rsid w:val="00565963"/>
    <w:rsid w:val="00567186"/>
    <w:rsid w:val="00567E97"/>
    <w:rsid w:val="00577536"/>
    <w:rsid w:val="00577A21"/>
    <w:rsid w:val="00577A3D"/>
    <w:rsid w:val="00581B0D"/>
    <w:rsid w:val="00582C41"/>
    <w:rsid w:val="0058384B"/>
    <w:rsid w:val="005907EC"/>
    <w:rsid w:val="005B7922"/>
    <w:rsid w:val="005B7F8A"/>
    <w:rsid w:val="005C0F14"/>
    <w:rsid w:val="005C4939"/>
    <w:rsid w:val="005C4A1D"/>
    <w:rsid w:val="005C62CD"/>
    <w:rsid w:val="005C6719"/>
    <w:rsid w:val="005D4E74"/>
    <w:rsid w:val="005E5293"/>
    <w:rsid w:val="005E603A"/>
    <w:rsid w:val="005E617B"/>
    <w:rsid w:val="005E6639"/>
    <w:rsid w:val="005E7DA8"/>
    <w:rsid w:val="005F4330"/>
    <w:rsid w:val="00600CD4"/>
    <w:rsid w:val="0060520F"/>
    <w:rsid w:val="00605B25"/>
    <w:rsid w:val="0061075B"/>
    <w:rsid w:val="00610E3E"/>
    <w:rsid w:val="0061128F"/>
    <w:rsid w:val="006217C6"/>
    <w:rsid w:val="00622396"/>
    <w:rsid w:val="00622C9D"/>
    <w:rsid w:val="0063469A"/>
    <w:rsid w:val="00635C74"/>
    <w:rsid w:val="006434A1"/>
    <w:rsid w:val="006448EF"/>
    <w:rsid w:val="0065787F"/>
    <w:rsid w:val="00661251"/>
    <w:rsid w:val="00670052"/>
    <w:rsid w:val="006724DF"/>
    <w:rsid w:val="00673B0D"/>
    <w:rsid w:val="00674B8F"/>
    <w:rsid w:val="006770CD"/>
    <w:rsid w:val="006829B0"/>
    <w:rsid w:val="006833CA"/>
    <w:rsid w:val="00687CB4"/>
    <w:rsid w:val="00691224"/>
    <w:rsid w:val="006918D8"/>
    <w:rsid w:val="0069348D"/>
    <w:rsid w:val="006A0964"/>
    <w:rsid w:val="006A180A"/>
    <w:rsid w:val="006A44A2"/>
    <w:rsid w:val="006A53F8"/>
    <w:rsid w:val="006A626F"/>
    <w:rsid w:val="006B172E"/>
    <w:rsid w:val="006B1A69"/>
    <w:rsid w:val="006B4A74"/>
    <w:rsid w:val="006B7036"/>
    <w:rsid w:val="006B79A8"/>
    <w:rsid w:val="006C1BB0"/>
    <w:rsid w:val="006C2C1A"/>
    <w:rsid w:val="006C5DC4"/>
    <w:rsid w:val="006C5E77"/>
    <w:rsid w:val="006D296B"/>
    <w:rsid w:val="006E2484"/>
    <w:rsid w:val="006E3FF4"/>
    <w:rsid w:val="006E476D"/>
    <w:rsid w:val="006E4EF1"/>
    <w:rsid w:val="006E63FC"/>
    <w:rsid w:val="006E66AE"/>
    <w:rsid w:val="006F0604"/>
    <w:rsid w:val="006F246B"/>
    <w:rsid w:val="006F40AB"/>
    <w:rsid w:val="006F5F9F"/>
    <w:rsid w:val="00701F6E"/>
    <w:rsid w:val="00702251"/>
    <w:rsid w:val="00704084"/>
    <w:rsid w:val="00705DE5"/>
    <w:rsid w:val="00710224"/>
    <w:rsid w:val="007108AD"/>
    <w:rsid w:val="0071281F"/>
    <w:rsid w:val="00713414"/>
    <w:rsid w:val="0072209B"/>
    <w:rsid w:val="00723F40"/>
    <w:rsid w:val="00730F20"/>
    <w:rsid w:val="007323B8"/>
    <w:rsid w:val="00770721"/>
    <w:rsid w:val="0077427E"/>
    <w:rsid w:val="00776F85"/>
    <w:rsid w:val="0078377A"/>
    <w:rsid w:val="00783EEA"/>
    <w:rsid w:val="007862F4"/>
    <w:rsid w:val="00790C83"/>
    <w:rsid w:val="0079281C"/>
    <w:rsid w:val="00796649"/>
    <w:rsid w:val="007A1054"/>
    <w:rsid w:val="007A42EF"/>
    <w:rsid w:val="007A6170"/>
    <w:rsid w:val="007A7182"/>
    <w:rsid w:val="007B107B"/>
    <w:rsid w:val="007B1980"/>
    <w:rsid w:val="007D3B2C"/>
    <w:rsid w:val="007E15D3"/>
    <w:rsid w:val="007E2AF6"/>
    <w:rsid w:val="007E7967"/>
    <w:rsid w:val="007E797C"/>
    <w:rsid w:val="007F4174"/>
    <w:rsid w:val="0081091E"/>
    <w:rsid w:val="00815F63"/>
    <w:rsid w:val="008258F8"/>
    <w:rsid w:val="00830D8C"/>
    <w:rsid w:val="008347F6"/>
    <w:rsid w:val="00840271"/>
    <w:rsid w:val="00842CB7"/>
    <w:rsid w:val="00844CB2"/>
    <w:rsid w:val="00844D64"/>
    <w:rsid w:val="00844D7F"/>
    <w:rsid w:val="00851920"/>
    <w:rsid w:val="00854149"/>
    <w:rsid w:val="00854192"/>
    <w:rsid w:val="0085704D"/>
    <w:rsid w:val="00864302"/>
    <w:rsid w:val="008648ED"/>
    <w:rsid w:val="008776F6"/>
    <w:rsid w:val="00877F9A"/>
    <w:rsid w:val="00880B88"/>
    <w:rsid w:val="00885424"/>
    <w:rsid w:val="00890C56"/>
    <w:rsid w:val="00897705"/>
    <w:rsid w:val="008A6621"/>
    <w:rsid w:val="008B5311"/>
    <w:rsid w:val="008C0D20"/>
    <w:rsid w:val="008C4AB6"/>
    <w:rsid w:val="008C60DD"/>
    <w:rsid w:val="008C6D14"/>
    <w:rsid w:val="008D1BFB"/>
    <w:rsid w:val="008D37C9"/>
    <w:rsid w:val="008D3F80"/>
    <w:rsid w:val="008E0E43"/>
    <w:rsid w:val="008E38B4"/>
    <w:rsid w:val="008E4705"/>
    <w:rsid w:val="008F1C51"/>
    <w:rsid w:val="008F20DD"/>
    <w:rsid w:val="008F30F8"/>
    <w:rsid w:val="00910906"/>
    <w:rsid w:val="00913C8E"/>
    <w:rsid w:val="00916850"/>
    <w:rsid w:val="00916A7A"/>
    <w:rsid w:val="009232CF"/>
    <w:rsid w:val="00925D26"/>
    <w:rsid w:val="00925E48"/>
    <w:rsid w:val="00925E8B"/>
    <w:rsid w:val="0093399B"/>
    <w:rsid w:val="009347A1"/>
    <w:rsid w:val="00940A95"/>
    <w:rsid w:val="009446E2"/>
    <w:rsid w:val="00955F47"/>
    <w:rsid w:val="00960B6B"/>
    <w:rsid w:val="00960EA4"/>
    <w:rsid w:val="0096163B"/>
    <w:rsid w:val="00965F14"/>
    <w:rsid w:val="00980533"/>
    <w:rsid w:val="0098072E"/>
    <w:rsid w:val="00984910"/>
    <w:rsid w:val="00987227"/>
    <w:rsid w:val="0099264F"/>
    <w:rsid w:val="00992F66"/>
    <w:rsid w:val="009957BB"/>
    <w:rsid w:val="00996F3A"/>
    <w:rsid w:val="0099723A"/>
    <w:rsid w:val="009A0765"/>
    <w:rsid w:val="009A19F8"/>
    <w:rsid w:val="009A2CFF"/>
    <w:rsid w:val="009A5CDB"/>
    <w:rsid w:val="009B00EB"/>
    <w:rsid w:val="009B07F9"/>
    <w:rsid w:val="009B20E0"/>
    <w:rsid w:val="009C0121"/>
    <w:rsid w:val="009C2290"/>
    <w:rsid w:val="009D1A6E"/>
    <w:rsid w:val="009D27D4"/>
    <w:rsid w:val="009D28FE"/>
    <w:rsid w:val="009E00E0"/>
    <w:rsid w:val="009E42DA"/>
    <w:rsid w:val="009E43C2"/>
    <w:rsid w:val="009E487B"/>
    <w:rsid w:val="009E69BC"/>
    <w:rsid w:val="009E6F7D"/>
    <w:rsid w:val="009F0451"/>
    <w:rsid w:val="009F46EC"/>
    <w:rsid w:val="009F5C63"/>
    <w:rsid w:val="009F5CA2"/>
    <w:rsid w:val="009F7371"/>
    <w:rsid w:val="00A02A4B"/>
    <w:rsid w:val="00A02EEC"/>
    <w:rsid w:val="00A071DA"/>
    <w:rsid w:val="00A1104D"/>
    <w:rsid w:val="00A13BEA"/>
    <w:rsid w:val="00A15202"/>
    <w:rsid w:val="00A26BB4"/>
    <w:rsid w:val="00A30A9B"/>
    <w:rsid w:val="00A320FD"/>
    <w:rsid w:val="00A416EE"/>
    <w:rsid w:val="00A50C8A"/>
    <w:rsid w:val="00A52F6A"/>
    <w:rsid w:val="00A57037"/>
    <w:rsid w:val="00A6134F"/>
    <w:rsid w:val="00A61CD6"/>
    <w:rsid w:val="00A666BF"/>
    <w:rsid w:val="00A6674F"/>
    <w:rsid w:val="00A70317"/>
    <w:rsid w:val="00A76ADD"/>
    <w:rsid w:val="00A92D1D"/>
    <w:rsid w:val="00A94F9B"/>
    <w:rsid w:val="00AA67E0"/>
    <w:rsid w:val="00AB0A0C"/>
    <w:rsid w:val="00AB3085"/>
    <w:rsid w:val="00AB4827"/>
    <w:rsid w:val="00AC23AE"/>
    <w:rsid w:val="00AC30E6"/>
    <w:rsid w:val="00AC4A36"/>
    <w:rsid w:val="00AC4F6D"/>
    <w:rsid w:val="00AD0063"/>
    <w:rsid w:val="00AD221F"/>
    <w:rsid w:val="00AD52EB"/>
    <w:rsid w:val="00AD703E"/>
    <w:rsid w:val="00AE5FBB"/>
    <w:rsid w:val="00AE77F1"/>
    <w:rsid w:val="00AE7A22"/>
    <w:rsid w:val="00AF227B"/>
    <w:rsid w:val="00AF2A50"/>
    <w:rsid w:val="00B03BC2"/>
    <w:rsid w:val="00B10DBA"/>
    <w:rsid w:val="00B13706"/>
    <w:rsid w:val="00B20DCE"/>
    <w:rsid w:val="00B21F86"/>
    <w:rsid w:val="00B232A4"/>
    <w:rsid w:val="00B27941"/>
    <w:rsid w:val="00B32B97"/>
    <w:rsid w:val="00B32DF9"/>
    <w:rsid w:val="00B345CF"/>
    <w:rsid w:val="00B366C0"/>
    <w:rsid w:val="00B4008E"/>
    <w:rsid w:val="00B45415"/>
    <w:rsid w:val="00B45C8D"/>
    <w:rsid w:val="00B46980"/>
    <w:rsid w:val="00B47461"/>
    <w:rsid w:val="00B47897"/>
    <w:rsid w:val="00B5180C"/>
    <w:rsid w:val="00B51F43"/>
    <w:rsid w:val="00B545D4"/>
    <w:rsid w:val="00B60166"/>
    <w:rsid w:val="00B60FC5"/>
    <w:rsid w:val="00B61964"/>
    <w:rsid w:val="00B621D1"/>
    <w:rsid w:val="00B622FE"/>
    <w:rsid w:val="00B65050"/>
    <w:rsid w:val="00B6723D"/>
    <w:rsid w:val="00B74435"/>
    <w:rsid w:val="00B7472E"/>
    <w:rsid w:val="00B7647A"/>
    <w:rsid w:val="00B76DDD"/>
    <w:rsid w:val="00B80AE0"/>
    <w:rsid w:val="00B84687"/>
    <w:rsid w:val="00B84DD2"/>
    <w:rsid w:val="00B8549D"/>
    <w:rsid w:val="00B92C9B"/>
    <w:rsid w:val="00B93385"/>
    <w:rsid w:val="00B93835"/>
    <w:rsid w:val="00B94CE1"/>
    <w:rsid w:val="00B9618A"/>
    <w:rsid w:val="00B97C52"/>
    <w:rsid w:val="00BA37B9"/>
    <w:rsid w:val="00BA7C9D"/>
    <w:rsid w:val="00BC5D15"/>
    <w:rsid w:val="00BC6686"/>
    <w:rsid w:val="00BD3C7E"/>
    <w:rsid w:val="00BD6A06"/>
    <w:rsid w:val="00BE2051"/>
    <w:rsid w:val="00BE4809"/>
    <w:rsid w:val="00BE631B"/>
    <w:rsid w:val="00BF11B6"/>
    <w:rsid w:val="00BF3153"/>
    <w:rsid w:val="00BF45E4"/>
    <w:rsid w:val="00BF592E"/>
    <w:rsid w:val="00BF68B3"/>
    <w:rsid w:val="00BF7B1C"/>
    <w:rsid w:val="00C00C0F"/>
    <w:rsid w:val="00C00E54"/>
    <w:rsid w:val="00C02605"/>
    <w:rsid w:val="00C030DD"/>
    <w:rsid w:val="00C041F2"/>
    <w:rsid w:val="00C051F7"/>
    <w:rsid w:val="00C071D0"/>
    <w:rsid w:val="00C10C53"/>
    <w:rsid w:val="00C11985"/>
    <w:rsid w:val="00C1199B"/>
    <w:rsid w:val="00C226CD"/>
    <w:rsid w:val="00C234C8"/>
    <w:rsid w:val="00C301E7"/>
    <w:rsid w:val="00C35AD6"/>
    <w:rsid w:val="00C4248B"/>
    <w:rsid w:val="00C44C32"/>
    <w:rsid w:val="00C503D3"/>
    <w:rsid w:val="00C533E3"/>
    <w:rsid w:val="00C56EF9"/>
    <w:rsid w:val="00C5717D"/>
    <w:rsid w:val="00C57F42"/>
    <w:rsid w:val="00C6470A"/>
    <w:rsid w:val="00C70F1F"/>
    <w:rsid w:val="00C74FCC"/>
    <w:rsid w:val="00C769AC"/>
    <w:rsid w:val="00C77227"/>
    <w:rsid w:val="00CA19EF"/>
    <w:rsid w:val="00CB1072"/>
    <w:rsid w:val="00CC534B"/>
    <w:rsid w:val="00CD38DF"/>
    <w:rsid w:val="00CD676C"/>
    <w:rsid w:val="00CE62CB"/>
    <w:rsid w:val="00CF0EA1"/>
    <w:rsid w:val="00CF2CF8"/>
    <w:rsid w:val="00CF3766"/>
    <w:rsid w:val="00CF5E8F"/>
    <w:rsid w:val="00D007D4"/>
    <w:rsid w:val="00D01A12"/>
    <w:rsid w:val="00D05448"/>
    <w:rsid w:val="00D06870"/>
    <w:rsid w:val="00D15EEE"/>
    <w:rsid w:val="00D15F14"/>
    <w:rsid w:val="00D176C7"/>
    <w:rsid w:val="00D23CFA"/>
    <w:rsid w:val="00D247BA"/>
    <w:rsid w:val="00D2573D"/>
    <w:rsid w:val="00D25E38"/>
    <w:rsid w:val="00D266C5"/>
    <w:rsid w:val="00D30F1D"/>
    <w:rsid w:val="00D31790"/>
    <w:rsid w:val="00D31A55"/>
    <w:rsid w:val="00D3305D"/>
    <w:rsid w:val="00D3434A"/>
    <w:rsid w:val="00D3758F"/>
    <w:rsid w:val="00D379DE"/>
    <w:rsid w:val="00D4065C"/>
    <w:rsid w:val="00D431AD"/>
    <w:rsid w:val="00D45354"/>
    <w:rsid w:val="00D50B3C"/>
    <w:rsid w:val="00D5133C"/>
    <w:rsid w:val="00D55AAC"/>
    <w:rsid w:val="00D61552"/>
    <w:rsid w:val="00D635C0"/>
    <w:rsid w:val="00D636E6"/>
    <w:rsid w:val="00D64466"/>
    <w:rsid w:val="00D65D67"/>
    <w:rsid w:val="00D67627"/>
    <w:rsid w:val="00D763BF"/>
    <w:rsid w:val="00D831F4"/>
    <w:rsid w:val="00D83223"/>
    <w:rsid w:val="00D83926"/>
    <w:rsid w:val="00D84D32"/>
    <w:rsid w:val="00D84E47"/>
    <w:rsid w:val="00D8718B"/>
    <w:rsid w:val="00D87687"/>
    <w:rsid w:val="00D94661"/>
    <w:rsid w:val="00D951B0"/>
    <w:rsid w:val="00D97368"/>
    <w:rsid w:val="00DA261C"/>
    <w:rsid w:val="00DA36BA"/>
    <w:rsid w:val="00DA52DC"/>
    <w:rsid w:val="00DB5382"/>
    <w:rsid w:val="00DB550A"/>
    <w:rsid w:val="00DC5223"/>
    <w:rsid w:val="00DD3B0D"/>
    <w:rsid w:val="00DD599D"/>
    <w:rsid w:val="00DD6014"/>
    <w:rsid w:val="00DE04C6"/>
    <w:rsid w:val="00DE2665"/>
    <w:rsid w:val="00DE37D5"/>
    <w:rsid w:val="00DE4BA6"/>
    <w:rsid w:val="00DE5CEF"/>
    <w:rsid w:val="00DE5DFD"/>
    <w:rsid w:val="00DE7184"/>
    <w:rsid w:val="00E06C8B"/>
    <w:rsid w:val="00E13C62"/>
    <w:rsid w:val="00E14524"/>
    <w:rsid w:val="00E148BA"/>
    <w:rsid w:val="00E15001"/>
    <w:rsid w:val="00E159FE"/>
    <w:rsid w:val="00E15D63"/>
    <w:rsid w:val="00E2230B"/>
    <w:rsid w:val="00E226A9"/>
    <w:rsid w:val="00E23B65"/>
    <w:rsid w:val="00E241CE"/>
    <w:rsid w:val="00E32757"/>
    <w:rsid w:val="00E456E6"/>
    <w:rsid w:val="00E45D40"/>
    <w:rsid w:val="00E45FBD"/>
    <w:rsid w:val="00E509AD"/>
    <w:rsid w:val="00E51774"/>
    <w:rsid w:val="00E5244D"/>
    <w:rsid w:val="00E55705"/>
    <w:rsid w:val="00E559AE"/>
    <w:rsid w:val="00E564BB"/>
    <w:rsid w:val="00E65C74"/>
    <w:rsid w:val="00E66B53"/>
    <w:rsid w:val="00E67168"/>
    <w:rsid w:val="00E75155"/>
    <w:rsid w:val="00E757D4"/>
    <w:rsid w:val="00E82DC2"/>
    <w:rsid w:val="00E83EEF"/>
    <w:rsid w:val="00E8439D"/>
    <w:rsid w:val="00E878B8"/>
    <w:rsid w:val="00EA0323"/>
    <w:rsid w:val="00EA1AD7"/>
    <w:rsid w:val="00EA20B0"/>
    <w:rsid w:val="00EC03EA"/>
    <w:rsid w:val="00EC3669"/>
    <w:rsid w:val="00EC5298"/>
    <w:rsid w:val="00EC59B6"/>
    <w:rsid w:val="00ED186E"/>
    <w:rsid w:val="00ED31EB"/>
    <w:rsid w:val="00ED4067"/>
    <w:rsid w:val="00ED4A2B"/>
    <w:rsid w:val="00EF21F0"/>
    <w:rsid w:val="00EF630C"/>
    <w:rsid w:val="00EF6537"/>
    <w:rsid w:val="00EF75E5"/>
    <w:rsid w:val="00F0443A"/>
    <w:rsid w:val="00F0533F"/>
    <w:rsid w:val="00F05789"/>
    <w:rsid w:val="00F0618D"/>
    <w:rsid w:val="00F10C2F"/>
    <w:rsid w:val="00F1261B"/>
    <w:rsid w:val="00F1271A"/>
    <w:rsid w:val="00F21AE1"/>
    <w:rsid w:val="00F235A5"/>
    <w:rsid w:val="00F23C64"/>
    <w:rsid w:val="00F25EB8"/>
    <w:rsid w:val="00F26C83"/>
    <w:rsid w:val="00F32794"/>
    <w:rsid w:val="00F32808"/>
    <w:rsid w:val="00F34878"/>
    <w:rsid w:val="00F34B14"/>
    <w:rsid w:val="00F34FE5"/>
    <w:rsid w:val="00F36FCB"/>
    <w:rsid w:val="00F40865"/>
    <w:rsid w:val="00F475EA"/>
    <w:rsid w:val="00F50AB1"/>
    <w:rsid w:val="00F56905"/>
    <w:rsid w:val="00F62CB4"/>
    <w:rsid w:val="00F64A17"/>
    <w:rsid w:val="00F65B62"/>
    <w:rsid w:val="00F70183"/>
    <w:rsid w:val="00F74B70"/>
    <w:rsid w:val="00F74C86"/>
    <w:rsid w:val="00F81338"/>
    <w:rsid w:val="00F821D2"/>
    <w:rsid w:val="00F82333"/>
    <w:rsid w:val="00F878CE"/>
    <w:rsid w:val="00F950B2"/>
    <w:rsid w:val="00F97D65"/>
    <w:rsid w:val="00FA078F"/>
    <w:rsid w:val="00FA0B91"/>
    <w:rsid w:val="00FA54E3"/>
    <w:rsid w:val="00FB0F9F"/>
    <w:rsid w:val="00FB12C1"/>
    <w:rsid w:val="00FD2DCC"/>
    <w:rsid w:val="00FD6C0B"/>
    <w:rsid w:val="00FE33FF"/>
    <w:rsid w:val="00FE39F2"/>
    <w:rsid w:val="00FE702D"/>
    <w:rsid w:val="00FE72F8"/>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963E0A07-5372-4EDB-A11A-1DCEFCA0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7941"/>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uiPriority w:val="99"/>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tv2132">
    <w:name w:val="tv2132"/>
    <w:basedOn w:val="Parasts"/>
    <w:rsid w:val="003A6E81"/>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8242527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696493237">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7">
          <w:marLeft w:val="0"/>
          <w:marRight w:val="0"/>
          <w:marTop w:val="0"/>
          <w:marBottom w:val="0"/>
          <w:divBdr>
            <w:top w:val="none" w:sz="0" w:space="0" w:color="auto"/>
            <w:left w:val="none" w:sz="0" w:space="0" w:color="auto"/>
            <w:bottom w:val="none" w:sz="0" w:space="0" w:color="auto"/>
            <w:right w:val="none" w:sz="0" w:space="0" w:color="auto"/>
          </w:divBdr>
          <w:divsChild>
            <w:div w:id="571431778">
              <w:marLeft w:val="0"/>
              <w:marRight w:val="0"/>
              <w:marTop w:val="0"/>
              <w:marBottom w:val="0"/>
              <w:divBdr>
                <w:top w:val="none" w:sz="0" w:space="0" w:color="auto"/>
                <w:left w:val="none" w:sz="0" w:space="0" w:color="auto"/>
                <w:bottom w:val="none" w:sz="0" w:space="0" w:color="auto"/>
                <w:right w:val="none" w:sz="0" w:space="0" w:color="auto"/>
              </w:divBdr>
              <w:divsChild>
                <w:div w:id="997533953">
                  <w:marLeft w:val="0"/>
                  <w:marRight w:val="0"/>
                  <w:marTop w:val="0"/>
                  <w:marBottom w:val="0"/>
                  <w:divBdr>
                    <w:top w:val="none" w:sz="0" w:space="0" w:color="auto"/>
                    <w:left w:val="none" w:sz="0" w:space="0" w:color="auto"/>
                    <w:bottom w:val="none" w:sz="0" w:space="0" w:color="auto"/>
                    <w:right w:val="none" w:sz="0" w:space="0" w:color="auto"/>
                  </w:divBdr>
                  <w:divsChild>
                    <w:div w:id="1262252655">
                      <w:marLeft w:val="0"/>
                      <w:marRight w:val="0"/>
                      <w:marTop w:val="0"/>
                      <w:marBottom w:val="0"/>
                      <w:divBdr>
                        <w:top w:val="none" w:sz="0" w:space="0" w:color="auto"/>
                        <w:left w:val="none" w:sz="0" w:space="0" w:color="auto"/>
                        <w:bottom w:val="none" w:sz="0" w:space="0" w:color="auto"/>
                        <w:right w:val="none" w:sz="0" w:space="0" w:color="auto"/>
                      </w:divBdr>
                      <w:divsChild>
                        <w:div w:id="1142507339">
                          <w:marLeft w:val="0"/>
                          <w:marRight w:val="0"/>
                          <w:marTop w:val="0"/>
                          <w:marBottom w:val="0"/>
                          <w:divBdr>
                            <w:top w:val="none" w:sz="0" w:space="0" w:color="auto"/>
                            <w:left w:val="none" w:sz="0" w:space="0" w:color="auto"/>
                            <w:bottom w:val="none" w:sz="0" w:space="0" w:color="auto"/>
                            <w:right w:val="none" w:sz="0" w:space="0" w:color="auto"/>
                          </w:divBdr>
                          <w:divsChild>
                            <w:div w:id="2054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2731-E3EE-468C-974B-3D7EEF19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8840</Words>
  <Characters>5040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2015.gada 3.februāra noteikumos Nr.59 „Valsts un Eiropas Savienības atbalsta piešķiršanas kārtība investīciju veicināšanai lauksaimniecībā”” sākotnējās ietekmes novērtējuma ziņojums (anotāc</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13853</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3.februāra noteikumos Nr.59 „Valsts un Eiropas Savienības atbalsta piešķiršanas kārtība investīciju veicināšanai lauksaimniecībā”” sākotnējās ietekmes novērtējuma ziņojums (anotācija)</dc:title>
  <dc:subject>Anotācija</dc:subject>
  <dc:creator>Ritvars Zapereckis</dc:creator>
  <dc:description>Zapereckis 67027301_x000d_
Ritvars.Zapereckis@zm.gov.lv</dc:description>
  <cp:lastModifiedBy>Sanita Žagare</cp:lastModifiedBy>
  <cp:revision>9</cp:revision>
  <cp:lastPrinted>2014-04-23T07:37:00Z</cp:lastPrinted>
  <dcterms:created xsi:type="dcterms:W3CDTF">2017-04-04T06:46:00Z</dcterms:created>
  <dcterms:modified xsi:type="dcterms:W3CDTF">2017-04-12T06:24:00Z</dcterms:modified>
</cp:coreProperties>
</file>