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BC" w:rsidRPr="00004F4C" w:rsidRDefault="00E856BC" w:rsidP="00E85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OLE_LINK3"/>
      <w:bookmarkStart w:id="1" w:name="OLE_LINK4"/>
      <w:r w:rsidRPr="00004F4C">
        <w:rPr>
          <w:rFonts w:ascii="Times New Roman" w:eastAsia="Calibri" w:hAnsi="Times New Roman" w:cs="Times New Roman"/>
          <w:b/>
          <w:sz w:val="28"/>
          <w:szCs w:val="28"/>
        </w:rPr>
        <w:t>Ministru kabineta noteikumu projekta „</w:t>
      </w:r>
      <w:r w:rsidRPr="00004F4C">
        <w:rPr>
          <w:rFonts w:ascii="Times New Roman" w:eastAsia="Calibri" w:hAnsi="Times New Roman" w:cs="Times New Roman"/>
          <w:b/>
          <w:bCs/>
          <w:sz w:val="28"/>
          <w:szCs w:val="28"/>
        </w:rPr>
        <w:t>Grozījums Ministru kabineta 2014.</w:t>
      </w:r>
      <w:r w:rsidR="00680FF0" w:rsidRPr="00004F4C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004F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gada </w:t>
      </w:r>
      <w:proofErr w:type="gramStart"/>
      <w:r w:rsidRPr="00004F4C">
        <w:rPr>
          <w:rFonts w:ascii="Times New Roman" w:eastAsia="Calibri" w:hAnsi="Times New Roman" w:cs="Times New Roman"/>
          <w:b/>
          <w:bCs/>
          <w:sz w:val="28"/>
          <w:szCs w:val="28"/>
        </w:rPr>
        <w:t>25.marta</w:t>
      </w:r>
      <w:proofErr w:type="gramEnd"/>
      <w:r w:rsidRPr="00004F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noteikumos Nr.166 “Noteikumi par Lauku atbalsta dienesta informācijas sistēmu sezonas laukstrādnieku ienākuma nodokļa piemērošanas nodrošināšanai”” </w:t>
      </w:r>
      <w:bookmarkStart w:id="2" w:name="OLE_LINK7"/>
      <w:bookmarkStart w:id="3" w:name="OLE_LINK8"/>
      <w:r w:rsidRPr="00004F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004F4C">
          <w:rPr>
            <w:rFonts w:ascii="Times New Roman" w:eastAsia="Calibri" w:hAnsi="Times New Roman" w:cs="Times New Roman"/>
            <w:b/>
            <w:bCs/>
            <w:sz w:val="28"/>
            <w:szCs w:val="28"/>
          </w:rPr>
          <w:t>ziņojums</w:t>
        </w:r>
      </w:smartTag>
      <w:r w:rsidRPr="00004F4C">
        <w:rPr>
          <w:rFonts w:ascii="Times New Roman" w:eastAsia="Calibri" w:hAnsi="Times New Roman" w:cs="Times New Roman"/>
          <w:b/>
          <w:sz w:val="28"/>
          <w:szCs w:val="28"/>
        </w:rPr>
        <w:t xml:space="preserve"> (anotācija)</w:t>
      </w:r>
      <w:bookmarkEnd w:id="0"/>
      <w:bookmarkEnd w:id="1"/>
      <w:bookmarkEnd w:id="2"/>
      <w:bookmarkEnd w:id="3"/>
    </w:p>
    <w:p w:rsidR="00E856BC" w:rsidRPr="00004F4C" w:rsidRDefault="00E856BC" w:rsidP="00E856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2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"/>
        <w:gridCol w:w="2464"/>
        <w:gridCol w:w="6746"/>
      </w:tblGrid>
      <w:tr w:rsidR="00E856BC" w:rsidRPr="00004F4C" w:rsidTr="00B52EF2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E856BC" w:rsidRPr="00004F4C" w:rsidRDefault="00E856BC" w:rsidP="00B5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004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856BC" w:rsidRPr="00422843" w:rsidTr="00B52EF2">
        <w:trPr>
          <w:trHeight w:val="324"/>
        </w:trPr>
        <w:tc>
          <w:tcPr>
            <w:tcW w:w="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E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E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E8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43">
              <w:rPr>
                <w:rFonts w:ascii="Times New Roman" w:hAnsi="Times New Roman" w:cs="Times New Roman"/>
                <w:sz w:val="24"/>
                <w:szCs w:val="24"/>
              </w:rPr>
              <w:t xml:space="preserve">Likuma „Par iedzīvotāju ienākuma nodokli” </w:t>
            </w:r>
            <w:proofErr w:type="gramStart"/>
            <w:r w:rsidRPr="00422843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  <w:r w:rsidRPr="00422843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vertAlign w:val="superscript"/>
              </w:rPr>
              <w:t>12</w:t>
            </w:r>
            <w:r w:rsidRPr="004228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panta devītā daļa</w:t>
            </w:r>
            <w:proofErr w:type="gramEnd"/>
          </w:p>
        </w:tc>
      </w:tr>
      <w:tr w:rsidR="00E856BC" w:rsidRPr="00422843" w:rsidTr="00B52EF2">
        <w:trPr>
          <w:trHeight w:val="35"/>
        </w:trPr>
        <w:tc>
          <w:tcPr>
            <w:tcW w:w="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E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E8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E856BC" w:rsidRPr="00422843" w:rsidRDefault="00E856BC" w:rsidP="00E856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856BC" w:rsidRPr="00422843" w:rsidRDefault="00E856BC" w:rsidP="00E856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856BC" w:rsidRPr="00422843" w:rsidRDefault="00E856BC" w:rsidP="00E856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856BC" w:rsidRPr="00422843" w:rsidRDefault="00E856BC" w:rsidP="00E856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856BC" w:rsidRPr="00422843" w:rsidRDefault="00E856BC" w:rsidP="00E856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856BC" w:rsidRPr="00422843" w:rsidRDefault="00E856BC" w:rsidP="00E856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856BC" w:rsidRPr="00422843" w:rsidRDefault="00E856BC" w:rsidP="00E856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856BC" w:rsidRPr="00422843" w:rsidRDefault="00E856BC" w:rsidP="00E856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856BC" w:rsidRPr="00422843" w:rsidRDefault="00E856BC" w:rsidP="00E856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856BC" w:rsidRPr="00422843" w:rsidRDefault="00E856BC" w:rsidP="00E856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856BC" w:rsidRPr="00422843" w:rsidRDefault="00E856BC" w:rsidP="00E856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856BC" w:rsidRPr="00422843" w:rsidRDefault="00E856BC" w:rsidP="00E856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856BC" w:rsidRPr="00422843" w:rsidRDefault="00E856BC" w:rsidP="00E856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856BC" w:rsidRPr="00422843" w:rsidRDefault="00E856BC" w:rsidP="00E856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374C" w:rsidRPr="00422843" w:rsidRDefault="009F374C" w:rsidP="00E856BC">
            <w:pPr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8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Ministru kabineta </w:t>
            </w:r>
            <w:proofErr w:type="gramStart"/>
            <w:r w:rsidRPr="004228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2014.gada</w:t>
            </w:r>
            <w:proofErr w:type="gramEnd"/>
            <w:r w:rsidRPr="004228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25.marta noteikumi Nr.166 “Noteikumi par Lauku atbalsta dienesta informācijas sistēmu sezonas laukstrādnieku ienākuma nodokļa piemērošanas nodrošināšanai” (turpmāk – noteikumi</w:t>
            </w:r>
            <w:r w:rsidR="005D1764" w:rsidRPr="004228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Nr.166</w:t>
            </w:r>
            <w:r w:rsidRPr="004228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nosaka, ka Lauku atbalsta dienests nodrošina piekļuvi informācijas sistēmai, ja sezonas laukstrādnieku ienākuma nodokļa izmaksātājs vieno</w:t>
            </w:r>
            <w:r w:rsidR="005D042B" w:rsidRPr="004228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tā platības maksājuma pieteikumā</w:t>
            </w:r>
            <w:r w:rsidRPr="004228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ir norādījis vismaz vienu no noteikumu pielikumā minētajiem kultūraugu kodiem. </w:t>
            </w:r>
          </w:p>
          <w:p w:rsidR="00FE7817" w:rsidRPr="00422843" w:rsidRDefault="00FE7817" w:rsidP="00FE7817">
            <w:pPr>
              <w:tabs>
                <w:tab w:val="left" w:pos="142"/>
                <w:tab w:val="left" w:pos="677"/>
              </w:tabs>
              <w:spacing w:after="0" w:line="240" w:lineRule="auto"/>
              <w:ind w:firstLine="3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Kārtību, kādā lauksaimnieki var pieteikties vienotajam platību maksājumam</w:t>
            </w:r>
            <w:r w:rsidR="00440958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iesniegumā norādāmos kultūraugu kodus nosaka Ministru kabineta </w:t>
            </w:r>
            <w:proofErr w:type="gramStart"/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2015.gada</w:t>
            </w:r>
            <w:proofErr w:type="gramEnd"/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10.marta noteikumi Nr.126 “Tiešo maksājumu piešķiršanas kārtība lauksaimniekiem”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(turpmāk – noteikumi Nr.</w:t>
            </w:r>
            <w:r w:rsidR="00680FF0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126)</w:t>
            </w: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7817" w:rsidRPr="00422843" w:rsidRDefault="00503EB7" w:rsidP="00FE7817">
            <w:pPr>
              <w:tabs>
                <w:tab w:val="left" w:pos="142"/>
                <w:tab w:val="left" w:pos="677"/>
              </w:tabs>
              <w:spacing w:after="0" w:line="240" w:lineRule="auto"/>
              <w:ind w:firstLine="3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Valsts sekretāru </w:t>
            </w:r>
            <w:proofErr w:type="gramStart"/>
            <w:r w:rsidR="005D042B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2017.gada</w:t>
            </w:r>
            <w:proofErr w:type="gramEnd"/>
            <w:r w:rsidR="005D042B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2.februāra </w:t>
            </w: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sanāksmē </w:t>
            </w:r>
            <w:r w:rsidR="00440958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tika </w:t>
            </w: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izsludināts noteikumu projekts “Grozījumi Ministru kabineta 2015. gada 10. marta noteikumos Nr. 126 „Tiešo maksājumu piešķiršanas kārtība lauksaimniekiem”” (VSS-105</w:t>
            </w:r>
            <w:r w:rsidR="00680FF0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prot.</w:t>
            </w:r>
            <w:r w:rsidR="00680FF0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r w:rsidR="00C01DEE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5, 29</w:t>
            </w:r>
            <w:r w:rsidR="00680FF0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§), kas paredz izmaiņas kultūraugu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sarakstā. Tā kā noteikumu Nr.166 pielikumā ir iekļaut</w:t>
            </w:r>
            <w:r w:rsidR="00C01DEE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kultūraugu kodi no noteikumiem N</w:t>
            </w:r>
            <w:r w:rsidR="00C01DEE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r.126, ir nepieciešams precizēt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kultūraugu kodus atbilstoši jaunajam regulējumam, kas ietverts noteikumu projektā “Grozījumi Ministru kabineta 2015. gada 10. marta noteikumos Nr. 126 „Tiešo maksājumu piešķiršanas kārtība lauksaimniekiem”” </w:t>
            </w:r>
            <w:proofErr w:type="gramStart"/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VSS-105</w:t>
            </w:r>
            <w:r w:rsidR="00680FF0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prot.</w:t>
            </w:r>
            <w:r w:rsidR="00680FF0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r w:rsidR="00C01DEE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5, 29</w:t>
            </w:r>
            <w:r w:rsidR="00680FF0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§).</w:t>
            </w:r>
          </w:p>
          <w:p w:rsidR="00E856BC" w:rsidRPr="00422843" w:rsidRDefault="00BA35A7" w:rsidP="00004F4C">
            <w:pPr>
              <w:tabs>
                <w:tab w:val="left" w:pos="142"/>
                <w:tab w:val="left" w:pos="677"/>
              </w:tabs>
              <w:spacing w:after="0" w:line="240" w:lineRule="auto"/>
              <w:ind w:firstLine="39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Tādējādi noteikumu</w:t>
            </w:r>
            <w:r w:rsidR="00FE7817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projekts paredz noteikumu Nr.166 pielikumā doto kultūraugu kodu sarakstu papildināt ar jauniem kodiem, kā arī koriģēt esošos kodus atbilstoši kārtībai, kādā lauksaimnieki 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varēs pieteikties vienotajam platību maksājumam </w:t>
            </w:r>
            <w:r w:rsidR="00FE7817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saskaņā ar 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noteikumu projektu “Grozījumi Ministru kabineta 2015. gada 10. marta noteikumos Nr. 126 „Tiešo maksājumu piešķiršanas kārtība lauksaimniekiem”” (VSS-105</w:t>
            </w:r>
            <w:r w:rsidR="00680FF0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prot.</w:t>
            </w:r>
            <w:r w:rsidR="00680FF0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r w:rsidR="00C01DEE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5, 29</w:t>
            </w:r>
            <w:r w:rsidR="00680FF0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1764"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§).</w:t>
            </w:r>
          </w:p>
        </w:tc>
      </w:tr>
      <w:tr w:rsidR="00E856BC" w:rsidRPr="00422843" w:rsidTr="00B52EF2">
        <w:tc>
          <w:tcPr>
            <w:tcW w:w="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E85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E85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E85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E856BC" w:rsidRPr="00422843" w:rsidTr="00B52EF2">
        <w:tc>
          <w:tcPr>
            <w:tcW w:w="1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E85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E85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E85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E856BC" w:rsidRPr="00422843" w:rsidRDefault="00E856BC" w:rsidP="006A5EB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284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6A5EBE" w:rsidRPr="0042284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52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2390"/>
        <w:gridCol w:w="6748"/>
      </w:tblGrid>
      <w:tr w:rsidR="00E856BC" w:rsidRPr="00422843" w:rsidTr="00B52EF2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856BC" w:rsidRPr="00422843" w:rsidTr="00B52EF2"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56BC" w:rsidRPr="00422843" w:rsidRDefault="00E353CA" w:rsidP="00E856BC">
            <w:pPr>
              <w:tabs>
                <w:tab w:val="left" w:pos="37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22843">
              <w:rPr>
                <w:rFonts w:ascii="Times New Roman" w:hAnsi="Times New Roman" w:cs="Times New Roman"/>
                <w:sz w:val="24"/>
                <w:szCs w:val="24"/>
              </w:rPr>
              <w:t>Noteikumu projekta tiesiskais regulējums attieksies uz ī</w:t>
            </w:r>
            <w:r w:rsidR="00E856BC" w:rsidRPr="00422843">
              <w:rPr>
                <w:rFonts w:ascii="Times New Roman" w:hAnsi="Times New Roman" w:cs="Times New Roman"/>
                <w:sz w:val="24"/>
                <w:szCs w:val="24"/>
              </w:rPr>
              <w:t>slaicīgajos</w:t>
            </w:r>
            <w:r w:rsidRPr="00422843">
              <w:rPr>
                <w:rFonts w:ascii="Times New Roman" w:hAnsi="Times New Roman" w:cs="Times New Roman"/>
                <w:sz w:val="24"/>
                <w:szCs w:val="24"/>
              </w:rPr>
              <w:t xml:space="preserve"> sezonālajos darbos nodarbinātām personām</w:t>
            </w:r>
            <w:r w:rsidR="00E856BC" w:rsidRPr="00422843">
              <w:rPr>
                <w:rFonts w:ascii="Times New Roman" w:hAnsi="Times New Roman" w:cs="Times New Roman"/>
                <w:sz w:val="24"/>
                <w:szCs w:val="24"/>
              </w:rPr>
              <w:t xml:space="preserve"> – sezonas laukstrādnieku ienākuma nodokļa maksātāji</w:t>
            </w:r>
            <w:r w:rsidRPr="00422843">
              <w:rPr>
                <w:rFonts w:ascii="Times New Roman" w:hAnsi="Times New Roman" w:cs="Times New Roman"/>
                <w:sz w:val="24"/>
                <w:szCs w:val="24"/>
              </w:rPr>
              <w:t>em – un juridiskām un fiziskām</w:t>
            </w:r>
            <w:r w:rsidR="00E856BC" w:rsidRPr="00422843">
              <w:rPr>
                <w:rFonts w:ascii="Times New Roman" w:hAnsi="Times New Roman" w:cs="Times New Roman"/>
                <w:sz w:val="24"/>
                <w:szCs w:val="24"/>
              </w:rPr>
              <w:t xml:space="preserve"> pers</w:t>
            </w:r>
            <w:r w:rsidRPr="00422843">
              <w:rPr>
                <w:rFonts w:ascii="Times New Roman" w:hAnsi="Times New Roman" w:cs="Times New Roman"/>
                <w:sz w:val="24"/>
                <w:szCs w:val="24"/>
              </w:rPr>
              <w:t>onām</w:t>
            </w:r>
            <w:r w:rsidR="00E856BC" w:rsidRPr="00422843">
              <w:rPr>
                <w:rFonts w:ascii="Times New Roman" w:hAnsi="Times New Roman" w:cs="Times New Roman"/>
                <w:sz w:val="24"/>
                <w:szCs w:val="24"/>
              </w:rPr>
              <w:t>, kas nodarbina personas īslaicīgajos sezonālajos darbos, – sezonas laukstrādnieku ienākuma izmaksātāji</w:t>
            </w:r>
            <w:r w:rsidRPr="0042284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E856BC" w:rsidRPr="00422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6BC" w:rsidRPr="00422843" w:rsidTr="00B52EF2"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56BC" w:rsidRPr="00422843" w:rsidRDefault="00E856BC" w:rsidP="00B52EF2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E856BC" w:rsidRPr="00422843" w:rsidTr="00B52EF2"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Calibri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  <w:p w:rsidR="00E856BC" w:rsidRPr="00422843" w:rsidRDefault="00E856BC" w:rsidP="00B5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856BC" w:rsidRPr="00422843" w:rsidTr="00B52EF2"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E856BC" w:rsidRPr="00422843" w:rsidRDefault="00E856BC" w:rsidP="00E8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14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"/>
        <w:gridCol w:w="2579"/>
        <w:gridCol w:w="6468"/>
      </w:tblGrid>
      <w:tr w:rsidR="00E856BC" w:rsidRPr="00422843" w:rsidTr="00B52EF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šīs līdzdalības rezultāti</w:t>
            </w:r>
          </w:p>
        </w:tc>
      </w:tr>
      <w:tr w:rsidR="00E856BC" w:rsidRPr="00422843" w:rsidTr="00B52E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6A5EB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kern w:val="2"/>
                <w:sz w:val="24"/>
                <w:szCs w:val="24"/>
              </w:rPr>
            </w:pPr>
            <w:r w:rsidRPr="00422843">
              <w:rPr>
                <w:rFonts w:ascii="Times New Roman" w:hAnsi="Times New Roman"/>
                <w:kern w:val="2"/>
                <w:sz w:val="24"/>
                <w:szCs w:val="24"/>
              </w:rPr>
              <w:t>Noteikumu projekts nosūtīts saskaņošanai biedrībām „Lauksaimnieku organizāciju sadarbības padome”,</w:t>
            </w:r>
            <w:r w:rsidRPr="00422843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"Zemnieku saeima", "Latvijas Lauksaimniecības kooperatīvu asociācija", "Lauksaimniecības statūtsabiedrību asociācija", "Latvijas Bioloģiskās lauksaimniecības asociācija", "Latvijas Jauno zemnieku klubs", "Latvijas Zemnieku federācija" un "Lauksaimnieku apvienība". </w:t>
            </w:r>
          </w:p>
        </w:tc>
      </w:tr>
      <w:tr w:rsidR="00E856BC" w:rsidRPr="00422843" w:rsidTr="00B52E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56BC" w:rsidRPr="00422843" w:rsidRDefault="00E856BC" w:rsidP="00B52EF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856BC" w:rsidRPr="00422843" w:rsidTr="00B52E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56BC" w:rsidRPr="00422843" w:rsidRDefault="00E856BC" w:rsidP="00B52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856BC" w:rsidRPr="00422843" w:rsidTr="00B52E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56BC" w:rsidRPr="00422843" w:rsidRDefault="00E856BC" w:rsidP="00B52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8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5D042B" w:rsidRPr="00004F4C" w:rsidRDefault="005D042B" w:rsidP="00004F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042B" w:rsidRPr="00004F4C" w:rsidRDefault="005D042B" w:rsidP="0042284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4F4C">
        <w:rPr>
          <w:rFonts w:ascii="Times New Roman" w:hAnsi="Times New Roman" w:cs="Times New Roman"/>
          <w:sz w:val="28"/>
          <w:szCs w:val="28"/>
        </w:rPr>
        <w:t>Anotācijas III, IV, V un VII sadaļa – projekts šīs jomas neskar.</w:t>
      </w:r>
    </w:p>
    <w:p w:rsidR="005D042B" w:rsidRPr="00004F4C" w:rsidRDefault="005D042B" w:rsidP="005D0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2B" w:rsidRPr="00004F4C" w:rsidRDefault="005D042B" w:rsidP="005D0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42B" w:rsidRPr="00004F4C" w:rsidRDefault="00440958" w:rsidP="00422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F4C">
        <w:rPr>
          <w:rFonts w:ascii="Times New Roman" w:hAnsi="Times New Roman" w:cs="Times New Roman"/>
          <w:sz w:val="28"/>
          <w:szCs w:val="28"/>
        </w:rPr>
        <w:t>Zemkopības</w:t>
      </w:r>
      <w:r w:rsidR="005D042B" w:rsidRPr="00004F4C">
        <w:rPr>
          <w:rFonts w:ascii="Times New Roman" w:hAnsi="Times New Roman" w:cs="Times New Roman"/>
          <w:sz w:val="28"/>
          <w:szCs w:val="28"/>
        </w:rPr>
        <w:t xml:space="preserve"> ministrs</w:t>
      </w:r>
      <w:r w:rsidR="005D042B" w:rsidRPr="00004F4C">
        <w:rPr>
          <w:rFonts w:ascii="Times New Roman" w:hAnsi="Times New Roman" w:cs="Times New Roman"/>
          <w:sz w:val="28"/>
          <w:szCs w:val="28"/>
        </w:rPr>
        <w:tab/>
      </w:r>
      <w:r w:rsidR="00422843">
        <w:rPr>
          <w:rFonts w:ascii="Times New Roman" w:hAnsi="Times New Roman" w:cs="Times New Roman"/>
          <w:sz w:val="28"/>
          <w:szCs w:val="28"/>
        </w:rPr>
        <w:tab/>
      </w:r>
      <w:r w:rsidR="00422843">
        <w:rPr>
          <w:rFonts w:ascii="Times New Roman" w:hAnsi="Times New Roman" w:cs="Times New Roman"/>
          <w:sz w:val="28"/>
          <w:szCs w:val="28"/>
        </w:rPr>
        <w:tab/>
      </w:r>
      <w:r w:rsidR="00422843">
        <w:rPr>
          <w:rFonts w:ascii="Times New Roman" w:hAnsi="Times New Roman" w:cs="Times New Roman"/>
          <w:sz w:val="28"/>
          <w:szCs w:val="28"/>
        </w:rPr>
        <w:tab/>
      </w:r>
      <w:r w:rsidR="00422843">
        <w:rPr>
          <w:rFonts w:ascii="Times New Roman" w:hAnsi="Times New Roman" w:cs="Times New Roman"/>
          <w:sz w:val="28"/>
          <w:szCs w:val="28"/>
        </w:rPr>
        <w:tab/>
      </w:r>
      <w:r w:rsidR="00422843">
        <w:rPr>
          <w:rFonts w:ascii="Times New Roman" w:hAnsi="Times New Roman" w:cs="Times New Roman"/>
          <w:sz w:val="28"/>
          <w:szCs w:val="28"/>
        </w:rPr>
        <w:tab/>
      </w:r>
      <w:r w:rsidR="00004F4C" w:rsidRPr="00004F4C">
        <w:rPr>
          <w:rFonts w:ascii="Times New Roman" w:hAnsi="Times New Roman" w:cs="Times New Roman"/>
          <w:sz w:val="28"/>
          <w:szCs w:val="28"/>
        </w:rPr>
        <w:tab/>
      </w:r>
      <w:r w:rsidR="005D042B" w:rsidRPr="00004F4C">
        <w:rPr>
          <w:rFonts w:ascii="Times New Roman" w:hAnsi="Times New Roman" w:cs="Times New Roman"/>
          <w:sz w:val="28"/>
          <w:szCs w:val="28"/>
        </w:rPr>
        <w:t>J.</w:t>
      </w:r>
      <w:r w:rsidR="00680FF0" w:rsidRPr="00004F4C">
        <w:rPr>
          <w:rFonts w:ascii="Times New Roman" w:hAnsi="Times New Roman" w:cs="Times New Roman"/>
          <w:sz w:val="28"/>
          <w:szCs w:val="28"/>
        </w:rPr>
        <w:t> </w:t>
      </w:r>
      <w:r w:rsidR="005D042B" w:rsidRPr="00004F4C">
        <w:rPr>
          <w:rFonts w:ascii="Times New Roman" w:hAnsi="Times New Roman" w:cs="Times New Roman"/>
          <w:sz w:val="28"/>
          <w:szCs w:val="28"/>
        </w:rPr>
        <w:t>Dūklavs</w:t>
      </w:r>
    </w:p>
    <w:p w:rsidR="00004F4C" w:rsidRPr="00004F4C" w:rsidRDefault="00004F4C" w:rsidP="00004F4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4C" w:rsidRPr="00004F4C" w:rsidRDefault="00004F4C" w:rsidP="00004F4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4C" w:rsidRPr="00004F4C" w:rsidRDefault="00004F4C" w:rsidP="00004F4C">
      <w:pPr>
        <w:pStyle w:val="Bezatstarpm"/>
        <w:rPr>
          <w:rFonts w:ascii="Times New Roman" w:hAnsi="Times New Roman"/>
          <w:sz w:val="28"/>
          <w:szCs w:val="28"/>
        </w:rPr>
      </w:pPr>
      <w:r w:rsidRPr="00004F4C">
        <w:rPr>
          <w:rFonts w:ascii="Times New Roman" w:hAnsi="Times New Roman"/>
          <w:sz w:val="28"/>
          <w:szCs w:val="28"/>
        </w:rPr>
        <w:t xml:space="preserve">Zemkopības </w:t>
      </w:r>
      <w:r w:rsidRPr="00004F4C">
        <w:rPr>
          <w:rFonts w:ascii="Times New Roman" w:hAnsi="Times New Roman"/>
          <w:sz w:val="28"/>
          <w:szCs w:val="28"/>
        </w:rPr>
        <w:t>ministrijas valsts sekretārs</w:t>
      </w:r>
      <w:r w:rsidRPr="00004F4C">
        <w:rPr>
          <w:rFonts w:ascii="Times New Roman" w:hAnsi="Times New Roman"/>
          <w:sz w:val="28"/>
          <w:szCs w:val="28"/>
        </w:rPr>
        <w:tab/>
      </w:r>
      <w:r w:rsidRPr="00004F4C">
        <w:rPr>
          <w:rFonts w:ascii="Times New Roman" w:hAnsi="Times New Roman"/>
          <w:sz w:val="28"/>
          <w:szCs w:val="28"/>
        </w:rPr>
        <w:tab/>
      </w:r>
      <w:r w:rsidR="00422843">
        <w:rPr>
          <w:rFonts w:ascii="Times New Roman" w:hAnsi="Times New Roman"/>
          <w:sz w:val="28"/>
          <w:szCs w:val="28"/>
        </w:rPr>
        <w:tab/>
      </w:r>
      <w:r w:rsidRPr="00004F4C">
        <w:rPr>
          <w:rFonts w:ascii="Times New Roman" w:hAnsi="Times New Roman"/>
          <w:sz w:val="28"/>
          <w:szCs w:val="28"/>
        </w:rPr>
        <w:tab/>
      </w:r>
      <w:r w:rsidRPr="00004F4C">
        <w:rPr>
          <w:rFonts w:ascii="Times New Roman" w:hAnsi="Times New Roman"/>
          <w:sz w:val="28"/>
          <w:szCs w:val="28"/>
        </w:rPr>
        <w:t>Dace Lucaua</w:t>
      </w:r>
    </w:p>
    <w:p w:rsidR="005D042B" w:rsidRDefault="005D042B" w:rsidP="005D042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4F4C" w:rsidRDefault="00004F4C" w:rsidP="005D042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4F4C" w:rsidRDefault="00004F4C" w:rsidP="005D042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4F4C" w:rsidRDefault="00004F4C" w:rsidP="005D042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22843" w:rsidRDefault="00422843" w:rsidP="005D042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22843" w:rsidRDefault="00422843" w:rsidP="005D042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4" w:name="_GoBack"/>
      <w:bookmarkEnd w:id="4"/>
    </w:p>
    <w:p w:rsidR="00004F4C" w:rsidRDefault="00004F4C" w:rsidP="005D042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4F4C" w:rsidRDefault="00004F4C" w:rsidP="005D042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D042B" w:rsidRPr="00CD7342" w:rsidRDefault="005D042B" w:rsidP="005D042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Karlapa</w:t>
      </w:r>
      <w:r w:rsidRPr="00CD734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67027121</w:t>
      </w:r>
    </w:p>
    <w:p w:rsidR="005D042B" w:rsidRPr="00CD7342" w:rsidRDefault="005D042B" w:rsidP="005D042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agrita</w:t>
      </w:r>
      <w:r w:rsidRPr="00CD734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karlapa</w:t>
      </w:r>
      <w:r w:rsidRPr="00CD7342">
        <w:rPr>
          <w:rFonts w:ascii="Times New Roman" w:hAnsi="Times New Roman" w:cs="Times New Roman"/>
          <w:sz w:val="24"/>
          <w:szCs w:val="28"/>
        </w:rPr>
        <w:t>@</w:t>
      </w:r>
      <w:r>
        <w:rPr>
          <w:rFonts w:ascii="Times New Roman" w:hAnsi="Times New Roman" w:cs="Times New Roman"/>
          <w:sz w:val="24"/>
          <w:szCs w:val="28"/>
        </w:rPr>
        <w:t>zm</w:t>
      </w:r>
      <w:r w:rsidRPr="00CD7342">
        <w:rPr>
          <w:rFonts w:ascii="Times New Roman" w:hAnsi="Times New Roman" w:cs="Times New Roman"/>
          <w:sz w:val="24"/>
          <w:szCs w:val="28"/>
        </w:rPr>
        <w:t>.gov.lv</w:t>
      </w:r>
    </w:p>
    <w:sectPr w:rsidR="005D042B" w:rsidRPr="00CD7342" w:rsidSect="00422843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47" w:rsidRDefault="006D1B47" w:rsidP="00E856BC">
      <w:pPr>
        <w:spacing w:after="0" w:line="240" w:lineRule="auto"/>
      </w:pPr>
      <w:r>
        <w:separator/>
      </w:r>
    </w:p>
  </w:endnote>
  <w:endnote w:type="continuationSeparator" w:id="0">
    <w:p w:rsidR="006D1B47" w:rsidRDefault="006D1B47" w:rsidP="00E8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BC" w:rsidRPr="00004F4C" w:rsidRDefault="00004F4C" w:rsidP="00004F4C">
    <w:pPr>
      <w:pStyle w:val="Kjene"/>
    </w:pPr>
    <w:r w:rsidRPr="00004F4C">
      <w:rPr>
        <w:rFonts w:ascii="Times New Roman" w:hAnsi="Times New Roman" w:cs="Times New Roman"/>
        <w:sz w:val="20"/>
        <w:szCs w:val="20"/>
      </w:rPr>
      <w:t>ZMAnot_150317_Nodokli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47" w:rsidRDefault="006D1B47" w:rsidP="00E856BC">
      <w:pPr>
        <w:spacing w:after="0" w:line="240" w:lineRule="auto"/>
      </w:pPr>
      <w:r>
        <w:separator/>
      </w:r>
    </w:p>
  </w:footnote>
  <w:footnote w:type="continuationSeparator" w:id="0">
    <w:p w:rsidR="006D1B47" w:rsidRDefault="006D1B47" w:rsidP="00E8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318B2"/>
    <w:multiLevelType w:val="hybridMultilevel"/>
    <w:tmpl w:val="FB5824BA"/>
    <w:lvl w:ilvl="0" w:tplc="575AA2DE">
      <w:start w:val="1"/>
      <w:numFmt w:val="decimal"/>
      <w:lvlText w:val="%1)"/>
      <w:lvlJc w:val="left"/>
      <w:pPr>
        <w:ind w:left="1103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23" w:hanging="360"/>
      </w:pPr>
    </w:lvl>
    <w:lvl w:ilvl="2" w:tplc="0426001B" w:tentative="1">
      <w:start w:val="1"/>
      <w:numFmt w:val="lowerRoman"/>
      <w:lvlText w:val="%3."/>
      <w:lvlJc w:val="right"/>
      <w:pPr>
        <w:ind w:left="2543" w:hanging="180"/>
      </w:pPr>
    </w:lvl>
    <w:lvl w:ilvl="3" w:tplc="0426000F" w:tentative="1">
      <w:start w:val="1"/>
      <w:numFmt w:val="decimal"/>
      <w:lvlText w:val="%4."/>
      <w:lvlJc w:val="left"/>
      <w:pPr>
        <w:ind w:left="3263" w:hanging="360"/>
      </w:pPr>
    </w:lvl>
    <w:lvl w:ilvl="4" w:tplc="04260019" w:tentative="1">
      <w:start w:val="1"/>
      <w:numFmt w:val="lowerLetter"/>
      <w:lvlText w:val="%5."/>
      <w:lvlJc w:val="left"/>
      <w:pPr>
        <w:ind w:left="3983" w:hanging="360"/>
      </w:pPr>
    </w:lvl>
    <w:lvl w:ilvl="5" w:tplc="0426001B" w:tentative="1">
      <w:start w:val="1"/>
      <w:numFmt w:val="lowerRoman"/>
      <w:lvlText w:val="%6."/>
      <w:lvlJc w:val="right"/>
      <w:pPr>
        <w:ind w:left="4703" w:hanging="180"/>
      </w:pPr>
    </w:lvl>
    <w:lvl w:ilvl="6" w:tplc="0426000F" w:tentative="1">
      <w:start w:val="1"/>
      <w:numFmt w:val="decimal"/>
      <w:lvlText w:val="%7."/>
      <w:lvlJc w:val="left"/>
      <w:pPr>
        <w:ind w:left="5423" w:hanging="360"/>
      </w:pPr>
    </w:lvl>
    <w:lvl w:ilvl="7" w:tplc="04260019" w:tentative="1">
      <w:start w:val="1"/>
      <w:numFmt w:val="lowerLetter"/>
      <w:lvlText w:val="%8."/>
      <w:lvlJc w:val="left"/>
      <w:pPr>
        <w:ind w:left="6143" w:hanging="360"/>
      </w:pPr>
    </w:lvl>
    <w:lvl w:ilvl="8" w:tplc="0426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BC"/>
    <w:rsid w:val="00004F4C"/>
    <w:rsid w:val="00343B1F"/>
    <w:rsid w:val="00422843"/>
    <w:rsid w:val="00440958"/>
    <w:rsid w:val="00464CAC"/>
    <w:rsid w:val="00503EB7"/>
    <w:rsid w:val="00586EB8"/>
    <w:rsid w:val="005D042B"/>
    <w:rsid w:val="005D1764"/>
    <w:rsid w:val="00680FF0"/>
    <w:rsid w:val="006A5EBE"/>
    <w:rsid w:val="006D1B47"/>
    <w:rsid w:val="00942EC7"/>
    <w:rsid w:val="00984C3F"/>
    <w:rsid w:val="009F374C"/>
    <w:rsid w:val="00B0617D"/>
    <w:rsid w:val="00BA35A7"/>
    <w:rsid w:val="00C01DEE"/>
    <w:rsid w:val="00E353CA"/>
    <w:rsid w:val="00E856BC"/>
    <w:rsid w:val="00E96F8A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FF261-8E4B-4716-8140-549BDA6F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56B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856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85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856BC"/>
  </w:style>
  <w:style w:type="paragraph" w:styleId="Kjene">
    <w:name w:val="footer"/>
    <w:basedOn w:val="Parasts"/>
    <w:link w:val="KjeneRakstz"/>
    <w:uiPriority w:val="99"/>
    <w:unhideWhenUsed/>
    <w:rsid w:val="00E85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56BC"/>
  </w:style>
  <w:style w:type="paragraph" w:styleId="Bezatstarpm">
    <w:name w:val="No Spacing"/>
    <w:uiPriority w:val="99"/>
    <w:qFormat/>
    <w:rsid w:val="00004F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882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2014.gada 25.marta noteikumos Nr.166 "Noteikumi par Lauku atbalsta dienesta informācijas sistēmu sezonas laukstrādnieku ienākuma nodokļa piemērošanas nodrošināšanai"</vt:lpstr>
    </vt:vector>
  </TitlesOfParts>
  <Company>Zemkopības ministrija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25.marta noteikumos Nr.166 "Noteikumi par Lauku atbalsta dienesta informācijas sistēmu sezonas laukstrādnieku ienākuma nodokļa piemērošanas nodrošināšanai"</dc:title>
  <dc:subject>Noteikumu projekta anotācija</dc:subject>
  <dc:creator>Agrita Karlapa</dc:creator>
  <cp:keywords/>
  <dc:description>67027121, agrita.karlapa@zm.gov.lv</dc:description>
  <cp:lastModifiedBy>Sanita Žagare</cp:lastModifiedBy>
  <cp:revision>7</cp:revision>
  <dcterms:created xsi:type="dcterms:W3CDTF">2017-02-06T10:56:00Z</dcterms:created>
  <dcterms:modified xsi:type="dcterms:W3CDTF">2017-03-15T12:29:00Z</dcterms:modified>
</cp:coreProperties>
</file>