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85" w:rsidRDefault="00865185" w:rsidP="00865185">
      <w:pPr>
        <w:spacing w:after="0" w:line="240" w:lineRule="auto"/>
        <w:jc w:val="center"/>
        <w:rPr>
          <w:rFonts w:ascii="Times New Roman" w:eastAsia="Times New Roman" w:hAnsi="Times New Roman"/>
          <w:b/>
          <w:sz w:val="24"/>
          <w:szCs w:val="24"/>
          <w:lang w:eastAsia="lv-LV"/>
        </w:rPr>
      </w:pPr>
      <w:r w:rsidRPr="00865185">
        <w:rPr>
          <w:rFonts w:ascii="Times New Roman" w:eastAsia="Times New Roman" w:hAnsi="Times New Roman"/>
          <w:b/>
          <w:sz w:val="24"/>
          <w:szCs w:val="24"/>
          <w:lang w:eastAsia="lv-LV"/>
        </w:rPr>
        <w:t>Ministru kabineta noteikumu projekta „Grozījumi Ministru kabineta 2009.gada 15.septembra noteikumos Nr.1065 „Noteikumi par aizdevumiem sīko (mikro), mazo un vidējo saimnieciskās darbības veicēju un lauksaimniecības pakalpojumu kooperatīvo sabiedrību attīstības veicināšanai”” sākotnējās ietekmes novērtējuma ziņojums (anotācija)</w:t>
      </w:r>
    </w:p>
    <w:p w:rsidR="00865185" w:rsidRPr="00D859A3" w:rsidRDefault="00865185" w:rsidP="00865185">
      <w:pPr>
        <w:spacing w:after="0" w:line="240" w:lineRule="auto"/>
        <w:jc w:val="center"/>
        <w:rPr>
          <w:rFonts w:ascii="Times New Roman" w:hAnsi="Times New Roman"/>
          <w:b/>
          <w:sz w:val="24"/>
          <w:szCs w:val="24"/>
        </w:rPr>
      </w:pPr>
    </w:p>
    <w:tbl>
      <w:tblPr>
        <w:tblW w:w="9781"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119"/>
        <w:gridCol w:w="6662"/>
      </w:tblGrid>
      <w:tr w:rsidR="00865185" w:rsidRPr="00D859A3" w:rsidTr="00B570A8">
        <w:tc>
          <w:tcPr>
            <w:tcW w:w="978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65185" w:rsidRPr="00D859A3" w:rsidRDefault="00865185" w:rsidP="00B570A8">
            <w:pPr>
              <w:spacing w:after="0" w:line="240" w:lineRule="auto"/>
              <w:jc w:val="center"/>
              <w:rPr>
                <w:rFonts w:ascii="Times New Roman" w:eastAsia="Times New Roman" w:hAnsi="Times New Roman"/>
                <w:b/>
                <w:sz w:val="24"/>
                <w:szCs w:val="24"/>
                <w:lang w:eastAsia="lv-LV"/>
              </w:rPr>
            </w:pPr>
            <w:r w:rsidRPr="00D859A3">
              <w:rPr>
                <w:rFonts w:ascii="Times New Roman" w:eastAsia="Times New Roman" w:hAnsi="Times New Roman"/>
                <w:b/>
                <w:sz w:val="24"/>
                <w:szCs w:val="24"/>
                <w:lang w:eastAsia="lv-LV"/>
              </w:rPr>
              <w:t>I.</w:t>
            </w:r>
            <w:r>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Tiesību akta projekta izstrādes nepieciešamība</w:t>
            </w:r>
          </w:p>
        </w:tc>
      </w:tr>
      <w:tr w:rsidR="00865185" w:rsidRPr="00D859A3" w:rsidTr="00B570A8">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1. Pamatojums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ind w:firstLine="649"/>
              <w:jc w:val="both"/>
              <w:rPr>
                <w:rFonts w:ascii="Times New Roman" w:hAnsi="Times New Roman"/>
                <w:sz w:val="24"/>
                <w:szCs w:val="24"/>
              </w:rPr>
            </w:pPr>
            <w:r w:rsidRPr="00865185">
              <w:rPr>
                <w:rFonts w:ascii="Times New Roman" w:hAnsi="Times New Roman"/>
                <w:sz w:val="24"/>
                <w:szCs w:val="24"/>
              </w:rPr>
              <w:t>Ministru kabineta noteikumu projekts „Grozījumi Ministru kabineta 2009.gada 15.septembra noteikumos Nr.1065 „Noteikumi par aizdevumiem sīko (mikro), mazo un vidējo saimnieciskās darbības veicēju un lauksaimniecības pakalpojumu kooperatīvo sabiedrību attīstības veicināšanai”” (turpmāk - Noteikumu projekts) sagatavots pamatojoties uz Ministru kabineta iekārtas likuma 31. panta pirmās daļas 3. punktu un Attīstības finanšu institūcijas likuma 12.panta ceturto daļu.</w:t>
            </w:r>
          </w:p>
        </w:tc>
      </w:tr>
      <w:tr w:rsidR="00865185" w:rsidRPr="00D859A3" w:rsidTr="00B570A8">
        <w:trPr>
          <w:trHeight w:val="360"/>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xml:space="preserve">2. </w:t>
            </w:r>
            <w:r w:rsidRPr="00865185">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865185" w:rsidRPr="00D859A3" w:rsidRDefault="00865185" w:rsidP="00B570A8">
            <w:pPr>
              <w:rPr>
                <w:rFonts w:ascii="Times New Roman" w:eastAsia="Times New Roman" w:hAnsi="Times New Roman"/>
                <w:sz w:val="24"/>
                <w:szCs w:val="24"/>
                <w:lang w:eastAsia="lv-LV"/>
              </w:rPr>
            </w:pPr>
          </w:p>
          <w:p w:rsidR="00865185" w:rsidRPr="00D859A3" w:rsidRDefault="00865185" w:rsidP="00B570A8">
            <w:pPr>
              <w:rPr>
                <w:rFonts w:ascii="Times New Roman" w:eastAsia="Times New Roman" w:hAnsi="Times New Roman"/>
                <w:sz w:val="24"/>
                <w:szCs w:val="24"/>
                <w:lang w:eastAsia="lv-LV"/>
              </w:rPr>
            </w:pPr>
          </w:p>
          <w:p w:rsidR="00865185" w:rsidRPr="00D859A3" w:rsidRDefault="00865185" w:rsidP="00B570A8">
            <w:pPr>
              <w:rPr>
                <w:rFonts w:ascii="Times New Roman" w:eastAsia="Times New Roman" w:hAnsi="Times New Roman"/>
                <w:sz w:val="24"/>
                <w:szCs w:val="24"/>
                <w:lang w:eastAsia="lv-LV"/>
              </w:rPr>
            </w:pPr>
          </w:p>
          <w:p w:rsidR="00865185" w:rsidRPr="00D859A3" w:rsidRDefault="00865185" w:rsidP="00B570A8">
            <w:pPr>
              <w:rPr>
                <w:rFonts w:ascii="Times New Roman" w:eastAsia="Times New Roman" w:hAnsi="Times New Roman"/>
                <w:sz w:val="24"/>
                <w:szCs w:val="24"/>
                <w:lang w:eastAsia="lv-LV"/>
              </w:rPr>
            </w:pPr>
          </w:p>
          <w:p w:rsidR="00865185" w:rsidRPr="00D859A3" w:rsidRDefault="00865185" w:rsidP="00B570A8">
            <w:pPr>
              <w:rPr>
                <w:rFonts w:ascii="Times New Roman" w:eastAsia="Times New Roman" w:hAnsi="Times New Roman"/>
                <w:sz w:val="24"/>
                <w:szCs w:val="24"/>
                <w:lang w:eastAsia="lv-LV"/>
              </w:rPr>
            </w:pPr>
          </w:p>
          <w:p w:rsidR="00865185" w:rsidRPr="00D859A3" w:rsidRDefault="00865185" w:rsidP="00B570A8">
            <w:pPr>
              <w:rPr>
                <w:rFonts w:ascii="Times New Roman" w:eastAsia="Times New Roman" w:hAnsi="Times New Roman"/>
                <w:sz w:val="24"/>
                <w:szCs w:val="24"/>
                <w:lang w:eastAsia="lv-LV"/>
              </w:rPr>
            </w:pPr>
          </w:p>
          <w:p w:rsidR="00865185" w:rsidRPr="00D859A3" w:rsidRDefault="00865185" w:rsidP="00B570A8">
            <w:pPr>
              <w:rPr>
                <w:rFonts w:ascii="Times New Roman" w:eastAsia="Times New Roman" w:hAnsi="Times New Roman"/>
                <w:sz w:val="24"/>
                <w:szCs w:val="24"/>
                <w:lang w:eastAsia="lv-LV"/>
              </w:rPr>
            </w:pPr>
          </w:p>
          <w:p w:rsidR="00865185" w:rsidRPr="00D859A3" w:rsidRDefault="00865185" w:rsidP="00B570A8">
            <w:pPr>
              <w:rPr>
                <w:rFonts w:ascii="Times New Roman" w:eastAsia="Times New Roman" w:hAnsi="Times New Roman"/>
                <w:sz w:val="24"/>
                <w:szCs w:val="24"/>
                <w:lang w:eastAsia="lv-LV"/>
              </w:rPr>
            </w:pPr>
          </w:p>
          <w:p w:rsidR="00865185" w:rsidRPr="00D859A3" w:rsidRDefault="00865185" w:rsidP="00B570A8">
            <w:pPr>
              <w:rPr>
                <w:rFonts w:ascii="Times New Roman" w:eastAsia="Times New Roman" w:hAnsi="Times New Roman"/>
                <w:sz w:val="24"/>
                <w:szCs w:val="24"/>
                <w:lang w:eastAsia="lv-LV"/>
              </w:rPr>
            </w:pPr>
          </w:p>
          <w:p w:rsidR="00865185" w:rsidRPr="00D859A3" w:rsidRDefault="00865185" w:rsidP="00B570A8">
            <w:pPr>
              <w:jc w:val="center"/>
              <w:rPr>
                <w:rFonts w:ascii="Times New Roman" w:eastAsia="Times New Roman" w:hAnsi="Times New Roman"/>
                <w:sz w:val="24"/>
                <w:szCs w:val="24"/>
                <w:lang w:eastAsia="lv-LV"/>
              </w:rPr>
            </w:pP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865185" w:rsidRDefault="00865185" w:rsidP="00865185">
            <w:pPr>
              <w:spacing w:after="0" w:line="240" w:lineRule="auto"/>
              <w:ind w:firstLine="365"/>
              <w:jc w:val="both"/>
              <w:rPr>
                <w:rFonts w:ascii="Times New Roman" w:eastAsia="Times New Roman" w:hAnsi="Times New Roman"/>
                <w:bCs/>
                <w:sz w:val="24"/>
                <w:szCs w:val="24"/>
              </w:rPr>
            </w:pPr>
            <w:r w:rsidRPr="00865185">
              <w:rPr>
                <w:rFonts w:ascii="Times New Roman" w:eastAsia="Times New Roman" w:hAnsi="Times New Roman"/>
                <w:bCs/>
                <w:sz w:val="24"/>
                <w:szCs w:val="24"/>
              </w:rPr>
              <w:t>Latvijā darbību uzsāk arvien vairāk komersantu, kas sniedz energoefektivitātes pakalpojumus vai veic citus energoefektivitātes uzlabošanas pasākumus galalietotāja iekārtās vai telpās. Energoefektivitātes pakalpojumu sniedzēju (turpmāk – ESKO) finansēšana Latvijā ir apgrūtināta šādu iemeslu dēļ:</w:t>
            </w:r>
          </w:p>
          <w:p w:rsidR="00865185" w:rsidRPr="00865185" w:rsidRDefault="00865185" w:rsidP="00865185">
            <w:pPr>
              <w:numPr>
                <w:ilvl w:val="0"/>
                <w:numId w:val="6"/>
              </w:numPr>
              <w:spacing w:after="0" w:line="240" w:lineRule="auto"/>
              <w:ind w:left="932"/>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ESKO nav pietiekama nodrošinājuma aizdevumu saņemšanai (ieguldījumi tiek veikti ESKO nepiederošos īpašumos un attiecīgajam ieguldījuma atgūšanas iespējas ir apgrūtinošas – nelikvīds tirgus, ierobežotas iespējas iekļūt ieguldījumu veikšanas vietā);</w:t>
            </w:r>
          </w:p>
          <w:p w:rsidR="00865185" w:rsidRPr="00865185" w:rsidRDefault="00865185" w:rsidP="00865185">
            <w:pPr>
              <w:numPr>
                <w:ilvl w:val="0"/>
                <w:numId w:val="6"/>
              </w:numPr>
              <w:spacing w:after="0" w:line="240" w:lineRule="auto"/>
              <w:ind w:left="932"/>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ESKO darbībai ir nepietiekama vēsture, kā rezultātā komercbankām nav pieredzes attiecīgo projektu jomā;</w:t>
            </w:r>
          </w:p>
          <w:p w:rsidR="00865185" w:rsidRPr="00865185" w:rsidRDefault="00865185" w:rsidP="00865185">
            <w:pPr>
              <w:numPr>
                <w:ilvl w:val="0"/>
                <w:numId w:val="6"/>
              </w:numPr>
              <w:spacing w:after="0" w:line="240" w:lineRule="auto"/>
              <w:ind w:left="932"/>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ESKO darbības modelis nav pazīstams potenciālo klientu vidū;</w:t>
            </w:r>
          </w:p>
          <w:p w:rsidR="00865185" w:rsidRPr="00865185" w:rsidRDefault="00865185" w:rsidP="00865185">
            <w:pPr>
              <w:numPr>
                <w:ilvl w:val="0"/>
                <w:numId w:val="6"/>
              </w:numPr>
              <w:spacing w:after="0" w:line="240" w:lineRule="auto"/>
              <w:ind w:left="932"/>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ESKO uzņēmumu attīstības un kapitalizācijas līmenis ir salīdzinoši zems.</w:t>
            </w:r>
          </w:p>
          <w:p w:rsidR="00865185" w:rsidRPr="00865185" w:rsidRDefault="00865185" w:rsidP="00865185">
            <w:pPr>
              <w:spacing w:after="0" w:line="240" w:lineRule="auto"/>
              <w:ind w:firstLine="365"/>
              <w:jc w:val="both"/>
              <w:rPr>
                <w:rFonts w:ascii="Times New Roman" w:eastAsia="Times New Roman" w:hAnsi="Times New Roman"/>
                <w:bCs/>
                <w:sz w:val="24"/>
                <w:szCs w:val="24"/>
              </w:rPr>
            </w:pPr>
            <w:r w:rsidRPr="00865185">
              <w:rPr>
                <w:rFonts w:ascii="Times New Roman" w:eastAsia="Times New Roman" w:hAnsi="Times New Roman"/>
                <w:bCs/>
                <w:sz w:val="24"/>
                <w:szCs w:val="24"/>
              </w:rPr>
              <w:t xml:space="preserve">Vienlaikus jāatzīmē, ka ESKO ieguldījumi komercdarbības objektos energoefektivitātes uzlabošanai ir vieni no ātrāk atgūstamajiem – to atmaksāšanās periods bieži vien ir periodā no 1 līdz 7 gadiem. Attiecīgo projektu izmaksas bieži vien sasniedz par 1 milj. EUR, kas ir salīdzinoši lielas investīcijas ESKO, kuras tikai uzsāk savu darbību attiecīgajā jomā. </w:t>
            </w:r>
          </w:p>
          <w:p w:rsidR="00865185" w:rsidRPr="00865185" w:rsidRDefault="00865185" w:rsidP="00865185">
            <w:pPr>
              <w:spacing w:after="0" w:line="240" w:lineRule="auto"/>
              <w:ind w:firstLine="365"/>
              <w:jc w:val="both"/>
              <w:rPr>
                <w:rFonts w:ascii="Times New Roman" w:eastAsia="Times New Roman" w:hAnsi="Times New Roman"/>
                <w:bCs/>
                <w:sz w:val="24"/>
                <w:szCs w:val="24"/>
              </w:rPr>
            </w:pPr>
            <w:r w:rsidRPr="00865185">
              <w:rPr>
                <w:rFonts w:ascii="Times New Roman" w:eastAsia="Times New Roman" w:hAnsi="Times New Roman"/>
                <w:bCs/>
                <w:sz w:val="24"/>
                <w:szCs w:val="24"/>
              </w:rPr>
              <w:t>Noteikumu projekts dos iespēju ESKO piesaistīt finansējumu arī ieguldīšanai energoefektivitātes paaugstināšanas pasākumos daudzdzīvokļu dzīvojamās ēkās, sniedzot pakalpojumu daudzdzīvokļu māju dzīvokļu īpašniekiem. Daudzdzīvokļu māju dzīvokļu īpašnieki (ar pilnvarotās personas starpniecību) šajā gadījumā var pretendēt tikai uz atbalstu granta veidā, kas tiek sniegts saskaņā ar 2016.gada 15.marta Ministru kabineta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Šajā gadījumā dzīvokļu īpašnieki nepiesaista aizdevumu finansējumi paši, bet izmantot ESKO pakalpojumu, slēdzot ar ESKO energoefektivitātes uzlabošanas pakalpojuma līgumu, kas paredz cita starpā ESKO ieguldījumu apmēru energoefektivitātes pasākumu realizācijai daudzdzīvokļu mājā un dzīvokļu īpašnieku norēķinu kārtību par ESKO sniegtajiem pakalpojumiem.</w:t>
            </w:r>
          </w:p>
          <w:p w:rsidR="00865185" w:rsidRPr="00865185" w:rsidRDefault="00865185" w:rsidP="00865185">
            <w:pPr>
              <w:spacing w:after="0" w:line="240" w:lineRule="auto"/>
              <w:ind w:firstLine="365"/>
              <w:jc w:val="both"/>
              <w:rPr>
                <w:rFonts w:ascii="Times New Roman" w:eastAsia="Times New Roman" w:hAnsi="Times New Roman"/>
                <w:bCs/>
                <w:sz w:val="24"/>
                <w:szCs w:val="24"/>
              </w:rPr>
            </w:pPr>
            <w:r w:rsidRPr="00865185">
              <w:rPr>
                <w:rFonts w:ascii="Times New Roman" w:eastAsia="Times New Roman" w:hAnsi="Times New Roman"/>
                <w:bCs/>
                <w:sz w:val="24"/>
                <w:szCs w:val="24"/>
              </w:rPr>
              <w:t>Jāņem vērā, ka ESKO kompānijām to veiksmīgas darbības nodrošināšanai ir būtiski piesaistīt salīdzinoši lielu klientu portfeli (10 klienti un vairāk), kas ļauj diversificēt riskus attiecībā uz ESKO pakalpojuma korektu cenošanu. Bez tam ESKO kompānijām ir būtiski piesaistīt jaunus klientus gadu no gada, pretējā gadījumā tas var zaudēt savu kvalifikāciju attiecīgajā tirgus segmentā (energoefektivitātes paaugstināšanas jomā notiek strauja materiālu, risinājumu un tehnoloģiju izaugsme).</w:t>
            </w:r>
          </w:p>
          <w:p w:rsidR="00865185" w:rsidRPr="00865185" w:rsidRDefault="00865185" w:rsidP="00865185">
            <w:pPr>
              <w:spacing w:after="0" w:line="240" w:lineRule="auto"/>
              <w:ind w:firstLine="365"/>
              <w:jc w:val="both"/>
              <w:rPr>
                <w:rFonts w:ascii="Times New Roman" w:eastAsia="Times New Roman" w:hAnsi="Times New Roman"/>
                <w:bCs/>
                <w:sz w:val="24"/>
                <w:szCs w:val="24"/>
              </w:rPr>
            </w:pPr>
            <w:r w:rsidRPr="00865185">
              <w:rPr>
                <w:rFonts w:ascii="Times New Roman" w:eastAsia="Times New Roman" w:hAnsi="Times New Roman"/>
                <w:bCs/>
                <w:sz w:val="24"/>
                <w:szCs w:val="24"/>
              </w:rPr>
              <w:t>Parasti komersanti pamatā koncentrējas uz savas pamatdarbības izaugsmi (jaunu produktu un tirgu apgūšanu) un energoefektivitātes pasākumu īstenošana nav attiecīgā objekta īpašnieka primārais mērķis. Tas paver ESKO iespēju sniegt energoefektivitātes pakalpojumu attiecīgo objektu īpašniekiem, tiem samazinot energoresursu izmantošanas izmaksas, nekoncentrējot resursus uz tiem nespecifiskām funkcijām. Vienlaikus attiecīgo darījumu īstenošana arī veicina valsts energoefektivitātes uzlabošanas mērķa sasniegšanu.</w:t>
            </w:r>
          </w:p>
          <w:p w:rsidR="00865185" w:rsidRPr="00865185" w:rsidRDefault="00865185" w:rsidP="00865185">
            <w:pPr>
              <w:spacing w:after="0" w:line="240" w:lineRule="auto"/>
              <w:ind w:firstLine="365"/>
              <w:jc w:val="both"/>
              <w:rPr>
                <w:rFonts w:ascii="Times New Roman" w:eastAsia="Times New Roman" w:hAnsi="Times New Roman"/>
                <w:bCs/>
                <w:sz w:val="24"/>
                <w:szCs w:val="24"/>
              </w:rPr>
            </w:pPr>
            <w:r w:rsidRPr="00865185">
              <w:rPr>
                <w:rFonts w:ascii="Times New Roman" w:eastAsia="Times New Roman" w:hAnsi="Times New Roman"/>
                <w:bCs/>
                <w:sz w:val="24"/>
                <w:szCs w:val="24"/>
              </w:rPr>
              <w:t>Izvērtējot ESKO atbalsta iespējas, sabiedrība “Altum” ir veikusi intervijas ar komercbanku, riska kapitāla fondu un ESKO kompānijām, sagatavojot priekšlikumus atbalsta programmām ESKO tirgus attīstīšanas veicināšanai. Lai nodrošinātu ESKO tirgus attīstību, nepieciešamas 3 veida atbalsta programmas ESKO dažādās attīstības stadijās: 1) Atbalsts ESKO izveidei un sākotnējās darbības uzsākšanai; 2) Atbalsts jau esošu ESKO darbības nodrošināšanai; 3) ESKO aizdevumu refinansēšanas fonds. Ņemot vērā, ka šobrīd akūtākā problēma ar finansējuma pieejamību ir tieši ESKO kompānijām, kuras savu darbību jau ir uzsākušas, bet vairs nevar piesaistīt privātā sektora resursus, Noteikumu projekts izstrādāts, lai tām ESKO kompānijas, kuras tirgū jau darbojas, būtu iespēja savu darbību paplašināt.</w:t>
            </w:r>
          </w:p>
          <w:p w:rsidR="00865185" w:rsidRPr="00865185" w:rsidRDefault="00865185" w:rsidP="00865185">
            <w:pPr>
              <w:spacing w:after="0" w:line="240" w:lineRule="auto"/>
              <w:ind w:firstLine="365"/>
              <w:jc w:val="both"/>
              <w:rPr>
                <w:rFonts w:ascii="Times New Roman" w:eastAsia="Times New Roman" w:hAnsi="Times New Roman"/>
                <w:bCs/>
                <w:sz w:val="24"/>
                <w:szCs w:val="24"/>
              </w:rPr>
            </w:pPr>
            <w:r w:rsidRPr="00865185">
              <w:rPr>
                <w:rFonts w:ascii="Times New Roman" w:eastAsia="Times New Roman" w:hAnsi="Times New Roman"/>
                <w:bCs/>
                <w:sz w:val="24"/>
                <w:szCs w:val="24"/>
              </w:rPr>
              <w:t>Papildus ņemot vērā komersantu potenciālo interesi par energoefektivitātes paaugstināšanas, atjaunojamo energoresursu veicināšanas un oglekļa dioksīda emisiju samazināšanas pasākumu īstenošanu, Ekonomikas ministrijas ieskatā sabiedrībai “Altum” arī ir jānodrošina finansējuma pieejamība maziem un vidējiem komersantiem (turpmāk - MVU) šādu pasākumu īstenošanai.</w:t>
            </w:r>
          </w:p>
          <w:p w:rsidR="00865185" w:rsidRPr="00865185" w:rsidRDefault="00865185" w:rsidP="00865185">
            <w:pPr>
              <w:spacing w:after="0" w:line="240" w:lineRule="auto"/>
              <w:ind w:left="81" w:firstLine="284"/>
              <w:jc w:val="both"/>
              <w:rPr>
                <w:rFonts w:ascii="Times New Roman" w:eastAsia="Times New Roman" w:hAnsi="Times New Roman"/>
                <w:bCs/>
                <w:sz w:val="24"/>
                <w:szCs w:val="24"/>
              </w:rPr>
            </w:pPr>
            <w:r w:rsidRPr="00865185">
              <w:rPr>
                <w:rFonts w:ascii="Times New Roman" w:eastAsia="Times New Roman" w:hAnsi="Times New Roman"/>
                <w:bCs/>
                <w:sz w:val="24"/>
                <w:szCs w:val="24"/>
              </w:rPr>
              <w:t>Noteikumu projekts paredz šādas izmaiņas Ministru kabineta 2009. gada 15. septembra noteikumos Nr. 1065 „Noteikumi par aizdevumiem sīko (mikro), mazo un vidējo saimnieciskās darbības veicēju un lauksaimniecības pakalpojumu kooperatīvo sabiedrību attīstības veicināšanai” (turpmāk – MK noteikumi Nr. 1065):</w:t>
            </w:r>
          </w:p>
          <w:p w:rsidR="00865185" w:rsidRPr="00865185" w:rsidRDefault="00865185" w:rsidP="00865185">
            <w:pPr>
              <w:spacing w:after="0" w:line="240" w:lineRule="auto"/>
              <w:ind w:left="81" w:firstLine="284"/>
              <w:jc w:val="both"/>
              <w:rPr>
                <w:rFonts w:ascii="Times New Roman" w:eastAsia="Times New Roman" w:hAnsi="Times New Roman"/>
                <w:bCs/>
                <w:sz w:val="24"/>
                <w:szCs w:val="24"/>
              </w:rPr>
            </w:pPr>
          </w:p>
          <w:p w:rsidR="00865185" w:rsidRPr="00865185" w:rsidRDefault="00865185" w:rsidP="00865185">
            <w:pPr>
              <w:numPr>
                <w:ilvl w:val="0"/>
                <w:numId w:val="8"/>
              </w:numPr>
              <w:spacing w:after="0" w:line="240" w:lineRule="auto"/>
              <w:ind w:left="81" w:firstLine="284"/>
              <w:contextualSpacing/>
              <w:jc w:val="both"/>
              <w:rPr>
                <w:rFonts w:ascii="Times New Roman" w:eastAsia="Times New Roman" w:hAnsi="Times New Roman"/>
                <w:b/>
                <w:bCs/>
                <w:i/>
                <w:sz w:val="24"/>
                <w:szCs w:val="24"/>
                <w:u w:val="single"/>
              </w:rPr>
            </w:pPr>
            <w:r w:rsidRPr="00865185">
              <w:rPr>
                <w:rFonts w:ascii="Times New Roman" w:eastAsia="Times New Roman" w:hAnsi="Times New Roman"/>
                <w:b/>
                <w:bCs/>
                <w:i/>
                <w:sz w:val="24"/>
                <w:szCs w:val="24"/>
                <w:u w:val="single"/>
              </w:rPr>
              <w:t>Palielināt MK noteikumos Nr. 1065 noteikto finansējuma apmēru:</w:t>
            </w:r>
          </w:p>
          <w:p w:rsidR="00865185" w:rsidRPr="00865185" w:rsidRDefault="00865185" w:rsidP="00865185">
            <w:pPr>
              <w:spacing w:after="0" w:line="240" w:lineRule="auto"/>
              <w:ind w:left="81" w:firstLine="284"/>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Noteikumu projekts paredz palielināt pieejamo finansējumu 2,5 miljonu EUR apmērā garantiju un procentu likmju subsīdijas fondam, no kura ESKO un komersantiem energoefektivitātes paaugstināšanas, atjaunojamo energoresursu veicināšanas un oglekļa dioksīda emisiju samazināšanas pasākumu īstenošanai būs pieejamas garantijas 80% apmērā no sabiedrības “Altum” aizdevuma summas, tādejādi risinot šo kompāniju nodrošinājuma nepietiekamību. Papildu finansējuma avots garantiju un procentu likmju subsīdiju fondam ir 2007.–2013. gada Eiropas Savienības fondu plānošanas perioda darbības programmas "Cilvēkresursi un nodarbinātība" 1.3.1.2. aktivitātes "Atbalsts pašnodarbinātības un uzņēmējdarbības uzsākšanai"  atmaksu publiskā finansējuma daļa. Pašreiz saimnieciskās darbības veicējiem no garantiju un procentu likmju subsīdiju fonda tiek sniegtas garantijas un subsīdijas. Uz 31.12.2016 no garantiju un procentu likmju subsīdiju fondā ieskaitītiem 2,5 miljoniem EUR apgūti ir 1,44 miljoni EUR. Pēc sabiedrības “Altum” aprēķiniem, paplašinot garantiju saņēmēju loku, ar garantiju un procentu likmju subsīdiju fondā atlikuš</w:t>
            </w:r>
            <w:r w:rsidR="00F746B7">
              <w:rPr>
                <w:rFonts w:ascii="Times New Roman" w:eastAsia="Times New Roman" w:hAnsi="Times New Roman"/>
                <w:bCs/>
                <w:sz w:val="24"/>
                <w:szCs w:val="24"/>
              </w:rPr>
              <w:t>o finansējumu pietiktu līdz 2017</w:t>
            </w:r>
            <w:bookmarkStart w:id="0" w:name="_GoBack"/>
            <w:bookmarkEnd w:id="0"/>
            <w:r w:rsidRPr="00865185">
              <w:rPr>
                <w:rFonts w:ascii="Times New Roman" w:eastAsia="Times New Roman" w:hAnsi="Times New Roman"/>
                <w:bCs/>
                <w:sz w:val="24"/>
                <w:szCs w:val="24"/>
              </w:rPr>
              <w:t xml:space="preserve">. gada 4. ceturksnim. Tādēļ nepieciešams nodrošināt papildus finansējumu 2,5 miljoni EUR apmērā, kas tiktu apgūts 2019. gadā. </w:t>
            </w:r>
          </w:p>
          <w:p w:rsidR="00865185" w:rsidRPr="00865185" w:rsidRDefault="00865185" w:rsidP="00865185">
            <w:pPr>
              <w:spacing w:after="0" w:line="240" w:lineRule="auto"/>
              <w:ind w:left="81" w:firstLine="284"/>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Noteikumu projektā paredzētās izmaiņas nodrošina papildu riska segumu garantiju veidā sabiedrības “Altum” aizdevumiem ESKO, sniedzot iespēju ESKO piesaistīt finansējumu ar atvieglotiem nosacījumiem (nodrošinājumā tikai klientu naudas plūsma). Aizdevumu, kuru apjoms pārsniedz 100 000 EUR, piešķiršanai sabiedrībai “Altum” ir jāsaņem attiecīgās ESKO apkalpojošās kredītiestādes saskaņojums. Gadījumos, ja komercbankas ir ieinteresētas finansēt ESKO projektus, tad tās var piesaistīt sabiedrības “Altum” garantijas atbilstoši Ministru kabineta 2010. gada  26. oktobra noteikumiem Nr. 997 “Noteikumi par garantijām komersantu un atbilstošu lauksaimniecības pakalpojumu kooperatīvo sabiedrību konkurētspējas uzlabošanai”. Noteikumu projekts paredz iespēju piesaistīt ESKO aizdevumam garantiju no garantiju un procentu likmju subsīdiju fonda. Attiecīgais modelis nodrošina vienlīdzīgus garantiju atbalsta nosacījumus ESKO, gan piesaistot finansējumu kredītiestādēs, gan arī sabiedrībā “Altum”.</w:t>
            </w:r>
          </w:p>
          <w:p w:rsidR="00865185" w:rsidRPr="00865185" w:rsidRDefault="00865185" w:rsidP="00865185">
            <w:pPr>
              <w:spacing w:after="0" w:line="240" w:lineRule="auto"/>
              <w:ind w:left="81" w:firstLine="284"/>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Lai sabiedrība “Altum” varētu nodrošināt aizdevumus ESKO un MVU energoefektivitātes paaugstināšanas pasākumu</w:t>
            </w:r>
            <w:r w:rsidRPr="00865185">
              <w:rPr>
                <w:rFonts w:ascii="Times New Roman" w:hAnsi="Times New Roman"/>
                <w:sz w:val="20"/>
                <w:szCs w:val="20"/>
              </w:rPr>
              <w:t xml:space="preserve">, </w:t>
            </w:r>
            <w:r w:rsidRPr="00865185">
              <w:rPr>
                <w:rFonts w:ascii="Times New Roman" w:eastAsia="Times New Roman" w:hAnsi="Times New Roman"/>
                <w:bCs/>
                <w:sz w:val="24"/>
                <w:szCs w:val="24"/>
              </w:rPr>
              <w:t>atjaunojamo energoresursu veicināšanas un oglekļa dioksīda izmešu samazināšanas  pasākumu finansēšanai, Noteikumu projekts paredz līdz šim noteiktā valsts aizdevuma apmēra palielināšanu 10 miljonu EUR apmērā.</w:t>
            </w:r>
          </w:p>
          <w:p w:rsidR="00865185" w:rsidRPr="00865185" w:rsidRDefault="00865185" w:rsidP="00865185">
            <w:pPr>
              <w:spacing w:after="0" w:line="240" w:lineRule="auto"/>
              <w:ind w:left="81" w:firstLine="284"/>
              <w:contextualSpacing/>
              <w:jc w:val="both"/>
              <w:rPr>
                <w:rFonts w:ascii="Times New Roman" w:eastAsia="Times New Roman" w:hAnsi="Times New Roman"/>
                <w:bCs/>
                <w:sz w:val="24"/>
                <w:szCs w:val="24"/>
              </w:rPr>
            </w:pPr>
          </w:p>
          <w:p w:rsidR="00865185" w:rsidRPr="00865185" w:rsidRDefault="00865185" w:rsidP="00865185">
            <w:pPr>
              <w:numPr>
                <w:ilvl w:val="0"/>
                <w:numId w:val="8"/>
              </w:numPr>
              <w:spacing w:after="0" w:line="240" w:lineRule="auto"/>
              <w:ind w:left="81" w:firstLine="284"/>
              <w:contextualSpacing/>
              <w:jc w:val="both"/>
              <w:rPr>
                <w:rFonts w:ascii="Times New Roman" w:eastAsia="Times New Roman" w:hAnsi="Times New Roman"/>
                <w:b/>
                <w:bCs/>
                <w:i/>
                <w:sz w:val="24"/>
                <w:szCs w:val="24"/>
                <w:u w:val="single"/>
              </w:rPr>
            </w:pPr>
            <w:r w:rsidRPr="00865185">
              <w:rPr>
                <w:rFonts w:ascii="Times New Roman" w:eastAsia="Times New Roman" w:hAnsi="Times New Roman"/>
                <w:b/>
                <w:bCs/>
                <w:i/>
                <w:sz w:val="24"/>
                <w:szCs w:val="24"/>
                <w:u w:val="single"/>
              </w:rPr>
              <w:t>Noteikt, kuru MK noteikumos Nr. 1065 noteikto nozaru ierobežojumi nav attiecināmi uz energoefektivitātes paaugstināšanas, atjaunojamo energoresursu veicināšanas un oglekļa dioksīda emisijas samazināšanas pasākumu īstenošanu.</w:t>
            </w:r>
          </w:p>
          <w:p w:rsidR="00865185" w:rsidRPr="00865185" w:rsidRDefault="00865185" w:rsidP="00865185">
            <w:pPr>
              <w:spacing w:after="0" w:line="240" w:lineRule="auto"/>
              <w:ind w:left="81"/>
              <w:jc w:val="both"/>
              <w:rPr>
                <w:rFonts w:ascii="Times New Roman" w:eastAsia="Times New Roman" w:hAnsi="Times New Roman"/>
                <w:bCs/>
                <w:sz w:val="24"/>
                <w:szCs w:val="24"/>
              </w:rPr>
            </w:pPr>
            <w:r w:rsidRPr="00865185">
              <w:rPr>
                <w:rFonts w:ascii="Times New Roman" w:eastAsia="Times New Roman" w:hAnsi="Times New Roman"/>
                <w:bCs/>
                <w:sz w:val="24"/>
                <w:szCs w:val="24"/>
              </w:rPr>
              <w:t>Ņemot vērā paplašināto MK noteikumu Nr. 1065 mērķi, Noteikumu projektā ir noteikts, ka uz energoefektivitātes paaugstināšanas, atjaunojamo energoresursu veicināšanas un oglekļa dioksīda emisijas samazināšanas pasākumu īstenošanu nav attiecināmi šo nozaru ierobežojumi:</w:t>
            </w:r>
          </w:p>
          <w:p w:rsidR="00865185" w:rsidRPr="00865185" w:rsidRDefault="00865185" w:rsidP="00865185">
            <w:pPr>
              <w:numPr>
                <w:ilvl w:val="0"/>
                <w:numId w:val="6"/>
              </w:numPr>
              <w:spacing w:after="0" w:line="240" w:lineRule="auto"/>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finanšu un apdrošināšanas darbības;</w:t>
            </w:r>
          </w:p>
          <w:p w:rsidR="00865185" w:rsidRPr="00865185" w:rsidRDefault="00865185" w:rsidP="00865185">
            <w:pPr>
              <w:numPr>
                <w:ilvl w:val="0"/>
                <w:numId w:val="6"/>
              </w:numPr>
              <w:spacing w:after="0" w:line="240" w:lineRule="auto"/>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operācijas ar nekustamo īpašumu;</w:t>
            </w:r>
          </w:p>
          <w:p w:rsidR="00865185" w:rsidRPr="00865185" w:rsidRDefault="00865185" w:rsidP="00865185">
            <w:pPr>
              <w:numPr>
                <w:ilvl w:val="0"/>
                <w:numId w:val="6"/>
              </w:numPr>
              <w:spacing w:after="0" w:line="240" w:lineRule="auto"/>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vairumtirdzniecība un mazumtirdzniecība;</w:t>
            </w:r>
          </w:p>
          <w:p w:rsidR="00865185" w:rsidRPr="00865185" w:rsidRDefault="00865185" w:rsidP="00865185">
            <w:pPr>
              <w:numPr>
                <w:ilvl w:val="0"/>
                <w:numId w:val="6"/>
              </w:numPr>
              <w:spacing w:after="0" w:line="240" w:lineRule="auto"/>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transportlīdzekļu, mašīnu un iekārtu, individuālās lietošanas priekšmetu, sadzīves aparatūras un iekārtu iznomāšana;</w:t>
            </w:r>
          </w:p>
          <w:p w:rsidR="00865185" w:rsidRPr="00865185" w:rsidRDefault="00865185" w:rsidP="00865185">
            <w:pPr>
              <w:numPr>
                <w:ilvl w:val="0"/>
                <w:numId w:val="6"/>
              </w:numPr>
              <w:spacing w:after="0" w:line="240" w:lineRule="auto"/>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elektroenerģija un siltumapgāde.</w:t>
            </w:r>
          </w:p>
          <w:p w:rsidR="00865185" w:rsidRPr="00865185" w:rsidRDefault="00865185" w:rsidP="00865185">
            <w:pPr>
              <w:spacing w:after="0" w:line="240" w:lineRule="auto"/>
              <w:ind w:left="927"/>
              <w:contextualSpacing/>
              <w:jc w:val="both"/>
              <w:rPr>
                <w:rFonts w:ascii="Times New Roman" w:eastAsia="Times New Roman" w:hAnsi="Times New Roman"/>
                <w:bCs/>
                <w:sz w:val="24"/>
                <w:szCs w:val="24"/>
              </w:rPr>
            </w:pPr>
          </w:p>
          <w:p w:rsidR="00865185" w:rsidRPr="00865185" w:rsidRDefault="00865185" w:rsidP="00865185">
            <w:pPr>
              <w:numPr>
                <w:ilvl w:val="0"/>
                <w:numId w:val="8"/>
              </w:numPr>
              <w:spacing w:after="0" w:line="240" w:lineRule="auto"/>
              <w:ind w:left="81" w:firstLine="284"/>
              <w:contextualSpacing/>
              <w:jc w:val="both"/>
              <w:rPr>
                <w:rFonts w:ascii="Times New Roman" w:eastAsia="Times New Roman" w:hAnsi="Times New Roman"/>
                <w:b/>
                <w:bCs/>
                <w:i/>
                <w:sz w:val="24"/>
                <w:szCs w:val="24"/>
                <w:u w:val="single"/>
              </w:rPr>
            </w:pPr>
            <w:r w:rsidRPr="00865185">
              <w:rPr>
                <w:rFonts w:ascii="Times New Roman" w:eastAsia="Times New Roman" w:hAnsi="Times New Roman"/>
                <w:b/>
                <w:bCs/>
                <w:i/>
                <w:sz w:val="24"/>
                <w:szCs w:val="24"/>
                <w:u w:val="single"/>
              </w:rPr>
              <w:t>Noteikt nosacījumus aizdevumu piešķiršanai  energoefektivitātes paaugstināšanas, atjaunojamo energoresursu veicināšanas un oglekļa dioksīda emisiju samazināšanas pasākumu īstenošanai.</w:t>
            </w:r>
          </w:p>
          <w:p w:rsidR="00865185" w:rsidRPr="00865185" w:rsidRDefault="00865185" w:rsidP="00865185">
            <w:pPr>
              <w:spacing w:after="0" w:line="240" w:lineRule="auto"/>
              <w:ind w:left="81" w:firstLine="284"/>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Sabiedrība "Altum" pieņems lēmumu par aizdevuma piešķiršanu, pamatojoties uz saimnieciskās darbības veicēja iesniegto biznesa plānu, kas satur īstenojamā biznesa projekta aprakstu, produktu aprakstu, plānoto saimnieciskās darbības veicēja naudas plūsmu un citu sabiedrības "Altum" norādīto informāciju. Energoefektivitātes paaugstināšanas pasākumu īstenošanai sabiedrībā "Altum" papildus būs jāiesniedz aprēķini, kas pamato, ka aizdevuma atmaksa tiks veikta no energoefektivitātes pakalpojuma sniedzēju klientu maksājumiem, kas tiek veikti no ietaupītājiem līdzekļiem, īstenojot energoefektivitātes paaugstināšanas projektu.</w:t>
            </w:r>
          </w:p>
          <w:p w:rsidR="00865185" w:rsidRPr="00865185" w:rsidRDefault="00865185" w:rsidP="00865185">
            <w:pPr>
              <w:spacing w:after="0" w:line="240" w:lineRule="auto"/>
              <w:ind w:left="81" w:firstLine="284"/>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Sabiedrības “Altum” aizdevumiem tiks izvirzīti šādi nosacījumi:</w:t>
            </w:r>
          </w:p>
          <w:p w:rsidR="00865185" w:rsidRPr="00865185" w:rsidRDefault="00865185" w:rsidP="00865185">
            <w:pPr>
              <w:numPr>
                <w:ilvl w:val="0"/>
                <w:numId w:val="7"/>
              </w:numPr>
              <w:spacing w:after="0" w:line="240" w:lineRule="auto"/>
              <w:ind w:hanging="501"/>
              <w:contextualSpacing/>
              <w:jc w:val="both"/>
              <w:rPr>
                <w:rFonts w:ascii="Times New Roman" w:eastAsia="Times New Roman" w:hAnsi="Times New Roman"/>
                <w:bCs/>
                <w:sz w:val="24"/>
                <w:szCs w:val="24"/>
              </w:rPr>
            </w:pPr>
            <w:r>
              <w:rPr>
                <w:rFonts w:ascii="Times New Roman" w:eastAsia="Times New Roman" w:hAnsi="Times New Roman"/>
                <w:bCs/>
                <w:sz w:val="24"/>
                <w:szCs w:val="24"/>
              </w:rPr>
              <w:t>aizdevuma apmērs: līdz 2,</w:t>
            </w:r>
            <w:r w:rsidRPr="00865185">
              <w:rPr>
                <w:rFonts w:ascii="Times New Roman" w:eastAsia="Times New Roman" w:hAnsi="Times New Roman"/>
                <w:bCs/>
                <w:sz w:val="24"/>
                <w:szCs w:val="24"/>
              </w:rPr>
              <w:t>85 miljoniem EUR uz komersantu;</w:t>
            </w:r>
          </w:p>
          <w:p w:rsidR="00865185" w:rsidRPr="00865185" w:rsidRDefault="00865185" w:rsidP="00865185">
            <w:pPr>
              <w:numPr>
                <w:ilvl w:val="0"/>
                <w:numId w:val="7"/>
              </w:numPr>
              <w:spacing w:after="0" w:line="240" w:lineRule="auto"/>
              <w:ind w:hanging="501"/>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minimālais līdzfinansējums 10% apmērā;</w:t>
            </w:r>
          </w:p>
          <w:p w:rsidR="00865185" w:rsidRPr="00865185" w:rsidRDefault="00865185" w:rsidP="00865185">
            <w:pPr>
              <w:numPr>
                <w:ilvl w:val="0"/>
                <w:numId w:val="7"/>
              </w:numPr>
              <w:spacing w:after="0" w:line="240" w:lineRule="auto"/>
              <w:ind w:hanging="501"/>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 xml:space="preserve">aizdevuma procentu likme: no EURIBOR + 3% </w:t>
            </w:r>
          </w:p>
          <w:p w:rsidR="00865185" w:rsidRPr="00865185" w:rsidRDefault="00865185" w:rsidP="00865185">
            <w:pPr>
              <w:numPr>
                <w:ilvl w:val="0"/>
                <w:numId w:val="7"/>
              </w:numPr>
              <w:spacing w:after="0" w:line="240" w:lineRule="auto"/>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aizdevuma termiņš līdz 15 gadiem ar iespēju atmaksas termiņu pagarināt līdz pieciem gadiem, ja saņemta pamatota informācija.;</w:t>
            </w:r>
          </w:p>
          <w:p w:rsidR="00865185" w:rsidRPr="00865185" w:rsidRDefault="00865185" w:rsidP="00865185">
            <w:pPr>
              <w:numPr>
                <w:ilvl w:val="0"/>
                <w:numId w:val="7"/>
              </w:numPr>
              <w:spacing w:after="0" w:line="240" w:lineRule="auto"/>
              <w:ind w:hanging="501"/>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aizdevuma izsniegšana atbilstoši ESKO klientu piesaistei.</w:t>
            </w:r>
          </w:p>
          <w:p w:rsidR="00865185" w:rsidRPr="00865185" w:rsidRDefault="00865185" w:rsidP="00865185">
            <w:pPr>
              <w:spacing w:after="0" w:line="240" w:lineRule="auto"/>
              <w:ind w:firstLine="567"/>
              <w:jc w:val="both"/>
              <w:rPr>
                <w:rFonts w:ascii="Times New Roman" w:eastAsia="Times New Roman" w:hAnsi="Times New Roman"/>
                <w:bCs/>
                <w:sz w:val="24"/>
                <w:szCs w:val="24"/>
              </w:rPr>
            </w:pPr>
          </w:p>
          <w:p w:rsidR="00865185" w:rsidRPr="005B7C64" w:rsidRDefault="00865185" w:rsidP="00865185">
            <w:pPr>
              <w:spacing w:after="0" w:line="240" w:lineRule="auto"/>
              <w:ind w:left="82" w:firstLine="567"/>
              <w:jc w:val="both"/>
              <w:rPr>
                <w:rFonts w:ascii="Times New Roman" w:hAnsi="Times New Roman"/>
                <w:sz w:val="24"/>
                <w:szCs w:val="24"/>
              </w:rPr>
            </w:pPr>
            <w:r w:rsidRPr="00865185">
              <w:rPr>
                <w:rFonts w:ascii="Times New Roman" w:eastAsia="Times New Roman" w:hAnsi="Times New Roman"/>
                <w:bCs/>
                <w:sz w:val="24"/>
                <w:szCs w:val="24"/>
              </w:rPr>
              <w:t>Noteikuma projektam ir pozitīva ietekme uz sabiedrību “Altum”, jo tiek nodrošināta iespēja sniegt aizdevumus plašākam komersantu lokam, kam specifiskās darbības jomas dēļ nav pieejams privātajā sektorā.</w:t>
            </w:r>
            <w:r w:rsidR="002D22D1">
              <w:rPr>
                <w:rFonts w:ascii="Times New Roman" w:eastAsia="Times New Roman" w:hAnsi="Times New Roman"/>
                <w:bCs/>
                <w:sz w:val="24"/>
                <w:szCs w:val="24"/>
              </w:rPr>
              <w:t xml:space="preserve"> Būtiska pozitīva ietekme arī tiks sniegta energoservisa pakalpojumu sniedzējiem, kas ilgstoši saskārušies ar ierobežotu finansējuma pieejamību, kā arī motivēs komersantus īstenot energoefektivitātes paaugstināšanas pasākumus.</w:t>
            </w:r>
          </w:p>
        </w:tc>
      </w:tr>
      <w:tr w:rsidR="00865185" w:rsidRPr="00D859A3" w:rsidTr="00B570A8">
        <w:trPr>
          <w:trHeight w:val="360"/>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3. Projekta izstrādē iesaistītās institūcijas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ind w:firstLine="567"/>
              <w:jc w:val="both"/>
              <w:rPr>
                <w:rFonts w:ascii="Times New Roman" w:hAnsi="Times New Roman"/>
                <w:color w:val="000000"/>
                <w:sz w:val="24"/>
                <w:szCs w:val="24"/>
              </w:rPr>
            </w:pPr>
            <w:r w:rsidRPr="00D859A3">
              <w:rPr>
                <w:rFonts w:ascii="Times New Roman" w:hAnsi="Times New Roman"/>
                <w:color w:val="000000"/>
                <w:sz w:val="24"/>
                <w:szCs w:val="24"/>
              </w:rPr>
              <w:t>Nav</w:t>
            </w:r>
          </w:p>
        </w:tc>
      </w:tr>
      <w:tr w:rsidR="00865185" w:rsidRPr="00D859A3" w:rsidTr="00B570A8">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4. Cita informācija</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ind w:firstLine="567"/>
              <w:jc w:val="both"/>
              <w:rPr>
                <w:rFonts w:ascii="Times New Roman" w:hAnsi="Times New Roman"/>
                <w:sz w:val="24"/>
                <w:szCs w:val="24"/>
              </w:rPr>
            </w:pPr>
            <w:r w:rsidRPr="00D859A3">
              <w:rPr>
                <w:rFonts w:ascii="Times New Roman" w:hAnsi="Times New Roman"/>
                <w:sz w:val="24"/>
                <w:szCs w:val="24"/>
              </w:rPr>
              <w:t>Nav</w:t>
            </w:r>
          </w:p>
        </w:tc>
      </w:tr>
    </w:tbl>
    <w:p w:rsidR="00865185" w:rsidRPr="00D859A3" w:rsidRDefault="00865185" w:rsidP="00865185">
      <w:pPr>
        <w:spacing w:after="0" w:line="240" w:lineRule="auto"/>
        <w:jc w:val="center"/>
        <w:rPr>
          <w:rFonts w:ascii="Times New Roman" w:eastAsia="Arial Unicode MS" w:hAnsi="Times New Roman"/>
          <w:b/>
          <w:sz w:val="24"/>
          <w:szCs w:val="24"/>
        </w:rPr>
      </w:pPr>
    </w:p>
    <w:tbl>
      <w:tblPr>
        <w:tblpPr w:leftFromText="180" w:rightFromText="180" w:bottomFromText="200" w:vertAnchor="text" w:horzAnchor="margin" w:tblpXSpec="center" w:tblpY="149"/>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3231"/>
        <w:gridCol w:w="6408"/>
      </w:tblGrid>
      <w:tr w:rsidR="00865185" w:rsidRPr="00D859A3" w:rsidTr="00B570A8">
        <w:tc>
          <w:tcPr>
            <w:tcW w:w="963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65185" w:rsidRPr="00D859A3" w:rsidRDefault="00865185" w:rsidP="00B570A8">
            <w:pPr>
              <w:spacing w:after="0" w:line="240" w:lineRule="auto"/>
              <w:jc w:val="center"/>
              <w:rPr>
                <w:rFonts w:ascii="Times New Roman" w:eastAsia="Times New Roman" w:hAnsi="Times New Roman"/>
                <w:b/>
                <w:bCs/>
                <w:sz w:val="24"/>
                <w:szCs w:val="24"/>
                <w:lang w:eastAsia="lv-LV"/>
              </w:rPr>
            </w:pPr>
            <w:r w:rsidRPr="00D859A3">
              <w:rPr>
                <w:rFonts w:ascii="Times New Roman" w:eastAsia="Times New Roman" w:hAnsi="Times New Roman"/>
                <w:b/>
                <w:bCs/>
                <w:sz w:val="24"/>
                <w:szCs w:val="24"/>
                <w:lang w:eastAsia="lv-LV"/>
              </w:rPr>
              <w:t>II. Tiesību akta projekta ietekme uz sabiedrību, tautsaimniecības attīstību un administratīvo slogu</w:t>
            </w:r>
          </w:p>
        </w:tc>
      </w:tr>
      <w:tr w:rsidR="00865185" w:rsidRPr="00D859A3" w:rsidTr="00B570A8">
        <w:trPr>
          <w:trHeight w:val="46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Sabiedrības mērķgrupas, kuras tiesiskais regulējums ietekmē vai varētu ietekmēt</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before="75" w:after="75" w:line="240" w:lineRule="auto"/>
              <w:ind w:firstLine="45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D</w:t>
            </w:r>
            <w:r w:rsidRPr="00D859A3">
              <w:rPr>
                <w:rFonts w:ascii="Times New Roman" w:eastAsia="Times New Roman" w:hAnsi="Times New Roman"/>
                <w:iCs/>
                <w:sz w:val="24"/>
                <w:szCs w:val="24"/>
                <w:lang w:eastAsia="lv-LV"/>
              </w:rPr>
              <w:t>audzdzīvokļu dzīvojamo māju dzīvokļu īpašnieki, īpaši pašvaldības, dzīvokļu īpašnieku pilnvarotās personas</w:t>
            </w:r>
            <w:r>
              <w:rPr>
                <w:rFonts w:ascii="Times New Roman" w:eastAsia="Times New Roman" w:hAnsi="Times New Roman"/>
                <w:iCs/>
                <w:sz w:val="24"/>
                <w:szCs w:val="24"/>
                <w:lang w:eastAsia="lv-LV"/>
              </w:rPr>
              <w:t>, ESKO kompānijas, pārvaldnieki.</w:t>
            </w:r>
          </w:p>
        </w:tc>
      </w:tr>
      <w:tr w:rsidR="00865185" w:rsidRPr="00D859A3" w:rsidTr="00B570A8">
        <w:trPr>
          <w:trHeight w:val="523"/>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Tiesiskā regulējuma ietekme uz tautsaimniecību un administratīvo slogu</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Noteikumu projekts neparedz ietekmi uz administratīvo slogu.</w:t>
            </w:r>
          </w:p>
          <w:p w:rsidR="00865185" w:rsidRPr="00D859A3" w:rsidRDefault="00865185" w:rsidP="00B570A8">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Noteikumu projekta īstenošanu nodrošinās sabiedrība “Altum”.</w:t>
            </w:r>
          </w:p>
          <w:p w:rsidR="00865185" w:rsidRPr="00D859A3" w:rsidRDefault="00865185" w:rsidP="00B570A8">
            <w:pPr>
              <w:spacing w:after="0" w:line="240" w:lineRule="auto"/>
              <w:ind w:firstLine="450"/>
              <w:jc w:val="both"/>
              <w:rPr>
                <w:rFonts w:ascii="Times New Roman" w:eastAsia="Times New Roman" w:hAnsi="Times New Roman"/>
                <w:sz w:val="24"/>
                <w:szCs w:val="24"/>
                <w:lang w:eastAsia="lv-LV"/>
              </w:rPr>
            </w:pPr>
            <w:r w:rsidRPr="00D859A3">
              <w:rPr>
                <w:rFonts w:ascii="Times New Roman" w:eastAsia="Times New Roman" w:hAnsi="Times New Roman"/>
                <w:iCs/>
                <w:sz w:val="24"/>
                <w:szCs w:val="24"/>
                <w:lang w:eastAsia="lv-LV"/>
              </w:rPr>
              <w:t>Noteikumu projekts paredz pozitīvu ietek</w:t>
            </w:r>
            <w:r>
              <w:rPr>
                <w:rFonts w:ascii="Times New Roman" w:eastAsia="Times New Roman" w:hAnsi="Times New Roman"/>
                <w:iCs/>
                <w:sz w:val="24"/>
                <w:szCs w:val="24"/>
                <w:lang w:eastAsia="lv-LV"/>
              </w:rPr>
              <w:t xml:space="preserve">mi uz tautsaimniecību, jo  </w:t>
            </w:r>
            <w:r w:rsidRPr="00D859A3">
              <w:rPr>
                <w:rFonts w:ascii="Times New Roman" w:eastAsia="Times New Roman" w:hAnsi="Times New Roman"/>
                <w:iCs/>
                <w:sz w:val="24"/>
                <w:szCs w:val="24"/>
                <w:lang w:eastAsia="lv-LV"/>
              </w:rPr>
              <w:t xml:space="preserve">nodrošina, ka </w:t>
            </w:r>
            <w:r>
              <w:rPr>
                <w:rFonts w:ascii="Times New Roman" w:eastAsia="Times New Roman" w:hAnsi="Times New Roman"/>
                <w:iCs/>
                <w:sz w:val="24"/>
                <w:szCs w:val="24"/>
                <w:lang w:eastAsia="lv-LV"/>
              </w:rPr>
              <w:t xml:space="preserve">atbalsta pieejamību ESKO kompānijām un komersantiem, kuri vēlas īstenot energoefektivitātes paaugstināšanas pasākumus. </w:t>
            </w:r>
          </w:p>
        </w:tc>
      </w:tr>
      <w:tr w:rsidR="00865185" w:rsidRPr="00D859A3" w:rsidTr="00B570A8">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Administratīvo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ind w:firstLine="450"/>
              <w:jc w:val="both"/>
              <w:rPr>
                <w:rFonts w:ascii="Times New Roman" w:eastAsia="Times New Roman" w:hAnsi="Times New Roman"/>
                <w:sz w:val="24"/>
                <w:szCs w:val="24"/>
                <w:lang w:eastAsia="lv-LV"/>
              </w:rPr>
            </w:pPr>
            <w:r w:rsidRPr="00D859A3">
              <w:rPr>
                <w:rFonts w:ascii="Times New Roman" w:eastAsia="Times New Roman" w:hAnsi="Times New Roman"/>
                <w:color w:val="000000"/>
                <w:sz w:val="24"/>
                <w:szCs w:val="24"/>
                <w:lang w:eastAsia="lv-LV"/>
              </w:rPr>
              <w:t>Eiropas Savienības fondu administrēšanas izmaksas plānots segt no Eiropas Savienības struktūrfondu un Kohēzijas fonda 2014.-2020.gada plānošanas perioda finansējuma vai atmaksātā finansējuma atbilstoši</w:t>
            </w:r>
            <w:r>
              <w:t xml:space="preserve"> </w:t>
            </w:r>
            <w:r w:rsidRPr="00F86F96">
              <w:rPr>
                <w:rFonts w:ascii="Times New Roman" w:eastAsia="Times New Roman" w:hAnsi="Times New Roman"/>
                <w:color w:val="000000"/>
                <w:sz w:val="24"/>
                <w:szCs w:val="24"/>
                <w:lang w:eastAsia="lv-LV"/>
              </w:rPr>
              <w:t>Komisijas regula</w:t>
            </w:r>
            <w:r>
              <w:rPr>
                <w:rFonts w:ascii="Times New Roman" w:eastAsia="Times New Roman" w:hAnsi="Times New Roman"/>
                <w:color w:val="000000"/>
                <w:sz w:val="24"/>
                <w:szCs w:val="24"/>
                <w:lang w:eastAsia="lv-LV"/>
              </w:rPr>
              <w:t>s</w:t>
            </w:r>
            <w:r w:rsidRPr="00F86F96">
              <w:rPr>
                <w:rFonts w:ascii="Times New Roman" w:eastAsia="Times New Roman" w:hAnsi="Times New Roman"/>
                <w:color w:val="000000"/>
                <w:sz w:val="24"/>
                <w:szCs w:val="24"/>
                <w:lang w:eastAsia="lv-LV"/>
              </w:rPr>
              <w:t xml:space="preserve"> Nr.1303/2013</w:t>
            </w:r>
            <w:r w:rsidRPr="00D859A3">
              <w:rPr>
                <w:rFonts w:ascii="Times New Roman" w:eastAsia="Times New Roman" w:hAnsi="Times New Roman"/>
                <w:color w:val="000000"/>
                <w:sz w:val="24"/>
                <w:szCs w:val="24"/>
                <w:lang w:eastAsia="lv-LV"/>
              </w:rPr>
              <w:t xml:space="preserve"> 44.</w:t>
            </w:r>
            <w:r>
              <w:rPr>
                <w:rFonts w:ascii="Times New Roman" w:eastAsia="Times New Roman" w:hAnsi="Times New Roman"/>
                <w:color w:val="000000"/>
                <w:sz w:val="24"/>
                <w:szCs w:val="24"/>
                <w:lang w:eastAsia="lv-LV"/>
              </w:rPr>
              <w:t> </w:t>
            </w:r>
            <w:r w:rsidRPr="00D859A3">
              <w:rPr>
                <w:rFonts w:ascii="Times New Roman" w:eastAsia="Times New Roman" w:hAnsi="Times New Roman"/>
                <w:color w:val="000000"/>
                <w:sz w:val="24"/>
                <w:szCs w:val="24"/>
                <w:lang w:eastAsia="lv-LV"/>
              </w:rPr>
              <w:t xml:space="preserve">pantam, sabiedrībai “Altum”, sedzot vadības izmaksas saskaņā ar </w:t>
            </w:r>
            <w:r w:rsidRPr="00D859A3">
              <w:rPr>
                <w:sz w:val="24"/>
                <w:szCs w:val="24"/>
              </w:rPr>
              <w:t xml:space="preserve"> </w:t>
            </w:r>
            <w:r w:rsidRPr="00F86F96">
              <w:rPr>
                <w:rFonts w:ascii="Times New Roman" w:eastAsia="Times New Roman" w:hAnsi="Times New Roman"/>
                <w:color w:val="000000"/>
                <w:sz w:val="24"/>
                <w:szCs w:val="24"/>
                <w:lang w:eastAsia="lv-LV"/>
              </w:rPr>
              <w:t>Komisijas 2014. gada 3. m</w:t>
            </w:r>
            <w:r>
              <w:rPr>
                <w:rFonts w:ascii="Times New Roman" w:eastAsia="Times New Roman" w:hAnsi="Times New Roman"/>
                <w:color w:val="000000"/>
                <w:sz w:val="24"/>
                <w:szCs w:val="24"/>
                <w:lang w:eastAsia="lv-LV"/>
              </w:rPr>
              <w:t>arta Deleģētās regulas (ES) Nr. </w:t>
            </w:r>
            <w:r w:rsidRPr="00F86F96">
              <w:rPr>
                <w:rFonts w:ascii="Times New Roman" w:eastAsia="Times New Roman" w:hAnsi="Times New Roman"/>
                <w:color w:val="000000"/>
                <w:sz w:val="24"/>
                <w:szCs w:val="24"/>
                <w:lang w:eastAsia="lv-LV"/>
              </w:rPr>
              <w:t xml:space="preserve">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r w:rsidRPr="00D859A3">
              <w:rPr>
                <w:rFonts w:ascii="Times New Roman" w:eastAsia="Times New Roman" w:hAnsi="Times New Roman"/>
                <w:color w:val="000000"/>
                <w:sz w:val="24"/>
                <w:szCs w:val="24"/>
                <w:lang w:eastAsia="lv-LV"/>
              </w:rPr>
              <w:t>13.</w:t>
            </w:r>
            <w:r>
              <w:rPr>
                <w:rFonts w:ascii="Times New Roman" w:eastAsia="Times New Roman" w:hAnsi="Times New Roman"/>
                <w:color w:val="000000"/>
                <w:sz w:val="24"/>
                <w:szCs w:val="24"/>
                <w:lang w:eastAsia="lv-LV"/>
              </w:rPr>
              <w:t> </w:t>
            </w:r>
            <w:r w:rsidRPr="00D859A3">
              <w:rPr>
                <w:rFonts w:ascii="Times New Roman" w:eastAsia="Times New Roman" w:hAnsi="Times New Roman"/>
                <w:color w:val="000000"/>
                <w:sz w:val="24"/>
                <w:szCs w:val="24"/>
                <w:lang w:eastAsia="lv-LV"/>
              </w:rPr>
              <w:t>pantā noteikto.</w:t>
            </w:r>
          </w:p>
        </w:tc>
      </w:tr>
      <w:tr w:rsidR="00865185" w:rsidRPr="00D859A3" w:rsidTr="00B570A8">
        <w:trPr>
          <w:trHeight w:val="390"/>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Cita informācija</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color w:val="000000"/>
                <w:sz w:val="24"/>
                <w:szCs w:val="24"/>
                <w:lang w:eastAsia="lv-LV"/>
              </w:rPr>
              <w:t>Nav</w:t>
            </w:r>
          </w:p>
        </w:tc>
      </w:tr>
    </w:tbl>
    <w:tbl>
      <w:tblPr>
        <w:tblW w:w="5814"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4"/>
        <w:gridCol w:w="2787"/>
        <w:gridCol w:w="6149"/>
      </w:tblGrid>
      <w:tr w:rsidR="00865185" w:rsidRPr="00EE5C24" w:rsidTr="00B570A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5185" w:rsidRPr="00EE5C24" w:rsidRDefault="00865185" w:rsidP="00B570A8">
            <w:pPr>
              <w:spacing w:before="100" w:beforeAutospacing="1" w:after="100" w:afterAutospacing="1" w:line="240" w:lineRule="auto"/>
              <w:jc w:val="center"/>
              <w:rPr>
                <w:rFonts w:ascii="Times New Roman" w:eastAsia="Times New Roman" w:hAnsi="Times New Roman"/>
                <w:b/>
                <w:bCs/>
                <w:sz w:val="24"/>
                <w:szCs w:val="24"/>
                <w:lang w:eastAsia="lv-LV"/>
              </w:rPr>
            </w:pPr>
            <w:r w:rsidRPr="00EE5C24">
              <w:rPr>
                <w:rFonts w:ascii="Times New Roman" w:eastAsia="Times New Roman" w:hAnsi="Times New Roman"/>
                <w:b/>
                <w:bCs/>
                <w:sz w:val="24"/>
                <w:szCs w:val="24"/>
                <w:lang w:eastAsia="lv-LV"/>
              </w:rPr>
              <w:t>V. Tiesību akta projekta atbilstība Latvijas Republikas starptautiskajām saistībām</w:t>
            </w:r>
          </w:p>
        </w:tc>
      </w:tr>
      <w:tr w:rsidR="00865185" w:rsidRPr="00EE5C24" w:rsidTr="00865185">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1.</w:t>
            </w:r>
          </w:p>
        </w:tc>
        <w:tc>
          <w:tcPr>
            <w:tcW w:w="1439"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Saistības pret Eiropas Savienību</w:t>
            </w:r>
          </w:p>
        </w:tc>
        <w:tc>
          <w:tcPr>
            <w:tcW w:w="3154"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Ar N</w:t>
            </w:r>
            <w:r w:rsidRPr="00865185">
              <w:rPr>
                <w:rFonts w:ascii="Times New Roman" w:eastAsia="Times New Roman" w:hAnsi="Times New Roman"/>
                <w:sz w:val="24"/>
                <w:szCs w:val="24"/>
                <w:lang w:eastAsia="lv-LV"/>
              </w:rPr>
              <w:t xml:space="preserve">oteikumu projektu tiks ieviestas prasības no Komisijas 2013. gada 18. decembra Regulas (ES) Nr. 1407/2013 par Līguma par Eiropas Savienības darbību 107. un 108. panta piemērošanu </w:t>
            </w:r>
            <w:r w:rsidRPr="00865185">
              <w:rPr>
                <w:rFonts w:ascii="Times New Roman" w:eastAsia="Times New Roman" w:hAnsi="Times New Roman"/>
                <w:i/>
                <w:sz w:val="24"/>
                <w:szCs w:val="24"/>
                <w:lang w:eastAsia="lv-LV"/>
              </w:rPr>
              <w:t>de minimis</w:t>
            </w:r>
            <w:r w:rsidRPr="00865185">
              <w:rPr>
                <w:rFonts w:ascii="Times New Roman" w:eastAsia="Times New Roman" w:hAnsi="Times New Roman"/>
                <w:sz w:val="24"/>
                <w:szCs w:val="24"/>
                <w:lang w:eastAsia="lv-LV"/>
              </w:rPr>
              <w:t xml:space="preserve"> atbalstam (Eiropas Savienības Oficiālais Vēstnesis, 2013. gada 24. decembris, Nr. L 352) (turpmāk – Regula Nr. 1407/2013).</w:t>
            </w:r>
          </w:p>
        </w:tc>
      </w:tr>
      <w:tr w:rsidR="00865185" w:rsidRPr="00EE5C24" w:rsidTr="00865185">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2.</w:t>
            </w:r>
          </w:p>
        </w:tc>
        <w:tc>
          <w:tcPr>
            <w:tcW w:w="1439"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Citas starptautiskās saistības</w:t>
            </w:r>
          </w:p>
        </w:tc>
        <w:tc>
          <w:tcPr>
            <w:tcW w:w="3154" w:type="pct"/>
            <w:tcBorders>
              <w:top w:val="outset" w:sz="6" w:space="0" w:color="auto"/>
              <w:left w:val="outset" w:sz="6" w:space="0" w:color="auto"/>
              <w:bottom w:val="outset" w:sz="6" w:space="0" w:color="auto"/>
              <w:right w:val="outset" w:sz="6" w:space="0" w:color="auto"/>
            </w:tcBorders>
            <w:hideMark/>
          </w:tcPr>
          <w:p w:rsidR="00865185" w:rsidRPr="00865185" w:rsidRDefault="00865185" w:rsidP="00B570A8">
            <w:pPr>
              <w:spacing w:after="0" w:line="240" w:lineRule="auto"/>
              <w:rPr>
                <w:rFonts w:ascii="Times New Roman" w:eastAsia="Times New Roman" w:hAnsi="Times New Roman"/>
                <w:sz w:val="24"/>
                <w:szCs w:val="24"/>
                <w:lang w:eastAsia="lv-LV"/>
              </w:rPr>
            </w:pPr>
            <w:r w:rsidRPr="00865185">
              <w:rPr>
                <w:rFonts w:ascii="Times New Roman" w:eastAsia="Times New Roman" w:hAnsi="Times New Roman"/>
                <w:sz w:val="24"/>
                <w:szCs w:val="24"/>
                <w:lang w:eastAsia="lv-LV"/>
              </w:rPr>
              <w:t>Noteikumu projekts šo jomu neskar.</w:t>
            </w:r>
          </w:p>
        </w:tc>
      </w:tr>
      <w:tr w:rsidR="00865185" w:rsidRPr="00EE5C24" w:rsidTr="00865185">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3.</w:t>
            </w:r>
          </w:p>
        </w:tc>
        <w:tc>
          <w:tcPr>
            <w:tcW w:w="1439"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Nav</w:t>
            </w:r>
          </w:p>
        </w:tc>
      </w:tr>
    </w:tbl>
    <w:p w:rsidR="00865185" w:rsidRPr="00EE5C24" w:rsidRDefault="00865185" w:rsidP="00865185">
      <w:pPr>
        <w:spacing w:before="100" w:beforeAutospacing="1" w:after="0" w:line="240" w:lineRule="auto"/>
        <w:rPr>
          <w:rFonts w:ascii="Times New Roman" w:eastAsia="Times New Roman" w:hAnsi="Times New Roman"/>
          <w:sz w:val="24"/>
          <w:szCs w:val="24"/>
          <w:lang w:eastAsia="lv-LV"/>
        </w:rPr>
      </w:pPr>
    </w:p>
    <w:tbl>
      <w:tblPr>
        <w:tblW w:w="572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4"/>
        <w:gridCol w:w="1851"/>
        <w:gridCol w:w="1431"/>
        <w:gridCol w:w="4194"/>
      </w:tblGrid>
      <w:tr w:rsidR="00865185" w:rsidRPr="00EE5C24" w:rsidTr="00B570A8">
        <w:trPr>
          <w:tblCellSpacing w:w="15" w:type="dxa"/>
          <w:jc w:val="center"/>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rsidR="00865185" w:rsidRPr="00EE5C24" w:rsidRDefault="00865185" w:rsidP="00B570A8">
            <w:pPr>
              <w:spacing w:before="100" w:beforeAutospacing="1" w:after="100" w:afterAutospacing="1" w:line="240" w:lineRule="auto"/>
              <w:jc w:val="center"/>
              <w:rPr>
                <w:rFonts w:ascii="Times New Roman" w:eastAsia="Times New Roman" w:hAnsi="Times New Roman"/>
                <w:b/>
                <w:bCs/>
                <w:sz w:val="24"/>
                <w:szCs w:val="24"/>
                <w:lang w:eastAsia="lv-LV"/>
              </w:rPr>
            </w:pPr>
            <w:r w:rsidRPr="00EE5C24">
              <w:rPr>
                <w:rFonts w:ascii="Times New Roman" w:eastAsia="Times New Roman" w:hAnsi="Times New Roman"/>
                <w:b/>
                <w:bCs/>
                <w:sz w:val="24"/>
                <w:szCs w:val="24"/>
                <w:lang w:eastAsia="lv-LV"/>
              </w:rPr>
              <w:t>1.tabula</w:t>
            </w:r>
            <w:r w:rsidRPr="00EE5C24">
              <w:rPr>
                <w:rFonts w:ascii="Times New Roman" w:eastAsia="Times New Roman" w:hAnsi="Times New Roman"/>
                <w:b/>
                <w:bCs/>
                <w:sz w:val="24"/>
                <w:szCs w:val="24"/>
                <w:lang w:eastAsia="lv-LV"/>
              </w:rPr>
              <w:br/>
              <w:t>Tiesību akta projekta atbilstība ES tiesību aktiem</w:t>
            </w:r>
          </w:p>
        </w:tc>
      </w:tr>
      <w:tr w:rsidR="00865185" w:rsidRPr="00EE5C24" w:rsidTr="00865185">
        <w:trPr>
          <w:tblCellSpacing w:w="15" w:type="dxa"/>
          <w:jc w:val="center"/>
        </w:trPr>
        <w:tc>
          <w:tcPr>
            <w:tcW w:w="1047"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Attiecīgā ES tiesību akta datums, numurs un nosaukums</w:t>
            </w:r>
          </w:p>
        </w:tc>
        <w:tc>
          <w:tcPr>
            <w:tcW w:w="3905" w:type="pct"/>
            <w:gridSpan w:val="3"/>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jc w:val="both"/>
              <w:rPr>
                <w:rFonts w:ascii="Times New Roman" w:eastAsia="Times New Roman" w:hAnsi="Times New Roman"/>
                <w:sz w:val="24"/>
                <w:szCs w:val="24"/>
                <w:lang w:eastAsia="lv-LV"/>
              </w:rPr>
            </w:pPr>
            <w:r w:rsidRPr="00865185">
              <w:rPr>
                <w:rFonts w:ascii="Times New Roman" w:eastAsia="Times New Roman" w:hAnsi="Times New Roman"/>
                <w:sz w:val="24"/>
                <w:szCs w:val="24"/>
                <w:lang w:eastAsia="lv-LV"/>
              </w:rPr>
              <w:t xml:space="preserve">Ar </w:t>
            </w:r>
            <w:r w:rsidR="00B259AE">
              <w:rPr>
                <w:rFonts w:ascii="Times New Roman" w:eastAsia="Times New Roman" w:hAnsi="Times New Roman"/>
                <w:sz w:val="24"/>
                <w:szCs w:val="24"/>
                <w:lang w:eastAsia="lv-LV"/>
              </w:rPr>
              <w:t>noteikumu projektu</w:t>
            </w:r>
            <w:r w:rsidRPr="00865185">
              <w:rPr>
                <w:rFonts w:ascii="Times New Roman" w:eastAsia="Times New Roman" w:hAnsi="Times New Roman"/>
                <w:sz w:val="24"/>
                <w:szCs w:val="24"/>
                <w:lang w:eastAsia="lv-LV"/>
              </w:rPr>
              <w:t xml:space="preserve"> tiek ieviestas Regulas Nr. 1047/2013 prasības.</w:t>
            </w:r>
          </w:p>
        </w:tc>
      </w:tr>
      <w:tr w:rsidR="00865185" w:rsidRPr="00EE5C24" w:rsidTr="00865185">
        <w:trPr>
          <w:tblCellSpacing w:w="15" w:type="dxa"/>
          <w:jc w:val="center"/>
        </w:trPr>
        <w:tc>
          <w:tcPr>
            <w:tcW w:w="1047" w:type="pct"/>
            <w:tcBorders>
              <w:top w:val="outset" w:sz="6" w:space="0" w:color="auto"/>
              <w:left w:val="outset" w:sz="6" w:space="0" w:color="auto"/>
              <w:bottom w:val="outset" w:sz="6" w:space="0" w:color="auto"/>
              <w:right w:val="outset" w:sz="6" w:space="0" w:color="auto"/>
            </w:tcBorders>
            <w:vAlign w:val="center"/>
            <w:hideMark/>
          </w:tcPr>
          <w:p w:rsidR="00865185" w:rsidRPr="00EE5C24" w:rsidRDefault="00865185" w:rsidP="00B570A8">
            <w:pPr>
              <w:spacing w:before="100" w:beforeAutospacing="1" w:after="100" w:afterAutospacing="1" w:line="240" w:lineRule="auto"/>
              <w:jc w:val="center"/>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A</w:t>
            </w:r>
          </w:p>
        </w:tc>
        <w:tc>
          <w:tcPr>
            <w:tcW w:w="969" w:type="pct"/>
            <w:tcBorders>
              <w:top w:val="outset" w:sz="6" w:space="0" w:color="auto"/>
              <w:left w:val="outset" w:sz="6" w:space="0" w:color="auto"/>
              <w:bottom w:val="outset" w:sz="6" w:space="0" w:color="auto"/>
              <w:right w:val="outset" w:sz="6" w:space="0" w:color="auto"/>
            </w:tcBorders>
            <w:vAlign w:val="center"/>
            <w:hideMark/>
          </w:tcPr>
          <w:p w:rsidR="00865185" w:rsidRPr="00EE5C24" w:rsidRDefault="00865185" w:rsidP="00B570A8">
            <w:pPr>
              <w:spacing w:before="100" w:beforeAutospacing="1" w:after="100" w:afterAutospacing="1" w:line="240" w:lineRule="auto"/>
              <w:jc w:val="center"/>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B</w:t>
            </w:r>
          </w:p>
        </w:tc>
        <w:tc>
          <w:tcPr>
            <w:tcW w:w="745" w:type="pct"/>
            <w:tcBorders>
              <w:top w:val="outset" w:sz="6" w:space="0" w:color="auto"/>
              <w:left w:val="outset" w:sz="6" w:space="0" w:color="auto"/>
              <w:bottom w:val="outset" w:sz="6" w:space="0" w:color="auto"/>
              <w:right w:val="outset" w:sz="6" w:space="0" w:color="auto"/>
            </w:tcBorders>
            <w:vAlign w:val="center"/>
            <w:hideMark/>
          </w:tcPr>
          <w:p w:rsidR="00865185" w:rsidRPr="00EE5C24" w:rsidRDefault="00865185" w:rsidP="00B570A8">
            <w:pPr>
              <w:spacing w:before="100" w:beforeAutospacing="1" w:after="100" w:afterAutospacing="1" w:line="240" w:lineRule="auto"/>
              <w:jc w:val="center"/>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C</w:t>
            </w:r>
          </w:p>
        </w:tc>
        <w:tc>
          <w:tcPr>
            <w:tcW w:w="2159" w:type="pct"/>
            <w:tcBorders>
              <w:top w:val="outset" w:sz="6" w:space="0" w:color="auto"/>
              <w:left w:val="outset" w:sz="6" w:space="0" w:color="auto"/>
              <w:bottom w:val="outset" w:sz="6" w:space="0" w:color="auto"/>
              <w:right w:val="outset" w:sz="6" w:space="0" w:color="auto"/>
            </w:tcBorders>
            <w:vAlign w:val="center"/>
            <w:hideMark/>
          </w:tcPr>
          <w:p w:rsidR="00865185" w:rsidRPr="00EE5C24" w:rsidRDefault="00865185" w:rsidP="00B570A8">
            <w:pPr>
              <w:spacing w:before="100" w:beforeAutospacing="1" w:after="100" w:afterAutospacing="1" w:line="240" w:lineRule="auto"/>
              <w:jc w:val="center"/>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D</w:t>
            </w:r>
          </w:p>
        </w:tc>
      </w:tr>
      <w:tr w:rsidR="00865185" w:rsidRPr="00EE5C24" w:rsidTr="00865185">
        <w:trPr>
          <w:tblCellSpacing w:w="15" w:type="dxa"/>
          <w:jc w:val="center"/>
        </w:trPr>
        <w:tc>
          <w:tcPr>
            <w:tcW w:w="1047" w:type="pct"/>
            <w:tcBorders>
              <w:top w:val="outset" w:sz="6" w:space="0" w:color="auto"/>
              <w:left w:val="outset" w:sz="6" w:space="0" w:color="auto"/>
              <w:bottom w:val="outset" w:sz="6" w:space="0" w:color="auto"/>
              <w:right w:val="outset" w:sz="6" w:space="0" w:color="auto"/>
            </w:tcBorders>
            <w:vAlign w:val="center"/>
          </w:tcPr>
          <w:p w:rsidR="00865185" w:rsidRPr="00EE5C24" w:rsidRDefault="00865185" w:rsidP="00B570A8">
            <w:pPr>
              <w:spacing w:before="100" w:beforeAutospacing="1" w:after="100" w:afterAutospacing="1"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 xml:space="preserve">Attiecīgā ES tiesību akta panta numurs (uzskaitot katru tiesību akta </w:t>
            </w:r>
          </w:p>
          <w:p w:rsidR="00865185" w:rsidRPr="00EE5C24" w:rsidRDefault="00865185" w:rsidP="00B570A8">
            <w:pPr>
              <w:spacing w:before="100" w:beforeAutospacing="1" w:after="100" w:afterAutospacing="1"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vienību – pantu, daļu, punktu, apakšpunktu)</w:t>
            </w:r>
          </w:p>
        </w:tc>
        <w:tc>
          <w:tcPr>
            <w:tcW w:w="969" w:type="pct"/>
            <w:tcBorders>
              <w:top w:val="outset" w:sz="6" w:space="0" w:color="auto"/>
              <w:left w:val="outset" w:sz="6" w:space="0" w:color="auto"/>
              <w:bottom w:val="outset" w:sz="6" w:space="0" w:color="auto"/>
              <w:right w:val="outset" w:sz="6" w:space="0" w:color="auto"/>
            </w:tcBorders>
            <w:vAlign w:val="center"/>
          </w:tcPr>
          <w:p w:rsidR="00865185" w:rsidRPr="00EE5C24" w:rsidRDefault="00865185" w:rsidP="00B570A8">
            <w:pPr>
              <w:spacing w:before="100" w:beforeAutospacing="1" w:after="100" w:afterAutospacing="1"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745" w:type="pct"/>
            <w:tcBorders>
              <w:top w:val="outset" w:sz="6" w:space="0" w:color="auto"/>
              <w:left w:val="outset" w:sz="6" w:space="0" w:color="auto"/>
              <w:bottom w:val="outset" w:sz="6" w:space="0" w:color="auto"/>
              <w:right w:val="outset" w:sz="6" w:space="0" w:color="auto"/>
            </w:tcBorders>
            <w:vAlign w:val="center"/>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Informācija par to, vai šīs tabulas A ailē minētās ES tiesību akta vienības tiek pārņemtas vai ieviestas pilnībā vai daļēji.</w:t>
            </w:r>
          </w:p>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Ja attiecīgā ES tiesību akta vienība tiek pārņemta vai ieviesta daļēji, – sniedz attiecīgu skaidrojumu, kā arī precīzi norāda, kad un kādā veidā ES tiesību akta vienība tiks pārņemta vai ieviesta pilnībā.</w:t>
            </w:r>
          </w:p>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Norāda institūciju, kas ir atbildīga par šo saistību izpildi pilnībā</w:t>
            </w:r>
          </w:p>
        </w:tc>
        <w:tc>
          <w:tcPr>
            <w:tcW w:w="2159" w:type="pct"/>
            <w:tcBorders>
              <w:top w:val="outset" w:sz="6" w:space="0" w:color="auto"/>
              <w:left w:val="outset" w:sz="6" w:space="0" w:color="auto"/>
              <w:bottom w:val="outset" w:sz="6" w:space="0" w:color="auto"/>
              <w:right w:val="outset" w:sz="6" w:space="0" w:color="auto"/>
            </w:tcBorders>
            <w:vAlign w:val="center"/>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Informācija par to, vai šīs tabulas B ailē minētās projekta vienības paredz stingrākas prasības nekā šīs tabulas A ailē minētās ES tiesību akta vienības.</w:t>
            </w:r>
          </w:p>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Ja projekts satur stingrākas prasības nekā attiecīgais ES tiesību akts, – norāda pamatojumu un samērīgumu.</w:t>
            </w:r>
          </w:p>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65185" w:rsidRPr="00EE5C24" w:rsidTr="00865185">
        <w:trPr>
          <w:tblCellSpacing w:w="15" w:type="dxa"/>
          <w:jc w:val="center"/>
        </w:trPr>
        <w:tc>
          <w:tcPr>
            <w:tcW w:w="1047" w:type="pct"/>
            <w:tcBorders>
              <w:top w:val="outset" w:sz="6" w:space="0" w:color="auto"/>
              <w:left w:val="outset" w:sz="6" w:space="0" w:color="auto"/>
              <w:bottom w:val="outset" w:sz="6" w:space="0" w:color="auto"/>
              <w:right w:val="outset" w:sz="6" w:space="0" w:color="auto"/>
            </w:tcBorders>
          </w:tcPr>
          <w:p w:rsidR="00865185" w:rsidRPr="00865185" w:rsidRDefault="00865185" w:rsidP="00865185">
            <w:pPr>
              <w:rPr>
                <w:rFonts w:ascii="Times New Roman" w:hAnsi="Times New Roman"/>
                <w:i/>
              </w:rPr>
            </w:pPr>
            <w:r w:rsidRPr="00865185">
              <w:rPr>
                <w:rFonts w:ascii="Times New Roman" w:hAnsi="Times New Roman"/>
                <w:i/>
              </w:rPr>
              <w:t>Regulas Nr. 1407/2013 1.pants</w:t>
            </w:r>
          </w:p>
        </w:tc>
        <w:tc>
          <w:tcPr>
            <w:tcW w:w="969" w:type="pct"/>
            <w:tcBorders>
              <w:top w:val="outset" w:sz="6" w:space="0" w:color="auto"/>
              <w:left w:val="outset" w:sz="6" w:space="0" w:color="auto"/>
              <w:bottom w:val="outset" w:sz="6" w:space="0" w:color="auto"/>
              <w:right w:val="outset" w:sz="6" w:space="0" w:color="auto"/>
            </w:tcBorders>
          </w:tcPr>
          <w:p w:rsidR="00865185" w:rsidRPr="00865185" w:rsidRDefault="00865185" w:rsidP="00865185">
            <w:pPr>
              <w:rPr>
                <w:rFonts w:ascii="Times New Roman" w:hAnsi="Times New Roman"/>
                <w:i/>
              </w:rPr>
            </w:pPr>
            <w:r w:rsidRPr="00865185">
              <w:rPr>
                <w:rFonts w:ascii="Times New Roman" w:hAnsi="Times New Roman"/>
                <w:i/>
              </w:rPr>
              <w:t>Noteikumu projekta 6.punkts</w:t>
            </w:r>
          </w:p>
        </w:tc>
        <w:tc>
          <w:tcPr>
            <w:tcW w:w="745" w:type="pct"/>
            <w:tcBorders>
              <w:top w:val="outset" w:sz="6" w:space="0" w:color="auto"/>
              <w:left w:val="outset" w:sz="6" w:space="0" w:color="auto"/>
              <w:bottom w:val="outset" w:sz="6" w:space="0" w:color="auto"/>
              <w:right w:val="outset" w:sz="6" w:space="0" w:color="auto"/>
            </w:tcBorders>
          </w:tcPr>
          <w:p w:rsidR="00865185" w:rsidRPr="00EE5C24" w:rsidRDefault="00865185" w:rsidP="00865185">
            <w:pPr>
              <w:spacing w:before="100" w:beforeAutospacing="1" w:after="100" w:afterAutospacing="1"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Ieviests pilnībā</w:t>
            </w:r>
          </w:p>
        </w:tc>
        <w:tc>
          <w:tcPr>
            <w:tcW w:w="2159" w:type="pct"/>
            <w:tcBorders>
              <w:top w:val="outset" w:sz="6" w:space="0" w:color="auto"/>
              <w:left w:val="outset" w:sz="6" w:space="0" w:color="auto"/>
              <w:bottom w:val="outset" w:sz="6" w:space="0" w:color="auto"/>
              <w:right w:val="outset" w:sz="6" w:space="0" w:color="auto"/>
            </w:tcBorders>
          </w:tcPr>
          <w:p w:rsidR="00865185" w:rsidRPr="00EE5C24" w:rsidRDefault="00865185" w:rsidP="00865185">
            <w:pPr>
              <w:spacing w:before="100" w:beforeAutospacing="1" w:after="100" w:afterAutospacing="1"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Neparedz stingrākas prasības</w:t>
            </w:r>
          </w:p>
        </w:tc>
      </w:tr>
      <w:tr w:rsidR="00865185" w:rsidRPr="00EE5C24" w:rsidTr="00865185">
        <w:trPr>
          <w:tblCellSpacing w:w="15" w:type="dxa"/>
          <w:jc w:val="center"/>
        </w:trPr>
        <w:tc>
          <w:tcPr>
            <w:tcW w:w="1047" w:type="pct"/>
            <w:tcBorders>
              <w:top w:val="outset" w:sz="6" w:space="0" w:color="auto"/>
              <w:left w:val="outset" w:sz="6" w:space="0" w:color="auto"/>
              <w:bottom w:val="outset" w:sz="6" w:space="0" w:color="auto"/>
              <w:right w:val="outset" w:sz="6" w:space="0" w:color="auto"/>
            </w:tcBorders>
          </w:tcPr>
          <w:p w:rsidR="00865185" w:rsidRPr="00865185" w:rsidRDefault="00865185" w:rsidP="00865185">
            <w:pPr>
              <w:rPr>
                <w:rFonts w:ascii="Times New Roman" w:hAnsi="Times New Roman"/>
                <w:i/>
              </w:rPr>
            </w:pPr>
            <w:r w:rsidRPr="00865185">
              <w:rPr>
                <w:rFonts w:ascii="Times New Roman" w:hAnsi="Times New Roman"/>
                <w:i/>
              </w:rPr>
              <w:t>Regulas Nr. 1407/2013 3.panta 2.punkts</w:t>
            </w:r>
          </w:p>
        </w:tc>
        <w:tc>
          <w:tcPr>
            <w:tcW w:w="969" w:type="pct"/>
            <w:tcBorders>
              <w:top w:val="outset" w:sz="6" w:space="0" w:color="auto"/>
              <w:left w:val="outset" w:sz="6" w:space="0" w:color="auto"/>
              <w:bottom w:val="outset" w:sz="6" w:space="0" w:color="auto"/>
              <w:right w:val="outset" w:sz="6" w:space="0" w:color="auto"/>
            </w:tcBorders>
          </w:tcPr>
          <w:p w:rsidR="00865185" w:rsidRPr="00865185" w:rsidRDefault="00865185" w:rsidP="00865185">
            <w:pPr>
              <w:rPr>
                <w:rFonts w:ascii="Times New Roman" w:hAnsi="Times New Roman"/>
                <w:i/>
              </w:rPr>
            </w:pPr>
            <w:r w:rsidRPr="00865185">
              <w:rPr>
                <w:rFonts w:ascii="Times New Roman" w:hAnsi="Times New Roman"/>
                <w:i/>
              </w:rPr>
              <w:t>Noteikumu projekta 6.punkts</w:t>
            </w:r>
          </w:p>
        </w:tc>
        <w:tc>
          <w:tcPr>
            <w:tcW w:w="745" w:type="pct"/>
            <w:tcBorders>
              <w:top w:val="outset" w:sz="6" w:space="0" w:color="auto"/>
              <w:left w:val="outset" w:sz="6" w:space="0" w:color="auto"/>
              <w:bottom w:val="outset" w:sz="6" w:space="0" w:color="auto"/>
              <w:right w:val="outset" w:sz="6" w:space="0" w:color="auto"/>
            </w:tcBorders>
          </w:tcPr>
          <w:p w:rsidR="00865185" w:rsidRPr="00EE5C24" w:rsidRDefault="00865185" w:rsidP="00865185">
            <w:pPr>
              <w:spacing w:before="100" w:beforeAutospacing="1" w:after="100" w:afterAutospacing="1"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Ieviests pilnībā</w:t>
            </w:r>
          </w:p>
        </w:tc>
        <w:tc>
          <w:tcPr>
            <w:tcW w:w="2159" w:type="pct"/>
            <w:tcBorders>
              <w:top w:val="outset" w:sz="6" w:space="0" w:color="auto"/>
              <w:left w:val="outset" w:sz="6" w:space="0" w:color="auto"/>
              <w:bottom w:val="outset" w:sz="6" w:space="0" w:color="auto"/>
              <w:right w:val="outset" w:sz="6" w:space="0" w:color="auto"/>
            </w:tcBorders>
          </w:tcPr>
          <w:p w:rsidR="00865185" w:rsidRPr="00EE5C24" w:rsidRDefault="00865185" w:rsidP="00865185">
            <w:pPr>
              <w:spacing w:before="100" w:beforeAutospacing="1" w:after="100" w:afterAutospacing="1"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Neparedz stingrākas prasības</w:t>
            </w:r>
          </w:p>
        </w:tc>
      </w:tr>
      <w:tr w:rsidR="00865185" w:rsidRPr="00EE5C24" w:rsidTr="00865185">
        <w:trPr>
          <w:tblCellSpacing w:w="15" w:type="dxa"/>
          <w:jc w:val="center"/>
        </w:trPr>
        <w:tc>
          <w:tcPr>
            <w:tcW w:w="1047" w:type="pct"/>
            <w:tcBorders>
              <w:top w:val="outset" w:sz="6" w:space="0" w:color="auto"/>
              <w:left w:val="outset" w:sz="6" w:space="0" w:color="auto"/>
              <w:bottom w:val="outset" w:sz="6" w:space="0" w:color="auto"/>
              <w:right w:val="outset" w:sz="6" w:space="0" w:color="auto"/>
            </w:tcBorders>
          </w:tcPr>
          <w:p w:rsidR="00865185" w:rsidRPr="00865185" w:rsidRDefault="00865185" w:rsidP="00865185">
            <w:pPr>
              <w:rPr>
                <w:rFonts w:ascii="Times New Roman" w:hAnsi="Times New Roman"/>
                <w:i/>
              </w:rPr>
            </w:pPr>
            <w:r w:rsidRPr="00865185">
              <w:rPr>
                <w:rFonts w:ascii="Times New Roman" w:hAnsi="Times New Roman"/>
                <w:i/>
              </w:rPr>
              <w:t>Regulas Nr. 1407/2013 2.panta 2.punkts</w:t>
            </w:r>
          </w:p>
        </w:tc>
        <w:tc>
          <w:tcPr>
            <w:tcW w:w="969" w:type="pct"/>
            <w:tcBorders>
              <w:top w:val="outset" w:sz="6" w:space="0" w:color="auto"/>
              <w:left w:val="outset" w:sz="6" w:space="0" w:color="auto"/>
              <w:bottom w:val="outset" w:sz="6" w:space="0" w:color="auto"/>
              <w:right w:val="outset" w:sz="6" w:space="0" w:color="auto"/>
            </w:tcBorders>
          </w:tcPr>
          <w:p w:rsidR="00865185" w:rsidRPr="00865185" w:rsidRDefault="00865185" w:rsidP="00865185">
            <w:pPr>
              <w:rPr>
                <w:rFonts w:ascii="Times New Roman" w:hAnsi="Times New Roman"/>
                <w:i/>
              </w:rPr>
            </w:pPr>
            <w:r w:rsidRPr="00865185">
              <w:rPr>
                <w:rFonts w:ascii="Times New Roman" w:hAnsi="Times New Roman"/>
                <w:i/>
              </w:rPr>
              <w:t>Noteikumu projekta 6.punkts</w:t>
            </w:r>
          </w:p>
        </w:tc>
        <w:tc>
          <w:tcPr>
            <w:tcW w:w="745" w:type="pct"/>
            <w:tcBorders>
              <w:top w:val="outset" w:sz="6" w:space="0" w:color="auto"/>
              <w:left w:val="outset" w:sz="6" w:space="0" w:color="auto"/>
              <w:bottom w:val="outset" w:sz="6" w:space="0" w:color="auto"/>
              <w:right w:val="outset" w:sz="6" w:space="0" w:color="auto"/>
            </w:tcBorders>
          </w:tcPr>
          <w:p w:rsidR="00865185" w:rsidRPr="00EE5C24" w:rsidRDefault="00865185" w:rsidP="00865185">
            <w:pPr>
              <w:spacing w:before="100" w:beforeAutospacing="1" w:after="100" w:afterAutospacing="1"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Ieviests pilnībā</w:t>
            </w:r>
          </w:p>
        </w:tc>
        <w:tc>
          <w:tcPr>
            <w:tcW w:w="2159" w:type="pct"/>
            <w:tcBorders>
              <w:top w:val="outset" w:sz="6" w:space="0" w:color="auto"/>
              <w:left w:val="outset" w:sz="6" w:space="0" w:color="auto"/>
              <w:bottom w:val="outset" w:sz="6" w:space="0" w:color="auto"/>
              <w:right w:val="outset" w:sz="6" w:space="0" w:color="auto"/>
            </w:tcBorders>
          </w:tcPr>
          <w:p w:rsidR="00865185" w:rsidRPr="00EE5C24" w:rsidRDefault="00865185" w:rsidP="00865185">
            <w:pPr>
              <w:spacing w:before="100" w:beforeAutospacing="1" w:after="100" w:afterAutospacing="1"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Neparedz stingrākas prasības</w:t>
            </w:r>
          </w:p>
        </w:tc>
      </w:tr>
      <w:tr w:rsidR="00AB7C7C" w:rsidRPr="00EE5C24" w:rsidTr="00865185">
        <w:trPr>
          <w:tblCellSpacing w:w="15" w:type="dxa"/>
          <w:jc w:val="center"/>
        </w:trPr>
        <w:tc>
          <w:tcPr>
            <w:tcW w:w="1047" w:type="pct"/>
            <w:tcBorders>
              <w:top w:val="outset" w:sz="6" w:space="0" w:color="auto"/>
              <w:left w:val="outset" w:sz="6" w:space="0" w:color="auto"/>
              <w:bottom w:val="outset" w:sz="6" w:space="0" w:color="auto"/>
              <w:right w:val="outset" w:sz="6" w:space="0" w:color="auto"/>
            </w:tcBorders>
          </w:tcPr>
          <w:p w:rsidR="00AB7C7C" w:rsidRPr="00865185" w:rsidRDefault="00AB7C7C" w:rsidP="00865185">
            <w:pPr>
              <w:rPr>
                <w:rFonts w:ascii="Times New Roman" w:hAnsi="Times New Roman"/>
                <w:i/>
              </w:rPr>
            </w:pPr>
            <w:r>
              <w:rPr>
                <w:rFonts w:ascii="Times New Roman" w:hAnsi="Times New Roman"/>
                <w:i/>
              </w:rPr>
              <w:t>Regula</w:t>
            </w:r>
            <w:r w:rsidRPr="00AB7C7C">
              <w:rPr>
                <w:rFonts w:ascii="Times New Roman" w:hAnsi="Times New Roman"/>
                <w:i/>
              </w:rPr>
              <w:t xml:space="preserve"> Nr. 1407/2013 </w:t>
            </w:r>
          </w:p>
        </w:tc>
        <w:tc>
          <w:tcPr>
            <w:tcW w:w="969" w:type="pct"/>
            <w:tcBorders>
              <w:top w:val="outset" w:sz="6" w:space="0" w:color="auto"/>
              <w:left w:val="outset" w:sz="6" w:space="0" w:color="auto"/>
              <w:bottom w:val="outset" w:sz="6" w:space="0" w:color="auto"/>
              <w:right w:val="outset" w:sz="6" w:space="0" w:color="auto"/>
            </w:tcBorders>
          </w:tcPr>
          <w:p w:rsidR="00AB7C7C" w:rsidRPr="00865185" w:rsidRDefault="00AB7C7C" w:rsidP="00865185">
            <w:pPr>
              <w:rPr>
                <w:rFonts w:ascii="Times New Roman" w:hAnsi="Times New Roman"/>
                <w:i/>
              </w:rPr>
            </w:pPr>
            <w:r w:rsidRPr="00865185">
              <w:rPr>
                <w:rFonts w:ascii="Times New Roman" w:hAnsi="Times New Roman"/>
                <w:i/>
              </w:rPr>
              <w:t xml:space="preserve">Noteikumu </w:t>
            </w:r>
            <w:r>
              <w:rPr>
                <w:rFonts w:ascii="Times New Roman" w:hAnsi="Times New Roman"/>
                <w:i/>
              </w:rPr>
              <w:t>projekta 7.punktā vispārīga atsauce</w:t>
            </w:r>
          </w:p>
        </w:tc>
        <w:tc>
          <w:tcPr>
            <w:tcW w:w="745" w:type="pct"/>
            <w:tcBorders>
              <w:top w:val="outset" w:sz="6" w:space="0" w:color="auto"/>
              <w:left w:val="outset" w:sz="6" w:space="0" w:color="auto"/>
              <w:bottom w:val="outset" w:sz="6" w:space="0" w:color="auto"/>
              <w:right w:val="outset" w:sz="6" w:space="0" w:color="auto"/>
            </w:tcBorders>
          </w:tcPr>
          <w:p w:rsidR="00AB7C7C" w:rsidRPr="00EE5C24" w:rsidRDefault="00AB7C7C" w:rsidP="00865185">
            <w:pPr>
              <w:spacing w:before="100" w:beforeAutospacing="1" w:after="100" w:afterAutospacing="1"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Ieviests pilnībā</w:t>
            </w:r>
          </w:p>
        </w:tc>
        <w:tc>
          <w:tcPr>
            <w:tcW w:w="2159" w:type="pct"/>
            <w:tcBorders>
              <w:top w:val="outset" w:sz="6" w:space="0" w:color="auto"/>
              <w:left w:val="outset" w:sz="6" w:space="0" w:color="auto"/>
              <w:bottom w:val="outset" w:sz="6" w:space="0" w:color="auto"/>
              <w:right w:val="outset" w:sz="6" w:space="0" w:color="auto"/>
            </w:tcBorders>
          </w:tcPr>
          <w:p w:rsidR="00AB7C7C" w:rsidRPr="00EE5C24" w:rsidRDefault="002D22D1" w:rsidP="00865185">
            <w:pPr>
              <w:spacing w:before="100" w:beforeAutospacing="1" w:after="100" w:afterAutospacing="1"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Neparedz stingrākas prasības</w:t>
            </w:r>
          </w:p>
        </w:tc>
      </w:tr>
      <w:tr w:rsidR="00865185" w:rsidRPr="00EE5C24" w:rsidTr="00865185">
        <w:trPr>
          <w:tblCellSpacing w:w="15" w:type="dxa"/>
          <w:jc w:val="center"/>
        </w:trPr>
        <w:tc>
          <w:tcPr>
            <w:tcW w:w="1047"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Kā ir izmantota ES tiesību aktā paredzētā rīcības brīvība dalībvalstij pārņemt vai ieviest noteiktas ES tiesību akta normas?</w:t>
            </w:r>
          </w:p>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Kādēļ?</w:t>
            </w:r>
          </w:p>
        </w:tc>
        <w:tc>
          <w:tcPr>
            <w:tcW w:w="3905" w:type="pct"/>
            <w:gridSpan w:val="3"/>
            <w:tcBorders>
              <w:top w:val="outset" w:sz="6" w:space="0" w:color="auto"/>
              <w:left w:val="outset" w:sz="6" w:space="0" w:color="auto"/>
              <w:bottom w:val="outset" w:sz="6" w:space="0" w:color="auto"/>
              <w:right w:val="outset" w:sz="6" w:space="0" w:color="auto"/>
            </w:tcBorders>
            <w:hideMark/>
          </w:tcPr>
          <w:p w:rsidR="00865185" w:rsidRPr="00865185" w:rsidRDefault="00865185" w:rsidP="00B570A8">
            <w:pPr>
              <w:spacing w:after="0" w:line="240" w:lineRule="auto"/>
              <w:jc w:val="both"/>
              <w:rPr>
                <w:rFonts w:ascii="Times New Roman" w:eastAsia="Times New Roman" w:hAnsi="Times New Roman"/>
                <w:sz w:val="24"/>
                <w:szCs w:val="24"/>
                <w:lang w:eastAsia="lv-LV"/>
              </w:rPr>
            </w:pPr>
            <w:r w:rsidRPr="00865185">
              <w:rPr>
                <w:rFonts w:ascii="Times New Roman" w:eastAsia="Times New Roman" w:hAnsi="Times New Roman"/>
                <w:sz w:val="24"/>
                <w:szCs w:val="24"/>
                <w:lang w:eastAsia="lv-LV"/>
              </w:rPr>
              <w:t>Noteikumu projekts šo jomu neskar.</w:t>
            </w:r>
          </w:p>
        </w:tc>
      </w:tr>
      <w:tr w:rsidR="00865185" w:rsidRPr="00EE5C24" w:rsidTr="00865185">
        <w:trPr>
          <w:tblCellSpacing w:w="15" w:type="dxa"/>
          <w:jc w:val="center"/>
        </w:trPr>
        <w:tc>
          <w:tcPr>
            <w:tcW w:w="1047"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5" w:type="pct"/>
            <w:gridSpan w:val="3"/>
            <w:tcBorders>
              <w:top w:val="outset" w:sz="6" w:space="0" w:color="auto"/>
              <w:left w:val="outset" w:sz="6" w:space="0" w:color="auto"/>
              <w:bottom w:val="outset" w:sz="6" w:space="0" w:color="auto"/>
              <w:right w:val="outset" w:sz="6" w:space="0" w:color="auto"/>
            </w:tcBorders>
            <w:hideMark/>
          </w:tcPr>
          <w:p w:rsidR="00865185" w:rsidRPr="00865185" w:rsidRDefault="00865185" w:rsidP="00B570A8">
            <w:pPr>
              <w:spacing w:after="0" w:line="240" w:lineRule="auto"/>
              <w:jc w:val="both"/>
              <w:rPr>
                <w:rFonts w:ascii="Times New Roman" w:eastAsia="Times New Roman" w:hAnsi="Times New Roman"/>
                <w:sz w:val="24"/>
                <w:szCs w:val="24"/>
                <w:lang w:eastAsia="lv-LV"/>
              </w:rPr>
            </w:pPr>
            <w:r w:rsidRPr="00865185">
              <w:rPr>
                <w:rFonts w:ascii="Times New Roman" w:eastAsia="Times New Roman" w:hAnsi="Times New Roman"/>
                <w:sz w:val="24"/>
                <w:szCs w:val="24"/>
                <w:lang w:eastAsia="lv-LV"/>
              </w:rPr>
              <w:t>Noteikumu projekts šo jomu neskar.</w:t>
            </w:r>
          </w:p>
        </w:tc>
      </w:tr>
      <w:tr w:rsidR="00865185" w:rsidRPr="00EE5C24" w:rsidTr="00865185">
        <w:trPr>
          <w:tblCellSpacing w:w="15" w:type="dxa"/>
          <w:jc w:val="center"/>
        </w:trPr>
        <w:tc>
          <w:tcPr>
            <w:tcW w:w="1047" w:type="pct"/>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Cita informācija</w:t>
            </w:r>
          </w:p>
        </w:tc>
        <w:tc>
          <w:tcPr>
            <w:tcW w:w="3905" w:type="pct"/>
            <w:gridSpan w:val="3"/>
            <w:tcBorders>
              <w:top w:val="outset" w:sz="6" w:space="0" w:color="auto"/>
              <w:left w:val="outset" w:sz="6" w:space="0" w:color="auto"/>
              <w:bottom w:val="outset" w:sz="6" w:space="0" w:color="auto"/>
              <w:right w:val="outset" w:sz="6" w:space="0" w:color="auto"/>
            </w:tcBorders>
            <w:hideMark/>
          </w:tcPr>
          <w:p w:rsidR="00865185" w:rsidRPr="00EE5C24" w:rsidRDefault="00865185" w:rsidP="00B570A8">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Nav</w:t>
            </w:r>
          </w:p>
        </w:tc>
      </w:tr>
    </w:tbl>
    <w:p w:rsidR="00865185" w:rsidRPr="00D859A3" w:rsidRDefault="00865185" w:rsidP="00865185">
      <w:pPr>
        <w:spacing w:after="0" w:line="240" w:lineRule="auto"/>
        <w:rPr>
          <w:rFonts w:ascii="Times New Roman" w:hAnsi="Times New Roman"/>
          <w:bCs/>
          <w:sz w:val="24"/>
          <w:szCs w:val="24"/>
        </w:rPr>
      </w:pPr>
    </w:p>
    <w:tbl>
      <w:tblPr>
        <w:tblW w:w="9558"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171"/>
        <w:gridCol w:w="5387"/>
      </w:tblGrid>
      <w:tr w:rsidR="00865185" w:rsidRPr="00D859A3" w:rsidTr="00B570A8">
        <w:tc>
          <w:tcPr>
            <w:tcW w:w="955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line="240" w:lineRule="auto"/>
              <w:jc w:val="center"/>
              <w:rPr>
                <w:rFonts w:ascii="Times New Roman" w:eastAsia="Times New Roman" w:hAnsi="Times New Roman"/>
                <w:b/>
                <w:sz w:val="24"/>
                <w:szCs w:val="24"/>
                <w:lang w:eastAsia="lv-LV"/>
              </w:rPr>
            </w:pPr>
            <w:r w:rsidRPr="00D859A3">
              <w:rPr>
                <w:rFonts w:ascii="Times New Roman" w:hAnsi="Times New Roman"/>
                <w:b/>
                <w:bCs/>
                <w:sz w:val="24"/>
                <w:szCs w:val="24"/>
              </w:rPr>
              <w:t>VI. Sabiedrības līdzdalība un komunikācijas aktivitātes</w:t>
            </w:r>
          </w:p>
        </w:tc>
      </w:tr>
      <w:tr w:rsidR="00865185" w:rsidRPr="00D859A3" w:rsidTr="00B570A8">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2"/>
              </w:numPr>
              <w:spacing w:after="0"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Plānotās sabiedrības līdzdalības un komunikācijas aktivitātes saistībā ar projektu</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tcPr>
          <w:p w:rsidR="00865185" w:rsidRPr="00D859A3" w:rsidRDefault="00865185" w:rsidP="00B570A8">
            <w:pPr>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xml:space="preserve">Noteikumu </w:t>
            </w:r>
            <w:r>
              <w:rPr>
                <w:rFonts w:ascii="Times New Roman" w:eastAsia="Times New Roman" w:hAnsi="Times New Roman"/>
                <w:sz w:val="24"/>
                <w:szCs w:val="24"/>
                <w:lang w:eastAsia="lv-LV"/>
              </w:rPr>
              <w:t>ir</w:t>
            </w:r>
            <w:r w:rsidRPr="00D859A3">
              <w:rPr>
                <w:rFonts w:ascii="Times New Roman" w:eastAsia="Times New Roman" w:hAnsi="Times New Roman"/>
                <w:sz w:val="24"/>
                <w:szCs w:val="24"/>
                <w:lang w:eastAsia="lv-LV"/>
              </w:rPr>
              <w:t xml:space="preserve"> ievietots EM  tīmekļa vietnē.</w:t>
            </w:r>
          </w:p>
        </w:tc>
      </w:tr>
      <w:tr w:rsidR="00865185" w:rsidRPr="00D859A3" w:rsidTr="00B570A8">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2"/>
              </w:numPr>
              <w:spacing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Sabiedrības līdzdalība projekta izstrādē</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tcPr>
          <w:p w:rsidR="00865185" w:rsidRPr="00D859A3" w:rsidRDefault="00865185" w:rsidP="00B570A8">
            <w:pPr>
              <w:spacing w:after="0" w:line="240" w:lineRule="auto"/>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Nav</w:t>
            </w:r>
          </w:p>
        </w:tc>
      </w:tr>
      <w:tr w:rsidR="00865185" w:rsidRPr="00D859A3" w:rsidTr="00B570A8">
        <w:trPr>
          <w:trHeight w:val="726"/>
        </w:trPr>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2"/>
              </w:numPr>
              <w:spacing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Sabiedrības līdzdalības rezultāti</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Nav</w:t>
            </w:r>
          </w:p>
        </w:tc>
      </w:tr>
      <w:tr w:rsidR="00865185" w:rsidRPr="00D859A3" w:rsidTr="00B570A8">
        <w:trPr>
          <w:trHeight w:val="366"/>
        </w:trPr>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2"/>
              </w:numPr>
              <w:spacing w:after="0"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iCs/>
                <w:sz w:val="24"/>
                <w:szCs w:val="24"/>
                <w:lang w:eastAsia="lv-LV"/>
              </w:rPr>
              <w:t>Nav</w:t>
            </w:r>
          </w:p>
        </w:tc>
      </w:tr>
    </w:tbl>
    <w:p w:rsidR="00865185" w:rsidRPr="00D859A3" w:rsidRDefault="00865185" w:rsidP="00865185">
      <w:pPr>
        <w:tabs>
          <w:tab w:val="left" w:pos="7655"/>
        </w:tabs>
        <w:spacing w:line="240" w:lineRule="auto"/>
        <w:jc w:val="both"/>
        <w:rPr>
          <w:rFonts w:ascii="Times New Roman" w:hAnsi="Times New Roman"/>
          <w:bCs/>
          <w:sz w:val="24"/>
          <w:szCs w:val="24"/>
        </w:rPr>
      </w:pPr>
    </w:p>
    <w:tbl>
      <w:tblPr>
        <w:tblW w:w="9498"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051"/>
        <w:gridCol w:w="5447"/>
      </w:tblGrid>
      <w:tr w:rsidR="00865185" w:rsidRPr="00D859A3" w:rsidTr="00B570A8">
        <w:tc>
          <w:tcPr>
            <w:tcW w:w="949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line="240" w:lineRule="auto"/>
              <w:jc w:val="center"/>
              <w:rPr>
                <w:rFonts w:ascii="Times New Roman" w:eastAsia="Times New Roman" w:hAnsi="Times New Roman"/>
                <w:b/>
                <w:sz w:val="24"/>
                <w:szCs w:val="24"/>
                <w:lang w:eastAsia="lv-LV"/>
              </w:rPr>
            </w:pPr>
            <w:r w:rsidRPr="00D859A3">
              <w:rPr>
                <w:rFonts w:ascii="Times New Roman" w:eastAsia="Times New Roman" w:hAnsi="Times New Roman"/>
                <w:b/>
                <w:sz w:val="24"/>
                <w:szCs w:val="24"/>
                <w:lang w:eastAsia="lv-LV"/>
              </w:rPr>
              <w:t>VII. Tiesību akta projekta izpildes nodrošināšana un tās ietekme uz institūcijām</w:t>
            </w:r>
          </w:p>
        </w:tc>
      </w:tr>
      <w:tr w:rsidR="00865185" w:rsidRPr="00D859A3" w:rsidTr="00865185">
        <w:trPr>
          <w:trHeight w:val="558"/>
        </w:trPr>
        <w:tc>
          <w:tcPr>
            <w:tcW w:w="40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3"/>
              </w:numPr>
              <w:spacing w:after="0" w:line="240" w:lineRule="auto"/>
              <w:ind w:left="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Projekta izpildē iesaistītās institūcijas</w:t>
            </w:r>
          </w:p>
        </w:tc>
        <w:tc>
          <w:tcPr>
            <w:tcW w:w="5447"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ind w:firstLine="425"/>
              <w:jc w:val="both"/>
              <w:rPr>
                <w:rFonts w:ascii="Times New Roman" w:hAnsi="Times New Roman"/>
                <w:sz w:val="24"/>
                <w:szCs w:val="24"/>
                <w:lang w:eastAsia="lv-LV"/>
              </w:rPr>
            </w:pPr>
            <w:r w:rsidRPr="00D859A3">
              <w:rPr>
                <w:rFonts w:ascii="Times New Roman" w:hAnsi="Times New Roman"/>
                <w:sz w:val="24"/>
                <w:szCs w:val="24"/>
              </w:rPr>
              <w:t>Noteikumu pro</w:t>
            </w:r>
            <w:r>
              <w:rPr>
                <w:rFonts w:ascii="Times New Roman" w:hAnsi="Times New Roman"/>
                <w:sz w:val="24"/>
                <w:szCs w:val="24"/>
              </w:rPr>
              <w:t xml:space="preserve">jekta izpildē ir iesaistīta EM </w:t>
            </w:r>
            <w:r w:rsidRPr="00D859A3">
              <w:rPr>
                <w:rFonts w:ascii="Times New Roman" w:hAnsi="Times New Roman"/>
                <w:sz w:val="24"/>
                <w:szCs w:val="24"/>
              </w:rPr>
              <w:t>un sabiedrība “Altum”.</w:t>
            </w:r>
          </w:p>
        </w:tc>
      </w:tr>
      <w:tr w:rsidR="00865185" w:rsidRPr="00D859A3" w:rsidTr="00865185">
        <w:tc>
          <w:tcPr>
            <w:tcW w:w="40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3"/>
              </w:numPr>
              <w:spacing w:after="0" w:line="240" w:lineRule="auto"/>
              <w:ind w:left="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Projekta izpildes ietekme uz pārvaldes funkcijām un institucionālo struktūru.</w:t>
            </w:r>
          </w:p>
          <w:p w:rsidR="00865185" w:rsidRPr="00D859A3" w:rsidRDefault="00865185" w:rsidP="00B570A8">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447"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line="240" w:lineRule="auto"/>
              <w:ind w:firstLine="567"/>
              <w:jc w:val="both"/>
              <w:rPr>
                <w:rFonts w:ascii="Times New Roman" w:hAnsi="Times New Roman"/>
                <w:sz w:val="24"/>
                <w:szCs w:val="24"/>
              </w:rPr>
            </w:pPr>
            <w:r w:rsidRPr="00865185">
              <w:rPr>
                <w:rFonts w:ascii="Times New Roman" w:hAnsi="Times New Roman"/>
                <w:sz w:val="24"/>
                <w:szCs w:val="24"/>
              </w:rPr>
              <w:t>Noteikumu projekta izpilde tiks nodrošināta sabiedrības “Altum” esošo funkciju ietvaros, nav nepieciešams izveidot jaunas institūcijas, likvidēt esošas institūcijas vai veikt reorganizāciju.</w:t>
            </w:r>
          </w:p>
        </w:tc>
      </w:tr>
      <w:tr w:rsidR="00865185" w:rsidRPr="00D859A3" w:rsidTr="00865185">
        <w:tc>
          <w:tcPr>
            <w:tcW w:w="40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numPr>
                <w:ilvl w:val="0"/>
                <w:numId w:val="3"/>
              </w:numPr>
              <w:spacing w:after="0" w:line="240" w:lineRule="auto"/>
              <w:ind w:left="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Cita informācija</w:t>
            </w:r>
          </w:p>
        </w:tc>
        <w:tc>
          <w:tcPr>
            <w:tcW w:w="5447"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D859A3" w:rsidRDefault="00865185" w:rsidP="00B570A8">
            <w:pPr>
              <w:spacing w:after="0" w:line="240" w:lineRule="auto"/>
              <w:ind w:firstLine="284"/>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Nav</w:t>
            </w:r>
          </w:p>
        </w:tc>
      </w:tr>
    </w:tbl>
    <w:p w:rsidR="00865185" w:rsidRPr="00D859A3" w:rsidRDefault="00865185" w:rsidP="00865185">
      <w:pPr>
        <w:tabs>
          <w:tab w:val="right" w:pos="9071"/>
        </w:tabs>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xml:space="preserve">Anotācijas </w:t>
      </w:r>
      <w:r>
        <w:rPr>
          <w:rFonts w:ascii="Times New Roman" w:eastAsia="Times New Roman" w:hAnsi="Times New Roman"/>
          <w:sz w:val="24"/>
          <w:szCs w:val="24"/>
          <w:lang w:eastAsia="lv-LV"/>
        </w:rPr>
        <w:t xml:space="preserve">III., </w:t>
      </w:r>
      <w:r w:rsidRPr="00D859A3">
        <w:rPr>
          <w:rFonts w:ascii="Times New Roman" w:eastAsia="Times New Roman" w:hAnsi="Times New Roman"/>
          <w:sz w:val="24"/>
          <w:szCs w:val="24"/>
          <w:lang w:eastAsia="lv-LV"/>
        </w:rPr>
        <w:t xml:space="preserve">IV.sadaļas – noteikumu projekts šīs jomas neskar. </w:t>
      </w:r>
    </w:p>
    <w:p w:rsidR="00865185" w:rsidRPr="00D859A3" w:rsidRDefault="00865185" w:rsidP="00865185">
      <w:pPr>
        <w:tabs>
          <w:tab w:val="right" w:pos="9071"/>
        </w:tabs>
        <w:spacing w:after="0" w:line="240" w:lineRule="auto"/>
        <w:ind w:left="-567"/>
        <w:jc w:val="both"/>
        <w:rPr>
          <w:rFonts w:ascii="Times New Roman" w:hAnsi="Times New Roman"/>
          <w:color w:val="000000"/>
          <w:sz w:val="24"/>
          <w:szCs w:val="24"/>
        </w:rPr>
      </w:pPr>
    </w:p>
    <w:p w:rsidR="00865185" w:rsidRPr="00D859A3" w:rsidRDefault="00865185" w:rsidP="00865185">
      <w:pPr>
        <w:tabs>
          <w:tab w:val="right" w:pos="9071"/>
        </w:tabs>
        <w:spacing w:after="0" w:line="240" w:lineRule="auto"/>
        <w:ind w:left="-567"/>
        <w:jc w:val="both"/>
        <w:rPr>
          <w:rFonts w:ascii="Times New Roman" w:hAnsi="Times New Roman"/>
          <w:color w:val="000000"/>
          <w:sz w:val="24"/>
          <w:szCs w:val="24"/>
        </w:rPr>
      </w:pPr>
      <w:r w:rsidRPr="00D859A3">
        <w:rPr>
          <w:rFonts w:ascii="Times New Roman" w:hAnsi="Times New Roman"/>
          <w:color w:val="000000"/>
          <w:sz w:val="24"/>
          <w:szCs w:val="24"/>
        </w:rPr>
        <w:t>Ministru prezidenta biedrs,</w:t>
      </w:r>
    </w:p>
    <w:p w:rsidR="00865185" w:rsidRPr="00D859A3" w:rsidRDefault="00865185" w:rsidP="00865185">
      <w:pPr>
        <w:tabs>
          <w:tab w:val="right" w:pos="9071"/>
        </w:tabs>
        <w:spacing w:after="0" w:line="240" w:lineRule="auto"/>
        <w:ind w:left="-567"/>
        <w:jc w:val="both"/>
        <w:rPr>
          <w:rFonts w:ascii="Times New Roman" w:hAnsi="Times New Roman"/>
          <w:color w:val="000000"/>
          <w:sz w:val="24"/>
          <w:szCs w:val="24"/>
        </w:rPr>
      </w:pPr>
      <w:r w:rsidRPr="00D859A3">
        <w:rPr>
          <w:rFonts w:ascii="Times New Roman" w:hAnsi="Times New Roman"/>
          <w:color w:val="000000"/>
          <w:sz w:val="24"/>
          <w:szCs w:val="24"/>
        </w:rPr>
        <w:t xml:space="preserve">ekonomikas ministrs </w:t>
      </w:r>
      <w:r w:rsidRPr="00D859A3">
        <w:rPr>
          <w:rFonts w:ascii="Times New Roman" w:hAnsi="Times New Roman"/>
          <w:color w:val="000000"/>
          <w:sz w:val="24"/>
          <w:szCs w:val="24"/>
        </w:rPr>
        <w:tab/>
        <w:t>A. Ašeradens</w:t>
      </w:r>
    </w:p>
    <w:p w:rsidR="00865185" w:rsidRPr="00D859A3" w:rsidRDefault="00865185" w:rsidP="00865185">
      <w:pPr>
        <w:keepLines/>
        <w:widowControl w:val="0"/>
        <w:tabs>
          <w:tab w:val="right" w:pos="9071"/>
        </w:tabs>
        <w:spacing w:after="0" w:line="240" w:lineRule="auto"/>
        <w:rPr>
          <w:rFonts w:ascii="Times New Roman" w:eastAsia="Times New Roman" w:hAnsi="Times New Roman"/>
          <w:color w:val="000000"/>
          <w:sz w:val="24"/>
          <w:szCs w:val="24"/>
          <w:lang w:eastAsia="lv-LV"/>
        </w:rPr>
      </w:pPr>
    </w:p>
    <w:p w:rsidR="00865185" w:rsidRPr="00D859A3" w:rsidRDefault="00865185" w:rsidP="00865185">
      <w:pPr>
        <w:tabs>
          <w:tab w:val="right" w:pos="9071"/>
        </w:tabs>
        <w:spacing w:after="0" w:line="240" w:lineRule="auto"/>
        <w:ind w:left="-567"/>
        <w:jc w:val="both"/>
        <w:rPr>
          <w:rFonts w:ascii="Times New Roman" w:hAnsi="Times New Roman"/>
          <w:color w:val="000000"/>
          <w:sz w:val="24"/>
          <w:szCs w:val="24"/>
        </w:rPr>
      </w:pPr>
      <w:r w:rsidRPr="00D859A3">
        <w:rPr>
          <w:rFonts w:ascii="Times New Roman" w:hAnsi="Times New Roman"/>
          <w:color w:val="000000"/>
          <w:sz w:val="24"/>
          <w:szCs w:val="24"/>
        </w:rPr>
        <w:t xml:space="preserve">Vīza: </w:t>
      </w:r>
      <w:r w:rsidRPr="00D859A3">
        <w:rPr>
          <w:rFonts w:ascii="Times New Roman" w:hAnsi="Times New Roman"/>
          <w:sz w:val="24"/>
          <w:szCs w:val="24"/>
        </w:rPr>
        <w:t>Valsts sekretārs</w:t>
      </w:r>
    </w:p>
    <w:p w:rsidR="00865185" w:rsidRDefault="00865185" w:rsidP="00865185">
      <w:pPr>
        <w:tabs>
          <w:tab w:val="right" w:pos="9071"/>
        </w:tabs>
        <w:spacing w:after="0" w:line="240" w:lineRule="auto"/>
        <w:ind w:left="-567"/>
        <w:jc w:val="both"/>
        <w:rPr>
          <w:rFonts w:ascii="Times New Roman" w:hAnsi="Times New Roman"/>
          <w:sz w:val="24"/>
          <w:szCs w:val="24"/>
        </w:rPr>
      </w:pPr>
      <w:r w:rsidRPr="00D859A3">
        <w:rPr>
          <w:rFonts w:ascii="Times New Roman" w:hAnsi="Times New Roman"/>
          <w:color w:val="000000"/>
          <w:sz w:val="24"/>
          <w:szCs w:val="24"/>
        </w:rPr>
        <w:tab/>
      </w:r>
      <w:r w:rsidRPr="00D859A3">
        <w:rPr>
          <w:rFonts w:ascii="Times New Roman" w:hAnsi="Times New Roman"/>
          <w:sz w:val="24"/>
          <w:szCs w:val="24"/>
        </w:rPr>
        <w:t>J.Stinka</w:t>
      </w:r>
    </w:p>
    <w:p w:rsidR="00865185" w:rsidRPr="007C3924" w:rsidRDefault="00865185" w:rsidP="00865185">
      <w:pPr>
        <w:tabs>
          <w:tab w:val="right" w:pos="9071"/>
        </w:tabs>
        <w:spacing w:after="0" w:line="240" w:lineRule="auto"/>
        <w:ind w:left="-567"/>
        <w:jc w:val="both"/>
        <w:rPr>
          <w:rFonts w:ascii="Times New Roman" w:hAnsi="Times New Roman"/>
          <w:sz w:val="20"/>
          <w:szCs w:val="20"/>
        </w:rPr>
      </w:pP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DATE  \@ "dd.MM.yyyy HH:mm"  \* MERGEFORMAT </w:instrText>
      </w:r>
      <w:r>
        <w:rPr>
          <w:rFonts w:ascii="Times New Roman" w:eastAsia="Times New Roman" w:hAnsi="Times New Roman"/>
          <w:sz w:val="20"/>
          <w:szCs w:val="20"/>
          <w:lang w:eastAsia="lv-LV"/>
        </w:rPr>
        <w:fldChar w:fldCharType="end"/>
      </w:r>
      <w:r w:rsidRPr="007C3924">
        <w:rPr>
          <w:rFonts w:ascii="Times New Roman" w:eastAsia="Times New Roman" w:hAnsi="Times New Roman"/>
          <w:sz w:val="20"/>
          <w:szCs w:val="20"/>
          <w:lang w:eastAsia="lv-LV"/>
        </w:rPr>
        <w:tab/>
      </w:r>
    </w:p>
    <w:p w:rsidR="00865185" w:rsidRPr="00D859A3" w:rsidRDefault="00865185" w:rsidP="00865185">
      <w:pPr>
        <w:widowControl w:val="0"/>
        <w:spacing w:after="0" w:line="240" w:lineRule="auto"/>
        <w:ind w:left="-567"/>
        <w:jc w:val="both"/>
        <w:rPr>
          <w:rFonts w:ascii="Times New Roman" w:eastAsia="Times New Roman" w:hAnsi="Times New Roman"/>
          <w:sz w:val="20"/>
          <w:szCs w:val="20"/>
        </w:rPr>
      </w:pPr>
      <w:r w:rsidRPr="00D859A3">
        <w:rPr>
          <w:rFonts w:ascii="Times New Roman" w:eastAsia="Times New Roman" w:hAnsi="Times New Roman"/>
          <w:sz w:val="20"/>
          <w:szCs w:val="20"/>
        </w:rPr>
        <w:fldChar w:fldCharType="begin"/>
      </w:r>
      <w:r w:rsidRPr="00D859A3">
        <w:rPr>
          <w:rFonts w:ascii="Times New Roman" w:eastAsia="Times New Roman" w:hAnsi="Times New Roman"/>
          <w:sz w:val="20"/>
          <w:szCs w:val="20"/>
        </w:rPr>
        <w:instrText xml:space="preserve"> NUMWORDS   \* MERGEFORMAT </w:instrText>
      </w:r>
      <w:r w:rsidRPr="00D859A3">
        <w:rPr>
          <w:rFonts w:ascii="Times New Roman" w:eastAsia="Times New Roman" w:hAnsi="Times New Roman"/>
          <w:sz w:val="20"/>
          <w:szCs w:val="20"/>
        </w:rPr>
        <w:fldChar w:fldCharType="separate"/>
      </w:r>
      <w:r w:rsidR="00B259AE">
        <w:rPr>
          <w:rFonts w:ascii="Times New Roman" w:eastAsia="Times New Roman" w:hAnsi="Times New Roman"/>
          <w:noProof/>
          <w:sz w:val="20"/>
          <w:szCs w:val="20"/>
        </w:rPr>
        <w:t>1969</w:t>
      </w:r>
      <w:r w:rsidRPr="00D859A3">
        <w:rPr>
          <w:rFonts w:ascii="Times New Roman" w:eastAsia="Times New Roman" w:hAnsi="Times New Roman"/>
          <w:sz w:val="20"/>
          <w:szCs w:val="20"/>
        </w:rPr>
        <w:fldChar w:fldCharType="end"/>
      </w:r>
    </w:p>
    <w:p w:rsidR="00865185" w:rsidRPr="00D859A3" w:rsidRDefault="00865185" w:rsidP="00865185">
      <w:pPr>
        <w:widowControl w:val="0"/>
        <w:tabs>
          <w:tab w:val="left" w:pos="2025"/>
        </w:tabs>
        <w:spacing w:after="0" w:line="240" w:lineRule="auto"/>
        <w:ind w:left="-567"/>
        <w:jc w:val="both"/>
        <w:rPr>
          <w:rFonts w:ascii="Times New Roman" w:eastAsia="Times New Roman" w:hAnsi="Times New Roman"/>
          <w:sz w:val="20"/>
          <w:szCs w:val="20"/>
        </w:rPr>
      </w:pPr>
      <w:r w:rsidRPr="00D859A3">
        <w:rPr>
          <w:rFonts w:ascii="Times New Roman" w:eastAsia="Times New Roman" w:hAnsi="Times New Roman"/>
          <w:sz w:val="20"/>
          <w:szCs w:val="20"/>
        </w:rPr>
        <w:t>A.Lagzdiņa</w:t>
      </w:r>
      <w:r w:rsidRPr="00D859A3">
        <w:rPr>
          <w:rFonts w:ascii="Times New Roman" w:eastAsia="Times New Roman" w:hAnsi="Times New Roman"/>
          <w:sz w:val="20"/>
          <w:szCs w:val="20"/>
        </w:rPr>
        <w:tab/>
      </w:r>
    </w:p>
    <w:p w:rsidR="00865185" w:rsidRPr="00D859A3" w:rsidRDefault="00865185" w:rsidP="00865185">
      <w:pPr>
        <w:widowControl w:val="0"/>
        <w:spacing w:after="0" w:line="240" w:lineRule="auto"/>
        <w:ind w:left="-567"/>
        <w:jc w:val="both"/>
        <w:rPr>
          <w:rFonts w:ascii="Times New Roman" w:hAnsi="Times New Roman"/>
          <w:sz w:val="20"/>
          <w:szCs w:val="20"/>
        </w:rPr>
      </w:pPr>
      <w:r w:rsidRPr="00D859A3">
        <w:rPr>
          <w:rFonts w:ascii="Times New Roman" w:eastAsia="Times New Roman" w:hAnsi="Times New Roman"/>
          <w:sz w:val="20"/>
          <w:szCs w:val="20"/>
        </w:rPr>
        <w:t>Anda.Lagzdina@em.gov.lv, 67013161</w:t>
      </w:r>
      <w:r w:rsidRPr="00D859A3">
        <w:rPr>
          <w:rFonts w:ascii="Times New Roman" w:hAnsi="Times New Roman"/>
          <w:sz w:val="20"/>
          <w:szCs w:val="20"/>
        </w:rPr>
        <w:tab/>
      </w:r>
    </w:p>
    <w:p w:rsidR="00865185" w:rsidRDefault="00865185" w:rsidP="00865185"/>
    <w:p w:rsidR="00865185" w:rsidRDefault="00865185" w:rsidP="00865185"/>
    <w:p w:rsidR="000F72AE" w:rsidRDefault="000F72AE"/>
    <w:sectPr w:rsidR="000F72AE" w:rsidSect="0073506A">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39" w:rsidRDefault="00D82F39">
      <w:pPr>
        <w:spacing w:after="0" w:line="240" w:lineRule="auto"/>
      </w:pPr>
      <w:r>
        <w:separator/>
      </w:r>
    </w:p>
  </w:endnote>
  <w:endnote w:type="continuationSeparator" w:id="0">
    <w:p w:rsidR="00D82F39" w:rsidRDefault="00D8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7E" w:rsidRPr="007563C2" w:rsidRDefault="009A2BBA" w:rsidP="00A06BA8">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AB7C7C">
      <w:rPr>
        <w:rFonts w:ascii="Times New Roman" w:eastAsia="Times New Roman" w:hAnsi="Times New Roman"/>
        <w:noProof/>
        <w:sz w:val="20"/>
        <w:szCs w:val="20"/>
        <w:lang w:eastAsia="lv-LV"/>
      </w:rPr>
      <w:t>EMAnot_07042017_Groz1065.docx</w:t>
    </w:r>
    <w:r w:rsidRPr="007563C2">
      <w:rPr>
        <w:rFonts w:ascii="Times New Roman" w:eastAsia="Times New Roman" w:hAnsi="Times New Roman"/>
        <w:noProof/>
        <w:sz w:val="20"/>
        <w:szCs w:val="20"/>
        <w:lang w:eastAsia="lv-LV"/>
      </w:rPr>
      <w:fldChar w:fldCharType="end"/>
    </w:r>
    <w:r w:rsidRPr="007563C2">
      <w:rPr>
        <w:rFonts w:ascii="Times New Roman" w:eastAsia="Times New Roman" w:hAnsi="Times New Roman"/>
        <w:sz w:val="20"/>
        <w:szCs w:val="20"/>
        <w:lang w:eastAsia="lv-LV"/>
      </w:rPr>
      <w:t xml:space="preserve">; </w:t>
    </w:r>
    <w:r w:rsidRPr="00130199">
      <w:rPr>
        <w:rFonts w:ascii="Times New Roman" w:eastAsia="Times New Roman" w:hAnsi="Times New Roman"/>
        <w:sz w:val="20"/>
        <w:szCs w:val="20"/>
        <w:lang w:eastAsia="lv-LV"/>
      </w:rPr>
      <w:t>Ministru kabineta noteikumu projekta „</w:t>
    </w:r>
    <w:r w:rsidRPr="00A06BA8">
      <w:rPr>
        <w:rFonts w:ascii="Times New Roman" w:eastAsia="Times New Roman" w:hAnsi="Times New Roman"/>
        <w:sz w:val="20"/>
        <w:szCs w:val="20"/>
        <w:lang w:eastAsia="lv-LV"/>
      </w:rPr>
      <w:t>Ministru kabineta 2016.gada 15.marta noteikumos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130199">
      <w:rPr>
        <w:rFonts w:ascii="Times New Roman" w:eastAsia="Times New Roman" w:hAnsi="Times New Roman"/>
        <w:sz w:val="20"/>
        <w:szCs w:val="20"/>
        <w:lang w:eastAsia="lv-LV"/>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7E" w:rsidRPr="002973CD" w:rsidRDefault="009A2BBA" w:rsidP="0073506A">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AB7C7C">
      <w:rPr>
        <w:rFonts w:ascii="Times New Roman" w:eastAsia="Times New Roman" w:hAnsi="Times New Roman"/>
        <w:noProof/>
        <w:sz w:val="20"/>
        <w:szCs w:val="20"/>
        <w:lang w:eastAsia="lv-LV"/>
      </w:rPr>
      <w:t>EMAnot_07042017_Groz1065.docx</w:t>
    </w:r>
    <w:r w:rsidRPr="007563C2">
      <w:rPr>
        <w:rFonts w:ascii="Times New Roman" w:eastAsia="Times New Roman" w:hAnsi="Times New Roman"/>
        <w:noProof/>
        <w:sz w:val="20"/>
        <w:szCs w:val="20"/>
        <w:lang w:eastAsia="lv-LV"/>
      </w:rPr>
      <w:fldChar w:fldCharType="end"/>
    </w:r>
    <w:r w:rsidRPr="007563C2">
      <w:rPr>
        <w:rFonts w:ascii="Times New Roman" w:eastAsia="Times New Roman" w:hAnsi="Times New Roman"/>
        <w:sz w:val="20"/>
        <w:szCs w:val="20"/>
        <w:lang w:eastAsia="lv-LV"/>
      </w:rPr>
      <w:t xml:space="preserve">; </w:t>
    </w:r>
    <w:r w:rsidRPr="00130199">
      <w:rPr>
        <w:rFonts w:ascii="Times New Roman" w:eastAsia="Times New Roman" w:hAnsi="Times New Roman"/>
        <w:sz w:val="20"/>
        <w:szCs w:val="20"/>
        <w:lang w:eastAsia="lv-LV"/>
      </w:rPr>
      <w:t>Ministru kabineta noteikumu projekta „</w:t>
    </w:r>
    <w:r w:rsidRPr="00A06BA8">
      <w:rPr>
        <w:rFonts w:ascii="Times New Roman" w:eastAsia="Times New Roman" w:hAnsi="Times New Roman"/>
        <w:sz w:val="20"/>
        <w:szCs w:val="20"/>
        <w:lang w:eastAsia="lv-LV"/>
      </w:rPr>
      <w:t>Ministru kabineta</w:t>
    </w:r>
    <w:r>
      <w:rPr>
        <w:rFonts w:ascii="Times New Roman" w:eastAsia="Times New Roman" w:hAnsi="Times New Roman"/>
        <w:sz w:val="20"/>
        <w:szCs w:val="20"/>
        <w:lang w:eastAsia="lv-LV"/>
      </w:rPr>
      <w:t xml:space="preserve"> 2016.gada 15.marta noteikumos N</w:t>
    </w:r>
    <w:r w:rsidRPr="00A06BA8">
      <w:rPr>
        <w:rFonts w:ascii="Times New Roman" w:eastAsia="Times New Roman" w:hAnsi="Times New Roman"/>
        <w:sz w:val="20"/>
        <w:szCs w:val="20"/>
        <w:lang w:eastAsia="lv-LV"/>
      </w:rPr>
      <w:t>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130199">
      <w:rPr>
        <w:rFonts w:ascii="Times New Roman" w:eastAsia="Times New Roman" w:hAnsi="Times New Roman"/>
        <w:sz w:val="20"/>
        <w:szCs w:val="20"/>
        <w:lang w:eastAsia="lv-LV"/>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39" w:rsidRDefault="00D82F39">
      <w:pPr>
        <w:spacing w:after="0" w:line="240" w:lineRule="auto"/>
      </w:pPr>
      <w:r>
        <w:separator/>
      </w:r>
    </w:p>
  </w:footnote>
  <w:footnote w:type="continuationSeparator" w:id="0">
    <w:p w:rsidR="00D82F39" w:rsidRDefault="00D8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7E" w:rsidRPr="00370273" w:rsidRDefault="009A2BBA">
    <w:pPr>
      <w:pStyle w:val="Header"/>
      <w:jc w:val="center"/>
      <w:rPr>
        <w:rFonts w:ascii="Times New Roman" w:hAnsi="Times New Roman"/>
      </w:rPr>
    </w:pPr>
    <w:r w:rsidRPr="00370273">
      <w:rPr>
        <w:rFonts w:ascii="Times New Roman" w:hAnsi="Times New Roman"/>
      </w:rPr>
      <w:fldChar w:fldCharType="begin"/>
    </w:r>
    <w:r w:rsidRPr="00370273">
      <w:rPr>
        <w:rFonts w:ascii="Times New Roman" w:hAnsi="Times New Roman"/>
      </w:rPr>
      <w:instrText xml:space="preserve"> PAGE   \* MERGEFORMAT </w:instrText>
    </w:r>
    <w:r w:rsidRPr="00370273">
      <w:rPr>
        <w:rFonts w:ascii="Times New Roman" w:hAnsi="Times New Roman"/>
      </w:rPr>
      <w:fldChar w:fldCharType="separate"/>
    </w:r>
    <w:r w:rsidR="00B52C1A">
      <w:rPr>
        <w:rFonts w:ascii="Times New Roman" w:hAnsi="Times New Roman"/>
        <w:noProof/>
      </w:rPr>
      <w:t>8</w:t>
    </w:r>
    <w:r w:rsidRPr="00370273">
      <w:rPr>
        <w:rFonts w:ascii="Times New Roman" w:hAnsi="Times New Roman"/>
        <w:noProof/>
      </w:rPr>
      <w:fldChar w:fldCharType="end"/>
    </w:r>
  </w:p>
  <w:p w:rsidR="005A357E" w:rsidRDefault="00B52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825"/>
    <w:multiLevelType w:val="hybridMultilevel"/>
    <w:tmpl w:val="10389AFA"/>
    <w:lvl w:ilvl="0" w:tplc="33DAC180">
      <w:numFmt w:val="bullet"/>
      <w:lvlText w:val="-"/>
      <w:lvlJc w:val="left"/>
      <w:pPr>
        <w:ind w:left="1008" w:hanging="360"/>
      </w:pPr>
      <w:rPr>
        <w:rFonts w:ascii="Times New Roman" w:eastAsia="Times New Roman" w:hAnsi="Times New Roman" w:cs="Times New Roman"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1" w15:restartNumberingAfterBreak="0">
    <w:nsid w:val="2343069D"/>
    <w:multiLevelType w:val="hybridMultilevel"/>
    <w:tmpl w:val="D902E1FA"/>
    <w:lvl w:ilvl="0" w:tplc="0426000B">
      <w:start w:val="1"/>
      <w:numFmt w:val="bullet"/>
      <w:lvlText w:val=""/>
      <w:lvlJc w:val="left"/>
      <w:pPr>
        <w:ind w:left="1369" w:hanging="360"/>
      </w:pPr>
      <w:rPr>
        <w:rFonts w:ascii="Wingdings" w:hAnsi="Wingdings" w:hint="default"/>
      </w:rPr>
    </w:lvl>
    <w:lvl w:ilvl="1" w:tplc="04260003" w:tentative="1">
      <w:start w:val="1"/>
      <w:numFmt w:val="bullet"/>
      <w:lvlText w:val="o"/>
      <w:lvlJc w:val="left"/>
      <w:pPr>
        <w:ind w:left="2089" w:hanging="360"/>
      </w:pPr>
      <w:rPr>
        <w:rFonts w:ascii="Courier New" w:hAnsi="Courier New" w:cs="Courier New" w:hint="default"/>
      </w:rPr>
    </w:lvl>
    <w:lvl w:ilvl="2" w:tplc="04260005" w:tentative="1">
      <w:start w:val="1"/>
      <w:numFmt w:val="bullet"/>
      <w:lvlText w:val=""/>
      <w:lvlJc w:val="left"/>
      <w:pPr>
        <w:ind w:left="2809" w:hanging="360"/>
      </w:pPr>
      <w:rPr>
        <w:rFonts w:ascii="Wingdings" w:hAnsi="Wingdings" w:hint="default"/>
      </w:rPr>
    </w:lvl>
    <w:lvl w:ilvl="3" w:tplc="04260001" w:tentative="1">
      <w:start w:val="1"/>
      <w:numFmt w:val="bullet"/>
      <w:lvlText w:val=""/>
      <w:lvlJc w:val="left"/>
      <w:pPr>
        <w:ind w:left="3529" w:hanging="360"/>
      </w:pPr>
      <w:rPr>
        <w:rFonts w:ascii="Symbol" w:hAnsi="Symbol" w:hint="default"/>
      </w:rPr>
    </w:lvl>
    <w:lvl w:ilvl="4" w:tplc="04260003" w:tentative="1">
      <w:start w:val="1"/>
      <w:numFmt w:val="bullet"/>
      <w:lvlText w:val="o"/>
      <w:lvlJc w:val="left"/>
      <w:pPr>
        <w:ind w:left="4249" w:hanging="360"/>
      </w:pPr>
      <w:rPr>
        <w:rFonts w:ascii="Courier New" w:hAnsi="Courier New" w:cs="Courier New" w:hint="default"/>
      </w:rPr>
    </w:lvl>
    <w:lvl w:ilvl="5" w:tplc="04260005" w:tentative="1">
      <w:start w:val="1"/>
      <w:numFmt w:val="bullet"/>
      <w:lvlText w:val=""/>
      <w:lvlJc w:val="left"/>
      <w:pPr>
        <w:ind w:left="4969" w:hanging="360"/>
      </w:pPr>
      <w:rPr>
        <w:rFonts w:ascii="Wingdings" w:hAnsi="Wingdings" w:hint="default"/>
      </w:rPr>
    </w:lvl>
    <w:lvl w:ilvl="6" w:tplc="04260001" w:tentative="1">
      <w:start w:val="1"/>
      <w:numFmt w:val="bullet"/>
      <w:lvlText w:val=""/>
      <w:lvlJc w:val="left"/>
      <w:pPr>
        <w:ind w:left="5689" w:hanging="360"/>
      </w:pPr>
      <w:rPr>
        <w:rFonts w:ascii="Symbol" w:hAnsi="Symbol" w:hint="default"/>
      </w:rPr>
    </w:lvl>
    <w:lvl w:ilvl="7" w:tplc="04260003" w:tentative="1">
      <w:start w:val="1"/>
      <w:numFmt w:val="bullet"/>
      <w:lvlText w:val="o"/>
      <w:lvlJc w:val="left"/>
      <w:pPr>
        <w:ind w:left="6409" w:hanging="360"/>
      </w:pPr>
      <w:rPr>
        <w:rFonts w:ascii="Courier New" w:hAnsi="Courier New" w:cs="Courier New" w:hint="default"/>
      </w:rPr>
    </w:lvl>
    <w:lvl w:ilvl="8" w:tplc="04260005" w:tentative="1">
      <w:start w:val="1"/>
      <w:numFmt w:val="bullet"/>
      <w:lvlText w:val=""/>
      <w:lvlJc w:val="left"/>
      <w:pPr>
        <w:ind w:left="7129" w:hanging="360"/>
      </w:pPr>
      <w:rPr>
        <w:rFonts w:ascii="Wingdings" w:hAnsi="Wingdings" w:hint="default"/>
      </w:rPr>
    </w:lvl>
  </w:abstractNum>
  <w:abstractNum w:abstractNumId="2" w15:restartNumberingAfterBreak="0">
    <w:nsid w:val="2FE067BF"/>
    <w:multiLevelType w:val="hybridMultilevel"/>
    <w:tmpl w:val="B6F6A51A"/>
    <w:lvl w:ilvl="0" w:tplc="10E0BA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BC1EDF"/>
    <w:multiLevelType w:val="hybridMultilevel"/>
    <w:tmpl w:val="8CE47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737D58"/>
    <w:multiLevelType w:val="hybridMultilevel"/>
    <w:tmpl w:val="8C562F6C"/>
    <w:lvl w:ilvl="0" w:tplc="C62297A2">
      <w:start w:val="1"/>
      <w:numFmt w:val="decimal"/>
      <w:lvlText w:val="%1."/>
      <w:lvlJc w:val="left"/>
      <w:pPr>
        <w:ind w:left="720"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5474CA"/>
    <w:multiLevelType w:val="hybridMultilevel"/>
    <w:tmpl w:val="C6CE4754"/>
    <w:lvl w:ilvl="0" w:tplc="33DAC180">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710464CD"/>
    <w:multiLevelType w:val="hybridMultilevel"/>
    <w:tmpl w:val="56206500"/>
    <w:lvl w:ilvl="0" w:tplc="BAD65208">
      <w:start w:val="1"/>
      <w:numFmt w:val="decimal"/>
      <w:lvlText w:val="%1)"/>
      <w:lvlJc w:val="left"/>
      <w:pPr>
        <w:ind w:left="732" w:hanging="360"/>
      </w:pPr>
      <w:rPr>
        <w:rFonts w:hint="default"/>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7" w15:restartNumberingAfterBreak="0">
    <w:nsid w:val="7BB11309"/>
    <w:multiLevelType w:val="hybridMultilevel"/>
    <w:tmpl w:val="9E966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hideSpellingErrors/>
  <w:hideGrammaticalErrors/>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85"/>
    <w:rsid w:val="000F72AE"/>
    <w:rsid w:val="0021286C"/>
    <w:rsid w:val="002D22D1"/>
    <w:rsid w:val="006B2223"/>
    <w:rsid w:val="008245A4"/>
    <w:rsid w:val="00865185"/>
    <w:rsid w:val="009A2BBA"/>
    <w:rsid w:val="00AB7C7C"/>
    <w:rsid w:val="00B259AE"/>
    <w:rsid w:val="00B52C1A"/>
    <w:rsid w:val="00D82F39"/>
    <w:rsid w:val="00F74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5D3E"/>
  <w15:chartTrackingRefBased/>
  <w15:docId w15:val="{0E3FEE75-22FD-4E91-A09E-887BC1F4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51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185"/>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865185"/>
    <w:rPr>
      <w:rFonts w:ascii="Calibri" w:eastAsia="Calibri" w:hAnsi="Calibri" w:cs="Times New Roman"/>
      <w:sz w:val="20"/>
      <w:szCs w:val="20"/>
      <w:lang w:val="x-none" w:eastAsia="x-none"/>
    </w:rPr>
  </w:style>
  <w:style w:type="paragraph" w:styleId="ListParagraph">
    <w:name w:val="List Paragraph"/>
    <w:basedOn w:val="Normal"/>
    <w:link w:val="ListParagraphChar"/>
    <w:uiPriority w:val="34"/>
    <w:qFormat/>
    <w:rsid w:val="00865185"/>
    <w:pPr>
      <w:ind w:left="720"/>
      <w:contextualSpacing/>
    </w:pPr>
    <w:rPr>
      <w:sz w:val="20"/>
      <w:szCs w:val="20"/>
      <w:lang w:val="x-none" w:eastAsia="x-none"/>
    </w:rPr>
  </w:style>
  <w:style w:type="character" w:customStyle="1" w:styleId="ListParagraphChar">
    <w:name w:val="List Paragraph Char"/>
    <w:link w:val="ListParagraph"/>
    <w:uiPriority w:val="34"/>
    <w:locked/>
    <w:rsid w:val="00865185"/>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AB7C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7C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1967</Words>
  <Characters>14331</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15.septembra noteikumos Nr.1065 „Noteikumi par aizdevumiem sīko (mikro), mazo un vidējo saimnieciskās darbības veicēju un lauksaimniecības pakalpojumu kooperatīvo sabiedrību attīs</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15.septembra noteikumos Nr.1065 „Noteikumi par aizdevumiem sīko (mikro), mazo un vidējo saimnieciskās darbības veicēju un lauksaimniecības pakalpojumu kooperatīvo sabiedrību attīstības veicināšanai”” sākotnējās ietekmes novērtējuma ziņojums (anotācija)</dc:title>
  <dc:subject>Anotācija</dc:subject>
  <dc:creator>Anda Lagzdiņa</dc:creator>
  <cp:keywords/>
  <dc:description>Anda.Lagzdina@em.gov.lv, tālr. 67013161</dc:description>
  <cp:lastModifiedBy>Dzintars Kauliņš</cp:lastModifiedBy>
  <cp:revision>8</cp:revision>
  <dcterms:created xsi:type="dcterms:W3CDTF">2017-03-24T08:15:00Z</dcterms:created>
  <dcterms:modified xsi:type="dcterms:W3CDTF">2017-04-10T13:50:00Z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