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1B" w:rsidRPr="00C4100B" w:rsidRDefault="008B1269" w:rsidP="00AC641B">
      <w:pPr>
        <w:jc w:val="center"/>
        <w:rPr>
          <w:b/>
          <w:bCs/>
        </w:rPr>
      </w:pPr>
      <w:bookmarkStart w:id="0" w:name="_GoBack"/>
      <w:bookmarkEnd w:id="0"/>
      <w:r w:rsidRPr="00C4100B">
        <w:rPr>
          <w:b/>
          <w:bCs/>
        </w:rPr>
        <w:t>Likum</w:t>
      </w:r>
      <w:r w:rsidR="00AC641B" w:rsidRPr="00C4100B">
        <w:rPr>
          <w:b/>
          <w:bCs/>
        </w:rPr>
        <w:t xml:space="preserve">projekta </w:t>
      </w:r>
    </w:p>
    <w:p w:rsidR="00AC641B" w:rsidRPr="00C4100B" w:rsidRDefault="00F125BC" w:rsidP="00704612">
      <w:pPr>
        <w:jc w:val="center"/>
        <w:rPr>
          <w:b/>
        </w:rPr>
      </w:pPr>
      <w:r w:rsidRPr="00C4100B">
        <w:rPr>
          <w:b/>
        </w:rPr>
        <w:t>„</w:t>
      </w:r>
      <w:r w:rsidR="008B1269" w:rsidRPr="00C4100B">
        <w:rPr>
          <w:b/>
          <w:bCs/>
        </w:rPr>
        <w:t xml:space="preserve">Grozījumi </w:t>
      </w:r>
      <w:r w:rsidR="00704612">
        <w:rPr>
          <w:b/>
          <w:bCs/>
        </w:rPr>
        <w:t>likumā “Par uzņēmumu ienākuma nodokli” s</w:t>
      </w:r>
      <w:r w:rsidR="00AC641B" w:rsidRPr="00C4100B">
        <w:rPr>
          <w:b/>
        </w:rPr>
        <w:t xml:space="preserve">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AC641B" w:rsidRPr="00C4100B">
          <w:rPr>
            <w:b/>
          </w:rPr>
          <w:t>ziņojums</w:t>
        </w:r>
      </w:smartTag>
      <w:r w:rsidR="00AC641B" w:rsidRPr="00C4100B">
        <w:rPr>
          <w:b/>
        </w:rPr>
        <w:t xml:space="preserve"> (anotācija)</w:t>
      </w:r>
    </w:p>
    <w:p w:rsidR="002D7799" w:rsidRPr="00C4100B" w:rsidRDefault="002D7799" w:rsidP="002D7799">
      <w:pPr>
        <w:pStyle w:val="Footer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4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2885"/>
        <w:gridCol w:w="6544"/>
      </w:tblGrid>
      <w:tr w:rsidR="002D7799" w:rsidRPr="00C4100B" w:rsidTr="0049303B">
        <w:trPr>
          <w:trHeight w:val="419"/>
        </w:trPr>
        <w:tc>
          <w:tcPr>
            <w:tcW w:w="5000" w:type="pct"/>
            <w:gridSpan w:val="3"/>
            <w:vAlign w:val="center"/>
          </w:tcPr>
          <w:p w:rsidR="002D7799" w:rsidRPr="00C4100B" w:rsidRDefault="002D7799" w:rsidP="0049303B">
            <w:pPr>
              <w:pStyle w:val="naisnod"/>
              <w:spacing w:before="0" w:after="0"/>
              <w:ind w:left="57" w:right="57"/>
            </w:pPr>
            <w:r w:rsidRPr="00C4100B">
              <w:t>I. Tiesību akta projekta izstrādes nepieciešamība</w:t>
            </w:r>
          </w:p>
        </w:tc>
      </w:tr>
      <w:tr w:rsidR="002D7799" w:rsidRPr="00C4100B" w:rsidTr="002D7799">
        <w:trPr>
          <w:trHeight w:val="835"/>
        </w:trPr>
        <w:tc>
          <w:tcPr>
            <w:tcW w:w="212" w:type="pct"/>
          </w:tcPr>
          <w:p w:rsidR="002D7799" w:rsidRPr="00C4100B" w:rsidRDefault="002D7799" w:rsidP="0049303B">
            <w:pPr>
              <w:pStyle w:val="naiskr"/>
              <w:spacing w:before="0" w:after="0"/>
              <w:ind w:left="57" w:right="57"/>
              <w:jc w:val="center"/>
            </w:pPr>
            <w:r w:rsidRPr="00C4100B">
              <w:t>1.</w:t>
            </w:r>
          </w:p>
        </w:tc>
        <w:tc>
          <w:tcPr>
            <w:tcW w:w="1465" w:type="pct"/>
          </w:tcPr>
          <w:p w:rsidR="002D7799" w:rsidRPr="00C4100B" w:rsidRDefault="002D7799" w:rsidP="0049303B">
            <w:pPr>
              <w:pStyle w:val="naiskr"/>
              <w:spacing w:before="0" w:after="0"/>
              <w:ind w:left="57" w:right="57"/>
            </w:pPr>
            <w:r w:rsidRPr="00C4100B">
              <w:t>Pamatojums</w:t>
            </w:r>
          </w:p>
        </w:tc>
        <w:tc>
          <w:tcPr>
            <w:tcW w:w="3323" w:type="pct"/>
          </w:tcPr>
          <w:p w:rsidR="002D7799" w:rsidRPr="00C4100B" w:rsidRDefault="00360089" w:rsidP="00360089">
            <w:pPr>
              <w:jc w:val="both"/>
            </w:pPr>
            <w:r>
              <w:t>Ministru kabineta 2017</w:t>
            </w:r>
            <w:r w:rsidR="002D7799" w:rsidRPr="00C4100B">
              <w:t xml:space="preserve">.gada </w:t>
            </w:r>
            <w:r>
              <w:t>3.janvāra</w:t>
            </w:r>
            <w:r w:rsidR="002D7799" w:rsidRPr="00C4100B">
              <w:t xml:space="preserve"> sēdes protokola Nr.1, </w:t>
            </w:r>
            <w:r>
              <w:t>42.§ 4</w:t>
            </w:r>
            <w:r w:rsidR="002D7799" w:rsidRPr="00C4100B">
              <w:t>.punkts.</w:t>
            </w:r>
          </w:p>
        </w:tc>
      </w:tr>
      <w:tr w:rsidR="002D7799" w:rsidRPr="00C4100B" w:rsidTr="0049303B">
        <w:trPr>
          <w:trHeight w:val="8436"/>
        </w:trPr>
        <w:tc>
          <w:tcPr>
            <w:tcW w:w="212" w:type="pct"/>
          </w:tcPr>
          <w:p w:rsidR="002D7799" w:rsidRPr="00C4100B" w:rsidRDefault="002D7799" w:rsidP="0049303B">
            <w:pPr>
              <w:pStyle w:val="naiskr"/>
              <w:spacing w:before="0" w:after="0"/>
              <w:ind w:left="57" w:right="57"/>
              <w:jc w:val="center"/>
            </w:pPr>
            <w:r w:rsidRPr="00C4100B">
              <w:t>2.</w:t>
            </w:r>
          </w:p>
        </w:tc>
        <w:tc>
          <w:tcPr>
            <w:tcW w:w="1465" w:type="pct"/>
          </w:tcPr>
          <w:p w:rsidR="002D7799" w:rsidRPr="00C4100B" w:rsidRDefault="002D7799" w:rsidP="0049303B">
            <w:pPr>
              <w:pStyle w:val="naiskr"/>
              <w:spacing w:before="0" w:after="0"/>
              <w:ind w:left="57" w:right="57"/>
            </w:pPr>
            <w:r w:rsidRPr="00C4100B">
              <w:rPr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23" w:type="pct"/>
          </w:tcPr>
          <w:p w:rsidR="009F30F0" w:rsidRPr="00907CA7" w:rsidRDefault="00191549" w:rsidP="00301B75">
            <w:pPr>
              <w:jc w:val="both"/>
            </w:pPr>
            <w:r w:rsidRPr="00907CA7">
              <w:t>Esošais regulējums noteic, ka Ministru kabinets pieņem lēmumu par atbalstāmo investīciju projekta atbalstīšanu vai atte</w:t>
            </w:r>
            <w:r w:rsidR="00470E77" w:rsidRPr="00907CA7">
              <w:t>ikumu. Komersanta sagatavota projekta valsts atbalsta piešķiršanai izskatīšana un lēmuma pieņemšana par projekta atbalstīšanu vai atteikumu nav Ministru kabinetam raksturīgs pienākums. Šādus lēmumus var pieņemt</w:t>
            </w:r>
            <w:r w:rsidR="00295103">
              <w:t xml:space="preserve"> hierarhiski</w:t>
            </w:r>
            <w:r w:rsidR="00470E77" w:rsidRPr="00907CA7">
              <w:t xml:space="preserve"> zemāka</w:t>
            </w:r>
            <w:r w:rsidR="00295103">
              <w:t xml:space="preserve"> </w:t>
            </w:r>
            <w:r w:rsidR="00470E77" w:rsidRPr="00907CA7">
              <w:t>līmeņa institūcijās, tādējādi atslogojot Ministru kabinetu, kā arī vienkāršojot lēmuma pieņemšanas procedūru.</w:t>
            </w:r>
            <w:r w:rsidR="005B302B" w:rsidRPr="00907CA7">
              <w:t xml:space="preserve"> Līdz ar to likumprojekts paredz, ka</w:t>
            </w:r>
            <w:r w:rsidR="005D44FB">
              <w:t xml:space="preserve"> </w:t>
            </w:r>
            <w:r w:rsidR="005B302B" w:rsidRPr="00907CA7">
              <w:t>lēmumu par atbalstāmo investīciju projekta atbalstīšanu vai atteikumu</w:t>
            </w:r>
            <w:r w:rsidR="005D44FB">
              <w:t xml:space="preserve"> pieņem</w:t>
            </w:r>
            <w:r w:rsidR="005D44FB" w:rsidRPr="00907CA7">
              <w:t xml:space="preserve"> Ministru kabineta noteiktajā kārtībā izveidota komisija</w:t>
            </w:r>
            <w:r w:rsidR="005B302B" w:rsidRPr="00907CA7">
              <w:t>. Izrietoši likumprojekts groza arī minētā lēmuma pieņemšanas termiņu no 12 uz 6 mēnešiem, ņemot vērā, ka tiek vienkāršota lēmuma pieņemšanas procedūra.</w:t>
            </w:r>
          </w:p>
          <w:p w:rsidR="00C21F07" w:rsidRDefault="005A61A6" w:rsidP="00301B75">
            <w:pPr>
              <w:jc w:val="both"/>
            </w:pPr>
            <w:r w:rsidRPr="00907CA7">
              <w:t>Esošais regulējums paredz deleģējumu Ministru kabinetam noteikt kārtību, kādā</w:t>
            </w:r>
            <w:r w:rsidR="005347EF" w:rsidRPr="00907CA7">
              <w:t xml:space="preserve"> veic grozījumus atbalstāmo investīciju projektā</w:t>
            </w:r>
            <w:r w:rsidR="005B1CF9">
              <w:t>. Nepilnība esošajā norm</w:t>
            </w:r>
            <w:r w:rsidR="00C17D6A">
              <w:t>ā -</w:t>
            </w:r>
            <w:r w:rsidR="005B1CF9">
              <w:t xml:space="preserve"> nav noteikts, kura institūcija ir tiesīga veikt grozījumus atbalstāmo investīciju projektā.</w:t>
            </w:r>
            <w:r w:rsidR="00EF6FD3">
              <w:t xml:space="preserve"> </w:t>
            </w:r>
            <w:r w:rsidR="00A13224">
              <w:t>Izstrādātais likumprojekts noteic, ka Ministru kabinets nosaka kārtību, kādā komisija vērtē izmaiņas atbalstāmo investīciju projektā</w:t>
            </w:r>
            <w:r w:rsidR="00115044" w:rsidRPr="00115044">
              <w:t xml:space="preserve"> un nosacījumus, pie kādiem komisija konstatē, vai izmaiņas atbilst atbalstītajam investīciju projektam</w:t>
            </w:r>
            <w:r w:rsidR="00A13224">
              <w:t>. Ņemot vērā, ka līdzšinējā prakse liecina, ka katrā atbalstītajā investīciju projektā tā īstenošanas laikā ir izmaiņas, šāds deleģējums ir nepieciešams, lai</w:t>
            </w:r>
            <w:r w:rsidR="00981EA2">
              <w:t xml:space="preserve"> Ministru kabinets noteiktu minēto kārtību un nosacījumus, kas tādējādi būtu skaidri</w:t>
            </w:r>
            <w:r w:rsidR="00A13224">
              <w:t xml:space="preserve"> investīciju projektu īstenotājiem un vērtētājiem</w:t>
            </w:r>
            <w:r w:rsidR="002F2116">
              <w:t>.</w:t>
            </w:r>
            <w:r w:rsidR="00CE6E09">
              <w:t xml:space="preserve"> </w:t>
            </w:r>
            <w:r w:rsidR="005B1CF9">
              <w:t xml:space="preserve"> </w:t>
            </w:r>
          </w:p>
          <w:p w:rsidR="00301B75" w:rsidRPr="00303F55" w:rsidRDefault="00C21F07" w:rsidP="00303F55">
            <w:pPr>
              <w:jc w:val="both"/>
              <w:rPr>
                <w:highlight w:val="yellow"/>
              </w:rPr>
            </w:pPr>
            <w:r>
              <w:t>Esošajā regulējumā trūkst deleģējums Ministru kabinetam noteikt lēmuma pieņemšanā par uzņēmumu ienākuma nodokļa atlaides piemērošanu iesaistītās valsts pārvaldes institūcijas un to pienākumus</w:t>
            </w:r>
            <w:r w:rsidR="005D44FB">
              <w:t xml:space="preserve">. </w:t>
            </w:r>
            <w:r>
              <w:t>Likumprojektā iekļauts minētais deleģējums</w:t>
            </w:r>
            <w:r w:rsidR="00303F55">
              <w:t>.</w:t>
            </w:r>
          </w:p>
        </w:tc>
      </w:tr>
      <w:tr w:rsidR="002D7799" w:rsidRPr="00C4100B" w:rsidTr="0049303B">
        <w:trPr>
          <w:trHeight w:val="476"/>
        </w:trPr>
        <w:tc>
          <w:tcPr>
            <w:tcW w:w="212" w:type="pct"/>
          </w:tcPr>
          <w:p w:rsidR="002D7799" w:rsidRPr="00C4100B" w:rsidRDefault="002D7799" w:rsidP="0049303B">
            <w:pPr>
              <w:pStyle w:val="naiskr"/>
              <w:spacing w:before="0" w:after="0"/>
              <w:ind w:left="57" w:right="57"/>
              <w:jc w:val="center"/>
            </w:pPr>
            <w:r w:rsidRPr="00C4100B">
              <w:t>3.</w:t>
            </w:r>
          </w:p>
        </w:tc>
        <w:tc>
          <w:tcPr>
            <w:tcW w:w="1465" w:type="pct"/>
          </w:tcPr>
          <w:p w:rsidR="002D7799" w:rsidRPr="00C4100B" w:rsidRDefault="002D7799" w:rsidP="0049303B">
            <w:pPr>
              <w:pStyle w:val="naiskr"/>
              <w:spacing w:before="0" w:after="0"/>
              <w:ind w:left="57" w:right="57"/>
            </w:pPr>
            <w:r w:rsidRPr="00C4100B">
              <w:t>Projekta izstrādē iesaistītās institūcijas</w:t>
            </w:r>
          </w:p>
          <w:p w:rsidR="002D7799" w:rsidRPr="00C4100B" w:rsidRDefault="002D7799" w:rsidP="0049303B">
            <w:pPr>
              <w:pStyle w:val="naiskr"/>
              <w:spacing w:before="0" w:after="0"/>
              <w:ind w:left="57" w:right="57"/>
            </w:pPr>
          </w:p>
        </w:tc>
        <w:tc>
          <w:tcPr>
            <w:tcW w:w="3323" w:type="pct"/>
          </w:tcPr>
          <w:p w:rsidR="002D7799" w:rsidRPr="00C4100B" w:rsidRDefault="00301B75" w:rsidP="00301B75">
            <w:pPr>
              <w:pStyle w:val="naiskr"/>
              <w:spacing w:before="0" w:after="120"/>
              <w:ind w:right="57"/>
              <w:jc w:val="both"/>
            </w:pPr>
            <w:r>
              <w:t>Ekonomikas</w:t>
            </w:r>
            <w:r w:rsidR="008F6748" w:rsidRPr="00C4100B">
              <w:t xml:space="preserve"> ministrija</w:t>
            </w:r>
            <w:r>
              <w:t>.</w:t>
            </w:r>
          </w:p>
        </w:tc>
      </w:tr>
      <w:tr w:rsidR="002D7799" w:rsidRPr="00C4100B" w:rsidTr="0049303B">
        <w:tc>
          <w:tcPr>
            <w:tcW w:w="212" w:type="pct"/>
          </w:tcPr>
          <w:p w:rsidR="002D7799" w:rsidRPr="00C4100B" w:rsidRDefault="002D7799" w:rsidP="0049303B">
            <w:pPr>
              <w:pStyle w:val="naiskr"/>
              <w:spacing w:before="0" w:after="0"/>
              <w:ind w:left="57" w:right="57"/>
              <w:jc w:val="center"/>
            </w:pPr>
            <w:r w:rsidRPr="00C4100B">
              <w:t>4.</w:t>
            </w:r>
          </w:p>
        </w:tc>
        <w:tc>
          <w:tcPr>
            <w:tcW w:w="1465" w:type="pct"/>
          </w:tcPr>
          <w:p w:rsidR="002D7799" w:rsidRPr="00C4100B" w:rsidRDefault="002D7799" w:rsidP="0049303B">
            <w:pPr>
              <w:pStyle w:val="naiskr"/>
              <w:spacing w:before="0" w:after="0"/>
              <w:ind w:left="57" w:right="57"/>
            </w:pPr>
            <w:r w:rsidRPr="00C4100B">
              <w:t>Cita informācija</w:t>
            </w:r>
          </w:p>
          <w:p w:rsidR="002D7799" w:rsidRPr="00C4100B" w:rsidRDefault="002D7799" w:rsidP="0049303B">
            <w:pPr>
              <w:pStyle w:val="naiskr"/>
              <w:spacing w:before="0" w:after="0"/>
              <w:ind w:left="57" w:right="57"/>
            </w:pPr>
          </w:p>
        </w:tc>
        <w:tc>
          <w:tcPr>
            <w:tcW w:w="3323" w:type="pct"/>
          </w:tcPr>
          <w:p w:rsidR="002D7799" w:rsidRPr="00C4100B" w:rsidRDefault="002D7799" w:rsidP="0049303B">
            <w:pPr>
              <w:pStyle w:val="naiskr"/>
              <w:spacing w:before="0" w:after="0"/>
              <w:ind w:left="57" w:right="57"/>
            </w:pPr>
            <w:r w:rsidRPr="00C4100B">
              <w:t xml:space="preserve">Nav. </w:t>
            </w:r>
          </w:p>
        </w:tc>
      </w:tr>
    </w:tbl>
    <w:p w:rsidR="002D7799" w:rsidRPr="00C4100B" w:rsidRDefault="002D7799" w:rsidP="002D7799"/>
    <w:p w:rsidR="002D7799" w:rsidRPr="00C4100B" w:rsidRDefault="002D7799" w:rsidP="002D7799"/>
    <w:tbl>
      <w:tblPr>
        <w:tblpPr w:leftFromText="180" w:rightFromText="180" w:vertAnchor="text" w:horzAnchor="margin" w:tblpXSpec="center" w:tblpY="119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2639"/>
        <w:gridCol w:w="6480"/>
      </w:tblGrid>
      <w:tr w:rsidR="002D7799" w:rsidRPr="00C4100B" w:rsidTr="00DA4A25">
        <w:trPr>
          <w:trHeight w:val="556"/>
        </w:trPr>
        <w:tc>
          <w:tcPr>
            <w:tcW w:w="9862" w:type="dxa"/>
            <w:gridSpan w:val="3"/>
            <w:vAlign w:val="center"/>
          </w:tcPr>
          <w:p w:rsidR="002D7799" w:rsidRPr="00C4100B" w:rsidRDefault="002D7799" w:rsidP="0049303B">
            <w:pPr>
              <w:pStyle w:val="naisnod"/>
              <w:spacing w:before="0" w:after="0"/>
              <w:ind w:left="57" w:right="57"/>
            </w:pPr>
            <w:r w:rsidRPr="00C4100B">
              <w:t>II. Tiesību akta projekta ietekme uz sabiedrību, tautsaimniecības attīstību</w:t>
            </w:r>
          </w:p>
          <w:p w:rsidR="002D7799" w:rsidRPr="00C4100B" w:rsidRDefault="002D7799" w:rsidP="0049303B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C4100B">
              <w:t>un administratīvo slogu</w:t>
            </w:r>
          </w:p>
        </w:tc>
      </w:tr>
      <w:tr w:rsidR="002D7799" w:rsidRPr="00C4100B" w:rsidTr="00DA4A25">
        <w:trPr>
          <w:trHeight w:val="467"/>
        </w:trPr>
        <w:tc>
          <w:tcPr>
            <w:tcW w:w="743" w:type="dxa"/>
          </w:tcPr>
          <w:p w:rsidR="002D7799" w:rsidRPr="00C4100B" w:rsidRDefault="002D7799" w:rsidP="0049303B">
            <w:pPr>
              <w:pStyle w:val="naiskr"/>
              <w:spacing w:before="0" w:after="0"/>
              <w:ind w:left="57" w:right="57"/>
              <w:jc w:val="both"/>
            </w:pPr>
            <w:r w:rsidRPr="00C4100B">
              <w:t>1.</w:t>
            </w:r>
          </w:p>
        </w:tc>
        <w:tc>
          <w:tcPr>
            <w:tcW w:w="2639" w:type="dxa"/>
          </w:tcPr>
          <w:p w:rsidR="002D7799" w:rsidRPr="00C4100B" w:rsidRDefault="002D7799" w:rsidP="0049303B">
            <w:pPr>
              <w:pStyle w:val="naiskr"/>
              <w:spacing w:before="0" w:after="0"/>
              <w:ind w:left="57" w:right="57"/>
            </w:pPr>
            <w:r w:rsidRPr="00C4100B">
              <w:t xml:space="preserve">Sabiedrības mērķgrupas, kuras tiesiskais regulējums ietekmē vai </w:t>
            </w:r>
            <w:r w:rsidRPr="00C4100B">
              <w:lastRenderedPageBreak/>
              <w:t>varētu ietekmēt</w:t>
            </w:r>
          </w:p>
        </w:tc>
        <w:tc>
          <w:tcPr>
            <w:tcW w:w="6480" w:type="dxa"/>
          </w:tcPr>
          <w:p w:rsidR="00523814" w:rsidRDefault="004E019C" w:rsidP="005B177A">
            <w:pPr>
              <w:ind w:left="120" w:right="93"/>
              <w:jc w:val="both"/>
            </w:pPr>
            <w:bookmarkStart w:id="1" w:name="p21"/>
            <w:bookmarkEnd w:id="1"/>
            <w:r>
              <w:lastRenderedPageBreak/>
              <w:t>Likum</w:t>
            </w:r>
            <w:r w:rsidRPr="00D707C0">
              <w:t xml:space="preserve">projekts ietekmēs uzņēmumu ienākuma nodokļa maksātājus, kuri veic vai plāno veikt  atbalstāmo investīciju projekta ietvaros sākotnējos ilgtermiņa ieguldījumus. Līdz šim </w:t>
            </w:r>
            <w:r w:rsidRPr="00D707C0">
              <w:lastRenderedPageBreak/>
              <w:t>šādas investīcijas veikuši 26 uzņēmumu ienākuma nodokļa maksātāji.</w:t>
            </w:r>
          </w:p>
          <w:p w:rsidR="004E019C" w:rsidRPr="00C4100B" w:rsidRDefault="004E019C" w:rsidP="00C11D60">
            <w:pPr>
              <w:ind w:left="120" w:right="93"/>
              <w:jc w:val="both"/>
            </w:pPr>
            <w:r>
              <w:t>Likumprojekts ietekmēs arī Ministru kabinetu, kas saskaņā ar spēkā esošo normatīvo regulējumu pieņem lēmumus par atbalstāmo investīciju projektu atbalstīšanu vai atteikumu tos atbalstīt</w:t>
            </w:r>
            <w:r w:rsidR="00C11D60">
              <w:t>.</w:t>
            </w:r>
          </w:p>
        </w:tc>
      </w:tr>
      <w:tr w:rsidR="002D7799" w:rsidRPr="00C4100B" w:rsidTr="00DA4A25">
        <w:trPr>
          <w:trHeight w:val="523"/>
        </w:trPr>
        <w:tc>
          <w:tcPr>
            <w:tcW w:w="743" w:type="dxa"/>
          </w:tcPr>
          <w:p w:rsidR="002D7799" w:rsidRPr="00C4100B" w:rsidRDefault="002D7799" w:rsidP="0049303B">
            <w:pPr>
              <w:pStyle w:val="naiskr"/>
              <w:spacing w:before="0" w:after="0"/>
              <w:ind w:left="57" w:right="57"/>
              <w:jc w:val="both"/>
            </w:pPr>
            <w:r w:rsidRPr="00C4100B">
              <w:lastRenderedPageBreak/>
              <w:t>2.</w:t>
            </w:r>
          </w:p>
        </w:tc>
        <w:tc>
          <w:tcPr>
            <w:tcW w:w="2639" w:type="dxa"/>
          </w:tcPr>
          <w:p w:rsidR="002D7799" w:rsidRPr="00C4100B" w:rsidRDefault="002D7799" w:rsidP="0049303B">
            <w:pPr>
              <w:pStyle w:val="naiskr"/>
              <w:spacing w:before="0" w:after="0"/>
              <w:ind w:left="57" w:right="57"/>
            </w:pPr>
            <w:r w:rsidRPr="00C4100B">
              <w:t>Tiesiskā regulējuma ietekme uz tautsaimniecību un administratīvo slogu</w:t>
            </w:r>
          </w:p>
        </w:tc>
        <w:tc>
          <w:tcPr>
            <w:tcW w:w="6480" w:type="dxa"/>
          </w:tcPr>
          <w:p w:rsidR="002D7799" w:rsidRDefault="004E019C" w:rsidP="00975FC0">
            <w:pPr>
              <w:ind w:left="120" w:right="93"/>
              <w:jc w:val="both"/>
            </w:pPr>
            <w:r>
              <w:t>Uzņēmumu ienākuma nodokļa maksātājiem, kas īsteno vai plāno īstenot atbalstāmo investīciju projektus, a</w:t>
            </w:r>
            <w:r w:rsidR="00871887" w:rsidRPr="00C4100B">
              <w:t>dministratīvais slogs ne</w:t>
            </w:r>
            <w:r>
              <w:t>mainās</w:t>
            </w:r>
            <w:r w:rsidR="00871887" w:rsidRPr="00C4100B">
              <w:t>.</w:t>
            </w:r>
          </w:p>
          <w:p w:rsidR="004E019C" w:rsidRPr="00C4100B" w:rsidRDefault="004E019C" w:rsidP="00DA1CE2">
            <w:pPr>
              <w:ind w:left="120" w:right="93"/>
              <w:jc w:val="both"/>
            </w:pPr>
            <w:r>
              <w:t>Ministru kabineta admini</w:t>
            </w:r>
            <w:r w:rsidR="004F4D78">
              <w:t>stratīvais slogs samazinās, jo l</w:t>
            </w:r>
            <w:r>
              <w:t>ikumprojekts atbrīvo Ministru kabinetu no pienākuma pieņemt lēmumus par atbalstāmo investīciju projektu atbalstīšanu vai atteikumu tos atbalstīt.</w:t>
            </w:r>
          </w:p>
        </w:tc>
      </w:tr>
      <w:tr w:rsidR="002D7799" w:rsidRPr="00C4100B" w:rsidTr="00DA4A25">
        <w:trPr>
          <w:trHeight w:val="523"/>
        </w:trPr>
        <w:tc>
          <w:tcPr>
            <w:tcW w:w="743" w:type="dxa"/>
          </w:tcPr>
          <w:p w:rsidR="002D7799" w:rsidRPr="00C4100B" w:rsidRDefault="002D7799" w:rsidP="0049303B">
            <w:pPr>
              <w:pStyle w:val="CharCharCharChar"/>
              <w:ind w:left="57" w:right="57"/>
              <w:jc w:val="both"/>
            </w:pPr>
            <w:r w:rsidRPr="00C4100B">
              <w:t>3.</w:t>
            </w:r>
          </w:p>
        </w:tc>
        <w:tc>
          <w:tcPr>
            <w:tcW w:w="2639" w:type="dxa"/>
          </w:tcPr>
          <w:p w:rsidR="002D7799" w:rsidRPr="00C4100B" w:rsidRDefault="002D7799" w:rsidP="0049303B">
            <w:pPr>
              <w:pStyle w:val="CharCharCharChar"/>
              <w:ind w:left="57" w:right="57"/>
              <w:rPr>
                <w:lang w:eastAsia="lv-LV"/>
              </w:rPr>
            </w:pPr>
            <w:r w:rsidRPr="00C4100B">
              <w:rPr>
                <w:lang w:eastAsia="lv-LV"/>
              </w:rPr>
              <w:t>Administratīvo izmaksu monetārs novērtējums</w:t>
            </w:r>
          </w:p>
        </w:tc>
        <w:tc>
          <w:tcPr>
            <w:tcW w:w="6480" w:type="dxa"/>
          </w:tcPr>
          <w:p w:rsidR="002D7799" w:rsidRPr="00C4100B" w:rsidRDefault="002D7799" w:rsidP="0049303B">
            <w:r w:rsidRPr="00C4100B">
              <w:t>Projekts šo jomu neskar.</w:t>
            </w:r>
          </w:p>
        </w:tc>
      </w:tr>
      <w:tr w:rsidR="002D7799" w:rsidRPr="00C4100B" w:rsidTr="00DA4A25">
        <w:trPr>
          <w:trHeight w:val="357"/>
        </w:trPr>
        <w:tc>
          <w:tcPr>
            <w:tcW w:w="743" w:type="dxa"/>
          </w:tcPr>
          <w:p w:rsidR="002D7799" w:rsidRPr="00C4100B" w:rsidRDefault="002D7799" w:rsidP="0049303B">
            <w:pPr>
              <w:pStyle w:val="CharCharCharChar"/>
              <w:ind w:left="57" w:right="57"/>
              <w:jc w:val="both"/>
            </w:pPr>
            <w:r w:rsidRPr="00C4100B">
              <w:t>4.</w:t>
            </w:r>
          </w:p>
        </w:tc>
        <w:tc>
          <w:tcPr>
            <w:tcW w:w="2639" w:type="dxa"/>
          </w:tcPr>
          <w:p w:rsidR="002D7799" w:rsidRPr="00C4100B" w:rsidRDefault="002D7799" w:rsidP="0049303B">
            <w:pPr>
              <w:pStyle w:val="CharCharCharChar"/>
              <w:ind w:left="57" w:right="57"/>
              <w:rPr>
                <w:lang w:eastAsia="lv-LV"/>
              </w:rPr>
            </w:pPr>
            <w:r w:rsidRPr="00C4100B">
              <w:rPr>
                <w:lang w:eastAsia="lv-LV"/>
              </w:rPr>
              <w:t>Cita informācija</w:t>
            </w:r>
          </w:p>
        </w:tc>
        <w:tc>
          <w:tcPr>
            <w:tcW w:w="6480" w:type="dxa"/>
          </w:tcPr>
          <w:p w:rsidR="002D7799" w:rsidRPr="00C4100B" w:rsidRDefault="002D7799" w:rsidP="0049303B">
            <w:pPr>
              <w:spacing w:before="60" w:after="60"/>
              <w:jc w:val="both"/>
            </w:pPr>
            <w:r w:rsidRPr="00C4100B">
              <w:t>Nav.</w:t>
            </w:r>
          </w:p>
        </w:tc>
      </w:tr>
    </w:tbl>
    <w:p w:rsidR="002D7799" w:rsidRPr="00C4100B" w:rsidRDefault="002D7799" w:rsidP="002D7799">
      <w:pPr>
        <w:rPr>
          <w:i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81C8A" w:rsidRPr="00C4100B" w:rsidTr="008F102E">
        <w:tc>
          <w:tcPr>
            <w:tcW w:w="9924" w:type="dxa"/>
            <w:shd w:val="clear" w:color="auto" w:fill="auto"/>
          </w:tcPr>
          <w:p w:rsidR="00881C8A" w:rsidRPr="00C4100B" w:rsidRDefault="00881C8A" w:rsidP="008F102E">
            <w:pPr>
              <w:jc w:val="center"/>
              <w:rPr>
                <w:b/>
                <w:i/>
              </w:rPr>
            </w:pPr>
            <w:r w:rsidRPr="00C4100B">
              <w:rPr>
                <w:b/>
                <w:bCs/>
                <w:color w:val="414142"/>
              </w:rPr>
              <w:t>III. Tiesību akta projekta ietekme uz valsts budžetu un pašvaldību budžetiem</w:t>
            </w:r>
          </w:p>
        </w:tc>
      </w:tr>
      <w:tr w:rsidR="00881C8A" w:rsidRPr="00C4100B" w:rsidTr="008F102E">
        <w:tc>
          <w:tcPr>
            <w:tcW w:w="9924" w:type="dxa"/>
            <w:shd w:val="clear" w:color="auto" w:fill="auto"/>
          </w:tcPr>
          <w:p w:rsidR="00881C8A" w:rsidRPr="00C4100B" w:rsidRDefault="00881C8A" w:rsidP="008F102E">
            <w:pPr>
              <w:jc w:val="center"/>
              <w:rPr>
                <w:i/>
              </w:rPr>
            </w:pPr>
            <w:r w:rsidRPr="00C4100B">
              <w:rPr>
                <w:i/>
                <w:iCs/>
                <w:color w:val="414142"/>
              </w:rPr>
              <w:t>Projekts šo jomu neskar</w:t>
            </w:r>
          </w:p>
        </w:tc>
      </w:tr>
    </w:tbl>
    <w:p w:rsidR="00881C8A" w:rsidRPr="00C4100B" w:rsidRDefault="00881C8A" w:rsidP="002D7799">
      <w:pPr>
        <w:rPr>
          <w:i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8"/>
        <w:gridCol w:w="6182"/>
      </w:tblGrid>
      <w:tr w:rsidR="002D7799" w:rsidRPr="00C4100B" w:rsidTr="00DA4A25">
        <w:trPr>
          <w:jc w:val="center"/>
        </w:trPr>
        <w:tc>
          <w:tcPr>
            <w:tcW w:w="9867" w:type="dxa"/>
            <w:gridSpan w:val="3"/>
          </w:tcPr>
          <w:p w:rsidR="002D7799" w:rsidRPr="00C4100B" w:rsidRDefault="002D7799" w:rsidP="0049303B">
            <w:pPr>
              <w:pStyle w:val="naisnod"/>
              <w:spacing w:before="0" w:after="0"/>
            </w:pPr>
            <w:r w:rsidRPr="00C4100B">
              <w:t>IV. Tiesību akta projekta ietekme uz spēkā esošo tiesību normu sistēmu</w:t>
            </w:r>
          </w:p>
        </w:tc>
      </w:tr>
      <w:tr w:rsidR="002D7799" w:rsidRPr="00C4100B" w:rsidTr="00DA4A25">
        <w:trPr>
          <w:jc w:val="center"/>
        </w:trPr>
        <w:tc>
          <w:tcPr>
            <w:tcW w:w="567" w:type="dxa"/>
          </w:tcPr>
          <w:p w:rsidR="002D7799" w:rsidRPr="00C4100B" w:rsidRDefault="002D7799" w:rsidP="0049303B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C4100B">
              <w:rPr>
                <w:iCs/>
              </w:rPr>
              <w:t>1.</w:t>
            </w:r>
          </w:p>
        </w:tc>
        <w:tc>
          <w:tcPr>
            <w:tcW w:w="3118" w:type="dxa"/>
          </w:tcPr>
          <w:p w:rsidR="002D7799" w:rsidRPr="00C4100B" w:rsidRDefault="002D7799" w:rsidP="0049303B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C4100B">
              <w:t>Nepieciešamie saistītie tiesību aktu projekti</w:t>
            </w:r>
          </w:p>
        </w:tc>
        <w:tc>
          <w:tcPr>
            <w:tcW w:w="6182" w:type="dxa"/>
          </w:tcPr>
          <w:p w:rsidR="002D7799" w:rsidRPr="00C4100B" w:rsidRDefault="00E26DF6" w:rsidP="00A02239">
            <w:pPr>
              <w:spacing w:after="120"/>
              <w:ind w:right="170"/>
              <w:jc w:val="both"/>
            </w:pPr>
            <w:r w:rsidRPr="00C4100B">
              <w:t>N</w:t>
            </w:r>
            <w:r w:rsidR="005B177A" w:rsidRPr="00C4100B">
              <w:t xml:space="preserve">epieciešams </w:t>
            </w:r>
            <w:r w:rsidR="00A02239">
              <w:t>sagatavot Ministru kabineta noteikumu projektu, kas paredzēs gr</w:t>
            </w:r>
            <w:r w:rsidR="004B5FEF">
              <w:t xml:space="preserve">ozījumus Ministru kabineta </w:t>
            </w:r>
            <w:r w:rsidR="004B5FEF" w:rsidRPr="00F53F3B">
              <w:t>2017.gada 3.janvāra noteikumos Nr.20 “Atbalstāmo investīciju projekta pieņemšanas un īstenošanas kārtība”</w:t>
            </w:r>
            <w:r w:rsidR="004B5FEF">
              <w:t>.</w:t>
            </w:r>
          </w:p>
        </w:tc>
      </w:tr>
      <w:tr w:rsidR="002D7799" w:rsidRPr="00C4100B" w:rsidTr="00DA4A25">
        <w:trPr>
          <w:jc w:val="center"/>
        </w:trPr>
        <w:tc>
          <w:tcPr>
            <w:tcW w:w="567" w:type="dxa"/>
          </w:tcPr>
          <w:p w:rsidR="002D7799" w:rsidRPr="00C4100B" w:rsidRDefault="002D7799" w:rsidP="0049303B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C4100B">
              <w:rPr>
                <w:iCs/>
              </w:rPr>
              <w:t>2.</w:t>
            </w:r>
          </w:p>
        </w:tc>
        <w:tc>
          <w:tcPr>
            <w:tcW w:w="3118" w:type="dxa"/>
          </w:tcPr>
          <w:p w:rsidR="002D7799" w:rsidRPr="00C4100B" w:rsidRDefault="002D7799" w:rsidP="0049303B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C4100B">
              <w:t>Cita informācija</w:t>
            </w:r>
          </w:p>
        </w:tc>
        <w:tc>
          <w:tcPr>
            <w:tcW w:w="6182" w:type="dxa"/>
          </w:tcPr>
          <w:p w:rsidR="002D7799" w:rsidRPr="00C4100B" w:rsidRDefault="00D73A86" w:rsidP="0049303B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 xml:space="preserve">Grozījumus Ministru kabineta </w:t>
            </w:r>
            <w:r w:rsidRPr="00F53F3B">
              <w:t>2017.gada 3.janvāra noteikumos Nr.20 “Atbalstāmo investīciju projekta pieņemšanas un īstenošanas kārtība”</w:t>
            </w:r>
            <w:r>
              <w:t xml:space="preserve"> izstrādās Ekonomikas ministrija.</w:t>
            </w:r>
          </w:p>
        </w:tc>
      </w:tr>
    </w:tbl>
    <w:p w:rsidR="00881C8A" w:rsidRPr="00C4100B" w:rsidRDefault="00881C8A" w:rsidP="00881C8A">
      <w:pPr>
        <w:rPr>
          <w:i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81C8A" w:rsidRPr="00C4100B" w:rsidTr="008F102E">
        <w:tc>
          <w:tcPr>
            <w:tcW w:w="9924" w:type="dxa"/>
            <w:shd w:val="clear" w:color="auto" w:fill="auto"/>
          </w:tcPr>
          <w:p w:rsidR="00881C8A" w:rsidRPr="00193A64" w:rsidRDefault="00881C8A" w:rsidP="008F102E">
            <w:pPr>
              <w:jc w:val="center"/>
              <w:rPr>
                <w:b/>
                <w:i/>
              </w:rPr>
            </w:pPr>
            <w:r w:rsidRPr="00193A64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881C8A" w:rsidRPr="00C4100B" w:rsidTr="008F102E">
        <w:tc>
          <w:tcPr>
            <w:tcW w:w="9924" w:type="dxa"/>
            <w:shd w:val="clear" w:color="auto" w:fill="auto"/>
          </w:tcPr>
          <w:p w:rsidR="00881C8A" w:rsidRPr="00C4100B" w:rsidRDefault="00881C8A" w:rsidP="008F102E">
            <w:pPr>
              <w:jc w:val="center"/>
              <w:rPr>
                <w:i/>
              </w:rPr>
            </w:pPr>
            <w:r w:rsidRPr="00C4100B">
              <w:rPr>
                <w:i/>
                <w:iCs/>
                <w:color w:val="414142"/>
              </w:rPr>
              <w:t>Projekts šo jomu neskar</w:t>
            </w:r>
          </w:p>
        </w:tc>
      </w:tr>
    </w:tbl>
    <w:p w:rsidR="00881C8A" w:rsidRPr="00C4100B" w:rsidRDefault="00881C8A" w:rsidP="00CA1E74">
      <w:pPr>
        <w:ind w:firstLine="720"/>
        <w:jc w:val="both"/>
        <w:rPr>
          <w:b/>
          <w:sz w:val="25"/>
          <w:szCs w:val="25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37"/>
        <w:gridCol w:w="7371"/>
      </w:tblGrid>
      <w:tr w:rsidR="002D7799" w:rsidRPr="00C4100B" w:rsidTr="00DA4A25">
        <w:trPr>
          <w:trHeight w:val="421"/>
          <w:jc w:val="center"/>
        </w:trPr>
        <w:tc>
          <w:tcPr>
            <w:tcW w:w="9875" w:type="dxa"/>
            <w:gridSpan w:val="3"/>
            <w:vAlign w:val="center"/>
          </w:tcPr>
          <w:p w:rsidR="002D7799" w:rsidRPr="00C4100B" w:rsidRDefault="002D7799" w:rsidP="0049303B">
            <w:pPr>
              <w:pStyle w:val="naisnod"/>
              <w:spacing w:before="0" w:after="0"/>
              <w:ind w:left="57" w:right="57"/>
            </w:pPr>
            <w:r w:rsidRPr="00C4100B">
              <w:t>VI. Sabiedrības līdzdalība un komunikācijas aktivitātes</w:t>
            </w:r>
          </w:p>
        </w:tc>
      </w:tr>
      <w:tr w:rsidR="002D7799" w:rsidRPr="00C4100B" w:rsidTr="00DA4A25">
        <w:trPr>
          <w:trHeight w:val="553"/>
          <w:jc w:val="center"/>
        </w:trPr>
        <w:tc>
          <w:tcPr>
            <w:tcW w:w="567" w:type="dxa"/>
          </w:tcPr>
          <w:p w:rsidR="002D7799" w:rsidRPr="00C4100B" w:rsidRDefault="002D7799" w:rsidP="0049303B">
            <w:pPr>
              <w:ind w:left="57" w:right="57"/>
              <w:jc w:val="both"/>
              <w:rPr>
                <w:bCs/>
              </w:rPr>
            </w:pPr>
            <w:r w:rsidRPr="00C4100B">
              <w:rPr>
                <w:bCs/>
              </w:rPr>
              <w:t>1.</w:t>
            </w:r>
          </w:p>
        </w:tc>
        <w:tc>
          <w:tcPr>
            <w:tcW w:w="1937" w:type="dxa"/>
          </w:tcPr>
          <w:p w:rsidR="002D7799" w:rsidRPr="00C4100B" w:rsidRDefault="002D7799" w:rsidP="0049303B">
            <w:pPr>
              <w:tabs>
                <w:tab w:val="left" w:pos="170"/>
              </w:tabs>
              <w:ind w:left="57" w:right="57"/>
            </w:pPr>
            <w:r w:rsidRPr="00C4100B">
              <w:t>Plānotās sabiedrības līdzdalības un komunikācijas aktivitātes saistībā ar projektu</w:t>
            </w:r>
          </w:p>
        </w:tc>
        <w:tc>
          <w:tcPr>
            <w:tcW w:w="7371" w:type="dxa"/>
          </w:tcPr>
          <w:p w:rsidR="002D7799" w:rsidRPr="006512F4" w:rsidRDefault="00BC4CA1" w:rsidP="006512F4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bookmarkStart w:id="2" w:name="p61"/>
            <w:bookmarkEnd w:id="2"/>
            <w:r w:rsidRPr="006512F4">
              <w:rPr>
                <w:iCs/>
              </w:rPr>
              <w:t xml:space="preserve">Atbilstoši Ministru kabineta 2009. gada 25. augusta noteikumu Nr. 970 „Sabiedrības līdzdalības kārtība attīstības plānošanas procesā” 5. punktam, 6.2. apakšpunktam un 10. punktam </w:t>
            </w:r>
            <w:r w:rsidR="006512F4">
              <w:rPr>
                <w:iCs/>
              </w:rPr>
              <w:t>likumprojekta</w:t>
            </w:r>
            <w:r w:rsidRPr="006512F4">
              <w:rPr>
                <w:iCs/>
              </w:rPr>
              <w:t xml:space="preserve"> izstrādes stadijā tiek organizēta publiskā apspriešana.</w:t>
            </w:r>
          </w:p>
        </w:tc>
      </w:tr>
      <w:tr w:rsidR="002D7799" w:rsidRPr="00C4100B" w:rsidTr="00DA4A25">
        <w:trPr>
          <w:trHeight w:val="339"/>
          <w:jc w:val="center"/>
        </w:trPr>
        <w:tc>
          <w:tcPr>
            <w:tcW w:w="567" w:type="dxa"/>
          </w:tcPr>
          <w:p w:rsidR="002D7799" w:rsidRPr="00C4100B" w:rsidRDefault="002D7799" w:rsidP="0049303B">
            <w:pPr>
              <w:ind w:left="57" w:right="57"/>
              <w:jc w:val="both"/>
              <w:rPr>
                <w:bCs/>
              </w:rPr>
            </w:pPr>
            <w:r w:rsidRPr="00C4100B">
              <w:rPr>
                <w:bCs/>
              </w:rPr>
              <w:t>2.</w:t>
            </w:r>
          </w:p>
        </w:tc>
        <w:tc>
          <w:tcPr>
            <w:tcW w:w="1937" w:type="dxa"/>
          </w:tcPr>
          <w:p w:rsidR="002D7799" w:rsidRPr="00C4100B" w:rsidRDefault="002D7799" w:rsidP="0049303B">
            <w:pPr>
              <w:ind w:left="57" w:right="57"/>
            </w:pPr>
            <w:r w:rsidRPr="00C4100B">
              <w:t>Sabiedrības līdzdalība projekta izstrādē</w:t>
            </w:r>
          </w:p>
        </w:tc>
        <w:tc>
          <w:tcPr>
            <w:tcW w:w="7371" w:type="dxa"/>
          </w:tcPr>
          <w:p w:rsidR="00D21F41" w:rsidRPr="006512F4" w:rsidRDefault="00BC4CA1" w:rsidP="006512F4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bookmarkStart w:id="3" w:name="p62"/>
            <w:bookmarkEnd w:id="3"/>
            <w:r w:rsidRPr="006512F4">
              <w:rPr>
                <w:iCs/>
              </w:rPr>
              <w:t>Publiskā apspriešana saskaņā ar Ministru kabineta 2009. gada 25. augusta noteikumu Nr. 970 „Sabiedrības līdzdalības kārtība attīstības plānošanas procesā” 10. punktu.</w:t>
            </w:r>
          </w:p>
        </w:tc>
      </w:tr>
      <w:tr w:rsidR="002D7799" w:rsidRPr="00C4100B" w:rsidTr="00617A50">
        <w:trPr>
          <w:trHeight w:val="1062"/>
          <w:jc w:val="center"/>
        </w:trPr>
        <w:tc>
          <w:tcPr>
            <w:tcW w:w="567" w:type="dxa"/>
          </w:tcPr>
          <w:p w:rsidR="002D7799" w:rsidRPr="00C4100B" w:rsidRDefault="002D7799" w:rsidP="0049303B">
            <w:pPr>
              <w:ind w:left="57" w:right="57"/>
              <w:jc w:val="both"/>
              <w:rPr>
                <w:bCs/>
              </w:rPr>
            </w:pPr>
            <w:r w:rsidRPr="00C4100B">
              <w:rPr>
                <w:bCs/>
              </w:rPr>
              <w:t>3.</w:t>
            </w:r>
          </w:p>
        </w:tc>
        <w:tc>
          <w:tcPr>
            <w:tcW w:w="1937" w:type="dxa"/>
          </w:tcPr>
          <w:p w:rsidR="002D7799" w:rsidRPr="00C4100B" w:rsidRDefault="002D7799" w:rsidP="0049303B">
            <w:pPr>
              <w:ind w:left="57" w:right="57"/>
            </w:pPr>
            <w:r w:rsidRPr="00C4100B">
              <w:t>Sabiedrības līdzdalības rezultāti</w:t>
            </w:r>
          </w:p>
          <w:p w:rsidR="002D7799" w:rsidRPr="00C4100B" w:rsidRDefault="002D7799" w:rsidP="00617A50"/>
        </w:tc>
        <w:tc>
          <w:tcPr>
            <w:tcW w:w="7371" w:type="dxa"/>
          </w:tcPr>
          <w:p w:rsidR="002D7799" w:rsidRPr="006512F4" w:rsidRDefault="00BC4CA1" w:rsidP="006512F4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6512F4">
              <w:rPr>
                <w:iCs/>
              </w:rPr>
              <w:t>Šis punkts tiks papildināts pēc publiskās apspriešanas beigām.</w:t>
            </w:r>
          </w:p>
        </w:tc>
      </w:tr>
      <w:tr w:rsidR="002D7799" w:rsidRPr="00C4100B" w:rsidTr="00DA4A25">
        <w:trPr>
          <w:trHeight w:val="476"/>
          <w:jc w:val="center"/>
        </w:trPr>
        <w:tc>
          <w:tcPr>
            <w:tcW w:w="567" w:type="dxa"/>
          </w:tcPr>
          <w:p w:rsidR="002D7799" w:rsidRPr="00C4100B" w:rsidRDefault="002D7799" w:rsidP="0049303B">
            <w:pPr>
              <w:ind w:left="57" w:right="57"/>
              <w:jc w:val="both"/>
              <w:rPr>
                <w:bCs/>
              </w:rPr>
            </w:pPr>
            <w:r w:rsidRPr="00C4100B">
              <w:rPr>
                <w:bCs/>
              </w:rPr>
              <w:t>4.</w:t>
            </w:r>
          </w:p>
        </w:tc>
        <w:tc>
          <w:tcPr>
            <w:tcW w:w="1937" w:type="dxa"/>
          </w:tcPr>
          <w:p w:rsidR="002D7799" w:rsidRPr="00C4100B" w:rsidRDefault="002D7799" w:rsidP="0049303B">
            <w:pPr>
              <w:ind w:left="57" w:right="57"/>
            </w:pPr>
            <w:r w:rsidRPr="00C4100B">
              <w:t>Cita informācija</w:t>
            </w:r>
          </w:p>
        </w:tc>
        <w:tc>
          <w:tcPr>
            <w:tcW w:w="7371" w:type="dxa"/>
          </w:tcPr>
          <w:p w:rsidR="002D7799" w:rsidRPr="00C4100B" w:rsidRDefault="002D7799" w:rsidP="0049303B">
            <w:pPr>
              <w:ind w:left="91" w:right="57"/>
              <w:jc w:val="both"/>
            </w:pPr>
            <w:r w:rsidRPr="00C4100B">
              <w:t>Nav.</w:t>
            </w:r>
          </w:p>
        </w:tc>
      </w:tr>
    </w:tbl>
    <w:p w:rsidR="002D7799" w:rsidRPr="00C4100B" w:rsidRDefault="002D7799" w:rsidP="002D7799"/>
    <w:tbl>
      <w:tblPr>
        <w:tblW w:w="99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4242"/>
        <w:gridCol w:w="5076"/>
      </w:tblGrid>
      <w:tr w:rsidR="002D7799" w:rsidRPr="00C4100B" w:rsidTr="00DA4A25">
        <w:tc>
          <w:tcPr>
            <w:tcW w:w="9924" w:type="dxa"/>
            <w:gridSpan w:val="3"/>
          </w:tcPr>
          <w:p w:rsidR="002D7799" w:rsidRPr="00C4100B" w:rsidRDefault="002D7799" w:rsidP="0049303B">
            <w:pPr>
              <w:pStyle w:val="naisnod"/>
              <w:spacing w:before="0" w:after="0"/>
              <w:ind w:left="57" w:right="57"/>
            </w:pPr>
            <w:r w:rsidRPr="00C4100B">
              <w:lastRenderedPageBreak/>
              <w:t>VII. Tiesību akta projekta izpildes nodrošināšana un tās ietekme uz institūcijām</w:t>
            </w:r>
          </w:p>
        </w:tc>
      </w:tr>
      <w:tr w:rsidR="002D7799" w:rsidRPr="00C4100B" w:rsidTr="00DA4A25">
        <w:trPr>
          <w:trHeight w:val="427"/>
        </w:trPr>
        <w:tc>
          <w:tcPr>
            <w:tcW w:w="606" w:type="dxa"/>
          </w:tcPr>
          <w:p w:rsidR="002D7799" w:rsidRPr="00C4100B" w:rsidRDefault="002D7799" w:rsidP="0049303B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C4100B">
              <w:rPr>
                <w:b w:val="0"/>
              </w:rPr>
              <w:t>1.</w:t>
            </w:r>
          </w:p>
        </w:tc>
        <w:tc>
          <w:tcPr>
            <w:tcW w:w="4242" w:type="dxa"/>
          </w:tcPr>
          <w:p w:rsidR="002D7799" w:rsidRPr="00C4100B" w:rsidRDefault="002D7799" w:rsidP="0049303B">
            <w:pPr>
              <w:pStyle w:val="naisf"/>
              <w:spacing w:before="0" w:after="0"/>
              <w:ind w:left="57" w:right="57" w:firstLine="0"/>
              <w:jc w:val="left"/>
            </w:pPr>
            <w:r w:rsidRPr="00C4100B">
              <w:t xml:space="preserve">Projekta izpildē iesaistītās institūcijas </w:t>
            </w:r>
          </w:p>
        </w:tc>
        <w:tc>
          <w:tcPr>
            <w:tcW w:w="5076" w:type="dxa"/>
          </w:tcPr>
          <w:p w:rsidR="002D7799" w:rsidRPr="00C4100B" w:rsidRDefault="0001489A" w:rsidP="005B177A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>
              <w:rPr>
                <w:b w:val="0"/>
              </w:rPr>
              <w:t>Ekonomikas ministrija.</w:t>
            </w:r>
            <w:r w:rsidR="002D7799" w:rsidRPr="00C4100B">
              <w:rPr>
                <w:b w:val="0"/>
              </w:rPr>
              <w:t xml:space="preserve"> </w:t>
            </w:r>
          </w:p>
        </w:tc>
      </w:tr>
      <w:tr w:rsidR="002D7799" w:rsidRPr="00C4100B" w:rsidTr="00DA4A25">
        <w:trPr>
          <w:trHeight w:val="463"/>
        </w:trPr>
        <w:tc>
          <w:tcPr>
            <w:tcW w:w="606" w:type="dxa"/>
          </w:tcPr>
          <w:p w:rsidR="002D7799" w:rsidRPr="00C4100B" w:rsidRDefault="002D7799" w:rsidP="0049303B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C4100B">
              <w:rPr>
                <w:b w:val="0"/>
              </w:rPr>
              <w:t>2.</w:t>
            </w:r>
          </w:p>
        </w:tc>
        <w:tc>
          <w:tcPr>
            <w:tcW w:w="4242" w:type="dxa"/>
          </w:tcPr>
          <w:p w:rsidR="002D7799" w:rsidRPr="00C4100B" w:rsidRDefault="002D7799" w:rsidP="0049303B">
            <w:pPr>
              <w:pStyle w:val="naisf"/>
              <w:spacing w:before="0" w:after="0"/>
              <w:ind w:left="57" w:right="57" w:firstLine="0"/>
              <w:jc w:val="left"/>
            </w:pPr>
            <w:r w:rsidRPr="00C4100B">
              <w:t xml:space="preserve">Projekta izpildes ietekme uz pārvaldes funkcijām </w:t>
            </w:r>
          </w:p>
        </w:tc>
        <w:tc>
          <w:tcPr>
            <w:tcW w:w="5076" w:type="dxa"/>
          </w:tcPr>
          <w:p w:rsidR="002D7799" w:rsidRPr="00D50D52" w:rsidRDefault="00D50D52" w:rsidP="009E6AB7">
            <w:pPr>
              <w:pStyle w:val="naisnod"/>
              <w:ind w:left="57" w:right="57"/>
              <w:jc w:val="both"/>
              <w:rPr>
                <w:b w:val="0"/>
              </w:rPr>
            </w:pPr>
            <w:r w:rsidRPr="00D50D52">
              <w:rPr>
                <w:b w:val="0"/>
              </w:rPr>
              <w:t xml:space="preserve">Projekts atbrīvo Ministru kabinetu no pienākuma pieņemt lēmumus par atbalstāmo investīciju projektu atbalstīšanu vai atteikumu tos atbalstīt un šo pienākumu uzliek </w:t>
            </w:r>
            <w:r w:rsidR="009E6AB7">
              <w:rPr>
                <w:b w:val="0"/>
              </w:rPr>
              <w:t xml:space="preserve">Ministru kabineta noteiktajā kārtībā </w:t>
            </w:r>
            <w:r w:rsidRPr="00D50D52">
              <w:rPr>
                <w:b w:val="0"/>
              </w:rPr>
              <w:t>izveidotajai komisijai</w:t>
            </w:r>
            <w:r w:rsidR="009E6AB7">
              <w:rPr>
                <w:b w:val="0"/>
              </w:rPr>
              <w:t>.</w:t>
            </w:r>
          </w:p>
        </w:tc>
      </w:tr>
      <w:tr w:rsidR="002D7799" w:rsidRPr="00C4100B" w:rsidTr="00DA4A25">
        <w:trPr>
          <w:trHeight w:val="725"/>
        </w:trPr>
        <w:tc>
          <w:tcPr>
            <w:tcW w:w="606" w:type="dxa"/>
          </w:tcPr>
          <w:p w:rsidR="002D7799" w:rsidRPr="00C4100B" w:rsidRDefault="002D7799" w:rsidP="0049303B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C4100B">
              <w:rPr>
                <w:b w:val="0"/>
              </w:rPr>
              <w:t>3.</w:t>
            </w:r>
          </w:p>
        </w:tc>
        <w:tc>
          <w:tcPr>
            <w:tcW w:w="4242" w:type="dxa"/>
          </w:tcPr>
          <w:p w:rsidR="002D7799" w:rsidRPr="00C4100B" w:rsidRDefault="002D7799" w:rsidP="0049303B">
            <w:pPr>
              <w:pStyle w:val="naisf"/>
              <w:spacing w:before="0" w:after="0"/>
              <w:ind w:left="57" w:right="57" w:firstLine="0"/>
              <w:jc w:val="left"/>
            </w:pPr>
            <w:r w:rsidRPr="00C4100B">
              <w:t>Projekta izpildes ietekme uz pārvaldes institucionālo struktūru.</w:t>
            </w:r>
          </w:p>
          <w:p w:rsidR="002D7799" w:rsidRPr="00C4100B" w:rsidRDefault="002D7799" w:rsidP="0049303B">
            <w:pPr>
              <w:pStyle w:val="naisf"/>
              <w:spacing w:before="0" w:after="0"/>
              <w:ind w:left="57" w:right="57" w:firstLine="0"/>
              <w:jc w:val="left"/>
            </w:pPr>
            <w:r w:rsidRPr="00C4100B">
              <w:t>Jaunu institūciju izveide</w:t>
            </w:r>
          </w:p>
        </w:tc>
        <w:tc>
          <w:tcPr>
            <w:tcW w:w="5076" w:type="dxa"/>
          </w:tcPr>
          <w:p w:rsidR="002D7799" w:rsidRPr="00C4100B" w:rsidRDefault="002D7799" w:rsidP="005B177A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4100B">
              <w:rPr>
                <w:b w:val="0"/>
              </w:rPr>
              <w:t>Jaunas valsts pārvaldes institūcijas nav jāveido</w:t>
            </w:r>
            <w:r w:rsidR="00D50D52">
              <w:rPr>
                <w:b w:val="0"/>
              </w:rPr>
              <w:t>.</w:t>
            </w:r>
          </w:p>
        </w:tc>
      </w:tr>
      <w:tr w:rsidR="002D7799" w:rsidRPr="00C4100B" w:rsidTr="00DA4A25">
        <w:trPr>
          <w:trHeight w:val="780"/>
        </w:trPr>
        <w:tc>
          <w:tcPr>
            <w:tcW w:w="606" w:type="dxa"/>
          </w:tcPr>
          <w:p w:rsidR="002D7799" w:rsidRPr="00C4100B" w:rsidRDefault="002D7799" w:rsidP="0049303B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C4100B">
              <w:rPr>
                <w:b w:val="0"/>
              </w:rPr>
              <w:t>4.</w:t>
            </w:r>
          </w:p>
        </w:tc>
        <w:tc>
          <w:tcPr>
            <w:tcW w:w="4242" w:type="dxa"/>
          </w:tcPr>
          <w:p w:rsidR="002D7799" w:rsidRPr="00C4100B" w:rsidRDefault="002D7799" w:rsidP="0049303B">
            <w:pPr>
              <w:pStyle w:val="naisf"/>
              <w:spacing w:before="0" w:after="0"/>
              <w:ind w:left="57" w:right="57" w:firstLine="0"/>
              <w:jc w:val="left"/>
            </w:pPr>
            <w:r w:rsidRPr="00C4100B">
              <w:t>Projekta izpildes ietekme uz pārvaldes institucionālo struktūru.</w:t>
            </w:r>
          </w:p>
          <w:p w:rsidR="002D7799" w:rsidRPr="00C4100B" w:rsidRDefault="002D7799" w:rsidP="0049303B">
            <w:pPr>
              <w:pStyle w:val="naisf"/>
              <w:spacing w:before="0" w:after="0"/>
              <w:ind w:left="57" w:right="57" w:firstLine="0"/>
              <w:jc w:val="left"/>
            </w:pPr>
            <w:r w:rsidRPr="00C4100B">
              <w:t>Esošu institūciju likvidācija</w:t>
            </w:r>
          </w:p>
        </w:tc>
        <w:tc>
          <w:tcPr>
            <w:tcW w:w="5076" w:type="dxa"/>
          </w:tcPr>
          <w:p w:rsidR="002D7799" w:rsidRPr="00C4100B" w:rsidRDefault="002D7799" w:rsidP="005B177A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4100B">
              <w:rPr>
                <w:b w:val="0"/>
              </w:rPr>
              <w:t>Esošo institūciju likvidācija nav jāveic</w:t>
            </w:r>
            <w:r w:rsidR="00D50D52">
              <w:rPr>
                <w:b w:val="0"/>
              </w:rPr>
              <w:t>.</w:t>
            </w:r>
          </w:p>
        </w:tc>
      </w:tr>
      <w:tr w:rsidR="002D7799" w:rsidRPr="00C4100B" w:rsidTr="00DA4A25">
        <w:trPr>
          <w:trHeight w:val="703"/>
        </w:trPr>
        <w:tc>
          <w:tcPr>
            <w:tcW w:w="606" w:type="dxa"/>
          </w:tcPr>
          <w:p w:rsidR="002D7799" w:rsidRPr="00C4100B" w:rsidRDefault="002D7799" w:rsidP="0049303B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C4100B">
              <w:rPr>
                <w:b w:val="0"/>
              </w:rPr>
              <w:t>5.</w:t>
            </w:r>
          </w:p>
        </w:tc>
        <w:tc>
          <w:tcPr>
            <w:tcW w:w="4242" w:type="dxa"/>
          </w:tcPr>
          <w:p w:rsidR="002D7799" w:rsidRPr="00C4100B" w:rsidRDefault="002D7799" w:rsidP="0049303B">
            <w:pPr>
              <w:pStyle w:val="naisf"/>
              <w:spacing w:before="0" w:after="0"/>
              <w:ind w:left="57" w:right="57" w:firstLine="0"/>
              <w:jc w:val="left"/>
            </w:pPr>
            <w:r w:rsidRPr="00C4100B">
              <w:t>Projekta izpildes ietekme uz pārvaldes institucionālo struktūru.</w:t>
            </w:r>
          </w:p>
          <w:p w:rsidR="002D7799" w:rsidRPr="00C4100B" w:rsidRDefault="002D7799" w:rsidP="0049303B">
            <w:pPr>
              <w:pStyle w:val="naisf"/>
              <w:spacing w:before="0" w:after="0"/>
              <w:ind w:left="57" w:right="57" w:firstLine="0"/>
              <w:jc w:val="left"/>
            </w:pPr>
            <w:r w:rsidRPr="00C4100B">
              <w:t>Esošu institūciju reorganizācija</w:t>
            </w:r>
          </w:p>
        </w:tc>
        <w:tc>
          <w:tcPr>
            <w:tcW w:w="5076" w:type="dxa"/>
          </w:tcPr>
          <w:p w:rsidR="002D7799" w:rsidRPr="00C4100B" w:rsidRDefault="002D7799" w:rsidP="005B177A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C4100B">
              <w:rPr>
                <w:b w:val="0"/>
              </w:rPr>
              <w:t xml:space="preserve"> Esošo institūciju reorganizācija nav jāveic</w:t>
            </w:r>
            <w:r w:rsidR="00D50D52">
              <w:rPr>
                <w:b w:val="0"/>
              </w:rPr>
              <w:t>.</w:t>
            </w:r>
          </w:p>
        </w:tc>
      </w:tr>
      <w:tr w:rsidR="002D7799" w:rsidRPr="00C4100B" w:rsidTr="00DA4A25">
        <w:trPr>
          <w:trHeight w:val="476"/>
        </w:trPr>
        <w:tc>
          <w:tcPr>
            <w:tcW w:w="606" w:type="dxa"/>
          </w:tcPr>
          <w:p w:rsidR="002D7799" w:rsidRPr="00C4100B" w:rsidRDefault="002D7799" w:rsidP="0049303B">
            <w:pPr>
              <w:pStyle w:val="naiskr"/>
              <w:spacing w:before="0" w:after="0"/>
              <w:ind w:left="57" w:right="57"/>
            </w:pPr>
            <w:r w:rsidRPr="00C4100B">
              <w:t>6.</w:t>
            </w:r>
          </w:p>
        </w:tc>
        <w:tc>
          <w:tcPr>
            <w:tcW w:w="4242" w:type="dxa"/>
          </w:tcPr>
          <w:p w:rsidR="002D7799" w:rsidRPr="00C4100B" w:rsidRDefault="002D7799" w:rsidP="0049303B">
            <w:pPr>
              <w:pStyle w:val="naiskr"/>
              <w:spacing w:before="0" w:after="0"/>
              <w:ind w:left="57" w:right="57"/>
            </w:pPr>
            <w:r w:rsidRPr="00C4100B">
              <w:t>Cita informācija</w:t>
            </w:r>
          </w:p>
        </w:tc>
        <w:tc>
          <w:tcPr>
            <w:tcW w:w="5076" w:type="dxa"/>
          </w:tcPr>
          <w:p w:rsidR="002D7799" w:rsidRPr="00C4100B" w:rsidRDefault="002D7799" w:rsidP="0049303B">
            <w:pPr>
              <w:pStyle w:val="naiskr"/>
              <w:spacing w:before="0" w:after="0"/>
              <w:ind w:left="57" w:right="57"/>
            </w:pPr>
            <w:r w:rsidRPr="00C4100B">
              <w:t>Nav</w:t>
            </w:r>
          </w:p>
        </w:tc>
      </w:tr>
    </w:tbl>
    <w:p w:rsidR="002D7799" w:rsidRPr="00C4100B" w:rsidRDefault="002D7799" w:rsidP="002D7799">
      <w:pPr>
        <w:rPr>
          <w:szCs w:val="28"/>
        </w:rPr>
      </w:pPr>
    </w:p>
    <w:p w:rsidR="00F90300" w:rsidRPr="00C4100B" w:rsidRDefault="00F90300" w:rsidP="00F90300">
      <w:pPr>
        <w:ind w:firstLine="720"/>
        <w:jc w:val="both"/>
        <w:rPr>
          <w:sz w:val="28"/>
          <w:szCs w:val="28"/>
        </w:rPr>
      </w:pPr>
    </w:p>
    <w:p w:rsidR="00E22397" w:rsidRPr="00C4100B" w:rsidRDefault="00E22397" w:rsidP="00964AC3">
      <w:pPr>
        <w:jc w:val="both"/>
        <w:rPr>
          <w:sz w:val="25"/>
          <w:szCs w:val="25"/>
        </w:rPr>
      </w:pPr>
    </w:p>
    <w:p w:rsidR="00853719" w:rsidRDefault="00853719" w:rsidP="00853719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Ministru prezidenta biedrs,</w:t>
      </w:r>
    </w:p>
    <w:p w:rsidR="002D7799" w:rsidRPr="00C4100B" w:rsidRDefault="00853719" w:rsidP="00853719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ekonomikas ministrs</w:t>
      </w:r>
      <w:r w:rsidR="002D7799" w:rsidRPr="00C4100B">
        <w:rPr>
          <w:sz w:val="28"/>
          <w:szCs w:val="28"/>
          <w:lang w:val="de-DE"/>
        </w:rPr>
        <w:tab/>
      </w:r>
      <w:r w:rsidR="002D7799" w:rsidRPr="00C4100B">
        <w:rPr>
          <w:sz w:val="28"/>
          <w:szCs w:val="28"/>
          <w:lang w:val="de-DE"/>
        </w:rPr>
        <w:tab/>
      </w:r>
      <w:r w:rsidR="002D7799" w:rsidRPr="00C4100B">
        <w:rPr>
          <w:sz w:val="28"/>
          <w:szCs w:val="28"/>
          <w:lang w:val="de-DE"/>
        </w:rPr>
        <w:tab/>
      </w:r>
      <w:r w:rsidR="002D7799" w:rsidRPr="00C4100B">
        <w:rPr>
          <w:sz w:val="28"/>
          <w:szCs w:val="28"/>
          <w:lang w:val="de-DE"/>
        </w:rPr>
        <w:tab/>
      </w:r>
      <w:r w:rsidR="002D7799" w:rsidRPr="00C4100B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A. Ašeradens</w:t>
      </w:r>
    </w:p>
    <w:p w:rsidR="002D7799" w:rsidRPr="00C4100B" w:rsidRDefault="002D7799" w:rsidP="002D7799">
      <w:pPr>
        <w:pStyle w:val="naisf"/>
        <w:spacing w:before="0" w:after="0"/>
        <w:rPr>
          <w:sz w:val="28"/>
          <w:szCs w:val="28"/>
        </w:rPr>
      </w:pPr>
    </w:p>
    <w:p w:rsidR="002D7799" w:rsidRPr="00C4100B" w:rsidRDefault="002D7799" w:rsidP="002D7799">
      <w:pPr>
        <w:pStyle w:val="naisf"/>
        <w:spacing w:before="0" w:after="0"/>
        <w:rPr>
          <w:sz w:val="28"/>
          <w:szCs w:val="28"/>
        </w:rPr>
      </w:pPr>
    </w:p>
    <w:p w:rsidR="002D7799" w:rsidRPr="00C4100B" w:rsidRDefault="00853719" w:rsidP="00853719">
      <w:pPr>
        <w:rPr>
          <w:sz w:val="20"/>
          <w:szCs w:val="20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 Stinka</w:t>
      </w:r>
    </w:p>
    <w:p w:rsidR="0092411D" w:rsidRPr="00C4100B" w:rsidRDefault="0092411D" w:rsidP="001F1016">
      <w:pPr>
        <w:pStyle w:val="naisf"/>
        <w:spacing w:before="0" w:after="0"/>
        <w:ind w:firstLine="0"/>
        <w:rPr>
          <w:sz w:val="28"/>
          <w:szCs w:val="28"/>
        </w:rPr>
      </w:pPr>
    </w:p>
    <w:p w:rsidR="0092411D" w:rsidRPr="00C4100B" w:rsidRDefault="0092411D" w:rsidP="002D7799">
      <w:pPr>
        <w:pStyle w:val="naisf"/>
        <w:spacing w:before="0" w:after="0"/>
        <w:ind w:left="720" w:firstLine="0"/>
        <w:rPr>
          <w:sz w:val="28"/>
          <w:szCs w:val="28"/>
        </w:rPr>
      </w:pPr>
    </w:p>
    <w:p w:rsidR="0092411D" w:rsidRPr="00C4100B" w:rsidRDefault="0092411D" w:rsidP="002D7799">
      <w:pPr>
        <w:pStyle w:val="naisf"/>
        <w:spacing w:before="0" w:after="0"/>
        <w:ind w:left="720" w:firstLine="0"/>
        <w:rPr>
          <w:sz w:val="28"/>
          <w:szCs w:val="28"/>
        </w:rPr>
      </w:pPr>
    </w:p>
    <w:p w:rsidR="006054ED" w:rsidRPr="00C4100B" w:rsidRDefault="006054ED" w:rsidP="002D7799">
      <w:pPr>
        <w:jc w:val="both"/>
        <w:rPr>
          <w:sz w:val="28"/>
          <w:szCs w:val="28"/>
        </w:rPr>
      </w:pPr>
    </w:p>
    <w:p w:rsidR="006054ED" w:rsidRPr="00C4100B" w:rsidRDefault="006054ED" w:rsidP="002D7799">
      <w:pPr>
        <w:jc w:val="both"/>
        <w:rPr>
          <w:sz w:val="28"/>
          <w:szCs w:val="28"/>
        </w:rPr>
      </w:pPr>
    </w:p>
    <w:p w:rsidR="006054ED" w:rsidRPr="00C4100B" w:rsidRDefault="006054ED" w:rsidP="002D7799">
      <w:pPr>
        <w:jc w:val="both"/>
        <w:rPr>
          <w:sz w:val="28"/>
          <w:szCs w:val="28"/>
        </w:rPr>
      </w:pPr>
    </w:p>
    <w:p w:rsidR="00251EA4" w:rsidRPr="00C4100B" w:rsidRDefault="002E00F1" w:rsidP="00251EA4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251EA4" w:rsidRPr="00C4100B">
        <w:rPr>
          <w:sz w:val="22"/>
          <w:szCs w:val="22"/>
        </w:rPr>
        <w:t>.0</w:t>
      </w:r>
      <w:r w:rsidR="00F275C6">
        <w:rPr>
          <w:sz w:val="22"/>
          <w:szCs w:val="22"/>
        </w:rPr>
        <w:t>3.2017</w:t>
      </w:r>
      <w:r w:rsidR="00251EA4" w:rsidRPr="00C4100B">
        <w:rPr>
          <w:sz w:val="22"/>
          <w:szCs w:val="22"/>
        </w:rPr>
        <w:t xml:space="preserve"> </w:t>
      </w:r>
      <w:r w:rsidR="006054ED" w:rsidRPr="00C4100B">
        <w:rPr>
          <w:sz w:val="22"/>
          <w:szCs w:val="22"/>
        </w:rPr>
        <w:t>1</w:t>
      </w:r>
      <w:r w:rsidR="00F275C6">
        <w:rPr>
          <w:sz w:val="22"/>
          <w:szCs w:val="22"/>
        </w:rPr>
        <w:t>0</w:t>
      </w:r>
      <w:r w:rsidR="00251EA4" w:rsidRPr="00C4100B">
        <w:rPr>
          <w:sz w:val="22"/>
          <w:szCs w:val="22"/>
        </w:rPr>
        <w:t>:</w:t>
      </w:r>
      <w:r w:rsidR="00F275C6">
        <w:rPr>
          <w:sz w:val="22"/>
          <w:szCs w:val="22"/>
        </w:rPr>
        <w:t>0</w:t>
      </w:r>
      <w:r w:rsidR="00C4100B">
        <w:rPr>
          <w:sz w:val="22"/>
          <w:szCs w:val="22"/>
        </w:rPr>
        <w:t>0</w:t>
      </w:r>
    </w:p>
    <w:p w:rsidR="00251EA4" w:rsidRPr="00C4100B" w:rsidRDefault="004245E6" w:rsidP="00251EA4">
      <w:pPr>
        <w:rPr>
          <w:sz w:val="22"/>
          <w:szCs w:val="22"/>
        </w:rPr>
      </w:pPr>
      <w:r>
        <w:rPr>
          <w:sz w:val="22"/>
          <w:szCs w:val="22"/>
        </w:rPr>
        <w:t>701</w:t>
      </w:r>
    </w:p>
    <w:p w:rsidR="00251EA4" w:rsidRPr="00C4100B" w:rsidRDefault="00F275C6" w:rsidP="00251EA4">
      <w:pPr>
        <w:rPr>
          <w:sz w:val="22"/>
          <w:szCs w:val="22"/>
        </w:rPr>
      </w:pPr>
      <w:r>
        <w:rPr>
          <w:sz w:val="22"/>
          <w:szCs w:val="22"/>
        </w:rPr>
        <w:t>A.Rožkalns</w:t>
      </w:r>
      <w:r w:rsidR="00251EA4" w:rsidRPr="00C4100B">
        <w:rPr>
          <w:sz w:val="22"/>
          <w:szCs w:val="22"/>
        </w:rPr>
        <w:t xml:space="preserve"> 67</w:t>
      </w:r>
      <w:r>
        <w:rPr>
          <w:sz w:val="22"/>
          <w:szCs w:val="22"/>
        </w:rPr>
        <w:t>013146</w:t>
      </w:r>
    </w:p>
    <w:p w:rsidR="00251EA4" w:rsidRPr="00C4100B" w:rsidRDefault="00F275C6" w:rsidP="00251EA4">
      <w:pPr>
        <w:jc w:val="both"/>
        <w:rPr>
          <w:sz w:val="22"/>
          <w:szCs w:val="22"/>
        </w:rPr>
      </w:pPr>
      <w:r>
        <w:rPr>
          <w:sz w:val="22"/>
          <w:szCs w:val="22"/>
        </w:rPr>
        <w:t>and</w:t>
      </w:r>
      <w:r w:rsidR="00251EA4" w:rsidRPr="00C4100B">
        <w:rPr>
          <w:sz w:val="22"/>
          <w:szCs w:val="22"/>
        </w:rPr>
        <w:t>is.</w:t>
      </w:r>
      <w:r>
        <w:rPr>
          <w:sz w:val="22"/>
          <w:szCs w:val="22"/>
        </w:rPr>
        <w:t>rozkalns@em</w:t>
      </w:r>
      <w:r w:rsidR="00251EA4" w:rsidRPr="00C4100B">
        <w:rPr>
          <w:sz w:val="22"/>
          <w:szCs w:val="22"/>
        </w:rPr>
        <w:t>.gov.lv</w:t>
      </w:r>
    </w:p>
    <w:p w:rsidR="00F90300" w:rsidRPr="00C4100B" w:rsidRDefault="00F90300" w:rsidP="00251EA4">
      <w:pPr>
        <w:rPr>
          <w:sz w:val="22"/>
          <w:szCs w:val="22"/>
        </w:rPr>
      </w:pPr>
    </w:p>
    <w:sectPr w:rsidR="00F90300" w:rsidRPr="00C4100B" w:rsidSect="002D7799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3D" w:rsidRDefault="00D81C3D">
      <w:r>
        <w:separator/>
      </w:r>
    </w:p>
  </w:endnote>
  <w:endnote w:type="continuationSeparator" w:id="0">
    <w:p w:rsidR="00D81C3D" w:rsidRDefault="00D8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C" w:rsidRPr="00853719" w:rsidRDefault="00853719" w:rsidP="00853719">
    <w:pPr>
      <w:pStyle w:val="Footer"/>
      <w:jc w:val="both"/>
      <w:rPr>
        <w:bCs/>
        <w:sz w:val="20"/>
        <w:szCs w:val="20"/>
      </w:rPr>
    </w:pPr>
    <w:r w:rsidRPr="00130187">
      <w:rPr>
        <w:bCs/>
        <w:sz w:val="20"/>
        <w:szCs w:val="20"/>
      </w:rPr>
      <w:t>EMAnot_</w:t>
    </w:r>
    <w:r w:rsidR="00294453">
      <w:rPr>
        <w:bCs/>
        <w:sz w:val="20"/>
        <w:szCs w:val="20"/>
      </w:rPr>
      <w:t>16</w:t>
    </w:r>
    <w:r>
      <w:rPr>
        <w:bCs/>
        <w:sz w:val="20"/>
        <w:szCs w:val="20"/>
      </w:rPr>
      <w:t>0317_UIN</w:t>
    </w:r>
    <w:r w:rsidRPr="009A6601">
      <w:rPr>
        <w:sz w:val="20"/>
        <w:szCs w:val="20"/>
      </w:rPr>
      <w:t>; likumprojekt</w:t>
    </w:r>
    <w:r>
      <w:rPr>
        <w:sz w:val="20"/>
        <w:szCs w:val="20"/>
      </w:rPr>
      <w:t>a</w:t>
    </w:r>
    <w:r w:rsidRPr="009A6601">
      <w:rPr>
        <w:sz w:val="20"/>
        <w:szCs w:val="20"/>
      </w:rPr>
      <w:t xml:space="preserve"> “Grozījumi</w:t>
    </w:r>
    <w:r>
      <w:rPr>
        <w:sz w:val="20"/>
        <w:szCs w:val="20"/>
      </w:rPr>
      <w:t xml:space="preserve"> likumā “Par uzņēmumu ienākuma nodokli</w:t>
    </w:r>
    <w:r w:rsidRPr="009A6601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130187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130187">
        <w:rPr>
          <w:sz w:val="20"/>
          <w:szCs w:val="20"/>
        </w:rPr>
        <w:t>ziņojums</w:t>
      </w:r>
    </w:smartTag>
    <w:r w:rsidRPr="00130187">
      <w:rPr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C" w:rsidRPr="00853719" w:rsidRDefault="00853719" w:rsidP="00853719">
    <w:pPr>
      <w:pStyle w:val="Footer"/>
      <w:jc w:val="both"/>
      <w:rPr>
        <w:bCs/>
        <w:sz w:val="20"/>
        <w:szCs w:val="20"/>
      </w:rPr>
    </w:pPr>
    <w:r w:rsidRPr="00130187">
      <w:rPr>
        <w:bCs/>
        <w:sz w:val="20"/>
        <w:szCs w:val="20"/>
      </w:rPr>
      <w:t>EMAnot_</w:t>
    </w:r>
    <w:r w:rsidR="00294453">
      <w:rPr>
        <w:bCs/>
        <w:sz w:val="20"/>
        <w:szCs w:val="20"/>
      </w:rPr>
      <w:t>16</w:t>
    </w:r>
    <w:r>
      <w:rPr>
        <w:bCs/>
        <w:sz w:val="20"/>
        <w:szCs w:val="20"/>
      </w:rPr>
      <w:t>0317_UIN</w:t>
    </w:r>
    <w:r w:rsidRPr="009A6601">
      <w:rPr>
        <w:sz w:val="20"/>
        <w:szCs w:val="20"/>
      </w:rPr>
      <w:t>; likumprojekt</w:t>
    </w:r>
    <w:r>
      <w:rPr>
        <w:sz w:val="20"/>
        <w:szCs w:val="20"/>
      </w:rPr>
      <w:t>a</w:t>
    </w:r>
    <w:r w:rsidRPr="009A6601">
      <w:rPr>
        <w:sz w:val="20"/>
        <w:szCs w:val="20"/>
      </w:rPr>
      <w:t xml:space="preserve"> “Grozījumi</w:t>
    </w:r>
    <w:r>
      <w:rPr>
        <w:sz w:val="20"/>
        <w:szCs w:val="20"/>
      </w:rPr>
      <w:t xml:space="preserve"> likumā “Par uzņēmumu ienākuma nodokli</w:t>
    </w:r>
    <w:r w:rsidRPr="009A6601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130187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130187">
        <w:rPr>
          <w:sz w:val="20"/>
          <w:szCs w:val="20"/>
        </w:rPr>
        <w:t>ziņojums</w:t>
      </w:r>
    </w:smartTag>
    <w:r w:rsidRPr="00130187">
      <w:rPr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3D" w:rsidRDefault="00D81C3D">
      <w:r>
        <w:separator/>
      </w:r>
    </w:p>
  </w:footnote>
  <w:footnote w:type="continuationSeparator" w:id="0">
    <w:p w:rsidR="00D81C3D" w:rsidRDefault="00D8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C" w:rsidRDefault="0006747C" w:rsidP="00074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747C" w:rsidRDefault="00067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C" w:rsidRDefault="0006747C" w:rsidP="00074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B9B">
      <w:rPr>
        <w:rStyle w:val="PageNumber"/>
        <w:noProof/>
      </w:rPr>
      <w:t>2</w:t>
    </w:r>
    <w:r>
      <w:rPr>
        <w:rStyle w:val="PageNumber"/>
      </w:rPr>
      <w:fldChar w:fldCharType="end"/>
    </w:r>
  </w:p>
  <w:p w:rsidR="0006747C" w:rsidRDefault="00067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4AEB"/>
    <w:multiLevelType w:val="hybridMultilevel"/>
    <w:tmpl w:val="12CEC708"/>
    <w:lvl w:ilvl="0" w:tplc="32C4EA52">
      <w:start w:val="1"/>
      <w:numFmt w:val="decimal"/>
      <w:lvlText w:val="%1)"/>
      <w:lvlJc w:val="left"/>
      <w:pPr>
        <w:ind w:left="38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0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2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4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6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8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0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2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633"/>
    <w:rsid w:val="00002674"/>
    <w:rsid w:val="00011305"/>
    <w:rsid w:val="0001489A"/>
    <w:rsid w:val="00015429"/>
    <w:rsid w:val="00015A73"/>
    <w:rsid w:val="00021ACB"/>
    <w:rsid w:val="00036646"/>
    <w:rsid w:val="00041237"/>
    <w:rsid w:val="00041293"/>
    <w:rsid w:val="00050A51"/>
    <w:rsid w:val="00051152"/>
    <w:rsid w:val="00065E67"/>
    <w:rsid w:val="0006747C"/>
    <w:rsid w:val="00067E62"/>
    <w:rsid w:val="00067F3B"/>
    <w:rsid w:val="000716C5"/>
    <w:rsid w:val="00072D7E"/>
    <w:rsid w:val="000741D3"/>
    <w:rsid w:val="00080DEC"/>
    <w:rsid w:val="00085914"/>
    <w:rsid w:val="00085B8D"/>
    <w:rsid w:val="000950AB"/>
    <w:rsid w:val="0009612F"/>
    <w:rsid w:val="000A67F7"/>
    <w:rsid w:val="000B0E27"/>
    <w:rsid w:val="000C2568"/>
    <w:rsid w:val="000C35DA"/>
    <w:rsid w:val="000C47C3"/>
    <w:rsid w:val="000E312E"/>
    <w:rsid w:val="000F7468"/>
    <w:rsid w:val="000F7BC4"/>
    <w:rsid w:val="00105038"/>
    <w:rsid w:val="00115044"/>
    <w:rsid w:val="00130187"/>
    <w:rsid w:val="001502BB"/>
    <w:rsid w:val="001606C8"/>
    <w:rsid w:val="00174918"/>
    <w:rsid w:val="001807FC"/>
    <w:rsid w:val="00183D24"/>
    <w:rsid w:val="00184A60"/>
    <w:rsid w:val="00191549"/>
    <w:rsid w:val="00192DC8"/>
    <w:rsid w:val="00192E90"/>
    <w:rsid w:val="00193A64"/>
    <w:rsid w:val="001A034A"/>
    <w:rsid w:val="001A2A07"/>
    <w:rsid w:val="001A6CE9"/>
    <w:rsid w:val="001A737C"/>
    <w:rsid w:val="001B0821"/>
    <w:rsid w:val="001C7519"/>
    <w:rsid w:val="001D29AE"/>
    <w:rsid w:val="001D528D"/>
    <w:rsid w:val="001D535A"/>
    <w:rsid w:val="001E1382"/>
    <w:rsid w:val="001E67E8"/>
    <w:rsid w:val="001F1016"/>
    <w:rsid w:val="001F2EDC"/>
    <w:rsid w:val="001F307B"/>
    <w:rsid w:val="0020464C"/>
    <w:rsid w:val="002046A5"/>
    <w:rsid w:val="00207303"/>
    <w:rsid w:val="00210AEB"/>
    <w:rsid w:val="0021140F"/>
    <w:rsid w:val="002135A3"/>
    <w:rsid w:val="00217040"/>
    <w:rsid w:val="002225FC"/>
    <w:rsid w:val="00226C38"/>
    <w:rsid w:val="002338E7"/>
    <w:rsid w:val="00240275"/>
    <w:rsid w:val="00251EA4"/>
    <w:rsid w:val="00252493"/>
    <w:rsid w:val="00253F65"/>
    <w:rsid w:val="00255235"/>
    <w:rsid w:val="00256FAA"/>
    <w:rsid w:val="00281486"/>
    <w:rsid w:val="00291D98"/>
    <w:rsid w:val="002929CA"/>
    <w:rsid w:val="00294453"/>
    <w:rsid w:val="00295103"/>
    <w:rsid w:val="00296761"/>
    <w:rsid w:val="00296768"/>
    <w:rsid w:val="002A54BF"/>
    <w:rsid w:val="002A56A2"/>
    <w:rsid w:val="002C54AB"/>
    <w:rsid w:val="002D7799"/>
    <w:rsid w:val="002E00F1"/>
    <w:rsid w:val="002E323F"/>
    <w:rsid w:val="002E64E4"/>
    <w:rsid w:val="002F2116"/>
    <w:rsid w:val="002F669E"/>
    <w:rsid w:val="00301B75"/>
    <w:rsid w:val="00303F55"/>
    <w:rsid w:val="0031683A"/>
    <w:rsid w:val="00323CB7"/>
    <w:rsid w:val="003315ED"/>
    <w:rsid w:val="00333B9B"/>
    <w:rsid w:val="003535D4"/>
    <w:rsid w:val="00356A5D"/>
    <w:rsid w:val="00360089"/>
    <w:rsid w:val="00372EF2"/>
    <w:rsid w:val="003838C2"/>
    <w:rsid w:val="00386558"/>
    <w:rsid w:val="00387C4E"/>
    <w:rsid w:val="00392A8C"/>
    <w:rsid w:val="003A0BB5"/>
    <w:rsid w:val="003B2AB0"/>
    <w:rsid w:val="003B5932"/>
    <w:rsid w:val="003C4975"/>
    <w:rsid w:val="003D798B"/>
    <w:rsid w:val="003E016A"/>
    <w:rsid w:val="003E256B"/>
    <w:rsid w:val="00407081"/>
    <w:rsid w:val="004234D7"/>
    <w:rsid w:val="004245E6"/>
    <w:rsid w:val="00426B59"/>
    <w:rsid w:val="00430B3A"/>
    <w:rsid w:val="00431AC6"/>
    <w:rsid w:val="00440D1C"/>
    <w:rsid w:val="004455FD"/>
    <w:rsid w:val="00451F37"/>
    <w:rsid w:val="00470E77"/>
    <w:rsid w:val="00476530"/>
    <w:rsid w:val="0048061B"/>
    <w:rsid w:val="00485094"/>
    <w:rsid w:val="00491632"/>
    <w:rsid w:val="00491A7B"/>
    <w:rsid w:val="00492E80"/>
    <w:rsid w:val="0049303B"/>
    <w:rsid w:val="004A17FC"/>
    <w:rsid w:val="004A4CBC"/>
    <w:rsid w:val="004B2543"/>
    <w:rsid w:val="004B3CEB"/>
    <w:rsid w:val="004B5FEF"/>
    <w:rsid w:val="004C471B"/>
    <w:rsid w:val="004C57A0"/>
    <w:rsid w:val="004D1829"/>
    <w:rsid w:val="004E019C"/>
    <w:rsid w:val="004F0134"/>
    <w:rsid w:val="004F1A8C"/>
    <w:rsid w:val="004F4D78"/>
    <w:rsid w:val="00500459"/>
    <w:rsid w:val="00514BA7"/>
    <w:rsid w:val="00523814"/>
    <w:rsid w:val="00525B97"/>
    <w:rsid w:val="005347EF"/>
    <w:rsid w:val="00537FDF"/>
    <w:rsid w:val="00552AFE"/>
    <w:rsid w:val="005603CE"/>
    <w:rsid w:val="00564A33"/>
    <w:rsid w:val="005716EA"/>
    <w:rsid w:val="00580C89"/>
    <w:rsid w:val="00581067"/>
    <w:rsid w:val="00587833"/>
    <w:rsid w:val="00592B24"/>
    <w:rsid w:val="005A15C5"/>
    <w:rsid w:val="005A61A6"/>
    <w:rsid w:val="005A6BAD"/>
    <w:rsid w:val="005B177A"/>
    <w:rsid w:val="005B1CF9"/>
    <w:rsid w:val="005B302B"/>
    <w:rsid w:val="005B56F5"/>
    <w:rsid w:val="005C33DB"/>
    <w:rsid w:val="005D44FB"/>
    <w:rsid w:val="005D7B13"/>
    <w:rsid w:val="005F7538"/>
    <w:rsid w:val="006054ED"/>
    <w:rsid w:val="00611F67"/>
    <w:rsid w:val="00617A50"/>
    <w:rsid w:val="0062620D"/>
    <w:rsid w:val="00636BCB"/>
    <w:rsid w:val="00642450"/>
    <w:rsid w:val="00650CA8"/>
    <w:rsid w:val="006512F4"/>
    <w:rsid w:val="00655AA0"/>
    <w:rsid w:val="00656A6C"/>
    <w:rsid w:val="006619EB"/>
    <w:rsid w:val="0066277D"/>
    <w:rsid w:val="0067086A"/>
    <w:rsid w:val="0067314A"/>
    <w:rsid w:val="0067656E"/>
    <w:rsid w:val="006835F4"/>
    <w:rsid w:val="00692C48"/>
    <w:rsid w:val="006A3335"/>
    <w:rsid w:val="006B725E"/>
    <w:rsid w:val="006C06A9"/>
    <w:rsid w:val="006C71B7"/>
    <w:rsid w:val="006D1DA8"/>
    <w:rsid w:val="006E39BA"/>
    <w:rsid w:val="006E53EF"/>
    <w:rsid w:val="006F22EB"/>
    <w:rsid w:val="006F6DE2"/>
    <w:rsid w:val="00701E22"/>
    <w:rsid w:val="007041CA"/>
    <w:rsid w:val="00704612"/>
    <w:rsid w:val="00707D7B"/>
    <w:rsid w:val="00711C6D"/>
    <w:rsid w:val="0071218C"/>
    <w:rsid w:val="007134CF"/>
    <w:rsid w:val="0072002C"/>
    <w:rsid w:val="00734875"/>
    <w:rsid w:val="007409FD"/>
    <w:rsid w:val="007419E2"/>
    <w:rsid w:val="0074742C"/>
    <w:rsid w:val="00751EB0"/>
    <w:rsid w:val="00753462"/>
    <w:rsid w:val="00761C5E"/>
    <w:rsid w:val="00774414"/>
    <w:rsid w:val="00781B59"/>
    <w:rsid w:val="0079132E"/>
    <w:rsid w:val="007915A0"/>
    <w:rsid w:val="007933BA"/>
    <w:rsid w:val="00794DC6"/>
    <w:rsid w:val="007963F9"/>
    <w:rsid w:val="007B02B9"/>
    <w:rsid w:val="007B20FF"/>
    <w:rsid w:val="007C08C0"/>
    <w:rsid w:val="007D6362"/>
    <w:rsid w:val="007D77D4"/>
    <w:rsid w:val="007E2DE3"/>
    <w:rsid w:val="0080269F"/>
    <w:rsid w:val="00810A76"/>
    <w:rsid w:val="008114C4"/>
    <w:rsid w:val="0082251B"/>
    <w:rsid w:val="008243FB"/>
    <w:rsid w:val="008373E4"/>
    <w:rsid w:val="00842A4C"/>
    <w:rsid w:val="00845A01"/>
    <w:rsid w:val="00847F85"/>
    <w:rsid w:val="00853719"/>
    <w:rsid w:val="00871887"/>
    <w:rsid w:val="00881C8A"/>
    <w:rsid w:val="00881D12"/>
    <w:rsid w:val="00886E27"/>
    <w:rsid w:val="008A6633"/>
    <w:rsid w:val="008B01FB"/>
    <w:rsid w:val="008B1269"/>
    <w:rsid w:val="008D16F3"/>
    <w:rsid w:val="008E08FB"/>
    <w:rsid w:val="008E5086"/>
    <w:rsid w:val="008F102E"/>
    <w:rsid w:val="008F6748"/>
    <w:rsid w:val="008F765C"/>
    <w:rsid w:val="00900F03"/>
    <w:rsid w:val="00904A17"/>
    <w:rsid w:val="00907CA7"/>
    <w:rsid w:val="00907E4A"/>
    <w:rsid w:val="009130E4"/>
    <w:rsid w:val="00913A12"/>
    <w:rsid w:val="00922A14"/>
    <w:rsid w:val="0092411D"/>
    <w:rsid w:val="00932316"/>
    <w:rsid w:val="00936DB8"/>
    <w:rsid w:val="0094356A"/>
    <w:rsid w:val="0094432A"/>
    <w:rsid w:val="00947F0A"/>
    <w:rsid w:val="0096199A"/>
    <w:rsid w:val="00964164"/>
    <w:rsid w:val="00964AC3"/>
    <w:rsid w:val="009660FE"/>
    <w:rsid w:val="00975FC0"/>
    <w:rsid w:val="009801DF"/>
    <w:rsid w:val="0098053A"/>
    <w:rsid w:val="00981EA2"/>
    <w:rsid w:val="0098290D"/>
    <w:rsid w:val="00990848"/>
    <w:rsid w:val="00997E96"/>
    <w:rsid w:val="009A4BA3"/>
    <w:rsid w:val="009B138E"/>
    <w:rsid w:val="009B32CC"/>
    <w:rsid w:val="009B6A69"/>
    <w:rsid w:val="009C178E"/>
    <w:rsid w:val="009C1DD1"/>
    <w:rsid w:val="009C2599"/>
    <w:rsid w:val="009E6AB7"/>
    <w:rsid w:val="009F30F0"/>
    <w:rsid w:val="009F3FD9"/>
    <w:rsid w:val="00A008E9"/>
    <w:rsid w:val="00A02239"/>
    <w:rsid w:val="00A03B9F"/>
    <w:rsid w:val="00A07D6A"/>
    <w:rsid w:val="00A13224"/>
    <w:rsid w:val="00A22272"/>
    <w:rsid w:val="00A33E64"/>
    <w:rsid w:val="00A55C33"/>
    <w:rsid w:val="00A57F5C"/>
    <w:rsid w:val="00A778B3"/>
    <w:rsid w:val="00A8641C"/>
    <w:rsid w:val="00A86777"/>
    <w:rsid w:val="00A9228C"/>
    <w:rsid w:val="00AB37BD"/>
    <w:rsid w:val="00AB3BD8"/>
    <w:rsid w:val="00AC641B"/>
    <w:rsid w:val="00AD0F0E"/>
    <w:rsid w:val="00AD5709"/>
    <w:rsid w:val="00AF7137"/>
    <w:rsid w:val="00B05492"/>
    <w:rsid w:val="00B134F3"/>
    <w:rsid w:val="00B1621C"/>
    <w:rsid w:val="00B2269D"/>
    <w:rsid w:val="00B247F9"/>
    <w:rsid w:val="00B27479"/>
    <w:rsid w:val="00B362AD"/>
    <w:rsid w:val="00B45D7C"/>
    <w:rsid w:val="00B474EF"/>
    <w:rsid w:val="00B513BF"/>
    <w:rsid w:val="00B52902"/>
    <w:rsid w:val="00B61711"/>
    <w:rsid w:val="00B76ED9"/>
    <w:rsid w:val="00B80BF2"/>
    <w:rsid w:val="00B82A04"/>
    <w:rsid w:val="00B8352E"/>
    <w:rsid w:val="00B83C41"/>
    <w:rsid w:val="00B84DA6"/>
    <w:rsid w:val="00B916EC"/>
    <w:rsid w:val="00B95B84"/>
    <w:rsid w:val="00B96349"/>
    <w:rsid w:val="00B9682A"/>
    <w:rsid w:val="00BB2FDB"/>
    <w:rsid w:val="00BC1F96"/>
    <w:rsid w:val="00BC4CA1"/>
    <w:rsid w:val="00BD1A4D"/>
    <w:rsid w:val="00BE03D1"/>
    <w:rsid w:val="00BE2100"/>
    <w:rsid w:val="00C05897"/>
    <w:rsid w:val="00C11D60"/>
    <w:rsid w:val="00C17D6A"/>
    <w:rsid w:val="00C21F07"/>
    <w:rsid w:val="00C238C3"/>
    <w:rsid w:val="00C30428"/>
    <w:rsid w:val="00C35C07"/>
    <w:rsid w:val="00C4100B"/>
    <w:rsid w:val="00C41BFE"/>
    <w:rsid w:val="00C42288"/>
    <w:rsid w:val="00C464B7"/>
    <w:rsid w:val="00C465D5"/>
    <w:rsid w:val="00C562BE"/>
    <w:rsid w:val="00C57F40"/>
    <w:rsid w:val="00C706F6"/>
    <w:rsid w:val="00C83AC2"/>
    <w:rsid w:val="00C8533A"/>
    <w:rsid w:val="00C8736D"/>
    <w:rsid w:val="00C8783D"/>
    <w:rsid w:val="00CA1E74"/>
    <w:rsid w:val="00CA2690"/>
    <w:rsid w:val="00CA5C33"/>
    <w:rsid w:val="00CA5CC4"/>
    <w:rsid w:val="00CA5F1C"/>
    <w:rsid w:val="00CB2765"/>
    <w:rsid w:val="00CB4F20"/>
    <w:rsid w:val="00CB6C94"/>
    <w:rsid w:val="00CC232A"/>
    <w:rsid w:val="00CC33FC"/>
    <w:rsid w:val="00CC3F77"/>
    <w:rsid w:val="00CC4D99"/>
    <w:rsid w:val="00CC6A00"/>
    <w:rsid w:val="00CE0463"/>
    <w:rsid w:val="00CE4CBA"/>
    <w:rsid w:val="00CE6E09"/>
    <w:rsid w:val="00CF39E9"/>
    <w:rsid w:val="00D21F41"/>
    <w:rsid w:val="00D31667"/>
    <w:rsid w:val="00D461A0"/>
    <w:rsid w:val="00D50D52"/>
    <w:rsid w:val="00D54406"/>
    <w:rsid w:val="00D57327"/>
    <w:rsid w:val="00D6510B"/>
    <w:rsid w:val="00D718EC"/>
    <w:rsid w:val="00D73A86"/>
    <w:rsid w:val="00D8070F"/>
    <w:rsid w:val="00D81C3D"/>
    <w:rsid w:val="00D868C7"/>
    <w:rsid w:val="00D8755E"/>
    <w:rsid w:val="00DA182D"/>
    <w:rsid w:val="00DA1CE2"/>
    <w:rsid w:val="00DA4A25"/>
    <w:rsid w:val="00DB1B1E"/>
    <w:rsid w:val="00DB5F77"/>
    <w:rsid w:val="00DE5E06"/>
    <w:rsid w:val="00DE7624"/>
    <w:rsid w:val="00DF0790"/>
    <w:rsid w:val="00DF20DE"/>
    <w:rsid w:val="00E053BC"/>
    <w:rsid w:val="00E12AEE"/>
    <w:rsid w:val="00E144E7"/>
    <w:rsid w:val="00E17328"/>
    <w:rsid w:val="00E22397"/>
    <w:rsid w:val="00E26DF6"/>
    <w:rsid w:val="00E31363"/>
    <w:rsid w:val="00E3601B"/>
    <w:rsid w:val="00E36511"/>
    <w:rsid w:val="00E47920"/>
    <w:rsid w:val="00E5239D"/>
    <w:rsid w:val="00E64136"/>
    <w:rsid w:val="00E6548D"/>
    <w:rsid w:val="00E656D0"/>
    <w:rsid w:val="00E73295"/>
    <w:rsid w:val="00E920F6"/>
    <w:rsid w:val="00EC0910"/>
    <w:rsid w:val="00EC239B"/>
    <w:rsid w:val="00EC60AB"/>
    <w:rsid w:val="00ED33DD"/>
    <w:rsid w:val="00ED509E"/>
    <w:rsid w:val="00ED63CF"/>
    <w:rsid w:val="00ED70A2"/>
    <w:rsid w:val="00ED764B"/>
    <w:rsid w:val="00EE37A3"/>
    <w:rsid w:val="00EE6FAF"/>
    <w:rsid w:val="00EF3C58"/>
    <w:rsid w:val="00EF6FD3"/>
    <w:rsid w:val="00F125BC"/>
    <w:rsid w:val="00F1340F"/>
    <w:rsid w:val="00F17653"/>
    <w:rsid w:val="00F17B35"/>
    <w:rsid w:val="00F24830"/>
    <w:rsid w:val="00F24FF6"/>
    <w:rsid w:val="00F275C6"/>
    <w:rsid w:val="00F34333"/>
    <w:rsid w:val="00F40C76"/>
    <w:rsid w:val="00F43DB9"/>
    <w:rsid w:val="00F44DCC"/>
    <w:rsid w:val="00F51868"/>
    <w:rsid w:val="00F53F3B"/>
    <w:rsid w:val="00F55E2E"/>
    <w:rsid w:val="00F62362"/>
    <w:rsid w:val="00F6499D"/>
    <w:rsid w:val="00F80197"/>
    <w:rsid w:val="00F82C3C"/>
    <w:rsid w:val="00F90300"/>
    <w:rsid w:val="00F90579"/>
    <w:rsid w:val="00F94A00"/>
    <w:rsid w:val="00F95DC8"/>
    <w:rsid w:val="00F97F2E"/>
    <w:rsid w:val="00FA0A84"/>
    <w:rsid w:val="00FA1884"/>
    <w:rsid w:val="00FB0C36"/>
    <w:rsid w:val="00FB1307"/>
    <w:rsid w:val="00FD7F5F"/>
    <w:rsid w:val="00FF1F3F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D84DA5C-9641-4C6D-890A-A86453A9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C641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lab">
    <w:name w:val="naislab"/>
    <w:basedOn w:val="Normal"/>
    <w:rsid w:val="00AC641B"/>
    <w:pPr>
      <w:spacing w:before="75" w:after="75"/>
      <w:jc w:val="right"/>
    </w:pPr>
  </w:style>
  <w:style w:type="paragraph" w:styleId="Header">
    <w:name w:val="header"/>
    <w:basedOn w:val="Normal"/>
    <w:rsid w:val="00AC64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C641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D6510B"/>
    <w:pPr>
      <w:spacing w:before="75" w:after="75"/>
    </w:pPr>
  </w:style>
  <w:style w:type="paragraph" w:customStyle="1" w:styleId="naisnod">
    <w:name w:val="naisnod"/>
    <w:basedOn w:val="Normal"/>
    <w:uiPriority w:val="99"/>
    <w:rsid w:val="00D6510B"/>
    <w:pPr>
      <w:spacing w:before="150" w:after="150"/>
      <w:jc w:val="center"/>
    </w:pPr>
    <w:rPr>
      <w:b/>
      <w:bCs/>
    </w:rPr>
  </w:style>
  <w:style w:type="paragraph" w:styleId="FootnoteText">
    <w:name w:val="footnote text"/>
    <w:basedOn w:val="Normal"/>
    <w:semiHidden/>
    <w:rsid w:val="00D6510B"/>
    <w:rPr>
      <w:sz w:val="20"/>
      <w:szCs w:val="20"/>
    </w:rPr>
  </w:style>
  <w:style w:type="paragraph" w:styleId="List">
    <w:name w:val="List"/>
    <w:basedOn w:val="BodyText"/>
    <w:rsid w:val="00D6510B"/>
    <w:pPr>
      <w:suppressAutoHyphens/>
    </w:pPr>
    <w:rPr>
      <w:rFonts w:cs="Tahoma"/>
      <w:lang w:eastAsia="ar-SA"/>
    </w:rPr>
  </w:style>
  <w:style w:type="paragraph" w:styleId="BodyText">
    <w:name w:val="Body Text"/>
    <w:basedOn w:val="Normal"/>
    <w:rsid w:val="00D6510B"/>
    <w:pPr>
      <w:spacing w:after="120"/>
    </w:pPr>
  </w:style>
  <w:style w:type="paragraph" w:customStyle="1" w:styleId="naisf">
    <w:name w:val="naisf"/>
    <w:basedOn w:val="Normal"/>
    <w:uiPriority w:val="99"/>
    <w:rsid w:val="00D6510B"/>
    <w:pPr>
      <w:spacing w:before="75" w:after="75"/>
      <w:ind w:firstLine="375"/>
      <w:jc w:val="both"/>
    </w:pPr>
  </w:style>
  <w:style w:type="character" w:styleId="Hyperlink">
    <w:name w:val="Hyperlink"/>
    <w:rsid w:val="00F9030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80DEC"/>
    <w:rPr>
      <w:sz w:val="24"/>
      <w:szCs w:val="24"/>
      <w:lang w:val="lv-LV" w:eastAsia="lv-LV" w:bidi="ar-SA"/>
    </w:rPr>
  </w:style>
  <w:style w:type="paragraph" w:customStyle="1" w:styleId="tvhtmlmktable">
    <w:name w:val="tv_html mk_table"/>
    <w:basedOn w:val="Normal"/>
    <w:rsid w:val="0021704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PageNumber">
    <w:name w:val="page number"/>
    <w:basedOn w:val="DefaultParagraphFont"/>
    <w:rsid w:val="00D868C7"/>
  </w:style>
  <w:style w:type="paragraph" w:customStyle="1" w:styleId="CharCharCharChar">
    <w:name w:val="Char Char Char Char"/>
    <w:basedOn w:val="Normal"/>
    <w:uiPriority w:val="99"/>
    <w:rsid w:val="00E73295"/>
    <w:pPr>
      <w:spacing w:before="40"/>
    </w:pPr>
    <w:rPr>
      <w:lang w:val="pl-PL" w:eastAsia="pl-PL"/>
    </w:rPr>
  </w:style>
  <w:style w:type="paragraph" w:styleId="NoSpacing">
    <w:name w:val="No Spacing"/>
    <w:qFormat/>
    <w:rsid w:val="00D8070F"/>
    <w:rPr>
      <w:rFonts w:ascii="Calibri" w:eastAsia="Calibri" w:hAnsi="Calibri"/>
      <w:sz w:val="22"/>
      <w:szCs w:val="22"/>
      <w:lang w:eastAsia="en-US"/>
    </w:rPr>
  </w:style>
  <w:style w:type="paragraph" w:customStyle="1" w:styleId="tv213">
    <w:name w:val="tv213"/>
    <w:basedOn w:val="Normal"/>
    <w:rsid w:val="0096199A"/>
    <w:pPr>
      <w:spacing w:before="100" w:beforeAutospacing="1" w:after="100" w:afterAutospacing="1"/>
    </w:pPr>
  </w:style>
  <w:style w:type="paragraph" w:customStyle="1" w:styleId="tv213tvp">
    <w:name w:val="tv213 tvp"/>
    <w:basedOn w:val="Normal"/>
    <w:rsid w:val="0096199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D7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c">
    <w:name w:val="naisc"/>
    <w:basedOn w:val="Normal"/>
    <w:rsid w:val="002D7799"/>
    <w:pPr>
      <w:spacing w:before="75" w:after="75"/>
      <w:jc w:val="center"/>
    </w:pPr>
    <w:rPr>
      <w:rFonts w:eastAsia="Calibri"/>
    </w:rPr>
  </w:style>
  <w:style w:type="character" w:styleId="Strong">
    <w:name w:val="Strong"/>
    <w:uiPriority w:val="22"/>
    <w:qFormat/>
    <w:rsid w:val="002D7799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5D7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7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85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4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56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3787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Valsts policija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anotācija</dc:subject>
  <dc:creator>A.Sudārs</dc:creator>
  <cp:keywords/>
  <dc:description>lasn@vp.gov.lv</dc:description>
  <cp:lastModifiedBy>Andis Rožkalns</cp:lastModifiedBy>
  <cp:revision>2</cp:revision>
  <cp:lastPrinted>2016-04-01T05:28:00Z</cp:lastPrinted>
  <dcterms:created xsi:type="dcterms:W3CDTF">2017-04-03T13:57:00Z</dcterms:created>
  <dcterms:modified xsi:type="dcterms:W3CDTF">2017-04-03T13:57:00Z</dcterms:modified>
</cp:coreProperties>
</file>