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65" w:rsidRPr="00D85365" w:rsidRDefault="00D85365" w:rsidP="00D85365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bookmarkStart w:id="0" w:name="OLE_LINK1"/>
      <w:bookmarkStart w:id="1" w:name="OLE_LINK2"/>
      <w:r w:rsidRPr="00D85365">
        <w:rPr>
          <w:b/>
          <w:bCs/>
          <w:sz w:val="28"/>
          <w:szCs w:val="28"/>
        </w:rPr>
        <w:t xml:space="preserve">Ministru kabineta noteikumu projekta </w:t>
      </w:r>
      <w:r w:rsidRPr="00D85365">
        <w:rPr>
          <w:b/>
          <w:bCs/>
          <w:sz w:val="28"/>
          <w:szCs w:val="28"/>
        </w:rPr>
        <w:br/>
        <w:t xml:space="preserve">"Grozījumi Ministru kabineta 2010.gada 30.marta noteikumos Nr.300 "Noteikumi par akcīzes nodokļa deklarācijas veidlapām un to aizpildīšanas </w:t>
      </w:r>
      <w:bookmarkStart w:id="2" w:name="_GoBack"/>
      <w:r w:rsidRPr="00D85365">
        <w:rPr>
          <w:b/>
          <w:bCs/>
          <w:sz w:val="28"/>
          <w:szCs w:val="28"/>
        </w:rPr>
        <w:t>kārtību"" sākotnējās ietekmes novērtējuma ziņojums (anotācija)</w:t>
      </w:r>
      <w:bookmarkEnd w:id="0"/>
      <w:bookmarkEnd w:id="1"/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298"/>
        <w:gridCol w:w="5764"/>
      </w:tblGrid>
      <w:tr w:rsidR="00032C63" w:rsidRPr="00925150" w:rsidTr="004A6857">
        <w:trPr>
          <w:trHeight w:val="427"/>
        </w:trPr>
        <w:tc>
          <w:tcPr>
            <w:tcW w:w="9558" w:type="dxa"/>
            <w:gridSpan w:val="3"/>
            <w:hideMark/>
          </w:tcPr>
          <w:bookmarkEnd w:id="2"/>
          <w:p w:rsidR="00032C63" w:rsidRPr="00925150" w:rsidRDefault="00032C63" w:rsidP="00032C6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5"/>
                <w:szCs w:val="25"/>
              </w:rPr>
            </w:pPr>
            <w:r w:rsidRPr="00925150">
              <w:rPr>
                <w:b/>
                <w:bCs/>
                <w:sz w:val="25"/>
                <w:szCs w:val="25"/>
              </w:rPr>
              <w:t>Tiesību akta projekta izstrādes nepieciešamība</w:t>
            </w:r>
          </w:p>
        </w:tc>
      </w:tr>
      <w:tr w:rsidR="009F107E" w:rsidRPr="00925150" w:rsidTr="004A6857">
        <w:tc>
          <w:tcPr>
            <w:tcW w:w="496" w:type="dxa"/>
            <w:hideMark/>
          </w:tcPr>
          <w:p w:rsidR="00032C63" w:rsidRPr="00925150" w:rsidRDefault="00032C63" w:rsidP="00032C63">
            <w:pPr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1.</w:t>
            </w:r>
          </w:p>
        </w:tc>
        <w:tc>
          <w:tcPr>
            <w:tcW w:w="3298" w:type="dxa"/>
            <w:hideMark/>
          </w:tcPr>
          <w:p w:rsidR="00032C63" w:rsidRPr="00925150" w:rsidRDefault="00032C63" w:rsidP="00032C63">
            <w:pPr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Pamatojums</w:t>
            </w:r>
          </w:p>
        </w:tc>
        <w:tc>
          <w:tcPr>
            <w:tcW w:w="5764" w:type="dxa"/>
            <w:hideMark/>
          </w:tcPr>
          <w:p w:rsidR="00AD10DA" w:rsidRDefault="00191BAD" w:rsidP="007875B9">
            <w:pPr>
              <w:ind w:left="-108" w:firstLine="567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925150">
              <w:rPr>
                <w:rFonts w:eastAsia="Calibri"/>
                <w:sz w:val="25"/>
                <w:szCs w:val="25"/>
                <w:lang w:eastAsia="en-US"/>
              </w:rPr>
              <w:t>Minis</w:t>
            </w:r>
            <w:r w:rsidR="00FA6E40" w:rsidRPr="00925150">
              <w:rPr>
                <w:rFonts w:eastAsia="Calibri"/>
                <w:sz w:val="25"/>
                <w:szCs w:val="25"/>
                <w:lang w:eastAsia="en-US"/>
              </w:rPr>
              <w:t xml:space="preserve">tru kabineta noteikumu projekts </w:t>
            </w:r>
            <w:r w:rsidR="00D85365" w:rsidRPr="00D85365">
              <w:rPr>
                <w:rFonts w:eastAsia="Calibri"/>
                <w:sz w:val="25"/>
                <w:szCs w:val="25"/>
                <w:lang w:eastAsia="en-US"/>
              </w:rPr>
              <w:t xml:space="preserve">„Grozījumi Ministru kabineta 2010.gada 30.marta noteikumos Nr.300 „Noteikumi par akcīzes nodokļa deklarācijas veidlapām un to aizpildīšanas kārtību”” </w:t>
            </w:r>
            <w:r w:rsidRPr="00925150">
              <w:rPr>
                <w:rFonts w:eastAsia="Calibri"/>
                <w:sz w:val="25"/>
                <w:szCs w:val="25"/>
                <w:lang w:eastAsia="en-US"/>
              </w:rPr>
              <w:t>(turpmāk –</w:t>
            </w:r>
            <w:r w:rsidR="00BE6B32" w:rsidRPr="00925150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925150">
              <w:rPr>
                <w:rFonts w:eastAsia="Calibri"/>
                <w:sz w:val="25"/>
                <w:szCs w:val="25"/>
                <w:lang w:eastAsia="en-US"/>
              </w:rPr>
              <w:t xml:space="preserve">noteikumu projekts) </w:t>
            </w:r>
            <w:r w:rsidR="008E7DC2" w:rsidRPr="00925150">
              <w:rPr>
                <w:rFonts w:eastAsia="Calibri"/>
                <w:sz w:val="25"/>
                <w:szCs w:val="25"/>
                <w:lang w:eastAsia="en-US"/>
              </w:rPr>
              <w:t xml:space="preserve">ir </w:t>
            </w:r>
            <w:r w:rsidRPr="00925150">
              <w:rPr>
                <w:rFonts w:eastAsia="Calibri"/>
                <w:sz w:val="25"/>
                <w:szCs w:val="25"/>
                <w:lang w:eastAsia="en-US"/>
              </w:rPr>
              <w:t>izstrādāts</w:t>
            </w:r>
            <w:r w:rsidR="00AD10DA">
              <w:rPr>
                <w:rFonts w:eastAsia="Calibri"/>
                <w:sz w:val="25"/>
                <w:szCs w:val="25"/>
                <w:lang w:eastAsia="en-US"/>
              </w:rPr>
              <w:t xml:space="preserve"> saskaņā ar likuma “Par akcīzes nodokli” </w:t>
            </w:r>
            <w:r w:rsidR="007875B9" w:rsidRPr="007875B9">
              <w:rPr>
                <w:rFonts w:eastAsia="Calibri"/>
                <w:sz w:val="25"/>
                <w:szCs w:val="25"/>
                <w:lang w:eastAsia="en-US"/>
              </w:rPr>
              <w:t>24.panta trešo daļu</w:t>
            </w:r>
            <w:r w:rsidR="00AD10DA">
              <w:rPr>
                <w:rFonts w:eastAsia="Calibri"/>
                <w:sz w:val="25"/>
                <w:szCs w:val="25"/>
                <w:lang w:eastAsia="en-US"/>
              </w:rPr>
              <w:t>.</w:t>
            </w:r>
          </w:p>
          <w:p w:rsidR="00032C63" w:rsidRPr="00925150" w:rsidRDefault="00886750" w:rsidP="0039250B">
            <w:pPr>
              <w:ind w:left="-108" w:firstLine="567"/>
              <w:jc w:val="both"/>
              <w:rPr>
                <w:sz w:val="25"/>
                <w:szCs w:val="25"/>
              </w:rPr>
            </w:pPr>
            <w:r w:rsidRPr="00925150">
              <w:rPr>
                <w:rFonts w:eastAsia="Calibri"/>
                <w:sz w:val="25"/>
                <w:szCs w:val="25"/>
                <w:lang w:eastAsia="en-US"/>
              </w:rPr>
              <w:t xml:space="preserve">Saeimā 2017.gada 9.martā </w:t>
            </w:r>
            <w:r>
              <w:rPr>
                <w:rFonts w:eastAsia="Calibri"/>
                <w:sz w:val="25"/>
                <w:szCs w:val="25"/>
                <w:lang w:eastAsia="en-US"/>
              </w:rPr>
              <w:t>pieņemti</w:t>
            </w:r>
            <w:r w:rsidR="00EC03AE">
              <w:rPr>
                <w:rFonts w:eastAsia="Calibri"/>
                <w:sz w:val="25"/>
                <w:szCs w:val="25"/>
                <w:lang w:eastAsia="en-US"/>
              </w:rPr>
              <w:t xml:space="preserve"> grozījumi</w:t>
            </w:r>
            <w:r w:rsidRPr="00925150">
              <w:rPr>
                <w:rFonts w:eastAsia="Calibri"/>
                <w:sz w:val="25"/>
                <w:szCs w:val="25"/>
                <w:lang w:eastAsia="en-US"/>
              </w:rPr>
              <w:t xml:space="preserve">  likumā “Par akcīzes nodokli</w:t>
            </w:r>
            <w:r w:rsidR="003248B4">
              <w:rPr>
                <w:rFonts w:eastAsia="Calibri"/>
                <w:sz w:val="25"/>
                <w:szCs w:val="25"/>
                <w:lang w:eastAsia="en-US"/>
              </w:rPr>
              <w:t>”</w:t>
            </w:r>
            <w:r w:rsidR="00EC03AE">
              <w:rPr>
                <w:rFonts w:eastAsia="Calibri"/>
                <w:sz w:val="25"/>
                <w:szCs w:val="25"/>
                <w:lang w:eastAsia="en-US"/>
              </w:rPr>
              <w:t xml:space="preserve">. </w:t>
            </w:r>
            <w:r w:rsidR="004A6857" w:rsidRPr="00925150">
              <w:rPr>
                <w:rFonts w:eastAsia="Calibri"/>
                <w:sz w:val="25"/>
                <w:szCs w:val="25"/>
                <w:lang w:eastAsia="en-US"/>
              </w:rPr>
              <w:t xml:space="preserve">Saskaņā ar minētajiem grozījumiem no 2017.gada 1.aprīļa </w:t>
            </w:r>
            <w:r w:rsidR="004A6857" w:rsidRPr="0039250B">
              <w:rPr>
                <w:rFonts w:eastAsia="Calibri"/>
                <w:sz w:val="25"/>
                <w:szCs w:val="25"/>
                <w:lang w:eastAsia="en-US"/>
              </w:rPr>
              <w:t>likums “Par akcīzes nodokli”</w:t>
            </w:r>
            <w:r w:rsidR="00C86474">
              <w:rPr>
                <w:rFonts w:eastAsia="Calibri"/>
                <w:sz w:val="25"/>
                <w:szCs w:val="25"/>
                <w:lang w:eastAsia="en-US"/>
              </w:rPr>
              <w:t>, saistībā ar dabasgāze</w:t>
            </w:r>
            <w:r w:rsidR="008E5E7B">
              <w:rPr>
                <w:rFonts w:eastAsia="Calibri"/>
                <w:sz w:val="25"/>
                <w:szCs w:val="25"/>
                <w:lang w:eastAsia="en-US"/>
              </w:rPr>
              <w:t>s</w:t>
            </w:r>
            <w:r w:rsidR="00C86474">
              <w:rPr>
                <w:rFonts w:eastAsia="Calibri"/>
                <w:sz w:val="25"/>
                <w:szCs w:val="25"/>
                <w:lang w:eastAsia="en-US"/>
              </w:rPr>
              <w:t xml:space="preserve"> tirgus atvēršanu,</w:t>
            </w:r>
            <w:r w:rsidRPr="00925150">
              <w:rPr>
                <w:rFonts w:eastAsia="Calibri"/>
                <w:sz w:val="25"/>
                <w:szCs w:val="25"/>
                <w:lang w:eastAsia="en-US"/>
              </w:rPr>
              <w:t xml:space="preserve"> paredz </w:t>
            </w:r>
            <w:r w:rsidR="005A5816">
              <w:rPr>
                <w:rFonts w:eastAsia="Calibri"/>
                <w:sz w:val="25"/>
                <w:szCs w:val="25"/>
                <w:lang w:eastAsia="en-US"/>
              </w:rPr>
              <w:t>dabasgāzes akcīzes nodokļa maksātāju loka paplašināšanu</w:t>
            </w:r>
            <w:r w:rsidR="00C83C8A">
              <w:rPr>
                <w:rFonts w:eastAsia="Calibri"/>
                <w:sz w:val="25"/>
                <w:szCs w:val="25"/>
                <w:lang w:eastAsia="en-US"/>
              </w:rPr>
              <w:t xml:space="preserve">, kā arī </w:t>
            </w:r>
            <w:r w:rsidR="004A6857">
              <w:rPr>
                <w:rFonts w:eastAsia="Calibri"/>
                <w:sz w:val="25"/>
                <w:szCs w:val="25"/>
                <w:lang w:eastAsia="en-US"/>
              </w:rPr>
              <w:t>maina</w:t>
            </w:r>
            <w:r w:rsidR="005A5816">
              <w:rPr>
                <w:rFonts w:eastAsia="Calibri"/>
                <w:sz w:val="25"/>
                <w:szCs w:val="25"/>
                <w:lang w:eastAsia="en-US"/>
              </w:rPr>
              <w:t xml:space="preserve"> akcīzes nodokļa piemēro</w:t>
            </w:r>
            <w:r w:rsidR="004A6857">
              <w:rPr>
                <w:rFonts w:eastAsia="Calibri"/>
                <w:sz w:val="25"/>
                <w:szCs w:val="25"/>
                <w:lang w:eastAsia="en-US"/>
              </w:rPr>
              <w:t>šanas principu</w:t>
            </w:r>
            <w:r w:rsidR="005A5816">
              <w:rPr>
                <w:rFonts w:eastAsia="Calibri"/>
                <w:sz w:val="25"/>
                <w:szCs w:val="25"/>
                <w:lang w:eastAsia="en-US"/>
              </w:rPr>
              <w:t xml:space="preserve"> - akcīzes nodoklis piemēro dabasgāzes apjomam, kas izteikts enerģijas vienībās</w:t>
            </w:r>
            <w:r w:rsidR="00C83C8A" w:rsidRPr="00C83C8A">
              <w:rPr>
                <w:rFonts w:eastAsia="Calibri"/>
                <w:sz w:val="25"/>
                <w:szCs w:val="25"/>
                <w:lang w:eastAsia="en-US"/>
              </w:rPr>
              <w:t xml:space="preserve">, </w:t>
            </w:r>
            <w:r w:rsidR="005A5816">
              <w:rPr>
                <w:rFonts w:eastAsia="Calibri"/>
                <w:sz w:val="25"/>
                <w:szCs w:val="25"/>
                <w:lang w:eastAsia="en-US"/>
              </w:rPr>
              <w:t xml:space="preserve">akcīzes nodokļa </w:t>
            </w:r>
            <w:r w:rsidR="00C83C8A" w:rsidRPr="00C83C8A">
              <w:rPr>
                <w:rFonts w:eastAsia="Calibri"/>
                <w:sz w:val="25"/>
                <w:szCs w:val="25"/>
                <w:lang w:eastAsia="en-US"/>
              </w:rPr>
              <w:t>likmi nosakot par vienu megavatstundu (MWh), nevis par 1000 kubikmetriem (m</w:t>
            </w:r>
            <w:r w:rsidR="00C83C8A" w:rsidRPr="003248B4">
              <w:rPr>
                <w:rFonts w:eastAsia="Calibri"/>
                <w:sz w:val="25"/>
                <w:szCs w:val="25"/>
                <w:vertAlign w:val="superscript"/>
                <w:lang w:eastAsia="en-US"/>
              </w:rPr>
              <w:t>3</w:t>
            </w:r>
            <w:r w:rsidR="00C83C8A" w:rsidRPr="00C83C8A">
              <w:rPr>
                <w:rFonts w:eastAsia="Calibri"/>
                <w:sz w:val="25"/>
                <w:szCs w:val="25"/>
                <w:lang w:eastAsia="en-US"/>
              </w:rPr>
              <w:t>)</w:t>
            </w:r>
            <w:r w:rsidR="008E7DC2" w:rsidRPr="00925150">
              <w:rPr>
                <w:rFonts w:eastAsia="Calibri"/>
                <w:sz w:val="25"/>
                <w:szCs w:val="25"/>
                <w:lang w:eastAsia="en-US"/>
              </w:rPr>
              <w:t>.</w:t>
            </w:r>
          </w:p>
        </w:tc>
      </w:tr>
      <w:tr w:rsidR="009F107E" w:rsidRPr="00925150" w:rsidTr="004A6857">
        <w:tc>
          <w:tcPr>
            <w:tcW w:w="496" w:type="dxa"/>
            <w:hideMark/>
          </w:tcPr>
          <w:p w:rsidR="00032C63" w:rsidRPr="00925150" w:rsidRDefault="00032C63" w:rsidP="00032C63">
            <w:pPr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2.</w:t>
            </w:r>
          </w:p>
        </w:tc>
        <w:tc>
          <w:tcPr>
            <w:tcW w:w="3298" w:type="dxa"/>
            <w:hideMark/>
          </w:tcPr>
          <w:p w:rsidR="00032C63" w:rsidRPr="00925150" w:rsidRDefault="003169F1" w:rsidP="003169F1">
            <w:pPr>
              <w:jc w:val="both"/>
              <w:rPr>
                <w:sz w:val="25"/>
                <w:szCs w:val="25"/>
              </w:rPr>
            </w:pPr>
            <w:r w:rsidRPr="00925150">
              <w:rPr>
                <w:color w:val="000000"/>
                <w:sz w:val="25"/>
                <w:szCs w:val="25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764" w:type="dxa"/>
          </w:tcPr>
          <w:p w:rsidR="00FF11E8" w:rsidRPr="004233C3" w:rsidRDefault="00C83C8A" w:rsidP="004233C3">
            <w:pPr>
              <w:ind w:firstLine="459"/>
              <w:jc w:val="both"/>
              <w:rPr>
                <w:sz w:val="25"/>
                <w:szCs w:val="25"/>
              </w:rPr>
            </w:pPr>
            <w:r w:rsidRPr="004233C3">
              <w:rPr>
                <w:sz w:val="25"/>
                <w:szCs w:val="25"/>
              </w:rPr>
              <w:t xml:space="preserve">Šobrīd Ministru kabineta 2010.gada 30.marta noteikumu Nr.300 "Noteikumi par akcīzes nodokļa deklarācijas veidlapām un to aizpildīšanas kārtību" (turpmāk </w:t>
            </w:r>
            <w:r w:rsidR="00B5568C" w:rsidRPr="00B5568C">
              <w:rPr>
                <w:sz w:val="25"/>
                <w:szCs w:val="25"/>
              </w:rPr>
              <w:t>–</w:t>
            </w:r>
            <w:r w:rsidRPr="004233C3">
              <w:rPr>
                <w:sz w:val="25"/>
                <w:szCs w:val="25"/>
              </w:rPr>
              <w:t xml:space="preserve"> Ministru kabineta 2010.gada 30.marta noteikumi Nr.300) 5.pielikumā "Dabasgāzes akcīzes nodokļa deklarācija" </w:t>
            </w:r>
            <w:r w:rsidR="0070227D" w:rsidRPr="004233C3">
              <w:rPr>
                <w:sz w:val="25"/>
                <w:szCs w:val="25"/>
              </w:rPr>
              <w:t xml:space="preserve">dabasgāzes </w:t>
            </w:r>
            <w:r w:rsidR="00B5568C" w:rsidRPr="004233C3">
              <w:rPr>
                <w:sz w:val="25"/>
                <w:szCs w:val="25"/>
              </w:rPr>
              <w:t>apjom</w:t>
            </w:r>
            <w:r w:rsidR="00B5568C">
              <w:rPr>
                <w:sz w:val="25"/>
                <w:szCs w:val="25"/>
              </w:rPr>
              <w:t xml:space="preserve">us </w:t>
            </w:r>
            <w:r w:rsidR="0070227D" w:rsidRPr="004233C3">
              <w:rPr>
                <w:sz w:val="25"/>
                <w:szCs w:val="25"/>
              </w:rPr>
              <w:t>norād</w:t>
            </w:r>
            <w:r w:rsidR="00B5568C">
              <w:rPr>
                <w:sz w:val="25"/>
                <w:szCs w:val="25"/>
              </w:rPr>
              <w:t>a</w:t>
            </w:r>
            <w:r w:rsidR="0070227D" w:rsidRPr="004233C3">
              <w:rPr>
                <w:sz w:val="25"/>
                <w:szCs w:val="25"/>
              </w:rPr>
              <w:t xml:space="preserve"> </w:t>
            </w:r>
            <w:r w:rsidR="001A1DDB">
              <w:rPr>
                <w:rFonts w:eastAsia="Calibri"/>
                <w:sz w:val="25"/>
                <w:szCs w:val="25"/>
                <w:lang w:eastAsia="en-US"/>
              </w:rPr>
              <w:t xml:space="preserve">kubikmetros, </w:t>
            </w:r>
            <w:r w:rsidR="0070227D" w:rsidRPr="004233C3">
              <w:rPr>
                <w:sz w:val="25"/>
                <w:szCs w:val="25"/>
              </w:rPr>
              <w:t xml:space="preserve">nav </w:t>
            </w:r>
            <w:r w:rsidR="00CA1D0B">
              <w:rPr>
                <w:sz w:val="25"/>
                <w:szCs w:val="25"/>
              </w:rPr>
              <w:t>iespēju deklarēt</w:t>
            </w:r>
            <w:r w:rsidR="0070227D" w:rsidRPr="004233C3">
              <w:rPr>
                <w:sz w:val="25"/>
                <w:szCs w:val="25"/>
              </w:rPr>
              <w:t xml:space="preserve"> informāciju par </w:t>
            </w:r>
            <w:r w:rsidR="004E683B" w:rsidRPr="004E683B">
              <w:rPr>
                <w:sz w:val="25"/>
                <w:szCs w:val="25"/>
              </w:rPr>
              <w:t>apstiprināt</w:t>
            </w:r>
            <w:r w:rsidR="004E683B">
              <w:rPr>
                <w:sz w:val="25"/>
                <w:szCs w:val="25"/>
              </w:rPr>
              <w:t>a</w:t>
            </w:r>
            <w:r w:rsidR="004E683B" w:rsidRPr="004E683B">
              <w:rPr>
                <w:sz w:val="25"/>
                <w:szCs w:val="25"/>
              </w:rPr>
              <w:t xml:space="preserve"> noliktavas turētāj</w:t>
            </w:r>
            <w:r w:rsidR="004E683B">
              <w:rPr>
                <w:sz w:val="25"/>
                <w:szCs w:val="25"/>
              </w:rPr>
              <w:t>a</w:t>
            </w:r>
            <w:r w:rsidR="004E683B" w:rsidRPr="004E683B">
              <w:rPr>
                <w:sz w:val="25"/>
                <w:szCs w:val="25"/>
              </w:rPr>
              <w:t xml:space="preserve"> darbībām ar dabasgāzi (tajā skaitā sašķidrināto dabasgāzi un saspiesto dabasgāzi), ja dabasgāze netiek transportēta pa dabasgāzes pārvades un sadales sistēmas cauruļvadiem (turpmāk – </w:t>
            </w:r>
            <w:r w:rsidR="00000787" w:rsidRPr="004233C3">
              <w:rPr>
                <w:sz w:val="25"/>
                <w:szCs w:val="25"/>
              </w:rPr>
              <w:t>apstiprināta noliktavas turētāja</w:t>
            </w:r>
            <w:r w:rsidR="0008427B" w:rsidRPr="004233C3">
              <w:rPr>
                <w:sz w:val="25"/>
                <w:szCs w:val="25"/>
              </w:rPr>
              <w:t xml:space="preserve"> darbībām ar dabasgāzi</w:t>
            </w:r>
            <w:r w:rsidR="004E683B">
              <w:rPr>
                <w:sz w:val="25"/>
                <w:szCs w:val="25"/>
              </w:rPr>
              <w:t>)</w:t>
            </w:r>
            <w:r w:rsidR="0008427B" w:rsidRPr="004233C3">
              <w:rPr>
                <w:sz w:val="25"/>
                <w:szCs w:val="25"/>
              </w:rPr>
              <w:t xml:space="preserve"> </w:t>
            </w:r>
            <w:r w:rsidR="001A1DDB">
              <w:rPr>
                <w:sz w:val="25"/>
                <w:szCs w:val="25"/>
              </w:rPr>
              <w:t>–</w:t>
            </w:r>
            <w:r w:rsidR="00CA1D0B">
              <w:rPr>
                <w:sz w:val="25"/>
                <w:szCs w:val="25"/>
              </w:rPr>
              <w:t xml:space="preserve"> </w:t>
            </w:r>
            <w:r w:rsidR="001A1DDB">
              <w:rPr>
                <w:sz w:val="25"/>
                <w:szCs w:val="25"/>
              </w:rPr>
              <w:t>apjomiem, kuri saņemti akcīzes preču noliktavā un</w:t>
            </w:r>
            <w:r w:rsidR="0008427B" w:rsidRPr="004233C3">
              <w:rPr>
                <w:sz w:val="25"/>
                <w:szCs w:val="25"/>
              </w:rPr>
              <w:t xml:space="preserve"> pārvietots atliktā nodokļa maksāšanas režīmā saskaņā ar </w:t>
            </w:r>
            <w:r w:rsidR="0039250B" w:rsidRPr="0039250B">
              <w:rPr>
                <w:sz w:val="25"/>
                <w:szCs w:val="25"/>
              </w:rPr>
              <w:t xml:space="preserve">likuma </w:t>
            </w:r>
            <w:r w:rsidR="0039250B" w:rsidRPr="00D9221E">
              <w:rPr>
                <w:sz w:val="25"/>
                <w:szCs w:val="25"/>
              </w:rPr>
              <w:t>“Par akcīzes nodokli”</w:t>
            </w:r>
            <w:r w:rsidR="0008427B" w:rsidRPr="004233C3">
              <w:rPr>
                <w:sz w:val="25"/>
                <w:szCs w:val="25"/>
              </w:rPr>
              <w:t xml:space="preserve"> 25.pantu. Nav atsevišķi izdalīts dabasgāzes apjoms, kuru </w:t>
            </w:r>
            <w:r w:rsidR="00CA1D0B">
              <w:rPr>
                <w:sz w:val="25"/>
                <w:szCs w:val="25"/>
              </w:rPr>
              <w:t xml:space="preserve">likumā paredzētajos gadījumos </w:t>
            </w:r>
            <w:r w:rsidR="0008427B" w:rsidRPr="004233C3">
              <w:rPr>
                <w:sz w:val="25"/>
                <w:szCs w:val="25"/>
              </w:rPr>
              <w:t>atbrīvo no akcīzes nodokļa.</w:t>
            </w:r>
          </w:p>
          <w:p w:rsidR="00FF11E8" w:rsidRDefault="00FF11E8" w:rsidP="00FF11E8">
            <w:pPr>
              <w:pStyle w:val="NormalWeb"/>
              <w:spacing w:before="0" w:beforeAutospacing="0" w:after="0" w:afterAutospacing="0"/>
              <w:ind w:left="-108" w:firstLine="56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Šobrīd</w:t>
            </w:r>
            <w:r w:rsidRPr="00925150">
              <w:rPr>
                <w:sz w:val="25"/>
                <w:szCs w:val="25"/>
              </w:rPr>
              <w:t xml:space="preserve"> ar dabasgāzes</w:t>
            </w:r>
            <w:r w:rsidR="00BB7F58">
              <w:rPr>
                <w:sz w:val="25"/>
                <w:szCs w:val="25"/>
              </w:rPr>
              <w:t xml:space="preserve"> tirdzniecību faktiski nodarboja</w:t>
            </w:r>
            <w:r w:rsidRPr="00925150">
              <w:rPr>
                <w:sz w:val="25"/>
                <w:szCs w:val="25"/>
              </w:rPr>
              <w:t xml:space="preserve">s tikai </w:t>
            </w:r>
            <w:r>
              <w:rPr>
                <w:sz w:val="25"/>
                <w:szCs w:val="25"/>
              </w:rPr>
              <w:t>viens komersants</w:t>
            </w:r>
            <w:r w:rsidRPr="00925150">
              <w:rPr>
                <w:sz w:val="25"/>
                <w:szCs w:val="25"/>
              </w:rPr>
              <w:t>. Savukārt līdz ar dabasgāzes tirgus atvēršanu ar dabasgāzes tirdzniecību varēs nodarboties gan komersanti, kas ir reģistrējušies Sabiedrisko pakalpojumu regulēšanas komisijā kā dabasgāzes tirgotāji, gan komersanti, kas piegādās s</w:t>
            </w:r>
            <w:r>
              <w:rPr>
                <w:sz w:val="25"/>
                <w:szCs w:val="25"/>
              </w:rPr>
              <w:t>aš</w:t>
            </w:r>
            <w:r w:rsidRPr="00925150">
              <w:rPr>
                <w:sz w:val="25"/>
                <w:szCs w:val="25"/>
              </w:rPr>
              <w:t>ķidrinātu vai saspiestu dabasgāzi galalietotājiem, neizmantojot dabasgāz</w:t>
            </w:r>
            <w:r w:rsidR="00CA1D0B">
              <w:rPr>
                <w:sz w:val="25"/>
                <w:szCs w:val="25"/>
              </w:rPr>
              <w:t>es sadales sistēmas cauruļvadus</w:t>
            </w:r>
            <w:r w:rsidR="00BB7F58">
              <w:rPr>
                <w:sz w:val="25"/>
                <w:szCs w:val="25"/>
              </w:rPr>
              <w:t>,</w:t>
            </w:r>
            <w:r w:rsidR="00CA1D0B">
              <w:rPr>
                <w:sz w:val="25"/>
                <w:szCs w:val="25"/>
              </w:rPr>
              <w:t xml:space="preserve"> tādējādi </w:t>
            </w:r>
            <w:r w:rsidR="004A6857">
              <w:rPr>
                <w:sz w:val="25"/>
                <w:szCs w:val="25"/>
              </w:rPr>
              <w:t>paplašin</w:t>
            </w:r>
            <w:r w:rsidR="00B5568C">
              <w:rPr>
                <w:sz w:val="25"/>
                <w:szCs w:val="25"/>
              </w:rPr>
              <w:t>o</w:t>
            </w:r>
            <w:r w:rsidR="004A6857">
              <w:rPr>
                <w:sz w:val="25"/>
                <w:szCs w:val="25"/>
              </w:rPr>
              <w:t xml:space="preserve">t dabasgāzes akcīzes nodokļa </w:t>
            </w:r>
            <w:r w:rsidR="00E216D2">
              <w:rPr>
                <w:sz w:val="25"/>
                <w:szCs w:val="25"/>
              </w:rPr>
              <w:lastRenderedPageBreak/>
              <w:t xml:space="preserve">deklarācijas  </w:t>
            </w:r>
            <w:r w:rsidR="004A6857">
              <w:rPr>
                <w:sz w:val="25"/>
                <w:szCs w:val="25"/>
              </w:rPr>
              <w:t xml:space="preserve">iesniedzēju </w:t>
            </w:r>
            <w:r w:rsidR="00B5568C">
              <w:rPr>
                <w:sz w:val="25"/>
                <w:szCs w:val="25"/>
              </w:rPr>
              <w:t>loku</w:t>
            </w:r>
            <w:r w:rsidR="004A6857">
              <w:rPr>
                <w:sz w:val="25"/>
                <w:szCs w:val="25"/>
              </w:rPr>
              <w:t>.</w:t>
            </w:r>
          </w:p>
          <w:p w:rsidR="00767227" w:rsidRDefault="00FF11E8" w:rsidP="004233C3">
            <w:pPr>
              <w:ind w:firstLine="45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Ņem</w:t>
            </w:r>
            <w:r w:rsidR="00891FAB" w:rsidRPr="004233C3">
              <w:rPr>
                <w:sz w:val="25"/>
                <w:szCs w:val="25"/>
              </w:rPr>
              <w:t>ot vērā minēto, noteikumu projekts izteikt jaunā redakcijā Ministru kabineta 2010.gada 30.marta noteikumu Nr.300 V</w:t>
            </w:r>
            <w:r w:rsidR="00891FAB" w:rsidRPr="004233C3">
              <w:rPr>
                <w:sz w:val="25"/>
                <w:szCs w:val="25"/>
                <w:vertAlign w:val="superscript"/>
              </w:rPr>
              <w:t>1</w:t>
            </w:r>
            <w:r w:rsidR="004E683B">
              <w:rPr>
                <w:sz w:val="25"/>
                <w:szCs w:val="25"/>
              </w:rPr>
              <w:t xml:space="preserve"> </w:t>
            </w:r>
            <w:r w:rsidR="00891FAB" w:rsidRPr="004233C3">
              <w:rPr>
                <w:sz w:val="25"/>
                <w:szCs w:val="25"/>
              </w:rPr>
              <w:t xml:space="preserve">nodaļu un 5.pielikumu, paredzot aprēķināt akcīzes nodokli </w:t>
            </w:r>
            <w:r w:rsidR="00E9404E">
              <w:rPr>
                <w:rFonts w:eastAsia="Calibri"/>
                <w:sz w:val="25"/>
                <w:szCs w:val="25"/>
                <w:lang w:eastAsia="en-US"/>
              </w:rPr>
              <w:t>dabasgāzes apjomam, kas izteikts enerģijas vienībās,</w:t>
            </w:r>
            <w:r w:rsidR="00891FAB" w:rsidRPr="004233C3">
              <w:rPr>
                <w:sz w:val="25"/>
                <w:szCs w:val="25"/>
              </w:rPr>
              <w:t xml:space="preserve"> </w:t>
            </w:r>
            <w:r w:rsidR="00E9404E">
              <w:rPr>
                <w:sz w:val="25"/>
                <w:szCs w:val="25"/>
              </w:rPr>
              <w:t>nodrošina</w:t>
            </w:r>
            <w:r w:rsidR="00891FAB" w:rsidRPr="004233C3">
              <w:rPr>
                <w:sz w:val="25"/>
                <w:szCs w:val="25"/>
              </w:rPr>
              <w:t xml:space="preserve"> iespēju dabasgāzes akcīzes nodokļa deklarāciju iesniegt </w:t>
            </w:r>
            <w:r w:rsidR="00E9404E">
              <w:rPr>
                <w:sz w:val="25"/>
                <w:szCs w:val="25"/>
              </w:rPr>
              <w:t xml:space="preserve">visām </w:t>
            </w:r>
            <w:r w:rsidR="00FA722B" w:rsidRPr="0039250B">
              <w:rPr>
                <w:sz w:val="25"/>
                <w:szCs w:val="25"/>
              </w:rPr>
              <w:t>likumā</w:t>
            </w:r>
            <w:r w:rsidR="0039250B">
              <w:rPr>
                <w:sz w:val="25"/>
                <w:szCs w:val="25"/>
              </w:rPr>
              <w:t xml:space="preserve"> </w:t>
            </w:r>
            <w:r w:rsidR="0039250B" w:rsidRPr="0039250B">
              <w:rPr>
                <w:sz w:val="25"/>
                <w:szCs w:val="25"/>
              </w:rPr>
              <w:t>“Par akcīzes nodokli”</w:t>
            </w:r>
            <w:r w:rsidR="00FA722B" w:rsidRPr="004233C3">
              <w:rPr>
                <w:sz w:val="25"/>
                <w:szCs w:val="25"/>
              </w:rPr>
              <w:t xml:space="preserve"> noteikt</w:t>
            </w:r>
            <w:r w:rsidR="00E9404E">
              <w:rPr>
                <w:sz w:val="25"/>
                <w:szCs w:val="25"/>
              </w:rPr>
              <w:t>ajam personām</w:t>
            </w:r>
            <w:r w:rsidR="00FA722B" w:rsidRPr="004233C3">
              <w:rPr>
                <w:sz w:val="25"/>
                <w:szCs w:val="25"/>
              </w:rPr>
              <w:t xml:space="preserve"> </w:t>
            </w:r>
            <w:r w:rsidR="00B5568C" w:rsidRPr="00B5568C">
              <w:rPr>
                <w:sz w:val="25"/>
                <w:szCs w:val="25"/>
              </w:rPr>
              <w:t>–</w:t>
            </w:r>
            <w:r w:rsidR="00FA722B" w:rsidRPr="004233C3">
              <w:rPr>
                <w:sz w:val="25"/>
                <w:szCs w:val="25"/>
              </w:rPr>
              <w:t xml:space="preserve"> apstiprinātam noliktavas turētājam darbībām ar dabasgāzi, dabasgāzes tirgotājam, publiskajam tirgotājam, galalietotājam, personai, kas ieved un realizē dabasgāzi mazumtirdzniecībā kā degvielu, dabasgāzes sadales sistēmas operatoram, deklarē</w:t>
            </w:r>
            <w:r w:rsidR="004E71C2" w:rsidRPr="004233C3">
              <w:rPr>
                <w:sz w:val="25"/>
                <w:szCs w:val="25"/>
              </w:rPr>
              <w:t>j</w:t>
            </w:r>
            <w:r w:rsidR="00FA722B" w:rsidRPr="004233C3">
              <w:rPr>
                <w:sz w:val="25"/>
                <w:szCs w:val="25"/>
              </w:rPr>
              <w:t xml:space="preserve">ot attiecīgo informāciju par taksācijas periodā veiktajām darbībām ar dabasgāzi. </w:t>
            </w:r>
            <w:r w:rsidR="004E71C2" w:rsidRPr="004233C3">
              <w:rPr>
                <w:sz w:val="25"/>
                <w:szCs w:val="25"/>
              </w:rPr>
              <w:t xml:space="preserve">Atsevišķi </w:t>
            </w:r>
            <w:r w:rsidR="00E9404E">
              <w:rPr>
                <w:sz w:val="25"/>
                <w:szCs w:val="25"/>
              </w:rPr>
              <w:t>paredzēta</w:t>
            </w:r>
            <w:r>
              <w:rPr>
                <w:sz w:val="25"/>
                <w:szCs w:val="25"/>
              </w:rPr>
              <w:t xml:space="preserve"> </w:t>
            </w:r>
            <w:r w:rsidR="00E9404E">
              <w:rPr>
                <w:sz w:val="25"/>
                <w:szCs w:val="25"/>
              </w:rPr>
              <w:t>iespēja deklarēt</w:t>
            </w:r>
            <w:r w:rsidR="00FA722B" w:rsidRPr="004233C3">
              <w:rPr>
                <w:sz w:val="25"/>
                <w:szCs w:val="25"/>
              </w:rPr>
              <w:t xml:space="preserve"> dabasgāz</w:t>
            </w:r>
            <w:r w:rsidR="004E71C2" w:rsidRPr="004233C3">
              <w:rPr>
                <w:sz w:val="25"/>
                <w:szCs w:val="25"/>
              </w:rPr>
              <w:t>es apjomu, ko nea</w:t>
            </w:r>
            <w:r w:rsidR="00483B6E">
              <w:rPr>
                <w:sz w:val="25"/>
                <w:szCs w:val="25"/>
              </w:rPr>
              <w:t>p</w:t>
            </w:r>
            <w:r w:rsidR="004E71C2" w:rsidRPr="004233C3">
              <w:rPr>
                <w:sz w:val="25"/>
                <w:szCs w:val="25"/>
              </w:rPr>
              <w:t xml:space="preserve">liek ar akcīzes nodokli </w:t>
            </w:r>
            <w:r w:rsidR="00FA722B" w:rsidRPr="004233C3">
              <w:rPr>
                <w:sz w:val="25"/>
                <w:szCs w:val="25"/>
              </w:rPr>
              <w:t xml:space="preserve">atbilstoši </w:t>
            </w:r>
            <w:r w:rsidR="00FA722B" w:rsidRPr="0039250B">
              <w:rPr>
                <w:sz w:val="25"/>
                <w:szCs w:val="25"/>
              </w:rPr>
              <w:t>likum</w:t>
            </w:r>
            <w:r w:rsidR="00483B6E" w:rsidRPr="0039250B">
              <w:rPr>
                <w:sz w:val="25"/>
                <w:szCs w:val="25"/>
              </w:rPr>
              <w:t>a</w:t>
            </w:r>
            <w:r w:rsidR="0039250B">
              <w:rPr>
                <w:sz w:val="25"/>
                <w:szCs w:val="25"/>
              </w:rPr>
              <w:t xml:space="preserve"> </w:t>
            </w:r>
            <w:r w:rsidR="0039250B" w:rsidRPr="0039250B">
              <w:rPr>
                <w:sz w:val="25"/>
                <w:szCs w:val="25"/>
              </w:rPr>
              <w:t>“Par akcīzes nodokli”</w:t>
            </w:r>
            <w:r w:rsidR="00FA722B" w:rsidRPr="004233C3">
              <w:rPr>
                <w:sz w:val="25"/>
                <w:szCs w:val="25"/>
              </w:rPr>
              <w:t xml:space="preserve"> </w:t>
            </w:r>
            <w:r w:rsidR="004E71C2" w:rsidRPr="004233C3">
              <w:rPr>
                <w:sz w:val="25"/>
                <w:szCs w:val="25"/>
              </w:rPr>
              <w:t>6.</w:t>
            </w:r>
            <w:r w:rsidR="004E71C2" w:rsidRPr="004233C3">
              <w:rPr>
                <w:sz w:val="25"/>
                <w:szCs w:val="25"/>
                <w:vertAlign w:val="superscript"/>
              </w:rPr>
              <w:t>1</w:t>
            </w:r>
            <w:r w:rsidR="004E71C2" w:rsidRPr="004233C3">
              <w:rPr>
                <w:sz w:val="25"/>
                <w:szCs w:val="25"/>
              </w:rPr>
              <w:t xml:space="preserve"> </w:t>
            </w:r>
            <w:r w:rsidR="0039250B" w:rsidRPr="004233C3">
              <w:rPr>
                <w:sz w:val="25"/>
                <w:szCs w:val="25"/>
              </w:rPr>
              <w:t>pant</w:t>
            </w:r>
            <w:r w:rsidR="0039250B">
              <w:rPr>
                <w:sz w:val="25"/>
                <w:szCs w:val="25"/>
              </w:rPr>
              <w:t>ā</w:t>
            </w:r>
            <w:r w:rsidR="0039250B" w:rsidRPr="004233C3">
              <w:rPr>
                <w:sz w:val="25"/>
                <w:szCs w:val="25"/>
              </w:rPr>
              <w:t xml:space="preserve">  </w:t>
            </w:r>
            <w:r w:rsidR="004E71C2" w:rsidRPr="003248B4">
              <w:rPr>
                <w:sz w:val="25"/>
                <w:szCs w:val="25"/>
              </w:rPr>
              <w:t>noteiktajam</w:t>
            </w:r>
            <w:r w:rsidR="00767227">
              <w:rPr>
                <w:sz w:val="25"/>
                <w:szCs w:val="25"/>
              </w:rPr>
              <w:t>.</w:t>
            </w:r>
          </w:p>
          <w:p w:rsidR="00891FAB" w:rsidRPr="003248B4" w:rsidRDefault="00767227" w:rsidP="004233C3">
            <w:pPr>
              <w:ind w:firstLine="45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Tāpat paredzēta iespēja</w:t>
            </w:r>
            <w:r>
              <w:t xml:space="preserve"> </w:t>
            </w:r>
            <w:r>
              <w:rPr>
                <w:sz w:val="25"/>
                <w:szCs w:val="25"/>
              </w:rPr>
              <w:t>deklarēt</w:t>
            </w:r>
            <w:r w:rsidRPr="00767227">
              <w:rPr>
                <w:sz w:val="25"/>
                <w:szCs w:val="25"/>
              </w:rPr>
              <w:t xml:space="preserve"> dabasgāzes apjomu, par kuru jāveic korekcijas akcīzes nodokļa aprēķinā, </w:t>
            </w:r>
            <w:r w:rsidR="00895353">
              <w:rPr>
                <w:sz w:val="25"/>
                <w:szCs w:val="25"/>
              </w:rPr>
              <w:t xml:space="preserve">arī tādā gadījumā, ja </w:t>
            </w:r>
            <w:r>
              <w:rPr>
                <w:sz w:val="25"/>
                <w:szCs w:val="25"/>
              </w:rPr>
              <w:t xml:space="preserve">korekcijas veikšanai </w:t>
            </w:r>
            <w:r w:rsidRPr="00767227">
              <w:rPr>
                <w:sz w:val="25"/>
                <w:szCs w:val="25"/>
              </w:rPr>
              <w:t xml:space="preserve">nav izmantojamas citas </w:t>
            </w:r>
            <w:r>
              <w:rPr>
                <w:sz w:val="25"/>
                <w:szCs w:val="25"/>
              </w:rPr>
              <w:t xml:space="preserve">dabasgāzes deklarācijas </w:t>
            </w:r>
            <w:r w:rsidRPr="00767227">
              <w:rPr>
                <w:sz w:val="25"/>
                <w:szCs w:val="25"/>
              </w:rPr>
              <w:t>ailes</w:t>
            </w:r>
            <w:r w:rsidR="00732523">
              <w:rPr>
                <w:sz w:val="25"/>
                <w:szCs w:val="25"/>
              </w:rPr>
              <w:t>, piemēram speciālās atļaujas (licences) darbībām ar dabasgāzi anulēšanas gadījumā</w:t>
            </w:r>
            <w:r w:rsidR="004E71C2" w:rsidRPr="003248B4">
              <w:rPr>
                <w:sz w:val="25"/>
                <w:szCs w:val="25"/>
              </w:rPr>
              <w:t>.</w:t>
            </w:r>
          </w:p>
          <w:p w:rsidR="00C83C8A" w:rsidRPr="003248B4" w:rsidRDefault="00860403" w:rsidP="004233C3">
            <w:pPr>
              <w:ind w:firstLine="459"/>
              <w:jc w:val="both"/>
              <w:rPr>
                <w:sz w:val="25"/>
                <w:szCs w:val="25"/>
              </w:rPr>
            </w:pPr>
            <w:r w:rsidRPr="003248B4">
              <w:rPr>
                <w:sz w:val="25"/>
                <w:szCs w:val="25"/>
              </w:rPr>
              <w:t xml:space="preserve">Ir paredzēts, ka </w:t>
            </w:r>
            <w:r w:rsidR="00895353">
              <w:rPr>
                <w:sz w:val="25"/>
                <w:szCs w:val="25"/>
              </w:rPr>
              <w:t xml:space="preserve">dabasgāzes deklarācija atbilstoši jaunajam paraugam un aizpildīšanas kārtībai būs jāiesniedz </w:t>
            </w:r>
            <w:r w:rsidR="00B97391">
              <w:rPr>
                <w:sz w:val="25"/>
                <w:szCs w:val="25"/>
              </w:rPr>
              <w:t>sākot ar</w:t>
            </w:r>
            <w:r w:rsidRPr="003248B4">
              <w:rPr>
                <w:sz w:val="25"/>
                <w:szCs w:val="25"/>
              </w:rPr>
              <w:t xml:space="preserve"> </w:t>
            </w:r>
            <w:r w:rsidR="00C83C8A" w:rsidRPr="003248B4">
              <w:rPr>
                <w:sz w:val="25"/>
                <w:szCs w:val="25"/>
              </w:rPr>
              <w:t>201</w:t>
            </w:r>
            <w:r w:rsidR="004E71C2" w:rsidRPr="003248B4">
              <w:rPr>
                <w:sz w:val="25"/>
                <w:szCs w:val="25"/>
              </w:rPr>
              <w:t xml:space="preserve">7.gada </w:t>
            </w:r>
            <w:r w:rsidR="00895353" w:rsidRPr="003248B4">
              <w:rPr>
                <w:sz w:val="25"/>
                <w:szCs w:val="25"/>
              </w:rPr>
              <w:t>aprī</w:t>
            </w:r>
            <w:r w:rsidR="00895353">
              <w:rPr>
                <w:sz w:val="25"/>
                <w:szCs w:val="25"/>
              </w:rPr>
              <w:t>ļa taksācijas periodu</w:t>
            </w:r>
            <w:r w:rsidR="00C83C8A" w:rsidRPr="003248B4">
              <w:rPr>
                <w:sz w:val="25"/>
                <w:szCs w:val="25"/>
              </w:rPr>
              <w:t xml:space="preserve">. </w:t>
            </w:r>
          </w:p>
          <w:p w:rsidR="00116AA2" w:rsidRPr="004233C3" w:rsidRDefault="00116AA2" w:rsidP="004233C3">
            <w:pPr>
              <w:ind w:firstLine="459"/>
              <w:jc w:val="both"/>
              <w:rPr>
                <w:sz w:val="25"/>
                <w:szCs w:val="25"/>
              </w:rPr>
            </w:pPr>
          </w:p>
        </w:tc>
      </w:tr>
      <w:tr w:rsidR="009F107E" w:rsidRPr="00925150" w:rsidTr="004A6857">
        <w:tc>
          <w:tcPr>
            <w:tcW w:w="496" w:type="dxa"/>
            <w:hideMark/>
          </w:tcPr>
          <w:p w:rsidR="00032C63" w:rsidRPr="00925150" w:rsidRDefault="00431C1A" w:rsidP="00032C63">
            <w:pPr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lastRenderedPageBreak/>
              <w:t>3.</w:t>
            </w:r>
          </w:p>
        </w:tc>
        <w:tc>
          <w:tcPr>
            <w:tcW w:w="3298" w:type="dxa"/>
            <w:hideMark/>
          </w:tcPr>
          <w:p w:rsidR="00032C63" w:rsidRPr="00925150" w:rsidRDefault="00431C1A" w:rsidP="00032C63">
            <w:pPr>
              <w:rPr>
                <w:sz w:val="25"/>
                <w:szCs w:val="25"/>
              </w:rPr>
            </w:pPr>
            <w:r w:rsidRPr="00925150">
              <w:rPr>
                <w:color w:val="000000"/>
                <w:sz w:val="25"/>
                <w:szCs w:val="25"/>
              </w:rPr>
              <w:t>Projekta izstrādē iesaistītās institūcijas</w:t>
            </w:r>
          </w:p>
        </w:tc>
        <w:tc>
          <w:tcPr>
            <w:tcW w:w="5764" w:type="dxa"/>
          </w:tcPr>
          <w:p w:rsidR="00032C63" w:rsidRPr="00925150" w:rsidRDefault="008C28A7" w:rsidP="004233C3">
            <w:pPr>
              <w:ind w:left="-108"/>
              <w:jc w:val="both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Valsts ieņēmumu dienests</w:t>
            </w:r>
          </w:p>
        </w:tc>
      </w:tr>
      <w:tr w:rsidR="009F107E" w:rsidRPr="00925150" w:rsidTr="004A6857">
        <w:tc>
          <w:tcPr>
            <w:tcW w:w="496" w:type="dxa"/>
            <w:hideMark/>
          </w:tcPr>
          <w:p w:rsidR="00032C63" w:rsidRPr="00925150" w:rsidRDefault="00431C1A" w:rsidP="00032C63">
            <w:pPr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4.</w:t>
            </w:r>
          </w:p>
        </w:tc>
        <w:tc>
          <w:tcPr>
            <w:tcW w:w="3298" w:type="dxa"/>
            <w:hideMark/>
          </w:tcPr>
          <w:p w:rsidR="00032C63" w:rsidRPr="00925150" w:rsidRDefault="00032C63" w:rsidP="00032C63">
            <w:pPr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Cita informācija</w:t>
            </w:r>
          </w:p>
        </w:tc>
        <w:tc>
          <w:tcPr>
            <w:tcW w:w="5764" w:type="dxa"/>
          </w:tcPr>
          <w:p w:rsidR="00032C63" w:rsidRPr="00925150" w:rsidRDefault="00605094" w:rsidP="003D312A">
            <w:pPr>
              <w:ind w:left="-108"/>
              <w:jc w:val="both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Nav.</w:t>
            </w:r>
          </w:p>
        </w:tc>
      </w:tr>
    </w:tbl>
    <w:p w:rsidR="00032C63" w:rsidRPr="00925150" w:rsidRDefault="00032C63" w:rsidP="00032C63">
      <w:pPr>
        <w:spacing w:line="270" w:lineRule="atLeast"/>
        <w:jc w:val="both"/>
        <w:rPr>
          <w:rStyle w:val="apple-style-span"/>
          <w:color w:val="000000"/>
          <w:sz w:val="25"/>
          <w:szCs w:val="25"/>
        </w:rPr>
      </w:pPr>
    </w:p>
    <w:tbl>
      <w:tblPr>
        <w:tblW w:w="5124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3402"/>
        <w:gridCol w:w="5386"/>
      </w:tblGrid>
      <w:tr w:rsidR="00032C63" w:rsidRPr="00925150" w:rsidTr="00032C6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032C63" w:rsidRPr="00925150" w:rsidRDefault="00032C63" w:rsidP="00032C63">
            <w:pPr>
              <w:pStyle w:val="NormalWeb"/>
              <w:jc w:val="center"/>
              <w:rPr>
                <w:b/>
                <w:bCs/>
                <w:sz w:val="25"/>
                <w:szCs w:val="25"/>
              </w:rPr>
            </w:pPr>
            <w:r w:rsidRPr="00925150">
              <w:rPr>
                <w:b/>
                <w:bCs/>
                <w:sz w:val="25"/>
                <w:szCs w:val="25"/>
              </w:rPr>
              <w:t>II. Tiesību akta projekta ietekme uz sabiedrību</w:t>
            </w:r>
            <w:r w:rsidR="00431C1A" w:rsidRPr="00925150">
              <w:rPr>
                <w:b/>
                <w:bCs/>
                <w:sz w:val="25"/>
                <w:szCs w:val="25"/>
              </w:rPr>
              <w:t>, tautsaimniecības attīstību un administratīvo slogu</w:t>
            </w:r>
          </w:p>
        </w:tc>
      </w:tr>
      <w:tr w:rsidR="00032C63" w:rsidRPr="00925150" w:rsidTr="00CA6027"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925150" w:rsidRDefault="00032C63" w:rsidP="00032C63">
            <w:pPr>
              <w:pStyle w:val="NormalWeb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1.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925150" w:rsidRDefault="00032C63" w:rsidP="00A274A7">
            <w:pPr>
              <w:pStyle w:val="NormalWeb"/>
              <w:ind w:right="113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Sabiedrības mērķgrupa</w:t>
            </w:r>
            <w:r w:rsidR="00431C1A" w:rsidRPr="00925150">
              <w:rPr>
                <w:sz w:val="25"/>
                <w:szCs w:val="25"/>
              </w:rPr>
              <w:t>s, kuras tiesiskais regulējums ietekmē vai varētu ietekmēt</w:t>
            </w:r>
          </w:p>
        </w:tc>
        <w:tc>
          <w:tcPr>
            <w:tcW w:w="2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Default="00580054" w:rsidP="00925150">
            <w:pPr>
              <w:suppressAutoHyphens/>
              <w:ind w:right="112" w:firstLine="39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</w:t>
            </w:r>
            <w:r w:rsidR="009D57FB" w:rsidRPr="00925150">
              <w:rPr>
                <w:sz w:val="25"/>
                <w:szCs w:val="25"/>
              </w:rPr>
              <w:t>oteikumu projekt</w:t>
            </w:r>
            <w:r>
              <w:rPr>
                <w:sz w:val="25"/>
                <w:szCs w:val="25"/>
              </w:rPr>
              <w:t>a</w:t>
            </w:r>
            <w:r w:rsidR="009D57FB" w:rsidRPr="0092515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tiesiskais regulējums ietekmēs nodokļu maksātājus, kuriem atbilstoši </w:t>
            </w:r>
            <w:r w:rsidRPr="0039250B">
              <w:rPr>
                <w:sz w:val="25"/>
                <w:szCs w:val="25"/>
              </w:rPr>
              <w:t>likuma</w:t>
            </w:r>
            <w:r w:rsidR="0039250B">
              <w:rPr>
                <w:sz w:val="25"/>
                <w:szCs w:val="25"/>
              </w:rPr>
              <w:t xml:space="preserve"> </w:t>
            </w:r>
            <w:r w:rsidR="0039250B" w:rsidRPr="0039250B">
              <w:rPr>
                <w:sz w:val="25"/>
                <w:szCs w:val="25"/>
              </w:rPr>
              <w:t>“Par akcīzes nodokli”</w:t>
            </w:r>
            <w:r>
              <w:rPr>
                <w:sz w:val="25"/>
                <w:szCs w:val="25"/>
              </w:rPr>
              <w:t xml:space="preserve"> nosacījumiem paredzēts iesniegt dabasgāzes akcīzes nodokļa deklarāciju.</w:t>
            </w:r>
          </w:p>
          <w:p w:rsidR="00116AA2" w:rsidRPr="00925150" w:rsidRDefault="00925150" w:rsidP="00ED2B32">
            <w:pPr>
              <w:suppressAutoHyphens/>
              <w:ind w:left="-31" w:right="112" w:firstLine="42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Atbilstoši </w:t>
            </w:r>
            <w:r w:rsidR="00E9404E">
              <w:rPr>
                <w:sz w:val="25"/>
                <w:szCs w:val="25"/>
              </w:rPr>
              <w:t xml:space="preserve">publiski </w:t>
            </w:r>
            <w:r>
              <w:rPr>
                <w:sz w:val="25"/>
                <w:szCs w:val="25"/>
              </w:rPr>
              <w:t xml:space="preserve">pieejamajai informācijai š.g. </w:t>
            </w:r>
            <w:r w:rsidR="00ED2B32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 xml:space="preserve">.martā </w:t>
            </w:r>
            <w:r w:rsidR="00116AA2" w:rsidRPr="00925150">
              <w:rPr>
                <w:sz w:val="25"/>
                <w:szCs w:val="25"/>
              </w:rPr>
              <w:t>Sabiedrisko pakalpojumu regulēšanas komisijā ir reģistrēju</w:t>
            </w:r>
            <w:r w:rsidR="00662B49" w:rsidRPr="00925150">
              <w:rPr>
                <w:sz w:val="25"/>
                <w:szCs w:val="25"/>
              </w:rPr>
              <w:t>šies 1</w:t>
            </w:r>
            <w:r w:rsidR="00ED2B32">
              <w:rPr>
                <w:sz w:val="25"/>
                <w:szCs w:val="25"/>
              </w:rPr>
              <w:t>5</w:t>
            </w:r>
            <w:r w:rsidR="00662B49" w:rsidRPr="00925150">
              <w:rPr>
                <w:sz w:val="25"/>
                <w:szCs w:val="25"/>
              </w:rPr>
              <w:t xml:space="preserve"> po</w:t>
            </w:r>
            <w:r w:rsidR="00ED2B32">
              <w:rPr>
                <w:sz w:val="25"/>
                <w:szCs w:val="25"/>
              </w:rPr>
              <w:t>tenciālie dabasgāzes tirgotāji</w:t>
            </w:r>
            <w:r w:rsidR="009D57FB" w:rsidRPr="00925150">
              <w:rPr>
                <w:sz w:val="25"/>
                <w:szCs w:val="25"/>
              </w:rPr>
              <w:t>.</w:t>
            </w:r>
          </w:p>
        </w:tc>
      </w:tr>
      <w:tr w:rsidR="00032C63" w:rsidRPr="00925150" w:rsidTr="00CA6027"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925150" w:rsidRDefault="00032C63" w:rsidP="00032C63">
            <w:pPr>
              <w:pStyle w:val="NormalWeb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2.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925150" w:rsidRDefault="00431C1A" w:rsidP="00A274A7">
            <w:pPr>
              <w:pStyle w:val="NormalWeb"/>
              <w:ind w:right="113"/>
              <w:jc w:val="both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Tiesiskā regulējuma ietekme uz tautsaimniecību un administratīvo slogu</w:t>
            </w:r>
          </w:p>
        </w:tc>
        <w:tc>
          <w:tcPr>
            <w:tcW w:w="2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4596" w:rsidRPr="00925150" w:rsidRDefault="00116AA2" w:rsidP="00FF11E8">
            <w:pPr>
              <w:pStyle w:val="NormalWeb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925150">
              <w:rPr>
                <w:kern w:val="1"/>
                <w:sz w:val="25"/>
                <w:szCs w:val="25"/>
              </w:rPr>
              <w:t xml:space="preserve">Noteikumu projektam </w:t>
            </w:r>
            <w:r w:rsidR="00FF11E8">
              <w:rPr>
                <w:kern w:val="1"/>
                <w:sz w:val="25"/>
                <w:szCs w:val="25"/>
              </w:rPr>
              <w:t>nav ietekmes uz tau</w:t>
            </w:r>
            <w:r w:rsidR="00315FF5">
              <w:rPr>
                <w:kern w:val="1"/>
                <w:sz w:val="25"/>
                <w:szCs w:val="25"/>
              </w:rPr>
              <w:t>t</w:t>
            </w:r>
            <w:r w:rsidR="00FF11E8">
              <w:rPr>
                <w:kern w:val="1"/>
                <w:sz w:val="25"/>
                <w:szCs w:val="25"/>
              </w:rPr>
              <w:t>saimniecību</w:t>
            </w:r>
            <w:r w:rsidR="00315FF5">
              <w:rPr>
                <w:kern w:val="1"/>
                <w:sz w:val="25"/>
                <w:szCs w:val="25"/>
              </w:rPr>
              <w:t>, administratīvais slogs saistīts ar pienākumu iesniegt dabasgāzes akcīzes nodokļa deklarāciju.</w:t>
            </w:r>
          </w:p>
        </w:tc>
      </w:tr>
      <w:tr w:rsidR="00032C63" w:rsidRPr="00925150" w:rsidTr="00CA6027"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925150" w:rsidRDefault="00032C63" w:rsidP="00032C63">
            <w:pPr>
              <w:pStyle w:val="NormalWeb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3.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925150" w:rsidRDefault="00431C1A" w:rsidP="00A274A7">
            <w:pPr>
              <w:pStyle w:val="NormalWeb"/>
              <w:ind w:right="113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 xml:space="preserve">Administratīvo izmaksu </w:t>
            </w:r>
            <w:r w:rsidRPr="00925150">
              <w:rPr>
                <w:sz w:val="25"/>
                <w:szCs w:val="25"/>
              </w:rPr>
              <w:lastRenderedPageBreak/>
              <w:t>monetārs novērtējums</w:t>
            </w:r>
          </w:p>
        </w:tc>
        <w:tc>
          <w:tcPr>
            <w:tcW w:w="2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3248B4" w:rsidRDefault="00DF46E4" w:rsidP="009D57FB">
            <w:pPr>
              <w:pStyle w:val="NormalWeb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3248B4">
              <w:rPr>
                <w:sz w:val="25"/>
                <w:szCs w:val="25"/>
              </w:rPr>
              <w:lastRenderedPageBreak/>
              <w:t>Nav.</w:t>
            </w:r>
          </w:p>
        </w:tc>
      </w:tr>
      <w:tr w:rsidR="00032C63" w:rsidRPr="00925150" w:rsidTr="00CA6027"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925150" w:rsidRDefault="00431C1A" w:rsidP="00032C63">
            <w:pPr>
              <w:pStyle w:val="NormalWeb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4</w:t>
            </w:r>
            <w:r w:rsidR="00032C63" w:rsidRPr="00925150">
              <w:rPr>
                <w:sz w:val="25"/>
                <w:szCs w:val="25"/>
              </w:rPr>
              <w:t>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925150" w:rsidRDefault="00032C63" w:rsidP="00A274A7">
            <w:pPr>
              <w:pStyle w:val="NormalWeb"/>
              <w:ind w:right="113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Cita informācija</w:t>
            </w:r>
          </w:p>
        </w:tc>
        <w:tc>
          <w:tcPr>
            <w:tcW w:w="2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2C63" w:rsidRPr="00925150" w:rsidRDefault="00032C63" w:rsidP="00032C63">
            <w:pPr>
              <w:pStyle w:val="NormalWeb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Nav</w:t>
            </w:r>
            <w:r w:rsidR="0050593E" w:rsidRPr="00925150">
              <w:rPr>
                <w:sz w:val="25"/>
                <w:szCs w:val="25"/>
              </w:rPr>
              <w:t>.</w:t>
            </w:r>
          </w:p>
        </w:tc>
      </w:tr>
    </w:tbl>
    <w:p w:rsidR="00032C63" w:rsidRDefault="00032C63" w:rsidP="00032C63">
      <w:pPr>
        <w:rPr>
          <w:sz w:val="25"/>
          <w:szCs w:val="25"/>
        </w:rPr>
      </w:pPr>
    </w:p>
    <w:p w:rsidR="00FD5E76" w:rsidRDefault="00FD5E76" w:rsidP="00032C63">
      <w:pPr>
        <w:rPr>
          <w:sz w:val="25"/>
          <w:szCs w:val="25"/>
        </w:rPr>
      </w:pPr>
    </w:p>
    <w:p w:rsidR="00FD5E76" w:rsidRDefault="00FD5E76" w:rsidP="00032C63">
      <w:pPr>
        <w:rPr>
          <w:sz w:val="25"/>
          <w:szCs w:val="25"/>
        </w:rPr>
      </w:pPr>
    </w:p>
    <w:tbl>
      <w:tblPr>
        <w:tblpPr w:leftFromText="180" w:rightFromText="180" w:vertAnchor="text" w:tblpX="-112" w:tblpY="1"/>
        <w:tblOverlap w:val="never"/>
        <w:tblW w:w="51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7"/>
        <w:gridCol w:w="1505"/>
        <w:gridCol w:w="1371"/>
        <w:gridCol w:w="1280"/>
        <w:gridCol w:w="1267"/>
        <w:gridCol w:w="1267"/>
      </w:tblGrid>
      <w:tr w:rsidR="00580054" w:rsidRPr="0048507F" w:rsidTr="00580054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B51203" w:rsidRDefault="00580054" w:rsidP="0058005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5120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580054" w:rsidRPr="0048507F" w:rsidTr="00580054">
        <w:tc>
          <w:tcPr>
            <w:tcW w:w="14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B51203" w:rsidRDefault="00580054" w:rsidP="0058005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51203">
              <w:rPr>
                <w:b/>
                <w:bCs/>
              </w:rPr>
              <w:t>Rādītāji</w:t>
            </w:r>
          </w:p>
        </w:tc>
        <w:tc>
          <w:tcPr>
            <w:tcW w:w="152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9B7C8F" w:rsidRDefault="00580054" w:rsidP="0058005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B7C8F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9B7C8F">
              <w:rPr>
                <w:b/>
                <w:bCs/>
              </w:rPr>
              <w:t>.</w:t>
            </w:r>
          </w:p>
        </w:tc>
        <w:tc>
          <w:tcPr>
            <w:tcW w:w="20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2A6059" w:rsidRDefault="00580054" w:rsidP="00580054">
            <w:pPr>
              <w:spacing w:before="100" w:beforeAutospacing="1" w:after="100" w:afterAutospacing="1"/>
              <w:jc w:val="center"/>
            </w:pPr>
            <w:r w:rsidRPr="009B7C8F">
              <w:t>Turpmākie trīs gadi (</w:t>
            </w:r>
            <w:r w:rsidRPr="002A6059">
              <w:rPr>
                <w:i/>
              </w:rPr>
              <w:t>euro</w:t>
            </w:r>
            <w:r w:rsidRPr="002A6059">
              <w:t>)</w:t>
            </w:r>
          </w:p>
        </w:tc>
      </w:tr>
      <w:tr w:rsidR="00580054" w:rsidRPr="0048507F" w:rsidTr="00580054">
        <w:tc>
          <w:tcPr>
            <w:tcW w:w="14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48507F" w:rsidRDefault="00580054" w:rsidP="00580054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48507F" w:rsidRDefault="00580054" w:rsidP="00580054">
            <w:pPr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48507F" w:rsidRDefault="00580054" w:rsidP="0058005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48507F">
              <w:rPr>
                <w:b/>
                <w:bCs/>
              </w:rPr>
              <w:t>.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48507F" w:rsidRDefault="00580054" w:rsidP="0058005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8507F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48507F">
              <w:rPr>
                <w:b/>
                <w:bCs/>
              </w:rPr>
              <w:t>.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48507F" w:rsidRDefault="00580054" w:rsidP="0058005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8507F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48507F">
              <w:rPr>
                <w:b/>
                <w:bCs/>
              </w:rPr>
              <w:t>.</w:t>
            </w:r>
          </w:p>
        </w:tc>
      </w:tr>
      <w:tr w:rsidR="00580054" w:rsidRPr="0048507F" w:rsidTr="00580054">
        <w:tc>
          <w:tcPr>
            <w:tcW w:w="14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48507F" w:rsidRDefault="00580054" w:rsidP="00580054">
            <w:pPr>
              <w:rPr>
                <w:b/>
                <w:bCs/>
              </w:rPr>
            </w:pP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48507F" w:rsidRDefault="00580054" w:rsidP="00580054">
            <w:pPr>
              <w:spacing w:before="100" w:beforeAutospacing="1" w:after="100" w:afterAutospacing="1"/>
              <w:jc w:val="center"/>
            </w:pPr>
            <w:r w:rsidRPr="0048507F">
              <w:t>saskaņā ar valsts budžetu kārtējam gadam</w:t>
            </w: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48507F" w:rsidRDefault="00580054" w:rsidP="00580054">
            <w:pPr>
              <w:spacing w:before="100" w:beforeAutospacing="1" w:after="100" w:afterAutospacing="1"/>
              <w:jc w:val="center"/>
            </w:pPr>
            <w:r w:rsidRPr="0048507F">
              <w:t>izmaiņas kārtējā gadā, salīdzinot ar budžetu kārtējam gadam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48507F" w:rsidRDefault="00580054" w:rsidP="00580054">
            <w:pPr>
              <w:spacing w:before="100" w:beforeAutospacing="1" w:after="100" w:afterAutospacing="1"/>
              <w:jc w:val="center"/>
            </w:pPr>
            <w:r w:rsidRPr="0048507F">
              <w:t>izmaiņas, salīdzinot ar 201</w:t>
            </w:r>
            <w:r>
              <w:t>6</w:t>
            </w:r>
            <w:r w:rsidRPr="0048507F">
              <w:t>.gadu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48507F" w:rsidRDefault="00580054" w:rsidP="00580054">
            <w:pPr>
              <w:spacing w:before="100" w:beforeAutospacing="1" w:after="100" w:afterAutospacing="1"/>
              <w:jc w:val="center"/>
            </w:pPr>
            <w:r w:rsidRPr="0048507F">
              <w:t>izmaiņas, salīdzinot ar 201</w:t>
            </w:r>
            <w:r>
              <w:t>6</w:t>
            </w:r>
            <w:r w:rsidRPr="0048507F">
              <w:t>.gadu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48507F" w:rsidRDefault="00580054" w:rsidP="00580054">
            <w:pPr>
              <w:spacing w:before="100" w:beforeAutospacing="1" w:after="100" w:afterAutospacing="1"/>
              <w:jc w:val="center"/>
            </w:pPr>
            <w:r w:rsidRPr="0048507F">
              <w:t>izmaiņas, salīdzinot ar 201</w:t>
            </w:r>
            <w:r>
              <w:t>6</w:t>
            </w:r>
            <w:r w:rsidRPr="0048507F">
              <w:t>.gadu</w:t>
            </w:r>
          </w:p>
        </w:tc>
      </w:tr>
      <w:tr w:rsidR="00580054" w:rsidRPr="0048507F" w:rsidTr="00580054">
        <w:trPr>
          <w:trHeight w:val="217"/>
        </w:trPr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B51203" w:rsidRDefault="00580054" w:rsidP="00580054">
            <w:pPr>
              <w:spacing w:before="100" w:beforeAutospacing="1" w:after="100" w:afterAutospacing="1"/>
              <w:jc w:val="center"/>
            </w:pPr>
            <w:r w:rsidRPr="00B51203">
              <w:t>1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9B7C8F" w:rsidRDefault="00580054" w:rsidP="00580054">
            <w:pPr>
              <w:spacing w:before="100" w:beforeAutospacing="1" w:after="100" w:afterAutospacing="1"/>
              <w:jc w:val="center"/>
            </w:pPr>
            <w:r w:rsidRPr="009B7C8F">
              <w:t>2</w:t>
            </w: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2A6059" w:rsidRDefault="00580054" w:rsidP="00580054">
            <w:pPr>
              <w:spacing w:before="100" w:beforeAutospacing="1" w:after="100" w:afterAutospacing="1"/>
              <w:jc w:val="center"/>
            </w:pPr>
            <w:r w:rsidRPr="002A6059">
              <w:t>3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0105EE" w:rsidRDefault="00580054" w:rsidP="00580054">
            <w:pPr>
              <w:spacing w:before="100" w:beforeAutospacing="1" w:after="100" w:afterAutospacing="1"/>
              <w:jc w:val="center"/>
            </w:pPr>
            <w:r w:rsidRPr="000105EE">
              <w:t>4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102CA3" w:rsidRDefault="00580054" w:rsidP="00580054">
            <w:pPr>
              <w:spacing w:before="100" w:beforeAutospacing="1" w:after="100" w:afterAutospacing="1"/>
              <w:jc w:val="center"/>
            </w:pPr>
            <w:r w:rsidRPr="00102CA3">
              <w:t>5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48507F" w:rsidRDefault="00580054" w:rsidP="00580054">
            <w:pPr>
              <w:spacing w:before="100" w:beforeAutospacing="1" w:after="100" w:afterAutospacing="1"/>
              <w:jc w:val="center"/>
            </w:pPr>
            <w:r w:rsidRPr="0048507F">
              <w:t>6</w:t>
            </w:r>
          </w:p>
        </w:tc>
      </w:tr>
      <w:tr w:rsidR="00580054" w:rsidRPr="0048507F" w:rsidTr="00580054">
        <w:trPr>
          <w:trHeight w:val="514"/>
        </w:trPr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>1. Budžeta ieņēmumi: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  <w:rPr>
                <w:color w:val="000000"/>
              </w:rPr>
            </w:pPr>
            <w:r w:rsidRPr="0048507F">
              <w:t>0</w:t>
            </w:r>
          </w:p>
          <w:p w:rsidR="00580054" w:rsidRPr="0048507F" w:rsidRDefault="00580054" w:rsidP="00580054">
            <w:pPr>
              <w:jc w:val="center"/>
            </w:pP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80054" w:rsidRPr="00B51203" w:rsidRDefault="00580054" w:rsidP="00580054">
            <w:pPr>
              <w:jc w:val="center"/>
            </w:pPr>
            <w:r w:rsidRPr="00B51203">
              <w:t>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80054" w:rsidRPr="0048507F" w:rsidRDefault="00580054" w:rsidP="00580054">
            <w:pPr>
              <w:jc w:val="center"/>
            </w:pPr>
            <w:r w:rsidRPr="0048507F">
              <w:t>0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80054" w:rsidRPr="0048507F" w:rsidRDefault="00580054" w:rsidP="00580054">
            <w:pPr>
              <w:jc w:val="center"/>
            </w:pPr>
            <w:r w:rsidRPr="0048507F">
              <w:t>0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80054" w:rsidRPr="0048507F" w:rsidRDefault="00580054" w:rsidP="00580054">
            <w:pPr>
              <w:jc w:val="center"/>
            </w:pPr>
            <w:r w:rsidRPr="0048507F">
              <w:t>0</w:t>
            </w:r>
          </w:p>
        </w:tc>
      </w:tr>
      <w:tr w:rsidR="00580054" w:rsidRPr="0048507F" w:rsidTr="00580054">
        <w:trPr>
          <w:trHeight w:val="381"/>
        </w:trPr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80054" w:rsidRPr="009B7C8F" w:rsidRDefault="00580054" w:rsidP="00580054">
            <w:r w:rsidRPr="00B51203">
              <w:t>1.1. valsts pamatbudžets, tai skaitā ieņēmumi no maksas pakalpojumiem un citi p</w:t>
            </w:r>
            <w:r w:rsidRPr="009B7C8F">
              <w:t>ašu ieņēmumi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54" w:rsidRPr="0048507F" w:rsidRDefault="00580054" w:rsidP="00580054">
            <w:pPr>
              <w:jc w:val="center"/>
              <w:rPr>
                <w:color w:val="000000"/>
              </w:rPr>
            </w:pPr>
            <w:r w:rsidRPr="0048507F">
              <w:t>0</w:t>
            </w:r>
          </w:p>
          <w:p w:rsidR="00580054" w:rsidRPr="0048507F" w:rsidRDefault="00580054" w:rsidP="00580054">
            <w:pPr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54" w:rsidRPr="00B51203" w:rsidRDefault="00580054" w:rsidP="00580054">
            <w:pPr>
              <w:jc w:val="center"/>
            </w:pPr>
            <w:r w:rsidRPr="00B51203"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54" w:rsidRPr="0048507F" w:rsidRDefault="00580054" w:rsidP="00580054">
            <w:pPr>
              <w:jc w:val="center"/>
            </w:pPr>
            <w:r w:rsidRPr="0048507F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54" w:rsidRPr="0048507F" w:rsidRDefault="00580054" w:rsidP="00580054">
            <w:pPr>
              <w:jc w:val="center"/>
            </w:pPr>
            <w:r w:rsidRPr="0048507F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54" w:rsidRPr="0048507F" w:rsidRDefault="00580054" w:rsidP="00580054">
            <w:pPr>
              <w:jc w:val="center"/>
            </w:pPr>
            <w:r w:rsidRPr="0048507F">
              <w:t>0</w:t>
            </w:r>
          </w:p>
        </w:tc>
      </w:tr>
      <w:tr w:rsidR="00580054" w:rsidRPr="0048507F" w:rsidTr="00580054">
        <w:trPr>
          <w:trHeight w:val="380"/>
        </w:trPr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80054" w:rsidRPr="009B7C8F" w:rsidRDefault="00580054" w:rsidP="00580054">
            <w:r w:rsidRPr="00B51203">
              <w:t>1.2. valsts speciālais budžets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54" w:rsidRPr="002A6059" w:rsidRDefault="00580054" w:rsidP="00580054">
            <w:pPr>
              <w:jc w:val="center"/>
            </w:pPr>
            <w:r w:rsidRPr="002A6059"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54" w:rsidRPr="000105EE" w:rsidRDefault="00580054" w:rsidP="00580054">
            <w:pPr>
              <w:jc w:val="center"/>
            </w:pPr>
            <w:r w:rsidRPr="000105EE"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54" w:rsidRPr="00102CA3" w:rsidRDefault="00580054" w:rsidP="00580054">
            <w:pPr>
              <w:jc w:val="center"/>
            </w:pPr>
            <w:r w:rsidRPr="00102CA3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54" w:rsidRPr="0048507F" w:rsidRDefault="00580054" w:rsidP="00580054">
            <w:pPr>
              <w:jc w:val="center"/>
            </w:pPr>
            <w:r w:rsidRPr="0048507F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54" w:rsidRPr="0048507F" w:rsidRDefault="00580054" w:rsidP="00580054">
            <w:pPr>
              <w:jc w:val="center"/>
            </w:pPr>
            <w:r w:rsidRPr="0048507F">
              <w:t>0</w:t>
            </w:r>
          </w:p>
        </w:tc>
      </w:tr>
      <w:tr w:rsidR="00580054" w:rsidRPr="0048507F" w:rsidTr="00580054"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80054" w:rsidRPr="00B51203" w:rsidRDefault="00580054" w:rsidP="00580054">
            <w:r w:rsidRPr="00B51203">
              <w:t>1.3. pašvaldību budžets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54" w:rsidRPr="009B7C8F" w:rsidRDefault="00580054" w:rsidP="00580054">
            <w:pPr>
              <w:jc w:val="center"/>
            </w:pPr>
            <w:r w:rsidRPr="009B7C8F"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54" w:rsidRPr="002A6059" w:rsidRDefault="00580054" w:rsidP="00580054">
            <w:pPr>
              <w:jc w:val="center"/>
            </w:pPr>
            <w:r w:rsidRPr="002A6059"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54" w:rsidRPr="000105EE" w:rsidRDefault="00580054" w:rsidP="00580054">
            <w:pPr>
              <w:jc w:val="center"/>
            </w:pPr>
            <w:r w:rsidRPr="000105EE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54" w:rsidRPr="00102CA3" w:rsidRDefault="00580054" w:rsidP="00580054">
            <w:pPr>
              <w:jc w:val="center"/>
            </w:pPr>
            <w:r w:rsidRPr="00102CA3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54" w:rsidRPr="0048507F" w:rsidRDefault="00580054" w:rsidP="00580054">
            <w:pPr>
              <w:jc w:val="center"/>
            </w:pPr>
            <w:r w:rsidRPr="0048507F">
              <w:t>0</w:t>
            </w:r>
          </w:p>
        </w:tc>
      </w:tr>
      <w:tr w:rsidR="00580054" w:rsidRPr="0048507F" w:rsidTr="00580054"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>2. Budžeta izdevumi:</w:t>
            </w:r>
          </w:p>
        </w:tc>
        <w:tc>
          <w:tcPr>
            <w:tcW w:w="79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9B7C8F" w:rsidRDefault="00580054" w:rsidP="00580054">
            <w:pPr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2A6059" w:rsidRDefault="00580054" w:rsidP="00580054">
            <w:pPr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0105EE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102CA3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</w:tr>
      <w:tr w:rsidR="00580054" w:rsidRPr="0048507F" w:rsidTr="00580054"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>2.1. valsts pamatbudžets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9B7C8F" w:rsidRDefault="00580054" w:rsidP="00580054">
            <w:pPr>
              <w:jc w:val="center"/>
            </w:pP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2A6059" w:rsidRDefault="00580054" w:rsidP="00580054">
            <w:pPr>
              <w:jc w:val="center"/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0105EE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102CA3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</w:tr>
      <w:tr w:rsidR="00580054" w:rsidRPr="0048507F" w:rsidTr="00580054"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>2.2. valsts speciālais budžets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9B7C8F" w:rsidRDefault="00580054" w:rsidP="00580054">
            <w:pPr>
              <w:jc w:val="center"/>
            </w:pP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2A6059" w:rsidRDefault="00580054" w:rsidP="00580054">
            <w:pPr>
              <w:jc w:val="center"/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0105EE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102CA3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</w:tr>
      <w:tr w:rsidR="00580054" w:rsidRPr="0048507F" w:rsidTr="00580054"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>2.3. pašvaldību budžets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9B7C8F" w:rsidRDefault="00580054" w:rsidP="00580054">
            <w:pPr>
              <w:jc w:val="center"/>
            </w:pP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2A6059" w:rsidRDefault="00580054" w:rsidP="00580054">
            <w:pPr>
              <w:jc w:val="center"/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0105EE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102CA3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</w:tr>
      <w:tr w:rsidR="00580054" w:rsidRPr="0048507F" w:rsidTr="00580054">
        <w:trPr>
          <w:trHeight w:val="363"/>
        </w:trPr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>3. Finansiālā ietekme: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9B7C8F" w:rsidRDefault="00580054" w:rsidP="00580054">
            <w:pPr>
              <w:jc w:val="center"/>
            </w:pP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2A6059" w:rsidRDefault="00580054" w:rsidP="00580054">
            <w:pPr>
              <w:jc w:val="center"/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0105EE" w:rsidRDefault="00580054" w:rsidP="00580054">
            <w:pPr>
              <w:jc w:val="center"/>
              <w:rPr>
                <w:highlight w:val="yellow"/>
              </w:rPr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102CA3" w:rsidRDefault="00580054" w:rsidP="00580054">
            <w:pPr>
              <w:jc w:val="center"/>
              <w:rPr>
                <w:highlight w:val="yellow"/>
              </w:rPr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  <w:rPr>
                <w:highlight w:val="yellow"/>
              </w:rPr>
            </w:pPr>
          </w:p>
        </w:tc>
      </w:tr>
      <w:tr w:rsidR="00580054" w:rsidRPr="0048507F" w:rsidTr="00580054"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>3.1. valsts pamatbudžets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80054" w:rsidRPr="009B7C8F" w:rsidRDefault="00580054" w:rsidP="00580054">
            <w:pPr>
              <w:jc w:val="center"/>
            </w:pP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80054" w:rsidRPr="002A6059" w:rsidRDefault="00580054" w:rsidP="00580054">
            <w:pPr>
              <w:jc w:val="center"/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80054" w:rsidRPr="000105EE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80054" w:rsidRPr="00102CA3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</w:tr>
      <w:tr w:rsidR="00580054" w:rsidRPr="0048507F" w:rsidTr="00580054">
        <w:tc>
          <w:tcPr>
            <w:tcW w:w="145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>3.2. speciālais budžets</w:t>
            </w:r>
          </w:p>
        </w:tc>
        <w:tc>
          <w:tcPr>
            <w:tcW w:w="79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9B7C8F" w:rsidRDefault="00580054" w:rsidP="00580054">
            <w:pPr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2A6059" w:rsidRDefault="00580054" w:rsidP="00580054">
            <w:pPr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0105EE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102CA3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</w:tr>
      <w:tr w:rsidR="00580054" w:rsidRPr="0048507F" w:rsidTr="00580054"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>3.3. pašvaldību budžets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9B7C8F" w:rsidRDefault="00580054" w:rsidP="00580054">
            <w:pPr>
              <w:jc w:val="center"/>
            </w:pP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2A6059" w:rsidRDefault="00580054" w:rsidP="00580054">
            <w:pPr>
              <w:jc w:val="center"/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0105EE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102CA3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</w:tr>
      <w:tr w:rsidR="00580054" w:rsidRPr="0048507F" w:rsidTr="00580054"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>4. Finanšu līdzekļi papildu izdevumu finansēšanai (kompensējošu izdevumu samazinājumu norāda ar “+” zīmi)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9B7C8F" w:rsidRDefault="00580054" w:rsidP="00580054">
            <w:pPr>
              <w:jc w:val="center"/>
            </w:pPr>
            <w:r w:rsidRPr="009B7C8F">
              <w:t>X</w:t>
            </w: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2A6059" w:rsidRDefault="00580054" w:rsidP="00580054">
            <w:pPr>
              <w:jc w:val="center"/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0105EE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102CA3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</w:tr>
      <w:tr w:rsidR="00580054" w:rsidRPr="0048507F" w:rsidTr="00580054"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>5. Precizēta finansiālā ietekme:</w:t>
            </w:r>
          </w:p>
        </w:tc>
        <w:tc>
          <w:tcPr>
            <w:tcW w:w="7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9B7C8F" w:rsidRDefault="00580054" w:rsidP="00580054">
            <w:pPr>
              <w:jc w:val="center"/>
            </w:pPr>
            <w:r w:rsidRPr="009B7C8F">
              <w:t>X</w:t>
            </w: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2A6059" w:rsidRDefault="00580054" w:rsidP="00580054">
            <w:pPr>
              <w:jc w:val="center"/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0105EE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102CA3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</w:tr>
      <w:tr w:rsidR="00580054" w:rsidRPr="0048507F" w:rsidTr="00580054"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48507F" w:rsidRDefault="00580054" w:rsidP="00580054"/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</w:tr>
      <w:tr w:rsidR="00580054" w:rsidRPr="0048507F" w:rsidTr="00580054"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48507F" w:rsidRDefault="00580054" w:rsidP="00580054"/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</w:tr>
      <w:tr w:rsidR="00580054" w:rsidRPr="0048507F" w:rsidTr="00580054"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48507F" w:rsidRDefault="00580054" w:rsidP="00580054"/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48507F" w:rsidRDefault="00580054" w:rsidP="00580054">
            <w:pPr>
              <w:jc w:val="center"/>
            </w:pPr>
          </w:p>
        </w:tc>
      </w:tr>
      <w:tr w:rsidR="00580054" w:rsidRPr="0048507F" w:rsidTr="00580054"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 xml:space="preserve">6. Detalizēts ieņēmumu un </w:t>
            </w:r>
            <w:r w:rsidRPr="00B51203">
              <w:lastRenderedPageBreak/>
              <w:t>izdevu</w:t>
            </w:r>
            <w:r w:rsidRPr="00B51203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548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0054" w:rsidRPr="00143696" w:rsidRDefault="00580054" w:rsidP="00035F7F">
            <w:pPr>
              <w:ind w:left="720"/>
              <w:jc w:val="both"/>
            </w:pPr>
          </w:p>
        </w:tc>
      </w:tr>
      <w:tr w:rsidR="00580054" w:rsidRPr="0048507F" w:rsidTr="00580054"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48507F" w:rsidRDefault="00580054" w:rsidP="00580054"/>
        </w:tc>
      </w:tr>
      <w:tr w:rsidR="00580054" w:rsidRPr="0048507F" w:rsidTr="00580054"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054" w:rsidRPr="0048507F" w:rsidRDefault="00580054" w:rsidP="00580054"/>
        </w:tc>
      </w:tr>
      <w:tr w:rsidR="00580054" w:rsidRPr="0048507F" w:rsidTr="00580054">
        <w:trPr>
          <w:trHeight w:val="507"/>
        </w:trPr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80054" w:rsidRPr="00B51203" w:rsidRDefault="00580054" w:rsidP="00580054">
            <w:r w:rsidRPr="00B51203">
              <w:t>7. Cita informācija</w:t>
            </w:r>
          </w:p>
        </w:tc>
        <w:tc>
          <w:tcPr>
            <w:tcW w:w="3548" w:type="pct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726C0" w:rsidRPr="00DE6B08" w:rsidRDefault="009726C0" w:rsidP="009726C0">
            <w:r w:rsidRPr="00DE6B08">
              <w:t xml:space="preserve">Nepieciešamo izmaiņu veikšanai Valsts ieņēmumu dienesta informācijas sistēmās 2017.gadā nepieciešams finansējums 46 020 </w:t>
            </w:r>
            <w:r w:rsidRPr="00DE6B08">
              <w:rPr>
                <w:i/>
              </w:rPr>
              <w:t>euro</w:t>
            </w:r>
            <w:r w:rsidRPr="00DE6B08">
              <w:t xml:space="preserve"> apmērā, tajā skaitā:</w:t>
            </w:r>
          </w:p>
          <w:p w:rsidR="009726C0" w:rsidRPr="00DE6B08" w:rsidRDefault="009726C0" w:rsidP="009726C0">
            <w:pPr>
              <w:numPr>
                <w:ilvl w:val="0"/>
                <w:numId w:val="15"/>
              </w:numPr>
              <w:jc w:val="both"/>
            </w:pPr>
            <w:r w:rsidRPr="00DE6B08">
              <w:t xml:space="preserve">17 199 </w:t>
            </w:r>
            <w:r w:rsidRPr="00DE6B08">
              <w:rPr>
                <w:i/>
              </w:rPr>
              <w:t>euro</w:t>
            </w:r>
            <w:r w:rsidRPr="00DE6B08">
              <w:t xml:space="preserve"> izmaiņām Datu noliktavas sistēmā (DNS);</w:t>
            </w:r>
          </w:p>
          <w:p w:rsidR="009726C0" w:rsidRPr="00DE6B08" w:rsidRDefault="009726C0" w:rsidP="009726C0">
            <w:pPr>
              <w:numPr>
                <w:ilvl w:val="0"/>
                <w:numId w:val="15"/>
              </w:numPr>
              <w:jc w:val="both"/>
            </w:pPr>
            <w:r w:rsidRPr="00DE6B08">
              <w:t>14</w:t>
            </w:r>
            <w:r w:rsidRPr="00DE6B08">
              <w:rPr>
                <w:i/>
              </w:rPr>
              <w:t xml:space="preserve"> </w:t>
            </w:r>
            <w:r w:rsidRPr="00DE6B08">
              <w:t xml:space="preserve">936 </w:t>
            </w:r>
            <w:r w:rsidRPr="00DE6B08">
              <w:rPr>
                <w:i/>
              </w:rPr>
              <w:t>euro</w:t>
            </w:r>
            <w:r w:rsidRPr="00DE6B08">
              <w:t xml:space="preserve"> izmaiņām Nodokļu informācijas sistēmā (NIS);</w:t>
            </w:r>
          </w:p>
          <w:p w:rsidR="009726C0" w:rsidRPr="00DE6B08" w:rsidRDefault="009726C0" w:rsidP="009726C0">
            <w:pPr>
              <w:numPr>
                <w:ilvl w:val="0"/>
                <w:numId w:val="15"/>
              </w:numPr>
              <w:jc w:val="both"/>
            </w:pPr>
            <w:r w:rsidRPr="00DE6B08">
              <w:t xml:space="preserve">13 885 </w:t>
            </w:r>
            <w:r w:rsidRPr="00DE6B08">
              <w:rPr>
                <w:i/>
              </w:rPr>
              <w:t>euro</w:t>
            </w:r>
            <w:r w:rsidRPr="00DE6B08">
              <w:t xml:space="preserve"> izmaiņām Elektroniskās deklarēšanas sistēmā (EDS).</w:t>
            </w:r>
          </w:p>
          <w:p w:rsidR="00580054" w:rsidRDefault="006F797A" w:rsidP="009726C0">
            <w:pPr>
              <w:jc w:val="both"/>
            </w:pPr>
            <w:r>
              <w:t xml:space="preserve">        </w:t>
            </w:r>
            <w:r w:rsidR="009726C0">
              <w:t xml:space="preserve"> Izmaiņas Valsts ieņēmumu dienesta informācijas sistēmās tiks nodrošinātas Valsts ieņēmumu dienestam 2017.gadā piešķirtā budžeta ietvaros.</w:t>
            </w:r>
          </w:p>
          <w:p w:rsidR="00FD5E76" w:rsidRPr="009B7C8F" w:rsidRDefault="00FD5E76" w:rsidP="009726C0">
            <w:pPr>
              <w:jc w:val="both"/>
            </w:pPr>
          </w:p>
        </w:tc>
      </w:tr>
      <w:tr w:rsidR="00580054" w:rsidRPr="0048507F" w:rsidTr="00580054">
        <w:trPr>
          <w:trHeight w:val="242"/>
        </w:trPr>
        <w:tc>
          <w:tcPr>
            <w:tcW w:w="14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054" w:rsidRPr="00B51203" w:rsidRDefault="00580054" w:rsidP="00580054"/>
        </w:tc>
        <w:tc>
          <w:tcPr>
            <w:tcW w:w="354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054" w:rsidRDefault="00580054" w:rsidP="00580054"/>
        </w:tc>
      </w:tr>
    </w:tbl>
    <w:p w:rsidR="00580054" w:rsidRDefault="00580054" w:rsidP="00032C63">
      <w:pPr>
        <w:rPr>
          <w:sz w:val="25"/>
          <w:szCs w:val="25"/>
        </w:rPr>
      </w:pPr>
    </w:p>
    <w:p w:rsidR="00580054" w:rsidRPr="00925150" w:rsidRDefault="00580054" w:rsidP="00032C63">
      <w:pPr>
        <w:rPr>
          <w:sz w:val="25"/>
          <w:szCs w:val="25"/>
        </w:rPr>
      </w:pPr>
    </w:p>
    <w:tbl>
      <w:tblPr>
        <w:tblW w:w="5124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3400"/>
        <w:gridCol w:w="5388"/>
      </w:tblGrid>
      <w:tr w:rsidR="00032C63" w:rsidRPr="00925150" w:rsidTr="00954AE0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C63" w:rsidRPr="00925150" w:rsidRDefault="00BB389E" w:rsidP="00913C1A">
            <w:pPr>
              <w:tabs>
                <w:tab w:val="center" w:pos="4648"/>
                <w:tab w:val="left" w:pos="8395"/>
              </w:tabs>
              <w:spacing w:before="100" w:beforeAutospacing="1" w:after="100" w:afterAutospacing="1"/>
              <w:rPr>
                <w:b/>
                <w:bCs/>
                <w:sz w:val="25"/>
                <w:szCs w:val="25"/>
              </w:rPr>
            </w:pPr>
            <w:r w:rsidRPr="00925150">
              <w:rPr>
                <w:b/>
                <w:bCs/>
                <w:sz w:val="25"/>
                <w:szCs w:val="25"/>
              </w:rPr>
              <w:tab/>
            </w:r>
            <w:r w:rsidR="00032C63" w:rsidRPr="00925150">
              <w:rPr>
                <w:b/>
                <w:bCs/>
                <w:sz w:val="25"/>
                <w:szCs w:val="25"/>
              </w:rPr>
              <w:t>V</w:t>
            </w:r>
            <w:r w:rsidR="00EF06E7" w:rsidRPr="00925150">
              <w:rPr>
                <w:b/>
                <w:bCs/>
                <w:sz w:val="25"/>
                <w:szCs w:val="25"/>
              </w:rPr>
              <w:t>I</w:t>
            </w:r>
            <w:r w:rsidR="00032C63" w:rsidRPr="00925150">
              <w:rPr>
                <w:b/>
                <w:bCs/>
                <w:sz w:val="25"/>
                <w:szCs w:val="25"/>
              </w:rPr>
              <w:t xml:space="preserve">. </w:t>
            </w:r>
            <w:r w:rsidR="00EF06E7" w:rsidRPr="00925150">
              <w:rPr>
                <w:b/>
                <w:bCs/>
                <w:sz w:val="25"/>
                <w:szCs w:val="25"/>
              </w:rPr>
              <w:t>Sabiedrības līdzdalība un komunikācijas aktivitātes</w:t>
            </w:r>
            <w:r w:rsidRPr="00925150">
              <w:rPr>
                <w:b/>
                <w:bCs/>
                <w:sz w:val="25"/>
                <w:szCs w:val="25"/>
              </w:rPr>
              <w:tab/>
            </w:r>
          </w:p>
        </w:tc>
      </w:tr>
      <w:tr w:rsidR="008D06E4" w:rsidRPr="00925150" w:rsidTr="00B76453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6E4" w:rsidRPr="00925150" w:rsidRDefault="008D06E4" w:rsidP="00032C63">
            <w:pPr>
              <w:spacing w:before="100" w:beforeAutospacing="1" w:after="100" w:afterAutospacing="1"/>
              <w:jc w:val="center"/>
              <w:rPr>
                <w:bCs/>
                <w:sz w:val="25"/>
                <w:szCs w:val="25"/>
              </w:rPr>
            </w:pPr>
            <w:r w:rsidRPr="00925150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6E4" w:rsidRPr="00925150" w:rsidRDefault="00EF06E7" w:rsidP="00A274A7">
            <w:pPr>
              <w:spacing w:before="100" w:beforeAutospacing="1" w:after="100" w:afterAutospacing="1"/>
              <w:ind w:right="-31"/>
              <w:rPr>
                <w:bCs/>
                <w:sz w:val="25"/>
                <w:szCs w:val="25"/>
              </w:rPr>
            </w:pPr>
            <w:r w:rsidRPr="00925150">
              <w:rPr>
                <w:bCs/>
                <w:sz w:val="25"/>
                <w:szCs w:val="25"/>
              </w:rPr>
              <w:t>Plānotās sabiedrības līdzdalības un komunikācijas aktivitātes saistībā ar projektu</w:t>
            </w:r>
          </w:p>
        </w:tc>
        <w:tc>
          <w:tcPr>
            <w:tcW w:w="28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6A4" w:rsidRPr="00925150" w:rsidRDefault="00F86842" w:rsidP="00B5568C">
            <w:pPr>
              <w:ind w:left="-29" w:right="113" w:firstLine="29"/>
              <w:jc w:val="both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Sabiedrības</w:t>
            </w:r>
            <w:r w:rsidR="002F16D8" w:rsidRPr="00925150">
              <w:rPr>
                <w:sz w:val="25"/>
                <w:szCs w:val="25"/>
              </w:rPr>
              <w:t xml:space="preserve"> līdzdalība nodrošināta</w:t>
            </w:r>
            <w:r w:rsidRPr="00925150">
              <w:rPr>
                <w:sz w:val="25"/>
                <w:szCs w:val="25"/>
              </w:rPr>
              <w:t xml:space="preserve"> </w:t>
            </w:r>
            <w:r w:rsidR="00605094" w:rsidRPr="00925150">
              <w:rPr>
                <w:sz w:val="25"/>
                <w:szCs w:val="25"/>
              </w:rPr>
              <w:t xml:space="preserve">likumprojekta </w:t>
            </w:r>
            <w:r w:rsidR="00605094" w:rsidRPr="00925150">
              <w:rPr>
                <w:rFonts w:eastAsia="Calibri"/>
                <w:sz w:val="25"/>
                <w:szCs w:val="25"/>
                <w:lang w:eastAsia="en-US"/>
              </w:rPr>
              <w:t xml:space="preserve">„Grozījumi </w:t>
            </w:r>
            <w:r w:rsidR="00662B49" w:rsidRPr="00925150">
              <w:rPr>
                <w:rFonts w:eastAsia="Calibri"/>
                <w:sz w:val="25"/>
                <w:szCs w:val="25"/>
                <w:lang w:eastAsia="en-US"/>
              </w:rPr>
              <w:t>likumā “Par akcīzes nodokli”</w:t>
            </w:r>
            <w:r w:rsidR="00605094" w:rsidRPr="00925150">
              <w:rPr>
                <w:rFonts w:eastAsia="Calibri"/>
                <w:sz w:val="25"/>
                <w:szCs w:val="25"/>
                <w:lang w:eastAsia="en-US"/>
              </w:rPr>
              <w:t>”</w:t>
            </w:r>
            <w:r w:rsidR="00605094" w:rsidRPr="00925150">
              <w:rPr>
                <w:sz w:val="25"/>
                <w:szCs w:val="25"/>
              </w:rPr>
              <w:t xml:space="preserve"> izstrādes </w:t>
            </w:r>
            <w:r w:rsidRPr="00925150">
              <w:rPr>
                <w:sz w:val="25"/>
                <w:szCs w:val="25"/>
              </w:rPr>
              <w:t>gaitā</w:t>
            </w:r>
            <w:r w:rsidR="00B5568C">
              <w:rPr>
                <w:sz w:val="25"/>
                <w:szCs w:val="25"/>
              </w:rPr>
              <w:t xml:space="preserve">, kas Saeimā pieņemts </w:t>
            </w:r>
            <w:r w:rsidR="00B5568C" w:rsidRPr="00B5568C">
              <w:rPr>
                <w:sz w:val="25"/>
                <w:szCs w:val="25"/>
              </w:rPr>
              <w:t>2017.gada 9.martā</w:t>
            </w:r>
            <w:r w:rsidR="00B5568C">
              <w:rPr>
                <w:sz w:val="25"/>
                <w:szCs w:val="25"/>
              </w:rPr>
              <w:t>.</w:t>
            </w:r>
          </w:p>
        </w:tc>
      </w:tr>
      <w:tr w:rsidR="008D06E4" w:rsidRPr="00925150" w:rsidTr="00B76453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6E4" w:rsidRPr="00925150" w:rsidRDefault="0085794A" w:rsidP="00AA130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5"/>
                <w:szCs w:val="25"/>
              </w:rPr>
            </w:pPr>
            <w:r w:rsidRPr="00925150">
              <w:rPr>
                <w:bCs/>
                <w:color w:val="000000"/>
                <w:sz w:val="25"/>
                <w:szCs w:val="25"/>
              </w:rPr>
              <w:t>2.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6E4" w:rsidRPr="00925150" w:rsidRDefault="00EF06E7" w:rsidP="00A274A7">
            <w:pPr>
              <w:spacing w:before="100" w:beforeAutospacing="1" w:after="100" w:afterAutospacing="1"/>
              <w:ind w:right="-31"/>
              <w:rPr>
                <w:bCs/>
                <w:color w:val="000000"/>
                <w:sz w:val="25"/>
                <w:szCs w:val="25"/>
              </w:rPr>
            </w:pPr>
            <w:r w:rsidRPr="00925150">
              <w:rPr>
                <w:bCs/>
                <w:color w:val="000000"/>
                <w:sz w:val="25"/>
                <w:szCs w:val="25"/>
              </w:rPr>
              <w:t>Sabiedrības līdzdalība projekta izstrādē</w:t>
            </w:r>
          </w:p>
        </w:tc>
        <w:tc>
          <w:tcPr>
            <w:tcW w:w="28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6E4" w:rsidRPr="00944DB2" w:rsidRDefault="00D9221E" w:rsidP="00580054">
            <w:pPr>
              <w:ind w:right="113"/>
              <w:jc w:val="both"/>
              <w:rPr>
                <w:rFonts w:eastAsia="Calibri"/>
                <w:color w:val="FF0000"/>
                <w:sz w:val="25"/>
                <w:szCs w:val="25"/>
                <w:lang w:eastAsia="en-US"/>
              </w:rPr>
            </w:pPr>
            <w:r w:rsidRPr="00925150">
              <w:rPr>
                <w:sz w:val="25"/>
                <w:szCs w:val="25"/>
              </w:rPr>
              <w:t xml:space="preserve">Sabiedrības līdzdalība nodrošināta likumprojekta </w:t>
            </w:r>
            <w:r w:rsidRPr="00925150">
              <w:rPr>
                <w:rFonts w:eastAsia="Calibri"/>
                <w:sz w:val="25"/>
                <w:szCs w:val="25"/>
                <w:lang w:eastAsia="en-US"/>
              </w:rPr>
              <w:t>„Grozījumi likumā “Par akcīzes nodokli””</w:t>
            </w:r>
            <w:r w:rsidRPr="00925150">
              <w:rPr>
                <w:sz w:val="25"/>
                <w:szCs w:val="25"/>
              </w:rPr>
              <w:t xml:space="preserve"> izstrādes gaitā</w:t>
            </w:r>
            <w:r>
              <w:rPr>
                <w:sz w:val="25"/>
                <w:szCs w:val="25"/>
              </w:rPr>
              <w:t xml:space="preserve">, kas Saeimā pieņemts </w:t>
            </w:r>
            <w:r w:rsidRPr="00B5568C">
              <w:rPr>
                <w:sz w:val="25"/>
                <w:szCs w:val="25"/>
              </w:rPr>
              <w:t>2017.gada 9.martā</w:t>
            </w:r>
            <w:r>
              <w:rPr>
                <w:sz w:val="25"/>
                <w:szCs w:val="25"/>
              </w:rPr>
              <w:t>.</w:t>
            </w:r>
          </w:p>
        </w:tc>
      </w:tr>
      <w:tr w:rsidR="00EF06E7" w:rsidRPr="00925150" w:rsidTr="00B76453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4" w:space="0" w:color="auto"/>
            </w:tcBorders>
          </w:tcPr>
          <w:p w:rsidR="00EF06E7" w:rsidRPr="00925150" w:rsidRDefault="00EF06E7" w:rsidP="00AA130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5"/>
                <w:szCs w:val="25"/>
              </w:rPr>
            </w:pPr>
            <w:r w:rsidRPr="00925150">
              <w:rPr>
                <w:bCs/>
                <w:color w:val="000000"/>
                <w:sz w:val="25"/>
                <w:szCs w:val="25"/>
              </w:rPr>
              <w:t>3.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EF06E7" w:rsidRPr="00925150" w:rsidRDefault="00EF06E7" w:rsidP="00A274A7">
            <w:pPr>
              <w:spacing w:before="100" w:beforeAutospacing="1" w:after="100" w:afterAutospacing="1"/>
              <w:ind w:right="-31"/>
              <w:rPr>
                <w:bCs/>
                <w:color w:val="000000"/>
                <w:sz w:val="25"/>
                <w:szCs w:val="25"/>
              </w:rPr>
            </w:pPr>
            <w:r w:rsidRPr="00925150">
              <w:rPr>
                <w:bCs/>
                <w:color w:val="000000"/>
                <w:sz w:val="25"/>
                <w:szCs w:val="25"/>
              </w:rPr>
              <w:t>Sabiedrības līdzdalības rezultāti</w:t>
            </w:r>
          </w:p>
        </w:tc>
        <w:tc>
          <w:tcPr>
            <w:tcW w:w="2879" w:type="pct"/>
            <w:tcBorders>
              <w:top w:val="single" w:sz="6" w:space="0" w:color="auto"/>
              <w:left w:val="single" w:sz="4" w:space="0" w:color="auto"/>
              <w:bottom w:val="outset" w:sz="6" w:space="0" w:color="000000"/>
              <w:right w:val="single" w:sz="6" w:space="0" w:color="auto"/>
            </w:tcBorders>
          </w:tcPr>
          <w:p w:rsidR="004F0874" w:rsidRPr="00925150" w:rsidRDefault="00944DB2" w:rsidP="00AD10DA">
            <w:pPr>
              <w:spacing w:before="100" w:beforeAutospacing="1" w:after="100" w:afterAutospacing="1"/>
              <w:ind w:right="113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Nav.</w:t>
            </w:r>
          </w:p>
        </w:tc>
      </w:tr>
      <w:tr w:rsidR="00BC24BC" w:rsidRPr="00925150" w:rsidTr="00B76453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4" w:space="0" w:color="auto"/>
            </w:tcBorders>
          </w:tcPr>
          <w:p w:rsidR="00BC24BC" w:rsidRPr="00925150" w:rsidRDefault="00EF06E7" w:rsidP="00AA130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5"/>
                <w:szCs w:val="25"/>
              </w:rPr>
            </w:pPr>
            <w:r w:rsidRPr="00925150">
              <w:rPr>
                <w:bCs/>
                <w:color w:val="000000"/>
                <w:sz w:val="25"/>
                <w:szCs w:val="25"/>
              </w:rPr>
              <w:t>4</w:t>
            </w:r>
            <w:r w:rsidR="00BC24BC" w:rsidRPr="00925150">
              <w:rPr>
                <w:bCs/>
                <w:color w:val="000000"/>
                <w:sz w:val="25"/>
                <w:szCs w:val="25"/>
              </w:rPr>
              <w:t>.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BC24BC" w:rsidRPr="00925150" w:rsidRDefault="00BC24BC" w:rsidP="00EF06E7">
            <w:pPr>
              <w:spacing w:before="100" w:beforeAutospacing="1" w:after="100" w:afterAutospacing="1"/>
              <w:rPr>
                <w:bCs/>
                <w:color w:val="000000"/>
                <w:sz w:val="25"/>
                <w:szCs w:val="25"/>
              </w:rPr>
            </w:pPr>
            <w:r w:rsidRPr="00925150">
              <w:rPr>
                <w:bCs/>
                <w:color w:val="000000"/>
                <w:sz w:val="25"/>
                <w:szCs w:val="25"/>
              </w:rPr>
              <w:t>Cita informācija</w:t>
            </w:r>
          </w:p>
        </w:tc>
        <w:tc>
          <w:tcPr>
            <w:tcW w:w="2879" w:type="pct"/>
            <w:tcBorders>
              <w:top w:val="single" w:sz="6" w:space="0" w:color="auto"/>
              <w:left w:val="single" w:sz="4" w:space="0" w:color="auto"/>
              <w:bottom w:val="outset" w:sz="6" w:space="0" w:color="000000"/>
              <w:right w:val="single" w:sz="6" w:space="0" w:color="auto"/>
            </w:tcBorders>
          </w:tcPr>
          <w:p w:rsidR="00BC24BC" w:rsidRPr="00925150" w:rsidRDefault="00BC24BC" w:rsidP="00EF06E7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Nav</w:t>
            </w:r>
            <w:r w:rsidR="00E15B52" w:rsidRPr="00925150">
              <w:rPr>
                <w:sz w:val="25"/>
                <w:szCs w:val="25"/>
              </w:rPr>
              <w:t>.</w:t>
            </w:r>
          </w:p>
        </w:tc>
      </w:tr>
    </w:tbl>
    <w:p w:rsidR="00032C63" w:rsidRDefault="00032C63" w:rsidP="00032C63">
      <w:pPr>
        <w:rPr>
          <w:sz w:val="25"/>
          <w:szCs w:val="25"/>
        </w:rPr>
      </w:pPr>
      <w:r w:rsidRPr="00925150">
        <w:rPr>
          <w:sz w:val="25"/>
          <w:szCs w:val="25"/>
        </w:rPr>
        <w:t> </w:t>
      </w:r>
    </w:p>
    <w:p w:rsidR="00FD5E76" w:rsidRPr="00925150" w:rsidRDefault="00FD5E76" w:rsidP="00032C63">
      <w:pPr>
        <w:rPr>
          <w:sz w:val="25"/>
          <w:szCs w:val="25"/>
        </w:rPr>
      </w:pPr>
    </w:p>
    <w:tbl>
      <w:tblPr>
        <w:tblW w:w="5197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3371"/>
        <w:gridCol w:w="5522"/>
      </w:tblGrid>
      <w:tr w:rsidR="00032C63" w:rsidRPr="00925150" w:rsidTr="00886ECA">
        <w:trPr>
          <w:trHeight w:val="288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C63" w:rsidRPr="00925150" w:rsidRDefault="00032C63" w:rsidP="00032C63">
            <w:pPr>
              <w:spacing w:before="100" w:beforeAutospacing="1" w:after="100" w:afterAutospacing="1"/>
              <w:jc w:val="center"/>
              <w:rPr>
                <w:b/>
                <w:bCs/>
                <w:sz w:val="25"/>
                <w:szCs w:val="25"/>
              </w:rPr>
            </w:pPr>
            <w:r w:rsidRPr="00925150">
              <w:rPr>
                <w:b/>
                <w:bCs/>
                <w:sz w:val="25"/>
                <w:szCs w:val="25"/>
              </w:rPr>
              <w:t>VII. Tiesību akta projekta izpildes nodrošināšana un tās ietekme uz institūcijām</w:t>
            </w:r>
          </w:p>
        </w:tc>
      </w:tr>
      <w:tr w:rsidR="00032C63" w:rsidRPr="00925150" w:rsidTr="00B76453">
        <w:trPr>
          <w:trHeight w:val="577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32C63" w:rsidRPr="00925150" w:rsidRDefault="00032C63" w:rsidP="00032C63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1.</w:t>
            </w:r>
          </w:p>
        </w:tc>
        <w:tc>
          <w:tcPr>
            <w:tcW w:w="177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32C63" w:rsidRPr="00925150" w:rsidRDefault="00032C63" w:rsidP="00032C63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Projekta izpildē iesaistītās institūcijas</w:t>
            </w:r>
          </w:p>
        </w:tc>
        <w:tc>
          <w:tcPr>
            <w:tcW w:w="290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32C63" w:rsidRPr="00925150" w:rsidRDefault="00944DB2" w:rsidP="006504C0">
            <w:pPr>
              <w:spacing w:before="100" w:beforeAutospacing="1" w:after="100" w:afterAutospacing="1"/>
              <w:ind w:right="138"/>
              <w:jc w:val="both"/>
              <w:rPr>
                <w:sz w:val="25"/>
                <w:szCs w:val="25"/>
              </w:rPr>
            </w:pPr>
            <w:r w:rsidRPr="00944DB2">
              <w:rPr>
                <w:sz w:val="25"/>
                <w:szCs w:val="25"/>
              </w:rPr>
              <w:t>Normatīvā akta izpildi nodrošinās Valsts ieņēmumu dienests.</w:t>
            </w:r>
          </w:p>
        </w:tc>
      </w:tr>
      <w:tr w:rsidR="00032C63" w:rsidRPr="00925150" w:rsidTr="00FD5E76">
        <w:trPr>
          <w:trHeight w:val="2050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32C63" w:rsidRPr="00925150" w:rsidRDefault="00032C63" w:rsidP="00032C63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2.</w:t>
            </w:r>
          </w:p>
        </w:tc>
        <w:tc>
          <w:tcPr>
            <w:tcW w:w="1776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63" w:rsidRPr="00925150" w:rsidRDefault="00FF735C" w:rsidP="005425C7">
            <w:pPr>
              <w:ind w:right="109"/>
              <w:jc w:val="both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Projekta izpildes ietekme uz pārvaldes funkcijām un institucionālo struktūru.</w:t>
            </w:r>
            <w:r w:rsidR="000C52A7" w:rsidRPr="00925150">
              <w:rPr>
                <w:sz w:val="25"/>
                <w:szCs w:val="25"/>
              </w:rPr>
              <w:t xml:space="preserve"> </w:t>
            </w:r>
            <w:r w:rsidRPr="00925150">
              <w:rPr>
                <w:sz w:val="25"/>
                <w:szCs w:val="25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2909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032C63" w:rsidRPr="00925150" w:rsidRDefault="00944DB2" w:rsidP="00944DB2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944DB2">
              <w:rPr>
                <w:sz w:val="25"/>
                <w:szCs w:val="25"/>
              </w:rPr>
              <w:t xml:space="preserve">Noteikumu projekta izpilde </w:t>
            </w:r>
            <w:r>
              <w:rPr>
                <w:sz w:val="25"/>
                <w:szCs w:val="25"/>
              </w:rPr>
              <w:t>nemaina</w:t>
            </w:r>
            <w:r w:rsidRPr="00944DB2">
              <w:rPr>
                <w:sz w:val="25"/>
                <w:szCs w:val="25"/>
              </w:rPr>
              <w:t xml:space="preserve"> Valsts ieņēmumu dienesta līdzšinējās funkcijas un uzdevumus</w:t>
            </w:r>
            <w:r>
              <w:rPr>
                <w:sz w:val="25"/>
                <w:szCs w:val="25"/>
              </w:rPr>
              <w:t>.</w:t>
            </w:r>
          </w:p>
        </w:tc>
      </w:tr>
      <w:tr w:rsidR="00032C63" w:rsidRPr="00925150" w:rsidTr="00FD5E76">
        <w:trPr>
          <w:trHeight w:val="28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63" w:rsidRPr="00925150" w:rsidRDefault="00032C63" w:rsidP="00032C63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3.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63" w:rsidRPr="00925150" w:rsidRDefault="00FF735C" w:rsidP="00FF735C">
            <w:pPr>
              <w:jc w:val="both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Cita informācija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63" w:rsidRPr="00925150" w:rsidRDefault="00FF735C" w:rsidP="00032C63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925150">
              <w:rPr>
                <w:sz w:val="25"/>
                <w:szCs w:val="25"/>
              </w:rPr>
              <w:t>Nav</w:t>
            </w:r>
            <w:r w:rsidR="00DC0F0D" w:rsidRPr="00925150">
              <w:rPr>
                <w:sz w:val="25"/>
                <w:szCs w:val="25"/>
              </w:rPr>
              <w:t>.</w:t>
            </w:r>
          </w:p>
        </w:tc>
      </w:tr>
      <w:tr w:rsidR="00FD5E76" w:rsidRPr="00925150" w:rsidTr="00FD5E76">
        <w:trPr>
          <w:trHeight w:val="288"/>
        </w:trPr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E76" w:rsidRPr="00925150" w:rsidRDefault="00FD5E76" w:rsidP="00032C63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E76" w:rsidRPr="00925150" w:rsidRDefault="00FD5E76" w:rsidP="00FF735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9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E76" w:rsidRPr="00925150" w:rsidRDefault="00FD5E76" w:rsidP="00032C63">
            <w:pPr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</w:p>
        </w:tc>
      </w:tr>
      <w:tr w:rsidR="0082105B" w:rsidRPr="00925150" w:rsidTr="00FD5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/>
        </w:trPr>
        <w:tc>
          <w:tcPr>
            <w:tcW w:w="5000" w:type="pct"/>
            <w:gridSpan w:val="3"/>
          </w:tcPr>
          <w:p w:rsidR="00FD5E76" w:rsidRPr="00925150" w:rsidRDefault="00FD5E76" w:rsidP="00032C63">
            <w:pPr>
              <w:rPr>
                <w:sz w:val="25"/>
                <w:szCs w:val="25"/>
                <w:lang w:eastAsia="en-US"/>
              </w:rPr>
            </w:pPr>
          </w:p>
          <w:p w:rsidR="0082105B" w:rsidRPr="00925150" w:rsidRDefault="009D6330" w:rsidP="00944DB2">
            <w:pPr>
              <w:rPr>
                <w:i/>
                <w:sz w:val="25"/>
                <w:szCs w:val="25"/>
                <w:lang w:eastAsia="en-US"/>
              </w:rPr>
            </w:pPr>
            <w:r w:rsidRPr="00925150">
              <w:rPr>
                <w:i/>
                <w:sz w:val="25"/>
                <w:szCs w:val="25"/>
                <w:lang w:eastAsia="en-US"/>
              </w:rPr>
              <w:t xml:space="preserve">Anotācijas </w:t>
            </w:r>
            <w:r w:rsidR="00F62C17" w:rsidRPr="00925150">
              <w:rPr>
                <w:i/>
                <w:sz w:val="25"/>
                <w:szCs w:val="25"/>
                <w:lang w:eastAsia="en-US"/>
              </w:rPr>
              <w:t>IV</w:t>
            </w:r>
            <w:r w:rsidRPr="00925150">
              <w:rPr>
                <w:i/>
                <w:sz w:val="25"/>
                <w:szCs w:val="25"/>
                <w:lang w:eastAsia="en-US"/>
              </w:rPr>
              <w:t xml:space="preserve"> un V</w:t>
            </w:r>
            <w:r w:rsidR="0082105B" w:rsidRPr="00925150">
              <w:rPr>
                <w:i/>
                <w:sz w:val="25"/>
                <w:szCs w:val="25"/>
                <w:lang w:eastAsia="en-US"/>
              </w:rPr>
              <w:t xml:space="preserve"> sadaļa – projekts šīs jomas neskar.</w:t>
            </w:r>
          </w:p>
        </w:tc>
      </w:tr>
    </w:tbl>
    <w:p w:rsidR="00444671" w:rsidRPr="00925150" w:rsidRDefault="00444671" w:rsidP="007756FB">
      <w:pPr>
        <w:rPr>
          <w:sz w:val="20"/>
          <w:szCs w:val="20"/>
        </w:rPr>
      </w:pPr>
    </w:p>
    <w:p w:rsidR="00886ECA" w:rsidRPr="00925150" w:rsidRDefault="00886ECA" w:rsidP="00886ECA">
      <w:pPr>
        <w:jc w:val="both"/>
        <w:rPr>
          <w:sz w:val="28"/>
          <w:szCs w:val="28"/>
        </w:rPr>
      </w:pPr>
    </w:p>
    <w:p w:rsidR="00CA0EFC" w:rsidRPr="00925150" w:rsidRDefault="00CA0EFC" w:rsidP="007756FB">
      <w:pPr>
        <w:rPr>
          <w:sz w:val="20"/>
          <w:szCs w:val="20"/>
        </w:rPr>
      </w:pPr>
    </w:p>
    <w:p w:rsidR="00DC0F0D" w:rsidRPr="00925150" w:rsidRDefault="00DC0F0D" w:rsidP="007756FB">
      <w:pPr>
        <w:rPr>
          <w:sz w:val="20"/>
          <w:szCs w:val="20"/>
        </w:rPr>
      </w:pPr>
    </w:p>
    <w:p w:rsidR="00DC0F0D" w:rsidRPr="00925150" w:rsidRDefault="00662B49" w:rsidP="00662B49">
      <w:pPr>
        <w:jc w:val="both"/>
        <w:rPr>
          <w:sz w:val="28"/>
          <w:szCs w:val="28"/>
        </w:rPr>
      </w:pPr>
      <w:r w:rsidRPr="00925150">
        <w:rPr>
          <w:sz w:val="28"/>
          <w:szCs w:val="28"/>
        </w:rPr>
        <w:t>Fi</w:t>
      </w:r>
      <w:r w:rsidR="00925150" w:rsidRPr="00925150">
        <w:rPr>
          <w:sz w:val="28"/>
          <w:szCs w:val="28"/>
        </w:rPr>
        <w:t>n</w:t>
      </w:r>
      <w:r w:rsidRPr="00925150">
        <w:rPr>
          <w:sz w:val="28"/>
          <w:szCs w:val="28"/>
        </w:rPr>
        <w:t>anšu ministre</w:t>
      </w:r>
      <w:r w:rsidR="005268C8" w:rsidRPr="00925150">
        <w:rPr>
          <w:sz w:val="28"/>
          <w:szCs w:val="28"/>
        </w:rPr>
        <w:t xml:space="preserve"> </w:t>
      </w:r>
      <w:r w:rsidRPr="00925150">
        <w:rPr>
          <w:sz w:val="28"/>
          <w:szCs w:val="28"/>
        </w:rPr>
        <w:tab/>
      </w:r>
      <w:r w:rsidRPr="00925150">
        <w:rPr>
          <w:sz w:val="28"/>
          <w:szCs w:val="28"/>
        </w:rPr>
        <w:tab/>
      </w:r>
      <w:r w:rsidRPr="00925150">
        <w:rPr>
          <w:sz w:val="28"/>
          <w:szCs w:val="28"/>
        </w:rPr>
        <w:tab/>
      </w:r>
      <w:r w:rsidRPr="00925150">
        <w:rPr>
          <w:sz w:val="28"/>
          <w:szCs w:val="28"/>
        </w:rPr>
        <w:tab/>
      </w:r>
      <w:r w:rsidRPr="00925150">
        <w:rPr>
          <w:sz w:val="28"/>
          <w:szCs w:val="28"/>
        </w:rPr>
        <w:tab/>
      </w:r>
      <w:r w:rsidRPr="00925150">
        <w:rPr>
          <w:sz w:val="28"/>
          <w:szCs w:val="28"/>
        </w:rPr>
        <w:tab/>
      </w:r>
      <w:r w:rsidRPr="00925150">
        <w:rPr>
          <w:sz w:val="28"/>
          <w:szCs w:val="28"/>
        </w:rPr>
        <w:tab/>
        <w:t>D.Reizniece-Ozola</w:t>
      </w:r>
    </w:p>
    <w:p w:rsidR="00DC0F0D" w:rsidRPr="00925150" w:rsidRDefault="00DC0F0D" w:rsidP="007756FB">
      <w:pPr>
        <w:rPr>
          <w:sz w:val="20"/>
          <w:szCs w:val="20"/>
        </w:rPr>
      </w:pPr>
    </w:p>
    <w:p w:rsidR="00886ECA" w:rsidRPr="00925150" w:rsidRDefault="00886ECA" w:rsidP="007756FB">
      <w:pPr>
        <w:rPr>
          <w:sz w:val="20"/>
          <w:szCs w:val="20"/>
        </w:rPr>
      </w:pPr>
    </w:p>
    <w:p w:rsidR="00886ECA" w:rsidRPr="00925150" w:rsidRDefault="00886ECA" w:rsidP="007756FB">
      <w:pPr>
        <w:rPr>
          <w:sz w:val="20"/>
          <w:szCs w:val="20"/>
        </w:rPr>
      </w:pPr>
    </w:p>
    <w:p w:rsidR="005268C8" w:rsidRPr="00925150" w:rsidRDefault="005268C8" w:rsidP="007756FB">
      <w:pPr>
        <w:pStyle w:val="ListParagraph"/>
        <w:ind w:left="0"/>
        <w:jc w:val="both"/>
        <w:rPr>
          <w:sz w:val="20"/>
          <w:szCs w:val="20"/>
        </w:rPr>
      </w:pPr>
    </w:p>
    <w:p w:rsidR="00D9221E" w:rsidRDefault="00F41E46" w:rsidP="00D9221E">
      <w:pPr>
        <w:jc w:val="both"/>
        <w:rPr>
          <w:sz w:val="20"/>
          <w:szCs w:val="20"/>
        </w:rPr>
      </w:pPr>
      <w:r w:rsidRPr="00D9221E">
        <w:rPr>
          <w:sz w:val="20"/>
          <w:szCs w:val="20"/>
        </w:rPr>
        <w:t>Gail</w:t>
      </w:r>
      <w:r w:rsidR="00D9221E">
        <w:rPr>
          <w:sz w:val="20"/>
          <w:szCs w:val="20"/>
        </w:rPr>
        <w:t>e</w:t>
      </w:r>
      <w:r w:rsidRPr="00D9221E">
        <w:rPr>
          <w:sz w:val="20"/>
          <w:szCs w:val="20"/>
        </w:rPr>
        <w:t xml:space="preserve"> 67120166</w:t>
      </w:r>
    </w:p>
    <w:p w:rsidR="00F41E46" w:rsidRPr="00D9221E" w:rsidRDefault="005F7EC9" w:rsidP="00D9221E">
      <w:pPr>
        <w:jc w:val="both"/>
        <w:rPr>
          <w:sz w:val="20"/>
          <w:szCs w:val="20"/>
        </w:rPr>
      </w:pPr>
      <w:hyperlink r:id="rId8" w:history="1">
        <w:r w:rsidR="00F41E46" w:rsidRPr="00F41E46">
          <w:rPr>
            <w:rStyle w:val="Hyperlink"/>
            <w:sz w:val="20"/>
            <w:szCs w:val="20"/>
          </w:rPr>
          <w:t>Sandra.Gaile@vid.gov.lv</w:t>
        </w:r>
      </w:hyperlink>
      <w:r w:rsidR="00F41E46" w:rsidRPr="00D9221E">
        <w:rPr>
          <w:sz w:val="20"/>
          <w:szCs w:val="20"/>
        </w:rPr>
        <w:t xml:space="preserve"> </w:t>
      </w:r>
    </w:p>
    <w:p w:rsidR="005268C8" w:rsidRPr="00925150" w:rsidRDefault="005268C8" w:rsidP="007756FB">
      <w:pPr>
        <w:pStyle w:val="ListParagraph"/>
        <w:ind w:left="0"/>
        <w:jc w:val="both"/>
        <w:rPr>
          <w:sz w:val="20"/>
          <w:szCs w:val="20"/>
        </w:rPr>
      </w:pPr>
    </w:p>
    <w:p w:rsidR="005268C8" w:rsidRPr="00925150" w:rsidRDefault="005268C8" w:rsidP="007756FB">
      <w:pPr>
        <w:pStyle w:val="ListParagraph"/>
        <w:ind w:left="0"/>
        <w:jc w:val="both"/>
        <w:rPr>
          <w:sz w:val="20"/>
          <w:szCs w:val="20"/>
        </w:rPr>
      </w:pPr>
    </w:p>
    <w:p w:rsidR="005268C8" w:rsidRPr="00925150" w:rsidRDefault="005268C8" w:rsidP="007756FB">
      <w:pPr>
        <w:pStyle w:val="ListParagraph"/>
        <w:ind w:left="0"/>
        <w:jc w:val="both"/>
        <w:rPr>
          <w:sz w:val="20"/>
          <w:szCs w:val="20"/>
        </w:rPr>
      </w:pPr>
    </w:p>
    <w:sectPr w:rsidR="005268C8" w:rsidRPr="00925150" w:rsidSect="00C41059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276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A6" w:rsidRDefault="00FE7BA6">
      <w:r>
        <w:separator/>
      </w:r>
    </w:p>
  </w:endnote>
  <w:endnote w:type="continuationSeparator" w:id="0">
    <w:p w:rsidR="00FE7BA6" w:rsidRDefault="00FE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B5" w:rsidRPr="000837B5" w:rsidRDefault="000837B5" w:rsidP="000837B5">
    <w:pPr>
      <w:pStyle w:val="Footer"/>
      <w:jc w:val="both"/>
      <w:rPr>
        <w:noProof/>
        <w:sz w:val="20"/>
      </w:rPr>
    </w:pPr>
    <w:r w:rsidRPr="000837B5">
      <w:rPr>
        <w:sz w:val="20"/>
        <w:szCs w:val="20"/>
      </w:rPr>
      <w:t>FMAnot_040417_groz_300</w:t>
    </w: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7" w:rsidRPr="000837B5" w:rsidRDefault="000837B5" w:rsidP="000837B5">
    <w:pPr>
      <w:pStyle w:val="Footer"/>
      <w:jc w:val="both"/>
      <w:rPr>
        <w:noProof/>
        <w:sz w:val="20"/>
      </w:rPr>
    </w:pPr>
    <w:r w:rsidRPr="000837B5">
      <w:rPr>
        <w:sz w:val="20"/>
        <w:szCs w:val="20"/>
      </w:rPr>
      <w:t>FMAnot_040417_groz_300</w:t>
    </w: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A6" w:rsidRDefault="00FE7BA6">
      <w:r>
        <w:separator/>
      </w:r>
    </w:p>
  </w:footnote>
  <w:footnote w:type="continuationSeparator" w:id="0">
    <w:p w:rsidR="00FE7BA6" w:rsidRDefault="00FE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7" w:rsidRDefault="009D5827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827" w:rsidRDefault="009D5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7" w:rsidRDefault="009D5827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EC9">
      <w:rPr>
        <w:rStyle w:val="PageNumber"/>
        <w:noProof/>
      </w:rPr>
      <w:t>2</w:t>
    </w:r>
    <w:r>
      <w:rPr>
        <w:rStyle w:val="PageNumber"/>
      </w:rPr>
      <w:fldChar w:fldCharType="end"/>
    </w:r>
  </w:p>
  <w:p w:rsidR="009D5827" w:rsidRDefault="009D5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000E"/>
    <w:multiLevelType w:val="hybridMultilevel"/>
    <w:tmpl w:val="9558D132"/>
    <w:lvl w:ilvl="0" w:tplc="84FE7D9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1B46AC"/>
    <w:multiLevelType w:val="hybridMultilevel"/>
    <w:tmpl w:val="43EE90FC"/>
    <w:lvl w:ilvl="0" w:tplc="6B563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3E2313"/>
    <w:multiLevelType w:val="hybridMultilevel"/>
    <w:tmpl w:val="CC42B868"/>
    <w:lvl w:ilvl="0" w:tplc="485EC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D5C1C"/>
    <w:multiLevelType w:val="hybridMultilevel"/>
    <w:tmpl w:val="D3BED12E"/>
    <w:lvl w:ilvl="0" w:tplc="57A480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5466"/>
    <w:multiLevelType w:val="hybridMultilevel"/>
    <w:tmpl w:val="874E5F7A"/>
    <w:lvl w:ilvl="0" w:tplc="9760C1DC">
      <w:start w:val="1"/>
      <w:numFmt w:val="decimal"/>
      <w:lvlText w:val="%1)"/>
      <w:lvlJc w:val="left"/>
      <w:pPr>
        <w:ind w:left="47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90" w:hanging="360"/>
      </w:pPr>
    </w:lvl>
    <w:lvl w:ilvl="2" w:tplc="0426001B" w:tentative="1">
      <w:start w:val="1"/>
      <w:numFmt w:val="lowerRoman"/>
      <w:lvlText w:val="%3."/>
      <w:lvlJc w:val="right"/>
      <w:pPr>
        <w:ind w:left="1910" w:hanging="180"/>
      </w:pPr>
    </w:lvl>
    <w:lvl w:ilvl="3" w:tplc="0426000F" w:tentative="1">
      <w:start w:val="1"/>
      <w:numFmt w:val="decimal"/>
      <w:lvlText w:val="%4."/>
      <w:lvlJc w:val="left"/>
      <w:pPr>
        <w:ind w:left="2630" w:hanging="360"/>
      </w:pPr>
    </w:lvl>
    <w:lvl w:ilvl="4" w:tplc="04260019" w:tentative="1">
      <w:start w:val="1"/>
      <w:numFmt w:val="lowerLetter"/>
      <w:lvlText w:val="%5."/>
      <w:lvlJc w:val="left"/>
      <w:pPr>
        <w:ind w:left="3350" w:hanging="360"/>
      </w:pPr>
    </w:lvl>
    <w:lvl w:ilvl="5" w:tplc="0426001B" w:tentative="1">
      <w:start w:val="1"/>
      <w:numFmt w:val="lowerRoman"/>
      <w:lvlText w:val="%6."/>
      <w:lvlJc w:val="right"/>
      <w:pPr>
        <w:ind w:left="4070" w:hanging="180"/>
      </w:pPr>
    </w:lvl>
    <w:lvl w:ilvl="6" w:tplc="0426000F" w:tentative="1">
      <w:start w:val="1"/>
      <w:numFmt w:val="decimal"/>
      <w:lvlText w:val="%7."/>
      <w:lvlJc w:val="left"/>
      <w:pPr>
        <w:ind w:left="4790" w:hanging="360"/>
      </w:pPr>
    </w:lvl>
    <w:lvl w:ilvl="7" w:tplc="04260019" w:tentative="1">
      <w:start w:val="1"/>
      <w:numFmt w:val="lowerLetter"/>
      <w:lvlText w:val="%8."/>
      <w:lvlJc w:val="left"/>
      <w:pPr>
        <w:ind w:left="5510" w:hanging="360"/>
      </w:pPr>
    </w:lvl>
    <w:lvl w:ilvl="8" w:tplc="042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37113DA6"/>
    <w:multiLevelType w:val="hybridMultilevel"/>
    <w:tmpl w:val="4470F150"/>
    <w:lvl w:ilvl="0" w:tplc="AF68B2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2C3A4B"/>
    <w:multiLevelType w:val="hybridMultilevel"/>
    <w:tmpl w:val="D8C21B5A"/>
    <w:lvl w:ilvl="0" w:tplc="E8DC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22D9"/>
    <w:multiLevelType w:val="hybridMultilevel"/>
    <w:tmpl w:val="0F3CC864"/>
    <w:lvl w:ilvl="0" w:tplc="56FE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832AE0"/>
    <w:multiLevelType w:val="hybridMultilevel"/>
    <w:tmpl w:val="45FA10E6"/>
    <w:lvl w:ilvl="0" w:tplc="FD1487D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C3EC3"/>
    <w:multiLevelType w:val="hybridMultilevel"/>
    <w:tmpl w:val="C4B00F14"/>
    <w:lvl w:ilvl="0" w:tplc="952085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66632543"/>
    <w:multiLevelType w:val="hybridMultilevel"/>
    <w:tmpl w:val="B3287E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421A"/>
    <w:multiLevelType w:val="hybridMultilevel"/>
    <w:tmpl w:val="987444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A36F4"/>
    <w:multiLevelType w:val="hybridMultilevel"/>
    <w:tmpl w:val="0F3CC864"/>
    <w:lvl w:ilvl="0" w:tplc="56FE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261E0B"/>
    <w:multiLevelType w:val="hybridMultilevel"/>
    <w:tmpl w:val="0C06B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E656A"/>
    <w:multiLevelType w:val="hybridMultilevel"/>
    <w:tmpl w:val="641AAAF4"/>
    <w:lvl w:ilvl="0" w:tplc="51F6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14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4F"/>
    <w:rsid w:val="00000787"/>
    <w:rsid w:val="00002215"/>
    <w:rsid w:val="000073E1"/>
    <w:rsid w:val="000112BE"/>
    <w:rsid w:val="000126A8"/>
    <w:rsid w:val="00013FC3"/>
    <w:rsid w:val="000165BC"/>
    <w:rsid w:val="000215DD"/>
    <w:rsid w:val="0002259A"/>
    <w:rsid w:val="00022F36"/>
    <w:rsid w:val="00024D4A"/>
    <w:rsid w:val="00031CE5"/>
    <w:rsid w:val="00032C63"/>
    <w:rsid w:val="00035A8E"/>
    <w:rsid w:val="00035F7F"/>
    <w:rsid w:val="00037560"/>
    <w:rsid w:val="00044C08"/>
    <w:rsid w:val="00045E7D"/>
    <w:rsid w:val="00046550"/>
    <w:rsid w:val="0004797F"/>
    <w:rsid w:val="000546AE"/>
    <w:rsid w:val="00060552"/>
    <w:rsid w:val="00063D36"/>
    <w:rsid w:val="00066329"/>
    <w:rsid w:val="00070294"/>
    <w:rsid w:val="00072B05"/>
    <w:rsid w:val="00075879"/>
    <w:rsid w:val="000804CB"/>
    <w:rsid w:val="00081DAB"/>
    <w:rsid w:val="00082620"/>
    <w:rsid w:val="0008296A"/>
    <w:rsid w:val="00082C5B"/>
    <w:rsid w:val="000837B5"/>
    <w:rsid w:val="00083F2A"/>
    <w:rsid w:val="0008427B"/>
    <w:rsid w:val="00084990"/>
    <w:rsid w:val="00086667"/>
    <w:rsid w:val="0009087B"/>
    <w:rsid w:val="00093490"/>
    <w:rsid w:val="00096B37"/>
    <w:rsid w:val="00097625"/>
    <w:rsid w:val="00097AD2"/>
    <w:rsid w:val="000A2622"/>
    <w:rsid w:val="000A3646"/>
    <w:rsid w:val="000A3870"/>
    <w:rsid w:val="000A3930"/>
    <w:rsid w:val="000A5B5A"/>
    <w:rsid w:val="000B0183"/>
    <w:rsid w:val="000B3304"/>
    <w:rsid w:val="000B54C5"/>
    <w:rsid w:val="000B6BEE"/>
    <w:rsid w:val="000C2AFE"/>
    <w:rsid w:val="000C3950"/>
    <w:rsid w:val="000C52A7"/>
    <w:rsid w:val="000D39EB"/>
    <w:rsid w:val="000D3B96"/>
    <w:rsid w:val="000D4077"/>
    <w:rsid w:val="000D4E09"/>
    <w:rsid w:val="000E06A4"/>
    <w:rsid w:val="000E0F2D"/>
    <w:rsid w:val="000E2EDA"/>
    <w:rsid w:val="000E2FBE"/>
    <w:rsid w:val="000E3625"/>
    <w:rsid w:val="000E3B72"/>
    <w:rsid w:val="000F0B5C"/>
    <w:rsid w:val="000F148C"/>
    <w:rsid w:val="000F66D3"/>
    <w:rsid w:val="000F7CD5"/>
    <w:rsid w:val="001012AA"/>
    <w:rsid w:val="00104F4C"/>
    <w:rsid w:val="001054AA"/>
    <w:rsid w:val="00107126"/>
    <w:rsid w:val="0011196B"/>
    <w:rsid w:val="001126DB"/>
    <w:rsid w:val="001166D1"/>
    <w:rsid w:val="00116AA2"/>
    <w:rsid w:val="00116D0F"/>
    <w:rsid w:val="00121706"/>
    <w:rsid w:val="00122AB3"/>
    <w:rsid w:val="00126CB6"/>
    <w:rsid w:val="001275D5"/>
    <w:rsid w:val="0013216F"/>
    <w:rsid w:val="001321E4"/>
    <w:rsid w:val="001331D4"/>
    <w:rsid w:val="00134C95"/>
    <w:rsid w:val="00134E68"/>
    <w:rsid w:val="00142AB7"/>
    <w:rsid w:val="001433EC"/>
    <w:rsid w:val="00143696"/>
    <w:rsid w:val="00145B6F"/>
    <w:rsid w:val="001478FB"/>
    <w:rsid w:val="001524FA"/>
    <w:rsid w:val="00154F91"/>
    <w:rsid w:val="001568DB"/>
    <w:rsid w:val="001623C7"/>
    <w:rsid w:val="00164AB4"/>
    <w:rsid w:val="00170AC9"/>
    <w:rsid w:val="00170E3F"/>
    <w:rsid w:val="00173D2A"/>
    <w:rsid w:val="001745CE"/>
    <w:rsid w:val="00174B92"/>
    <w:rsid w:val="00180237"/>
    <w:rsid w:val="00180C78"/>
    <w:rsid w:val="00180D6E"/>
    <w:rsid w:val="0018771A"/>
    <w:rsid w:val="00191BAD"/>
    <w:rsid w:val="00196892"/>
    <w:rsid w:val="001A0D5C"/>
    <w:rsid w:val="001A1DDB"/>
    <w:rsid w:val="001A4001"/>
    <w:rsid w:val="001A5F1A"/>
    <w:rsid w:val="001B1F9A"/>
    <w:rsid w:val="001B4146"/>
    <w:rsid w:val="001B54D2"/>
    <w:rsid w:val="001B6E27"/>
    <w:rsid w:val="001B7188"/>
    <w:rsid w:val="001C6DAE"/>
    <w:rsid w:val="001C7060"/>
    <w:rsid w:val="001C787A"/>
    <w:rsid w:val="001C7C46"/>
    <w:rsid w:val="001D1059"/>
    <w:rsid w:val="001D5088"/>
    <w:rsid w:val="001D637E"/>
    <w:rsid w:val="001D73D4"/>
    <w:rsid w:val="001E2991"/>
    <w:rsid w:val="001E6F3B"/>
    <w:rsid w:val="001E7B85"/>
    <w:rsid w:val="001F040F"/>
    <w:rsid w:val="001F23CC"/>
    <w:rsid w:val="001F414D"/>
    <w:rsid w:val="001F65BB"/>
    <w:rsid w:val="001F74F1"/>
    <w:rsid w:val="0020109C"/>
    <w:rsid w:val="00207EC0"/>
    <w:rsid w:val="0021058A"/>
    <w:rsid w:val="0021135F"/>
    <w:rsid w:val="00217AAD"/>
    <w:rsid w:val="00224AEE"/>
    <w:rsid w:val="002268EF"/>
    <w:rsid w:val="00231E45"/>
    <w:rsid w:val="0023256A"/>
    <w:rsid w:val="00232C65"/>
    <w:rsid w:val="00244450"/>
    <w:rsid w:val="0024448B"/>
    <w:rsid w:val="002469CD"/>
    <w:rsid w:val="00246D9C"/>
    <w:rsid w:val="00253E23"/>
    <w:rsid w:val="00254730"/>
    <w:rsid w:val="00254C34"/>
    <w:rsid w:val="00256793"/>
    <w:rsid w:val="00262A3F"/>
    <w:rsid w:val="002645F5"/>
    <w:rsid w:val="00264C8E"/>
    <w:rsid w:val="00267711"/>
    <w:rsid w:val="002716A4"/>
    <w:rsid w:val="00271A80"/>
    <w:rsid w:val="0027384B"/>
    <w:rsid w:val="002766FA"/>
    <w:rsid w:val="0028039B"/>
    <w:rsid w:val="00280C85"/>
    <w:rsid w:val="002829BB"/>
    <w:rsid w:val="002911BC"/>
    <w:rsid w:val="002913D0"/>
    <w:rsid w:val="002937A4"/>
    <w:rsid w:val="00294287"/>
    <w:rsid w:val="00294A3C"/>
    <w:rsid w:val="00296449"/>
    <w:rsid w:val="002A58D6"/>
    <w:rsid w:val="002B01EB"/>
    <w:rsid w:val="002B14BA"/>
    <w:rsid w:val="002B3DC1"/>
    <w:rsid w:val="002B458F"/>
    <w:rsid w:val="002B7CC7"/>
    <w:rsid w:val="002C2088"/>
    <w:rsid w:val="002C2FE3"/>
    <w:rsid w:val="002C4749"/>
    <w:rsid w:val="002C4D8E"/>
    <w:rsid w:val="002D45C0"/>
    <w:rsid w:val="002D7D23"/>
    <w:rsid w:val="002E1C54"/>
    <w:rsid w:val="002E32B4"/>
    <w:rsid w:val="002E77D4"/>
    <w:rsid w:val="002E7FE8"/>
    <w:rsid w:val="002F033B"/>
    <w:rsid w:val="002F16D8"/>
    <w:rsid w:val="002F2545"/>
    <w:rsid w:val="002F4C6B"/>
    <w:rsid w:val="00300176"/>
    <w:rsid w:val="00310B26"/>
    <w:rsid w:val="00311E75"/>
    <w:rsid w:val="0031278B"/>
    <w:rsid w:val="00315E5C"/>
    <w:rsid w:val="00315FF5"/>
    <w:rsid w:val="00316186"/>
    <w:rsid w:val="003169F1"/>
    <w:rsid w:val="00317E69"/>
    <w:rsid w:val="003233AA"/>
    <w:rsid w:val="003248B4"/>
    <w:rsid w:val="00324A5D"/>
    <w:rsid w:val="0033273F"/>
    <w:rsid w:val="003333E0"/>
    <w:rsid w:val="003366C0"/>
    <w:rsid w:val="00341D41"/>
    <w:rsid w:val="0034223F"/>
    <w:rsid w:val="00343F57"/>
    <w:rsid w:val="00344A45"/>
    <w:rsid w:val="00350F82"/>
    <w:rsid w:val="00352217"/>
    <w:rsid w:val="003522A4"/>
    <w:rsid w:val="003522C3"/>
    <w:rsid w:val="0035359B"/>
    <w:rsid w:val="003537C1"/>
    <w:rsid w:val="00353D75"/>
    <w:rsid w:val="00356FAB"/>
    <w:rsid w:val="00357B1C"/>
    <w:rsid w:val="00362A1B"/>
    <w:rsid w:val="003644CA"/>
    <w:rsid w:val="00364A42"/>
    <w:rsid w:val="00365AF2"/>
    <w:rsid w:val="00370F7F"/>
    <w:rsid w:val="0037109E"/>
    <w:rsid w:val="00372B4E"/>
    <w:rsid w:val="00374A2B"/>
    <w:rsid w:val="00377E32"/>
    <w:rsid w:val="003804CD"/>
    <w:rsid w:val="00381A3F"/>
    <w:rsid w:val="00385421"/>
    <w:rsid w:val="003865B1"/>
    <w:rsid w:val="00387B30"/>
    <w:rsid w:val="0039250B"/>
    <w:rsid w:val="00395A8D"/>
    <w:rsid w:val="003A13FC"/>
    <w:rsid w:val="003A6756"/>
    <w:rsid w:val="003B0C03"/>
    <w:rsid w:val="003B1F9B"/>
    <w:rsid w:val="003B520E"/>
    <w:rsid w:val="003C2949"/>
    <w:rsid w:val="003C29DD"/>
    <w:rsid w:val="003C370C"/>
    <w:rsid w:val="003C642A"/>
    <w:rsid w:val="003D0F05"/>
    <w:rsid w:val="003D3027"/>
    <w:rsid w:val="003D312A"/>
    <w:rsid w:val="003D35D3"/>
    <w:rsid w:val="003D59A1"/>
    <w:rsid w:val="003D6415"/>
    <w:rsid w:val="003D6F11"/>
    <w:rsid w:val="003D7939"/>
    <w:rsid w:val="003E20DD"/>
    <w:rsid w:val="003E4C04"/>
    <w:rsid w:val="003E51BF"/>
    <w:rsid w:val="003E5803"/>
    <w:rsid w:val="003E5902"/>
    <w:rsid w:val="003F352F"/>
    <w:rsid w:val="003F3578"/>
    <w:rsid w:val="003F4165"/>
    <w:rsid w:val="003F6A7A"/>
    <w:rsid w:val="004005ED"/>
    <w:rsid w:val="00402F38"/>
    <w:rsid w:val="004032BD"/>
    <w:rsid w:val="004039BE"/>
    <w:rsid w:val="0040534A"/>
    <w:rsid w:val="004176A4"/>
    <w:rsid w:val="004204BE"/>
    <w:rsid w:val="004233C3"/>
    <w:rsid w:val="0042422B"/>
    <w:rsid w:val="004315A2"/>
    <w:rsid w:val="00431878"/>
    <w:rsid w:val="00431C1A"/>
    <w:rsid w:val="00434021"/>
    <w:rsid w:val="0043493E"/>
    <w:rsid w:val="00436FB2"/>
    <w:rsid w:val="004402AD"/>
    <w:rsid w:val="0044261A"/>
    <w:rsid w:val="004439DE"/>
    <w:rsid w:val="00444671"/>
    <w:rsid w:val="00444E42"/>
    <w:rsid w:val="00445C00"/>
    <w:rsid w:val="004513BB"/>
    <w:rsid w:val="004516F7"/>
    <w:rsid w:val="00460717"/>
    <w:rsid w:val="00461717"/>
    <w:rsid w:val="00463BB0"/>
    <w:rsid w:val="004675D9"/>
    <w:rsid w:val="00473899"/>
    <w:rsid w:val="004768D8"/>
    <w:rsid w:val="004800A1"/>
    <w:rsid w:val="00480D75"/>
    <w:rsid w:val="00483499"/>
    <w:rsid w:val="00483B6E"/>
    <w:rsid w:val="0048441E"/>
    <w:rsid w:val="00485FA2"/>
    <w:rsid w:val="004933D4"/>
    <w:rsid w:val="00493932"/>
    <w:rsid w:val="00495216"/>
    <w:rsid w:val="004969A9"/>
    <w:rsid w:val="004A4673"/>
    <w:rsid w:val="004A6857"/>
    <w:rsid w:val="004B1783"/>
    <w:rsid w:val="004B365D"/>
    <w:rsid w:val="004B4386"/>
    <w:rsid w:val="004C7E64"/>
    <w:rsid w:val="004D0F9A"/>
    <w:rsid w:val="004D2A03"/>
    <w:rsid w:val="004D3E54"/>
    <w:rsid w:val="004D42EC"/>
    <w:rsid w:val="004D47A4"/>
    <w:rsid w:val="004E00F8"/>
    <w:rsid w:val="004E4573"/>
    <w:rsid w:val="004E4E8D"/>
    <w:rsid w:val="004E5930"/>
    <w:rsid w:val="004E683A"/>
    <w:rsid w:val="004E683B"/>
    <w:rsid w:val="004E71C2"/>
    <w:rsid w:val="004E72CB"/>
    <w:rsid w:val="004F0874"/>
    <w:rsid w:val="004F1B4F"/>
    <w:rsid w:val="004F1F73"/>
    <w:rsid w:val="004F38AA"/>
    <w:rsid w:val="004F56AF"/>
    <w:rsid w:val="004F5A89"/>
    <w:rsid w:val="004F7B81"/>
    <w:rsid w:val="0050448A"/>
    <w:rsid w:val="0050593E"/>
    <w:rsid w:val="005103BA"/>
    <w:rsid w:val="00510E4C"/>
    <w:rsid w:val="005212CF"/>
    <w:rsid w:val="00521B58"/>
    <w:rsid w:val="005268C8"/>
    <w:rsid w:val="00532675"/>
    <w:rsid w:val="00535025"/>
    <w:rsid w:val="00537033"/>
    <w:rsid w:val="00540CB2"/>
    <w:rsid w:val="005425C7"/>
    <w:rsid w:val="0054309A"/>
    <w:rsid w:val="00543451"/>
    <w:rsid w:val="005505DC"/>
    <w:rsid w:val="00550CA5"/>
    <w:rsid w:val="00551342"/>
    <w:rsid w:val="00551F52"/>
    <w:rsid w:val="005524C9"/>
    <w:rsid w:val="005563DA"/>
    <w:rsid w:val="00561333"/>
    <w:rsid w:val="005661DC"/>
    <w:rsid w:val="00572925"/>
    <w:rsid w:val="00574DC8"/>
    <w:rsid w:val="00580054"/>
    <w:rsid w:val="00582A5C"/>
    <w:rsid w:val="00586838"/>
    <w:rsid w:val="00591160"/>
    <w:rsid w:val="00592CAE"/>
    <w:rsid w:val="00593CE9"/>
    <w:rsid w:val="005A020D"/>
    <w:rsid w:val="005A4596"/>
    <w:rsid w:val="005A5816"/>
    <w:rsid w:val="005A7972"/>
    <w:rsid w:val="005A7A3D"/>
    <w:rsid w:val="005B0766"/>
    <w:rsid w:val="005B3362"/>
    <w:rsid w:val="005B456C"/>
    <w:rsid w:val="005B6855"/>
    <w:rsid w:val="005C1766"/>
    <w:rsid w:val="005D0D04"/>
    <w:rsid w:val="005D68E2"/>
    <w:rsid w:val="005D6DEB"/>
    <w:rsid w:val="005D7601"/>
    <w:rsid w:val="005E4124"/>
    <w:rsid w:val="005E4B46"/>
    <w:rsid w:val="005E7979"/>
    <w:rsid w:val="005F449F"/>
    <w:rsid w:val="005F6915"/>
    <w:rsid w:val="005F734D"/>
    <w:rsid w:val="005F7EC9"/>
    <w:rsid w:val="0060078A"/>
    <w:rsid w:val="00604115"/>
    <w:rsid w:val="00605094"/>
    <w:rsid w:val="00605425"/>
    <w:rsid w:val="00614D4C"/>
    <w:rsid w:val="00616D47"/>
    <w:rsid w:val="00621AD7"/>
    <w:rsid w:val="00621E39"/>
    <w:rsid w:val="00621E8B"/>
    <w:rsid w:val="00622102"/>
    <w:rsid w:val="006272DC"/>
    <w:rsid w:val="00634309"/>
    <w:rsid w:val="006356BF"/>
    <w:rsid w:val="00637EDA"/>
    <w:rsid w:val="006411DC"/>
    <w:rsid w:val="00643EAB"/>
    <w:rsid w:val="0064733A"/>
    <w:rsid w:val="006504C0"/>
    <w:rsid w:val="00655DCE"/>
    <w:rsid w:val="006578B7"/>
    <w:rsid w:val="00657AE9"/>
    <w:rsid w:val="00657D42"/>
    <w:rsid w:val="006624E8"/>
    <w:rsid w:val="00662B49"/>
    <w:rsid w:val="006642F2"/>
    <w:rsid w:val="00664F7D"/>
    <w:rsid w:val="0066723D"/>
    <w:rsid w:val="00670D2E"/>
    <w:rsid w:val="0067240C"/>
    <w:rsid w:val="00673945"/>
    <w:rsid w:val="00684766"/>
    <w:rsid w:val="006847D0"/>
    <w:rsid w:val="00690B68"/>
    <w:rsid w:val="006924F7"/>
    <w:rsid w:val="00694740"/>
    <w:rsid w:val="006A0A29"/>
    <w:rsid w:val="006A2408"/>
    <w:rsid w:val="006A5AB7"/>
    <w:rsid w:val="006B0609"/>
    <w:rsid w:val="006B1B31"/>
    <w:rsid w:val="006B2606"/>
    <w:rsid w:val="006B3695"/>
    <w:rsid w:val="006C70E7"/>
    <w:rsid w:val="006C7F25"/>
    <w:rsid w:val="006D0FF2"/>
    <w:rsid w:val="006D6325"/>
    <w:rsid w:val="006E0AA8"/>
    <w:rsid w:val="006E5E7F"/>
    <w:rsid w:val="006E68D1"/>
    <w:rsid w:val="006E7361"/>
    <w:rsid w:val="006F02EA"/>
    <w:rsid w:val="006F3FEE"/>
    <w:rsid w:val="006F4207"/>
    <w:rsid w:val="006F4216"/>
    <w:rsid w:val="006F5B85"/>
    <w:rsid w:val="006F797A"/>
    <w:rsid w:val="00702067"/>
    <w:rsid w:val="0070227D"/>
    <w:rsid w:val="0070418E"/>
    <w:rsid w:val="00705019"/>
    <w:rsid w:val="00705178"/>
    <w:rsid w:val="0070771B"/>
    <w:rsid w:val="00707786"/>
    <w:rsid w:val="00710ACD"/>
    <w:rsid w:val="007118F7"/>
    <w:rsid w:val="00712511"/>
    <w:rsid w:val="00713669"/>
    <w:rsid w:val="00715755"/>
    <w:rsid w:val="007246EC"/>
    <w:rsid w:val="0072701D"/>
    <w:rsid w:val="00730595"/>
    <w:rsid w:val="00732523"/>
    <w:rsid w:val="00733D77"/>
    <w:rsid w:val="0073486C"/>
    <w:rsid w:val="00735EF4"/>
    <w:rsid w:val="00743410"/>
    <w:rsid w:val="007444DF"/>
    <w:rsid w:val="0074457B"/>
    <w:rsid w:val="00754EAE"/>
    <w:rsid w:val="0075561B"/>
    <w:rsid w:val="00760EA6"/>
    <w:rsid w:val="00763648"/>
    <w:rsid w:val="0076494E"/>
    <w:rsid w:val="00767227"/>
    <w:rsid w:val="00767B18"/>
    <w:rsid w:val="007738B2"/>
    <w:rsid w:val="00774496"/>
    <w:rsid w:val="00774CA6"/>
    <w:rsid w:val="007756FB"/>
    <w:rsid w:val="00783812"/>
    <w:rsid w:val="0078381A"/>
    <w:rsid w:val="00785F87"/>
    <w:rsid w:val="007875B9"/>
    <w:rsid w:val="00792AE4"/>
    <w:rsid w:val="0079351C"/>
    <w:rsid w:val="00795B3B"/>
    <w:rsid w:val="007961CD"/>
    <w:rsid w:val="007A230F"/>
    <w:rsid w:val="007A3750"/>
    <w:rsid w:val="007A5561"/>
    <w:rsid w:val="007A6B20"/>
    <w:rsid w:val="007A6DAC"/>
    <w:rsid w:val="007B17D8"/>
    <w:rsid w:val="007B342F"/>
    <w:rsid w:val="007B41B4"/>
    <w:rsid w:val="007C08CC"/>
    <w:rsid w:val="007C17D7"/>
    <w:rsid w:val="007C27E0"/>
    <w:rsid w:val="007D24F4"/>
    <w:rsid w:val="007D6131"/>
    <w:rsid w:val="007D62E2"/>
    <w:rsid w:val="007E7AF1"/>
    <w:rsid w:val="007F599B"/>
    <w:rsid w:val="008004E3"/>
    <w:rsid w:val="008017E8"/>
    <w:rsid w:val="0080364A"/>
    <w:rsid w:val="0081367E"/>
    <w:rsid w:val="00814F63"/>
    <w:rsid w:val="0081743A"/>
    <w:rsid w:val="008203B4"/>
    <w:rsid w:val="0082105B"/>
    <w:rsid w:val="008220A2"/>
    <w:rsid w:val="00822CC1"/>
    <w:rsid w:val="0082301E"/>
    <w:rsid w:val="0082478D"/>
    <w:rsid w:val="0082654E"/>
    <w:rsid w:val="00827512"/>
    <w:rsid w:val="00827BAC"/>
    <w:rsid w:val="00831E79"/>
    <w:rsid w:val="0083438F"/>
    <w:rsid w:val="00834B18"/>
    <w:rsid w:val="00837F94"/>
    <w:rsid w:val="008441C4"/>
    <w:rsid w:val="00845953"/>
    <w:rsid w:val="00851622"/>
    <w:rsid w:val="00851C23"/>
    <w:rsid w:val="00854E39"/>
    <w:rsid w:val="00855E24"/>
    <w:rsid w:val="0085794A"/>
    <w:rsid w:val="00860403"/>
    <w:rsid w:val="0086183C"/>
    <w:rsid w:val="00863DD7"/>
    <w:rsid w:val="00864BA4"/>
    <w:rsid w:val="00875895"/>
    <w:rsid w:val="008762B3"/>
    <w:rsid w:val="00880387"/>
    <w:rsid w:val="00881FE4"/>
    <w:rsid w:val="0088407F"/>
    <w:rsid w:val="00886750"/>
    <w:rsid w:val="00886ECA"/>
    <w:rsid w:val="008909C6"/>
    <w:rsid w:val="00891FAB"/>
    <w:rsid w:val="008923F1"/>
    <w:rsid w:val="00893A1B"/>
    <w:rsid w:val="00895353"/>
    <w:rsid w:val="008961E6"/>
    <w:rsid w:val="008970F4"/>
    <w:rsid w:val="008A0DC5"/>
    <w:rsid w:val="008B234A"/>
    <w:rsid w:val="008B2749"/>
    <w:rsid w:val="008B451C"/>
    <w:rsid w:val="008C28A7"/>
    <w:rsid w:val="008D06E4"/>
    <w:rsid w:val="008D1989"/>
    <w:rsid w:val="008D4CB3"/>
    <w:rsid w:val="008D58FE"/>
    <w:rsid w:val="008E0F2A"/>
    <w:rsid w:val="008E1F12"/>
    <w:rsid w:val="008E29D2"/>
    <w:rsid w:val="008E2D18"/>
    <w:rsid w:val="008E33EC"/>
    <w:rsid w:val="008E5E7B"/>
    <w:rsid w:val="008E7DC2"/>
    <w:rsid w:val="008F040F"/>
    <w:rsid w:val="008F0CCE"/>
    <w:rsid w:val="008F5185"/>
    <w:rsid w:val="008F7DF2"/>
    <w:rsid w:val="00901320"/>
    <w:rsid w:val="00901ACB"/>
    <w:rsid w:val="00905F7B"/>
    <w:rsid w:val="00906784"/>
    <w:rsid w:val="00906DD8"/>
    <w:rsid w:val="00910384"/>
    <w:rsid w:val="00911610"/>
    <w:rsid w:val="0091278B"/>
    <w:rsid w:val="00913A8A"/>
    <w:rsid w:val="00913C1A"/>
    <w:rsid w:val="009166A9"/>
    <w:rsid w:val="0091792B"/>
    <w:rsid w:val="009245FE"/>
    <w:rsid w:val="00925150"/>
    <w:rsid w:val="00925BC2"/>
    <w:rsid w:val="00925F42"/>
    <w:rsid w:val="009327FD"/>
    <w:rsid w:val="009332FA"/>
    <w:rsid w:val="00934026"/>
    <w:rsid w:val="00937E4E"/>
    <w:rsid w:val="0094385F"/>
    <w:rsid w:val="00944DB2"/>
    <w:rsid w:val="00950320"/>
    <w:rsid w:val="009518E6"/>
    <w:rsid w:val="009525A0"/>
    <w:rsid w:val="00952DDD"/>
    <w:rsid w:val="00954AE0"/>
    <w:rsid w:val="00954D03"/>
    <w:rsid w:val="009553B5"/>
    <w:rsid w:val="0095551A"/>
    <w:rsid w:val="00956C90"/>
    <w:rsid w:val="00956F17"/>
    <w:rsid w:val="0095714B"/>
    <w:rsid w:val="00957F74"/>
    <w:rsid w:val="0096081E"/>
    <w:rsid w:val="009628B0"/>
    <w:rsid w:val="00963204"/>
    <w:rsid w:val="00964AE8"/>
    <w:rsid w:val="00966AA9"/>
    <w:rsid w:val="009674B6"/>
    <w:rsid w:val="0097153F"/>
    <w:rsid w:val="009726C0"/>
    <w:rsid w:val="00972E0E"/>
    <w:rsid w:val="00976EF6"/>
    <w:rsid w:val="00977898"/>
    <w:rsid w:val="00977C98"/>
    <w:rsid w:val="00977DD4"/>
    <w:rsid w:val="00981B9B"/>
    <w:rsid w:val="00990ED9"/>
    <w:rsid w:val="009920E0"/>
    <w:rsid w:val="00994A1A"/>
    <w:rsid w:val="00996307"/>
    <w:rsid w:val="009967DF"/>
    <w:rsid w:val="009A1F3D"/>
    <w:rsid w:val="009A5034"/>
    <w:rsid w:val="009A549F"/>
    <w:rsid w:val="009B3027"/>
    <w:rsid w:val="009C3DFD"/>
    <w:rsid w:val="009D57FB"/>
    <w:rsid w:val="009D5827"/>
    <w:rsid w:val="009D6330"/>
    <w:rsid w:val="009F107E"/>
    <w:rsid w:val="009F1159"/>
    <w:rsid w:val="009F264A"/>
    <w:rsid w:val="009F2EC3"/>
    <w:rsid w:val="009F30F5"/>
    <w:rsid w:val="009F3CE6"/>
    <w:rsid w:val="009F4626"/>
    <w:rsid w:val="00A00266"/>
    <w:rsid w:val="00A03163"/>
    <w:rsid w:val="00A1123B"/>
    <w:rsid w:val="00A112E0"/>
    <w:rsid w:val="00A112ED"/>
    <w:rsid w:val="00A119B1"/>
    <w:rsid w:val="00A17519"/>
    <w:rsid w:val="00A2668A"/>
    <w:rsid w:val="00A274A7"/>
    <w:rsid w:val="00A31820"/>
    <w:rsid w:val="00A3208E"/>
    <w:rsid w:val="00A33D97"/>
    <w:rsid w:val="00A36353"/>
    <w:rsid w:val="00A421FA"/>
    <w:rsid w:val="00A44C40"/>
    <w:rsid w:val="00A54408"/>
    <w:rsid w:val="00A60324"/>
    <w:rsid w:val="00A643E2"/>
    <w:rsid w:val="00A65E39"/>
    <w:rsid w:val="00A67DCC"/>
    <w:rsid w:val="00A70A89"/>
    <w:rsid w:val="00A7372C"/>
    <w:rsid w:val="00A8168B"/>
    <w:rsid w:val="00A866B7"/>
    <w:rsid w:val="00A871AB"/>
    <w:rsid w:val="00A95C1E"/>
    <w:rsid w:val="00AA06B8"/>
    <w:rsid w:val="00AA0BFA"/>
    <w:rsid w:val="00AA1306"/>
    <w:rsid w:val="00AA24CF"/>
    <w:rsid w:val="00AA2FB9"/>
    <w:rsid w:val="00AA52BF"/>
    <w:rsid w:val="00AA6CCC"/>
    <w:rsid w:val="00AB01EB"/>
    <w:rsid w:val="00AB062A"/>
    <w:rsid w:val="00AB25B1"/>
    <w:rsid w:val="00AB4549"/>
    <w:rsid w:val="00AB57C7"/>
    <w:rsid w:val="00AC10EE"/>
    <w:rsid w:val="00AC2D30"/>
    <w:rsid w:val="00AC3A50"/>
    <w:rsid w:val="00AD0074"/>
    <w:rsid w:val="00AD10DA"/>
    <w:rsid w:val="00AD1C9F"/>
    <w:rsid w:val="00AD1EAE"/>
    <w:rsid w:val="00AD457D"/>
    <w:rsid w:val="00AD45E2"/>
    <w:rsid w:val="00AD5974"/>
    <w:rsid w:val="00AD769C"/>
    <w:rsid w:val="00AE27B2"/>
    <w:rsid w:val="00AE3F15"/>
    <w:rsid w:val="00AE4E30"/>
    <w:rsid w:val="00AE6FC8"/>
    <w:rsid w:val="00AF202D"/>
    <w:rsid w:val="00AF4308"/>
    <w:rsid w:val="00B003FF"/>
    <w:rsid w:val="00B00DC0"/>
    <w:rsid w:val="00B01232"/>
    <w:rsid w:val="00B014B5"/>
    <w:rsid w:val="00B02FFE"/>
    <w:rsid w:val="00B06465"/>
    <w:rsid w:val="00B10012"/>
    <w:rsid w:val="00B102E6"/>
    <w:rsid w:val="00B11710"/>
    <w:rsid w:val="00B30032"/>
    <w:rsid w:val="00B31059"/>
    <w:rsid w:val="00B31952"/>
    <w:rsid w:val="00B32A50"/>
    <w:rsid w:val="00B32A57"/>
    <w:rsid w:val="00B347FF"/>
    <w:rsid w:val="00B37458"/>
    <w:rsid w:val="00B41BA5"/>
    <w:rsid w:val="00B42F15"/>
    <w:rsid w:val="00B469E0"/>
    <w:rsid w:val="00B47C90"/>
    <w:rsid w:val="00B50153"/>
    <w:rsid w:val="00B5141F"/>
    <w:rsid w:val="00B51F10"/>
    <w:rsid w:val="00B52EEC"/>
    <w:rsid w:val="00B5568C"/>
    <w:rsid w:val="00B61681"/>
    <w:rsid w:val="00B61B3E"/>
    <w:rsid w:val="00B66F81"/>
    <w:rsid w:val="00B701BB"/>
    <w:rsid w:val="00B71218"/>
    <w:rsid w:val="00B76453"/>
    <w:rsid w:val="00B77EC5"/>
    <w:rsid w:val="00B80745"/>
    <w:rsid w:val="00B83D96"/>
    <w:rsid w:val="00B86095"/>
    <w:rsid w:val="00B86A28"/>
    <w:rsid w:val="00B86DA6"/>
    <w:rsid w:val="00B90D48"/>
    <w:rsid w:val="00B93680"/>
    <w:rsid w:val="00B94BFC"/>
    <w:rsid w:val="00B97391"/>
    <w:rsid w:val="00BA079A"/>
    <w:rsid w:val="00BA1299"/>
    <w:rsid w:val="00BA7295"/>
    <w:rsid w:val="00BA79D6"/>
    <w:rsid w:val="00BB060F"/>
    <w:rsid w:val="00BB2B35"/>
    <w:rsid w:val="00BB389E"/>
    <w:rsid w:val="00BB4655"/>
    <w:rsid w:val="00BB7F58"/>
    <w:rsid w:val="00BC24BC"/>
    <w:rsid w:val="00BC32A1"/>
    <w:rsid w:val="00BC4218"/>
    <w:rsid w:val="00BC5876"/>
    <w:rsid w:val="00BC5A5C"/>
    <w:rsid w:val="00BC6C72"/>
    <w:rsid w:val="00BD2ABC"/>
    <w:rsid w:val="00BD568B"/>
    <w:rsid w:val="00BE6B32"/>
    <w:rsid w:val="00BF2451"/>
    <w:rsid w:val="00BF7E8F"/>
    <w:rsid w:val="00C01672"/>
    <w:rsid w:val="00C03A87"/>
    <w:rsid w:val="00C03C7B"/>
    <w:rsid w:val="00C119BF"/>
    <w:rsid w:val="00C14259"/>
    <w:rsid w:val="00C1653F"/>
    <w:rsid w:val="00C20A48"/>
    <w:rsid w:val="00C21036"/>
    <w:rsid w:val="00C21E38"/>
    <w:rsid w:val="00C2458E"/>
    <w:rsid w:val="00C247C7"/>
    <w:rsid w:val="00C248C3"/>
    <w:rsid w:val="00C24946"/>
    <w:rsid w:val="00C36BFE"/>
    <w:rsid w:val="00C372FF"/>
    <w:rsid w:val="00C41059"/>
    <w:rsid w:val="00C4361B"/>
    <w:rsid w:val="00C453A0"/>
    <w:rsid w:val="00C4577B"/>
    <w:rsid w:val="00C47067"/>
    <w:rsid w:val="00C57691"/>
    <w:rsid w:val="00C60CA1"/>
    <w:rsid w:val="00C70D26"/>
    <w:rsid w:val="00C733FB"/>
    <w:rsid w:val="00C74583"/>
    <w:rsid w:val="00C80266"/>
    <w:rsid w:val="00C837B1"/>
    <w:rsid w:val="00C83C8A"/>
    <w:rsid w:val="00C84851"/>
    <w:rsid w:val="00C8599E"/>
    <w:rsid w:val="00C86474"/>
    <w:rsid w:val="00C86AC2"/>
    <w:rsid w:val="00C87E1E"/>
    <w:rsid w:val="00C92FA7"/>
    <w:rsid w:val="00C93D4E"/>
    <w:rsid w:val="00C95215"/>
    <w:rsid w:val="00C95BC6"/>
    <w:rsid w:val="00CA0B60"/>
    <w:rsid w:val="00CA0EFC"/>
    <w:rsid w:val="00CA1D0B"/>
    <w:rsid w:val="00CA23A1"/>
    <w:rsid w:val="00CA3FFA"/>
    <w:rsid w:val="00CA6027"/>
    <w:rsid w:val="00CB3C74"/>
    <w:rsid w:val="00CC1F8B"/>
    <w:rsid w:val="00CC2DFB"/>
    <w:rsid w:val="00CC6C3B"/>
    <w:rsid w:val="00CD136A"/>
    <w:rsid w:val="00CD1A98"/>
    <w:rsid w:val="00CE34C4"/>
    <w:rsid w:val="00CF0646"/>
    <w:rsid w:val="00CF1EE8"/>
    <w:rsid w:val="00CF49E6"/>
    <w:rsid w:val="00CF7A66"/>
    <w:rsid w:val="00D02168"/>
    <w:rsid w:val="00D0228D"/>
    <w:rsid w:val="00D065CD"/>
    <w:rsid w:val="00D06610"/>
    <w:rsid w:val="00D11204"/>
    <w:rsid w:val="00D121CD"/>
    <w:rsid w:val="00D14FA6"/>
    <w:rsid w:val="00D15196"/>
    <w:rsid w:val="00D206CA"/>
    <w:rsid w:val="00D22A95"/>
    <w:rsid w:val="00D24DB6"/>
    <w:rsid w:val="00D2637D"/>
    <w:rsid w:val="00D26D28"/>
    <w:rsid w:val="00D3032B"/>
    <w:rsid w:val="00D322EE"/>
    <w:rsid w:val="00D33103"/>
    <w:rsid w:val="00D33476"/>
    <w:rsid w:val="00D338CE"/>
    <w:rsid w:val="00D34476"/>
    <w:rsid w:val="00D36D69"/>
    <w:rsid w:val="00D46934"/>
    <w:rsid w:val="00D47457"/>
    <w:rsid w:val="00D55D45"/>
    <w:rsid w:val="00D56C33"/>
    <w:rsid w:val="00D617C3"/>
    <w:rsid w:val="00D62E82"/>
    <w:rsid w:val="00D62F75"/>
    <w:rsid w:val="00D71F63"/>
    <w:rsid w:val="00D722A3"/>
    <w:rsid w:val="00D74CB9"/>
    <w:rsid w:val="00D80861"/>
    <w:rsid w:val="00D85252"/>
    <w:rsid w:val="00D85365"/>
    <w:rsid w:val="00D874C6"/>
    <w:rsid w:val="00D90902"/>
    <w:rsid w:val="00D9221E"/>
    <w:rsid w:val="00DA236D"/>
    <w:rsid w:val="00DA3CD8"/>
    <w:rsid w:val="00DB2728"/>
    <w:rsid w:val="00DB2F0D"/>
    <w:rsid w:val="00DB3D37"/>
    <w:rsid w:val="00DC0F0D"/>
    <w:rsid w:val="00DC4987"/>
    <w:rsid w:val="00DC4CB6"/>
    <w:rsid w:val="00DC4FE4"/>
    <w:rsid w:val="00DC5524"/>
    <w:rsid w:val="00DD6A07"/>
    <w:rsid w:val="00DD7DD5"/>
    <w:rsid w:val="00DE0521"/>
    <w:rsid w:val="00DE0625"/>
    <w:rsid w:val="00DE2E56"/>
    <w:rsid w:val="00DE2ECC"/>
    <w:rsid w:val="00DE3D90"/>
    <w:rsid w:val="00DE43F0"/>
    <w:rsid w:val="00DE773A"/>
    <w:rsid w:val="00DF2D9F"/>
    <w:rsid w:val="00DF46E4"/>
    <w:rsid w:val="00DF626B"/>
    <w:rsid w:val="00E066A7"/>
    <w:rsid w:val="00E11D6B"/>
    <w:rsid w:val="00E158EC"/>
    <w:rsid w:val="00E15A58"/>
    <w:rsid w:val="00E15B52"/>
    <w:rsid w:val="00E171AB"/>
    <w:rsid w:val="00E20C1A"/>
    <w:rsid w:val="00E216D2"/>
    <w:rsid w:val="00E23302"/>
    <w:rsid w:val="00E23AD8"/>
    <w:rsid w:val="00E23B93"/>
    <w:rsid w:val="00E316DA"/>
    <w:rsid w:val="00E31C53"/>
    <w:rsid w:val="00E33008"/>
    <w:rsid w:val="00E341B5"/>
    <w:rsid w:val="00E41624"/>
    <w:rsid w:val="00E44A3C"/>
    <w:rsid w:val="00E516D0"/>
    <w:rsid w:val="00E51879"/>
    <w:rsid w:val="00E55A14"/>
    <w:rsid w:val="00E56650"/>
    <w:rsid w:val="00E60D8F"/>
    <w:rsid w:val="00E627AD"/>
    <w:rsid w:val="00E62C49"/>
    <w:rsid w:val="00E63872"/>
    <w:rsid w:val="00E6688C"/>
    <w:rsid w:val="00E67414"/>
    <w:rsid w:val="00E74D8B"/>
    <w:rsid w:val="00E76A80"/>
    <w:rsid w:val="00E80500"/>
    <w:rsid w:val="00E814DC"/>
    <w:rsid w:val="00E9404E"/>
    <w:rsid w:val="00E94902"/>
    <w:rsid w:val="00EA0699"/>
    <w:rsid w:val="00EA1287"/>
    <w:rsid w:val="00EA545A"/>
    <w:rsid w:val="00EA5FA1"/>
    <w:rsid w:val="00EA7488"/>
    <w:rsid w:val="00EA7F8E"/>
    <w:rsid w:val="00EB1818"/>
    <w:rsid w:val="00EB56E4"/>
    <w:rsid w:val="00EC03AE"/>
    <w:rsid w:val="00EC41FC"/>
    <w:rsid w:val="00EC433B"/>
    <w:rsid w:val="00EC49BB"/>
    <w:rsid w:val="00EC5D32"/>
    <w:rsid w:val="00EC7CDB"/>
    <w:rsid w:val="00ED2B32"/>
    <w:rsid w:val="00EE12D0"/>
    <w:rsid w:val="00EE189E"/>
    <w:rsid w:val="00EF06E7"/>
    <w:rsid w:val="00EF0B31"/>
    <w:rsid w:val="00EF26C4"/>
    <w:rsid w:val="00EF30CC"/>
    <w:rsid w:val="00EF64F1"/>
    <w:rsid w:val="00F02BE8"/>
    <w:rsid w:val="00F0480D"/>
    <w:rsid w:val="00F06673"/>
    <w:rsid w:val="00F0773C"/>
    <w:rsid w:val="00F114FB"/>
    <w:rsid w:val="00F12373"/>
    <w:rsid w:val="00F21E2B"/>
    <w:rsid w:val="00F2425A"/>
    <w:rsid w:val="00F324B9"/>
    <w:rsid w:val="00F41E46"/>
    <w:rsid w:val="00F42203"/>
    <w:rsid w:val="00F43911"/>
    <w:rsid w:val="00F44E52"/>
    <w:rsid w:val="00F50E37"/>
    <w:rsid w:val="00F56B17"/>
    <w:rsid w:val="00F62C17"/>
    <w:rsid w:val="00F64CE6"/>
    <w:rsid w:val="00F65706"/>
    <w:rsid w:val="00F65A41"/>
    <w:rsid w:val="00F67A98"/>
    <w:rsid w:val="00F74912"/>
    <w:rsid w:val="00F74B9D"/>
    <w:rsid w:val="00F779A3"/>
    <w:rsid w:val="00F803C4"/>
    <w:rsid w:val="00F811A1"/>
    <w:rsid w:val="00F85A03"/>
    <w:rsid w:val="00F86842"/>
    <w:rsid w:val="00F90B5F"/>
    <w:rsid w:val="00F9585D"/>
    <w:rsid w:val="00F95EFC"/>
    <w:rsid w:val="00F97F4A"/>
    <w:rsid w:val="00FA1AAC"/>
    <w:rsid w:val="00FA1ADB"/>
    <w:rsid w:val="00FA4363"/>
    <w:rsid w:val="00FA6191"/>
    <w:rsid w:val="00FA6E40"/>
    <w:rsid w:val="00FA722B"/>
    <w:rsid w:val="00FA728C"/>
    <w:rsid w:val="00FB003B"/>
    <w:rsid w:val="00FB2E46"/>
    <w:rsid w:val="00FC735C"/>
    <w:rsid w:val="00FD0B0A"/>
    <w:rsid w:val="00FD13B6"/>
    <w:rsid w:val="00FD5E76"/>
    <w:rsid w:val="00FD6F89"/>
    <w:rsid w:val="00FE11F0"/>
    <w:rsid w:val="00FE396F"/>
    <w:rsid w:val="00FE6664"/>
    <w:rsid w:val="00FE779F"/>
    <w:rsid w:val="00FE7BA6"/>
    <w:rsid w:val="00FF11E8"/>
    <w:rsid w:val="00FF2D35"/>
    <w:rsid w:val="00FF593A"/>
    <w:rsid w:val="00FF67C4"/>
    <w:rsid w:val="00FF6FF2"/>
    <w:rsid w:val="00FF735C"/>
    <w:rsid w:val="00FF746E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83C7AA1-F3E6-40DA-BC1A-2881A5A4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B4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1B4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F1B4F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F1B4F"/>
  </w:style>
  <w:style w:type="paragraph" w:customStyle="1" w:styleId="naisf">
    <w:name w:val="naisf"/>
    <w:basedOn w:val="Normal"/>
    <w:rsid w:val="004F1B4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F1B4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4F1B4F"/>
    <w:pPr>
      <w:spacing w:before="75" w:after="75"/>
      <w:jc w:val="right"/>
    </w:pPr>
  </w:style>
  <w:style w:type="paragraph" w:customStyle="1" w:styleId="naiskr">
    <w:name w:val="naiskr"/>
    <w:basedOn w:val="Normal"/>
    <w:rsid w:val="004F1B4F"/>
    <w:pPr>
      <w:spacing w:before="75" w:after="75"/>
    </w:pPr>
  </w:style>
  <w:style w:type="paragraph" w:customStyle="1" w:styleId="naisc">
    <w:name w:val="naisc"/>
    <w:basedOn w:val="Normal"/>
    <w:uiPriority w:val="99"/>
    <w:rsid w:val="004F1B4F"/>
    <w:pPr>
      <w:spacing w:before="75" w:after="75"/>
      <w:jc w:val="center"/>
    </w:pPr>
  </w:style>
  <w:style w:type="character" w:customStyle="1" w:styleId="apple-style-span">
    <w:name w:val="apple-style-span"/>
    <w:basedOn w:val="DefaultParagraphFont"/>
    <w:rsid w:val="004F1B4F"/>
  </w:style>
  <w:style w:type="paragraph" w:styleId="NormalWeb">
    <w:name w:val="Normal (Web)"/>
    <w:basedOn w:val="Normal"/>
    <w:uiPriority w:val="99"/>
    <w:rsid w:val="004F1B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1B4F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94A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94A1A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7756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6F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75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8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5879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1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4146"/>
    <w:rPr>
      <w:rFonts w:eastAsia="Times New Roman" w:cs="Times New Roman"/>
      <w:b/>
      <w:bCs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7444DF"/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7444DF"/>
    <w:rPr>
      <w:rFonts w:eastAsia="Calibri" w:cs="Times New Roman"/>
      <w:sz w:val="20"/>
      <w:szCs w:val="20"/>
    </w:rPr>
  </w:style>
  <w:style w:type="character" w:styleId="FootnoteReference">
    <w:name w:val="footnote reference"/>
    <w:unhideWhenUsed/>
    <w:rsid w:val="007444DF"/>
    <w:rPr>
      <w:vertAlign w:val="superscript"/>
    </w:rPr>
  </w:style>
  <w:style w:type="character" w:styleId="Emphasis">
    <w:name w:val="Emphasis"/>
    <w:uiPriority w:val="20"/>
    <w:qFormat/>
    <w:rsid w:val="007444DF"/>
    <w:rPr>
      <w:i/>
      <w:iCs/>
    </w:rPr>
  </w:style>
  <w:style w:type="character" w:customStyle="1" w:styleId="BodyText1">
    <w:name w:val="Body Text1"/>
    <w:rsid w:val="006F4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lv-LV" w:eastAsia="lv-LV" w:bidi="lv-LV"/>
    </w:rPr>
  </w:style>
  <w:style w:type="paragraph" w:styleId="Revision">
    <w:name w:val="Revision"/>
    <w:hidden/>
    <w:uiPriority w:val="99"/>
    <w:semiHidden/>
    <w:rsid w:val="00E814DC"/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66F81"/>
  </w:style>
  <w:style w:type="paragraph" w:customStyle="1" w:styleId="considrant">
    <w:name w:val="considrant"/>
    <w:basedOn w:val="Normal"/>
    <w:uiPriority w:val="99"/>
    <w:rsid w:val="00256793"/>
    <w:pPr>
      <w:spacing w:before="120" w:after="12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459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343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76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37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Gaile@vi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6A3D-330F-43FC-A103-46003181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4977</Words>
  <Characters>2837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dabasgāzes apriti un akcīzes nodokļa piemērošanas kārtību” sākotnējās ietekmes novērtējuma ziņojums (anotācija)</vt:lpstr>
    </vt:vector>
  </TitlesOfParts>
  <Manager>G.Pužule</Manager>
  <Company>Finanšu ministrija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2010.gada 30.marta noteikumos Nr.300 "Noteikumi par akcīzes nodokļa deklarācijas veidlapām un to aizpildīšanas kārtību"" sākotnējās ietekmes novērtējuma ziņojums (anotācija)</dc:title>
  <dc:subject>anotācija</dc:subject>
  <dc:creator>Sandra Gaile</dc:creator>
  <cp:keywords/>
  <dc:description>Sandra Gaile, e-pasts:
Sandra.Gaile@vid.gov.lv
T:67102166</dc:description>
  <cp:lastModifiedBy>Sandra Gaile</cp:lastModifiedBy>
  <cp:revision>9</cp:revision>
  <cp:lastPrinted>2017-03-23T15:40:00Z</cp:lastPrinted>
  <dcterms:created xsi:type="dcterms:W3CDTF">2017-05-11T12:32:00Z</dcterms:created>
  <dcterms:modified xsi:type="dcterms:W3CDTF">2017-05-17T12:33:00Z</dcterms:modified>
</cp:coreProperties>
</file>