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C1431" w14:textId="77777777" w:rsidR="0049772C" w:rsidRPr="00A02A6C" w:rsidRDefault="0049772C" w:rsidP="0049772C">
      <w:pPr>
        <w:pStyle w:val="naisf"/>
        <w:spacing w:before="0" w:beforeAutospacing="0" w:after="0" w:afterAutospacing="0"/>
        <w:jc w:val="right"/>
        <w:rPr>
          <w:rFonts w:eastAsia="Calibri"/>
          <w:bCs/>
          <w:i/>
          <w:sz w:val="28"/>
          <w:szCs w:val="28"/>
          <w:lang w:eastAsia="x-none"/>
        </w:rPr>
      </w:pPr>
      <w:bookmarkStart w:id="0" w:name="_GoBack"/>
      <w:bookmarkEnd w:id="0"/>
      <w:r w:rsidRPr="00A02A6C">
        <w:rPr>
          <w:rFonts w:eastAsia="Calibri"/>
          <w:bCs/>
          <w:i/>
          <w:sz w:val="28"/>
          <w:szCs w:val="28"/>
          <w:lang w:eastAsia="x-none"/>
        </w:rPr>
        <w:t>Projekts</w:t>
      </w:r>
    </w:p>
    <w:p w14:paraId="686F47EE" w14:textId="77777777" w:rsidR="00A02A6C" w:rsidRDefault="00A02A6C" w:rsidP="0030306F">
      <w:pPr>
        <w:pStyle w:val="naisf"/>
        <w:spacing w:before="0" w:beforeAutospacing="0" w:after="0" w:afterAutospacing="0"/>
        <w:jc w:val="center"/>
        <w:rPr>
          <w:rFonts w:eastAsia="Calibri"/>
          <w:b/>
          <w:bCs/>
          <w:sz w:val="28"/>
          <w:szCs w:val="28"/>
          <w:lang w:eastAsia="x-none"/>
        </w:rPr>
      </w:pPr>
    </w:p>
    <w:p w14:paraId="10277524" w14:textId="77777777" w:rsidR="00A02A6C" w:rsidRDefault="00A02A6C" w:rsidP="0030306F">
      <w:pPr>
        <w:pStyle w:val="naisf"/>
        <w:spacing w:before="0" w:beforeAutospacing="0" w:after="0" w:afterAutospacing="0"/>
        <w:jc w:val="center"/>
        <w:rPr>
          <w:rFonts w:eastAsia="Calibri"/>
          <w:b/>
          <w:bCs/>
          <w:sz w:val="28"/>
          <w:szCs w:val="28"/>
          <w:lang w:eastAsia="x-none"/>
        </w:rPr>
      </w:pPr>
    </w:p>
    <w:p w14:paraId="54C5AD56" w14:textId="77777777" w:rsidR="0030306F" w:rsidRPr="005528BE" w:rsidRDefault="0030306F" w:rsidP="0030306F">
      <w:pPr>
        <w:pStyle w:val="naisf"/>
        <w:spacing w:before="0" w:beforeAutospacing="0" w:after="0" w:afterAutospacing="0"/>
        <w:jc w:val="center"/>
        <w:rPr>
          <w:rFonts w:eastAsia="Calibri"/>
          <w:b/>
          <w:bCs/>
          <w:sz w:val="28"/>
          <w:szCs w:val="28"/>
          <w:lang w:eastAsia="x-none"/>
        </w:rPr>
      </w:pPr>
      <w:r w:rsidRPr="005528BE">
        <w:rPr>
          <w:rFonts w:eastAsia="Calibri"/>
          <w:b/>
          <w:bCs/>
          <w:sz w:val="28"/>
          <w:szCs w:val="28"/>
          <w:lang w:eastAsia="x-none"/>
        </w:rPr>
        <w:t xml:space="preserve">Likumprojekta „Grozījumi likumā „Par </w:t>
      </w:r>
      <w:r w:rsidR="00246FB7" w:rsidRPr="005528BE">
        <w:rPr>
          <w:rFonts w:eastAsia="Calibri"/>
          <w:b/>
          <w:bCs/>
          <w:sz w:val="28"/>
          <w:szCs w:val="28"/>
          <w:lang w:eastAsia="x-none"/>
        </w:rPr>
        <w:t>grāmatvedību</w:t>
      </w:r>
      <w:r w:rsidRPr="005528BE">
        <w:rPr>
          <w:rFonts w:eastAsia="Calibri"/>
          <w:b/>
          <w:bCs/>
          <w:sz w:val="28"/>
          <w:szCs w:val="28"/>
          <w:lang w:eastAsia="x-none"/>
        </w:rPr>
        <w:t>”” sākotnējās ietekmes novērtējuma ziņojums (anotācija)</w:t>
      </w:r>
    </w:p>
    <w:p w14:paraId="3E978C1E" w14:textId="77777777" w:rsidR="0030306F" w:rsidRPr="00214707" w:rsidRDefault="0030306F" w:rsidP="0030306F">
      <w:pPr>
        <w:pStyle w:val="naisf"/>
        <w:spacing w:before="0" w:beforeAutospacing="0" w:after="0" w:afterAutospacing="0"/>
        <w:jc w:val="center"/>
        <w:rPr>
          <w:b/>
        </w:rPr>
      </w:pPr>
    </w:p>
    <w:tbl>
      <w:tblPr>
        <w:tblpPr w:leftFromText="180" w:rightFromText="180" w:vertAnchor="text" w:horzAnchor="margin" w:tblpXSpec="center" w:tblpY="149"/>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0"/>
        <w:gridCol w:w="2407"/>
        <w:gridCol w:w="6676"/>
      </w:tblGrid>
      <w:tr w:rsidR="0030306F" w:rsidRPr="005528BE" w14:paraId="7CBCE0E7" w14:textId="77777777" w:rsidTr="004507B2">
        <w:trPr>
          <w:trHeight w:val="419"/>
        </w:trPr>
        <w:tc>
          <w:tcPr>
            <w:tcW w:w="5000" w:type="pct"/>
            <w:gridSpan w:val="3"/>
            <w:vAlign w:val="center"/>
          </w:tcPr>
          <w:p w14:paraId="56E72680" w14:textId="77777777" w:rsidR="0030306F" w:rsidRPr="009F6788" w:rsidRDefault="0030306F" w:rsidP="00E55447">
            <w:pPr>
              <w:pStyle w:val="naisnod"/>
              <w:spacing w:before="0" w:beforeAutospacing="0" w:after="0" w:afterAutospacing="0"/>
              <w:ind w:right="57"/>
              <w:jc w:val="center"/>
              <w:rPr>
                <w:b/>
                <w:sz w:val="26"/>
                <w:szCs w:val="26"/>
              </w:rPr>
            </w:pPr>
            <w:r w:rsidRPr="009F6788">
              <w:rPr>
                <w:b/>
                <w:sz w:val="26"/>
                <w:szCs w:val="26"/>
              </w:rPr>
              <w:t>I. Tiesību akta projekta izstrādes nepieciešamība</w:t>
            </w:r>
          </w:p>
        </w:tc>
      </w:tr>
      <w:tr w:rsidR="0030306F" w:rsidRPr="00CD0F27" w14:paraId="1D9DDB74" w14:textId="77777777" w:rsidTr="004507B2">
        <w:trPr>
          <w:trHeight w:val="415"/>
        </w:trPr>
        <w:tc>
          <w:tcPr>
            <w:tcW w:w="226" w:type="pct"/>
          </w:tcPr>
          <w:p w14:paraId="750CE70A" w14:textId="77777777" w:rsidR="0030306F" w:rsidRPr="00CD0F27" w:rsidRDefault="0030306F" w:rsidP="00E55447">
            <w:pPr>
              <w:pStyle w:val="naiskr"/>
              <w:spacing w:before="0" w:beforeAutospacing="0" w:after="0" w:afterAutospacing="0"/>
              <w:ind w:right="57"/>
              <w:jc w:val="center"/>
            </w:pPr>
            <w:r w:rsidRPr="00CD0F27">
              <w:t>1.</w:t>
            </w:r>
          </w:p>
        </w:tc>
        <w:tc>
          <w:tcPr>
            <w:tcW w:w="1265" w:type="pct"/>
          </w:tcPr>
          <w:p w14:paraId="0B0864D8" w14:textId="77777777" w:rsidR="0030306F" w:rsidRPr="00CD0F27" w:rsidRDefault="0030306F" w:rsidP="00E55447">
            <w:pPr>
              <w:pStyle w:val="naiskr"/>
              <w:spacing w:before="0" w:beforeAutospacing="0" w:after="0" w:afterAutospacing="0"/>
              <w:ind w:right="57"/>
              <w:jc w:val="both"/>
            </w:pPr>
            <w:r w:rsidRPr="00CD0F27">
              <w:t>Pamatojums</w:t>
            </w:r>
          </w:p>
          <w:p w14:paraId="5C116FD5" w14:textId="77777777" w:rsidR="0030306F" w:rsidRPr="00E555F4" w:rsidRDefault="0030306F" w:rsidP="00E55447">
            <w:pPr>
              <w:jc w:val="center"/>
              <w:rPr>
                <w:rFonts w:ascii="Times New Roman" w:hAnsi="Times New Roman"/>
                <w:sz w:val="24"/>
                <w:szCs w:val="24"/>
                <w:lang w:eastAsia="lv-LV"/>
              </w:rPr>
            </w:pPr>
          </w:p>
        </w:tc>
        <w:tc>
          <w:tcPr>
            <w:tcW w:w="3508" w:type="pct"/>
          </w:tcPr>
          <w:p w14:paraId="23FC3584" w14:textId="77777777" w:rsidR="00050325" w:rsidRPr="00CD0F27" w:rsidRDefault="0030306F" w:rsidP="004269D4">
            <w:pPr>
              <w:spacing w:after="0" w:line="240" w:lineRule="auto"/>
              <w:ind w:right="130" w:firstLine="284"/>
              <w:contextualSpacing/>
              <w:jc w:val="both"/>
              <w:rPr>
                <w:rFonts w:ascii="Times New Roman" w:hAnsi="Times New Roman"/>
                <w:sz w:val="24"/>
                <w:szCs w:val="24"/>
                <w:lang w:eastAsia="lv-LV"/>
              </w:rPr>
            </w:pPr>
            <w:r w:rsidRPr="00CD0F27">
              <w:rPr>
                <w:rFonts w:ascii="Times New Roman" w:hAnsi="Times New Roman"/>
                <w:sz w:val="24"/>
                <w:szCs w:val="24"/>
              </w:rPr>
              <w:t xml:space="preserve">Likumprojekts </w:t>
            </w:r>
            <w:r w:rsidR="008650B0" w:rsidRPr="00CD0F27">
              <w:rPr>
                <w:rFonts w:ascii="Times New Roman" w:hAnsi="Times New Roman"/>
                <w:sz w:val="24"/>
                <w:szCs w:val="24"/>
              </w:rPr>
              <w:t>“Grozījumi likumā “Par grāmatvedību</w:t>
            </w:r>
            <w:r w:rsidR="00131EC0" w:rsidRPr="00112B40">
              <w:rPr>
                <w:rFonts w:ascii="Times New Roman" w:hAnsi="Times New Roman"/>
                <w:sz w:val="24"/>
                <w:szCs w:val="24"/>
              </w:rPr>
              <w:t xml:space="preserve">”” (turpmāk – likumprojekts) </w:t>
            </w:r>
            <w:r w:rsidR="003F0417" w:rsidRPr="00A015EC">
              <w:rPr>
                <w:rFonts w:ascii="Times New Roman" w:hAnsi="Times New Roman"/>
                <w:sz w:val="24"/>
                <w:szCs w:val="24"/>
              </w:rPr>
              <w:t xml:space="preserve">sagatavots atbilstoši </w:t>
            </w:r>
            <w:r w:rsidR="002C4399" w:rsidRPr="00E11B56">
              <w:rPr>
                <w:rFonts w:ascii="Times New Roman" w:hAnsi="Times New Roman"/>
                <w:sz w:val="24"/>
                <w:szCs w:val="24"/>
              </w:rPr>
              <w:t>Ministru kabineta 2014.gada 22.aprīļa sēdes protokol</w:t>
            </w:r>
            <w:r w:rsidR="003F0417" w:rsidRPr="00E11B56">
              <w:rPr>
                <w:rFonts w:ascii="Times New Roman" w:hAnsi="Times New Roman"/>
                <w:sz w:val="24"/>
                <w:szCs w:val="24"/>
              </w:rPr>
              <w:t>a</w:t>
            </w:r>
            <w:r w:rsidR="002C4399" w:rsidRPr="00E11B56">
              <w:rPr>
                <w:rFonts w:ascii="Times New Roman" w:hAnsi="Times New Roman"/>
                <w:sz w:val="24"/>
                <w:szCs w:val="24"/>
              </w:rPr>
              <w:t xml:space="preserve"> Nr.24 26.§ “Informatīvais ziņojums “Nozaru administratīvo pārkāpumu kodifikācijas ieviešanas sistēma””</w:t>
            </w:r>
            <w:r w:rsidR="003F0417" w:rsidRPr="00CD0F27">
              <w:rPr>
                <w:rFonts w:ascii="Times New Roman" w:hAnsi="Times New Roman"/>
                <w:sz w:val="24"/>
                <w:szCs w:val="24"/>
              </w:rPr>
              <w:t xml:space="preserve"> </w:t>
            </w:r>
            <w:r w:rsidR="004269D4" w:rsidRPr="00EE3407">
              <w:rPr>
                <w:rFonts w:ascii="Times New Roman" w:hAnsi="Times New Roman"/>
                <w:sz w:val="24"/>
                <w:szCs w:val="24"/>
              </w:rPr>
              <w:t xml:space="preserve">(turpmāk – </w:t>
            </w:r>
            <w:proofErr w:type="spellStart"/>
            <w:r w:rsidR="004269D4" w:rsidRPr="00EE3407">
              <w:rPr>
                <w:rFonts w:ascii="Times New Roman" w:hAnsi="Times New Roman"/>
                <w:sz w:val="24"/>
                <w:szCs w:val="24"/>
              </w:rPr>
              <w:t>Protokollēmums</w:t>
            </w:r>
            <w:proofErr w:type="spellEnd"/>
            <w:r w:rsidR="004269D4" w:rsidRPr="00EE3407">
              <w:rPr>
                <w:rFonts w:ascii="Times New Roman" w:hAnsi="Times New Roman"/>
                <w:sz w:val="24"/>
                <w:szCs w:val="24"/>
              </w:rPr>
              <w:t>)</w:t>
            </w:r>
            <w:r w:rsidR="004269D4">
              <w:rPr>
                <w:rFonts w:ascii="Times New Roman" w:hAnsi="Times New Roman"/>
                <w:sz w:val="24"/>
                <w:szCs w:val="24"/>
              </w:rPr>
              <w:t xml:space="preserve"> </w:t>
            </w:r>
            <w:r w:rsidR="003F0417" w:rsidRPr="00CD0F27">
              <w:rPr>
                <w:rFonts w:ascii="Times New Roman" w:hAnsi="Times New Roman"/>
                <w:sz w:val="24"/>
                <w:szCs w:val="24"/>
              </w:rPr>
              <w:t>2.p</w:t>
            </w:r>
            <w:r w:rsidR="00902F18" w:rsidRPr="00CD0F27">
              <w:rPr>
                <w:rFonts w:ascii="Times New Roman" w:hAnsi="Times New Roman"/>
                <w:sz w:val="24"/>
                <w:szCs w:val="24"/>
              </w:rPr>
              <w:t>u</w:t>
            </w:r>
            <w:r w:rsidR="003F0417" w:rsidRPr="00CD0F27">
              <w:rPr>
                <w:rFonts w:ascii="Times New Roman" w:hAnsi="Times New Roman"/>
                <w:sz w:val="24"/>
                <w:szCs w:val="24"/>
              </w:rPr>
              <w:t>nktā dotajam uzdevumam un, ņemot vērā Ministru kabineta 2013.gada 4.februāra rīkojumā Nr.38 “Par Administratīvo sodu sistēmas attīstības koncepciju” minēto.</w:t>
            </w:r>
            <w:r w:rsidR="002C4399" w:rsidRPr="00CD0F27">
              <w:rPr>
                <w:rFonts w:ascii="Times New Roman" w:hAnsi="Times New Roman"/>
                <w:sz w:val="24"/>
                <w:szCs w:val="24"/>
              </w:rPr>
              <w:t xml:space="preserve"> </w:t>
            </w:r>
            <w:r w:rsidR="00F909C2" w:rsidRPr="00CD0F27">
              <w:rPr>
                <w:rFonts w:ascii="Times New Roman" w:hAnsi="Times New Roman"/>
                <w:sz w:val="24"/>
                <w:szCs w:val="24"/>
              </w:rPr>
              <w:t>Likumprojekt</w:t>
            </w:r>
            <w:r w:rsidR="0098561C" w:rsidRPr="00CD0F27">
              <w:rPr>
                <w:rFonts w:ascii="Times New Roman" w:hAnsi="Times New Roman"/>
                <w:sz w:val="24"/>
                <w:szCs w:val="24"/>
              </w:rPr>
              <w:t>ā</w:t>
            </w:r>
            <w:r w:rsidR="00F909C2" w:rsidRPr="00CD0F27">
              <w:rPr>
                <w:rFonts w:ascii="Times New Roman" w:hAnsi="Times New Roman"/>
                <w:sz w:val="24"/>
                <w:szCs w:val="24"/>
              </w:rPr>
              <w:t xml:space="preserve"> noteik</w:t>
            </w:r>
            <w:r w:rsidR="00A3210D" w:rsidRPr="00CD0F27">
              <w:rPr>
                <w:rFonts w:ascii="Times New Roman" w:hAnsi="Times New Roman"/>
                <w:sz w:val="24"/>
                <w:szCs w:val="24"/>
              </w:rPr>
              <w:t>t</w:t>
            </w:r>
            <w:r w:rsidR="0098561C" w:rsidRPr="00CD0F27">
              <w:rPr>
                <w:rFonts w:ascii="Times New Roman" w:hAnsi="Times New Roman"/>
                <w:sz w:val="24"/>
                <w:szCs w:val="24"/>
              </w:rPr>
              <w:t>a</w:t>
            </w:r>
            <w:r w:rsidR="00F909C2" w:rsidRPr="00CD0F27">
              <w:rPr>
                <w:rFonts w:ascii="Times New Roman" w:hAnsi="Times New Roman"/>
                <w:sz w:val="24"/>
                <w:szCs w:val="24"/>
              </w:rPr>
              <w:t xml:space="preserve"> administratīv</w:t>
            </w:r>
            <w:r w:rsidR="0098561C" w:rsidRPr="00CD0F27">
              <w:rPr>
                <w:rFonts w:ascii="Times New Roman" w:hAnsi="Times New Roman"/>
                <w:sz w:val="24"/>
                <w:szCs w:val="24"/>
              </w:rPr>
              <w:t>ā</w:t>
            </w:r>
            <w:r w:rsidR="00F909C2" w:rsidRPr="00CD0F27">
              <w:rPr>
                <w:rFonts w:ascii="Times New Roman" w:hAnsi="Times New Roman"/>
                <w:sz w:val="24"/>
                <w:szCs w:val="24"/>
              </w:rPr>
              <w:t xml:space="preserve"> atbildīb</w:t>
            </w:r>
            <w:r w:rsidR="0098561C" w:rsidRPr="00CD0F27">
              <w:rPr>
                <w:rFonts w:ascii="Times New Roman" w:hAnsi="Times New Roman"/>
                <w:sz w:val="24"/>
                <w:szCs w:val="24"/>
              </w:rPr>
              <w:t>a</w:t>
            </w:r>
            <w:r w:rsidR="00F909C2" w:rsidRPr="00CD0F27">
              <w:rPr>
                <w:rFonts w:ascii="Times New Roman" w:hAnsi="Times New Roman"/>
                <w:sz w:val="24"/>
                <w:szCs w:val="24"/>
              </w:rPr>
              <w:t xml:space="preserve"> grāmatvedības jomā</w:t>
            </w:r>
            <w:r w:rsidR="00AF09FA" w:rsidRPr="00CD0F27">
              <w:rPr>
                <w:rFonts w:ascii="Times New Roman" w:hAnsi="Times New Roman"/>
                <w:sz w:val="24"/>
                <w:szCs w:val="24"/>
              </w:rPr>
              <w:t xml:space="preserve"> un kompetenc</w:t>
            </w:r>
            <w:r w:rsidR="0098561C" w:rsidRPr="00CD0F27">
              <w:rPr>
                <w:rFonts w:ascii="Times New Roman" w:hAnsi="Times New Roman"/>
                <w:sz w:val="24"/>
                <w:szCs w:val="24"/>
              </w:rPr>
              <w:t>e</w:t>
            </w:r>
            <w:r w:rsidR="00AF09FA" w:rsidRPr="00CD0F27">
              <w:rPr>
                <w:rFonts w:ascii="Times New Roman" w:hAnsi="Times New Roman"/>
                <w:sz w:val="24"/>
                <w:szCs w:val="24"/>
              </w:rPr>
              <w:t xml:space="preserve"> sodu piemērošanā.</w:t>
            </w:r>
          </w:p>
        </w:tc>
      </w:tr>
      <w:tr w:rsidR="0030306F" w:rsidRPr="00CD0F27" w14:paraId="1BE4CA81" w14:textId="77777777" w:rsidTr="004507B2">
        <w:trPr>
          <w:trHeight w:val="699"/>
        </w:trPr>
        <w:tc>
          <w:tcPr>
            <w:tcW w:w="226" w:type="pct"/>
          </w:tcPr>
          <w:p w14:paraId="4BF8A417" w14:textId="77777777" w:rsidR="0030306F" w:rsidRPr="00CD0F27" w:rsidRDefault="0030306F" w:rsidP="00E55447">
            <w:pPr>
              <w:pStyle w:val="naiskr"/>
              <w:spacing w:before="0" w:beforeAutospacing="0" w:after="0" w:afterAutospacing="0"/>
              <w:ind w:right="57"/>
              <w:jc w:val="center"/>
            </w:pPr>
            <w:r w:rsidRPr="00CD0F27">
              <w:t>2.</w:t>
            </w:r>
          </w:p>
        </w:tc>
        <w:tc>
          <w:tcPr>
            <w:tcW w:w="1265" w:type="pct"/>
          </w:tcPr>
          <w:p w14:paraId="1CBBF3FA" w14:textId="77777777" w:rsidR="00F74954" w:rsidRPr="00E11B56" w:rsidRDefault="0030306F" w:rsidP="00E55447">
            <w:pPr>
              <w:pStyle w:val="naiskr"/>
              <w:tabs>
                <w:tab w:val="left" w:pos="170"/>
              </w:tabs>
              <w:spacing w:before="0" w:beforeAutospacing="0" w:after="0" w:afterAutospacing="0"/>
              <w:ind w:right="57"/>
            </w:pPr>
            <w:r w:rsidRPr="00E11B56">
              <w:t>Pašreizējā situācija un problēmas, kuru risināšanai tiesību akta projekts izstrādāts, tiesiskā regulējuma mērķis un būtība</w:t>
            </w:r>
          </w:p>
          <w:p w14:paraId="718B8DB1" w14:textId="77777777" w:rsidR="0030306F" w:rsidRPr="00E555F4" w:rsidRDefault="0030306F" w:rsidP="00F74954">
            <w:pPr>
              <w:ind w:firstLine="720"/>
              <w:rPr>
                <w:rFonts w:ascii="Times New Roman" w:hAnsi="Times New Roman"/>
                <w:sz w:val="24"/>
                <w:szCs w:val="24"/>
                <w:lang w:eastAsia="lv-LV"/>
              </w:rPr>
            </w:pPr>
          </w:p>
        </w:tc>
        <w:tc>
          <w:tcPr>
            <w:tcW w:w="3508" w:type="pct"/>
          </w:tcPr>
          <w:p w14:paraId="11C7B145" w14:textId="085B4B5F" w:rsidR="00C204E5" w:rsidRPr="00E11B56" w:rsidRDefault="00131EC0" w:rsidP="004507B2">
            <w:pPr>
              <w:pStyle w:val="NormalWeb"/>
              <w:spacing w:before="0" w:beforeAutospacing="0" w:after="0" w:afterAutospacing="0"/>
              <w:ind w:right="141" w:firstLine="281"/>
              <w:contextualSpacing/>
              <w:jc w:val="both"/>
            </w:pPr>
            <w:r w:rsidRPr="00CD0F27">
              <w:t xml:space="preserve"> Saskaņā ar Ministru kabineta 2013.gada 4.februāra rīkojum</w:t>
            </w:r>
            <w:r w:rsidR="00A03E03" w:rsidRPr="00CD0F27">
              <w:t>u</w:t>
            </w:r>
            <w:r w:rsidRPr="00112B40">
              <w:t xml:space="preserve"> Nr.38 “Par Administratīvo sodu sistēmas attīstības koncepciju” un </w:t>
            </w:r>
            <w:proofErr w:type="spellStart"/>
            <w:r w:rsidR="004269D4">
              <w:t>P</w:t>
            </w:r>
            <w:r w:rsidRPr="00112B40">
              <w:t>rotokollēmuma</w:t>
            </w:r>
            <w:proofErr w:type="spellEnd"/>
            <w:r w:rsidRPr="00112B40">
              <w:t xml:space="preserve"> </w:t>
            </w:r>
            <w:r w:rsidRPr="00E11B56">
              <w:t xml:space="preserve">2.punktu Finanšu ministrijai tika uzdots, ievērojot informatīvā ziņojuma </w:t>
            </w:r>
            <w:r w:rsidR="004269D4" w:rsidRPr="00E11B56">
              <w:t>“Nozaru administratīvo pārkāpumu kodifikācijas ieviešanas sistēma”</w:t>
            </w:r>
            <w:r w:rsidR="004269D4">
              <w:t xml:space="preserve"> </w:t>
            </w:r>
            <w:r w:rsidRPr="00E11B56">
              <w:t xml:space="preserve">2.pielikumā noteikto nozaru administratīvo pārkāpumu kodifikācijas laika grafiku,  izstrādāt likumprojektu. </w:t>
            </w:r>
            <w:bookmarkStart w:id="1" w:name="p-571840"/>
            <w:bookmarkStart w:id="2" w:name="p1"/>
            <w:bookmarkEnd w:id="1"/>
            <w:bookmarkEnd w:id="2"/>
          </w:p>
          <w:p w14:paraId="34E8622F" w14:textId="77777777" w:rsidR="00D21FDF" w:rsidRPr="006E4CD8" w:rsidRDefault="00F7341F" w:rsidP="00D21FDF">
            <w:pPr>
              <w:pStyle w:val="NormalWeb"/>
              <w:spacing w:before="0" w:beforeAutospacing="0" w:after="0" w:afterAutospacing="0"/>
              <w:ind w:left="-4" w:firstLine="285"/>
              <w:contextualSpacing/>
              <w:jc w:val="both"/>
            </w:pPr>
            <w:r w:rsidRPr="006E4CD8">
              <w:t xml:space="preserve">Likumprojekta mērķis ir </w:t>
            </w:r>
            <w:r w:rsidR="004269D4">
              <w:t xml:space="preserve">noteikt </w:t>
            </w:r>
            <w:r w:rsidRPr="006E4CD8">
              <w:t>administratīv</w:t>
            </w:r>
            <w:r w:rsidR="004269D4">
              <w:t>o</w:t>
            </w:r>
            <w:r w:rsidRPr="006E4CD8">
              <w:t xml:space="preserve"> atbildīb</w:t>
            </w:r>
            <w:r w:rsidR="004269D4">
              <w:t>u</w:t>
            </w:r>
            <w:r w:rsidRPr="006E4CD8">
              <w:t xml:space="preserve"> grāmatvedības jomā un kompetenc</w:t>
            </w:r>
            <w:r w:rsidR="004269D4">
              <w:t>i</w:t>
            </w:r>
            <w:r w:rsidRPr="006E4CD8">
              <w:t xml:space="preserve"> sodu piemērošan</w:t>
            </w:r>
            <w:r w:rsidR="00D21FDF" w:rsidRPr="006E4CD8">
              <w:t>ā komersantiem, kooperatīvajām sabiedrībām, ārvalstu komersantu filiālēm un nerezidentu (ārvalstu komersantu) pastāvīgajām pārstāvniecībām, biedrībām un nodibinājumiem, politiskajām organizācijām (partijām) un to apvienībām, reliģiskajām organizācijām, arodbiedrībām, iestādēm, kuras tiek finansētas no valsts budžeta vai pašvaldību budžetiem, uz valsts vai pašvaldību aģentūrām, citām juridiskajām un fiziskajām personām, kas veic saimniecisko darbību (turpmāk — uzņēmums)</w:t>
            </w:r>
          </w:p>
          <w:p w14:paraId="520B6ECE" w14:textId="77777777" w:rsidR="005E612C" w:rsidRPr="006E4CD8" w:rsidRDefault="005E612C" w:rsidP="005E612C">
            <w:pPr>
              <w:pStyle w:val="NormalWeb"/>
              <w:spacing w:before="0" w:beforeAutospacing="0" w:after="0" w:afterAutospacing="0"/>
              <w:ind w:left="-4" w:firstLine="285"/>
              <w:contextualSpacing/>
              <w:jc w:val="both"/>
            </w:pPr>
            <w:r w:rsidRPr="006E4CD8">
              <w:t>Likumprojekta mērķis ir panākt, lai uzņēmum</w:t>
            </w:r>
            <w:r w:rsidR="004269D4">
              <w:t>os t</w:t>
            </w:r>
            <w:r w:rsidRPr="006E4CD8">
              <w:t>i</w:t>
            </w:r>
            <w:r w:rsidR="004269D4">
              <w:t>ktu</w:t>
            </w:r>
            <w:r w:rsidRPr="006E4CD8">
              <w:t xml:space="preserve"> </w:t>
            </w:r>
            <w:r w:rsidR="00A015EC" w:rsidRPr="006E4CD8">
              <w:t>ievērot</w:t>
            </w:r>
            <w:r w:rsidR="004269D4">
              <w:t>as</w:t>
            </w:r>
            <w:r w:rsidR="00A015EC" w:rsidRPr="006E4CD8">
              <w:t xml:space="preserve"> un </w:t>
            </w:r>
            <w:r w:rsidRPr="006E4CD8">
              <w:t>izpildīt</w:t>
            </w:r>
            <w:r w:rsidR="004269D4">
              <w:t>as</w:t>
            </w:r>
            <w:r w:rsidRPr="006E4CD8">
              <w:t xml:space="preserve"> grāmatvedības jomas regulējošas normatīvajos aktos noteiktās prasības.</w:t>
            </w:r>
          </w:p>
          <w:p w14:paraId="1BA6A47D" w14:textId="77777777" w:rsidR="00AB0BBA" w:rsidRPr="00E11B56" w:rsidRDefault="00AB0BBA" w:rsidP="00131EC0">
            <w:pPr>
              <w:pStyle w:val="NormalWeb"/>
              <w:spacing w:before="0" w:beforeAutospacing="0" w:after="0" w:afterAutospacing="0"/>
              <w:ind w:firstLine="281"/>
              <w:contextualSpacing/>
              <w:jc w:val="both"/>
            </w:pPr>
          </w:p>
          <w:p w14:paraId="6301061B" w14:textId="77777777" w:rsidR="00AB0BBA" w:rsidRPr="00CD0F27" w:rsidRDefault="00AB0BBA" w:rsidP="004507B2">
            <w:pPr>
              <w:pStyle w:val="NormalWeb"/>
              <w:spacing w:before="0" w:beforeAutospacing="0" w:after="0" w:afterAutospacing="0"/>
              <w:ind w:left="-4" w:right="142" w:firstLine="285"/>
              <w:contextualSpacing/>
              <w:jc w:val="both"/>
            </w:pPr>
            <w:r w:rsidRPr="00E11B56">
              <w:t>Finanšu ministrija, izvērtējot</w:t>
            </w:r>
            <w:r w:rsidR="00D9030C" w:rsidRPr="00E11B56">
              <w:t xml:space="preserve"> Latvijas Administratīvo pārkāpumu kodeks</w:t>
            </w:r>
            <w:r w:rsidR="004269D4">
              <w:t>a</w:t>
            </w:r>
            <w:r w:rsidR="00D9030C" w:rsidRPr="00E11B56">
              <w:t xml:space="preserve"> (turpmāk – LAPK)</w:t>
            </w:r>
            <w:r w:rsidRPr="00CD0F27">
              <w:t xml:space="preserve"> </w:t>
            </w:r>
            <w:r w:rsidR="00D9030C" w:rsidRPr="00CD0F27">
              <w:t>155.¹, 155.²</w:t>
            </w:r>
            <w:r w:rsidR="004269D4">
              <w:t xml:space="preserve"> un</w:t>
            </w:r>
            <w:r w:rsidR="00D9030C" w:rsidRPr="00CD0F27">
              <w:t xml:space="preserve"> </w:t>
            </w:r>
            <w:r w:rsidR="00D9030C" w:rsidRPr="00CD0F27">
              <w:rPr>
                <w:bCs/>
              </w:rPr>
              <w:t>166.</w:t>
            </w:r>
            <w:r w:rsidR="00D9030C" w:rsidRPr="00CD0F27">
              <w:rPr>
                <w:bCs/>
                <w:vertAlign w:val="superscript"/>
              </w:rPr>
              <w:t>6</w:t>
            </w:r>
            <w:r w:rsidR="004269D4">
              <w:rPr>
                <w:bCs/>
                <w:vertAlign w:val="superscript"/>
              </w:rPr>
              <w:t>  </w:t>
            </w:r>
            <w:r w:rsidR="00D9030C" w:rsidRPr="00CD0F27">
              <w:t>pantā</w:t>
            </w:r>
            <w:r w:rsidRPr="00CD0F27">
              <w:t xml:space="preserve"> minētos administratīvos pārkāpumus</w:t>
            </w:r>
            <w:r w:rsidR="00F163F4" w:rsidRPr="00CD0F27">
              <w:t xml:space="preserve"> </w:t>
            </w:r>
            <w:r w:rsidR="00F163F4" w:rsidRPr="006E4CD8">
              <w:t>grāmatvedības jom</w:t>
            </w:r>
            <w:r w:rsidR="004269D4">
              <w:t>ā</w:t>
            </w:r>
            <w:r w:rsidRPr="00CD0F27">
              <w:t>, ir secinājusi, ka tie arī turpmāk saglabājami administratīvo pārkāpumu sistēmā</w:t>
            </w:r>
            <w:r w:rsidR="00BF61F9" w:rsidRPr="006E4CD8">
              <w:t xml:space="preserve"> tiktāl</w:t>
            </w:r>
            <w:r w:rsidR="004269D4">
              <w:t>,</w:t>
            </w:r>
            <w:r w:rsidR="00967255" w:rsidRPr="00CD0F27">
              <w:t xml:space="preserve"> ciktāl tas nav pretrunā ar </w:t>
            </w:r>
            <w:r w:rsidR="00A3210D" w:rsidRPr="00CD0F27">
              <w:t xml:space="preserve">likumā </w:t>
            </w:r>
            <w:r w:rsidR="00967255" w:rsidRPr="00CD0F27">
              <w:t>“Par grāmatvedību”</w:t>
            </w:r>
            <w:r w:rsidR="00A3210D" w:rsidRPr="00CD0F27">
              <w:t xml:space="preserve"> noteiktajām prasībām</w:t>
            </w:r>
            <w:r w:rsidR="00967255" w:rsidRPr="00CD0F27">
              <w:t>,</w:t>
            </w:r>
            <w:r w:rsidRPr="00CD0F27">
              <w:t xml:space="preserve"> un tāpat </w:t>
            </w:r>
            <w:r w:rsidR="00F909C2" w:rsidRPr="00CD0F27">
              <w:t>kā līdz šim</w:t>
            </w:r>
            <w:r w:rsidRPr="00CD0F27">
              <w:t>, arī turpmāk tos izskatīs</w:t>
            </w:r>
            <w:r w:rsidR="00D9030C" w:rsidRPr="00CD0F27">
              <w:t xml:space="preserve"> </w:t>
            </w:r>
            <w:r w:rsidR="00902F18" w:rsidRPr="00CD0F27">
              <w:t>Valsts ieņēmumu dienests (turpmāk – VID)</w:t>
            </w:r>
            <w:r w:rsidRPr="00CD0F27">
              <w:t>.</w:t>
            </w:r>
            <w:r w:rsidR="00F909C2" w:rsidRPr="00CD0F27">
              <w:t xml:space="preserve"> </w:t>
            </w:r>
          </w:p>
          <w:p w14:paraId="39542A94" w14:textId="77777777" w:rsidR="009F19A5" w:rsidRPr="004D5AFB" w:rsidRDefault="004C6FD4" w:rsidP="004507B2">
            <w:pPr>
              <w:pStyle w:val="NormalWeb"/>
              <w:spacing w:before="0" w:beforeAutospacing="0" w:after="0" w:afterAutospacing="0"/>
              <w:ind w:left="-4" w:right="142" w:firstLine="285"/>
              <w:contextualSpacing/>
              <w:jc w:val="both"/>
            </w:pPr>
            <w:r w:rsidRPr="004D5AFB">
              <w:t>Atzīm</w:t>
            </w:r>
            <w:r w:rsidR="008506F0" w:rsidRPr="004D5AFB">
              <w:t>ējam</w:t>
            </w:r>
            <w:r w:rsidRPr="004D5AFB">
              <w:t>, ka</w:t>
            </w:r>
            <w:r w:rsidR="004269D4">
              <w:t>,</w:t>
            </w:r>
            <w:r w:rsidRPr="004D5AFB">
              <w:t xml:space="preserve"> pārņemot LAPK 155.¹</w:t>
            </w:r>
            <w:r w:rsidR="004269D4">
              <w:t> </w:t>
            </w:r>
            <w:r w:rsidRPr="004D5AFB">
              <w:t>p</w:t>
            </w:r>
            <w:r w:rsidR="00FC4E3E" w:rsidRPr="004D5AFB">
              <w:t>ant</w:t>
            </w:r>
            <w:r w:rsidR="004A6D50">
              <w:t xml:space="preserve">u </w:t>
            </w:r>
            <w:r w:rsidR="008506F0" w:rsidRPr="004D5AFB">
              <w:t>“</w:t>
            </w:r>
            <w:r w:rsidRPr="004D5AFB">
              <w:t>Preču uzskaites, preču pavadzīmju un pavaddokumentu aprites kārtības neievērošana</w:t>
            </w:r>
            <w:r w:rsidR="004269D4" w:rsidRPr="00CD0F27">
              <w:t>”</w:t>
            </w:r>
            <w:r w:rsidR="004269D4">
              <w:t>,</w:t>
            </w:r>
            <w:r w:rsidRPr="004D5AFB">
              <w:t xml:space="preserve"> tika izvērtēts šī panta saturs</w:t>
            </w:r>
            <w:r w:rsidR="008506F0" w:rsidRPr="004D5AFB">
              <w:t xml:space="preserve"> </w:t>
            </w:r>
            <w:r w:rsidRPr="004D5AFB">
              <w:t xml:space="preserve"> a</w:t>
            </w:r>
            <w:r w:rsidR="00D137D1">
              <w:t>tbilstoši</w:t>
            </w:r>
            <w:r w:rsidRPr="004D5AFB">
              <w:t xml:space="preserve"> likumā </w:t>
            </w:r>
            <w:r w:rsidR="00F163F4" w:rsidRPr="004D5AFB">
              <w:t>“</w:t>
            </w:r>
            <w:r w:rsidRPr="004D5AFB">
              <w:t>Par grāmatvedīb</w:t>
            </w:r>
            <w:r w:rsidR="00D137D1">
              <w:t>u</w:t>
            </w:r>
            <w:r w:rsidR="00BF61F9" w:rsidRPr="004D5AFB">
              <w:t>”</w:t>
            </w:r>
            <w:r w:rsidRPr="004D5AFB">
              <w:t xml:space="preserve"> noteikt</w:t>
            </w:r>
            <w:r w:rsidR="00D137D1">
              <w:t>ajam</w:t>
            </w:r>
            <w:r w:rsidRPr="004D5AFB">
              <w:t xml:space="preserve"> regulē</w:t>
            </w:r>
            <w:r w:rsidR="008506F0" w:rsidRPr="004D5AFB">
              <w:t>juma</w:t>
            </w:r>
            <w:r w:rsidR="00D137D1">
              <w:t>m</w:t>
            </w:r>
            <w:r w:rsidRPr="004D5AFB">
              <w:t xml:space="preserve"> </w:t>
            </w:r>
            <w:r w:rsidR="00D137D1">
              <w:t>par</w:t>
            </w:r>
            <w:r w:rsidR="008506F0" w:rsidRPr="004D5AFB">
              <w:t xml:space="preserve"> attaisnojuma </w:t>
            </w:r>
            <w:r w:rsidR="008506F0" w:rsidRPr="004D5AFB">
              <w:lastRenderedPageBreak/>
              <w:t>dokument</w:t>
            </w:r>
            <w:r w:rsidR="00D137D1">
              <w:t>u</w:t>
            </w:r>
            <w:r w:rsidRPr="004D5AFB">
              <w:t>, kā arī noteikt</w:t>
            </w:r>
            <w:r w:rsidR="008506F0" w:rsidRPr="004D5AFB">
              <w:t xml:space="preserve">ajam regulējumam </w:t>
            </w:r>
            <w:r w:rsidR="00D137D1">
              <w:t xml:space="preserve">par </w:t>
            </w:r>
            <w:r w:rsidRPr="004D5AFB">
              <w:t>preču piegādes doku</w:t>
            </w:r>
            <w:r w:rsidR="008506F0" w:rsidRPr="004D5AFB">
              <w:t>ment</w:t>
            </w:r>
            <w:r w:rsidR="00D137D1">
              <w:t>u</w:t>
            </w:r>
            <w:r w:rsidR="008506F0" w:rsidRPr="004D5AFB">
              <w:t xml:space="preserve">. Atzīmējam, ka </w:t>
            </w:r>
            <w:r w:rsidR="00505A3C" w:rsidRPr="004D5AFB">
              <w:t xml:space="preserve">LAPK minētā </w:t>
            </w:r>
            <w:r w:rsidR="00952101" w:rsidRPr="004D5AFB">
              <w:t xml:space="preserve"> preču pavadzīme var būt </w:t>
            </w:r>
            <w:r w:rsidR="008506F0" w:rsidRPr="004D5AFB">
              <w:t>viens no attaisnojuma dokumentu veidiem</w:t>
            </w:r>
            <w:r w:rsidR="00952101" w:rsidRPr="004D5AFB">
              <w:t>.</w:t>
            </w:r>
            <w:r w:rsidR="008506F0" w:rsidRPr="004D5AFB">
              <w:t xml:space="preserve"> Tika ņemts vērā, ka preču pārvietošana (kravas transportēšana) starptautiskajos vai iekšzemes darījumos notiek, pamatojoties uz starptautiskajiem vai iekšzemes pārvadājumu dokumentiem, kuri noformēti atbilstoši attiecīgajiem speciālajiem likumiem vai konvencijām. </w:t>
            </w:r>
            <w:r w:rsidR="009F19A5" w:rsidRPr="004D5AFB">
              <w:t>Līdz ar to administratīvo sodu var piemērot arī visos gadījumos, kad netiek ievērotas</w:t>
            </w:r>
            <w:r w:rsidR="00D137D1" w:rsidRPr="004D5AFB">
              <w:t xml:space="preserve"> Ministru kabineta </w:t>
            </w:r>
            <w:r w:rsidR="009F19A5" w:rsidRPr="004D5AFB">
              <w:t>2003.gada 21.oktobra noteikum</w:t>
            </w:r>
            <w:r w:rsidR="00D137D1">
              <w:t>u</w:t>
            </w:r>
            <w:r w:rsidR="009F19A5" w:rsidRPr="004D5AFB">
              <w:t xml:space="preserve"> Nr.585 “Noteikumi par grāmatvedības kārtošanu un organizāciju”, kas izdoti saskaņā ar likumu “Par grāmatvedību”, I²</w:t>
            </w:r>
            <w:r w:rsidR="00D137D1">
              <w:t> </w:t>
            </w:r>
            <w:r w:rsidR="009F19A5" w:rsidRPr="004D5AFB">
              <w:t>nodaļā “Prasības attiecībā uz preču piegādes dokumentu” noteiktās prasības.</w:t>
            </w:r>
          </w:p>
          <w:p w14:paraId="6CF23167" w14:textId="77777777" w:rsidR="00BD24E8" w:rsidRDefault="00CD4114" w:rsidP="004507B2">
            <w:pPr>
              <w:pStyle w:val="NormalWeb"/>
              <w:spacing w:before="0" w:beforeAutospacing="0" w:after="0" w:afterAutospacing="0"/>
              <w:ind w:left="-4" w:right="142" w:firstLine="285"/>
              <w:contextualSpacing/>
              <w:jc w:val="both"/>
            </w:pPr>
            <w:r w:rsidRPr="008A2342">
              <w:t>Ņemts vērā, ka</w:t>
            </w:r>
            <w:r w:rsidR="00D137D1">
              <w:t>,</w:t>
            </w:r>
            <w:r w:rsidRPr="008A2342">
              <w:t xml:space="preserve"> sagatavojot attaisnojuma dokumentu par darījumiem vai darbībām ar akcīzes precēm</w:t>
            </w:r>
            <w:r w:rsidR="00D137D1">
              <w:t>,</w:t>
            </w:r>
            <w:r w:rsidRPr="008A2342">
              <w:t xml:space="preserve"> papildus grāmatvedības reglamentējošos normatīv</w:t>
            </w:r>
            <w:r w:rsidR="00D137D1">
              <w:t>aj</w:t>
            </w:r>
            <w:r w:rsidRPr="008A2342">
              <w:t>os akt</w:t>
            </w:r>
            <w:r w:rsidR="00D137D1">
              <w:t>o</w:t>
            </w:r>
            <w:r w:rsidRPr="008A2342">
              <w:t>s</w:t>
            </w:r>
            <w:r w:rsidR="00D137D1">
              <w:t xml:space="preserve"> noteiktajam</w:t>
            </w:r>
            <w:r w:rsidRPr="008A2342">
              <w:t xml:space="preserve"> </w:t>
            </w:r>
            <w:r w:rsidR="00D137D1">
              <w:t xml:space="preserve">ir </w:t>
            </w:r>
            <w:r w:rsidRPr="008A2342">
              <w:t>jāņem vērā arī akcīzes preču apriti reglamentējošos normatīv</w:t>
            </w:r>
            <w:r w:rsidR="00D137D1">
              <w:t>aj</w:t>
            </w:r>
            <w:r w:rsidRPr="008A2342">
              <w:t>os akt</w:t>
            </w:r>
            <w:r w:rsidR="00D137D1">
              <w:t>o</w:t>
            </w:r>
            <w:r w:rsidRPr="008A2342">
              <w:t>s</w:t>
            </w:r>
            <w:r w:rsidR="00D137D1">
              <w:t xml:space="preserve"> noteiktais</w:t>
            </w:r>
            <w:r w:rsidR="009F19A5" w:rsidRPr="008A2342">
              <w:t xml:space="preserve">. </w:t>
            </w:r>
          </w:p>
          <w:p w14:paraId="225E1AC1" w14:textId="77777777" w:rsidR="00F909C2" w:rsidRPr="00F61C31" w:rsidRDefault="00F909C2" w:rsidP="00F61C31">
            <w:pPr>
              <w:pStyle w:val="NormalWeb"/>
              <w:spacing w:before="0" w:beforeAutospacing="0" w:after="0" w:afterAutospacing="0"/>
              <w:contextualSpacing/>
              <w:jc w:val="both"/>
            </w:pPr>
            <w:r w:rsidRPr="00F61C31">
              <w:t>Likumprojektā ietverto administratīvo pārkāpumu sastāv</w:t>
            </w:r>
            <w:r w:rsidR="00D137D1">
              <w:t xml:space="preserve">i </w:t>
            </w:r>
            <w:r w:rsidRPr="00F61C31">
              <w:t>ir izvērtēt</w:t>
            </w:r>
            <w:r w:rsidR="00D137D1">
              <w:t>i</w:t>
            </w:r>
            <w:r w:rsidRPr="00F61C31">
              <w:t>, ņemot vērā nodarījuma bīstamību,</w:t>
            </w:r>
            <w:r w:rsidR="005E612C" w:rsidRPr="00F61C31">
              <w:t xml:space="preserve"> sabiedrisko kaitīgumu, nodarījuma </w:t>
            </w:r>
            <w:r w:rsidRPr="00F61C31">
              <w:t xml:space="preserve">sekas, </w:t>
            </w:r>
            <w:r w:rsidR="005E612C" w:rsidRPr="00F61C31">
              <w:t xml:space="preserve">nodarījuma </w:t>
            </w:r>
            <w:r w:rsidRPr="00F61C31">
              <w:t>aktualitāti un</w:t>
            </w:r>
            <w:r w:rsidR="005E612C" w:rsidRPr="00F61C31">
              <w:t xml:space="preserve"> nodarījuma</w:t>
            </w:r>
            <w:r w:rsidRPr="00F61C31">
              <w:t xml:space="preserve"> attiecinā</w:t>
            </w:r>
            <w:r w:rsidR="00AE1DA7">
              <w:t>m</w:t>
            </w:r>
            <w:r w:rsidRPr="00F61C31">
              <w:t>ību uz publiski tiesiskajām attiecībām</w:t>
            </w:r>
            <w:r w:rsidR="00F61C31">
              <w:t>.</w:t>
            </w:r>
            <w:r w:rsidRPr="00F61C31">
              <w:t xml:space="preserve"> </w:t>
            </w:r>
          </w:p>
          <w:p w14:paraId="0F352BF8" w14:textId="77777777" w:rsidR="00855558" w:rsidRPr="001A1AF6" w:rsidRDefault="00F61C31" w:rsidP="00F61C31">
            <w:pPr>
              <w:pStyle w:val="NormalWeb"/>
              <w:spacing w:before="0" w:beforeAutospacing="0" w:after="0" w:afterAutospacing="0"/>
              <w:contextualSpacing/>
              <w:jc w:val="both"/>
            </w:pPr>
            <w:r>
              <w:t xml:space="preserve">      </w:t>
            </w:r>
            <w:r w:rsidR="0044780F" w:rsidRPr="00F61C31">
              <w:t>Sakarā ar to, ka likuma “Par grāmatvedību” 2.panta trešajā daļā ir noteikts, ka par grāmatvedības kārtošanu un visu saimniecisko darījumu apliecinošo dokumentu oriģinālu, kopiju vai datu attēlu saglabāšanu ir atbildīgs uzņēmuma vadītājs, likumprojektā, atšķirībā no LAPK, kur administratīvo sodu var piemērot gan attiecībā uz fizisko personu, gan uz juridisko personu, visa paredzētā administratīvā atbildība ir attiecināta tikai uz</w:t>
            </w:r>
            <w:r w:rsidR="00295C8B" w:rsidRPr="00F61C31">
              <w:t xml:space="preserve"> fizisko personu -</w:t>
            </w:r>
            <w:r w:rsidR="0044780F" w:rsidRPr="00F61C31">
              <w:t xml:space="preserve"> uzņēmuma vadītāju</w:t>
            </w:r>
            <w:r w:rsidR="003F7F8F" w:rsidRPr="00F61C31">
              <w:t xml:space="preserve">. </w:t>
            </w:r>
            <w:r w:rsidR="003F7F8F" w:rsidRPr="001A1AF6">
              <w:t>Savukārt likuma</w:t>
            </w:r>
            <w:r w:rsidR="00855558" w:rsidRPr="001A1AF6">
              <w:t xml:space="preserve"> “Par grāmatvedību”</w:t>
            </w:r>
            <w:r w:rsidR="00855558" w:rsidRPr="00AE1DA7">
              <w:t xml:space="preserve"> </w:t>
            </w:r>
            <w:r w:rsidR="003F7F8F" w:rsidRPr="001A1AF6">
              <w:t xml:space="preserve"> 2.panta ceturtajā daļā ir noteikts, ka uzņēmuma vadītājs</w:t>
            </w:r>
            <w:r w:rsidRPr="001A1AF6">
              <w:t xml:space="preserve"> </w:t>
            </w:r>
            <w:r w:rsidR="00855558" w:rsidRPr="001A1AF6">
              <w:t>ir:</w:t>
            </w:r>
          </w:p>
          <w:p w14:paraId="05E47202" w14:textId="77777777" w:rsidR="001A0FBD" w:rsidRPr="001A1AF6" w:rsidRDefault="00855558" w:rsidP="00F61C31">
            <w:pPr>
              <w:pStyle w:val="NormalWeb"/>
              <w:spacing w:before="0" w:beforeAutospacing="0" w:after="0" w:afterAutospacing="0"/>
              <w:contextualSpacing/>
              <w:jc w:val="both"/>
            </w:pPr>
            <w:r w:rsidRPr="001A1AF6">
              <w:t xml:space="preserve"> -</w:t>
            </w:r>
            <w:r w:rsidR="00D137D1" w:rsidRPr="001A1AF6">
              <w:t xml:space="preserve"> </w:t>
            </w:r>
            <w:r w:rsidR="00F61C31" w:rsidRPr="001A1AF6">
              <w:t>personālsabiedrībā — visi šīs sabiedrības biedri vai tie sabiedrības biedri, kuri ir pilnvaroti pārstāvēt sabiedrību,</w:t>
            </w:r>
          </w:p>
          <w:p w14:paraId="27F670F3" w14:textId="77777777" w:rsidR="00855558" w:rsidRPr="001A1AF6" w:rsidRDefault="00F61C31" w:rsidP="00F61C31">
            <w:pPr>
              <w:pStyle w:val="NormalWeb"/>
              <w:spacing w:before="0" w:beforeAutospacing="0" w:after="0" w:afterAutospacing="0"/>
              <w:contextualSpacing/>
              <w:jc w:val="both"/>
            </w:pPr>
            <w:r w:rsidRPr="001A1AF6">
              <w:t xml:space="preserve"> </w:t>
            </w:r>
            <w:r w:rsidR="001A0FBD" w:rsidRPr="001A1AF6">
              <w:t xml:space="preserve">- </w:t>
            </w:r>
            <w:r w:rsidRPr="001A1AF6">
              <w:t>kapitālsabiedrībā — valde</w:t>
            </w:r>
            <w:r w:rsidR="00855558" w:rsidRPr="001A1AF6">
              <w:t>;</w:t>
            </w:r>
          </w:p>
          <w:p w14:paraId="3457D2ED" w14:textId="77777777" w:rsidR="00855558" w:rsidRPr="001A1AF6" w:rsidRDefault="00F61C31" w:rsidP="00F61C31">
            <w:pPr>
              <w:pStyle w:val="NormalWeb"/>
              <w:spacing w:before="0" w:beforeAutospacing="0" w:after="0" w:afterAutospacing="0"/>
              <w:contextualSpacing/>
              <w:jc w:val="both"/>
            </w:pPr>
            <w:r w:rsidRPr="001A1AF6">
              <w:t xml:space="preserve"> </w:t>
            </w:r>
            <w:r w:rsidR="00855558" w:rsidRPr="001A1AF6">
              <w:t>-</w:t>
            </w:r>
            <w:r w:rsidR="001A0FBD" w:rsidRPr="001A1AF6">
              <w:t xml:space="preserve"> </w:t>
            </w:r>
            <w:r w:rsidRPr="001A1AF6">
              <w:t>kooperatīvajā sabiedrībā — valde vai persona, kura pilda tās funkcijas sabiedrības statūtos noteiktajā kārtībā</w:t>
            </w:r>
            <w:r w:rsidR="00855558" w:rsidRPr="001A1AF6">
              <w:t>;</w:t>
            </w:r>
          </w:p>
          <w:p w14:paraId="28438DDD" w14:textId="77777777" w:rsidR="00855558" w:rsidRPr="001A1AF6" w:rsidRDefault="00F61C31" w:rsidP="00F61C31">
            <w:pPr>
              <w:pStyle w:val="NormalWeb"/>
              <w:spacing w:before="0" w:beforeAutospacing="0" w:after="0" w:afterAutospacing="0"/>
              <w:contextualSpacing/>
              <w:jc w:val="both"/>
            </w:pPr>
            <w:r w:rsidRPr="001A1AF6">
              <w:t xml:space="preserve"> </w:t>
            </w:r>
            <w:r w:rsidR="00855558" w:rsidRPr="001A1AF6">
              <w:t>-</w:t>
            </w:r>
            <w:r w:rsidR="001A0FBD" w:rsidRPr="001A1AF6">
              <w:t xml:space="preserve"> </w:t>
            </w:r>
            <w:r w:rsidRPr="001A1AF6">
              <w:t>individuālajā uzņēmumā, zemnieka un zvejnieka saimniecībā — attiecīgi uzņēmuma vai saimniecības īpašnieks</w:t>
            </w:r>
            <w:r w:rsidR="00855558" w:rsidRPr="001A1AF6">
              <w:t>;</w:t>
            </w:r>
          </w:p>
          <w:p w14:paraId="42A620DD" w14:textId="77777777" w:rsidR="00855558" w:rsidRPr="001A1AF6" w:rsidRDefault="00F61C31" w:rsidP="00F61C31">
            <w:pPr>
              <w:pStyle w:val="NormalWeb"/>
              <w:spacing w:before="0" w:beforeAutospacing="0" w:after="0" w:afterAutospacing="0"/>
              <w:contextualSpacing/>
              <w:jc w:val="both"/>
            </w:pPr>
            <w:r w:rsidRPr="001A1AF6">
              <w:t xml:space="preserve"> </w:t>
            </w:r>
            <w:r w:rsidR="00855558" w:rsidRPr="001A1AF6">
              <w:t>-</w:t>
            </w:r>
            <w:r w:rsidR="001A0FBD" w:rsidRPr="001A1AF6">
              <w:t xml:space="preserve"> </w:t>
            </w:r>
            <w:r w:rsidRPr="001A1AF6">
              <w:t>ārvalsts komersanta filiālē un nerezidenta (ārvalsts komersanta) pastāvīgajā pārstāvniecībā — persona, kura pilnvarota pārstāvēt ārvalsts komersantu (nerezidentu) darbībās, kas saistītas ar filiāli vai pastāvīgo pārstāvniecību</w:t>
            </w:r>
            <w:r w:rsidR="00855558" w:rsidRPr="001A1AF6">
              <w:t xml:space="preserve">; </w:t>
            </w:r>
          </w:p>
          <w:p w14:paraId="7A47A65B" w14:textId="77777777" w:rsidR="00855558" w:rsidRPr="001A1AF6" w:rsidRDefault="001A0FBD" w:rsidP="00F61C31">
            <w:pPr>
              <w:pStyle w:val="NormalWeb"/>
              <w:spacing w:before="0" w:beforeAutospacing="0" w:after="0" w:afterAutospacing="0"/>
              <w:contextualSpacing/>
              <w:jc w:val="both"/>
            </w:pPr>
            <w:r w:rsidRPr="001A1AF6">
              <w:t xml:space="preserve"> </w:t>
            </w:r>
            <w:r w:rsidR="00855558" w:rsidRPr="001A1AF6">
              <w:t>-</w:t>
            </w:r>
            <w:r w:rsidRPr="001A1AF6">
              <w:t xml:space="preserve"> </w:t>
            </w:r>
            <w:r w:rsidR="00F61C31" w:rsidRPr="001A1AF6">
              <w:t>iestādē, kura tiek finansēta no valsts budžeta vai pašvaldības budžeta, valsts vai pašvaldības aģentūrā — tās vadītājs</w:t>
            </w:r>
            <w:r w:rsidR="00855558" w:rsidRPr="001A1AF6">
              <w:t>;</w:t>
            </w:r>
            <w:r w:rsidR="00F61C31" w:rsidRPr="001A1AF6">
              <w:t xml:space="preserve"> </w:t>
            </w:r>
          </w:p>
          <w:p w14:paraId="29C5FCBA" w14:textId="77777777" w:rsidR="00855558" w:rsidRPr="001A1AF6" w:rsidRDefault="001A0FBD" w:rsidP="00F61C31">
            <w:pPr>
              <w:pStyle w:val="NormalWeb"/>
              <w:spacing w:before="0" w:beforeAutospacing="0" w:after="0" w:afterAutospacing="0"/>
              <w:contextualSpacing/>
              <w:jc w:val="both"/>
            </w:pPr>
            <w:r w:rsidRPr="001A1AF6">
              <w:t xml:space="preserve"> </w:t>
            </w:r>
            <w:r w:rsidR="00855558" w:rsidRPr="001A1AF6">
              <w:t>-</w:t>
            </w:r>
            <w:r w:rsidRPr="001A1AF6">
              <w:t xml:space="preserve"> </w:t>
            </w:r>
            <w:r w:rsidR="00F61C31" w:rsidRPr="001A1AF6">
              <w:t>biedrībā, nodibinājumā, politiskajā organizācijā (partijā), politisko organizāciju (partiju) apvienībā un arodbiedrībā — izpildinstitūcija (vadības institūcija)</w:t>
            </w:r>
            <w:r w:rsidR="00855558" w:rsidRPr="001A1AF6">
              <w:t>;</w:t>
            </w:r>
            <w:r w:rsidR="00F61C31" w:rsidRPr="001A1AF6">
              <w:t xml:space="preserve"> </w:t>
            </w:r>
          </w:p>
          <w:p w14:paraId="2B7D353A" w14:textId="77777777" w:rsidR="00855558" w:rsidRPr="001A1AF6" w:rsidRDefault="001A0FBD" w:rsidP="00F61C31">
            <w:pPr>
              <w:pStyle w:val="NormalWeb"/>
              <w:spacing w:before="0" w:beforeAutospacing="0" w:after="0" w:afterAutospacing="0"/>
              <w:contextualSpacing/>
              <w:jc w:val="both"/>
            </w:pPr>
            <w:r w:rsidRPr="001A1AF6">
              <w:t xml:space="preserve"> </w:t>
            </w:r>
            <w:r w:rsidR="00855558" w:rsidRPr="001A1AF6">
              <w:t>-</w:t>
            </w:r>
            <w:r w:rsidRPr="001A1AF6">
              <w:t xml:space="preserve"> </w:t>
            </w:r>
            <w:r w:rsidR="00F61C31" w:rsidRPr="001A1AF6">
              <w:t>reliģiskajā organizācijā — vadība (vadības institūcija)</w:t>
            </w:r>
            <w:r w:rsidR="00855558" w:rsidRPr="001A1AF6">
              <w:t>;</w:t>
            </w:r>
            <w:r w:rsidR="00F61C31" w:rsidRPr="001A1AF6">
              <w:t xml:space="preserve"> </w:t>
            </w:r>
          </w:p>
          <w:p w14:paraId="7D6FBABF" w14:textId="77777777" w:rsidR="00F61C31" w:rsidRPr="001A1AF6" w:rsidRDefault="001A0FBD" w:rsidP="00F61C31">
            <w:pPr>
              <w:pStyle w:val="NormalWeb"/>
              <w:spacing w:before="0" w:beforeAutospacing="0" w:after="0" w:afterAutospacing="0"/>
              <w:contextualSpacing/>
              <w:jc w:val="both"/>
            </w:pPr>
            <w:r w:rsidRPr="001A1AF6">
              <w:t xml:space="preserve"> </w:t>
            </w:r>
            <w:r w:rsidR="00855558" w:rsidRPr="001A1AF6">
              <w:t>-</w:t>
            </w:r>
            <w:r w:rsidRPr="001A1AF6">
              <w:t xml:space="preserve"> </w:t>
            </w:r>
            <w:r w:rsidR="00F61C31" w:rsidRPr="001A1AF6">
              <w:t>individuālais komersants un fiziskā persona, kas veic saimniecisko darbību.</w:t>
            </w:r>
          </w:p>
          <w:p w14:paraId="425C38EF" w14:textId="77777777" w:rsidR="00FB3894" w:rsidRPr="00F60A38" w:rsidRDefault="00952101" w:rsidP="001F1383">
            <w:pPr>
              <w:pStyle w:val="NormalWeb"/>
              <w:spacing w:before="0" w:beforeAutospacing="0" w:after="0" w:afterAutospacing="0"/>
              <w:ind w:right="142" w:firstLine="281"/>
              <w:contextualSpacing/>
              <w:jc w:val="both"/>
            </w:pPr>
            <w:r w:rsidRPr="008A2342">
              <w:lastRenderedPageBreak/>
              <w:t xml:space="preserve">Tādējādi </w:t>
            </w:r>
            <w:r w:rsidR="00855558" w:rsidRPr="001A1AF6">
              <w:t>attiecīgajam</w:t>
            </w:r>
            <w:r w:rsidR="00F61C31" w:rsidRPr="00AE1DA7">
              <w:t xml:space="preserve"> </w:t>
            </w:r>
            <w:r w:rsidR="00F61C31" w:rsidRPr="001A1AF6">
              <w:t>uzņēmuma vadītājam</w:t>
            </w:r>
            <w:r w:rsidR="00F61C31">
              <w:t xml:space="preserve"> </w:t>
            </w:r>
            <w:r w:rsidR="00855558">
              <w:t xml:space="preserve">paredzēts </w:t>
            </w:r>
            <w:r w:rsidR="00855558" w:rsidRPr="00F60A38">
              <w:t xml:space="preserve">piemērot </w:t>
            </w:r>
            <w:r w:rsidR="00963D92">
              <w:t xml:space="preserve">šādus </w:t>
            </w:r>
            <w:r w:rsidRPr="00F60A38">
              <w:t>sodus :</w:t>
            </w:r>
          </w:p>
          <w:p w14:paraId="6700F2ED" w14:textId="77777777" w:rsidR="00075FDF" w:rsidRPr="001A1AF6" w:rsidRDefault="00963D92" w:rsidP="00075FDF">
            <w:pPr>
              <w:pStyle w:val="ListParagraph"/>
              <w:numPr>
                <w:ilvl w:val="0"/>
                <w:numId w:val="3"/>
              </w:numPr>
              <w:spacing w:after="0" w:line="240" w:lineRule="auto"/>
              <w:ind w:left="0" w:firstLine="281"/>
              <w:jc w:val="both"/>
              <w:rPr>
                <w:rFonts w:ascii="Times New Roman" w:hAnsi="Times New Roman"/>
                <w:sz w:val="24"/>
                <w:szCs w:val="24"/>
              </w:rPr>
            </w:pPr>
            <w:r w:rsidRPr="001A1AF6">
              <w:rPr>
                <w:rFonts w:ascii="Times New Roman" w:hAnsi="Times New Roman"/>
                <w:sz w:val="24"/>
                <w:szCs w:val="24"/>
              </w:rPr>
              <w:t xml:space="preserve">par </w:t>
            </w:r>
            <w:r w:rsidR="00FB3894" w:rsidRPr="001A1AF6">
              <w:rPr>
                <w:rFonts w:ascii="Times New Roman" w:hAnsi="Times New Roman"/>
                <w:sz w:val="24"/>
                <w:szCs w:val="24"/>
              </w:rPr>
              <w:t xml:space="preserve">grāmatvedības kārtošanas nosacījumu neievērošanu, par gada pārskatu, konsolidēto gada pārskatu neiesniegšanu noteiktajos termiņos vai nepilnīgu iesniegšanu Valsts ieņēmumu dienestam - izsaka brīdinājumu vai piemēro naudas sodu līdz astoņdesmit sešām naudas soda vienībām, atņemot valdes loceklim tiesības ieņemt noteiktus amatus komercsabiedrībās vai bez tā (likumprojekta </w:t>
            </w:r>
            <w:r w:rsidR="0097307D" w:rsidRPr="001A1AF6">
              <w:rPr>
                <w:rFonts w:ascii="Times New Roman" w:hAnsi="Times New Roman"/>
                <w:sz w:val="24"/>
                <w:szCs w:val="24"/>
              </w:rPr>
              <w:t>2. pantā paredzētais</w:t>
            </w:r>
            <w:r w:rsidR="0097307D" w:rsidRPr="001A1AF6">
              <w:t xml:space="preserve"> </w:t>
            </w:r>
            <w:r w:rsidR="0097307D" w:rsidRPr="001A1AF6">
              <w:rPr>
                <w:rFonts w:ascii="Times New Roman" w:hAnsi="Times New Roman"/>
                <w:sz w:val="24"/>
                <w:szCs w:val="24"/>
              </w:rPr>
              <w:t xml:space="preserve">likuma “Par grāmatvedību” </w:t>
            </w:r>
            <w:r w:rsidR="00FB3894" w:rsidRPr="001A1AF6">
              <w:rPr>
                <w:rFonts w:ascii="Times New Roman" w:hAnsi="Times New Roman"/>
                <w:sz w:val="24"/>
                <w:szCs w:val="24"/>
              </w:rPr>
              <w:t>1</w:t>
            </w:r>
            <w:r w:rsidR="0097307D" w:rsidRPr="001A1AF6">
              <w:rPr>
                <w:rFonts w:ascii="Times New Roman" w:hAnsi="Times New Roman"/>
                <w:sz w:val="24"/>
                <w:szCs w:val="24"/>
              </w:rPr>
              <w:t>9</w:t>
            </w:r>
            <w:r w:rsidR="00FB3894" w:rsidRPr="001A1AF6">
              <w:rPr>
                <w:rFonts w:ascii="Times New Roman" w:hAnsi="Times New Roman"/>
                <w:sz w:val="24"/>
                <w:szCs w:val="24"/>
              </w:rPr>
              <w:t>.pants)</w:t>
            </w:r>
            <w:r w:rsidR="00075FDF" w:rsidRPr="001A1AF6">
              <w:rPr>
                <w:rFonts w:ascii="Times New Roman" w:hAnsi="Times New Roman"/>
                <w:sz w:val="24"/>
                <w:szCs w:val="24"/>
              </w:rPr>
              <w:t xml:space="preserve"> </w:t>
            </w:r>
            <w:r w:rsidR="004C6FD4" w:rsidRPr="001A1AF6">
              <w:rPr>
                <w:rFonts w:ascii="Times New Roman" w:hAnsi="Times New Roman"/>
                <w:sz w:val="24"/>
                <w:szCs w:val="24"/>
              </w:rPr>
              <w:t>(LAPK</w:t>
            </w:r>
            <w:r w:rsidR="004C6FD4" w:rsidRPr="001A1AF6">
              <w:rPr>
                <w:rFonts w:ascii="Times New Roman" w:hAnsi="Times New Roman"/>
                <w:bCs/>
                <w:sz w:val="24"/>
                <w:szCs w:val="24"/>
              </w:rPr>
              <w:t xml:space="preserve"> 166.</w:t>
            </w:r>
            <w:r w:rsidR="004C6FD4" w:rsidRPr="001A1AF6">
              <w:rPr>
                <w:rFonts w:ascii="Times New Roman" w:hAnsi="Times New Roman"/>
                <w:bCs/>
                <w:sz w:val="24"/>
                <w:szCs w:val="24"/>
                <w:vertAlign w:val="superscript"/>
              </w:rPr>
              <w:t>6</w:t>
            </w:r>
            <w:r w:rsidR="001A0FBD" w:rsidRPr="001A1AF6">
              <w:rPr>
                <w:rFonts w:ascii="Times New Roman" w:hAnsi="Times New Roman"/>
                <w:bCs/>
                <w:sz w:val="24"/>
                <w:szCs w:val="24"/>
                <w:vertAlign w:val="superscript"/>
              </w:rPr>
              <w:t> </w:t>
            </w:r>
            <w:r w:rsidR="004C6FD4" w:rsidRPr="001A1AF6">
              <w:rPr>
                <w:rFonts w:ascii="Times New Roman" w:hAnsi="Times New Roman"/>
                <w:bCs/>
                <w:sz w:val="24"/>
                <w:szCs w:val="24"/>
                <w:vertAlign w:val="superscript"/>
              </w:rPr>
              <w:t xml:space="preserve"> </w:t>
            </w:r>
            <w:r w:rsidR="001A0FBD" w:rsidRPr="001A1AF6">
              <w:rPr>
                <w:rFonts w:ascii="Times New Roman" w:hAnsi="Times New Roman"/>
                <w:sz w:val="24"/>
                <w:szCs w:val="24"/>
              </w:rPr>
              <w:t>panta pirmā daļa</w:t>
            </w:r>
            <w:r w:rsidR="004C6FD4" w:rsidRPr="001A1AF6">
              <w:rPr>
                <w:rFonts w:ascii="Times New Roman" w:hAnsi="Times New Roman"/>
                <w:sz w:val="24"/>
                <w:szCs w:val="24"/>
              </w:rPr>
              <w:t>)</w:t>
            </w:r>
            <w:r w:rsidR="00AE1DA7" w:rsidRPr="001A1AF6">
              <w:rPr>
                <w:rFonts w:ascii="Times New Roman" w:hAnsi="Times New Roman"/>
                <w:sz w:val="24"/>
                <w:szCs w:val="24"/>
              </w:rPr>
              <w:t>;</w:t>
            </w:r>
          </w:p>
          <w:p w14:paraId="2A746097" w14:textId="77777777" w:rsidR="00FA102B" w:rsidRPr="001A1AF6" w:rsidRDefault="00963D92" w:rsidP="001A1AF6">
            <w:pPr>
              <w:pStyle w:val="ListParagraph"/>
              <w:numPr>
                <w:ilvl w:val="0"/>
                <w:numId w:val="3"/>
              </w:numPr>
              <w:spacing w:after="0" w:line="240" w:lineRule="auto"/>
              <w:ind w:left="3" w:firstLine="278"/>
              <w:jc w:val="both"/>
              <w:rPr>
                <w:rFonts w:ascii="Times New Roman" w:hAnsi="Times New Roman"/>
                <w:sz w:val="24"/>
                <w:szCs w:val="24"/>
              </w:rPr>
            </w:pPr>
            <w:r w:rsidRPr="001A1AF6">
              <w:rPr>
                <w:rFonts w:ascii="Times New Roman" w:hAnsi="Times New Roman"/>
                <w:sz w:val="24"/>
                <w:szCs w:val="24"/>
              </w:rPr>
              <w:t xml:space="preserve">par </w:t>
            </w:r>
            <w:r w:rsidR="00FB3894" w:rsidRPr="001A1AF6">
              <w:rPr>
                <w:rFonts w:ascii="Times New Roman" w:hAnsi="Times New Roman"/>
                <w:sz w:val="24"/>
                <w:szCs w:val="24"/>
              </w:rPr>
              <w:t xml:space="preserve">attaisnojuma dokumentu noformēšanas, reģistrēšanas un lietošanas kārtības neievērošanu – izsaka brīdinājumu vai piemēro naudas sodu līdz astoņdesmit sešām naudas soda vienībām (likumprojekta </w:t>
            </w:r>
            <w:r w:rsidR="0097307D" w:rsidRPr="001A1AF6">
              <w:rPr>
                <w:rFonts w:ascii="Times New Roman" w:hAnsi="Times New Roman"/>
                <w:sz w:val="24"/>
                <w:szCs w:val="24"/>
              </w:rPr>
              <w:t>2. pantā paredzētā likuma “Par grāmatvedību”</w:t>
            </w:r>
            <w:r w:rsidR="00FB3894" w:rsidRPr="001A1AF6">
              <w:rPr>
                <w:rFonts w:ascii="Times New Roman" w:hAnsi="Times New Roman"/>
                <w:sz w:val="24"/>
                <w:szCs w:val="24"/>
              </w:rPr>
              <w:t xml:space="preserve"> </w:t>
            </w:r>
            <w:r w:rsidR="0097307D" w:rsidRPr="001A1AF6">
              <w:rPr>
                <w:rFonts w:ascii="Times New Roman" w:hAnsi="Times New Roman"/>
                <w:sz w:val="24"/>
                <w:szCs w:val="24"/>
              </w:rPr>
              <w:t>20</w:t>
            </w:r>
            <w:r w:rsidR="00FB3894" w:rsidRPr="001A1AF6">
              <w:rPr>
                <w:rFonts w:ascii="Times New Roman" w:hAnsi="Times New Roman"/>
                <w:sz w:val="24"/>
                <w:szCs w:val="24"/>
              </w:rPr>
              <w:t>.panta pirmā daļa) (</w:t>
            </w:r>
            <w:r w:rsidR="00AF01B0" w:rsidRPr="001A1AF6">
              <w:rPr>
                <w:rFonts w:ascii="Times New Roman" w:hAnsi="Times New Roman"/>
                <w:sz w:val="24"/>
                <w:szCs w:val="24"/>
              </w:rPr>
              <w:t>LAPK</w:t>
            </w:r>
            <w:r w:rsidR="000659DC" w:rsidRPr="001A1AF6">
              <w:rPr>
                <w:rFonts w:ascii="Times New Roman" w:hAnsi="Times New Roman"/>
                <w:sz w:val="24"/>
                <w:szCs w:val="24"/>
              </w:rPr>
              <w:t xml:space="preserve"> </w:t>
            </w:r>
            <w:r w:rsidR="00AF01B0" w:rsidRPr="001A1AF6">
              <w:rPr>
                <w:rFonts w:ascii="Times New Roman" w:hAnsi="Times New Roman"/>
                <w:sz w:val="24"/>
                <w:szCs w:val="24"/>
              </w:rPr>
              <w:t>155.¹ panta pirmā, otrā</w:t>
            </w:r>
            <w:r w:rsidR="0097307D" w:rsidRPr="001A1AF6">
              <w:rPr>
                <w:rFonts w:ascii="Times New Roman" w:hAnsi="Times New Roman"/>
                <w:sz w:val="24"/>
                <w:szCs w:val="24"/>
              </w:rPr>
              <w:t xml:space="preserve"> un</w:t>
            </w:r>
            <w:r w:rsidR="00AF01B0" w:rsidRPr="001A1AF6">
              <w:rPr>
                <w:rFonts w:ascii="Times New Roman" w:hAnsi="Times New Roman"/>
                <w:sz w:val="24"/>
                <w:szCs w:val="24"/>
              </w:rPr>
              <w:t xml:space="preserve"> ceturtā daļa);</w:t>
            </w:r>
          </w:p>
          <w:p w14:paraId="4DAA4950" w14:textId="77777777" w:rsidR="00F60A38" w:rsidRPr="001A1AF6" w:rsidRDefault="00963D92" w:rsidP="001A1AF6">
            <w:pPr>
              <w:pStyle w:val="ListParagraph"/>
              <w:numPr>
                <w:ilvl w:val="0"/>
                <w:numId w:val="3"/>
              </w:numPr>
              <w:spacing w:after="0" w:line="240" w:lineRule="auto"/>
              <w:ind w:left="3" w:firstLine="278"/>
              <w:jc w:val="both"/>
              <w:rPr>
                <w:rFonts w:ascii="Times New Roman" w:hAnsi="Times New Roman"/>
                <w:sz w:val="24"/>
                <w:szCs w:val="24"/>
              </w:rPr>
            </w:pPr>
            <w:r w:rsidRPr="001A1AF6">
              <w:rPr>
                <w:rFonts w:ascii="Times New Roman" w:hAnsi="Times New Roman"/>
                <w:sz w:val="24"/>
                <w:szCs w:val="24"/>
              </w:rPr>
              <w:t xml:space="preserve">par </w:t>
            </w:r>
            <w:r w:rsidR="00FB3894" w:rsidRPr="001A1AF6">
              <w:rPr>
                <w:rFonts w:ascii="Times New Roman" w:hAnsi="Times New Roman"/>
                <w:sz w:val="24"/>
                <w:szCs w:val="24"/>
              </w:rPr>
              <w:t>attaisnojuma dokumentu par darījumiem vai darbībām ar akcīzes precēm noformēšanas, reģistrēšanas un lietošanas kārtības neievērošanu – izsaka brīdinājumu vai piemēro naudas sodu līdz četri simti naudas</w:t>
            </w:r>
            <w:r w:rsidR="0097307D" w:rsidRPr="001A1AF6">
              <w:rPr>
                <w:rFonts w:ascii="Times New Roman" w:hAnsi="Times New Roman"/>
                <w:sz w:val="24"/>
                <w:szCs w:val="24"/>
              </w:rPr>
              <w:t xml:space="preserve"> soda</w:t>
            </w:r>
            <w:r w:rsidR="00FB3894" w:rsidRPr="001A1AF6">
              <w:rPr>
                <w:rFonts w:ascii="Times New Roman" w:hAnsi="Times New Roman"/>
                <w:sz w:val="24"/>
                <w:szCs w:val="24"/>
              </w:rPr>
              <w:t xml:space="preserve"> vienībām, atņemot valdes loceklim tiesības ieņemt noteiktus amatus komercsabiedrībās vai bez tā</w:t>
            </w:r>
            <w:r w:rsidR="00AF01B0" w:rsidRPr="001A1AF6">
              <w:rPr>
                <w:rFonts w:ascii="Times New Roman" w:hAnsi="Times New Roman"/>
                <w:sz w:val="24"/>
                <w:szCs w:val="24"/>
              </w:rPr>
              <w:t xml:space="preserve"> (likumprojekta </w:t>
            </w:r>
            <w:r w:rsidR="0097307D" w:rsidRPr="001A1AF6">
              <w:rPr>
                <w:rFonts w:ascii="Times New Roman" w:hAnsi="Times New Roman"/>
                <w:sz w:val="24"/>
                <w:szCs w:val="24"/>
              </w:rPr>
              <w:t>2. pantā paredzētā likuma “Par grāmatvedību” 20</w:t>
            </w:r>
            <w:r w:rsidR="00AF01B0" w:rsidRPr="001A1AF6">
              <w:rPr>
                <w:rFonts w:ascii="Times New Roman" w:hAnsi="Times New Roman"/>
                <w:sz w:val="24"/>
                <w:szCs w:val="24"/>
              </w:rPr>
              <w:t xml:space="preserve">.panta otrā daļa) (LAPK </w:t>
            </w:r>
            <w:r w:rsidR="00F60A38" w:rsidRPr="001A1AF6">
              <w:rPr>
                <w:rFonts w:ascii="Times New Roman" w:hAnsi="Times New Roman"/>
                <w:sz w:val="24"/>
                <w:szCs w:val="24"/>
              </w:rPr>
              <w:t>155.¹ panta trešā daļa).</w:t>
            </w:r>
          </w:p>
          <w:p w14:paraId="18CB4E58" w14:textId="77777777" w:rsidR="000659DC" w:rsidRPr="001A1AF6" w:rsidRDefault="00963D92" w:rsidP="000659DC">
            <w:pPr>
              <w:pStyle w:val="ListParagraph"/>
              <w:numPr>
                <w:ilvl w:val="0"/>
                <w:numId w:val="3"/>
              </w:numPr>
              <w:tabs>
                <w:tab w:val="left" w:pos="283"/>
              </w:tabs>
              <w:spacing w:after="0" w:line="240" w:lineRule="auto"/>
              <w:ind w:left="-1" w:firstLine="282"/>
              <w:jc w:val="both"/>
              <w:rPr>
                <w:rFonts w:ascii="Times New Roman" w:hAnsi="Times New Roman"/>
                <w:sz w:val="24"/>
                <w:szCs w:val="24"/>
              </w:rPr>
            </w:pPr>
            <w:r w:rsidRPr="001A1AF6">
              <w:rPr>
                <w:rFonts w:ascii="Times New Roman" w:hAnsi="Times New Roman"/>
                <w:sz w:val="24"/>
                <w:szCs w:val="24"/>
              </w:rPr>
              <w:t xml:space="preserve">par </w:t>
            </w:r>
            <w:r w:rsidR="00826B02" w:rsidRPr="001A1AF6">
              <w:rPr>
                <w:rFonts w:ascii="Times New Roman" w:hAnsi="Times New Roman"/>
                <w:sz w:val="24"/>
                <w:szCs w:val="24"/>
              </w:rPr>
              <w:t>preču piegādes vai pārvadājumu dokumentu, noformēšanas, lietošanas un reģistrēšanas kārtības neievērošanu – izsaka brīdinājumu vai piemēro naudas sodu līdz astoņdesmit sešām naudas soda vienībām (</w:t>
            </w:r>
            <w:r w:rsidR="000659DC" w:rsidRPr="001A1AF6">
              <w:rPr>
                <w:rFonts w:ascii="Times New Roman" w:hAnsi="Times New Roman"/>
                <w:sz w:val="24"/>
                <w:szCs w:val="24"/>
              </w:rPr>
              <w:t>l</w:t>
            </w:r>
            <w:r w:rsidR="00826B02" w:rsidRPr="001A1AF6">
              <w:rPr>
                <w:rFonts w:ascii="Times New Roman" w:hAnsi="Times New Roman"/>
                <w:sz w:val="24"/>
                <w:szCs w:val="24"/>
              </w:rPr>
              <w:t>ikumprojekta</w:t>
            </w:r>
            <w:r w:rsidR="0097307D" w:rsidRPr="001A1AF6">
              <w:rPr>
                <w:rFonts w:ascii="Times New Roman" w:hAnsi="Times New Roman"/>
                <w:sz w:val="24"/>
                <w:szCs w:val="24"/>
              </w:rPr>
              <w:t xml:space="preserve"> 2. pantā paredzētā </w:t>
            </w:r>
            <w:r w:rsidR="0097307D" w:rsidRPr="001A1AF6">
              <w:t xml:space="preserve"> </w:t>
            </w:r>
            <w:r w:rsidR="0097307D" w:rsidRPr="001A1AF6">
              <w:rPr>
                <w:rFonts w:ascii="Times New Roman" w:hAnsi="Times New Roman"/>
                <w:sz w:val="24"/>
                <w:szCs w:val="24"/>
              </w:rPr>
              <w:t>likuma “Par grāmatvedību”</w:t>
            </w:r>
            <w:r w:rsidR="00826B02" w:rsidRPr="001A1AF6">
              <w:rPr>
                <w:rFonts w:ascii="Times New Roman" w:hAnsi="Times New Roman"/>
                <w:sz w:val="24"/>
                <w:szCs w:val="24"/>
              </w:rPr>
              <w:t xml:space="preserve"> 2</w:t>
            </w:r>
            <w:r w:rsidR="0097307D" w:rsidRPr="001A1AF6">
              <w:rPr>
                <w:rFonts w:ascii="Times New Roman" w:hAnsi="Times New Roman"/>
                <w:sz w:val="24"/>
                <w:szCs w:val="24"/>
              </w:rPr>
              <w:t>1</w:t>
            </w:r>
            <w:r w:rsidR="00826B02" w:rsidRPr="001A1AF6">
              <w:rPr>
                <w:rFonts w:ascii="Times New Roman" w:hAnsi="Times New Roman"/>
                <w:sz w:val="24"/>
                <w:szCs w:val="24"/>
              </w:rPr>
              <w:t>.panta pirmā daļa</w:t>
            </w:r>
            <w:r w:rsidR="000659DC" w:rsidRPr="001A1AF6">
              <w:rPr>
                <w:rFonts w:ascii="Times New Roman" w:hAnsi="Times New Roman"/>
                <w:sz w:val="24"/>
                <w:szCs w:val="24"/>
              </w:rPr>
              <w:t>) (LAPK 155.¹ panta pirmā, otrā, ceturtā daļa);</w:t>
            </w:r>
          </w:p>
          <w:p w14:paraId="4A8935FF" w14:textId="77777777" w:rsidR="00FA102B" w:rsidRPr="001A1AF6" w:rsidRDefault="00963D92" w:rsidP="000659DC">
            <w:pPr>
              <w:pStyle w:val="ListParagraph"/>
              <w:numPr>
                <w:ilvl w:val="0"/>
                <w:numId w:val="3"/>
              </w:numPr>
              <w:tabs>
                <w:tab w:val="left" w:pos="283"/>
              </w:tabs>
              <w:spacing w:after="0" w:line="240" w:lineRule="auto"/>
              <w:ind w:left="0" w:firstLine="281"/>
              <w:jc w:val="both"/>
              <w:rPr>
                <w:rFonts w:ascii="Times New Roman" w:hAnsi="Times New Roman"/>
                <w:sz w:val="24"/>
                <w:szCs w:val="24"/>
              </w:rPr>
            </w:pPr>
            <w:r w:rsidRPr="001A1AF6">
              <w:rPr>
                <w:rFonts w:ascii="Times New Roman" w:hAnsi="Times New Roman"/>
                <w:sz w:val="24"/>
                <w:szCs w:val="24"/>
              </w:rPr>
              <w:t xml:space="preserve">par </w:t>
            </w:r>
            <w:r w:rsidR="00826B02" w:rsidRPr="001A1AF6">
              <w:rPr>
                <w:rFonts w:ascii="Times New Roman" w:hAnsi="Times New Roman"/>
                <w:sz w:val="24"/>
                <w:szCs w:val="24"/>
              </w:rPr>
              <w:t>preču piegādes vai pārvadājumu dokumentu par darījumiem vai darbībām ar akcīzes precēm noformēšanas, lietošanas un reģistrēšanas kārtības neievērošanu – izsaka brīdinājumu vai piemēro naudas sodu līdz četri simti naudas</w:t>
            </w:r>
            <w:r w:rsidR="0097307D" w:rsidRPr="001A1AF6">
              <w:rPr>
                <w:rFonts w:ascii="Times New Roman" w:hAnsi="Times New Roman"/>
                <w:sz w:val="24"/>
                <w:szCs w:val="24"/>
              </w:rPr>
              <w:t xml:space="preserve"> soda</w:t>
            </w:r>
            <w:r w:rsidR="00826B02" w:rsidRPr="001A1AF6">
              <w:rPr>
                <w:rFonts w:ascii="Times New Roman" w:hAnsi="Times New Roman"/>
                <w:sz w:val="24"/>
                <w:szCs w:val="24"/>
              </w:rPr>
              <w:t xml:space="preserve"> vienībām, atņemot valdes loceklim tiesības ieņemt noteiktus amatus komercsabiedrībās vai bez tā</w:t>
            </w:r>
            <w:r w:rsidR="000659DC" w:rsidRPr="001A1AF6">
              <w:rPr>
                <w:rFonts w:ascii="Times New Roman" w:hAnsi="Times New Roman"/>
                <w:sz w:val="24"/>
                <w:szCs w:val="24"/>
              </w:rPr>
              <w:t xml:space="preserve"> (likumprojekta </w:t>
            </w:r>
            <w:r w:rsidR="00B32E80" w:rsidRPr="001A1AF6">
              <w:rPr>
                <w:rFonts w:ascii="Times New Roman" w:hAnsi="Times New Roman"/>
                <w:sz w:val="24"/>
                <w:szCs w:val="24"/>
              </w:rPr>
              <w:t>2. pantā paredzētā</w:t>
            </w:r>
            <w:r w:rsidR="00B32E80" w:rsidRPr="001A1AF6">
              <w:t xml:space="preserve"> </w:t>
            </w:r>
            <w:r w:rsidR="00B32E80" w:rsidRPr="001A1AF6">
              <w:rPr>
                <w:rFonts w:ascii="Times New Roman" w:hAnsi="Times New Roman"/>
                <w:sz w:val="24"/>
                <w:szCs w:val="24"/>
              </w:rPr>
              <w:t xml:space="preserve">likuma “Par grāmatvedību” </w:t>
            </w:r>
            <w:r w:rsidR="000659DC" w:rsidRPr="001A1AF6">
              <w:rPr>
                <w:rFonts w:ascii="Times New Roman" w:hAnsi="Times New Roman"/>
                <w:sz w:val="24"/>
                <w:szCs w:val="24"/>
              </w:rPr>
              <w:t>2</w:t>
            </w:r>
            <w:r w:rsidR="00B32E80" w:rsidRPr="001A1AF6">
              <w:rPr>
                <w:rFonts w:ascii="Times New Roman" w:hAnsi="Times New Roman"/>
                <w:sz w:val="24"/>
                <w:szCs w:val="24"/>
              </w:rPr>
              <w:t>1</w:t>
            </w:r>
            <w:r w:rsidR="000659DC" w:rsidRPr="001A1AF6">
              <w:rPr>
                <w:rFonts w:ascii="Times New Roman" w:hAnsi="Times New Roman"/>
                <w:sz w:val="24"/>
                <w:szCs w:val="24"/>
              </w:rPr>
              <w:t>.panta otrā daļa) (LAPK 155.¹ panta ceturtā daļa);</w:t>
            </w:r>
          </w:p>
          <w:p w14:paraId="0CE9620A" w14:textId="77777777" w:rsidR="00FA102B" w:rsidRDefault="000659DC" w:rsidP="00FA102B">
            <w:pPr>
              <w:tabs>
                <w:tab w:val="left" w:pos="567"/>
              </w:tabs>
              <w:spacing w:after="0" w:line="240" w:lineRule="auto"/>
              <w:jc w:val="both"/>
              <w:rPr>
                <w:rFonts w:ascii="Times New Roman" w:hAnsi="Times New Roman"/>
                <w:sz w:val="24"/>
                <w:szCs w:val="24"/>
              </w:rPr>
            </w:pPr>
            <w:r w:rsidRPr="001A1AF6">
              <w:rPr>
                <w:rFonts w:ascii="Times New Roman" w:hAnsi="Times New Roman"/>
                <w:sz w:val="24"/>
                <w:szCs w:val="24"/>
              </w:rPr>
              <w:t xml:space="preserve"> </w:t>
            </w:r>
            <w:r w:rsidR="00FA102B" w:rsidRPr="001A1AF6">
              <w:rPr>
                <w:rFonts w:ascii="Times New Roman" w:hAnsi="Times New Roman"/>
                <w:sz w:val="24"/>
                <w:szCs w:val="24"/>
              </w:rPr>
              <w:t xml:space="preserve">         Attaisnojuma dokumenti atbilstoši likuma “Par grāmatvedību” prasībām var būt </w:t>
            </w:r>
            <w:r w:rsidR="00FA102B" w:rsidRPr="00F60A38">
              <w:rPr>
                <w:rFonts w:ascii="Times New Roman" w:hAnsi="Times New Roman"/>
                <w:sz w:val="24"/>
                <w:szCs w:val="24"/>
              </w:rPr>
              <w:t>gan ārēji, gan iekšēji, piemēram, ārējs attaisnojuma dokuments, kas sastādīts citā uzņēmumā, kā arī tāds dokuments, kas sastādīts pašu uzņēmumā iesniegšanai citam uzņēmumam attiecībā uz precēm un citām materiālajām vērtībām, un pakalpojumiem, iekšējs attaisnojuma dokuments - darba algas izmaksu saraksts, avansa izlietojumu vai darbinieku izdevumu atlīdzināšanas attaisnojumu dokuments u.c. Attaisnojuma dokumentu veids var būt gan rēķins, gan preču uzskaites dokuments, gan pavadzīme, gan pavaddokuments u.c. dokumenti, kurā ir visi likumā  “Par grāmatvedību” attaisnojuma dokumentam noteiktie rekvizīti.</w:t>
            </w:r>
          </w:p>
          <w:p w14:paraId="7062CA69" w14:textId="77777777" w:rsidR="00D92137" w:rsidRDefault="000B0CB8" w:rsidP="00F60A38">
            <w:pPr>
              <w:pStyle w:val="NormalWeb"/>
              <w:tabs>
                <w:tab w:val="left" w:pos="425"/>
              </w:tabs>
              <w:spacing w:before="0" w:beforeAutospacing="0" w:after="0" w:afterAutospacing="0"/>
              <w:ind w:right="142" w:firstLine="281"/>
              <w:contextualSpacing/>
              <w:jc w:val="both"/>
            </w:pPr>
            <w:r w:rsidRPr="00CD0F27">
              <w:t>P</w:t>
            </w:r>
            <w:r w:rsidR="0098561C" w:rsidRPr="00CD0F27">
              <w:t>reču piegādes dokument</w:t>
            </w:r>
            <w:r w:rsidR="00D16AFF" w:rsidRPr="00CD0F27">
              <w:t>s</w:t>
            </w:r>
            <w:r w:rsidR="0098561C" w:rsidRPr="00CD0F27">
              <w:t xml:space="preserve"> saskaņā ar </w:t>
            </w:r>
            <w:r w:rsidR="001A0FBD">
              <w:t xml:space="preserve">Ministru kabineta </w:t>
            </w:r>
            <w:r w:rsidR="0098561C" w:rsidRPr="00CD0F27">
              <w:t>2003.gada 21.oktobra noteikumu Nr.585 “Noteikumi par grāmatvedības kārtošanu un organizāciju”</w:t>
            </w:r>
            <w:r w:rsidR="00D16AFF" w:rsidRPr="00CD0F27">
              <w:t xml:space="preserve"> 35.</w:t>
            </w:r>
            <w:r w:rsidR="00D16AFF" w:rsidRPr="00CD0F27">
              <w:rPr>
                <w:vertAlign w:val="superscript"/>
              </w:rPr>
              <w:t>11</w:t>
            </w:r>
            <w:r w:rsidR="001A0FBD">
              <w:t> </w:t>
            </w:r>
            <w:r w:rsidR="00D16AFF" w:rsidRPr="00CD0F27">
              <w:t>punktu ir dokuments, kurš apliecina preču piegādes un saņemšanas faktu</w:t>
            </w:r>
            <w:r w:rsidR="00A54C54" w:rsidRPr="00CD0F27">
              <w:t xml:space="preserve">. </w:t>
            </w:r>
            <w:r w:rsidR="00D92137" w:rsidRPr="00CD0F27">
              <w:lastRenderedPageBreak/>
              <w:t>Norma par preču piegādes dokumentu noformēšanas, lietošanas un reģistrēšanas kārtības neievērošanu tiek izdalīta atsevišķi no  attaisnojuma dokumentu noformēšanas, reģistrēšanas un lietošanas kārtības neievērošanu, jo tiek ņemts vērā</w:t>
            </w:r>
            <w:r w:rsidRPr="00CD0F27">
              <w:t xml:space="preserve"> tas</w:t>
            </w:r>
            <w:r w:rsidR="00D92137" w:rsidRPr="00CD0F27">
              <w:t>, ka p</w:t>
            </w:r>
            <w:r w:rsidR="00A54C54" w:rsidRPr="00CD0F27">
              <w:t xml:space="preserve">reču piegādes dokumentā var būt neiekļauta preču vienības cena un saimnieciskā darījuma novērtējums naudas izteiksmē, un  bez šiem rekvizītiem </w:t>
            </w:r>
            <w:r w:rsidR="00D92137" w:rsidRPr="00CD0F27">
              <w:t xml:space="preserve">to </w:t>
            </w:r>
            <w:r w:rsidR="00A54C54" w:rsidRPr="00CD0F27">
              <w:t xml:space="preserve">nevar izmantot par attaisnojuma dokumentu. Lai saimniecisko darījumu iegrāmatotu grāmatvedības reģistros, papildus šādam preču piegādes dokumentam nepieciešams </w:t>
            </w:r>
            <w:r w:rsidR="00D92137" w:rsidRPr="00CD0F27">
              <w:t xml:space="preserve">vēl  </w:t>
            </w:r>
            <w:r w:rsidR="00A54C54" w:rsidRPr="00CD0F27">
              <w:t>preču nosūtītāja (izsniedzēja) sagatavots attaisnojuma dokuments</w:t>
            </w:r>
            <w:r w:rsidR="00D92137" w:rsidRPr="00CD0F27">
              <w:t>.</w:t>
            </w:r>
          </w:p>
          <w:p w14:paraId="18FC0181" w14:textId="3B5C7021" w:rsidR="00FA102B" w:rsidRPr="001A1AF6" w:rsidRDefault="00337480" w:rsidP="00FA102B">
            <w:pPr>
              <w:spacing w:after="0" w:line="240" w:lineRule="auto"/>
              <w:ind w:right="111" w:firstLine="360"/>
              <w:jc w:val="both"/>
              <w:rPr>
                <w:rFonts w:ascii="Times New Roman" w:hAnsi="Times New Roman"/>
                <w:sz w:val="24"/>
                <w:szCs w:val="24"/>
              </w:rPr>
            </w:pPr>
            <w:r w:rsidRPr="001A1AF6">
              <w:rPr>
                <w:rFonts w:ascii="Times New Roman" w:hAnsi="Times New Roman"/>
                <w:sz w:val="24"/>
                <w:szCs w:val="24"/>
              </w:rPr>
              <w:t xml:space="preserve">Papildus </w:t>
            </w:r>
            <w:r w:rsidR="00FA102B" w:rsidRPr="001A1AF6">
              <w:rPr>
                <w:rFonts w:ascii="Times New Roman" w:hAnsi="Times New Roman"/>
                <w:sz w:val="24"/>
                <w:szCs w:val="24"/>
              </w:rPr>
              <w:t>Ministru kabineta 2003.gada 21.oktobra noteikumi</w:t>
            </w:r>
            <w:r w:rsidRPr="001A1AF6">
              <w:rPr>
                <w:rFonts w:ascii="Times New Roman" w:hAnsi="Times New Roman"/>
                <w:sz w:val="24"/>
                <w:szCs w:val="24"/>
              </w:rPr>
              <w:t>em</w:t>
            </w:r>
            <w:r w:rsidR="00FA102B" w:rsidRPr="001A1AF6">
              <w:rPr>
                <w:rFonts w:ascii="Times New Roman" w:hAnsi="Times New Roman"/>
                <w:sz w:val="24"/>
                <w:szCs w:val="24"/>
              </w:rPr>
              <w:t xml:space="preserve"> Nr.585 “Noteikumi par grāmatvedības kārtošanu un organizāciju”</w:t>
            </w:r>
            <w:r w:rsidRPr="001A1AF6">
              <w:rPr>
                <w:rFonts w:ascii="Times New Roman" w:hAnsi="Times New Roman"/>
                <w:sz w:val="24"/>
                <w:szCs w:val="24"/>
              </w:rPr>
              <w:t>, kas</w:t>
            </w:r>
            <w:r w:rsidR="00FA102B" w:rsidRPr="001A1AF6">
              <w:rPr>
                <w:rFonts w:ascii="Times New Roman" w:hAnsi="Times New Roman"/>
                <w:sz w:val="24"/>
                <w:szCs w:val="24"/>
              </w:rPr>
              <w:t xml:space="preserve"> nosaka prasības</w:t>
            </w:r>
            <w:r w:rsidR="00622756">
              <w:rPr>
                <w:rFonts w:ascii="Times New Roman" w:hAnsi="Times New Roman"/>
                <w:sz w:val="24"/>
                <w:szCs w:val="24"/>
              </w:rPr>
              <w:t>,</w:t>
            </w:r>
            <w:r w:rsidR="00FA102B" w:rsidRPr="001A1AF6">
              <w:rPr>
                <w:rFonts w:ascii="Times New Roman" w:hAnsi="Times New Roman"/>
                <w:sz w:val="24"/>
                <w:szCs w:val="24"/>
              </w:rPr>
              <w:t xml:space="preserve"> sagatavojot attaisnojuma dokumentu un piegādes dokumentu</w:t>
            </w:r>
            <w:r w:rsidRPr="001A1AF6">
              <w:rPr>
                <w:rFonts w:ascii="Times New Roman" w:hAnsi="Times New Roman"/>
                <w:sz w:val="24"/>
                <w:szCs w:val="24"/>
              </w:rPr>
              <w:t>, a</w:t>
            </w:r>
            <w:r w:rsidR="00FA102B" w:rsidRPr="001A1AF6">
              <w:rPr>
                <w:rFonts w:ascii="Times New Roman" w:hAnsi="Times New Roman"/>
                <w:sz w:val="24"/>
                <w:szCs w:val="24"/>
              </w:rPr>
              <w:t>ttiecībā uz attaisnojuma un piegādes dokumentu noformēšanu akcīzes precēm</w:t>
            </w:r>
            <w:r w:rsidR="00622756">
              <w:rPr>
                <w:rFonts w:ascii="Times New Roman" w:hAnsi="Times New Roman"/>
                <w:sz w:val="24"/>
                <w:szCs w:val="24"/>
              </w:rPr>
              <w:t>,</w:t>
            </w:r>
            <w:r w:rsidR="00FA102B" w:rsidRPr="001A1AF6">
              <w:rPr>
                <w:rFonts w:ascii="Times New Roman" w:hAnsi="Times New Roman"/>
                <w:sz w:val="24"/>
                <w:szCs w:val="24"/>
              </w:rPr>
              <w:t xml:space="preserve"> papildu rekvizītus nosaka Ministru kabineta 2005.gada 30.augusta noteikumi Nr.662 “Akcīzes preču aprites kārtība”,  </w:t>
            </w:r>
            <w:r w:rsidR="00FA102B" w:rsidRPr="001A1AF6">
              <w:rPr>
                <w:rFonts w:ascii="Times New Roman" w:hAnsi="Times New Roman"/>
                <w:bCs/>
                <w:sz w:val="24"/>
                <w:szCs w:val="24"/>
              </w:rPr>
              <w:t xml:space="preserve">Ministru kabineta </w:t>
            </w:r>
            <w:r w:rsidR="00FA102B" w:rsidRPr="001A1AF6">
              <w:rPr>
                <w:rFonts w:ascii="Times New Roman" w:hAnsi="Times New Roman"/>
                <w:sz w:val="24"/>
                <w:szCs w:val="24"/>
              </w:rPr>
              <w:t xml:space="preserve">2011.gada 30.augusta </w:t>
            </w:r>
            <w:r w:rsidR="00FA102B" w:rsidRPr="001A1AF6">
              <w:rPr>
                <w:rFonts w:ascii="Times New Roman" w:hAnsi="Times New Roman"/>
                <w:bCs/>
                <w:sz w:val="24"/>
                <w:szCs w:val="24"/>
              </w:rPr>
              <w:t>noteikumi Nr.684</w:t>
            </w:r>
            <w:r w:rsidR="00FA102B" w:rsidRPr="001A1AF6">
              <w:rPr>
                <w:rFonts w:ascii="Times New Roman" w:hAnsi="Times New Roman"/>
                <w:sz w:val="24"/>
                <w:szCs w:val="24"/>
              </w:rPr>
              <w:t xml:space="preserve"> “</w:t>
            </w:r>
            <w:r w:rsidR="00FA102B" w:rsidRPr="001A1AF6">
              <w:rPr>
                <w:rFonts w:ascii="Times New Roman" w:hAnsi="Times New Roman"/>
                <w:bCs/>
                <w:sz w:val="24"/>
                <w:szCs w:val="24"/>
              </w:rPr>
              <w:t>Kārtība, kādā atsevišķiem alkoholiskajiem dzērieniem piemēro akcīzes nodokļa atbrīvojumu”, Ministru kabineta</w:t>
            </w:r>
            <w:r w:rsidR="00FA102B" w:rsidRPr="001A1AF6">
              <w:rPr>
                <w:rFonts w:ascii="Times New Roman" w:hAnsi="Times New Roman"/>
                <w:sz w:val="24"/>
                <w:szCs w:val="24"/>
              </w:rPr>
              <w:t xml:space="preserve"> </w:t>
            </w:r>
            <w:r w:rsidR="00FA102B" w:rsidRPr="001A1AF6">
              <w:rPr>
                <w:rFonts w:ascii="Times New Roman" w:hAnsi="Times New Roman"/>
                <w:bCs/>
                <w:sz w:val="24"/>
                <w:szCs w:val="24"/>
              </w:rPr>
              <w:t>2007.gada 31.jūlija noteikumi Nr.525 “Kārtība, kādā atsevišķiem naftas produktiem piemēro samazinātu akcīzes nodokļa likmi vai atbrīvojumu no akcīzes nodokļa”,</w:t>
            </w:r>
            <w:r w:rsidR="00FA102B" w:rsidRPr="001A1AF6">
              <w:rPr>
                <w:rFonts w:ascii="Times New Roman" w:eastAsia="Times New Roman" w:hAnsi="Times New Roman"/>
                <w:bCs/>
                <w:color w:val="414142"/>
                <w:sz w:val="24"/>
                <w:szCs w:val="24"/>
                <w:lang w:eastAsia="lv-LV"/>
              </w:rPr>
              <w:t xml:space="preserve"> </w:t>
            </w:r>
            <w:r w:rsidR="00FA102B" w:rsidRPr="001A1AF6">
              <w:rPr>
                <w:rFonts w:ascii="Times New Roman" w:hAnsi="Times New Roman"/>
                <w:bCs/>
                <w:sz w:val="24"/>
                <w:szCs w:val="24"/>
              </w:rPr>
              <w:t>Ministru kabineta 2009.gada 3.marta noteikumi Nr.211 “Spirta denaturēšanas un denaturētā spirta aprites kārtība”, Ministru kabineta 2005.gada 13.decembra noteikumi Nr.956</w:t>
            </w:r>
            <w:r w:rsidR="00265D09" w:rsidRPr="001A1AF6" w:rsidDel="00265D09">
              <w:rPr>
                <w:rFonts w:ascii="Times New Roman" w:hAnsi="Times New Roman"/>
                <w:bCs/>
                <w:sz w:val="24"/>
                <w:szCs w:val="24"/>
              </w:rPr>
              <w:t xml:space="preserve"> </w:t>
            </w:r>
            <w:r w:rsidR="00FA102B" w:rsidRPr="001A1AF6">
              <w:rPr>
                <w:rFonts w:ascii="Times New Roman" w:hAnsi="Times New Roman"/>
                <w:bCs/>
                <w:sz w:val="24"/>
                <w:szCs w:val="24"/>
              </w:rPr>
              <w:t>“Kārtība, kādā piešķirams patstāvīgas mazās alus darītavas statuss un piemērojama akcīzes nodokļa likme patstāvīgo mazo alus darītavu saražotajam alum”, Ministru kabineta 2010.gada 21.decembra noteikumi Nr.1176 “Bioproduktus saturošas degvielas aprites un attiecīgā akcīzes nodokļa administrēšanas kārtība”,</w:t>
            </w:r>
            <w:r w:rsidR="00FA102B" w:rsidRPr="001A1AF6">
              <w:rPr>
                <w:rFonts w:ascii="Times New Roman" w:hAnsi="Times New Roman"/>
                <w:sz w:val="24"/>
                <w:szCs w:val="24"/>
              </w:rPr>
              <w:t xml:space="preserve"> savukārt prasības akcīzes preču elektronisko administratīvo dokumentu noformēšanai nosaka Ministru kabineta 2010.gada 30.marta noteikumi Nr.307 “Akcīzes preču elektroniskā administratīvā dokumenta aprites un kontroles kārtība” un prasības akcīzes preču vienkāršoto pavaddokumentu noformēšanai nosaka </w:t>
            </w:r>
            <w:r w:rsidR="00FA102B" w:rsidRPr="001A1AF6">
              <w:rPr>
                <w:rFonts w:ascii="Times New Roman" w:eastAsia="Times New Roman" w:hAnsi="Times New Roman"/>
                <w:bCs/>
                <w:color w:val="414142"/>
                <w:sz w:val="24"/>
                <w:szCs w:val="24"/>
                <w:lang w:eastAsia="lv-LV"/>
              </w:rPr>
              <w:t xml:space="preserve"> </w:t>
            </w:r>
            <w:r w:rsidR="00FA102B" w:rsidRPr="001A1AF6">
              <w:rPr>
                <w:rFonts w:ascii="Times New Roman" w:hAnsi="Times New Roman"/>
                <w:bCs/>
                <w:sz w:val="24"/>
                <w:szCs w:val="24"/>
              </w:rPr>
              <w:t xml:space="preserve">Ministru kabineta </w:t>
            </w:r>
            <w:r w:rsidR="00FA102B" w:rsidRPr="001A1AF6">
              <w:rPr>
                <w:rFonts w:ascii="Times New Roman" w:hAnsi="Times New Roman"/>
                <w:sz w:val="24"/>
                <w:szCs w:val="24"/>
              </w:rPr>
              <w:t xml:space="preserve">2010.gada 12.oktobra </w:t>
            </w:r>
            <w:r w:rsidR="00FA102B" w:rsidRPr="001A1AF6">
              <w:rPr>
                <w:rFonts w:ascii="Times New Roman" w:hAnsi="Times New Roman"/>
                <w:bCs/>
                <w:sz w:val="24"/>
                <w:szCs w:val="24"/>
              </w:rPr>
              <w:t>noteikumi Nr.957“Vienkāršoto akcīzes preču pavaddokumentu aprites un kontroles kārtība”</w:t>
            </w:r>
            <w:r w:rsidR="00FA102B" w:rsidRPr="001A1AF6">
              <w:rPr>
                <w:rFonts w:ascii="Times New Roman" w:hAnsi="Times New Roman"/>
                <w:sz w:val="24"/>
                <w:szCs w:val="24"/>
              </w:rPr>
              <w:t>.</w:t>
            </w:r>
          </w:p>
          <w:p w14:paraId="16D25FF2" w14:textId="77777777" w:rsidR="00FA102B" w:rsidRPr="001A1AF6" w:rsidRDefault="00FA102B" w:rsidP="00FA102B">
            <w:pPr>
              <w:spacing w:after="0" w:line="240" w:lineRule="auto"/>
              <w:ind w:right="111" w:firstLine="360"/>
              <w:jc w:val="both"/>
              <w:rPr>
                <w:rFonts w:ascii="Times New Roman" w:hAnsi="Times New Roman"/>
                <w:sz w:val="24"/>
                <w:szCs w:val="24"/>
              </w:rPr>
            </w:pPr>
            <w:r w:rsidRPr="001A1AF6">
              <w:rPr>
                <w:rFonts w:ascii="Times New Roman" w:hAnsi="Times New Roman"/>
                <w:sz w:val="24"/>
                <w:szCs w:val="24"/>
              </w:rPr>
              <w:t>Taču praksē vienā attaisnojuma vai piegādes dokumentā var būt norādītas vairākas preces, tajā skaitā arī akcīzes preces. Tādējādi administratīvā atbildība par konstatētajiem pārkāpumiem attaisnojuma dokumenta vai piegādes dokumenta noformēšanā attiecībā arī uz akcīzes precēm, kā arī akcīzes preču elektroniskā administratīvā dokumenta vai vienkāršotā akcīzes preču pavaddokumenta apritē, kas paredzēta LAPK 155.</w:t>
            </w:r>
            <w:r w:rsidRPr="001A1AF6">
              <w:rPr>
                <w:rFonts w:ascii="Times New Roman" w:hAnsi="Times New Roman"/>
                <w:sz w:val="24"/>
                <w:szCs w:val="24"/>
                <w:vertAlign w:val="superscript"/>
              </w:rPr>
              <w:t>1</w:t>
            </w:r>
            <w:r w:rsidRPr="001A1AF6">
              <w:rPr>
                <w:rFonts w:ascii="Times New Roman" w:hAnsi="Times New Roman"/>
                <w:sz w:val="24"/>
                <w:szCs w:val="24"/>
              </w:rPr>
              <w:t>panta trešajā daļā</w:t>
            </w:r>
            <w:r w:rsidR="003D0624" w:rsidRPr="001A1AF6">
              <w:rPr>
                <w:rFonts w:ascii="Times New Roman" w:hAnsi="Times New Roman"/>
                <w:sz w:val="24"/>
                <w:szCs w:val="24"/>
              </w:rPr>
              <w:t>,</w:t>
            </w:r>
            <w:r w:rsidRPr="001A1AF6">
              <w:rPr>
                <w:rFonts w:ascii="Times New Roman" w:hAnsi="Times New Roman"/>
                <w:sz w:val="24"/>
                <w:szCs w:val="24"/>
              </w:rPr>
              <w:t xml:space="preserve"> ir jānosaka likumā “Par grāmatvedību”.  Tādējādi visas normas par administratīvo atbildību saistībā ar grāmatvedību un attaisnojuma, piegādes un pārvadājumu dokumentiem tiks noteiktas vienkopus, t.i., likumā “Par grāmatvedību”. Līdz ar to likumā “Par akcīzes nodokli” nav paredzēta norma par administratīvo atbildību attiecībā uz attaisnojuma, pārvadājuma un piegādes dokumentiem.  </w:t>
            </w:r>
          </w:p>
          <w:p w14:paraId="1FB79597" w14:textId="40645A1A" w:rsidR="005E3C45" w:rsidRPr="001A1AF6" w:rsidRDefault="000659DC" w:rsidP="005E3C45">
            <w:pPr>
              <w:pStyle w:val="NormalWeb"/>
              <w:numPr>
                <w:ilvl w:val="0"/>
                <w:numId w:val="3"/>
              </w:numPr>
              <w:spacing w:before="0" w:beforeAutospacing="0" w:after="0" w:afterAutospacing="0"/>
              <w:ind w:left="-1" w:right="141" w:firstLine="282"/>
              <w:contextualSpacing/>
              <w:jc w:val="both"/>
            </w:pPr>
            <w:r w:rsidRPr="001A1AF6">
              <w:lastRenderedPageBreak/>
              <w:t>Par kases operāciju uzskaites kārtības neievērošanu – izsaka brīdinājumu vai piemēro naudas sodu līdz septiņdesmit naudas</w:t>
            </w:r>
            <w:r w:rsidR="00D91581" w:rsidRPr="001A1AF6">
              <w:t xml:space="preserve"> soda</w:t>
            </w:r>
            <w:r w:rsidRPr="001A1AF6">
              <w:t xml:space="preserve"> vienībām (likumprojekta </w:t>
            </w:r>
            <w:r w:rsidR="00D91581" w:rsidRPr="001A1AF6">
              <w:t xml:space="preserve">2. pantā paredzētais  likuma “Par grāmatvedību” </w:t>
            </w:r>
            <w:r w:rsidRPr="001A1AF6">
              <w:t>1</w:t>
            </w:r>
            <w:r w:rsidR="00622756">
              <w:t>8</w:t>
            </w:r>
            <w:r w:rsidRPr="001A1AF6">
              <w:t>.p</w:t>
            </w:r>
            <w:r w:rsidR="007875C1" w:rsidRPr="001A1AF6">
              <w:t>ants</w:t>
            </w:r>
            <w:r w:rsidRPr="001A1AF6">
              <w:t>) (LAPK 155.² panta pirmā</w:t>
            </w:r>
            <w:r w:rsidR="00D91581" w:rsidRPr="001A1AF6">
              <w:t xml:space="preserve"> un</w:t>
            </w:r>
            <w:r w:rsidRPr="001A1AF6">
              <w:t xml:space="preserve"> otrā daļa. LAPK 155.² panta otrā daļa attiecas uz kases ieņēmumu un izdevumu reģistrēšanas</w:t>
            </w:r>
            <w:r w:rsidR="00D91581" w:rsidRPr="001A1AF6">
              <w:t xml:space="preserve"> (uzskaites)</w:t>
            </w:r>
            <w:r w:rsidRPr="001A1AF6">
              <w:t xml:space="preserve"> kārtības neievērošanu attiecībā uz vietām, kur tirgo akcīzes preces un paredz gan naudas </w:t>
            </w:r>
            <w:r w:rsidR="005E3C45" w:rsidRPr="001A1AF6">
              <w:t>s</w:t>
            </w:r>
            <w:r w:rsidRPr="001A1AF6">
              <w:t xml:space="preserve">odu, gan mantas konfiskāciju. Sakarā ar to, ka likumprojektā </w:t>
            </w:r>
            <w:r w:rsidR="00D91581" w:rsidRPr="001A1AF6">
              <w:t xml:space="preserve">“Administratīvo pārkāpumu procesa likums” (Nr.16/Lp12) (turpmāk – APPL) </w:t>
            </w:r>
            <w:r w:rsidRPr="001A1AF6">
              <w:t>netiek paredzēta mantas konfiskācij</w:t>
            </w:r>
            <w:r w:rsidR="00D91581" w:rsidRPr="001A1AF6">
              <w:t>a</w:t>
            </w:r>
            <w:r w:rsidRPr="001A1AF6">
              <w:t>, tad par kases ieņēmumu un izdevumu reģistrēšanas kārtību, neatkarīgi no tā vai tas ir saistīts ar vietu, kur tirgo ar akcīzes nodokli</w:t>
            </w:r>
            <w:r w:rsidR="00622756" w:rsidRPr="001A1AF6">
              <w:t xml:space="preserve"> apliekamās </w:t>
            </w:r>
            <w:r w:rsidR="00622756">
              <w:t>preces,</w:t>
            </w:r>
            <w:r w:rsidR="00622756" w:rsidRPr="001A1AF6">
              <w:t xml:space="preserve"> </w:t>
            </w:r>
            <w:r w:rsidRPr="001A1AF6">
              <w:t xml:space="preserve"> vai nē, piemēro tikai</w:t>
            </w:r>
            <w:r w:rsidR="00A03E03" w:rsidRPr="001A1AF6">
              <w:t xml:space="preserve"> </w:t>
            </w:r>
            <w:r w:rsidR="005E3C45" w:rsidRPr="001A1AF6">
              <w:t>brīdinājumu vai naudas sodu).</w:t>
            </w:r>
          </w:p>
          <w:p w14:paraId="60F2910E" w14:textId="77777777" w:rsidR="00A03E03" w:rsidRPr="001A1AF6" w:rsidRDefault="005E3C45" w:rsidP="005E3C45">
            <w:pPr>
              <w:pStyle w:val="NormalWeb"/>
              <w:spacing w:before="0" w:beforeAutospacing="0" w:after="0" w:afterAutospacing="0"/>
              <w:ind w:left="-1" w:right="141"/>
              <w:contextualSpacing/>
              <w:jc w:val="both"/>
            </w:pPr>
            <w:r w:rsidRPr="001A1AF6">
              <w:t xml:space="preserve">         </w:t>
            </w:r>
            <w:r w:rsidR="00A03E03" w:rsidRPr="001A1AF6">
              <w:t>Likumprojekt</w:t>
            </w:r>
            <w:r w:rsidR="0047057E" w:rsidRPr="001A1AF6">
              <w:t>s</w:t>
            </w:r>
            <w:r w:rsidR="00A03E03" w:rsidRPr="001A1AF6">
              <w:t xml:space="preserve"> </w:t>
            </w:r>
            <w:r w:rsidR="0047057E" w:rsidRPr="001A1AF6">
              <w:t>neparedz</w:t>
            </w:r>
            <w:r w:rsidR="00A03E03" w:rsidRPr="001A1AF6">
              <w:t>:</w:t>
            </w:r>
          </w:p>
          <w:p w14:paraId="54B39FB3" w14:textId="77777777" w:rsidR="00A03E03" w:rsidRPr="001A1AF6" w:rsidRDefault="0047057E" w:rsidP="00A03E03">
            <w:pPr>
              <w:pStyle w:val="NormalWeb"/>
              <w:numPr>
                <w:ilvl w:val="0"/>
                <w:numId w:val="3"/>
              </w:numPr>
              <w:spacing w:before="0" w:beforeAutospacing="0" w:after="0" w:afterAutospacing="0"/>
              <w:ind w:left="0" w:right="141" w:firstLine="281"/>
              <w:contextualSpacing/>
              <w:jc w:val="both"/>
            </w:pPr>
            <w:r w:rsidRPr="001A1AF6">
              <w:t xml:space="preserve">sodu </w:t>
            </w:r>
            <w:r w:rsidR="00A03E03" w:rsidRPr="001A1AF6">
              <w:t>par pārkāpumiem, kas izdarīti atkārtoti gada laikā, jo APPL neparedz atkārtotību kā administratīvā pārkāpuma sastāva pazīmi;</w:t>
            </w:r>
          </w:p>
          <w:p w14:paraId="0A027929" w14:textId="6524A36A" w:rsidR="00A03E03" w:rsidRPr="001A1AF6" w:rsidRDefault="00A03E03" w:rsidP="00A03E03">
            <w:pPr>
              <w:pStyle w:val="NormalWeb"/>
              <w:numPr>
                <w:ilvl w:val="0"/>
                <w:numId w:val="3"/>
              </w:numPr>
              <w:spacing w:before="0" w:beforeAutospacing="0" w:after="0" w:afterAutospacing="0"/>
              <w:ind w:left="0" w:right="141" w:firstLine="281"/>
              <w:contextualSpacing/>
              <w:jc w:val="both"/>
            </w:pPr>
            <w:r w:rsidRPr="001A1AF6">
              <w:t xml:space="preserve">mantas </w:t>
            </w:r>
            <w:r w:rsidR="0047057E" w:rsidRPr="001A1AF6">
              <w:t>konfiskāciju</w:t>
            </w:r>
            <w:r w:rsidR="007B64A7" w:rsidRPr="001A1AF6">
              <w:t>.</w:t>
            </w:r>
            <w:r w:rsidRPr="001A1AF6">
              <w:t xml:space="preserve"> </w:t>
            </w:r>
            <w:r w:rsidR="00622756">
              <w:t>APPL</w:t>
            </w:r>
            <w:r w:rsidR="00B52BDB" w:rsidRPr="001A1AF6">
              <w:t xml:space="preserve"> mantas konfiskācija netiek paredzēta ne kā pamatsods, ne kā papildsods. </w:t>
            </w:r>
            <w:r w:rsidR="00092FEE" w:rsidRPr="001A1AF6">
              <w:t>Saskaņā ar A</w:t>
            </w:r>
            <w:r w:rsidR="00622756">
              <w:t>PPL</w:t>
            </w:r>
            <w:r w:rsidR="00092FEE" w:rsidRPr="001A1AF6">
              <w:t xml:space="preserve"> sākotnējās ietekmes novērtējuma ziņojumā (anotācijā) sniegto skaidrojumu mantas konfiskācija kā soda veids neatbilst administratīvo pārkāpumu jomas specifikai un nebūtu piemērojama. Tā kā šis</w:t>
            </w:r>
            <w:r w:rsidR="00B52BDB" w:rsidRPr="001A1AF6">
              <w:t xml:space="preserve"> ir procesuāls piespiedu līdzeklis, </w:t>
            </w:r>
            <w:r w:rsidR="00092FEE" w:rsidRPr="001A1AF6">
              <w:t xml:space="preserve">tad </w:t>
            </w:r>
            <w:r w:rsidR="00EE47FA" w:rsidRPr="001A1AF6">
              <w:t>izvērtēts</w:t>
            </w:r>
            <w:r w:rsidR="00092FEE" w:rsidRPr="001A1AF6">
              <w:t>, ka</w:t>
            </w:r>
            <w:r w:rsidR="00EE47FA" w:rsidRPr="001A1AF6">
              <w:t xml:space="preserve"> par</w:t>
            </w:r>
            <w:r w:rsidR="00092FEE" w:rsidRPr="001A1AF6">
              <w:t xml:space="preserve"> attaisnojumu dokumentu noformēšanas un lietošanas kārtības</w:t>
            </w:r>
            <w:r w:rsidR="00EE47FA" w:rsidRPr="001A1AF6">
              <w:t xml:space="preserve"> neievērošanu</w:t>
            </w:r>
            <w:r w:rsidR="00092FEE" w:rsidRPr="001A1AF6">
              <w:t>, t.sk.</w:t>
            </w:r>
            <w:r w:rsidR="00622756">
              <w:t xml:space="preserve"> </w:t>
            </w:r>
            <w:r w:rsidR="00092FEE" w:rsidRPr="001A1AF6">
              <w:t>arī par kases ieņēmumu un izdevumu reģistrēšanas kārtības neievērošanu,</w:t>
            </w:r>
            <w:r w:rsidR="00EE47FA" w:rsidRPr="001A1AF6">
              <w:t xml:space="preserve"> mantas konfiskācija</w:t>
            </w:r>
            <w:r w:rsidR="00092FEE" w:rsidRPr="001A1AF6">
              <w:t xml:space="preserve"> ir pārāk sting</w:t>
            </w:r>
            <w:r w:rsidR="003E3BA5" w:rsidRPr="001A1AF6">
              <w:t>r</w:t>
            </w:r>
            <w:r w:rsidR="00092FEE" w:rsidRPr="001A1AF6">
              <w:t>s</w:t>
            </w:r>
            <w:r w:rsidR="00EE47FA" w:rsidRPr="001A1AF6">
              <w:t xml:space="preserve"> administratīvai</w:t>
            </w:r>
            <w:r w:rsidR="003E3BA5" w:rsidRPr="001A1AF6">
              <w:t>s</w:t>
            </w:r>
            <w:r w:rsidR="00EE47FA" w:rsidRPr="001A1AF6">
              <w:t xml:space="preserve"> papildsods</w:t>
            </w:r>
            <w:r w:rsidR="005C29DF" w:rsidRPr="001A1AF6">
              <w:t>. Tādējādi uzskatāms, ka piemērotākais un efektīvākais sods par administratīvo pārkāpumu ir naudas sods. Tādēļ administratīvo sodu sistēmā naudas sodam ir piešķirama primārā soda nozīme. Līdz ar to kā efektīvākais soda mērs ir saglabājams brīdinājums vai naudas sods.</w:t>
            </w:r>
          </w:p>
          <w:p w14:paraId="1BEED949" w14:textId="77777777" w:rsidR="00542A23" w:rsidRPr="00235550" w:rsidRDefault="00542A23" w:rsidP="00E03DA3">
            <w:pPr>
              <w:pStyle w:val="NormalWeb"/>
              <w:spacing w:before="0" w:beforeAutospacing="0" w:after="0" w:afterAutospacing="0"/>
              <w:ind w:left="281"/>
              <w:contextualSpacing/>
              <w:jc w:val="both"/>
            </w:pPr>
            <w:r w:rsidRPr="00235550">
              <w:t>Likumprojektā ir paredzēt</w:t>
            </w:r>
            <w:r w:rsidR="00AD406A">
              <w:t xml:space="preserve">i šādi </w:t>
            </w:r>
            <w:r w:rsidRPr="00235550">
              <w:t>administratīv</w:t>
            </w:r>
            <w:r w:rsidR="00AD406A">
              <w:t>ie</w:t>
            </w:r>
            <w:r w:rsidRPr="00235550">
              <w:t xml:space="preserve"> sodi:</w:t>
            </w:r>
          </w:p>
          <w:p w14:paraId="3512929F" w14:textId="77777777" w:rsidR="00542A23" w:rsidRPr="00235550" w:rsidRDefault="00CC6065" w:rsidP="00E03DA3">
            <w:pPr>
              <w:pStyle w:val="NormalWeb"/>
              <w:numPr>
                <w:ilvl w:val="0"/>
                <w:numId w:val="3"/>
              </w:numPr>
              <w:spacing w:before="0" w:beforeAutospacing="0" w:after="0" w:afterAutospacing="0"/>
              <w:contextualSpacing/>
              <w:jc w:val="both"/>
            </w:pPr>
            <w:r w:rsidRPr="00235550">
              <w:t>brīdinājums</w:t>
            </w:r>
            <w:r w:rsidR="00542A23" w:rsidRPr="00235550">
              <w:t>;</w:t>
            </w:r>
          </w:p>
          <w:p w14:paraId="248FB415" w14:textId="77777777" w:rsidR="00542A23" w:rsidRPr="00CD0F27" w:rsidRDefault="00542A23" w:rsidP="00E03DA3">
            <w:pPr>
              <w:pStyle w:val="NormalWeb"/>
              <w:numPr>
                <w:ilvl w:val="0"/>
                <w:numId w:val="3"/>
              </w:numPr>
              <w:spacing w:before="0" w:beforeAutospacing="0" w:after="0" w:afterAutospacing="0"/>
              <w:contextualSpacing/>
              <w:jc w:val="both"/>
            </w:pPr>
            <w:r w:rsidRPr="00CD0F27">
              <w:t>naudas sods;</w:t>
            </w:r>
          </w:p>
          <w:p w14:paraId="37FC46B2" w14:textId="77777777" w:rsidR="00542A23" w:rsidRPr="00CD0F27" w:rsidRDefault="00542A23" w:rsidP="00E03DA3">
            <w:pPr>
              <w:pStyle w:val="NormalWeb"/>
              <w:numPr>
                <w:ilvl w:val="0"/>
                <w:numId w:val="3"/>
              </w:numPr>
              <w:spacing w:before="0" w:beforeAutospacing="0" w:after="0" w:afterAutospacing="0"/>
              <w:contextualSpacing/>
              <w:jc w:val="both"/>
            </w:pPr>
            <w:r w:rsidRPr="00CD0F27">
              <w:t xml:space="preserve">tiesību </w:t>
            </w:r>
            <w:r w:rsidR="00DB069C" w:rsidRPr="00CD0F27">
              <w:t>atņemšana</w:t>
            </w:r>
            <w:r w:rsidRPr="00CD0F27">
              <w:t>.</w:t>
            </w:r>
          </w:p>
          <w:p w14:paraId="6430F5ED" w14:textId="499DFA8A" w:rsidR="007E0EEB" w:rsidRDefault="00EB163B" w:rsidP="00A03E03">
            <w:pPr>
              <w:pStyle w:val="NormalWeb"/>
              <w:spacing w:before="0" w:beforeAutospacing="0" w:after="0" w:afterAutospacing="0"/>
              <w:ind w:left="-4" w:right="142" w:firstLine="285"/>
              <w:contextualSpacing/>
              <w:jc w:val="both"/>
            </w:pPr>
            <w:r w:rsidRPr="00CD0F27">
              <w:t xml:space="preserve"> Likumprojektā, bez naudas soda, ir paredzēts arī mazāks administratīvais </w:t>
            </w:r>
            <w:r w:rsidRPr="00235550">
              <w:t xml:space="preserve">sods – </w:t>
            </w:r>
            <w:r w:rsidR="00CC6065" w:rsidRPr="00235550">
              <w:t>brīdinājums</w:t>
            </w:r>
            <w:r w:rsidRPr="00CD0F27">
              <w:t xml:space="preserve">. Līdz ar to personai, kura administratīvo pārkāpumu izdarījusi pirmo reizi, vispirms būs iespēja </w:t>
            </w:r>
            <w:r w:rsidR="0047057E" w:rsidRPr="00CD0F27">
              <w:t xml:space="preserve">saņemt </w:t>
            </w:r>
            <w:r w:rsidR="00B82F69">
              <w:t>brīdinājumu</w:t>
            </w:r>
            <w:r w:rsidRPr="004D5AFB">
              <w:t xml:space="preserve">. </w:t>
            </w:r>
            <w:r w:rsidR="00561A80">
              <w:t xml:space="preserve">Izvērtējot </w:t>
            </w:r>
            <w:r w:rsidR="0046016F" w:rsidRPr="004D5AFB">
              <w:t>LAPK</w:t>
            </w:r>
            <w:r w:rsidR="006E4CD8" w:rsidRPr="004D5AFB">
              <w:t xml:space="preserve"> </w:t>
            </w:r>
            <w:r w:rsidR="0046016F" w:rsidRPr="004D5AFB">
              <w:t>155.¹</w:t>
            </w:r>
            <w:r w:rsidR="00AD406A">
              <w:t> panta</w:t>
            </w:r>
            <w:r w:rsidR="005E3C45">
              <w:t xml:space="preserve"> trešajā daļā</w:t>
            </w:r>
            <w:r w:rsidR="00561A80">
              <w:t xml:space="preserve"> paredzētā naudas soda apmēra samērīgumu, l</w:t>
            </w:r>
            <w:r w:rsidR="00561A80" w:rsidRPr="004D5AFB">
              <w:t xml:space="preserve">ikumprojektā </w:t>
            </w:r>
            <w:r w:rsidR="00561A80">
              <w:t>ir</w:t>
            </w:r>
            <w:r w:rsidR="00CD4114" w:rsidRPr="004D5AFB">
              <w:t xml:space="preserve"> </w:t>
            </w:r>
            <w:r w:rsidR="00AD406A">
              <w:t>noteikt</w:t>
            </w:r>
            <w:r w:rsidR="00561A80">
              <w:t>s</w:t>
            </w:r>
            <w:r w:rsidR="00CD4114" w:rsidRPr="004D5AFB">
              <w:t xml:space="preserve"> </w:t>
            </w:r>
            <w:r w:rsidR="00561A80">
              <w:t>mazāks naudas soda apmērs</w:t>
            </w:r>
            <w:r w:rsidR="00CD4114" w:rsidRPr="004D5AFB">
              <w:t xml:space="preserve"> attiecībā uz dokumentu prasībām par </w:t>
            </w:r>
            <w:r w:rsidR="00D8351A" w:rsidRPr="004D5AFB">
              <w:t xml:space="preserve">darījumiem ar </w:t>
            </w:r>
            <w:r w:rsidR="00CD4114" w:rsidRPr="004D5AFB">
              <w:t xml:space="preserve">akcīzes precēm. </w:t>
            </w:r>
          </w:p>
          <w:p w14:paraId="45576814" w14:textId="77777777" w:rsidR="007E0EEB" w:rsidRPr="00697807" w:rsidRDefault="00F61C31" w:rsidP="00827D69">
            <w:pPr>
              <w:pStyle w:val="NormalWeb"/>
              <w:spacing w:before="0" w:beforeAutospacing="0" w:after="0" w:afterAutospacing="0"/>
              <w:ind w:left="-4" w:right="142" w:firstLine="285"/>
              <w:contextualSpacing/>
              <w:jc w:val="both"/>
            </w:pPr>
            <w:r w:rsidRPr="00697807">
              <w:t xml:space="preserve"> </w:t>
            </w:r>
            <w:r w:rsidR="007E0EEB" w:rsidRPr="00697807">
              <w:t xml:space="preserve"> Šobrīd spēkā esošajā LAPK 166.</w:t>
            </w:r>
            <w:r w:rsidR="007E0EEB" w:rsidRPr="00697807">
              <w:rPr>
                <w:bCs/>
                <w:vertAlign w:val="superscript"/>
              </w:rPr>
              <w:t>6</w:t>
            </w:r>
            <w:r w:rsidR="00AD406A" w:rsidRPr="00697807">
              <w:rPr>
                <w:bCs/>
                <w:vertAlign w:val="superscript"/>
              </w:rPr>
              <w:t> </w:t>
            </w:r>
            <w:r w:rsidR="007E0EEB" w:rsidRPr="00697807">
              <w:t>pant</w:t>
            </w:r>
            <w:r w:rsidR="00AD406A" w:rsidRPr="00697807">
              <w:t>a pirmajā un otrajā daļ</w:t>
            </w:r>
            <w:r w:rsidR="007E0EEB" w:rsidRPr="00697807">
              <w:t>ā ir paredzēts papildsods – atņemt valdes loceklim tiesības ieņemt noteiktus amatus komercsabiedrībās</w:t>
            </w:r>
            <w:r w:rsidR="00AD406A" w:rsidRPr="00697807">
              <w:t>,</w:t>
            </w:r>
            <w:r w:rsidR="007E0EEB" w:rsidRPr="00697807">
              <w:t xml:space="preserve"> un tā kā šis papildsods tiek reāli piemērots, tas ir saglabājams arī turpmāk likumprojektā. </w:t>
            </w:r>
          </w:p>
          <w:p w14:paraId="45409F15" w14:textId="77777777" w:rsidR="007E0EEB" w:rsidRPr="00697807" w:rsidRDefault="007E0EEB" w:rsidP="007E0EEB">
            <w:pPr>
              <w:pStyle w:val="NormalWeb"/>
              <w:spacing w:before="0" w:beforeAutospacing="0" w:after="0" w:afterAutospacing="0"/>
              <w:contextualSpacing/>
              <w:jc w:val="both"/>
            </w:pPr>
            <w:r w:rsidRPr="00697807">
              <w:t xml:space="preserve">     Saskaņā ar likuma “Par grāmatvedību”</w:t>
            </w:r>
            <w:r w:rsidR="00827D69" w:rsidRPr="00697807">
              <w:t xml:space="preserve"> </w:t>
            </w:r>
            <w:r w:rsidRPr="00697807">
              <w:t>2.panta ceturto daļu kapitālsabiedrībā uzņēmuma vadītājs ir valde, līdz ar to  arī likumprojektā tiek saglabāts papildsods</w:t>
            </w:r>
            <w:r w:rsidR="00AD406A" w:rsidRPr="00697807">
              <w:t xml:space="preserve"> - atņemt tiesības ieņemt amatus tikai kapitālsabiedrībās kapitālsabiedrības valdes loceklim</w:t>
            </w:r>
            <w:r w:rsidRPr="00697807">
              <w:t xml:space="preserve">, </w:t>
            </w:r>
            <w:r w:rsidRPr="00697807">
              <w:lastRenderedPageBreak/>
              <w:t>kā tas šobrīd noteikts LAPK 166.</w:t>
            </w:r>
            <w:r w:rsidRPr="00697807">
              <w:rPr>
                <w:bCs/>
                <w:vertAlign w:val="superscript"/>
              </w:rPr>
              <w:t>6</w:t>
            </w:r>
            <w:r w:rsidR="00AD406A" w:rsidRPr="00697807">
              <w:t> </w:t>
            </w:r>
            <w:r w:rsidRPr="00697807">
              <w:t>pant</w:t>
            </w:r>
            <w:r w:rsidR="00AD406A" w:rsidRPr="00697807">
              <w:t>a pirmajā un otrajā daļ</w:t>
            </w:r>
            <w:r w:rsidRPr="00697807">
              <w:t>ā.</w:t>
            </w:r>
          </w:p>
          <w:p w14:paraId="5B23BDF9" w14:textId="77777777" w:rsidR="007E0EEB" w:rsidRPr="00CD0F27" w:rsidRDefault="00827D69" w:rsidP="007E0EEB">
            <w:pPr>
              <w:spacing w:after="0" w:line="240" w:lineRule="auto"/>
              <w:ind w:right="141"/>
              <w:jc w:val="both"/>
              <w:rPr>
                <w:rFonts w:ascii="Times New Roman" w:hAnsi="Times New Roman"/>
                <w:color w:val="000000"/>
                <w:sz w:val="24"/>
                <w:szCs w:val="24"/>
              </w:rPr>
            </w:pPr>
            <w:r>
              <w:rPr>
                <w:rFonts w:ascii="Times New Roman" w:hAnsi="Times New Roman"/>
                <w:color w:val="000000"/>
                <w:sz w:val="24"/>
                <w:szCs w:val="24"/>
              </w:rPr>
              <w:t xml:space="preserve">         </w:t>
            </w:r>
            <w:r w:rsidR="007E0EEB" w:rsidRPr="00CD0F27">
              <w:rPr>
                <w:rFonts w:ascii="Times New Roman" w:hAnsi="Times New Roman"/>
                <w:color w:val="000000"/>
                <w:sz w:val="24"/>
                <w:szCs w:val="24"/>
              </w:rPr>
              <w:t>Ar 2012.gada 29.novembra likumu “Grozījumi Latvijas Administratīvo pārkāpumu kodeksā”, kas stājas spēkā 2013.gada 1.janvārī, LAPK regulējums tika p</w:t>
            </w:r>
            <w:r w:rsidR="006021C4">
              <w:rPr>
                <w:rFonts w:ascii="Times New Roman" w:hAnsi="Times New Roman"/>
                <w:color w:val="000000"/>
                <w:sz w:val="24"/>
                <w:szCs w:val="24"/>
              </w:rPr>
              <w:t xml:space="preserve">recizēts, paredzot </w:t>
            </w:r>
            <w:r w:rsidR="007E0EEB" w:rsidRPr="00CD0F27">
              <w:rPr>
                <w:rFonts w:ascii="Times New Roman" w:hAnsi="Times New Roman"/>
                <w:color w:val="000000"/>
                <w:sz w:val="24"/>
                <w:szCs w:val="24"/>
              </w:rPr>
              <w:t xml:space="preserve"> papildsodu -  tiesību atņemšana ieņemt noteiktus amatus, lai radītu iespēju no </w:t>
            </w:r>
            <w:proofErr w:type="spellStart"/>
            <w:r w:rsidR="007E0EEB" w:rsidRPr="00CD0F27">
              <w:rPr>
                <w:rFonts w:ascii="Times New Roman" w:hAnsi="Times New Roman"/>
                <w:color w:val="000000"/>
                <w:sz w:val="24"/>
                <w:szCs w:val="24"/>
              </w:rPr>
              <w:t>komerctiesiskās</w:t>
            </w:r>
            <w:proofErr w:type="spellEnd"/>
            <w:r w:rsidR="007E0EEB" w:rsidRPr="00CD0F27">
              <w:rPr>
                <w:rFonts w:ascii="Times New Roman" w:hAnsi="Times New Roman"/>
                <w:color w:val="000000"/>
                <w:sz w:val="24"/>
                <w:szCs w:val="24"/>
              </w:rPr>
              <w:t xml:space="preserve"> vides “izslēgt” personas, kuras ieceltas par valdes locekļiem bez mērķa reāli vadīt komercsabiedrību, piemēram, personas bez noteiktas dzīvesvietas vai ar deklarēto dzīvesvietu patversmē, jo ar pievienotās vērtības nodokli apliekamo personu reģistra izslēgto komercsabiedrību dibinātājiem un amatpersonām netiek aizliegtas tiesības dibināt jaunas sabiedrības vai būt par to amatpersonām</w:t>
            </w:r>
            <w:r w:rsidR="007E0EEB">
              <w:rPr>
                <w:rFonts w:ascii="Times New Roman" w:hAnsi="Times New Roman"/>
                <w:color w:val="000000"/>
                <w:sz w:val="24"/>
                <w:szCs w:val="24"/>
              </w:rPr>
              <w:t>.</w:t>
            </w:r>
          </w:p>
          <w:p w14:paraId="053BCF07" w14:textId="77777777" w:rsidR="00AB0BBA" w:rsidRPr="00CD0F27" w:rsidRDefault="007E0EEB" w:rsidP="007E0EEB">
            <w:pPr>
              <w:pStyle w:val="NormalWeb"/>
              <w:spacing w:before="0" w:beforeAutospacing="0" w:after="0" w:afterAutospacing="0"/>
              <w:ind w:left="-4" w:firstLine="285"/>
              <w:contextualSpacing/>
              <w:jc w:val="both"/>
            </w:pPr>
            <w:r w:rsidRPr="00CD0F27">
              <w:rPr>
                <w:color w:val="000000"/>
              </w:rPr>
              <w:t xml:space="preserve">     Kopš 2013.gada 1.janvāra</w:t>
            </w:r>
            <w:r w:rsidR="006F60FB">
              <w:rPr>
                <w:color w:val="000000"/>
              </w:rPr>
              <w:t>,</w:t>
            </w:r>
            <w:r w:rsidRPr="00CD0F27">
              <w:rPr>
                <w:color w:val="000000"/>
              </w:rPr>
              <w:t xml:space="preserve"> V</w:t>
            </w:r>
            <w:r w:rsidR="006F60FB">
              <w:rPr>
                <w:color w:val="000000"/>
              </w:rPr>
              <w:t>ID</w:t>
            </w:r>
            <w:r w:rsidRPr="00CD0F27">
              <w:rPr>
                <w:color w:val="000000"/>
              </w:rPr>
              <w:t xml:space="preserve"> konstatējot būtiskus pārkāpumus grāmatvedības kārtošanā, papildsodu – tiesību atņemšan</w:t>
            </w:r>
            <w:r w:rsidR="006F60FB">
              <w:rPr>
                <w:color w:val="000000"/>
              </w:rPr>
              <w:t>u</w:t>
            </w:r>
            <w:r w:rsidRPr="00CD0F27">
              <w:rPr>
                <w:color w:val="000000"/>
              </w:rPr>
              <w:t xml:space="preserve"> 2013.gadā ir piemērojis 113 valdes locekļiem, 2014.gadā </w:t>
            </w:r>
            <w:r w:rsidR="006F60FB">
              <w:rPr>
                <w:color w:val="000000"/>
              </w:rPr>
              <w:t xml:space="preserve">- </w:t>
            </w:r>
            <w:r w:rsidRPr="00CD0F27">
              <w:rPr>
                <w:color w:val="000000"/>
              </w:rPr>
              <w:t xml:space="preserve">93 valdes locekļiem un 2015.gadā </w:t>
            </w:r>
            <w:r w:rsidR="006F60FB">
              <w:rPr>
                <w:color w:val="000000"/>
              </w:rPr>
              <w:t xml:space="preserve">- </w:t>
            </w:r>
            <w:r w:rsidRPr="00CD0F27">
              <w:rPr>
                <w:color w:val="000000"/>
              </w:rPr>
              <w:t>124 valdes locekļiem</w:t>
            </w:r>
            <w:r w:rsidR="00827D69">
              <w:rPr>
                <w:color w:val="000000"/>
              </w:rPr>
              <w:t>.</w:t>
            </w:r>
          </w:p>
          <w:p w14:paraId="628203A7" w14:textId="77777777" w:rsidR="00805130" w:rsidRPr="00CD0F27" w:rsidRDefault="00F909C2" w:rsidP="00A03E03">
            <w:pPr>
              <w:pStyle w:val="NormalWeb"/>
              <w:spacing w:before="0" w:beforeAutospacing="0" w:after="0" w:afterAutospacing="0"/>
              <w:ind w:right="142" w:firstLine="281"/>
              <w:contextualSpacing/>
              <w:jc w:val="both"/>
            </w:pPr>
            <w:r w:rsidRPr="00CD0F27">
              <w:t>Administratīvo pārkāpumu sastāvu aktualitāte ir analizēta, izvērtējot statistikas informāciju par konstatētajiem administratīvajiem pārkāpumiem iepriekšējos gados</w:t>
            </w:r>
            <w:r w:rsidR="005F523E" w:rsidRPr="00CD0F27">
              <w:t xml:space="preserve">. </w:t>
            </w:r>
            <w:r w:rsidR="00E03DA3" w:rsidRPr="00CD0F27">
              <w:t xml:space="preserve">Šobrīd, </w:t>
            </w:r>
            <w:r w:rsidR="00B501BF" w:rsidRPr="00CD0F27">
              <w:t>VID</w:t>
            </w:r>
            <w:r w:rsidR="00E03DA3" w:rsidRPr="00CD0F27">
              <w:t xml:space="preserve"> veicot pārbaudes par grāmatvedības kārtošanu, gada pārskatu un konsolidēto gada pārskatu sastādīšanu un iesniegšanu</w:t>
            </w:r>
            <w:r w:rsidR="00805130" w:rsidRPr="00CD0F27">
              <w:t>,</w:t>
            </w:r>
            <w:r w:rsidR="00E03DA3" w:rsidRPr="00CD0F27">
              <w:t xml:space="preserve"> piemēro LAPK</w:t>
            </w:r>
            <w:r w:rsidR="00805130" w:rsidRPr="00CD0F27">
              <w:t xml:space="preserve"> 155.¹,</w:t>
            </w:r>
            <w:r w:rsidR="00E03DA3" w:rsidRPr="00CD0F27">
              <w:t xml:space="preserve"> 155.²</w:t>
            </w:r>
            <w:r w:rsidR="00852924">
              <w:t xml:space="preserve"> un</w:t>
            </w:r>
            <w:r w:rsidR="00012932" w:rsidRPr="00CD0F27">
              <w:t xml:space="preserve"> </w:t>
            </w:r>
            <w:r w:rsidR="00805130" w:rsidRPr="00CD0F27">
              <w:rPr>
                <w:bCs/>
              </w:rPr>
              <w:t>166.</w:t>
            </w:r>
            <w:r w:rsidR="00805130" w:rsidRPr="00CD0F27">
              <w:rPr>
                <w:bCs/>
                <w:vertAlign w:val="superscript"/>
              </w:rPr>
              <w:t>6</w:t>
            </w:r>
            <w:r w:rsidR="00805130" w:rsidRPr="00CD0F27">
              <w:rPr>
                <w:b/>
                <w:bCs/>
                <w:vertAlign w:val="superscript"/>
              </w:rPr>
              <w:t xml:space="preserve"> </w:t>
            </w:r>
            <w:r w:rsidR="006F60FB">
              <w:t> </w:t>
            </w:r>
            <w:r w:rsidR="00805130" w:rsidRPr="00CD0F27">
              <w:t>pantu.</w:t>
            </w:r>
            <w:r w:rsidR="00B501BF" w:rsidRPr="00CD0F27">
              <w:t xml:space="preserve"> </w:t>
            </w:r>
            <w:r w:rsidR="00012932" w:rsidRPr="00CD0F27">
              <w:t>VID</w:t>
            </w:r>
            <w:r w:rsidR="006F60FB">
              <w:t>,</w:t>
            </w:r>
            <w:r w:rsidR="00012932" w:rsidRPr="00CD0F27">
              <w:t xml:space="preserve"> 2015.gadā veicot pārbaudes</w:t>
            </w:r>
            <w:r w:rsidR="006F60FB">
              <w:t>,</w:t>
            </w:r>
            <w:r w:rsidR="00012932" w:rsidRPr="00CD0F27">
              <w:t xml:space="preserve"> pieņēmis lēmumus pēc LAPK:</w:t>
            </w:r>
          </w:p>
          <w:p w14:paraId="30D2FBC7" w14:textId="77777777" w:rsidR="00012932" w:rsidRPr="00CD0F27" w:rsidRDefault="00012932" w:rsidP="00A03E03">
            <w:pPr>
              <w:pStyle w:val="NormalWeb"/>
              <w:numPr>
                <w:ilvl w:val="0"/>
                <w:numId w:val="3"/>
              </w:numPr>
              <w:spacing w:before="0" w:beforeAutospacing="0" w:after="0" w:afterAutospacing="0"/>
              <w:ind w:left="0" w:right="142" w:firstLine="281"/>
              <w:contextualSpacing/>
              <w:jc w:val="both"/>
            </w:pPr>
            <w:r w:rsidRPr="00CD0F27">
              <w:t>155.¹</w:t>
            </w:r>
            <w:r w:rsidR="006F60FB">
              <w:t> </w:t>
            </w:r>
            <w:r w:rsidRPr="00CD0F27">
              <w:t xml:space="preserve">panta – 381 nodokļu maksātājiem piemērota naudas soda kopsumma 42280 </w:t>
            </w:r>
            <w:proofErr w:type="spellStart"/>
            <w:r w:rsidRPr="00CD0F27">
              <w:rPr>
                <w:i/>
              </w:rPr>
              <w:t>euro</w:t>
            </w:r>
            <w:proofErr w:type="spellEnd"/>
            <w:r w:rsidR="006F60FB">
              <w:t>. V</w:t>
            </w:r>
            <w:r w:rsidRPr="00CD0F27">
              <w:t xml:space="preserve">idējā kopsumma uz vienu uzņēmumu </w:t>
            </w:r>
            <w:r w:rsidR="006F60FB">
              <w:t xml:space="preserve">ir </w:t>
            </w:r>
            <w:r w:rsidRPr="00CD0F27">
              <w:t xml:space="preserve">111 </w:t>
            </w:r>
            <w:proofErr w:type="spellStart"/>
            <w:r w:rsidRPr="00CD0F27">
              <w:rPr>
                <w:i/>
              </w:rPr>
              <w:t>euro</w:t>
            </w:r>
            <w:proofErr w:type="spellEnd"/>
            <w:r w:rsidR="001241F6" w:rsidRPr="00CD0F27">
              <w:rPr>
                <w:i/>
              </w:rPr>
              <w:t xml:space="preserve"> </w:t>
            </w:r>
            <w:r w:rsidR="001241F6" w:rsidRPr="00CD0F27">
              <w:t>(LAPK 155.¹</w:t>
            </w:r>
            <w:r w:rsidR="006F60FB">
              <w:t> </w:t>
            </w:r>
            <w:r w:rsidR="001241F6" w:rsidRPr="00CD0F27">
              <w:t>pantā noteiktais vislielākais naudas soda apmērs amatpersonai ir 430</w:t>
            </w:r>
            <w:r w:rsidR="001241F6" w:rsidRPr="00CD0F27">
              <w:rPr>
                <w:i/>
              </w:rPr>
              <w:t xml:space="preserve"> </w:t>
            </w:r>
            <w:proofErr w:type="spellStart"/>
            <w:r w:rsidR="001241F6" w:rsidRPr="00CD0F27">
              <w:rPr>
                <w:i/>
              </w:rPr>
              <w:t>euro</w:t>
            </w:r>
            <w:proofErr w:type="spellEnd"/>
            <w:r w:rsidR="001241F6" w:rsidRPr="00CD0F27">
              <w:t>)</w:t>
            </w:r>
            <w:r w:rsidRPr="00CD0F27">
              <w:rPr>
                <w:i/>
              </w:rPr>
              <w:t>;</w:t>
            </w:r>
          </w:p>
          <w:p w14:paraId="2911E087" w14:textId="77777777" w:rsidR="00012932" w:rsidRPr="00CD0F27" w:rsidRDefault="00012932" w:rsidP="00A03E03">
            <w:pPr>
              <w:pStyle w:val="NormalWeb"/>
              <w:numPr>
                <w:ilvl w:val="0"/>
                <w:numId w:val="3"/>
              </w:numPr>
              <w:spacing w:before="0" w:beforeAutospacing="0" w:after="0" w:afterAutospacing="0"/>
              <w:ind w:left="0" w:right="142" w:firstLine="281"/>
              <w:contextualSpacing/>
              <w:jc w:val="both"/>
            </w:pPr>
            <w:r w:rsidRPr="00CD0F27">
              <w:t>155.²</w:t>
            </w:r>
            <w:r w:rsidR="006F60FB">
              <w:t> </w:t>
            </w:r>
            <w:r w:rsidRPr="00CD0F27">
              <w:t>panta – 124 nodokļu maksātājiem piemērota naudas soda kopsumma 17500</w:t>
            </w:r>
            <w:r w:rsidRPr="00CD0F27">
              <w:rPr>
                <w:i/>
              </w:rPr>
              <w:t xml:space="preserve"> </w:t>
            </w:r>
            <w:proofErr w:type="spellStart"/>
            <w:r w:rsidRPr="00CD0F27">
              <w:rPr>
                <w:i/>
              </w:rPr>
              <w:t>euro</w:t>
            </w:r>
            <w:proofErr w:type="spellEnd"/>
            <w:r w:rsidR="006F60FB">
              <w:t>. V</w:t>
            </w:r>
            <w:r w:rsidRPr="00CD0F27">
              <w:t xml:space="preserve">idējā kopsumma uz vienu uzņēmumu </w:t>
            </w:r>
            <w:r w:rsidR="006F60FB">
              <w:t xml:space="preserve">ir </w:t>
            </w:r>
            <w:r w:rsidRPr="00CD0F27">
              <w:t xml:space="preserve">141 </w:t>
            </w:r>
            <w:proofErr w:type="spellStart"/>
            <w:r w:rsidRPr="00CD0F27">
              <w:rPr>
                <w:i/>
              </w:rPr>
              <w:t>euro</w:t>
            </w:r>
            <w:proofErr w:type="spellEnd"/>
            <w:r w:rsidR="001241F6" w:rsidRPr="00CD0F27">
              <w:rPr>
                <w:i/>
              </w:rPr>
              <w:t xml:space="preserve"> </w:t>
            </w:r>
            <w:r w:rsidR="001241F6" w:rsidRPr="00CD0F27">
              <w:t>(LAPK 155.²</w:t>
            </w:r>
            <w:r w:rsidR="006F60FB">
              <w:t> </w:t>
            </w:r>
            <w:r w:rsidR="001241F6" w:rsidRPr="00CD0F27">
              <w:t xml:space="preserve">pantā noteiktais vislielākais naudas soda apmērs amatpersonai ir 350 </w:t>
            </w:r>
            <w:proofErr w:type="spellStart"/>
            <w:r w:rsidR="001241F6" w:rsidRPr="00CD0F27">
              <w:rPr>
                <w:i/>
              </w:rPr>
              <w:t>euro</w:t>
            </w:r>
            <w:proofErr w:type="spellEnd"/>
            <w:r w:rsidR="001241F6" w:rsidRPr="00CD0F27">
              <w:t>)</w:t>
            </w:r>
            <w:r w:rsidRPr="00CD0F27">
              <w:rPr>
                <w:i/>
              </w:rPr>
              <w:t>;</w:t>
            </w:r>
          </w:p>
          <w:p w14:paraId="2DDF6FB7" w14:textId="77777777" w:rsidR="00012932" w:rsidRPr="00CD0F27" w:rsidRDefault="00012932" w:rsidP="00A03E03">
            <w:pPr>
              <w:pStyle w:val="NormalWeb"/>
              <w:numPr>
                <w:ilvl w:val="0"/>
                <w:numId w:val="3"/>
              </w:numPr>
              <w:spacing w:before="0" w:beforeAutospacing="0" w:after="0" w:afterAutospacing="0"/>
              <w:ind w:left="0" w:right="141" w:firstLine="281"/>
              <w:contextualSpacing/>
              <w:jc w:val="both"/>
            </w:pPr>
            <w:r w:rsidRPr="00CD0F27">
              <w:rPr>
                <w:bCs/>
              </w:rPr>
              <w:t>166.</w:t>
            </w:r>
            <w:r w:rsidRPr="00CD0F27">
              <w:rPr>
                <w:bCs/>
                <w:vertAlign w:val="superscript"/>
              </w:rPr>
              <w:t>6</w:t>
            </w:r>
            <w:r w:rsidR="006F60FB">
              <w:rPr>
                <w:bCs/>
                <w:vertAlign w:val="superscript"/>
              </w:rPr>
              <w:t> </w:t>
            </w:r>
            <w:r w:rsidRPr="00CD0F27">
              <w:t xml:space="preserve">panta – 1017 nodokļu maksātājiem piemērota naudas soda kopsumma 153160 </w:t>
            </w:r>
            <w:proofErr w:type="spellStart"/>
            <w:r w:rsidRPr="00CD0F27">
              <w:rPr>
                <w:i/>
              </w:rPr>
              <w:t>euro</w:t>
            </w:r>
            <w:proofErr w:type="spellEnd"/>
            <w:r w:rsidR="006F60FB">
              <w:t>. V</w:t>
            </w:r>
            <w:r w:rsidRPr="00CD0F27">
              <w:t>idējā kopsumma uz vienu uzņēmumu</w:t>
            </w:r>
            <w:r w:rsidR="006F60FB">
              <w:t xml:space="preserve"> ir</w:t>
            </w:r>
            <w:r w:rsidRPr="00CD0F27">
              <w:t xml:space="preserve"> 151 </w:t>
            </w:r>
            <w:proofErr w:type="spellStart"/>
            <w:r w:rsidRPr="00CD0F27">
              <w:rPr>
                <w:i/>
              </w:rPr>
              <w:t>euro</w:t>
            </w:r>
            <w:proofErr w:type="spellEnd"/>
            <w:r w:rsidR="001241F6" w:rsidRPr="00CD0F27">
              <w:rPr>
                <w:i/>
              </w:rPr>
              <w:t xml:space="preserve"> </w:t>
            </w:r>
            <w:r w:rsidR="001241F6" w:rsidRPr="00CD0F27">
              <w:t xml:space="preserve">(LAPK </w:t>
            </w:r>
            <w:r w:rsidR="001241F6" w:rsidRPr="00CD0F27">
              <w:rPr>
                <w:bCs/>
              </w:rPr>
              <w:t>166.</w:t>
            </w:r>
            <w:r w:rsidR="001241F6" w:rsidRPr="00CD0F27">
              <w:rPr>
                <w:bCs/>
                <w:vertAlign w:val="superscript"/>
              </w:rPr>
              <w:t>6</w:t>
            </w:r>
            <w:r w:rsidR="006F60FB">
              <w:rPr>
                <w:bCs/>
                <w:vertAlign w:val="superscript"/>
              </w:rPr>
              <w:t> </w:t>
            </w:r>
            <w:r w:rsidR="001241F6" w:rsidRPr="00CD0F27">
              <w:t xml:space="preserve">pantā noteiktais vislielākais naudas soda apmērs amatpersonai ir 430 </w:t>
            </w:r>
            <w:proofErr w:type="spellStart"/>
            <w:r w:rsidR="001241F6" w:rsidRPr="00CD0F27">
              <w:rPr>
                <w:i/>
              </w:rPr>
              <w:t>euro</w:t>
            </w:r>
            <w:proofErr w:type="spellEnd"/>
            <w:r w:rsidR="001241F6" w:rsidRPr="00CD0F27">
              <w:t>)</w:t>
            </w:r>
            <w:r w:rsidRPr="00CD0F27">
              <w:rPr>
                <w:i/>
              </w:rPr>
              <w:t>.</w:t>
            </w:r>
          </w:p>
          <w:p w14:paraId="6FCD7CB2" w14:textId="037B13FE" w:rsidR="00012932" w:rsidRPr="001A1AF6" w:rsidRDefault="00012932" w:rsidP="00A03E03">
            <w:pPr>
              <w:pStyle w:val="NormalWeb"/>
              <w:spacing w:before="0" w:beforeAutospacing="0" w:after="0" w:afterAutospacing="0"/>
              <w:ind w:left="-4" w:right="141" w:firstLine="285"/>
              <w:contextualSpacing/>
              <w:jc w:val="both"/>
              <w:rPr>
                <w:b/>
              </w:rPr>
            </w:pPr>
            <w:r w:rsidRPr="00CD0F27">
              <w:t xml:space="preserve">Līdz ar to var secināt, ka VID nepiemēro augstākos naudas soda apmērus, kas noteikti </w:t>
            </w:r>
            <w:r w:rsidR="00354E88" w:rsidRPr="00CD0F27">
              <w:t>LAPK 155.¹, 155.²</w:t>
            </w:r>
            <w:r w:rsidR="006F60FB">
              <w:t xml:space="preserve"> un</w:t>
            </w:r>
            <w:r w:rsidR="00354E88" w:rsidRPr="00CD0F27">
              <w:t xml:space="preserve"> </w:t>
            </w:r>
            <w:r w:rsidR="00354E88" w:rsidRPr="00CD0F27">
              <w:rPr>
                <w:bCs/>
              </w:rPr>
              <w:t>166.</w:t>
            </w:r>
            <w:r w:rsidR="00354E88" w:rsidRPr="00CD0F27">
              <w:rPr>
                <w:bCs/>
                <w:vertAlign w:val="superscript"/>
              </w:rPr>
              <w:t>6</w:t>
            </w:r>
            <w:r w:rsidR="006F60FB">
              <w:rPr>
                <w:bCs/>
                <w:vertAlign w:val="superscript"/>
              </w:rPr>
              <w:t> </w:t>
            </w:r>
            <w:r w:rsidR="00354E88" w:rsidRPr="00CD0F27">
              <w:t xml:space="preserve">pantā. </w:t>
            </w:r>
            <w:r w:rsidR="00827D69">
              <w:t>T</w:t>
            </w:r>
            <w:r w:rsidR="007E0EEB">
              <w:t>ādējādi</w:t>
            </w:r>
            <w:r w:rsidR="00354E88" w:rsidRPr="00CD0F27">
              <w:t xml:space="preserve"> nav pamatojuma paplašināt pašreiz spēkā esošo naudas</w:t>
            </w:r>
            <w:r w:rsidR="00746CB0" w:rsidRPr="00CD0F27">
              <w:t xml:space="preserve"> soda </w:t>
            </w:r>
            <w:r w:rsidR="00354E88" w:rsidRPr="00CD0F27">
              <w:t>apmēru</w:t>
            </w:r>
            <w:r w:rsidR="006F60FB">
              <w:t>,</w:t>
            </w:r>
            <w:r w:rsidR="00354E88" w:rsidRPr="00CD0F27">
              <w:t xml:space="preserve"> un likumprojekt</w:t>
            </w:r>
            <w:r w:rsidR="00852924">
              <w:t>ā</w:t>
            </w:r>
            <w:r w:rsidR="00354E88" w:rsidRPr="00CD0F27">
              <w:t xml:space="preserve"> </w:t>
            </w:r>
            <w:r w:rsidR="00852924">
              <w:t>minē</w:t>
            </w:r>
            <w:r w:rsidR="00354E88" w:rsidRPr="00CD0F27">
              <w:t>tie naudas sodi (naudas summa, kas administratīvi sodītajam uzņēmuma vadītājam jāmaksā par izdarītu administratīvo pārkāpumu) ir</w:t>
            </w:r>
            <w:r w:rsidR="00B52BDB">
              <w:t xml:space="preserve"> noteikti</w:t>
            </w:r>
            <w:r w:rsidR="00852924">
              <w:t>,</w:t>
            </w:r>
            <w:r w:rsidR="00B52BDB">
              <w:t xml:space="preserve"> </w:t>
            </w:r>
            <w:r w:rsidR="00852924">
              <w:t>pamatojoties</w:t>
            </w:r>
            <w:r w:rsidR="00B52BDB">
              <w:t xml:space="preserve"> </w:t>
            </w:r>
            <w:r w:rsidR="00852924">
              <w:t xml:space="preserve">uz </w:t>
            </w:r>
            <w:r w:rsidR="00B52BDB">
              <w:t>VID līdzšinējo praksi naudas</w:t>
            </w:r>
            <w:r w:rsidR="00852924">
              <w:t xml:space="preserve"> soda</w:t>
            </w:r>
            <w:r w:rsidR="00B52BDB">
              <w:t xml:space="preserve"> piemērošanā un</w:t>
            </w:r>
            <w:r w:rsidR="00354E88" w:rsidRPr="00CD0F27">
              <w:t xml:space="preserve"> saglabāti</w:t>
            </w:r>
            <w:r w:rsidR="00B52BDB">
              <w:t xml:space="preserve"> līdzīgi</w:t>
            </w:r>
            <w:r w:rsidR="00354E88" w:rsidRPr="00CD0F27">
              <w:t xml:space="preserve"> LAPK</w:t>
            </w:r>
            <w:r w:rsidR="00AB0BBA" w:rsidRPr="00CD0F27">
              <w:t xml:space="preserve"> </w:t>
            </w:r>
            <w:r w:rsidR="00354E88" w:rsidRPr="00CD0F27">
              <w:t xml:space="preserve">155.¹, 155.² </w:t>
            </w:r>
            <w:r w:rsidR="006F60FB">
              <w:t xml:space="preserve">un </w:t>
            </w:r>
            <w:r w:rsidR="00354E88" w:rsidRPr="00CD0F27">
              <w:rPr>
                <w:bCs/>
              </w:rPr>
              <w:t>166.</w:t>
            </w:r>
            <w:r w:rsidR="00354E88" w:rsidRPr="00CD0F27">
              <w:rPr>
                <w:bCs/>
                <w:vertAlign w:val="superscript"/>
              </w:rPr>
              <w:t>6</w:t>
            </w:r>
            <w:r w:rsidR="006F60FB">
              <w:rPr>
                <w:bCs/>
                <w:vertAlign w:val="superscript"/>
              </w:rPr>
              <w:t> </w:t>
            </w:r>
            <w:r w:rsidR="00354E88" w:rsidRPr="00CD0F27">
              <w:t>pantā noteiktajiem naudas sodu apmēriem</w:t>
            </w:r>
            <w:r w:rsidR="00354E88" w:rsidRPr="001A1AF6">
              <w:rPr>
                <w:b/>
              </w:rPr>
              <w:t>,</w:t>
            </w:r>
            <w:r w:rsidR="00354E88" w:rsidRPr="00CD0F27">
              <w:t xml:space="preserve"> tos pārvēršot APP</w:t>
            </w:r>
            <w:r w:rsidR="006F60FB">
              <w:t>L</w:t>
            </w:r>
            <w:r w:rsidR="00354E88" w:rsidRPr="00CD0F27">
              <w:t xml:space="preserve"> noteiktajās naudas </w:t>
            </w:r>
            <w:r w:rsidR="00622756">
              <w:t xml:space="preserve">soda </w:t>
            </w:r>
            <w:r w:rsidR="00354E88" w:rsidRPr="00CD0F27">
              <w:t xml:space="preserve">vienībās (vienas naudas soda vienības vērtība ir pieci </w:t>
            </w:r>
            <w:proofErr w:type="spellStart"/>
            <w:r w:rsidR="00354E88" w:rsidRPr="00CD0F27">
              <w:rPr>
                <w:i/>
              </w:rPr>
              <w:t>euro</w:t>
            </w:r>
            <w:proofErr w:type="spellEnd"/>
            <w:r w:rsidR="00354E88" w:rsidRPr="00CD0F27">
              <w:t>).</w:t>
            </w:r>
          </w:p>
          <w:p w14:paraId="3935A1DD" w14:textId="77777777" w:rsidR="004507B2" w:rsidRPr="001A1AF6" w:rsidRDefault="009621CD" w:rsidP="007F1469">
            <w:pPr>
              <w:spacing w:after="0" w:line="240" w:lineRule="auto"/>
              <w:ind w:right="141"/>
              <w:jc w:val="both"/>
              <w:rPr>
                <w:rFonts w:ascii="Times New Roman" w:hAnsi="Times New Roman"/>
                <w:b/>
                <w:color w:val="000000"/>
                <w:sz w:val="24"/>
                <w:szCs w:val="24"/>
              </w:rPr>
            </w:pPr>
            <w:r w:rsidRPr="001A1AF6">
              <w:rPr>
                <w:rFonts w:ascii="Times New Roman" w:hAnsi="Times New Roman"/>
                <w:b/>
                <w:color w:val="000000"/>
                <w:sz w:val="24"/>
                <w:szCs w:val="24"/>
              </w:rPr>
              <w:t xml:space="preserve">       </w:t>
            </w:r>
          </w:p>
          <w:p w14:paraId="598F7606" w14:textId="77777777" w:rsidR="009621CD" w:rsidRPr="00CD0F27" w:rsidRDefault="009621CD" w:rsidP="009621CD">
            <w:pPr>
              <w:pStyle w:val="NormalWeb"/>
              <w:spacing w:before="0" w:beforeAutospacing="0" w:after="0" w:afterAutospacing="0"/>
              <w:ind w:left="-4" w:firstLine="285"/>
              <w:contextualSpacing/>
              <w:jc w:val="both"/>
            </w:pPr>
            <w:r w:rsidRPr="00CD0F27">
              <w:t>Saskaņā ar VID sniegto informāciju:</w:t>
            </w:r>
          </w:p>
          <w:p w14:paraId="6FAF9CBE" w14:textId="77777777" w:rsidR="009621CD" w:rsidRPr="00CD0F27" w:rsidRDefault="009621CD" w:rsidP="009621CD">
            <w:pPr>
              <w:pStyle w:val="NormalWeb"/>
              <w:numPr>
                <w:ilvl w:val="0"/>
                <w:numId w:val="3"/>
              </w:numPr>
              <w:spacing w:before="0" w:beforeAutospacing="0" w:after="0" w:afterAutospacing="0"/>
              <w:ind w:left="-4" w:right="141" w:firstLine="4"/>
              <w:contextualSpacing/>
              <w:jc w:val="both"/>
            </w:pPr>
            <w:r w:rsidRPr="00CD0F27">
              <w:t xml:space="preserve">2014.gadā par gada pārskatu neiesniegšanu noteiktajos termiņos saskaņā ar  LAPK </w:t>
            </w:r>
            <w:r w:rsidRPr="00CD0F27">
              <w:rPr>
                <w:bCs/>
              </w:rPr>
              <w:t>166.</w:t>
            </w:r>
            <w:r w:rsidRPr="00CD0F27">
              <w:rPr>
                <w:bCs/>
                <w:vertAlign w:val="superscript"/>
              </w:rPr>
              <w:t>6</w:t>
            </w:r>
            <w:r w:rsidR="00CA36D3">
              <w:rPr>
                <w:bCs/>
                <w:vertAlign w:val="superscript"/>
              </w:rPr>
              <w:t> </w:t>
            </w:r>
            <w:r w:rsidRPr="00CD0F27">
              <w:t xml:space="preserve">pantu </w:t>
            </w:r>
            <w:r w:rsidR="00CA36D3">
              <w:t>12 </w:t>
            </w:r>
            <w:r w:rsidR="00CA36D3" w:rsidRPr="00CD0F27">
              <w:t xml:space="preserve">gadījumos </w:t>
            </w:r>
            <w:r w:rsidRPr="00CD0F27">
              <w:t xml:space="preserve">tika piemērots arī papildsods – atņemtas tiesības ieņemt amatus </w:t>
            </w:r>
            <w:r w:rsidRPr="00CD0F27">
              <w:lastRenderedPageBreak/>
              <w:t xml:space="preserve">komercsabiedrībās (9 gadījumos </w:t>
            </w:r>
            <w:r w:rsidR="00CA36D3">
              <w:t xml:space="preserve">- </w:t>
            </w:r>
            <w:r w:rsidRPr="00CD0F27">
              <w:t xml:space="preserve">uz 12 mēnešiem, 3 gadījumos </w:t>
            </w:r>
            <w:r w:rsidR="00CA36D3">
              <w:t xml:space="preserve">- </w:t>
            </w:r>
            <w:r w:rsidRPr="00CD0F27">
              <w:t>uz 36 mēnešiem);</w:t>
            </w:r>
          </w:p>
          <w:p w14:paraId="3F1D19B0" w14:textId="77777777" w:rsidR="009621CD" w:rsidRDefault="009621CD" w:rsidP="009621CD">
            <w:pPr>
              <w:pStyle w:val="NormalWeb"/>
              <w:numPr>
                <w:ilvl w:val="0"/>
                <w:numId w:val="3"/>
              </w:numPr>
              <w:spacing w:before="0" w:beforeAutospacing="0" w:after="0" w:afterAutospacing="0"/>
              <w:ind w:left="0" w:right="141" w:firstLine="0"/>
              <w:contextualSpacing/>
              <w:jc w:val="both"/>
            </w:pPr>
            <w:r w:rsidRPr="00CD0F27">
              <w:t xml:space="preserve">2015.gadā par gada pārskata neiesniegšanu   saskaņā ar  LAPK </w:t>
            </w:r>
            <w:r w:rsidRPr="00CD0F27">
              <w:rPr>
                <w:bCs/>
              </w:rPr>
              <w:t>166.</w:t>
            </w:r>
            <w:r w:rsidRPr="00CD0F27">
              <w:rPr>
                <w:bCs/>
                <w:vertAlign w:val="superscript"/>
              </w:rPr>
              <w:t>6</w:t>
            </w:r>
            <w:r w:rsidR="00CA36D3">
              <w:rPr>
                <w:bCs/>
                <w:vertAlign w:val="superscript"/>
              </w:rPr>
              <w:t> </w:t>
            </w:r>
            <w:r w:rsidRPr="00CD0F27">
              <w:t xml:space="preserve">pantu </w:t>
            </w:r>
            <w:r w:rsidR="00CA36D3" w:rsidRPr="00CD0F27">
              <w:t xml:space="preserve"> vienā gadījumā </w:t>
            </w:r>
            <w:r w:rsidRPr="00CD0F27">
              <w:t>tika piemērots arī papildsods – atņemtas tiesības ieņemt amatus komercsabiedrībās uz 12 mēnešiem.</w:t>
            </w:r>
          </w:p>
          <w:p w14:paraId="5A6F47BB" w14:textId="77777777" w:rsidR="0046016F" w:rsidRPr="00B52BDB" w:rsidRDefault="007A5F28" w:rsidP="00827D69">
            <w:pPr>
              <w:pStyle w:val="NormalWeb"/>
              <w:spacing w:before="0" w:beforeAutospacing="0" w:after="0" w:afterAutospacing="0"/>
              <w:contextualSpacing/>
              <w:jc w:val="both"/>
              <w:rPr>
                <w:bCs/>
                <w:i/>
              </w:rPr>
            </w:pPr>
            <w:r w:rsidRPr="00B52BDB">
              <w:rPr>
                <w:b/>
              </w:rPr>
              <w:t xml:space="preserve">        </w:t>
            </w:r>
            <w:r w:rsidR="00D6003B" w:rsidRPr="00B52BDB">
              <w:rPr>
                <w:bCs/>
              </w:rPr>
              <w:t xml:space="preserve">     </w:t>
            </w:r>
            <w:r w:rsidR="0046016F" w:rsidRPr="00B52BDB">
              <w:rPr>
                <w:bCs/>
              </w:rPr>
              <w:t xml:space="preserve">Likumprojektā paredzētais maksimālais naudas soda apmērs uzņēmumu vadītājam  ir </w:t>
            </w:r>
            <w:r w:rsidR="006C608B" w:rsidRPr="00B52BDB">
              <w:rPr>
                <w:bCs/>
              </w:rPr>
              <w:t xml:space="preserve"> 2000</w:t>
            </w:r>
            <w:r w:rsidR="006C608B" w:rsidRPr="00B52BDB">
              <w:rPr>
                <w:bCs/>
                <w:i/>
              </w:rPr>
              <w:t xml:space="preserve"> </w:t>
            </w:r>
            <w:proofErr w:type="spellStart"/>
            <w:r w:rsidR="006C608B" w:rsidRPr="00B52BDB">
              <w:rPr>
                <w:bCs/>
                <w:i/>
              </w:rPr>
              <w:t>euro</w:t>
            </w:r>
            <w:proofErr w:type="spellEnd"/>
            <w:r w:rsidR="00B52BDB" w:rsidRPr="00B52BDB">
              <w:rPr>
                <w:bCs/>
                <w:i/>
              </w:rPr>
              <w:t xml:space="preserve"> </w:t>
            </w:r>
            <w:r w:rsidR="00B52BDB" w:rsidRPr="00B52BDB">
              <w:rPr>
                <w:bCs/>
              </w:rPr>
              <w:t xml:space="preserve">par </w:t>
            </w:r>
            <w:r w:rsidR="00B52BDB" w:rsidRPr="00B52BDB">
              <w:t>attaisnojuma dokumentu par darījumiem vai darbībām ar akcīzes precēm noformēšanas, reģistrēšanas un lietošanas kārtības neievērošanu un par   preču piegādes vai pārvadājumu dokumentu par darījumiem vai darbībām ar akcīzes precēm noformēšanas, lietošanas un reģistrēšanas kārtības neievērošanu</w:t>
            </w:r>
            <w:r w:rsidR="00B52BDB">
              <w:t>.</w:t>
            </w:r>
          </w:p>
          <w:p w14:paraId="7A1FC61E" w14:textId="232D29C9" w:rsidR="00235550" w:rsidRPr="00D6003B" w:rsidRDefault="00CA36D3" w:rsidP="00235550">
            <w:pPr>
              <w:spacing w:after="0" w:line="240" w:lineRule="auto"/>
              <w:ind w:firstLine="709"/>
              <w:jc w:val="both"/>
              <w:rPr>
                <w:rFonts w:ascii="Times New Roman" w:eastAsia="Times New Roman" w:hAnsi="Times New Roman"/>
                <w:bCs/>
                <w:sz w:val="24"/>
                <w:szCs w:val="24"/>
                <w:lang w:eastAsia="lv-LV"/>
              </w:rPr>
            </w:pPr>
            <w:r>
              <w:rPr>
                <w:rFonts w:ascii="Times New Roman" w:hAnsi="Times New Roman"/>
                <w:sz w:val="24"/>
                <w:szCs w:val="24"/>
              </w:rPr>
              <w:t>Likumprojekts paredz, ka g</w:t>
            </w:r>
            <w:r w:rsidR="00235550" w:rsidRPr="00D6003B">
              <w:rPr>
                <w:rFonts w:ascii="Times New Roman" w:hAnsi="Times New Roman"/>
                <w:sz w:val="24"/>
                <w:szCs w:val="24"/>
              </w:rPr>
              <w:t>rozījumi likuma</w:t>
            </w:r>
            <w:r>
              <w:rPr>
                <w:rFonts w:ascii="Times New Roman" w:hAnsi="Times New Roman"/>
                <w:sz w:val="24"/>
                <w:szCs w:val="24"/>
              </w:rPr>
              <w:t xml:space="preserve"> </w:t>
            </w:r>
            <w:r w:rsidRPr="004D5AFB">
              <w:rPr>
                <w:rFonts w:ascii="Times New Roman" w:hAnsi="Times New Roman"/>
                <w:sz w:val="24"/>
                <w:szCs w:val="24"/>
              </w:rPr>
              <w:t>“Par grāmatvedību”</w:t>
            </w:r>
            <w:r>
              <w:rPr>
                <w:rFonts w:ascii="Times New Roman" w:hAnsi="Times New Roman"/>
                <w:sz w:val="24"/>
                <w:szCs w:val="24"/>
              </w:rPr>
              <w:t xml:space="preserve"> </w:t>
            </w:r>
            <w:r w:rsidR="00235550" w:rsidRPr="00D6003B">
              <w:rPr>
                <w:rFonts w:ascii="Times New Roman" w:hAnsi="Times New Roman"/>
                <w:sz w:val="24"/>
                <w:szCs w:val="24"/>
              </w:rPr>
              <w:t>V nodaļas nosaukumā un 16. pantā, kā arī VI nodaļa</w:t>
            </w:r>
            <w:r>
              <w:rPr>
                <w:rFonts w:ascii="Times New Roman" w:hAnsi="Times New Roman"/>
                <w:sz w:val="24"/>
                <w:szCs w:val="24"/>
              </w:rPr>
              <w:t>, kas paredz administratīvo atbildību grāmatvedības jomā un kompetenci sodu piemērošanā,</w:t>
            </w:r>
            <w:r w:rsidR="00235550" w:rsidRPr="00D6003B">
              <w:rPr>
                <w:rFonts w:ascii="Times New Roman" w:hAnsi="Times New Roman"/>
                <w:sz w:val="24"/>
                <w:szCs w:val="24"/>
              </w:rPr>
              <w:t xml:space="preserve"> stājas </w:t>
            </w:r>
            <w:r w:rsidR="00235550" w:rsidRPr="00D6003B">
              <w:rPr>
                <w:rFonts w:ascii="Times New Roman" w:eastAsia="Times New Roman" w:hAnsi="Times New Roman"/>
                <w:bCs/>
                <w:sz w:val="24"/>
                <w:szCs w:val="24"/>
                <w:lang w:eastAsia="lv-LV"/>
              </w:rPr>
              <w:t>spēkā vienlaikus ar A</w:t>
            </w:r>
            <w:r w:rsidR="00982183">
              <w:rPr>
                <w:rFonts w:ascii="Times New Roman" w:eastAsia="Times New Roman" w:hAnsi="Times New Roman"/>
                <w:bCs/>
                <w:sz w:val="24"/>
                <w:szCs w:val="24"/>
                <w:lang w:eastAsia="lv-LV"/>
              </w:rPr>
              <w:t>PPL</w:t>
            </w:r>
            <w:r w:rsidR="00235550" w:rsidRPr="00D6003B">
              <w:rPr>
                <w:rFonts w:ascii="Times New Roman" w:eastAsia="Times New Roman" w:hAnsi="Times New Roman"/>
                <w:bCs/>
                <w:sz w:val="24"/>
                <w:szCs w:val="24"/>
                <w:lang w:eastAsia="lv-LV"/>
              </w:rPr>
              <w:t>.</w:t>
            </w:r>
          </w:p>
          <w:p w14:paraId="30007066" w14:textId="77777777" w:rsidR="00542A23" w:rsidRPr="00CD0F27" w:rsidRDefault="00542A23" w:rsidP="006C608B">
            <w:pPr>
              <w:pStyle w:val="NormalWeb"/>
              <w:spacing w:before="0" w:beforeAutospacing="0" w:after="0" w:afterAutospacing="0"/>
              <w:ind w:right="141"/>
              <w:contextualSpacing/>
              <w:jc w:val="both"/>
            </w:pPr>
          </w:p>
        </w:tc>
      </w:tr>
      <w:tr w:rsidR="0030306F" w:rsidRPr="00CD0F27" w14:paraId="57C06554" w14:textId="77777777" w:rsidTr="004507B2">
        <w:trPr>
          <w:trHeight w:val="476"/>
        </w:trPr>
        <w:tc>
          <w:tcPr>
            <w:tcW w:w="226" w:type="pct"/>
          </w:tcPr>
          <w:p w14:paraId="33397B59" w14:textId="77777777" w:rsidR="0030306F" w:rsidRPr="00112B40" w:rsidRDefault="001A1AF6" w:rsidP="004631A7">
            <w:pPr>
              <w:pStyle w:val="naiskr"/>
              <w:spacing w:before="0" w:beforeAutospacing="0" w:after="0" w:afterAutospacing="0"/>
              <w:ind w:right="57"/>
              <w:jc w:val="center"/>
            </w:pPr>
            <w:r>
              <w:lastRenderedPageBreak/>
              <w:t>3.</w:t>
            </w:r>
          </w:p>
        </w:tc>
        <w:tc>
          <w:tcPr>
            <w:tcW w:w="1265" w:type="pct"/>
          </w:tcPr>
          <w:p w14:paraId="3F3DDFEC" w14:textId="77777777" w:rsidR="0030306F" w:rsidRPr="00E11B56" w:rsidRDefault="0030306F" w:rsidP="00E55447">
            <w:pPr>
              <w:pStyle w:val="naiskr"/>
              <w:spacing w:before="0" w:beforeAutospacing="0" w:after="0" w:afterAutospacing="0"/>
              <w:ind w:right="57"/>
            </w:pPr>
            <w:r w:rsidRPr="00E11B56">
              <w:t>Projekta izstrādē iesaistītās institūcijas</w:t>
            </w:r>
          </w:p>
        </w:tc>
        <w:tc>
          <w:tcPr>
            <w:tcW w:w="3508" w:type="pct"/>
          </w:tcPr>
          <w:p w14:paraId="43C42B5D" w14:textId="77777777" w:rsidR="0030306F" w:rsidRPr="00E11B56" w:rsidRDefault="00CA36D3" w:rsidP="00CA36D3">
            <w:pPr>
              <w:spacing w:after="0" w:line="240" w:lineRule="auto"/>
              <w:ind w:right="57"/>
              <w:jc w:val="both"/>
              <w:rPr>
                <w:rFonts w:ascii="Times New Roman" w:hAnsi="Times New Roman"/>
                <w:iCs/>
                <w:sz w:val="24"/>
                <w:szCs w:val="24"/>
              </w:rPr>
            </w:pPr>
            <w:r>
              <w:rPr>
                <w:rFonts w:ascii="Times New Roman" w:hAnsi="Times New Roman"/>
                <w:iCs/>
                <w:sz w:val="24"/>
                <w:szCs w:val="24"/>
              </w:rPr>
              <w:t>L</w:t>
            </w:r>
            <w:r w:rsidR="001241F6" w:rsidRPr="00E11B56">
              <w:rPr>
                <w:rFonts w:ascii="Times New Roman" w:hAnsi="Times New Roman"/>
                <w:iCs/>
                <w:sz w:val="24"/>
                <w:szCs w:val="24"/>
              </w:rPr>
              <w:t>ikumprojekt</w:t>
            </w:r>
            <w:r>
              <w:rPr>
                <w:rFonts w:ascii="Times New Roman" w:hAnsi="Times New Roman"/>
                <w:iCs/>
                <w:sz w:val="24"/>
                <w:szCs w:val="24"/>
              </w:rPr>
              <w:t>s šo jomu neskar</w:t>
            </w:r>
            <w:r w:rsidR="001241F6" w:rsidRPr="00E11B56">
              <w:rPr>
                <w:rFonts w:ascii="Times New Roman" w:hAnsi="Times New Roman"/>
                <w:iCs/>
                <w:sz w:val="24"/>
                <w:szCs w:val="24"/>
              </w:rPr>
              <w:t>.</w:t>
            </w:r>
          </w:p>
        </w:tc>
      </w:tr>
      <w:tr w:rsidR="0030306F" w:rsidRPr="00CD0F27" w14:paraId="327ED13F" w14:textId="77777777" w:rsidTr="004507B2">
        <w:tc>
          <w:tcPr>
            <w:tcW w:w="226" w:type="pct"/>
          </w:tcPr>
          <w:p w14:paraId="0AFC197E" w14:textId="77777777" w:rsidR="0030306F" w:rsidRPr="00112B40" w:rsidRDefault="0030306F" w:rsidP="00D15E0E">
            <w:pPr>
              <w:pStyle w:val="naiskr"/>
              <w:spacing w:before="0" w:beforeAutospacing="0" w:after="0" w:afterAutospacing="0"/>
              <w:ind w:right="57"/>
              <w:jc w:val="center"/>
            </w:pPr>
            <w:r w:rsidRPr="00CD0F27">
              <w:t>4</w:t>
            </w:r>
            <w:r w:rsidR="00D15E0E" w:rsidRPr="00CD0F27">
              <w:t>.</w:t>
            </w:r>
          </w:p>
        </w:tc>
        <w:tc>
          <w:tcPr>
            <w:tcW w:w="1265" w:type="pct"/>
          </w:tcPr>
          <w:p w14:paraId="046A9F50" w14:textId="77777777" w:rsidR="0030306F" w:rsidRPr="00E11B56" w:rsidRDefault="0030306F" w:rsidP="00E55447">
            <w:pPr>
              <w:pStyle w:val="naiskr"/>
              <w:spacing w:before="0" w:beforeAutospacing="0" w:after="0" w:afterAutospacing="0"/>
              <w:ind w:right="57"/>
            </w:pPr>
            <w:r w:rsidRPr="00E11B56">
              <w:t>Cita informācija</w:t>
            </w:r>
          </w:p>
        </w:tc>
        <w:tc>
          <w:tcPr>
            <w:tcW w:w="3508" w:type="pct"/>
          </w:tcPr>
          <w:p w14:paraId="096E7DCF" w14:textId="16A8D2FF" w:rsidR="0030306F" w:rsidRDefault="002452E8" w:rsidP="00A03E03">
            <w:pPr>
              <w:spacing w:after="0" w:line="240" w:lineRule="auto"/>
              <w:ind w:right="141"/>
              <w:contextualSpacing/>
              <w:jc w:val="both"/>
              <w:rPr>
                <w:rFonts w:ascii="Times New Roman" w:hAnsi="Times New Roman"/>
                <w:sz w:val="24"/>
                <w:szCs w:val="24"/>
              </w:rPr>
            </w:pPr>
            <w:r w:rsidRPr="00E11B56">
              <w:rPr>
                <w:rFonts w:ascii="Times New Roman" w:hAnsi="Times New Roman"/>
                <w:sz w:val="24"/>
                <w:szCs w:val="24"/>
              </w:rPr>
              <w:t xml:space="preserve">Saskaņā ar </w:t>
            </w:r>
            <w:proofErr w:type="spellStart"/>
            <w:r w:rsidR="00CA36D3">
              <w:rPr>
                <w:rFonts w:ascii="Times New Roman" w:hAnsi="Times New Roman"/>
                <w:sz w:val="24"/>
                <w:szCs w:val="24"/>
              </w:rPr>
              <w:t>P</w:t>
            </w:r>
            <w:r w:rsidRPr="00E11B56">
              <w:rPr>
                <w:rFonts w:ascii="Times New Roman" w:hAnsi="Times New Roman"/>
                <w:sz w:val="24"/>
                <w:szCs w:val="24"/>
              </w:rPr>
              <w:t>rotokollēmuma</w:t>
            </w:r>
            <w:proofErr w:type="spellEnd"/>
            <w:r w:rsidRPr="00CD0F27">
              <w:rPr>
                <w:rFonts w:ascii="Times New Roman" w:hAnsi="Times New Roman"/>
                <w:sz w:val="24"/>
                <w:szCs w:val="24"/>
              </w:rPr>
              <w:t xml:space="preserve"> 2.2.apakšpunktā noteikto</w:t>
            </w:r>
            <w:r w:rsidR="00CB0936" w:rsidRPr="00CD0F27">
              <w:rPr>
                <w:rFonts w:ascii="Times New Roman" w:hAnsi="Times New Roman"/>
                <w:sz w:val="24"/>
                <w:szCs w:val="24"/>
              </w:rPr>
              <w:t>,</w:t>
            </w:r>
            <w:r w:rsidRPr="00CD0F27">
              <w:rPr>
                <w:rFonts w:ascii="Times New Roman" w:hAnsi="Times New Roman"/>
                <w:sz w:val="24"/>
                <w:szCs w:val="24"/>
              </w:rPr>
              <w:t xml:space="preserve"> </w:t>
            </w:r>
            <w:r w:rsidR="00392D87" w:rsidRPr="00CD0F27">
              <w:rPr>
                <w:rFonts w:ascii="Times New Roman" w:hAnsi="Times New Roman"/>
                <w:sz w:val="24"/>
                <w:szCs w:val="24"/>
              </w:rPr>
              <w:t>likumprojekt</w:t>
            </w:r>
            <w:r w:rsidR="00CB0936" w:rsidRPr="00CD0F27">
              <w:rPr>
                <w:rFonts w:ascii="Times New Roman" w:hAnsi="Times New Roman"/>
                <w:sz w:val="24"/>
                <w:szCs w:val="24"/>
              </w:rPr>
              <w:t>s</w:t>
            </w:r>
            <w:r w:rsidR="00392D87" w:rsidRPr="00CD0F27">
              <w:rPr>
                <w:rFonts w:ascii="Times New Roman" w:hAnsi="Times New Roman"/>
                <w:sz w:val="24"/>
                <w:szCs w:val="24"/>
              </w:rPr>
              <w:t xml:space="preserve"> pirms tā izsludināšanas Valsts sekretāru sanāksmē</w:t>
            </w:r>
            <w:r w:rsidR="00CB0936" w:rsidRPr="00CD0F27">
              <w:rPr>
                <w:rFonts w:ascii="Times New Roman" w:hAnsi="Times New Roman"/>
                <w:sz w:val="24"/>
                <w:szCs w:val="24"/>
              </w:rPr>
              <w:t xml:space="preserve">, </w:t>
            </w:r>
            <w:r w:rsidRPr="00CD0F27">
              <w:rPr>
                <w:rFonts w:ascii="Times New Roman" w:hAnsi="Times New Roman"/>
                <w:sz w:val="24"/>
                <w:szCs w:val="24"/>
              </w:rPr>
              <w:t>ir</w:t>
            </w:r>
            <w:r w:rsidR="008C56CC">
              <w:rPr>
                <w:rFonts w:ascii="Arial" w:hAnsi="Arial" w:cs="Arial"/>
                <w:color w:val="414142"/>
                <w:sz w:val="20"/>
                <w:szCs w:val="20"/>
              </w:rPr>
              <w:t xml:space="preserve"> </w:t>
            </w:r>
            <w:r w:rsidR="008C56CC" w:rsidRPr="001A1AF6">
              <w:rPr>
                <w:rFonts w:ascii="Times New Roman" w:hAnsi="Times New Roman"/>
                <w:color w:val="414142"/>
                <w:sz w:val="24"/>
                <w:szCs w:val="24"/>
              </w:rPr>
              <w:t>nododams apspriešanai</w:t>
            </w:r>
            <w:r w:rsidRPr="00CD0F27">
              <w:rPr>
                <w:rFonts w:ascii="Times New Roman" w:hAnsi="Times New Roman"/>
                <w:sz w:val="24"/>
                <w:szCs w:val="24"/>
              </w:rPr>
              <w:t xml:space="preserve"> Tieslietu ministrijas Latvijas Administratīvo pārkāpumu kodeksa pastāvīg</w:t>
            </w:r>
            <w:r w:rsidR="008C56CC">
              <w:rPr>
                <w:rFonts w:ascii="Times New Roman" w:hAnsi="Times New Roman"/>
                <w:sz w:val="24"/>
                <w:szCs w:val="24"/>
              </w:rPr>
              <w:t>ajai</w:t>
            </w:r>
            <w:r w:rsidRPr="00CD0F27">
              <w:rPr>
                <w:rFonts w:ascii="Times New Roman" w:hAnsi="Times New Roman"/>
                <w:sz w:val="24"/>
                <w:szCs w:val="24"/>
              </w:rPr>
              <w:t xml:space="preserve"> darba grup</w:t>
            </w:r>
            <w:r w:rsidR="008C56CC">
              <w:rPr>
                <w:rFonts w:ascii="Times New Roman" w:hAnsi="Times New Roman"/>
                <w:sz w:val="24"/>
                <w:szCs w:val="24"/>
              </w:rPr>
              <w:t>ai</w:t>
            </w:r>
            <w:r w:rsidRPr="00CD0F27">
              <w:rPr>
                <w:rFonts w:ascii="Times New Roman" w:hAnsi="Times New Roman"/>
                <w:sz w:val="24"/>
                <w:szCs w:val="24"/>
              </w:rPr>
              <w:t>.</w:t>
            </w:r>
            <w:r w:rsidR="00237355">
              <w:rPr>
                <w:rFonts w:ascii="Times New Roman" w:hAnsi="Times New Roman"/>
                <w:sz w:val="24"/>
                <w:szCs w:val="24"/>
              </w:rPr>
              <w:t xml:space="preserve"> </w:t>
            </w:r>
          </w:p>
          <w:p w14:paraId="6EDD1516" w14:textId="77777777" w:rsidR="00237355" w:rsidRPr="00CD0F27" w:rsidRDefault="00237355" w:rsidP="00E01FE8">
            <w:pPr>
              <w:spacing w:after="0" w:line="240" w:lineRule="auto"/>
              <w:ind w:right="141"/>
              <w:contextualSpacing/>
              <w:jc w:val="both"/>
              <w:rPr>
                <w:rFonts w:ascii="Times New Roman" w:hAnsi="Times New Roman"/>
                <w:sz w:val="24"/>
                <w:szCs w:val="24"/>
              </w:rPr>
            </w:pPr>
            <w:r>
              <w:rPr>
                <w:rFonts w:ascii="Times New Roman" w:hAnsi="Times New Roman"/>
                <w:sz w:val="24"/>
                <w:szCs w:val="24"/>
              </w:rPr>
              <w:t>2017.gada 9.februār</w:t>
            </w:r>
            <w:r w:rsidR="00E01FE8">
              <w:rPr>
                <w:rFonts w:ascii="Times New Roman" w:hAnsi="Times New Roman"/>
                <w:sz w:val="24"/>
                <w:szCs w:val="24"/>
              </w:rPr>
              <w:t>a</w:t>
            </w:r>
            <w:r>
              <w:rPr>
                <w:rFonts w:ascii="Times New Roman" w:hAnsi="Times New Roman"/>
                <w:sz w:val="24"/>
                <w:szCs w:val="24"/>
              </w:rPr>
              <w:t xml:space="preserve"> </w:t>
            </w:r>
            <w:r w:rsidR="00E01FE8" w:rsidRPr="00CD0F27">
              <w:rPr>
                <w:rFonts w:ascii="Times New Roman" w:hAnsi="Times New Roman"/>
                <w:sz w:val="24"/>
                <w:szCs w:val="24"/>
              </w:rPr>
              <w:t xml:space="preserve"> Tieslietu ministrijas Latvijas Administratīvo pārkāpu</w:t>
            </w:r>
            <w:r w:rsidR="00E01FE8">
              <w:rPr>
                <w:rFonts w:ascii="Times New Roman" w:hAnsi="Times New Roman"/>
                <w:sz w:val="24"/>
                <w:szCs w:val="24"/>
              </w:rPr>
              <w:t xml:space="preserve">mu kodeksa pastāvīgās darba grupas sēdē </w:t>
            </w:r>
            <w:r w:rsidR="004330CD">
              <w:rPr>
                <w:rFonts w:ascii="Times New Roman" w:hAnsi="Times New Roman"/>
                <w:sz w:val="24"/>
                <w:szCs w:val="24"/>
              </w:rPr>
              <w:t>likumprojekts tika izskatīts</w:t>
            </w:r>
            <w:r w:rsidR="00E01FE8">
              <w:rPr>
                <w:rFonts w:ascii="Times New Roman" w:hAnsi="Times New Roman"/>
                <w:sz w:val="24"/>
                <w:szCs w:val="24"/>
              </w:rPr>
              <w:t xml:space="preserve"> un atbalstīta tā turpmākā virzība</w:t>
            </w:r>
            <w:r w:rsidR="004330CD">
              <w:rPr>
                <w:rFonts w:ascii="Times New Roman" w:hAnsi="Times New Roman"/>
                <w:sz w:val="24"/>
                <w:szCs w:val="24"/>
              </w:rPr>
              <w:t>.</w:t>
            </w:r>
          </w:p>
        </w:tc>
      </w:tr>
    </w:tbl>
    <w:p w14:paraId="462E3939" w14:textId="77777777" w:rsidR="0030306F" w:rsidRPr="00CD0F27" w:rsidRDefault="0030306F" w:rsidP="0030306F">
      <w:pPr>
        <w:spacing w:after="0" w:line="240" w:lineRule="auto"/>
        <w:rPr>
          <w:rFonts w:ascii="Times New Roman" w:hAnsi="Times New Roman"/>
          <w:sz w:val="24"/>
          <w:szCs w:val="24"/>
        </w:rPr>
      </w:pP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5"/>
      </w:tblGrid>
      <w:tr w:rsidR="0030306F" w:rsidRPr="00CD0F27" w14:paraId="6288E5B9" w14:textId="77777777" w:rsidTr="004D15BA">
        <w:trPr>
          <w:trHeight w:val="419"/>
        </w:trPr>
        <w:tc>
          <w:tcPr>
            <w:tcW w:w="5000" w:type="pct"/>
            <w:gridSpan w:val="3"/>
            <w:vAlign w:val="center"/>
          </w:tcPr>
          <w:p w14:paraId="765629A7" w14:textId="77777777" w:rsidR="0030306F" w:rsidRPr="00E555F4" w:rsidRDefault="0030306F" w:rsidP="00E55447">
            <w:pPr>
              <w:spacing w:after="0" w:line="240" w:lineRule="auto"/>
              <w:jc w:val="center"/>
              <w:rPr>
                <w:rFonts w:ascii="Times New Roman" w:hAnsi="Times New Roman"/>
                <w:b/>
                <w:sz w:val="24"/>
                <w:szCs w:val="24"/>
              </w:rPr>
            </w:pPr>
            <w:r w:rsidRPr="00E555F4">
              <w:rPr>
                <w:rFonts w:ascii="Times New Roman" w:hAnsi="Times New Roman"/>
                <w:b/>
                <w:bCs/>
                <w:sz w:val="24"/>
                <w:szCs w:val="24"/>
              </w:rPr>
              <w:t>II. Tiesību akta projekta ietekme uz sabiedrību, tautsaimniecības attīstību un administratīvo slogu</w:t>
            </w:r>
          </w:p>
        </w:tc>
      </w:tr>
      <w:tr w:rsidR="0030306F" w:rsidRPr="00CD0F27" w14:paraId="69C77FA4" w14:textId="77777777" w:rsidTr="004D15BA">
        <w:trPr>
          <w:trHeight w:val="415"/>
        </w:trPr>
        <w:tc>
          <w:tcPr>
            <w:tcW w:w="227" w:type="pct"/>
          </w:tcPr>
          <w:p w14:paraId="38E1E65D" w14:textId="77777777" w:rsidR="0030306F" w:rsidRPr="00CD0F27" w:rsidRDefault="0030306F" w:rsidP="00E55447">
            <w:pPr>
              <w:spacing w:after="0" w:line="240" w:lineRule="auto"/>
              <w:rPr>
                <w:rFonts w:ascii="Times New Roman" w:hAnsi="Times New Roman"/>
                <w:sz w:val="24"/>
                <w:szCs w:val="24"/>
              </w:rPr>
            </w:pPr>
            <w:r w:rsidRPr="00CD0F27">
              <w:rPr>
                <w:rFonts w:ascii="Times New Roman" w:hAnsi="Times New Roman"/>
                <w:sz w:val="24"/>
                <w:szCs w:val="24"/>
              </w:rPr>
              <w:t>1.</w:t>
            </w:r>
          </w:p>
        </w:tc>
        <w:tc>
          <w:tcPr>
            <w:tcW w:w="1566" w:type="pct"/>
          </w:tcPr>
          <w:p w14:paraId="4D4F56CD" w14:textId="77777777" w:rsidR="0030306F" w:rsidRPr="00E11B56" w:rsidRDefault="0030306F" w:rsidP="00E55447">
            <w:pPr>
              <w:spacing w:after="0" w:line="240" w:lineRule="auto"/>
              <w:rPr>
                <w:rFonts w:ascii="Times New Roman" w:hAnsi="Times New Roman"/>
                <w:sz w:val="24"/>
                <w:szCs w:val="24"/>
              </w:rPr>
            </w:pPr>
            <w:r w:rsidRPr="00E11B56">
              <w:rPr>
                <w:rFonts w:ascii="Times New Roman" w:hAnsi="Times New Roman"/>
                <w:sz w:val="24"/>
                <w:szCs w:val="24"/>
              </w:rPr>
              <w:t>Sabiedrības mērķgrupas, kuras tiesiskais regulējums ietekmē vai varētu ietekmēt</w:t>
            </w:r>
          </w:p>
        </w:tc>
        <w:tc>
          <w:tcPr>
            <w:tcW w:w="3207" w:type="pct"/>
          </w:tcPr>
          <w:p w14:paraId="77C1C837" w14:textId="77777777" w:rsidR="0030306F" w:rsidRDefault="002452E8" w:rsidP="002452E8">
            <w:pPr>
              <w:spacing w:after="0" w:line="240" w:lineRule="auto"/>
              <w:ind w:right="130"/>
              <w:jc w:val="both"/>
              <w:rPr>
                <w:rFonts w:ascii="Times New Roman" w:hAnsi="Times New Roman"/>
                <w:sz w:val="24"/>
                <w:szCs w:val="24"/>
              </w:rPr>
            </w:pPr>
            <w:r w:rsidRPr="00E11B56">
              <w:rPr>
                <w:rFonts w:ascii="Times New Roman" w:hAnsi="Times New Roman"/>
                <w:sz w:val="24"/>
                <w:szCs w:val="24"/>
              </w:rPr>
              <w:t xml:space="preserve">     </w:t>
            </w:r>
            <w:r w:rsidR="001241F6" w:rsidRPr="00E11B56">
              <w:rPr>
                <w:rFonts w:ascii="Times New Roman" w:hAnsi="Times New Roman"/>
                <w:sz w:val="24"/>
                <w:szCs w:val="24"/>
              </w:rPr>
              <w:t>Likumproj</w:t>
            </w:r>
            <w:r w:rsidR="004D15BA" w:rsidRPr="00E11B56">
              <w:rPr>
                <w:rFonts w:ascii="Times New Roman" w:hAnsi="Times New Roman"/>
                <w:sz w:val="24"/>
                <w:szCs w:val="24"/>
              </w:rPr>
              <w:t>e</w:t>
            </w:r>
            <w:r w:rsidR="001241F6" w:rsidRPr="00E11B56">
              <w:rPr>
                <w:rFonts w:ascii="Times New Roman" w:hAnsi="Times New Roman"/>
                <w:sz w:val="24"/>
                <w:szCs w:val="24"/>
              </w:rPr>
              <w:t>k</w:t>
            </w:r>
            <w:r w:rsidR="004D15BA" w:rsidRPr="00E11B56">
              <w:rPr>
                <w:rFonts w:ascii="Times New Roman" w:hAnsi="Times New Roman"/>
                <w:sz w:val="24"/>
                <w:szCs w:val="24"/>
              </w:rPr>
              <w:t>t</w:t>
            </w:r>
            <w:r w:rsidR="001241F6" w:rsidRPr="00E11B56">
              <w:rPr>
                <w:rFonts w:ascii="Times New Roman" w:hAnsi="Times New Roman"/>
                <w:sz w:val="24"/>
                <w:szCs w:val="24"/>
              </w:rPr>
              <w:t>ā noteik</w:t>
            </w:r>
            <w:r w:rsidR="004D15BA" w:rsidRPr="00E11B56">
              <w:rPr>
                <w:rFonts w:ascii="Times New Roman" w:hAnsi="Times New Roman"/>
                <w:sz w:val="24"/>
                <w:szCs w:val="24"/>
              </w:rPr>
              <w:t xml:space="preserve">tais attieksies uz </w:t>
            </w:r>
            <w:r w:rsidR="008C56CC">
              <w:rPr>
                <w:rFonts w:ascii="Times New Roman" w:hAnsi="Times New Roman"/>
                <w:sz w:val="24"/>
                <w:szCs w:val="24"/>
              </w:rPr>
              <w:t>uzņēmumiem</w:t>
            </w:r>
            <w:r w:rsidRPr="00CD0F27">
              <w:rPr>
                <w:rFonts w:ascii="Times New Roman" w:hAnsi="Times New Roman"/>
                <w:sz w:val="24"/>
                <w:szCs w:val="24"/>
              </w:rPr>
              <w:t>.</w:t>
            </w:r>
          </w:p>
          <w:p w14:paraId="602AECB3" w14:textId="77777777" w:rsidR="00E01FE8" w:rsidRPr="00CD0F27" w:rsidRDefault="00E01FE8" w:rsidP="002452E8">
            <w:pPr>
              <w:spacing w:after="0" w:line="240" w:lineRule="auto"/>
              <w:ind w:right="130"/>
              <w:jc w:val="both"/>
              <w:rPr>
                <w:rFonts w:ascii="Times New Roman" w:hAnsi="Times New Roman"/>
                <w:sz w:val="24"/>
                <w:szCs w:val="24"/>
              </w:rPr>
            </w:pPr>
            <w:r>
              <w:rPr>
                <w:rFonts w:ascii="Times New Roman" w:hAnsi="Times New Roman"/>
                <w:sz w:val="24"/>
                <w:szCs w:val="24"/>
              </w:rPr>
              <w:t>Likumprojektā noteiktais attieksies arī uz VID, kas piemēros administratīvos sodus grāmatvedības jomā.</w:t>
            </w:r>
          </w:p>
        </w:tc>
      </w:tr>
      <w:tr w:rsidR="0030306F" w:rsidRPr="00CD0F27" w14:paraId="7111FE1D" w14:textId="77777777" w:rsidTr="004D15BA">
        <w:trPr>
          <w:trHeight w:val="472"/>
        </w:trPr>
        <w:tc>
          <w:tcPr>
            <w:tcW w:w="227" w:type="pct"/>
          </w:tcPr>
          <w:p w14:paraId="2578B702" w14:textId="77777777" w:rsidR="0030306F" w:rsidRPr="00CD0F27" w:rsidRDefault="0030306F" w:rsidP="00E55447">
            <w:pPr>
              <w:spacing w:after="0" w:line="240" w:lineRule="auto"/>
              <w:rPr>
                <w:rFonts w:ascii="Times New Roman" w:hAnsi="Times New Roman"/>
                <w:sz w:val="24"/>
                <w:szCs w:val="24"/>
              </w:rPr>
            </w:pPr>
            <w:r w:rsidRPr="00CD0F27">
              <w:rPr>
                <w:rFonts w:ascii="Times New Roman" w:hAnsi="Times New Roman"/>
                <w:sz w:val="24"/>
                <w:szCs w:val="24"/>
              </w:rPr>
              <w:t>2.</w:t>
            </w:r>
          </w:p>
        </w:tc>
        <w:tc>
          <w:tcPr>
            <w:tcW w:w="1566" w:type="pct"/>
          </w:tcPr>
          <w:p w14:paraId="231187F1" w14:textId="77777777" w:rsidR="0030306F" w:rsidRPr="00E11B56" w:rsidRDefault="0030306F" w:rsidP="00E55447">
            <w:pPr>
              <w:spacing w:after="0" w:line="240" w:lineRule="auto"/>
              <w:rPr>
                <w:rFonts w:ascii="Times New Roman" w:hAnsi="Times New Roman"/>
                <w:sz w:val="24"/>
                <w:szCs w:val="24"/>
              </w:rPr>
            </w:pPr>
            <w:r w:rsidRPr="00E11B56">
              <w:rPr>
                <w:rFonts w:ascii="Times New Roman" w:hAnsi="Times New Roman"/>
                <w:sz w:val="24"/>
                <w:szCs w:val="24"/>
              </w:rPr>
              <w:t>Tiesiskā regulējuma ietekme uz tautsaimniecību un administratīvo slogu</w:t>
            </w:r>
          </w:p>
        </w:tc>
        <w:tc>
          <w:tcPr>
            <w:tcW w:w="3207" w:type="pct"/>
          </w:tcPr>
          <w:p w14:paraId="7298F593" w14:textId="77777777" w:rsidR="006A3082" w:rsidRPr="00CD0F27" w:rsidRDefault="00E01FE8" w:rsidP="00A55FC9">
            <w:pPr>
              <w:spacing w:after="0" w:line="240" w:lineRule="auto"/>
              <w:ind w:right="130" w:firstLine="142"/>
              <w:contextualSpacing/>
              <w:jc w:val="both"/>
              <w:rPr>
                <w:rFonts w:ascii="Times New Roman" w:hAnsi="Times New Roman"/>
                <w:sz w:val="24"/>
                <w:szCs w:val="24"/>
              </w:rPr>
            </w:pPr>
            <w:r>
              <w:rPr>
                <w:rFonts w:ascii="Times New Roman" w:hAnsi="Times New Roman"/>
                <w:sz w:val="24"/>
                <w:szCs w:val="24"/>
              </w:rPr>
              <w:t>Likumprojekts šo jomu neskar</w:t>
            </w:r>
            <w:r w:rsidR="004507B2" w:rsidRPr="00E11B56">
              <w:rPr>
                <w:rFonts w:ascii="Times New Roman" w:hAnsi="Times New Roman"/>
                <w:sz w:val="24"/>
                <w:szCs w:val="24"/>
              </w:rPr>
              <w:t>.</w:t>
            </w:r>
          </w:p>
        </w:tc>
      </w:tr>
      <w:tr w:rsidR="0030306F" w:rsidRPr="00CD0F27" w14:paraId="6C00A4AC" w14:textId="77777777" w:rsidTr="004D15BA">
        <w:trPr>
          <w:trHeight w:val="476"/>
        </w:trPr>
        <w:tc>
          <w:tcPr>
            <w:tcW w:w="227" w:type="pct"/>
          </w:tcPr>
          <w:p w14:paraId="5A4E8629" w14:textId="77777777" w:rsidR="0030306F" w:rsidRPr="00CD0F27" w:rsidRDefault="0030306F" w:rsidP="00E55447">
            <w:pPr>
              <w:spacing w:after="0" w:line="240" w:lineRule="auto"/>
              <w:rPr>
                <w:rFonts w:ascii="Times New Roman" w:hAnsi="Times New Roman"/>
                <w:sz w:val="24"/>
                <w:szCs w:val="24"/>
              </w:rPr>
            </w:pPr>
            <w:r w:rsidRPr="00CD0F27">
              <w:rPr>
                <w:rFonts w:ascii="Times New Roman" w:hAnsi="Times New Roman"/>
                <w:sz w:val="24"/>
                <w:szCs w:val="24"/>
              </w:rPr>
              <w:t>3.</w:t>
            </w:r>
          </w:p>
        </w:tc>
        <w:tc>
          <w:tcPr>
            <w:tcW w:w="1566" w:type="pct"/>
          </w:tcPr>
          <w:p w14:paraId="117DB4D4" w14:textId="77777777" w:rsidR="0030306F" w:rsidRPr="00E11B56" w:rsidRDefault="0030306F" w:rsidP="00E55447">
            <w:pPr>
              <w:spacing w:line="240" w:lineRule="auto"/>
              <w:rPr>
                <w:rFonts w:ascii="Times New Roman" w:hAnsi="Times New Roman"/>
                <w:sz w:val="24"/>
                <w:szCs w:val="24"/>
              </w:rPr>
            </w:pPr>
            <w:r w:rsidRPr="00E11B56">
              <w:rPr>
                <w:rFonts w:ascii="Times New Roman" w:hAnsi="Times New Roman"/>
                <w:sz w:val="24"/>
                <w:szCs w:val="24"/>
              </w:rPr>
              <w:t>Administratīvo izmaksu monetārs novērtējums</w:t>
            </w:r>
          </w:p>
        </w:tc>
        <w:tc>
          <w:tcPr>
            <w:tcW w:w="3207" w:type="pct"/>
          </w:tcPr>
          <w:p w14:paraId="1E8EEC01" w14:textId="77777777" w:rsidR="00094A5C" w:rsidRPr="00E11B56" w:rsidRDefault="002452E8" w:rsidP="00F02F8D">
            <w:pPr>
              <w:spacing w:after="0" w:line="240" w:lineRule="auto"/>
              <w:ind w:right="140" w:firstLine="139"/>
              <w:contextualSpacing/>
              <w:jc w:val="both"/>
              <w:rPr>
                <w:rFonts w:ascii="Times New Roman" w:hAnsi="Times New Roman"/>
                <w:sz w:val="24"/>
                <w:szCs w:val="24"/>
              </w:rPr>
            </w:pPr>
            <w:r w:rsidRPr="00E11B56">
              <w:rPr>
                <w:rFonts w:ascii="Times New Roman" w:hAnsi="Times New Roman"/>
                <w:sz w:val="24"/>
                <w:szCs w:val="24"/>
              </w:rPr>
              <w:t>Likumprojekts šo jomu neskar.</w:t>
            </w:r>
          </w:p>
        </w:tc>
      </w:tr>
      <w:tr w:rsidR="0030306F" w:rsidRPr="00CD0F27" w14:paraId="77E19727" w14:textId="77777777" w:rsidTr="004D15BA">
        <w:tc>
          <w:tcPr>
            <w:tcW w:w="227" w:type="pct"/>
          </w:tcPr>
          <w:p w14:paraId="6FBA512B" w14:textId="77777777" w:rsidR="0030306F" w:rsidRPr="00CD0F27" w:rsidRDefault="0030306F" w:rsidP="00E55447">
            <w:pPr>
              <w:spacing w:after="0" w:line="240" w:lineRule="auto"/>
              <w:rPr>
                <w:rFonts w:ascii="Times New Roman" w:hAnsi="Times New Roman"/>
                <w:sz w:val="24"/>
                <w:szCs w:val="24"/>
              </w:rPr>
            </w:pPr>
            <w:r w:rsidRPr="00CD0F27">
              <w:rPr>
                <w:rFonts w:ascii="Times New Roman" w:hAnsi="Times New Roman"/>
                <w:sz w:val="24"/>
                <w:szCs w:val="24"/>
              </w:rPr>
              <w:t>4.</w:t>
            </w:r>
          </w:p>
        </w:tc>
        <w:tc>
          <w:tcPr>
            <w:tcW w:w="1566" w:type="pct"/>
          </w:tcPr>
          <w:p w14:paraId="59C8D408" w14:textId="77777777" w:rsidR="0030306F" w:rsidRPr="00E11B56" w:rsidRDefault="0030306F" w:rsidP="00E55447">
            <w:pPr>
              <w:spacing w:after="0" w:line="240" w:lineRule="auto"/>
              <w:rPr>
                <w:rFonts w:ascii="Times New Roman" w:hAnsi="Times New Roman"/>
                <w:sz w:val="24"/>
                <w:szCs w:val="24"/>
              </w:rPr>
            </w:pPr>
            <w:r w:rsidRPr="00E11B56">
              <w:rPr>
                <w:rFonts w:ascii="Times New Roman" w:hAnsi="Times New Roman"/>
                <w:sz w:val="24"/>
                <w:szCs w:val="24"/>
              </w:rPr>
              <w:t>Cita informācija</w:t>
            </w:r>
          </w:p>
        </w:tc>
        <w:tc>
          <w:tcPr>
            <w:tcW w:w="3207" w:type="pct"/>
          </w:tcPr>
          <w:p w14:paraId="087B2907" w14:textId="77777777" w:rsidR="0030306F" w:rsidRPr="00CD0F27" w:rsidRDefault="00D602D3" w:rsidP="00D602D3">
            <w:pPr>
              <w:spacing w:after="0" w:line="240" w:lineRule="auto"/>
              <w:ind w:left="281" w:hanging="281"/>
              <w:jc w:val="both"/>
              <w:rPr>
                <w:rFonts w:ascii="Times New Roman" w:hAnsi="Times New Roman"/>
                <w:sz w:val="24"/>
                <w:szCs w:val="24"/>
              </w:rPr>
            </w:pPr>
            <w:r w:rsidRPr="00CD0F27">
              <w:rPr>
                <w:rFonts w:ascii="Times New Roman" w:hAnsi="Times New Roman"/>
                <w:sz w:val="24"/>
                <w:szCs w:val="24"/>
              </w:rPr>
              <w:t xml:space="preserve">  </w:t>
            </w:r>
            <w:r w:rsidR="00BD5171" w:rsidRPr="00CD0F27">
              <w:rPr>
                <w:rFonts w:ascii="Times New Roman" w:hAnsi="Times New Roman"/>
                <w:sz w:val="24"/>
                <w:szCs w:val="24"/>
              </w:rPr>
              <w:t xml:space="preserve">Nav </w:t>
            </w:r>
          </w:p>
        </w:tc>
      </w:tr>
    </w:tbl>
    <w:p w14:paraId="2470BA6A" w14:textId="77777777" w:rsidR="0030306F" w:rsidRPr="00CD0F27" w:rsidRDefault="0030306F" w:rsidP="0030306F">
      <w:pPr>
        <w:spacing w:after="0" w:line="240" w:lineRule="auto"/>
        <w:rPr>
          <w:rFonts w:ascii="Times New Roman" w:hAnsi="Times New Roman"/>
          <w:sz w:val="24"/>
          <w:szCs w:val="24"/>
        </w:rPr>
      </w:pPr>
    </w:p>
    <w:tbl>
      <w:tblPr>
        <w:tblW w:w="9640" w:type="dxa"/>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640"/>
      </w:tblGrid>
      <w:tr w:rsidR="00F004D5" w:rsidRPr="00CD0F27" w14:paraId="537D470E" w14:textId="77777777" w:rsidTr="00207384">
        <w:tc>
          <w:tcPr>
            <w:tcW w:w="5000" w:type="pct"/>
            <w:tcBorders>
              <w:top w:val="single" w:sz="4" w:space="0" w:color="auto"/>
              <w:left w:val="single" w:sz="4" w:space="0" w:color="auto"/>
              <w:bottom w:val="single" w:sz="4" w:space="0" w:color="auto"/>
              <w:right w:val="single" w:sz="4" w:space="0" w:color="auto"/>
            </w:tcBorders>
            <w:hideMark/>
          </w:tcPr>
          <w:p w14:paraId="13AC491B" w14:textId="77777777" w:rsidR="00F004D5" w:rsidRPr="00E11B56" w:rsidRDefault="00F004D5" w:rsidP="00D10922">
            <w:pPr>
              <w:spacing w:before="100" w:beforeAutospacing="1" w:after="100" w:afterAutospacing="1"/>
              <w:jc w:val="center"/>
              <w:rPr>
                <w:rFonts w:ascii="Times New Roman" w:hAnsi="Times New Roman"/>
                <w:b/>
                <w:bCs/>
                <w:color w:val="000000"/>
                <w:sz w:val="24"/>
                <w:szCs w:val="24"/>
              </w:rPr>
            </w:pPr>
            <w:r w:rsidRPr="00E11B56">
              <w:rPr>
                <w:rFonts w:ascii="Times New Roman" w:hAnsi="Times New Roman"/>
                <w:b/>
                <w:bCs/>
                <w:color w:val="000000"/>
                <w:sz w:val="24"/>
                <w:szCs w:val="24"/>
              </w:rPr>
              <w:t>III. Tiesību akta projekta ietekme uz valsts budžetu un pašvaldību budžetiem</w:t>
            </w:r>
          </w:p>
        </w:tc>
      </w:tr>
      <w:tr w:rsidR="00F004D5" w:rsidRPr="00CD0F27" w14:paraId="2E3D5D25" w14:textId="77777777" w:rsidTr="00207384">
        <w:tc>
          <w:tcPr>
            <w:tcW w:w="5000" w:type="pct"/>
            <w:tcBorders>
              <w:top w:val="single" w:sz="4" w:space="0" w:color="auto"/>
              <w:left w:val="single" w:sz="4" w:space="0" w:color="auto"/>
              <w:bottom w:val="single" w:sz="4" w:space="0" w:color="auto"/>
              <w:right w:val="single" w:sz="4" w:space="0" w:color="auto"/>
            </w:tcBorders>
          </w:tcPr>
          <w:p w14:paraId="081BD169" w14:textId="77777777" w:rsidR="00F004D5" w:rsidRPr="00CD0F27" w:rsidRDefault="002452E8" w:rsidP="00D10922">
            <w:pPr>
              <w:spacing w:before="100" w:beforeAutospacing="1" w:after="100" w:afterAutospacing="1"/>
              <w:jc w:val="center"/>
              <w:rPr>
                <w:rFonts w:ascii="Times New Roman" w:hAnsi="Times New Roman"/>
                <w:bCs/>
                <w:color w:val="000000"/>
                <w:sz w:val="24"/>
                <w:szCs w:val="24"/>
              </w:rPr>
            </w:pPr>
            <w:r w:rsidRPr="00CD0F27">
              <w:rPr>
                <w:rFonts w:ascii="Times New Roman" w:hAnsi="Times New Roman"/>
                <w:sz w:val="24"/>
                <w:szCs w:val="24"/>
              </w:rPr>
              <w:t xml:space="preserve"> Likumprojekts šo jomu neskar.</w:t>
            </w:r>
          </w:p>
        </w:tc>
      </w:tr>
    </w:tbl>
    <w:p w14:paraId="032B3088" w14:textId="77777777" w:rsidR="005528BE" w:rsidRPr="00E555F4" w:rsidRDefault="005528BE" w:rsidP="005528BE">
      <w:pPr>
        <w:spacing w:after="0"/>
        <w:rPr>
          <w:rFonts w:ascii="Times New Roman" w:hAnsi="Times New Roman"/>
          <w:vanish/>
          <w:sz w:val="24"/>
          <w:szCs w:val="24"/>
        </w:rPr>
      </w:pP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02"/>
      </w:tblGrid>
      <w:tr w:rsidR="007F4755" w:rsidRPr="00CD0F27" w14:paraId="0FDF7421" w14:textId="77777777" w:rsidTr="00207384">
        <w:trPr>
          <w:trHeight w:val="419"/>
        </w:trPr>
        <w:tc>
          <w:tcPr>
            <w:tcW w:w="5000" w:type="pct"/>
            <w:vAlign w:val="center"/>
          </w:tcPr>
          <w:p w14:paraId="2AF18DF3" w14:textId="77777777" w:rsidR="007F4755" w:rsidRPr="00E555F4" w:rsidRDefault="007F4755" w:rsidP="00E55447">
            <w:pPr>
              <w:spacing w:after="0" w:line="240" w:lineRule="auto"/>
              <w:jc w:val="center"/>
              <w:rPr>
                <w:rFonts w:ascii="Times New Roman" w:eastAsia="Times New Roman" w:hAnsi="Times New Roman"/>
                <w:b/>
                <w:sz w:val="24"/>
                <w:szCs w:val="24"/>
                <w:lang w:eastAsia="lv-LV"/>
              </w:rPr>
            </w:pPr>
            <w:r w:rsidRPr="00E555F4">
              <w:rPr>
                <w:rFonts w:ascii="Times New Roman" w:eastAsia="Times New Roman" w:hAnsi="Times New Roman"/>
                <w:b/>
                <w:bCs/>
                <w:sz w:val="24"/>
                <w:szCs w:val="24"/>
                <w:lang w:eastAsia="lv-LV"/>
              </w:rPr>
              <w:t>IV. Tiesību akta projekta ietekme uz spēkā esošo tiesību normu sistēmu</w:t>
            </w:r>
          </w:p>
        </w:tc>
      </w:tr>
    </w:tbl>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518"/>
      </w:tblGrid>
      <w:tr w:rsidR="00941EF3" w:rsidRPr="00CD0F27" w14:paraId="0D7FC4D9" w14:textId="77777777" w:rsidTr="00772E90">
        <w:trPr>
          <w:trHeight w:val="427"/>
          <w:jc w:val="center"/>
        </w:trPr>
        <w:tc>
          <w:tcPr>
            <w:tcW w:w="9518" w:type="dxa"/>
            <w:tcBorders>
              <w:bottom w:val="single" w:sz="4" w:space="0" w:color="auto"/>
            </w:tcBorders>
          </w:tcPr>
          <w:p w14:paraId="0A76E019" w14:textId="77777777" w:rsidR="00941EF3" w:rsidRPr="00CD0F27" w:rsidRDefault="002452E8" w:rsidP="00772E90">
            <w:pPr>
              <w:spacing w:after="0" w:line="240" w:lineRule="auto"/>
              <w:ind w:firstLine="452"/>
              <w:contextualSpacing/>
              <w:jc w:val="center"/>
              <w:rPr>
                <w:rFonts w:ascii="Times New Roman" w:eastAsia="Times New Roman" w:hAnsi="Times New Roman"/>
                <w:sz w:val="24"/>
                <w:szCs w:val="24"/>
                <w:lang w:eastAsia="lv-LV"/>
              </w:rPr>
            </w:pPr>
            <w:r w:rsidRPr="00CD0F27">
              <w:rPr>
                <w:rFonts w:ascii="Times New Roman" w:hAnsi="Times New Roman"/>
                <w:sz w:val="24"/>
                <w:szCs w:val="24"/>
              </w:rPr>
              <w:t xml:space="preserve"> Likumprojekts šo jomu neskar.</w:t>
            </w:r>
          </w:p>
        </w:tc>
      </w:tr>
    </w:tbl>
    <w:p w14:paraId="79AF8149" w14:textId="77777777" w:rsidR="0030306F" w:rsidRPr="00CD0F27" w:rsidRDefault="0030306F" w:rsidP="0030306F">
      <w:pPr>
        <w:spacing w:after="0" w:line="240" w:lineRule="auto"/>
        <w:rPr>
          <w:rFonts w:ascii="Times New Roman" w:eastAsia="Times New Roman" w:hAnsi="Times New Roman"/>
          <w:sz w:val="24"/>
          <w:szCs w:val="24"/>
          <w:lang w:eastAsia="lv-LV"/>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518"/>
      </w:tblGrid>
      <w:tr w:rsidR="008D3653" w:rsidRPr="00CD0F27" w14:paraId="5A7BBB6F" w14:textId="77777777" w:rsidTr="00E55447">
        <w:trPr>
          <w:trHeight w:val="381"/>
          <w:jc w:val="center"/>
        </w:trPr>
        <w:tc>
          <w:tcPr>
            <w:tcW w:w="9518" w:type="dxa"/>
            <w:vAlign w:val="center"/>
          </w:tcPr>
          <w:p w14:paraId="5CFFC029" w14:textId="77777777" w:rsidR="008D3653" w:rsidRPr="00E11B56" w:rsidRDefault="008D3653" w:rsidP="00E55447">
            <w:pPr>
              <w:pStyle w:val="naisnod"/>
              <w:spacing w:before="0" w:beforeAutospacing="0" w:after="0" w:afterAutospacing="0"/>
              <w:ind w:left="57" w:right="57"/>
              <w:jc w:val="center"/>
              <w:rPr>
                <w:i/>
              </w:rPr>
            </w:pPr>
            <w:r w:rsidRPr="00E11B56">
              <w:rPr>
                <w:b/>
              </w:rPr>
              <w:lastRenderedPageBreak/>
              <w:t>V. Tiesību akta projekta atbilstība Latvijas Republikas starptautiskajām saistībām</w:t>
            </w:r>
          </w:p>
        </w:tc>
      </w:tr>
      <w:tr w:rsidR="008D3653" w:rsidRPr="00CD0F27" w14:paraId="42F7E74B" w14:textId="77777777" w:rsidTr="00F20146">
        <w:trPr>
          <w:trHeight w:val="427"/>
          <w:jc w:val="center"/>
        </w:trPr>
        <w:tc>
          <w:tcPr>
            <w:tcW w:w="9518" w:type="dxa"/>
            <w:tcBorders>
              <w:bottom w:val="single" w:sz="4" w:space="0" w:color="auto"/>
            </w:tcBorders>
          </w:tcPr>
          <w:p w14:paraId="57D289A8" w14:textId="77777777" w:rsidR="008D3653" w:rsidRPr="00CD0F27" w:rsidRDefault="002452E8" w:rsidP="008D3653">
            <w:pPr>
              <w:spacing w:after="0" w:line="240" w:lineRule="auto"/>
              <w:ind w:firstLine="452"/>
              <w:contextualSpacing/>
              <w:jc w:val="center"/>
              <w:rPr>
                <w:rFonts w:ascii="Times New Roman" w:eastAsia="Times New Roman" w:hAnsi="Times New Roman"/>
                <w:sz w:val="24"/>
                <w:szCs w:val="24"/>
                <w:lang w:eastAsia="lv-LV"/>
              </w:rPr>
            </w:pPr>
            <w:r w:rsidRPr="00CD0F27">
              <w:rPr>
                <w:rFonts w:ascii="Times New Roman" w:hAnsi="Times New Roman"/>
                <w:sz w:val="24"/>
                <w:szCs w:val="24"/>
              </w:rPr>
              <w:t xml:space="preserve"> Likumprojekts šo jomu neskar.</w:t>
            </w:r>
          </w:p>
        </w:tc>
      </w:tr>
    </w:tbl>
    <w:p w14:paraId="3B710C5A" w14:textId="77777777" w:rsidR="007F4755" w:rsidRPr="00CD0F27" w:rsidRDefault="007F4755" w:rsidP="0030306F">
      <w:pPr>
        <w:spacing w:after="0" w:line="240" w:lineRule="auto"/>
        <w:rPr>
          <w:rFonts w:ascii="Times New Roman" w:eastAsia="Times New Roman" w:hAnsi="Times New Roman"/>
          <w:sz w:val="24"/>
          <w:szCs w:val="24"/>
          <w:lang w:eastAsia="lv-LV"/>
        </w:rPr>
      </w:pPr>
    </w:p>
    <w:tbl>
      <w:tblPr>
        <w:tblW w:w="5244"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29"/>
        <w:gridCol w:w="6248"/>
      </w:tblGrid>
      <w:tr w:rsidR="00F20146" w:rsidRPr="00CD0F27" w14:paraId="7032192A" w14:textId="77777777" w:rsidTr="00F20146">
        <w:trPr>
          <w:trHeight w:val="420"/>
          <w:jc w:val="center"/>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7AF3A5F1" w14:textId="77777777" w:rsidR="00F20146" w:rsidRPr="00E11B56" w:rsidRDefault="00F20146" w:rsidP="00660F28">
            <w:pPr>
              <w:spacing w:before="100" w:beforeAutospacing="1" w:after="100" w:afterAutospacing="1"/>
              <w:jc w:val="center"/>
              <w:rPr>
                <w:rFonts w:ascii="Times New Roman" w:eastAsia="Times New Roman" w:hAnsi="Times New Roman"/>
                <w:sz w:val="24"/>
                <w:szCs w:val="24"/>
                <w:lang w:eastAsia="lv-LV"/>
              </w:rPr>
            </w:pPr>
            <w:r w:rsidRPr="00E11B56">
              <w:rPr>
                <w:rFonts w:ascii="Times New Roman" w:eastAsia="Times New Roman" w:hAnsi="Times New Roman"/>
                <w:b/>
                <w:bCs/>
                <w:sz w:val="24"/>
                <w:szCs w:val="24"/>
                <w:lang w:eastAsia="lv-LV"/>
              </w:rPr>
              <w:t>VI. Sabiedrības līdzdalība un komunikācijas aktivitātes</w:t>
            </w:r>
          </w:p>
        </w:tc>
      </w:tr>
      <w:tr w:rsidR="00F20146" w:rsidRPr="00CD0F27" w14:paraId="7EC08D34" w14:textId="77777777" w:rsidTr="00F20146">
        <w:trPr>
          <w:trHeight w:val="540"/>
          <w:jc w:val="center"/>
        </w:trPr>
        <w:tc>
          <w:tcPr>
            <w:tcW w:w="1738" w:type="pct"/>
            <w:tcBorders>
              <w:top w:val="outset" w:sz="6" w:space="0" w:color="auto"/>
              <w:left w:val="outset" w:sz="6" w:space="0" w:color="auto"/>
              <w:bottom w:val="outset" w:sz="6" w:space="0" w:color="auto"/>
              <w:right w:val="outset" w:sz="6" w:space="0" w:color="auto"/>
            </w:tcBorders>
            <w:hideMark/>
          </w:tcPr>
          <w:p w14:paraId="4CFC61F5" w14:textId="77777777" w:rsidR="00F20146" w:rsidRPr="00E11B56" w:rsidRDefault="00F20146" w:rsidP="00660F28">
            <w:pPr>
              <w:spacing w:after="0" w:line="240" w:lineRule="auto"/>
              <w:contextualSpacing/>
              <w:rPr>
                <w:rFonts w:ascii="Times New Roman" w:eastAsia="Times New Roman" w:hAnsi="Times New Roman"/>
                <w:sz w:val="24"/>
                <w:szCs w:val="24"/>
                <w:lang w:eastAsia="lv-LV"/>
              </w:rPr>
            </w:pPr>
            <w:r w:rsidRPr="00CD0F27">
              <w:rPr>
                <w:rFonts w:ascii="Times New Roman" w:eastAsia="Times New Roman" w:hAnsi="Times New Roman"/>
                <w:sz w:val="24"/>
                <w:szCs w:val="24"/>
                <w:lang w:eastAsia="lv-LV"/>
              </w:rPr>
              <w:t>Plānotās sabiedrības līdzdalības un komunikācijas aktivitātes saistībā ar projektu</w:t>
            </w:r>
          </w:p>
        </w:tc>
        <w:tc>
          <w:tcPr>
            <w:tcW w:w="3262" w:type="pct"/>
            <w:tcBorders>
              <w:top w:val="outset" w:sz="6" w:space="0" w:color="auto"/>
              <w:left w:val="outset" w:sz="6" w:space="0" w:color="auto"/>
              <w:bottom w:val="outset" w:sz="6" w:space="0" w:color="auto"/>
              <w:right w:val="outset" w:sz="6" w:space="0" w:color="auto"/>
            </w:tcBorders>
            <w:hideMark/>
          </w:tcPr>
          <w:p w14:paraId="0946DE08" w14:textId="77777777" w:rsidR="00F20146" w:rsidRPr="00CD0F27" w:rsidRDefault="00941EF3" w:rsidP="00A03E03">
            <w:pPr>
              <w:spacing w:after="0" w:line="240" w:lineRule="auto"/>
              <w:ind w:right="119"/>
              <w:contextualSpacing/>
              <w:jc w:val="both"/>
              <w:rPr>
                <w:rFonts w:ascii="Times New Roman" w:eastAsia="Times New Roman" w:hAnsi="Times New Roman"/>
                <w:sz w:val="24"/>
                <w:szCs w:val="24"/>
                <w:lang w:eastAsia="lv-LV"/>
              </w:rPr>
            </w:pPr>
            <w:r w:rsidRPr="00E11B56">
              <w:rPr>
                <w:rFonts w:ascii="Times New Roman" w:eastAsia="Times New Roman" w:hAnsi="Times New Roman"/>
                <w:sz w:val="24"/>
                <w:szCs w:val="24"/>
                <w:lang w:eastAsia="lv-LV"/>
              </w:rPr>
              <w:t>Uzziņa  par grozījumiem likumā “Par grāmatvedību”</w:t>
            </w:r>
            <w:r w:rsidR="002C4399" w:rsidRPr="00E11B56">
              <w:rPr>
                <w:rFonts w:ascii="Times New Roman" w:eastAsia="Times New Roman" w:hAnsi="Times New Roman"/>
                <w:sz w:val="24"/>
                <w:szCs w:val="24"/>
                <w:lang w:eastAsia="lv-LV"/>
              </w:rPr>
              <w:t xml:space="preserve"> </w:t>
            </w:r>
            <w:r w:rsidRPr="00CD0F27">
              <w:rPr>
                <w:rFonts w:ascii="Times New Roman" w:eastAsia="Times New Roman" w:hAnsi="Times New Roman"/>
                <w:sz w:val="24"/>
                <w:szCs w:val="24"/>
                <w:lang w:eastAsia="lv-LV"/>
              </w:rPr>
              <w:t>201</w:t>
            </w:r>
            <w:r w:rsidR="002C4399" w:rsidRPr="00CD0F27">
              <w:rPr>
                <w:rFonts w:ascii="Times New Roman" w:eastAsia="Times New Roman" w:hAnsi="Times New Roman"/>
                <w:sz w:val="24"/>
                <w:szCs w:val="24"/>
                <w:lang w:eastAsia="lv-LV"/>
              </w:rPr>
              <w:t>6</w:t>
            </w:r>
            <w:r w:rsidRPr="00CD0F27">
              <w:rPr>
                <w:rFonts w:ascii="Times New Roman" w:eastAsia="Times New Roman" w:hAnsi="Times New Roman"/>
                <w:sz w:val="24"/>
                <w:szCs w:val="24"/>
                <w:lang w:eastAsia="lv-LV"/>
              </w:rPr>
              <w:t xml:space="preserve">.gada </w:t>
            </w:r>
            <w:r w:rsidR="00E65477" w:rsidRPr="00CD0F27">
              <w:rPr>
                <w:rFonts w:ascii="Times New Roman" w:eastAsia="Times New Roman" w:hAnsi="Times New Roman"/>
                <w:sz w:val="24"/>
                <w:szCs w:val="24"/>
                <w:lang w:eastAsia="lv-LV"/>
              </w:rPr>
              <w:t>25.aprīlī</w:t>
            </w:r>
            <w:r w:rsidRPr="00CD0F27">
              <w:rPr>
                <w:rFonts w:ascii="Times New Roman" w:eastAsia="Times New Roman" w:hAnsi="Times New Roman"/>
                <w:sz w:val="24"/>
                <w:szCs w:val="24"/>
                <w:lang w:eastAsia="lv-LV"/>
              </w:rPr>
              <w:t xml:space="preserve"> tika publicēta Finanšu ministrijas mājas lapā sadaļā “Sabiedrības līdzdalība”.</w:t>
            </w:r>
          </w:p>
        </w:tc>
      </w:tr>
      <w:tr w:rsidR="00F20146" w:rsidRPr="00CD0F27" w14:paraId="2EACDB9E" w14:textId="77777777" w:rsidTr="002452E8">
        <w:trPr>
          <w:trHeight w:val="330"/>
          <w:jc w:val="center"/>
        </w:trPr>
        <w:tc>
          <w:tcPr>
            <w:tcW w:w="1738" w:type="pct"/>
            <w:tcBorders>
              <w:top w:val="outset" w:sz="6" w:space="0" w:color="auto"/>
              <w:left w:val="outset" w:sz="6" w:space="0" w:color="auto"/>
              <w:bottom w:val="outset" w:sz="6" w:space="0" w:color="auto"/>
              <w:right w:val="outset" w:sz="6" w:space="0" w:color="auto"/>
            </w:tcBorders>
            <w:hideMark/>
          </w:tcPr>
          <w:p w14:paraId="3BF5FBDA" w14:textId="77777777" w:rsidR="00F20146" w:rsidRPr="00112B40" w:rsidRDefault="00F20146" w:rsidP="00660F28">
            <w:pPr>
              <w:spacing w:after="0" w:line="240" w:lineRule="auto"/>
              <w:contextualSpacing/>
              <w:rPr>
                <w:rFonts w:ascii="Times New Roman" w:eastAsia="Times New Roman" w:hAnsi="Times New Roman"/>
                <w:sz w:val="24"/>
                <w:szCs w:val="24"/>
                <w:lang w:eastAsia="lv-LV"/>
              </w:rPr>
            </w:pPr>
            <w:r w:rsidRPr="00CD0F27">
              <w:rPr>
                <w:rFonts w:ascii="Times New Roman" w:eastAsia="Times New Roman" w:hAnsi="Times New Roman"/>
                <w:sz w:val="24"/>
                <w:szCs w:val="24"/>
                <w:lang w:eastAsia="lv-LV"/>
              </w:rPr>
              <w:t>Sabiedrības līdzdalība projekta izstrādē</w:t>
            </w:r>
          </w:p>
        </w:tc>
        <w:tc>
          <w:tcPr>
            <w:tcW w:w="3262" w:type="pct"/>
            <w:tcBorders>
              <w:top w:val="outset" w:sz="6" w:space="0" w:color="auto"/>
              <w:left w:val="outset" w:sz="6" w:space="0" w:color="auto"/>
              <w:bottom w:val="outset" w:sz="6" w:space="0" w:color="auto"/>
              <w:right w:val="outset" w:sz="6" w:space="0" w:color="auto"/>
            </w:tcBorders>
          </w:tcPr>
          <w:p w14:paraId="66CBACB0" w14:textId="77777777" w:rsidR="001F6882" w:rsidRPr="006E4CD8" w:rsidRDefault="00112B40" w:rsidP="00112B40">
            <w:pPr>
              <w:spacing w:after="0" w:line="240" w:lineRule="auto"/>
              <w:ind w:right="119"/>
              <w:contextualSpacing/>
              <w:jc w:val="both"/>
              <w:rPr>
                <w:rFonts w:ascii="Times New Roman" w:eastAsia="Times New Roman" w:hAnsi="Times New Roman"/>
                <w:sz w:val="24"/>
                <w:szCs w:val="24"/>
                <w:lang w:eastAsia="lv-LV"/>
              </w:rPr>
            </w:pPr>
            <w:r w:rsidRPr="006E4CD8">
              <w:rPr>
                <w:rFonts w:ascii="Times New Roman" w:hAnsi="Times New Roman"/>
                <w:sz w:val="24"/>
                <w:szCs w:val="24"/>
              </w:rPr>
              <w:t>Laika posmā pēc uzziņas par likumprojektu publicēšanas iebildumi vai priekšlikumi nav saņemti.</w:t>
            </w:r>
            <w:r w:rsidR="002452E8" w:rsidRPr="006E4CD8">
              <w:rPr>
                <w:rFonts w:ascii="Times New Roman" w:hAnsi="Times New Roman"/>
                <w:sz w:val="24"/>
                <w:szCs w:val="24"/>
              </w:rPr>
              <w:t xml:space="preserve"> </w:t>
            </w:r>
          </w:p>
        </w:tc>
      </w:tr>
      <w:tr w:rsidR="00F20146" w:rsidRPr="00CD0F27" w14:paraId="561F76E2" w14:textId="77777777" w:rsidTr="00F20146">
        <w:trPr>
          <w:trHeight w:val="465"/>
          <w:jc w:val="center"/>
        </w:trPr>
        <w:tc>
          <w:tcPr>
            <w:tcW w:w="1738" w:type="pct"/>
            <w:tcBorders>
              <w:top w:val="outset" w:sz="6" w:space="0" w:color="auto"/>
              <w:left w:val="outset" w:sz="6" w:space="0" w:color="auto"/>
              <w:bottom w:val="outset" w:sz="6" w:space="0" w:color="auto"/>
              <w:right w:val="outset" w:sz="6" w:space="0" w:color="auto"/>
            </w:tcBorders>
            <w:hideMark/>
          </w:tcPr>
          <w:p w14:paraId="387203A8" w14:textId="77777777" w:rsidR="00F20146" w:rsidRPr="00112B40" w:rsidRDefault="00F20146" w:rsidP="00E55447">
            <w:pPr>
              <w:rPr>
                <w:rFonts w:ascii="Times New Roman" w:eastAsia="Times New Roman" w:hAnsi="Times New Roman"/>
                <w:sz w:val="24"/>
                <w:szCs w:val="24"/>
                <w:lang w:eastAsia="lv-LV"/>
              </w:rPr>
            </w:pPr>
            <w:r w:rsidRPr="00CD0F27">
              <w:rPr>
                <w:rFonts w:ascii="Times New Roman" w:eastAsia="Times New Roman" w:hAnsi="Times New Roman"/>
                <w:sz w:val="24"/>
                <w:szCs w:val="24"/>
                <w:lang w:eastAsia="lv-LV"/>
              </w:rPr>
              <w:t>Sabiedrības līdzdalības rezultāti</w:t>
            </w:r>
          </w:p>
        </w:tc>
        <w:tc>
          <w:tcPr>
            <w:tcW w:w="3262" w:type="pct"/>
            <w:tcBorders>
              <w:top w:val="outset" w:sz="6" w:space="0" w:color="auto"/>
              <w:left w:val="outset" w:sz="6" w:space="0" w:color="auto"/>
              <w:bottom w:val="outset" w:sz="6" w:space="0" w:color="auto"/>
              <w:right w:val="outset" w:sz="6" w:space="0" w:color="auto"/>
            </w:tcBorders>
            <w:hideMark/>
          </w:tcPr>
          <w:p w14:paraId="090313E9" w14:textId="77777777" w:rsidR="00F20146" w:rsidRPr="00E11B56" w:rsidRDefault="002452E8" w:rsidP="00660F28">
            <w:pPr>
              <w:spacing w:after="0" w:line="240" w:lineRule="auto"/>
              <w:contextualSpacing/>
              <w:jc w:val="both"/>
              <w:rPr>
                <w:rFonts w:ascii="Times New Roman" w:eastAsia="Times New Roman" w:hAnsi="Times New Roman"/>
                <w:sz w:val="24"/>
                <w:szCs w:val="24"/>
                <w:lang w:eastAsia="lv-LV"/>
              </w:rPr>
            </w:pPr>
            <w:r w:rsidRPr="00E11B56">
              <w:rPr>
                <w:rFonts w:ascii="Times New Roman" w:hAnsi="Times New Roman"/>
                <w:sz w:val="24"/>
                <w:szCs w:val="24"/>
              </w:rPr>
              <w:t xml:space="preserve"> Likumprojekts šo jomu neskar.</w:t>
            </w:r>
          </w:p>
        </w:tc>
      </w:tr>
      <w:tr w:rsidR="00F20146" w:rsidRPr="00CD0F27" w14:paraId="5EB486AE" w14:textId="77777777" w:rsidTr="00F20146">
        <w:trPr>
          <w:trHeight w:val="465"/>
          <w:jc w:val="center"/>
        </w:trPr>
        <w:tc>
          <w:tcPr>
            <w:tcW w:w="1738" w:type="pct"/>
            <w:tcBorders>
              <w:top w:val="outset" w:sz="6" w:space="0" w:color="auto"/>
              <w:left w:val="outset" w:sz="6" w:space="0" w:color="auto"/>
              <w:bottom w:val="outset" w:sz="6" w:space="0" w:color="auto"/>
              <w:right w:val="outset" w:sz="6" w:space="0" w:color="auto"/>
            </w:tcBorders>
            <w:hideMark/>
          </w:tcPr>
          <w:p w14:paraId="1020A082" w14:textId="77777777" w:rsidR="00F20146" w:rsidRPr="00112B40" w:rsidRDefault="00F20146" w:rsidP="00013C48">
            <w:pPr>
              <w:jc w:val="both"/>
              <w:rPr>
                <w:rFonts w:ascii="Times New Roman" w:eastAsia="Times New Roman" w:hAnsi="Times New Roman"/>
                <w:sz w:val="24"/>
                <w:szCs w:val="24"/>
                <w:lang w:eastAsia="lv-LV"/>
              </w:rPr>
            </w:pPr>
            <w:r w:rsidRPr="00CD0F27">
              <w:rPr>
                <w:rFonts w:ascii="Times New Roman" w:eastAsia="Times New Roman" w:hAnsi="Times New Roman"/>
                <w:sz w:val="24"/>
                <w:szCs w:val="24"/>
                <w:lang w:eastAsia="lv-LV"/>
              </w:rPr>
              <w:t>Cita informācija</w:t>
            </w:r>
          </w:p>
        </w:tc>
        <w:tc>
          <w:tcPr>
            <w:tcW w:w="3262" w:type="pct"/>
            <w:tcBorders>
              <w:top w:val="outset" w:sz="6" w:space="0" w:color="auto"/>
              <w:left w:val="outset" w:sz="6" w:space="0" w:color="auto"/>
              <w:bottom w:val="outset" w:sz="6" w:space="0" w:color="auto"/>
              <w:right w:val="outset" w:sz="6" w:space="0" w:color="auto"/>
            </w:tcBorders>
            <w:hideMark/>
          </w:tcPr>
          <w:p w14:paraId="4EBA5DFD" w14:textId="77777777" w:rsidR="00F20146" w:rsidRPr="00E11B56" w:rsidRDefault="004D15BA" w:rsidP="00013C48">
            <w:pPr>
              <w:spacing w:before="100" w:beforeAutospacing="1" w:after="100" w:afterAutospacing="1"/>
              <w:jc w:val="both"/>
              <w:rPr>
                <w:rFonts w:ascii="Times New Roman" w:eastAsia="Times New Roman" w:hAnsi="Times New Roman"/>
                <w:sz w:val="24"/>
                <w:szCs w:val="24"/>
                <w:lang w:eastAsia="lv-LV"/>
              </w:rPr>
            </w:pPr>
            <w:r w:rsidRPr="00E11B56">
              <w:rPr>
                <w:rFonts w:ascii="Times New Roman" w:eastAsia="Times New Roman" w:hAnsi="Times New Roman"/>
                <w:sz w:val="24"/>
                <w:szCs w:val="24"/>
                <w:lang w:eastAsia="lv-LV"/>
              </w:rPr>
              <w:t>Nav</w:t>
            </w:r>
          </w:p>
        </w:tc>
      </w:tr>
    </w:tbl>
    <w:p w14:paraId="4E9F9DE6" w14:textId="77777777" w:rsidR="00F20146" w:rsidRPr="00CD0F27" w:rsidRDefault="00F20146" w:rsidP="0030306F">
      <w:pPr>
        <w:spacing w:after="0" w:line="240" w:lineRule="auto"/>
        <w:rPr>
          <w:rFonts w:ascii="Times New Roman" w:eastAsia="Times New Roman" w:hAnsi="Times New Roman"/>
          <w:sz w:val="24"/>
          <w:szCs w:val="24"/>
          <w:lang w:eastAsia="lv-LV"/>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481"/>
        <w:gridCol w:w="6600"/>
      </w:tblGrid>
      <w:tr w:rsidR="0030306F" w:rsidRPr="00CD0F27" w14:paraId="34C49AED" w14:textId="77777777" w:rsidTr="00E55447">
        <w:trPr>
          <w:trHeight w:val="381"/>
          <w:jc w:val="center"/>
        </w:trPr>
        <w:tc>
          <w:tcPr>
            <w:tcW w:w="9518" w:type="dxa"/>
            <w:gridSpan w:val="3"/>
            <w:vAlign w:val="center"/>
          </w:tcPr>
          <w:p w14:paraId="5C794E7B" w14:textId="77777777" w:rsidR="0030306F" w:rsidRPr="00E555F4" w:rsidRDefault="0030306F" w:rsidP="00E55447">
            <w:pPr>
              <w:pStyle w:val="naisnod"/>
              <w:spacing w:before="0" w:beforeAutospacing="0" w:after="0" w:afterAutospacing="0"/>
              <w:ind w:right="57"/>
              <w:jc w:val="center"/>
            </w:pPr>
            <w:r w:rsidRPr="00E555F4">
              <w:rPr>
                <w:b/>
              </w:rPr>
              <w:t>VII. Tiesību akta projekta izpildes nodrošināšana un tās ietekme uz institūcijām</w:t>
            </w:r>
          </w:p>
        </w:tc>
      </w:tr>
      <w:tr w:rsidR="0030306F" w:rsidRPr="00CD0F27" w14:paraId="363C2242" w14:textId="77777777" w:rsidTr="00E55447">
        <w:trPr>
          <w:trHeight w:val="427"/>
          <w:jc w:val="center"/>
        </w:trPr>
        <w:tc>
          <w:tcPr>
            <w:tcW w:w="437" w:type="dxa"/>
          </w:tcPr>
          <w:p w14:paraId="7578528E" w14:textId="77777777" w:rsidR="0030306F" w:rsidRPr="00112B40" w:rsidRDefault="0030306F" w:rsidP="00E55447">
            <w:pPr>
              <w:pStyle w:val="naisnod"/>
              <w:spacing w:before="0" w:beforeAutospacing="0" w:after="0" w:afterAutospacing="0"/>
              <w:ind w:right="57"/>
              <w:jc w:val="both"/>
            </w:pPr>
            <w:r w:rsidRPr="00CD0F27">
              <w:t>1.</w:t>
            </w:r>
          </w:p>
        </w:tc>
        <w:tc>
          <w:tcPr>
            <w:tcW w:w="2481" w:type="dxa"/>
          </w:tcPr>
          <w:p w14:paraId="24041756" w14:textId="77777777" w:rsidR="0030306F" w:rsidRPr="00E11B56" w:rsidRDefault="0030306F" w:rsidP="00E55447">
            <w:pPr>
              <w:pStyle w:val="naisf"/>
              <w:spacing w:before="0" w:beforeAutospacing="0" w:after="0" w:afterAutospacing="0"/>
              <w:ind w:right="57"/>
              <w:jc w:val="both"/>
            </w:pPr>
            <w:r w:rsidRPr="00E11B56">
              <w:t>Projekta izpildē iesaistītās institūcijas</w:t>
            </w:r>
          </w:p>
        </w:tc>
        <w:tc>
          <w:tcPr>
            <w:tcW w:w="6600" w:type="dxa"/>
          </w:tcPr>
          <w:p w14:paraId="4BFFFA8F" w14:textId="77777777" w:rsidR="0030306F" w:rsidRPr="00E11B56" w:rsidRDefault="004D15BA" w:rsidP="00E01FE8">
            <w:pPr>
              <w:shd w:val="clear" w:color="auto" w:fill="FFFFFF"/>
              <w:spacing w:after="0" w:line="240" w:lineRule="auto"/>
              <w:jc w:val="both"/>
              <w:rPr>
                <w:rFonts w:ascii="Times New Roman" w:hAnsi="Times New Roman"/>
                <w:sz w:val="24"/>
                <w:szCs w:val="24"/>
                <w:lang w:eastAsia="lv-LV"/>
              </w:rPr>
            </w:pPr>
            <w:r w:rsidRPr="00E11B56">
              <w:rPr>
                <w:rFonts w:ascii="Times New Roman" w:hAnsi="Times New Roman"/>
                <w:sz w:val="24"/>
                <w:szCs w:val="24"/>
                <w:lang w:eastAsia="lv-LV"/>
              </w:rPr>
              <w:t>V</w:t>
            </w:r>
            <w:r w:rsidR="00E01FE8">
              <w:rPr>
                <w:rFonts w:ascii="Times New Roman" w:hAnsi="Times New Roman"/>
                <w:sz w:val="24"/>
                <w:szCs w:val="24"/>
                <w:lang w:eastAsia="lv-LV"/>
              </w:rPr>
              <w:t>ID</w:t>
            </w:r>
            <w:r w:rsidR="002452E8" w:rsidRPr="00E11B56">
              <w:rPr>
                <w:rFonts w:ascii="Times New Roman" w:hAnsi="Times New Roman"/>
                <w:sz w:val="24"/>
                <w:szCs w:val="24"/>
                <w:lang w:eastAsia="lv-LV"/>
              </w:rPr>
              <w:t>.</w:t>
            </w:r>
          </w:p>
        </w:tc>
      </w:tr>
      <w:tr w:rsidR="0030306F" w:rsidRPr="00CD0F27" w14:paraId="7C5FB570" w14:textId="77777777" w:rsidTr="00E55447">
        <w:trPr>
          <w:trHeight w:val="463"/>
          <w:jc w:val="center"/>
        </w:trPr>
        <w:tc>
          <w:tcPr>
            <w:tcW w:w="437" w:type="dxa"/>
          </w:tcPr>
          <w:p w14:paraId="3BFAFD71" w14:textId="77777777" w:rsidR="0030306F" w:rsidRPr="00112B40" w:rsidRDefault="0030306F" w:rsidP="00E55447">
            <w:pPr>
              <w:pStyle w:val="naisnod"/>
              <w:spacing w:before="0" w:beforeAutospacing="0" w:after="0" w:afterAutospacing="0"/>
              <w:ind w:right="57"/>
              <w:jc w:val="both"/>
            </w:pPr>
            <w:r w:rsidRPr="00CD0F27">
              <w:t>2.</w:t>
            </w:r>
          </w:p>
        </w:tc>
        <w:tc>
          <w:tcPr>
            <w:tcW w:w="2481" w:type="dxa"/>
          </w:tcPr>
          <w:p w14:paraId="26D9AC1F" w14:textId="77777777" w:rsidR="0030306F" w:rsidRPr="00E11B56" w:rsidRDefault="0030306F" w:rsidP="00E55447">
            <w:pPr>
              <w:pStyle w:val="naisf"/>
              <w:spacing w:before="0" w:beforeAutospacing="0" w:after="0" w:afterAutospacing="0"/>
              <w:ind w:right="57"/>
              <w:contextualSpacing/>
              <w:jc w:val="both"/>
            </w:pPr>
            <w:r w:rsidRPr="00E11B56">
              <w:t>Projekta izpildes ietekme uz pār</w:t>
            </w:r>
            <w:r w:rsidRPr="00E11B56">
              <w:softHyphen/>
              <w:t>valdes funkcijām un institucionālo struktūru.</w:t>
            </w:r>
          </w:p>
          <w:p w14:paraId="07ACF376" w14:textId="77777777" w:rsidR="0030306F" w:rsidRPr="00CD0F27" w:rsidRDefault="0030306F" w:rsidP="00E55447">
            <w:pPr>
              <w:pStyle w:val="naisf"/>
              <w:spacing w:before="0" w:beforeAutospacing="0" w:after="0" w:afterAutospacing="0"/>
              <w:ind w:right="57"/>
              <w:contextualSpacing/>
              <w:jc w:val="both"/>
            </w:pPr>
            <w:r w:rsidRPr="00E11B56">
              <w:t>Jaunu institūciju izveide, esošu institūciju likvidācija vai reorga</w:t>
            </w:r>
            <w:r w:rsidRPr="00E11B56">
              <w:softHyphen/>
              <w:t xml:space="preserve">nizācija, to ietekme uz institūcijas </w:t>
            </w:r>
            <w:r w:rsidRPr="00CD0F27">
              <w:t>cilvēkresursiem</w:t>
            </w:r>
          </w:p>
        </w:tc>
        <w:tc>
          <w:tcPr>
            <w:tcW w:w="6600" w:type="dxa"/>
          </w:tcPr>
          <w:p w14:paraId="1104B350" w14:textId="77777777" w:rsidR="0030306F" w:rsidRPr="00B52BDB" w:rsidRDefault="004507B2" w:rsidP="00E01FE8">
            <w:pPr>
              <w:shd w:val="clear" w:color="auto" w:fill="FFFFFF"/>
              <w:spacing w:after="0" w:line="240" w:lineRule="auto"/>
              <w:jc w:val="both"/>
              <w:rPr>
                <w:rFonts w:ascii="Times New Roman" w:hAnsi="Times New Roman"/>
                <w:sz w:val="24"/>
                <w:szCs w:val="24"/>
                <w:lang w:eastAsia="lv-LV"/>
              </w:rPr>
            </w:pPr>
            <w:r w:rsidRPr="00CD0F27">
              <w:rPr>
                <w:rFonts w:ascii="Times New Roman" w:hAnsi="Times New Roman"/>
                <w:sz w:val="24"/>
                <w:szCs w:val="24"/>
              </w:rPr>
              <w:t>Likum</w:t>
            </w:r>
            <w:r w:rsidR="00E01FE8">
              <w:rPr>
                <w:rFonts w:ascii="Times New Roman" w:hAnsi="Times New Roman"/>
                <w:sz w:val="24"/>
                <w:szCs w:val="24"/>
              </w:rPr>
              <w:t>projekts šo jomu neskar</w:t>
            </w:r>
            <w:r w:rsidRPr="00CD0F27">
              <w:rPr>
                <w:rFonts w:ascii="Times New Roman" w:hAnsi="Times New Roman"/>
                <w:sz w:val="24"/>
                <w:szCs w:val="24"/>
              </w:rPr>
              <w:t>.</w:t>
            </w:r>
          </w:p>
        </w:tc>
      </w:tr>
      <w:tr w:rsidR="0030306F" w:rsidRPr="00CD0F27" w14:paraId="7689D1AE" w14:textId="77777777" w:rsidTr="00E55447">
        <w:trPr>
          <w:trHeight w:val="283"/>
          <w:jc w:val="center"/>
        </w:trPr>
        <w:tc>
          <w:tcPr>
            <w:tcW w:w="437" w:type="dxa"/>
            <w:tcBorders>
              <w:top w:val="single" w:sz="4" w:space="0" w:color="auto"/>
              <w:left w:val="single" w:sz="4" w:space="0" w:color="auto"/>
              <w:bottom w:val="single" w:sz="4" w:space="0" w:color="auto"/>
              <w:right w:val="single" w:sz="4" w:space="0" w:color="auto"/>
            </w:tcBorders>
          </w:tcPr>
          <w:p w14:paraId="7EC07E6C" w14:textId="77777777" w:rsidR="0030306F" w:rsidRPr="00112B40" w:rsidRDefault="0030306F" w:rsidP="00E55447">
            <w:pPr>
              <w:pStyle w:val="naisnod"/>
              <w:spacing w:before="0" w:beforeAutospacing="0" w:after="0" w:afterAutospacing="0"/>
              <w:ind w:right="57"/>
              <w:jc w:val="both"/>
            </w:pPr>
            <w:r w:rsidRPr="00CD0F27">
              <w:t>3.</w:t>
            </w:r>
          </w:p>
        </w:tc>
        <w:tc>
          <w:tcPr>
            <w:tcW w:w="2481" w:type="dxa"/>
            <w:tcBorders>
              <w:top w:val="single" w:sz="4" w:space="0" w:color="auto"/>
              <w:left w:val="single" w:sz="4" w:space="0" w:color="auto"/>
              <w:bottom w:val="single" w:sz="4" w:space="0" w:color="auto"/>
              <w:right w:val="single" w:sz="4" w:space="0" w:color="auto"/>
            </w:tcBorders>
          </w:tcPr>
          <w:p w14:paraId="39BEF570" w14:textId="77777777" w:rsidR="0030306F" w:rsidRPr="00E11B56" w:rsidRDefault="0030306F" w:rsidP="00E55447">
            <w:pPr>
              <w:pStyle w:val="naisf"/>
              <w:spacing w:before="0" w:beforeAutospacing="0" w:after="0" w:afterAutospacing="0"/>
              <w:ind w:right="57"/>
              <w:jc w:val="both"/>
            </w:pPr>
            <w:r w:rsidRPr="00E11B56">
              <w:t>Cita informācija</w:t>
            </w:r>
          </w:p>
        </w:tc>
        <w:tc>
          <w:tcPr>
            <w:tcW w:w="6600" w:type="dxa"/>
            <w:tcBorders>
              <w:top w:val="single" w:sz="4" w:space="0" w:color="auto"/>
              <w:left w:val="single" w:sz="4" w:space="0" w:color="auto"/>
              <w:bottom w:val="single" w:sz="4" w:space="0" w:color="auto"/>
              <w:right w:val="single" w:sz="4" w:space="0" w:color="auto"/>
            </w:tcBorders>
          </w:tcPr>
          <w:p w14:paraId="6DDA9B6F" w14:textId="77777777" w:rsidR="0030306F" w:rsidRPr="00E11B56" w:rsidRDefault="0030306F" w:rsidP="00E55447">
            <w:pPr>
              <w:spacing w:after="0" w:line="240" w:lineRule="auto"/>
              <w:ind w:right="57"/>
              <w:jc w:val="both"/>
              <w:rPr>
                <w:rFonts w:ascii="Times New Roman" w:hAnsi="Times New Roman"/>
                <w:sz w:val="24"/>
                <w:szCs w:val="24"/>
                <w:lang w:eastAsia="lv-LV"/>
              </w:rPr>
            </w:pPr>
            <w:r w:rsidRPr="00E11B56">
              <w:rPr>
                <w:rFonts w:ascii="Times New Roman" w:hAnsi="Times New Roman"/>
                <w:sz w:val="24"/>
                <w:szCs w:val="24"/>
              </w:rPr>
              <w:t>Nav.</w:t>
            </w:r>
          </w:p>
        </w:tc>
      </w:tr>
    </w:tbl>
    <w:p w14:paraId="203DF0D5" w14:textId="77777777" w:rsidR="0030306F" w:rsidRPr="00CD0F27" w:rsidRDefault="0030306F" w:rsidP="0030306F">
      <w:pPr>
        <w:spacing w:after="0" w:line="240" w:lineRule="auto"/>
        <w:jc w:val="both"/>
        <w:rPr>
          <w:rFonts w:ascii="Times New Roman" w:eastAsia="Times New Roman" w:hAnsi="Times New Roman"/>
          <w:sz w:val="24"/>
          <w:szCs w:val="24"/>
          <w:lang w:eastAsia="lv-LV"/>
        </w:rPr>
      </w:pPr>
    </w:p>
    <w:p w14:paraId="77594D63" w14:textId="77777777" w:rsidR="00A03E03" w:rsidRDefault="00A03E03" w:rsidP="0030306F">
      <w:pPr>
        <w:spacing w:after="0" w:line="240" w:lineRule="auto"/>
        <w:ind w:firstLine="720"/>
        <w:jc w:val="both"/>
        <w:rPr>
          <w:rFonts w:ascii="Times New Roman" w:eastAsia="Times New Roman" w:hAnsi="Times New Roman"/>
          <w:sz w:val="28"/>
          <w:szCs w:val="28"/>
          <w:lang w:eastAsia="lv-LV"/>
        </w:rPr>
      </w:pPr>
    </w:p>
    <w:p w14:paraId="37FAB5B1" w14:textId="77777777" w:rsidR="0030306F" w:rsidRPr="002E7798" w:rsidRDefault="0030306F" w:rsidP="0030306F">
      <w:pPr>
        <w:spacing w:after="0" w:line="240" w:lineRule="auto"/>
        <w:ind w:firstLine="720"/>
        <w:jc w:val="both"/>
        <w:rPr>
          <w:rFonts w:ascii="Times New Roman" w:eastAsia="Times New Roman" w:hAnsi="Times New Roman"/>
          <w:sz w:val="28"/>
          <w:szCs w:val="28"/>
          <w:lang w:eastAsia="lv-LV"/>
        </w:rPr>
      </w:pPr>
      <w:r w:rsidRPr="002E7798">
        <w:rPr>
          <w:rFonts w:ascii="Times New Roman" w:eastAsia="Times New Roman" w:hAnsi="Times New Roman"/>
          <w:sz w:val="28"/>
          <w:szCs w:val="28"/>
          <w:lang w:eastAsia="lv-LV"/>
        </w:rPr>
        <w:t>Finanšu ministr</w:t>
      </w:r>
      <w:r w:rsidR="00634531">
        <w:rPr>
          <w:rFonts w:ascii="Times New Roman" w:eastAsia="Times New Roman" w:hAnsi="Times New Roman"/>
          <w:sz w:val="28"/>
          <w:szCs w:val="28"/>
          <w:lang w:eastAsia="lv-LV"/>
        </w:rPr>
        <w:t>e</w:t>
      </w:r>
      <w:r w:rsidRPr="002E7798">
        <w:rPr>
          <w:rFonts w:ascii="Times New Roman" w:eastAsia="Times New Roman" w:hAnsi="Times New Roman"/>
          <w:sz w:val="28"/>
          <w:szCs w:val="28"/>
          <w:lang w:eastAsia="lv-LV"/>
        </w:rPr>
        <w:tab/>
      </w:r>
      <w:r w:rsidRPr="002E7798">
        <w:rPr>
          <w:rFonts w:ascii="Times New Roman" w:eastAsia="Times New Roman" w:hAnsi="Times New Roman"/>
          <w:sz w:val="28"/>
          <w:szCs w:val="28"/>
          <w:lang w:eastAsia="lv-LV"/>
        </w:rPr>
        <w:tab/>
      </w:r>
      <w:r>
        <w:rPr>
          <w:rFonts w:ascii="Times New Roman" w:eastAsia="Times New Roman" w:hAnsi="Times New Roman"/>
          <w:sz w:val="28"/>
          <w:szCs w:val="28"/>
          <w:lang w:eastAsia="lv-LV"/>
        </w:rPr>
        <w:t xml:space="preserve">           </w:t>
      </w:r>
      <w:r w:rsidRPr="002E7798">
        <w:rPr>
          <w:rFonts w:ascii="Times New Roman" w:eastAsia="Times New Roman" w:hAnsi="Times New Roman"/>
          <w:sz w:val="28"/>
          <w:szCs w:val="28"/>
          <w:lang w:eastAsia="lv-LV"/>
        </w:rPr>
        <w:tab/>
      </w:r>
      <w:r w:rsidRPr="002E7798">
        <w:rPr>
          <w:rFonts w:ascii="Times New Roman" w:eastAsia="Times New Roman" w:hAnsi="Times New Roman"/>
          <w:sz w:val="28"/>
          <w:szCs w:val="28"/>
          <w:lang w:eastAsia="lv-LV"/>
        </w:rPr>
        <w:tab/>
      </w:r>
      <w:r w:rsidRPr="002E7798">
        <w:rPr>
          <w:rFonts w:ascii="Times New Roman" w:eastAsia="Times New Roman" w:hAnsi="Times New Roman"/>
          <w:sz w:val="28"/>
          <w:szCs w:val="28"/>
          <w:lang w:eastAsia="lv-LV"/>
        </w:rPr>
        <w:tab/>
      </w:r>
      <w:r w:rsidR="005605FA">
        <w:rPr>
          <w:rFonts w:ascii="Times New Roman" w:eastAsia="Times New Roman" w:hAnsi="Times New Roman"/>
          <w:sz w:val="28"/>
          <w:szCs w:val="28"/>
          <w:lang w:eastAsia="lv-LV"/>
        </w:rPr>
        <w:t>D.Reizniece-Ozola</w:t>
      </w:r>
    </w:p>
    <w:p w14:paraId="28192257" w14:textId="77777777" w:rsidR="006F08B4" w:rsidRDefault="006F08B4" w:rsidP="00CD670E">
      <w:pPr>
        <w:pStyle w:val="Footer"/>
        <w:rPr>
          <w:rFonts w:ascii="Times New Roman" w:hAnsi="Times New Roman"/>
          <w:sz w:val="20"/>
          <w:szCs w:val="20"/>
        </w:rPr>
      </w:pPr>
    </w:p>
    <w:p w14:paraId="674731AE" w14:textId="77777777" w:rsidR="00652D68" w:rsidRDefault="00652D68" w:rsidP="00CD670E">
      <w:pPr>
        <w:pStyle w:val="Footer"/>
        <w:rPr>
          <w:rFonts w:ascii="Times New Roman" w:hAnsi="Times New Roman"/>
          <w:sz w:val="20"/>
          <w:szCs w:val="20"/>
        </w:rPr>
      </w:pPr>
      <w:r>
        <w:rPr>
          <w:rFonts w:ascii="Times New Roman" w:hAnsi="Times New Roman"/>
          <w:sz w:val="20"/>
          <w:szCs w:val="20"/>
        </w:rPr>
        <w:tab/>
      </w:r>
    </w:p>
    <w:p w14:paraId="3149C464" w14:textId="77777777" w:rsidR="006F08B4" w:rsidRDefault="006F08B4" w:rsidP="00CD670E">
      <w:pPr>
        <w:pStyle w:val="Footer"/>
        <w:rPr>
          <w:rFonts w:ascii="Times New Roman" w:hAnsi="Times New Roman"/>
          <w:sz w:val="20"/>
          <w:szCs w:val="20"/>
        </w:rPr>
      </w:pPr>
    </w:p>
    <w:p w14:paraId="7600048B" w14:textId="77777777" w:rsidR="00EF02A3" w:rsidRPr="008F593E" w:rsidRDefault="00EF02A3" w:rsidP="00CD670E">
      <w:pPr>
        <w:pStyle w:val="Footer"/>
        <w:rPr>
          <w:rFonts w:ascii="Times New Roman" w:hAnsi="Times New Roman"/>
          <w:sz w:val="20"/>
          <w:szCs w:val="20"/>
        </w:rPr>
      </w:pPr>
    </w:p>
    <w:p w14:paraId="79BB4EFD" w14:textId="77777777" w:rsidR="00EF02A3" w:rsidRPr="008F593E" w:rsidRDefault="00EF02A3" w:rsidP="00EF02A3">
      <w:pPr>
        <w:pStyle w:val="Footer"/>
        <w:rPr>
          <w:rFonts w:ascii="Times New Roman" w:hAnsi="Times New Roman"/>
          <w:sz w:val="20"/>
          <w:szCs w:val="20"/>
        </w:rPr>
      </w:pPr>
      <w:r w:rsidRPr="008F593E">
        <w:rPr>
          <w:rFonts w:ascii="Times New Roman" w:hAnsi="Times New Roman"/>
          <w:sz w:val="20"/>
          <w:szCs w:val="20"/>
        </w:rPr>
        <w:t>Priede, 67083866</w:t>
      </w:r>
    </w:p>
    <w:p w14:paraId="21D241EA" w14:textId="77777777" w:rsidR="00EF02A3" w:rsidRPr="008F593E" w:rsidRDefault="00BB3FED" w:rsidP="00EF02A3">
      <w:pPr>
        <w:pStyle w:val="Footer"/>
        <w:rPr>
          <w:rFonts w:ascii="Times New Roman" w:hAnsi="Times New Roman"/>
          <w:sz w:val="20"/>
          <w:szCs w:val="20"/>
        </w:rPr>
      </w:pPr>
      <w:hyperlink r:id="rId12" w:history="1">
        <w:r w:rsidR="00EF02A3" w:rsidRPr="008F593E">
          <w:rPr>
            <w:rStyle w:val="Hyperlink"/>
            <w:rFonts w:ascii="Times New Roman" w:hAnsi="Times New Roman"/>
            <w:sz w:val="20"/>
            <w:szCs w:val="20"/>
          </w:rPr>
          <w:t>Arta..Priede@fm.gov.lv</w:t>
        </w:r>
      </w:hyperlink>
    </w:p>
    <w:p w14:paraId="1A37672E" w14:textId="77777777" w:rsidR="00EF02A3" w:rsidRPr="008F593E" w:rsidRDefault="00EF02A3" w:rsidP="00CD670E">
      <w:pPr>
        <w:pStyle w:val="Footer"/>
        <w:rPr>
          <w:rFonts w:ascii="Times New Roman" w:hAnsi="Times New Roman"/>
          <w:sz w:val="20"/>
          <w:szCs w:val="20"/>
        </w:rPr>
      </w:pPr>
    </w:p>
    <w:p w14:paraId="5A7E19E3" w14:textId="77777777" w:rsidR="00CD670E" w:rsidRPr="008F593E" w:rsidRDefault="00CD670E" w:rsidP="00CD670E">
      <w:pPr>
        <w:pStyle w:val="Footer"/>
        <w:rPr>
          <w:rFonts w:ascii="Times New Roman" w:hAnsi="Times New Roman"/>
          <w:sz w:val="20"/>
          <w:szCs w:val="20"/>
        </w:rPr>
      </w:pPr>
      <w:r w:rsidRPr="008F593E">
        <w:rPr>
          <w:rFonts w:ascii="Times New Roman" w:hAnsi="Times New Roman"/>
          <w:sz w:val="20"/>
          <w:szCs w:val="20"/>
        </w:rPr>
        <w:t>Šaknere, 67095618</w:t>
      </w:r>
    </w:p>
    <w:p w14:paraId="32B412ED" w14:textId="77777777" w:rsidR="00C500AE" w:rsidRPr="000E1BAA" w:rsidRDefault="00BB3FED" w:rsidP="007B1363">
      <w:pPr>
        <w:rPr>
          <w:rFonts w:ascii="Times New Roman" w:hAnsi="Times New Roman"/>
          <w:sz w:val="20"/>
          <w:szCs w:val="20"/>
        </w:rPr>
      </w:pPr>
      <w:hyperlink r:id="rId13" w:history="1">
        <w:r w:rsidR="00CD670E" w:rsidRPr="000E1BAA">
          <w:rPr>
            <w:rStyle w:val="Hyperlink"/>
            <w:rFonts w:ascii="Times New Roman" w:hAnsi="Times New Roman"/>
            <w:sz w:val="20"/>
            <w:szCs w:val="20"/>
          </w:rPr>
          <w:t>Dina.Saknere@fm.gov.lv</w:t>
        </w:r>
      </w:hyperlink>
    </w:p>
    <w:sectPr w:rsidR="00C500AE" w:rsidRPr="000E1BAA" w:rsidSect="00E55447">
      <w:headerReference w:type="default" r:id="rId14"/>
      <w:footerReference w:type="default" r:id="rId15"/>
      <w:headerReference w:type="first" r:id="rId16"/>
      <w:footerReference w:type="first" r:id="rId17"/>
      <w:pgSz w:w="11906" w:h="16838" w:code="9"/>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50798" w14:textId="77777777" w:rsidR="00BB3FED" w:rsidRDefault="00BB3FED">
      <w:pPr>
        <w:spacing w:after="0" w:line="240" w:lineRule="auto"/>
      </w:pPr>
      <w:r>
        <w:separator/>
      </w:r>
    </w:p>
  </w:endnote>
  <w:endnote w:type="continuationSeparator" w:id="0">
    <w:p w14:paraId="3CBB675C" w14:textId="77777777" w:rsidR="00BB3FED" w:rsidRDefault="00BB3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C096E" w14:textId="12830B4A" w:rsidR="004B44DA" w:rsidRPr="005528BE" w:rsidRDefault="004B44DA" w:rsidP="004B44DA">
    <w:pPr>
      <w:pStyle w:val="naisf"/>
      <w:spacing w:before="0" w:beforeAutospacing="0" w:after="0" w:afterAutospacing="0"/>
      <w:jc w:val="both"/>
      <w:rPr>
        <w:rFonts w:eastAsia="Calibri"/>
        <w:bCs/>
        <w:sz w:val="20"/>
        <w:szCs w:val="20"/>
        <w:lang w:eastAsia="x-none"/>
      </w:rPr>
    </w:pPr>
    <w:r>
      <w:rPr>
        <w:sz w:val="20"/>
        <w:szCs w:val="20"/>
      </w:rPr>
      <w:t>FMAnot_</w:t>
    </w:r>
    <w:r w:rsidR="00FD5EAE">
      <w:rPr>
        <w:sz w:val="20"/>
        <w:szCs w:val="20"/>
      </w:rPr>
      <w:t>070317</w:t>
    </w:r>
    <w:r>
      <w:rPr>
        <w:sz w:val="20"/>
        <w:szCs w:val="20"/>
      </w:rPr>
      <w:t>_grozījumi_PG</w:t>
    </w:r>
  </w:p>
  <w:p w14:paraId="690275C9" w14:textId="77777777" w:rsidR="004B44DA" w:rsidRPr="001E019F" w:rsidRDefault="004B44DA" w:rsidP="004B44DA">
    <w:pPr>
      <w:pStyle w:val="Footer"/>
    </w:pPr>
  </w:p>
  <w:p w14:paraId="1E6D7C09" w14:textId="77777777" w:rsidR="00E55447" w:rsidRPr="00CE59F1" w:rsidRDefault="00E55447" w:rsidP="00CE59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0E9F6" w14:textId="390FD8F0" w:rsidR="007B1363" w:rsidRPr="005528BE" w:rsidRDefault="007B1363" w:rsidP="007B1363">
    <w:pPr>
      <w:pStyle w:val="naisf"/>
      <w:spacing w:before="0" w:beforeAutospacing="0" w:after="0" w:afterAutospacing="0"/>
      <w:jc w:val="both"/>
      <w:rPr>
        <w:rFonts w:eastAsia="Calibri"/>
        <w:bCs/>
        <w:sz w:val="20"/>
        <w:szCs w:val="20"/>
        <w:lang w:eastAsia="x-none"/>
      </w:rPr>
    </w:pPr>
    <w:r>
      <w:rPr>
        <w:sz w:val="20"/>
        <w:szCs w:val="20"/>
      </w:rPr>
      <w:t>FMAnot_</w:t>
    </w:r>
    <w:r w:rsidR="00FD5EAE">
      <w:rPr>
        <w:sz w:val="20"/>
        <w:szCs w:val="20"/>
      </w:rPr>
      <w:t>0703</w:t>
    </w:r>
    <w:r w:rsidR="005002BE">
      <w:rPr>
        <w:sz w:val="20"/>
        <w:szCs w:val="20"/>
      </w:rPr>
      <w:t>17</w:t>
    </w:r>
    <w:r>
      <w:rPr>
        <w:sz w:val="20"/>
        <w:szCs w:val="20"/>
      </w:rPr>
      <w:t>_</w:t>
    </w:r>
    <w:r w:rsidR="004B44DA">
      <w:rPr>
        <w:sz w:val="20"/>
        <w:szCs w:val="20"/>
      </w:rPr>
      <w:t>g</w:t>
    </w:r>
    <w:r>
      <w:rPr>
        <w:sz w:val="20"/>
        <w:szCs w:val="20"/>
      </w:rPr>
      <w:t>rozījumi_P</w:t>
    </w:r>
    <w:r w:rsidR="004B44DA">
      <w:rPr>
        <w:sz w:val="20"/>
        <w:szCs w:val="20"/>
      </w:rPr>
      <w:t>G</w:t>
    </w:r>
  </w:p>
  <w:p w14:paraId="282C7336" w14:textId="77777777" w:rsidR="00E55447" w:rsidRPr="001E019F" w:rsidRDefault="00E55447" w:rsidP="001E01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46FFA" w14:textId="77777777" w:rsidR="00BB3FED" w:rsidRDefault="00BB3FED">
      <w:pPr>
        <w:spacing w:after="0" w:line="240" w:lineRule="auto"/>
      </w:pPr>
      <w:r>
        <w:separator/>
      </w:r>
    </w:p>
  </w:footnote>
  <w:footnote w:type="continuationSeparator" w:id="0">
    <w:p w14:paraId="30FFA26C" w14:textId="77777777" w:rsidR="00BB3FED" w:rsidRDefault="00BB3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DF246" w14:textId="752D7FEF" w:rsidR="00E55447" w:rsidRDefault="00A14AA3">
    <w:pPr>
      <w:pStyle w:val="Header"/>
      <w:jc w:val="center"/>
    </w:pPr>
    <w:r>
      <w:fldChar w:fldCharType="begin"/>
    </w:r>
    <w:r>
      <w:instrText xml:space="preserve"> PAGE   \* MERGEFORMAT </w:instrText>
    </w:r>
    <w:r>
      <w:fldChar w:fldCharType="separate"/>
    </w:r>
    <w:r w:rsidR="00B506AD">
      <w:rPr>
        <w:noProof/>
      </w:rPr>
      <w:t>6</w:t>
    </w:r>
    <w:r>
      <w:rPr>
        <w:noProof/>
      </w:rPr>
      <w:fldChar w:fldCharType="end"/>
    </w:r>
  </w:p>
  <w:p w14:paraId="3E14738C" w14:textId="77777777" w:rsidR="00E55447" w:rsidRDefault="00E554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EA570" w14:textId="77777777" w:rsidR="00EF3D80" w:rsidRDefault="00EF3D80">
    <w:pPr>
      <w:pStyle w:val="Header"/>
      <w:jc w:val="center"/>
    </w:pPr>
  </w:p>
  <w:p w14:paraId="157D92C8" w14:textId="77777777" w:rsidR="00EF3D80" w:rsidRDefault="00EF3D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12280"/>
    <w:multiLevelType w:val="hybridMultilevel"/>
    <w:tmpl w:val="6A50E6FE"/>
    <w:lvl w:ilvl="0" w:tplc="E6864A58">
      <w:numFmt w:val="bullet"/>
      <w:lvlText w:val="-"/>
      <w:lvlJc w:val="left"/>
      <w:pPr>
        <w:ind w:left="641" w:hanging="360"/>
      </w:pPr>
      <w:rPr>
        <w:rFonts w:ascii="Times New Roman" w:eastAsia="Times New Roman" w:hAnsi="Times New Roman" w:cs="Times New Roman" w:hint="default"/>
      </w:rPr>
    </w:lvl>
    <w:lvl w:ilvl="1" w:tplc="04260003" w:tentative="1">
      <w:start w:val="1"/>
      <w:numFmt w:val="bullet"/>
      <w:lvlText w:val="o"/>
      <w:lvlJc w:val="left"/>
      <w:pPr>
        <w:ind w:left="1361" w:hanging="360"/>
      </w:pPr>
      <w:rPr>
        <w:rFonts w:ascii="Courier New" w:hAnsi="Courier New" w:cs="Courier New" w:hint="default"/>
      </w:rPr>
    </w:lvl>
    <w:lvl w:ilvl="2" w:tplc="04260005" w:tentative="1">
      <w:start w:val="1"/>
      <w:numFmt w:val="bullet"/>
      <w:lvlText w:val=""/>
      <w:lvlJc w:val="left"/>
      <w:pPr>
        <w:ind w:left="2081" w:hanging="360"/>
      </w:pPr>
      <w:rPr>
        <w:rFonts w:ascii="Wingdings" w:hAnsi="Wingdings" w:hint="default"/>
      </w:rPr>
    </w:lvl>
    <w:lvl w:ilvl="3" w:tplc="04260001" w:tentative="1">
      <w:start w:val="1"/>
      <w:numFmt w:val="bullet"/>
      <w:lvlText w:val=""/>
      <w:lvlJc w:val="left"/>
      <w:pPr>
        <w:ind w:left="2801" w:hanging="360"/>
      </w:pPr>
      <w:rPr>
        <w:rFonts w:ascii="Symbol" w:hAnsi="Symbol" w:hint="default"/>
      </w:rPr>
    </w:lvl>
    <w:lvl w:ilvl="4" w:tplc="04260003" w:tentative="1">
      <w:start w:val="1"/>
      <w:numFmt w:val="bullet"/>
      <w:lvlText w:val="o"/>
      <w:lvlJc w:val="left"/>
      <w:pPr>
        <w:ind w:left="3521" w:hanging="360"/>
      </w:pPr>
      <w:rPr>
        <w:rFonts w:ascii="Courier New" w:hAnsi="Courier New" w:cs="Courier New" w:hint="default"/>
      </w:rPr>
    </w:lvl>
    <w:lvl w:ilvl="5" w:tplc="04260005" w:tentative="1">
      <w:start w:val="1"/>
      <w:numFmt w:val="bullet"/>
      <w:lvlText w:val=""/>
      <w:lvlJc w:val="left"/>
      <w:pPr>
        <w:ind w:left="4241" w:hanging="360"/>
      </w:pPr>
      <w:rPr>
        <w:rFonts w:ascii="Wingdings" w:hAnsi="Wingdings" w:hint="default"/>
      </w:rPr>
    </w:lvl>
    <w:lvl w:ilvl="6" w:tplc="04260001" w:tentative="1">
      <w:start w:val="1"/>
      <w:numFmt w:val="bullet"/>
      <w:lvlText w:val=""/>
      <w:lvlJc w:val="left"/>
      <w:pPr>
        <w:ind w:left="4961" w:hanging="360"/>
      </w:pPr>
      <w:rPr>
        <w:rFonts w:ascii="Symbol" w:hAnsi="Symbol" w:hint="default"/>
      </w:rPr>
    </w:lvl>
    <w:lvl w:ilvl="7" w:tplc="04260003" w:tentative="1">
      <w:start w:val="1"/>
      <w:numFmt w:val="bullet"/>
      <w:lvlText w:val="o"/>
      <w:lvlJc w:val="left"/>
      <w:pPr>
        <w:ind w:left="5681" w:hanging="360"/>
      </w:pPr>
      <w:rPr>
        <w:rFonts w:ascii="Courier New" w:hAnsi="Courier New" w:cs="Courier New" w:hint="default"/>
      </w:rPr>
    </w:lvl>
    <w:lvl w:ilvl="8" w:tplc="04260005" w:tentative="1">
      <w:start w:val="1"/>
      <w:numFmt w:val="bullet"/>
      <w:lvlText w:val=""/>
      <w:lvlJc w:val="left"/>
      <w:pPr>
        <w:ind w:left="6401" w:hanging="360"/>
      </w:pPr>
      <w:rPr>
        <w:rFonts w:ascii="Wingdings" w:hAnsi="Wingdings" w:hint="default"/>
      </w:rPr>
    </w:lvl>
  </w:abstractNum>
  <w:abstractNum w:abstractNumId="1">
    <w:nsid w:val="6C92653E"/>
    <w:multiLevelType w:val="multilevel"/>
    <w:tmpl w:val="EE4A542C"/>
    <w:lvl w:ilvl="0">
      <w:start w:val="1"/>
      <w:numFmt w:val="decimal"/>
      <w:lvlText w:val="%1."/>
      <w:lvlJc w:val="left"/>
      <w:pPr>
        <w:tabs>
          <w:tab w:val="num" w:pos="360"/>
        </w:tabs>
        <w:ind w:left="360" w:hanging="360"/>
      </w:pPr>
      <w:rPr>
        <w:rFonts w:cs="Times New Roman"/>
        <w:b w:val="0"/>
        <w:i w:val="0"/>
        <w:color w:val="auto"/>
        <w:sz w:val="20"/>
        <w:szCs w:val="20"/>
      </w:rPr>
    </w:lvl>
    <w:lvl w:ilvl="1">
      <w:start w:val="1"/>
      <w:numFmt w:val="decimal"/>
      <w:lvlText w:val="%1.%2."/>
      <w:lvlJc w:val="left"/>
      <w:pPr>
        <w:tabs>
          <w:tab w:val="num" w:pos="432"/>
        </w:tabs>
        <w:ind w:left="432" w:hanging="432"/>
      </w:pPr>
      <w:rPr>
        <w:rFonts w:ascii="Times New Roman" w:hAnsi="Times New Roman" w:cs="Times New Roman" w:hint="default"/>
        <w:b/>
        <w:i w:val="0"/>
        <w:color w:val="auto"/>
        <w:sz w:val="20"/>
        <w:szCs w:val="20"/>
      </w:rPr>
    </w:lvl>
    <w:lvl w:ilvl="2">
      <w:start w:val="1"/>
      <w:numFmt w:val="decimal"/>
      <w:lvlText w:val="%1.%2.%3."/>
      <w:lvlJc w:val="left"/>
      <w:pPr>
        <w:tabs>
          <w:tab w:val="num" w:pos="2564"/>
        </w:tabs>
        <w:ind w:left="2348" w:hanging="504"/>
      </w:pPr>
      <w:rPr>
        <w:rFonts w:cs="Times New Roman"/>
        <w:b w:val="0"/>
        <w:i w:val="0"/>
        <w:color w:val="auto"/>
        <w:sz w:val="20"/>
        <w:szCs w:val="20"/>
      </w:rPr>
    </w:lvl>
    <w:lvl w:ilvl="3">
      <w:start w:val="1"/>
      <w:numFmt w:val="decimal"/>
      <w:lvlText w:val="%1.%2.%3.%4."/>
      <w:lvlJc w:val="left"/>
      <w:pPr>
        <w:tabs>
          <w:tab w:val="num" w:pos="1997"/>
        </w:tabs>
        <w:ind w:left="1925" w:hanging="648"/>
      </w:pPr>
      <w:rPr>
        <w:rFonts w:cs="Times New Roman"/>
        <w:b w:val="0"/>
        <w:i w:val="0"/>
        <w:sz w:val="20"/>
        <w:szCs w:val="2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sz w:val="20"/>
        <w:szCs w:val="20"/>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7341510D"/>
    <w:multiLevelType w:val="hybridMultilevel"/>
    <w:tmpl w:val="9E525180"/>
    <w:lvl w:ilvl="0" w:tplc="BCBE38C8">
      <w:start w:val="1"/>
      <w:numFmt w:val="decimal"/>
      <w:lvlText w:val="%1."/>
      <w:lvlJc w:val="left"/>
      <w:pPr>
        <w:ind w:left="641" w:hanging="360"/>
      </w:pPr>
      <w:rPr>
        <w:rFonts w:hint="default"/>
      </w:rPr>
    </w:lvl>
    <w:lvl w:ilvl="1" w:tplc="04260019" w:tentative="1">
      <w:start w:val="1"/>
      <w:numFmt w:val="lowerLetter"/>
      <w:lvlText w:val="%2."/>
      <w:lvlJc w:val="left"/>
      <w:pPr>
        <w:ind w:left="1361" w:hanging="360"/>
      </w:pPr>
    </w:lvl>
    <w:lvl w:ilvl="2" w:tplc="0426001B" w:tentative="1">
      <w:start w:val="1"/>
      <w:numFmt w:val="lowerRoman"/>
      <w:lvlText w:val="%3."/>
      <w:lvlJc w:val="right"/>
      <w:pPr>
        <w:ind w:left="2081" w:hanging="180"/>
      </w:pPr>
    </w:lvl>
    <w:lvl w:ilvl="3" w:tplc="0426000F" w:tentative="1">
      <w:start w:val="1"/>
      <w:numFmt w:val="decimal"/>
      <w:lvlText w:val="%4."/>
      <w:lvlJc w:val="left"/>
      <w:pPr>
        <w:ind w:left="2801" w:hanging="360"/>
      </w:pPr>
    </w:lvl>
    <w:lvl w:ilvl="4" w:tplc="04260019" w:tentative="1">
      <w:start w:val="1"/>
      <w:numFmt w:val="lowerLetter"/>
      <w:lvlText w:val="%5."/>
      <w:lvlJc w:val="left"/>
      <w:pPr>
        <w:ind w:left="3521" w:hanging="360"/>
      </w:pPr>
    </w:lvl>
    <w:lvl w:ilvl="5" w:tplc="0426001B" w:tentative="1">
      <w:start w:val="1"/>
      <w:numFmt w:val="lowerRoman"/>
      <w:lvlText w:val="%6."/>
      <w:lvlJc w:val="right"/>
      <w:pPr>
        <w:ind w:left="4241" w:hanging="180"/>
      </w:pPr>
    </w:lvl>
    <w:lvl w:ilvl="6" w:tplc="0426000F" w:tentative="1">
      <w:start w:val="1"/>
      <w:numFmt w:val="decimal"/>
      <w:lvlText w:val="%7."/>
      <w:lvlJc w:val="left"/>
      <w:pPr>
        <w:ind w:left="4961" w:hanging="360"/>
      </w:pPr>
    </w:lvl>
    <w:lvl w:ilvl="7" w:tplc="04260019" w:tentative="1">
      <w:start w:val="1"/>
      <w:numFmt w:val="lowerLetter"/>
      <w:lvlText w:val="%8."/>
      <w:lvlJc w:val="left"/>
      <w:pPr>
        <w:ind w:left="5681" w:hanging="360"/>
      </w:pPr>
    </w:lvl>
    <w:lvl w:ilvl="8" w:tplc="0426001B" w:tentative="1">
      <w:start w:val="1"/>
      <w:numFmt w:val="lowerRoman"/>
      <w:lvlText w:val="%9."/>
      <w:lvlJc w:val="right"/>
      <w:pPr>
        <w:ind w:left="6401"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06F"/>
    <w:rsid w:val="00007EFD"/>
    <w:rsid w:val="00012932"/>
    <w:rsid w:val="00013784"/>
    <w:rsid w:val="00013C48"/>
    <w:rsid w:val="00045D77"/>
    <w:rsid w:val="00050325"/>
    <w:rsid w:val="00050C70"/>
    <w:rsid w:val="0005350D"/>
    <w:rsid w:val="00065732"/>
    <w:rsid w:val="000659DC"/>
    <w:rsid w:val="00071F6A"/>
    <w:rsid w:val="00075FDF"/>
    <w:rsid w:val="00077848"/>
    <w:rsid w:val="00085F31"/>
    <w:rsid w:val="00086F2D"/>
    <w:rsid w:val="000914EB"/>
    <w:rsid w:val="00092FEE"/>
    <w:rsid w:val="00094A5C"/>
    <w:rsid w:val="000A1F57"/>
    <w:rsid w:val="000A35C7"/>
    <w:rsid w:val="000A4F29"/>
    <w:rsid w:val="000B0111"/>
    <w:rsid w:val="000B0CB8"/>
    <w:rsid w:val="000B29F7"/>
    <w:rsid w:val="000B5556"/>
    <w:rsid w:val="000C0AD7"/>
    <w:rsid w:val="000C28B4"/>
    <w:rsid w:val="000C56F3"/>
    <w:rsid w:val="000C7075"/>
    <w:rsid w:val="000D565C"/>
    <w:rsid w:val="000D687D"/>
    <w:rsid w:val="000E1BAA"/>
    <w:rsid w:val="000E23A6"/>
    <w:rsid w:val="000E550D"/>
    <w:rsid w:val="000E5F7F"/>
    <w:rsid w:val="000F4A99"/>
    <w:rsid w:val="001039EE"/>
    <w:rsid w:val="00112B40"/>
    <w:rsid w:val="001241F6"/>
    <w:rsid w:val="00131EC0"/>
    <w:rsid w:val="00134E95"/>
    <w:rsid w:val="00141DB6"/>
    <w:rsid w:val="00157BCF"/>
    <w:rsid w:val="00176C2C"/>
    <w:rsid w:val="001815AF"/>
    <w:rsid w:val="00181DFB"/>
    <w:rsid w:val="0018690E"/>
    <w:rsid w:val="0019415D"/>
    <w:rsid w:val="00194A07"/>
    <w:rsid w:val="001A0FBD"/>
    <w:rsid w:val="001A1AF6"/>
    <w:rsid w:val="001A6A89"/>
    <w:rsid w:val="001B3599"/>
    <w:rsid w:val="001C3B9B"/>
    <w:rsid w:val="001E019F"/>
    <w:rsid w:val="001E2955"/>
    <w:rsid w:val="001F1383"/>
    <w:rsid w:val="001F3EB6"/>
    <w:rsid w:val="001F3FC2"/>
    <w:rsid w:val="001F6882"/>
    <w:rsid w:val="00201A5C"/>
    <w:rsid w:val="00207384"/>
    <w:rsid w:val="002130A1"/>
    <w:rsid w:val="002179AA"/>
    <w:rsid w:val="002211B4"/>
    <w:rsid w:val="0022400A"/>
    <w:rsid w:val="0022532B"/>
    <w:rsid w:val="002263AD"/>
    <w:rsid w:val="00235550"/>
    <w:rsid w:val="00237355"/>
    <w:rsid w:val="00240AF9"/>
    <w:rsid w:val="00243720"/>
    <w:rsid w:val="002452E8"/>
    <w:rsid w:val="00246FB7"/>
    <w:rsid w:val="00253E1D"/>
    <w:rsid w:val="00257C4A"/>
    <w:rsid w:val="00261F9C"/>
    <w:rsid w:val="00264FB0"/>
    <w:rsid w:val="00265D09"/>
    <w:rsid w:val="00266200"/>
    <w:rsid w:val="00276691"/>
    <w:rsid w:val="00281BFC"/>
    <w:rsid w:val="002905A7"/>
    <w:rsid w:val="00295C8B"/>
    <w:rsid w:val="002963F2"/>
    <w:rsid w:val="002A2361"/>
    <w:rsid w:val="002B2A4E"/>
    <w:rsid w:val="002C257E"/>
    <w:rsid w:val="002C4399"/>
    <w:rsid w:val="002D078F"/>
    <w:rsid w:val="002F7A3C"/>
    <w:rsid w:val="00301E2F"/>
    <w:rsid w:val="0030306F"/>
    <w:rsid w:val="00304702"/>
    <w:rsid w:val="00313CE7"/>
    <w:rsid w:val="00316178"/>
    <w:rsid w:val="003179D3"/>
    <w:rsid w:val="003220EB"/>
    <w:rsid w:val="00327A00"/>
    <w:rsid w:val="00337480"/>
    <w:rsid w:val="0035331A"/>
    <w:rsid w:val="00354E88"/>
    <w:rsid w:val="0035540F"/>
    <w:rsid w:val="00357F9E"/>
    <w:rsid w:val="003675C1"/>
    <w:rsid w:val="00386BAF"/>
    <w:rsid w:val="00392D87"/>
    <w:rsid w:val="00396E5F"/>
    <w:rsid w:val="003D0624"/>
    <w:rsid w:val="003D1C17"/>
    <w:rsid w:val="003D42BF"/>
    <w:rsid w:val="003E0F66"/>
    <w:rsid w:val="003E2CDF"/>
    <w:rsid w:val="003E3BA5"/>
    <w:rsid w:val="003E5D9A"/>
    <w:rsid w:val="003F0417"/>
    <w:rsid w:val="003F7F8F"/>
    <w:rsid w:val="00404728"/>
    <w:rsid w:val="00405EC7"/>
    <w:rsid w:val="00416D05"/>
    <w:rsid w:val="004269D4"/>
    <w:rsid w:val="004330CD"/>
    <w:rsid w:val="004367BD"/>
    <w:rsid w:val="00436E4D"/>
    <w:rsid w:val="004416D2"/>
    <w:rsid w:val="00444789"/>
    <w:rsid w:val="0044780F"/>
    <w:rsid w:val="004507B2"/>
    <w:rsid w:val="0046016F"/>
    <w:rsid w:val="004624CE"/>
    <w:rsid w:val="00462708"/>
    <w:rsid w:val="00462849"/>
    <w:rsid w:val="004631A7"/>
    <w:rsid w:val="0047057E"/>
    <w:rsid w:val="004714E7"/>
    <w:rsid w:val="004859B2"/>
    <w:rsid w:val="00491D8E"/>
    <w:rsid w:val="0049772C"/>
    <w:rsid w:val="004A1AB2"/>
    <w:rsid w:val="004A6D50"/>
    <w:rsid w:val="004B350B"/>
    <w:rsid w:val="004B44DA"/>
    <w:rsid w:val="004C6FD4"/>
    <w:rsid w:val="004D15BA"/>
    <w:rsid w:val="004D278D"/>
    <w:rsid w:val="004D5AFB"/>
    <w:rsid w:val="004D6799"/>
    <w:rsid w:val="005002BE"/>
    <w:rsid w:val="00505A3C"/>
    <w:rsid w:val="00511549"/>
    <w:rsid w:val="00511BC9"/>
    <w:rsid w:val="005243CB"/>
    <w:rsid w:val="00532F74"/>
    <w:rsid w:val="00542A23"/>
    <w:rsid w:val="005528BE"/>
    <w:rsid w:val="005605FA"/>
    <w:rsid w:val="0056188D"/>
    <w:rsid w:val="00561A80"/>
    <w:rsid w:val="005630CB"/>
    <w:rsid w:val="00564E7B"/>
    <w:rsid w:val="00573883"/>
    <w:rsid w:val="00581901"/>
    <w:rsid w:val="005B3FDC"/>
    <w:rsid w:val="005C29DF"/>
    <w:rsid w:val="005D0DE2"/>
    <w:rsid w:val="005D375F"/>
    <w:rsid w:val="005E3C45"/>
    <w:rsid w:val="005E5523"/>
    <w:rsid w:val="005E612C"/>
    <w:rsid w:val="005F0AE7"/>
    <w:rsid w:val="005F523E"/>
    <w:rsid w:val="006021C4"/>
    <w:rsid w:val="00602894"/>
    <w:rsid w:val="006077F1"/>
    <w:rsid w:val="00616764"/>
    <w:rsid w:val="00622756"/>
    <w:rsid w:val="00634531"/>
    <w:rsid w:val="006349BE"/>
    <w:rsid w:val="006422F6"/>
    <w:rsid w:val="006449FF"/>
    <w:rsid w:val="006470A5"/>
    <w:rsid w:val="00652D68"/>
    <w:rsid w:val="0065482E"/>
    <w:rsid w:val="00654D5F"/>
    <w:rsid w:val="00660F28"/>
    <w:rsid w:val="006637F9"/>
    <w:rsid w:val="0068386F"/>
    <w:rsid w:val="00697807"/>
    <w:rsid w:val="006A3082"/>
    <w:rsid w:val="006A743D"/>
    <w:rsid w:val="006B1013"/>
    <w:rsid w:val="006B1425"/>
    <w:rsid w:val="006B7503"/>
    <w:rsid w:val="006C0D86"/>
    <w:rsid w:val="006C27ED"/>
    <w:rsid w:val="006C4831"/>
    <w:rsid w:val="006C608B"/>
    <w:rsid w:val="006C7786"/>
    <w:rsid w:val="006D2AA7"/>
    <w:rsid w:val="006D5831"/>
    <w:rsid w:val="006D691A"/>
    <w:rsid w:val="006E4CD8"/>
    <w:rsid w:val="006F08B4"/>
    <w:rsid w:val="006F18B6"/>
    <w:rsid w:val="006F45CD"/>
    <w:rsid w:val="006F60FB"/>
    <w:rsid w:val="00705520"/>
    <w:rsid w:val="00712B7B"/>
    <w:rsid w:val="00715F1A"/>
    <w:rsid w:val="0073272E"/>
    <w:rsid w:val="00733D48"/>
    <w:rsid w:val="00746CB0"/>
    <w:rsid w:val="007730DF"/>
    <w:rsid w:val="00773B8D"/>
    <w:rsid w:val="00785897"/>
    <w:rsid w:val="007875C1"/>
    <w:rsid w:val="007A1847"/>
    <w:rsid w:val="007A5F28"/>
    <w:rsid w:val="007B1363"/>
    <w:rsid w:val="007B64A7"/>
    <w:rsid w:val="007C0201"/>
    <w:rsid w:val="007E0EEB"/>
    <w:rsid w:val="007E78B4"/>
    <w:rsid w:val="007F1469"/>
    <w:rsid w:val="007F1784"/>
    <w:rsid w:val="007F4755"/>
    <w:rsid w:val="00804F9A"/>
    <w:rsid w:val="00805130"/>
    <w:rsid w:val="0082247C"/>
    <w:rsid w:val="00826B02"/>
    <w:rsid w:val="0082767D"/>
    <w:rsid w:val="00827D69"/>
    <w:rsid w:val="00845D58"/>
    <w:rsid w:val="008506F0"/>
    <w:rsid w:val="0085151C"/>
    <w:rsid w:val="00852924"/>
    <w:rsid w:val="00855558"/>
    <w:rsid w:val="00861F7B"/>
    <w:rsid w:val="008650B0"/>
    <w:rsid w:val="00871B6B"/>
    <w:rsid w:val="00872B79"/>
    <w:rsid w:val="008A2342"/>
    <w:rsid w:val="008C56CC"/>
    <w:rsid w:val="008D08CC"/>
    <w:rsid w:val="008D1B29"/>
    <w:rsid w:val="008D3653"/>
    <w:rsid w:val="008E14B4"/>
    <w:rsid w:val="008F05C9"/>
    <w:rsid w:val="008F16DF"/>
    <w:rsid w:val="008F593E"/>
    <w:rsid w:val="00902F18"/>
    <w:rsid w:val="0090546E"/>
    <w:rsid w:val="00917C87"/>
    <w:rsid w:val="009219EC"/>
    <w:rsid w:val="00934E88"/>
    <w:rsid w:val="009357C4"/>
    <w:rsid w:val="00941EF3"/>
    <w:rsid w:val="00952101"/>
    <w:rsid w:val="009621CD"/>
    <w:rsid w:val="00963D92"/>
    <w:rsid w:val="00967255"/>
    <w:rsid w:val="0097307D"/>
    <w:rsid w:val="0097795C"/>
    <w:rsid w:val="00982183"/>
    <w:rsid w:val="0098561C"/>
    <w:rsid w:val="009956DE"/>
    <w:rsid w:val="009A272F"/>
    <w:rsid w:val="009A2E09"/>
    <w:rsid w:val="009A4677"/>
    <w:rsid w:val="009B143B"/>
    <w:rsid w:val="009C6333"/>
    <w:rsid w:val="009C70D7"/>
    <w:rsid w:val="009D22C4"/>
    <w:rsid w:val="009D635E"/>
    <w:rsid w:val="009E1BC7"/>
    <w:rsid w:val="009F19A5"/>
    <w:rsid w:val="009F5A22"/>
    <w:rsid w:val="00A015EC"/>
    <w:rsid w:val="00A02A6C"/>
    <w:rsid w:val="00A03E03"/>
    <w:rsid w:val="00A107E5"/>
    <w:rsid w:val="00A14AA3"/>
    <w:rsid w:val="00A23569"/>
    <w:rsid w:val="00A23E9B"/>
    <w:rsid w:val="00A27BA5"/>
    <w:rsid w:val="00A3210D"/>
    <w:rsid w:val="00A36973"/>
    <w:rsid w:val="00A37618"/>
    <w:rsid w:val="00A37DE8"/>
    <w:rsid w:val="00A46D01"/>
    <w:rsid w:val="00A5492F"/>
    <w:rsid w:val="00A54C54"/>
    <w:rsid w:val="00A55FC9"/>
    <w:rsid w:val="00A56AF9"/>
    <w:rsid w:val="00A90989"/>
    <w:rsid w:val="00A923C7"/>
    <w:rsid w:val="00AA3C82"/>
    <w:rsid w:val="00AA6A43"/>
    <w:rsid w:val="00AB0BBA"/>
    <w:rsid w:val="00AB2F1B"/>
    <w:rsid w:val="00AB352C"/>
    <w:rsid w:val="00AB3E0E"/>
    <w:rsid w:val="00AD0B2B"/>
    <w:rsid w:val="00AD1A5F"/>
    <w:rsid w:val="00AD2392"/>
    <w:rsid w:val="00AD406A"/>
    <w:rsid w:val="00AE1DA7"/>
    <w:rsid w:val="00AE5BE6"/>
    <w:rsid w:val="00AF01B0"/>
    <w:rsid w:val="00AF09FA"/>
    <w:rsid w:val="00AF463F"/>
    <w:rsid w:val="00AF7E89"/>
    <w:rsid w:val="00B01F96"/>
    <w:rsid w:val="00B073E1"/>
    <w:rsid w:val="00B16115"/>
    <w:rsid w:val="00B163BD"/>
    <w:rsid w:val="00B171E6"/>
    <w:rsid w:val="00B3185E"/>
    <w:rsid w:val="00B32E80"/>
    <w:rsid w:val="00B37653"/>
    <w:rsid w:val="00B501BF"/>
    <w:rsid w:val="00B506AD"/>
    <w:rsid w:val="00B52BDB"/>
    <w:rsid w:val="00B52C09"/>
    <w:rsid w:val="00B61D02"/>
    <w:rsid w:val="00B66E59"/>
    <w:rsid w:val="00B82F69"/>
    <w:rsid w:val="00B8451C"/>
    <w:rsid w:val="00B94077"/>
    <w:rsid w:val="00B9477D"/>
    <w:rsid w:val="00BB0223"/>
    <w:rsid w:val="00BB3FED"/>
    <w:rsid w:val="00BB4632"/>
    <w:rsid w:val="00BC19A5"/>
    <w:rsid w:val="00BC2678"/>
    <w:rsid w:val="00BC6062"/>
    <w:rsid w:val="00BD133D"/>
    <w:rsid w:val="00BD24E8"/>
    <w:rsid w:val="00BD2F7F"/>
    <w:rsid w:val="00BD5171"/>
    <w:rsid w:val="00BD652B"/>
    <w:rsid w:val="00BE1971"/>
    <w:rsid w:val="00BF46AE"/>
    <w:rsid w:val="00BF61F9"/>
    <w:rsid w:val="00BF70CA"/>
    <w:rsid w:val="00BF711A"/>
    <w:rsid w:val="00C0036A"/>
    <w:rsid w:val="00C00D13"/>
    <w:rsid w:val="00C03278"/>
    <w:rsid w:val="00C06725"/>
    <w:rsid w:val="00C204E5"/>
    <w:rsid w:val="00C24039"/>
    <w:rsid w:val="00C308B3"/>
    <w:rsid w:val="00C32891"/>
    <w:rsid w:val="00C500AE"/>
    <w:rsid w:val="00C64885"/>
    <w:rsid w:val="00C65B78"/>
    <w:rsid w:val="00C671EF"/>
    <w:rsid w:val="00C76590"/>
    <w:rsid w:val="00C86484"/>
    <w:rsid w:val="00CA36D3"/>
    <w:rsid w:val="00CB0936"/>
    <w:rsid w:val="00CB14DC"/>
    <w:rsid w:val="00CC1A6D"/>
    <w:rsid w:val="00CC57DA"/>
    <w:rsid w:val="00CC6065"/>
    <w:rsid w:val="00CC781D"/>
    <w:rsid w:val="00CD0F27"/>
    <w:rsid w:val="00CD4114"/>
    <w:rsid w:val="00CD670E"/>
    <w:rsid w:val="00CE4A13"/>
    <w:rsid w:val="00CE59F1"/>
    <w:rsid w:val="00CE63A5"/>
    <w:rsid w:val="00CF059D"/>
    <w:rsid w:val="00D002DD"/>
    <w:rsid w:val="00D07B08"/>
    <w:rsid w:val="00D10922"/>
    <w:rsid w:val="00D137D1"/>
    <w:rsid w:val="00D15E0E"/>
    <w:rsid w:val="00D16AFF"/>
    <w:rsid w:val="00D21CBE"/>
    <w:rsid w:val="00D21FDF"/>
    <w:rsid w:val="00D27CC2"/>
    <w:rsid w:val="00D3202A"/>
    <w:rsid w:val="00D446F7"/>
    <w:rsid w:val="00D6003B"/>
    <w:rsid w:val="00D602D3"/>
    <w:rsid w:val="00D70789"/>
    <w:rsid w:val="00D7660B"/>
    <w:rsid w:val="00D80390"/>
    <w:rsid w:val="00D80ACD"/>
    <w:rsid w:val="00D8351A"/>
    <w:rsid w:val="00D9030C"/>
    <w:rsid w:val="00D9130B"/>
    <w:rsid w:val="00D91581"/>
    <w:rsid w:val="00D92137"/>
    <w:rsid w:val="00D923FC"/>
    <w:rsid w:val="00D97F0A"/>
    <w:rsid w:val="00DA4E75"/>
    <w:rsid w:val="00DB069C"/>
    <w:rsid w:val="00DB20C0"/>
    <w:rsid w:val="00DC1D3A"/>
    <w:rsid w:val="00DD21AA"/>
    <w:rsid w:val="00DD2F5E"/>
    <w:rsid w:val="00DF5DE0"/>
    <w:rsid w:val="00E01FE8"/>
    <w:rsid w:val="00E03DA3"/>
    <w:rsid w:val="00E11B56"/>
    <w:rsid w:val="00E13157"/>
    <w:rsid w:val="00E33660"/>
    <w:rsid w:val="00E35522"/>
    <w:rsid w:val="00E45327"/>
    <w:rsid w:val="00E55447"/>
    <w:rsid w:val="00E555F4"/>
    <w:rsid w:val="00E60341"/>
    <w:rsid w:val="00E61555"/>
    <w:rsid w:val="00E65477"/>
    <w:rsid w:val="00E80AF9"/>
    <w:rsid w:val="00E87C80"/>
    <w:rsid w:val="00E92CF9"/>
    <w:rsid w:val="00E933A6"/>
    <w:rsid w:val="00EA010D"/>
    <w:rsid w:val="00EA5A24"/>
    <w:rsid w:val="00EB0D8D"/>
    <w:rsid w:val="00EB163B"/>
    <w:rsid w:val="00EB5728"/>
    <w:rsid w:val="00EB69A7"/>
    <w:rsid w:val="00ED0E88"/>
    <w:rsid w:val="00EE3407"/>
    <w:rsid w:val="00EE47FA"/>
    <w:rsid w:val="00EF02A3"/>
    <w:rsid w:val="00EF3D80"/>
    <w:rsid w:val="00F004D5"/>
    <w:rsid w:val="00F01DF0"/>
    <w:rsid w:val="00F02F8D"/>
    <w:rsid w:val="00F040FE"/>
    <w:rsid w:val="00F06BD0"/>
    <w:rsid w:val="00F163F4"/>
    <w:rsid w:val="00F20146"/>
    <w:rsid w:val="00F26CFB"/>
    <w:rsid w:val="00F274DB"/>
    <w:rsid w:val="00F36900"/>
    <w:rsid w:val="00F378A9"/>
    <w:rsid w:val="00F4113B"/>
    <w:rsid w:val="00F502D2"/>
    <w:rsid w:val="00F57B9B"/>
    <w:rsid w:val="00F60A38"/>
    <w:rsid w:val="00F611EC"/>
    <w:rsid w:val="00F61C31"/>
    <w:rsid w:val="00F65F56"/>
    <w:rsid w:val="00F7341F"/>
    <w:rsid w:val="00F74954"/>
    <w:rsid w:val="00F81408"/>
    <w:rsid w:val="00F909C2"/>
    <w:rsid w:val="00F911F0"/>
    <w:rsid w:val="00FA102B"/>
    <w:rsid w:val="00FA32F6"/>
    <w:rsid w:val="00FB3894"/>
    <w:rsid w:val="00FC4E3E"/>
    <w:rsid w:val="00FD2056"/>
    <w:rsid w:val="00FD5EAE"/>
    <w:rsid w:val="00FE321F"/>
    <w:rsid w:val="00FE4D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2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06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30306F"/>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30306F"/>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30306F"/>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3030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306F"/>
  </w:style>
  <w:style w:type="paragraph" w:styleId="Footer">
    <w:name w:val="footer"/>
    <w:basedOn w:val="Normal"/>
    <w:link w:val="FooterChar"/>
    <w:uiPriority w:val="99"/>
    <w:unhideWhenUsed/>
    <w:rsid w:val="003030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306F"/>
  </w:style>
  <w:style w:type="character" w:styleId="Hyperlink">
    <w:name w:val="Hyperlink"/>
    <w:uiPriority w:val="99"/>
    <w:rsid w:val="0030306F"/>
    <w:rPr>
      <w:color w:val="0000FF"/>
      <w:u w:val="single"/>
    </w:rPr>
  </w:style>
  <w:style w:type="paragraph" w:styleId="NormalWeb">
    <w:name w:val="Normal (Web)"/>
    <w:basedOn w:val="Normal"/>
    <w:uiPriority w:val="99"/>
    <w:unhideWhenUsed/>
    <w:rsid w:val="0030306F"/>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E87C8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87C80"/>
    <w:rPr>
      <w:rFonts w:ascii="Segoe UI" w:hAnsi="Segoe UI" w:cs="Segoe UI"/>
      <w:sz w:val="18"/>
      <w:szCs w:val="18"/>
    </w:rPr>
  </w:style>
  <w:style w:type="paragraph" w:styleId="ListParagraph">
    <w:name w:val="List Paragraph"/>
    <w:basedOn w:val="Normal"/>
    <w:uiPriority w:val="34"/>
    <w:qFormat/>
    <w:rsid w:val="008650B0"/>
    <w:pPr>
      <w:ind w:left="720"/>
    </w:pPr>
  </w:style>
  <w:style w:type="paragraph" w:customStyle="1" w:styleId="tv2132">
    <w:name w:val="tv2132"/>
    <w:basedOn w:val="Normal"/>
    <w:rsid w:val="0073272E"/>
    <w:pPr>
      <w:spacing w:after="0" w:line="360" w:lineRule="auto"/>
      <w:ind w:firstLine="300"/>
    </w:pPr>
    <w:rPr>
      <w:rFonts w:ascii="Times New Roman" w:eastAsia="Times New Roman" w:hAnsi="Times New Roman"/>
      <w:color w:val="414142"/>
      <w:sz w:val="20"/>
      <w:szCs w:val="20"/>
      <w:lang w:eastAsia="lv-LV"/>
    </w:rPr>
  </w:style>
  <w:style w:type="paragraph" w:styleId="FootnoteText">
    <w:name w:val="footnote text"/>
    <w:basedOn w:val="Normal"/>
    <w:link w:val="FootnoteTextChar"/>
    <w:uiPriority w:val="99"/>
    <w:semiHidden/>
    <w:unhideWhenUsed/>
    <w:rsid w:val="003D42BF"/>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3D42BF"/>
    <w:rPr>
      <w:rFonts w:eastAsiaTheme="minorHAnsi"/>
      <w:lang w:eastAsia="en-US"/>
    </w:rPr>
  </w:style>
  <w:style w:type="character" w:styleId="FootnoteReference">
    <w:name w:val="footnote reference"/>
    <w:basedOn w:val="DefaultParagraphFont"/>
    <w:uiPriority w:val="99"/>
    <w:semiHidden/>
    <w:unhideWhenUsed/>
    <w:rsid w:val="003D42BF"/>
    <w:rPr>
      <w:vertAlign w:val="superscript"/>
    </w:rPr>
  </w:style>
  <w:style w:type="character" w:styleId="CommentReference">
    <w:name w:val="annotation reference"/>
    <w:basedOn w:val="DefaultParagraphFont"/>
    <w:uiPriority w:val="99"/>
    <w:semiHidden/>
    <w:unhideWhenUsed/>
    <w:rsid w:val="009F5A22"/>
    <w:rPr>
      <w:sz w:val="16"/>
      <w:szCs w:val="16"/>
    </w:rPr>
  </w:style>
  <w:style w:type="paragraph" w:styleId="CommentText">
    <w:name w:val="annotation text"/>
    <w:basedOn w:val="Normal"/>
    <w:link w:val="CommentTextChar"/>
    <w:uiPriority w:val="99"/>
    <w:unhideWhenUsed/>
    <w:rsid w:val="009F5A22"/>
    <w:pPr>
      <w:spacing w:line="240" w:lineRule="auto"/>
    </w:pPr>
    <w:rPr>
      <w:sz w:val="20"/>
      <w:szCs w:val="20"/>
    </w:rPr>
  </w:style>
  <w:style w:type="character" w:customStyle="1" w:styleId="CommentTextChar">
    <w:name w:val="Comment Text Char"/>
    <w:basedOn w:val="DefaultParagraphFont"/>
    <w:link w:val="CommentText"/>
    <w:uiPriority w:val="99"/>
    <w:rsid w:val="009F5A22"/>
    <w:rPr>
      <w:lang w:eastAsia="en-US"/>
    </w:rPr>
  </w:style>
  <w:style w:type="paragraph" w:styleId="CommentSubject">
    <w:name w:val="annotation subject"/>
    <w:basedOn w:val="CommentText"/>
    <w:next w:val="CommentText"/>
    <w:link w:val="CommentSubjectChar"/>
    <w:uiPriority w:val="99"/>
    <w:semiHidden/>
    <w:unhideWhenUsed/>
    <w:rsid w:val="009F5A22"/>
    <w:rPr>
      <w:b/>
      <w:bCs/>
    </w:rPr>
  </w:style>
  <w:style w:type="character" w:customStyle="1" w:styleId="CommentSubjectChar">
    <w:name w:val="Comment Subject Char"/>
    <w:basedOn w:val="CommentTextChar"/>
    <w:link w:val="CommentSubject"/>
    <w:uiPriority w:val="99"/>
    <w:semiHidden/>
    <w:rsid w:val="009F5A22"/>
    <w:rPr>
      <w:b/>
      <w:bCs/>
      <w:lang w:eastAsia="en-US"/>
    </w:rPr>
  </w:style>
  <w:style w:type="paragraph" w:styleId="Revision">
    <w:name w:val="Revision"/>
    <w:hidden/>
    <w:uiPriority w:val="99"/>
    <w:semiHidden/>
    <w:rsid w:val="006021C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06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30306F"/>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30306F"/>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30306F"/>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3030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306F"/>
  </w:style>
  <w:style w:type="paragraph" w:styleId="Footer">
    <w:name w:val="footer"/>
    <w:basedOn w:val="Normal"/>
    <w:link w:val="FooterChar"/>
    <w:uiPriority w:val="99"/>
    <w:unhideWhenUsed/>
    <w:rsid w:val="003030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306F"/>
  </w:style>
  <w:style w:type="character" w:styleId="Hyperlink">
    <w:name w:val="Hyperlink"/>
    <w:uiPriority w:val="99"/>
    <w:rsid w:val="0030306F"/>
    <w:rPr>
      <w:color w:val="0000FF"/>
      <w:u w:val="single"/>
    </w:rPr>
  </w:style>
  <w:style w:type="paragraph" w:styleId="NormalWeb">
    <w:name w:val="Normal (Web)"/>
    <w:basedOn w:val="Normal"/>
    <w:uiPriority w:val="99"/>
    <w:unhideWhenUsed/>
    <w:rsid w:val="0030306F"/>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E87C8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87C80"/>
    <w:rPr>
      <w:rFonts w:ascii="Segoe UI" w:hAnsi="Segoe UI" w:cs="Segoe UI"/>
      <w:sz w:val="18"/>
      <w:szCs w:val="18"/>
    </w:rPr>
  </w:style>
  <w:style w:type="paragraph" w:styleId="ListParagraph">
    <w:name w:val="List Paragraph"/>
    <w:basedOn w:val="Normal"/>
    <w:uiPriority w:val="34"/>
    <w:qFormat/>
    <w:rsid w:val="008650B0"/>
    <w:pPr>
      <w:ind w:left="720"/>
    </w:pPr>
  </w:style>
  <w:style w:type="paragraph" w:customStyle="1" w:styleId="tv2132">
    <w:name w:val="tv2132"/>
    <w:basedOn w:val="Normal"/>
    <w:rsid w:val="0073272E"/>
    <w:pPr>
      <w:spacing w:after="0" w:line="360" w:lineRule="auto"/>
      <w:ind w:firstLine="300"/>
    </w:pPr>
    <w:rPr>
      <w:rFonts w:ascii="Times New Roman" w:eastAsia="Times New Roman" w:hAnsi="Times New Roman"/>
      <w:color w:val="414142"/>
      <w:sz w:val="20"/>
      <w:szCs w:val="20"/>
      <w:lang w:eastAsia="lv-LV"/>
    </w:rPr>
  </w:style>
  <w:style w:type="paragraph" w:styleId="FootnoteText">
    <w:name w:val="footnote text"/>
    <w:basedOn w:val="Normal"/>
    <w:link w:val="FootnoteTextChar"/>
    <w:uiPriority w:val="99"/>
    <w:semiHidden/>
    <w:unhideWhenUsed/>
    <w:rsid w:val="003D42BF"/>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3D42BF"/>
    <w:rPr>
      <w:rFonts w:eastAsiaTheme="minorHAnsi"/>
      <w:lang w:eastAsia="en-US"/>
    </w:rPr>
  </w:style>
  <w:style w:type="character" w:styleId="FootnoteReference">
    <w:name w:val="footnote reference"/>
    <w:basedOn w:val="DefaultParagraphFont"/>
    <w:uiPriority w:val="99"/>
    <w:semiHidden/>
    <w:unhideWhenUsed/>
    <w:rsid w:val="003D42BF"/>
    <w:rPr>
      <w:vertAlign w:val="superscript"/>
    </w:rPr>
  </w:style>
  <w:style w:type="character" w:styleId="CommentReference">
    <w:name w:val="annotation reference"/>
    <w:basedOn w:val="DefaultParagraphFont"/>
    <w:uiPriority w:val="99"/>
    <w:semiHidden/>
    <w:unhideWhenUsed/>
    <w:rsid w:val="009F5A22"/>
    <w:rPr>
      <w:sz w:val="16"/>
      <w:szCs w:val="16"/>
    </w:rPr>
  </w:style>
  <w:style w:type="paragraph" w:styleId="CommentText">
    <w:name w:val="annotation text"/>
    <w:basedOn w:val="Normal"/>
    <w:link w:val="CommentTextChar"/>
    <w:uiPriority w:val="99"/>
    <w:unhideWhenUsed/>
    <w:rsid w:val="009F5A22"/>
    <w:pPr>
      <w:spacing w:line="240" w:lineRule="auto"/>
    </w:pPr>
    <w:rPr>
      <w:sz w:val="20"/>
      <w:szCs w:val="20"/>
    </w:rPr>
  </w:style>
  <w:style w:type="character" w:customStyle="1" w:styleId="CommentTextChar">
    <w:name w:val="Comment Text Char"/>
    <w:basedOn w:val="DefaultParagraphFont"/>
    <w:link w:val="CommentText"/>
    <w:uiPriority w:val="99"/>
    <w:rsid w:val="009F5A22"/>
    <w:rPr>
      <w:lang w:eastAsia="en-US"/>
    </w:rPr>
  </w:style>
  <w:style w:type="paragraph" w:styleId="CommentSubject">
    <w:name w:val="annotation subject"/>
    <w:basedOn w:val="CommentText"/>
    <w:next w:val="CommentText"/>
    <w:link w:val="CommentSubjectChar"/>
    <w:uiPriority w:val="99"/>
    <w:semiHidden/>
    <w:unhideWhenUsed/>
    <w:rsid w:val="009F5A22"/>
    <w:rPr>
      <w:b/>
      <w:bCs/>
    </w:rPr>
  </w:style>
  <w:style w:type="character" w:customStyle="1" w:styleId="CommentSubjectChar">
    <w:name w:val="Comment Subject Char"/>
    <w:basedOn w:val="CommentTextChar"/>
    <w:link w:val="CommentSubject"/>
    <w:uiPriority w:val="99"/>
    <w:semiHidden/>
    <w:rsid w:val="009F5A22"/>
    <w:rPr>
      <w:b/>
      <w:bCs/>
      <w:lang w:eastAsia="en-US"/>
    </w:rPr>
  </w:style>
  <w:style w:type="paragraph" w:styleId="Revision">
    <w:name w:val="Revision"/>
    <w:hidden/>
    <w:uiPriority w:val="99"/>
    <w:semiHidden/>
    <w:rsid w:val="006021C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12982">
      <w:bodyDiv w:val="1"/>
      <w:marLeft w:val="0"/>
      <w:marRight w:val="0"/>
      <w:marTop w:val="0"/>
      <w:marBottom w:val="0"/>
      <w:divBdr>
        <w:top w:val="none" w:sz="0" w:space="0" w:color="auto"/>
        <w:left w:val="none" w:sz="0" w:space="0" w:color="auto"/>
        <w:bottom w:val="none" w:sz="0" w:space="0" w:color="auto"/>
        <w:right w:val="none" w:sz="0" w:space="0" w:color="auto"/>
      </w:divBdr>
      <w:divsChild>
        <w:div w:id="2110202155">
          <w:marLeft w:val="0"/>
          <w:marRight w:val="0"/>
          <w:marTop w:val="0"/>
          <w:marBottom w:val="0"/>
          <w:divBdr>
            <w:top w:val="none" w:sz="0" w:space="0" w:color="auto"/>
            <w:left w:val="none" w:sz="0" w:space="0" w:color="auto"/>
            <w:bottom w:val="none" w:sz="0" w:space="0" w:color="auto"/>
            <w:right w:val="none" w:sz="0" w:space="0" w:color="auto"/>
          </w:divBdr>
          <w:divsChild>
            <w:div w:id="5527051">
              <w:marLeft w:val="0"/>
              <w:marRight w:val="0"/>
              <w:marTop w:val="0"/>
              <w:marBottom w:val="0"/>
              <w:divBdr>
                <w:top w:val="none" w:sz="0" w:space="0" w:color="auto"/>
                <w:left w:val="none" w:sz="0" w:space="0" w:color="auto"/>
                <w:bottom w:val="none" w:sz="0" w:space="0" w:color="auto"/>
                <w:right w:val="none" w:sz="0" w:space="0" w:color="auto"/>
              </w:divBdr>
              <w:divsChild>
                <w:div w:id="1953707882">
                  <w:marLeft w:val="0"/>
                  <w:marRight w:val="0"/>
                  <w:marTop w:val="0"/>
                  <w:marBottom w:val="0"/>
                  <w:divBdr>
                    <w:top w:val="none" w:sz="0" w:space="0" w:color="auto"/>
                    <w:left w:val="none" w:sz="0" w:space="0" w:color="auto"/>
                    <w:bottom w:val="none" w:sz="0" w:space="0" w:color="auto"/>
                    <w:right w:val="none" w:sz="0" w:space="0" w:color="auto"/>
                  </w:divBdr>
                  <w:divsChild>
                    <w:div w:id="1950701103">
                      <w:marLeft w:val="0"/>
                      <w:marRight w:val="0"/>
                      <w:marTop w:val="0"/>
                      <w:marBottom w:val="0"/>
                      <w:divBdr>
                        <w:top w:val="none" w:sz="0" w:space="0" w:color="auto"/>
                        <w:left w:val="none" w:sz="0" w:space="0" w:color="auto"/>
                        <w:bottom w:val="none" w:sz="0" w:space="0" w:color="auto"/>
                        <w:right w:val="none" w:sz="0" w:space="0" w:color="auto"/>
                      </w:divBdr>
                      <w:divsChild>
                        <w:div w:id="2095735490">
                          <w:marLeft w:val="0"/>
                          <w:marRight w:val="0"/>
                          <w:marTop w:val="0"/>
                          <w:marBottom w:val="0"/>
                          <w:divBdr>
                            <w:top w:val="none" w:sz="0" w:space="0" w:color="auto"/>
                            <w:left w:val="none" w:sz="0" w:space="0" w:color="auto"/>
                            <w:bottom w:val="none" w:sz="0" w:space="0" w:color="auto"/>
                            <w:right w:val="none" w:sz="0" w:space="0" w:color="auto"/>
                          </w:divBdr>
                          <w:divsChild>
                            <w:div w:id="201005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337772">
      <w:bodyDiv w:val="1"/>
      <w:marLeft w:val="0"/>
      <w:marRight w:val="0"/>
      <w:marTop w:val="0"/>
      <w:marBottom w:val="0"/>
      <w:divBdr>
        <w:top w:val="none" w:sz="0" w:space="0" w:color="auto"/>
        <w:left w:val="none" w:sz="0" w:space="0" w:color="auto"/>
        <w:bottom w:val="none" w:sz="0" w:space="0" w:color="auto"/>
        <w:right w:val="none" w:sz="0" w:space="0" w:color="auto"/>
      </w:divBdr>
    </w:div>
    <w:div w:id="913512495">
      <w:bodyDiv w:val="1"/>
      <w:marLeft w:val="0"/>
      <w:marRight w:val="0"/>
      <w:marTop w:val="0"/>
      <w:marBottom w:val="0"/>
      <w:divBdr>
        <w:top w:val="none" w:sz="0" w:space="0" w:color="auto"/>
        <w:left w:val="none" w:sz="0" w:space="0" w:color="auto"/>
        <w:bottom w:val="none" w:sz="0" w:space="0" w:color="auto"/>
        <w:right w:val="none" w:sz="0" w:space="0" w:color="auto"/>
      </w:divBdr>
    </w:div>
    <w:div w:id="953748181">
      <w:bodyDiv w:val="1"/>
      <w:marLeft w:val="0"/>
      <w:marRight w:val="0"/>
      <w:marTop w:val="0"/>
      <w:marBottom w:val="0"/>
      <w:divBdr>
        <w:top w:val="none" w:sz="0" w:space="0" w:color="auto"/>
        <w:left w:val="none" w:sz="0" w:space="0" w:color="auto"/>
        <w:bottom w:val="none" w:sz="0" w:space="0" w:color="auto"/>
        <w:right w:val="none" w:sz="0" w:space="0" w:color="auto"/>
      </w:divBdr>
      <w:divsChild>
        <w:div w:id="1236546458">
          <w:marLeft w:val="0"/>
          <w:marRight w:val="0"/>
          <w:marTop w:val="0"/>
          <w:marBottom w:val="0"/>
          <w:divBdr>
            <w:top w:val="none" w:sz="0" w:space="0" w:color="auto"/>
            <w:left w:val="none" w:sz="0" w:space="0" w:color="auto"/>
            <w:bottom w:val="none" w:sz="0" w:space="0" w:color="auto"/>
            <w:right w:val="none" w:sz="0" w:space="0" w:color="auto"/>
          </w:divBdr>
          <w:divsChild>
            <w:div w:id="1672298032">
              <w:marLeft w:val="0"/>
              <w:marRight w:val="0"/>
              <w:marTop w:val="0"/>
              <w:marBottom w:val="0"/>
              <w:divBdr>
                <w:top w:val="none" w:sz="0" w:space="0" w:color="auto"/>
                <w:left w:val="none" w:sz="0" w:space="0" w:color="auto"/>
                <w:bottom w:val="none" w:sz="0" w:space="0" w:color="auto"/>
                <w:right w:val="none" w:sz="0" w:space="0" w:color="auto"/>
              </w:divBdr>
              <w:divsChild>
                <w:div w:id="371807104">
                  <w:marLeft w:val="0"/>
                  <w:marRight w:val="0"/>
                  <w:marTop w:val="0"/>
                  <w:marBottom w:val="0"/>
                  <w:divBdr>
                    <w:top w:val="none" w:sz="0" w:space="0" w:color="auto"/>
                    <w:left w:val="none" w:sz="0" w:space="0" w:color="auto"/>
                    <w:bottom w:val="none" w:sz="0" w:space="0" w:color="auto"/>
                    <w:right w:val="none" w:sz="0" w:space="0" w:color="auto"/>
                  </w:divBdr>
                  <w:divsChild>
                    <w:div w:id="1643384803">
                      <w:marLeft w:val="0"/>
                      <w:marRight w:val="0"/>
                      <w:marTop w:val="0"/>
                      <w:marBottom w:val="0"/>
                      <w:divBdr>
                        <w:top w:val="none" w:sz="0" w:space="0" w:color="auto"/>
                        <w:left w:val="none" w:sz="0" w:space="0" w:color="auto"/>
                        <w:bottom w:val="none" w:sz="0" w:space="0" w:color="auto"/>
                        <w:right w:val="none" w:sz="0" w:space="0" w:color="auto"/>
                      </w:divBdr>
                      <w:divsChild>
                        <w:div w:id="2043094866">
                          <w:marLeft w:val="0"/>
                          <w:marRight w:val="0"/>
                          <w:marTop w:val="0"/>
                          <w:marBottom w:val="0"/>
                          <w:divBdr>
                            <w:top w:val="none" w:sz="0" w:space="0" w:color="auto"/>
                            <w:left w:val="none" w:sz="0" w:space="0" w:color="auto"/>
                            <w:bottom w:val="none" w:sz="0" w:space="0" w:color="auto"/>
                            <w:right w:val="none" w:sz="0" w:space="0" w:color="auto"/>
                          </w:divBdr>
                          <w:divsChild>
                            <w:div w:id="57436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877032">
      <w:bodyDiv w:val="1"/>
      <w:marLeft w:val="0"/>
      <w:marRight w:val="0"/>
      <w:marTop w:val="0"/>
      <w:marBottom w:val="0"/>
      <w:divBdr>
        <w:top w:val="none" w:sz="0" w:space="0" w:color="auto"/>
        <w:left w:val="none" w:sz="0" w:space="0" w:color="auto"/>
        <w:bottom w:val="none" w:sz="0" w:space="0" w:color="auto"/>
        <w:right w:val="none" w:sz="0" w:space="0" w:color="auto"/>
      </w:divBdr>
      <w:divsChild>
        <w:div w:id="1084836244">
          <w:marLeft w:val="0"/>
          <w:marRight w:val="0"/>
          <w:marTop w:val="0"/>
          <w:marBottom w:val="0"/>
          <w:divBdr>
            <w:top w:val="none" w:sz="0" w:space="0" w:color="auto"/>
            <w:left w:val="none" w:sz="0" w:space="0" w:color="auto"/>
            <w:bottom w:val="none" w:sz="0" w:space="0" w:color="auto"/>
            <w:right w:val="none" w:sz="0" w:space="0" w:color="auto"/>
          </w:divBdr>
          <w:divsChild>
            <w:div w:id="1627539773">
              <w:marLeft w:val="0"/>
              <w:marRight w:val="0"/>
              <w:marTop w:val="100"/>
              <w:marBottom w:val="100"/>
              <w:divBdr>
                <w:top w:val="none" w:sz="0" w:space="0" w:color="auto"/>
                <w:left w:val="none" w:sz="0" w:space="0" w:color="auto"/>
                <w:bottom w:val="none" w:sz="0" w:space="0" w:color="auto"/>
                <w:right w:val="none" w:sz="0" w:space="0" w:color="auto"/>
              </w:divBdr>
              <w:divsChild>
                <w:div w:id="754403732">
                  <w:marLeft w:val="0"/>
                  <w:marRight w:val="0"/>
                  <w:marTop w:val="0"/>
                  <w:marBottom w:val="0"/>
                  <w:divBdr>
                    <w:top w:val="none" w:sz="0" w:space="0" w:color="auto"/>
                    <w:left w:val="none" w:sz="0" w:space="0" w:color="auto"/>
                    <w:bottom w:val="none" w:sz="0" w:space="0" w:color="auto"/>
                    <w:right w:val="none" w:sz="0" w:space="0" w:color="auto"/>
                  </w:divBdr>
                  <w:divsChild>
                    <w:div w:id="206380492">
                      <w:marLeft w:val="0"/>
                      <w:marRight w:val="0"/>
                      <w:marTop w:val="0"/>
                      <w:marBottom w:val="0"/>
                      <w:divBdr>
                        <w:top w:val="none" w:sz="0" w:space="0" w:color="auto"/>
                        <w:left w:val="none" w:sz="0" w:space="0" w:color="auto"/>
                        <w:bottom w:val="none" w:sz="0" w:space="0" w:color="auto"/>
                        <w:right w:val="none" w:sz="0" w:space="0" w:color="auto"/>
                      </w:divBdr>
                      <w:divsChild>
                        <w:div w:id="100462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517938">
      <w:bodyDiv w:val="1"/>
      <w:marLeft w:val="0"/>
      <w:marRight w:val="0"/>
      <w:marTop w:val="0"/>
      <w:marBottom w:val="0"/>
      <w:divBdr>
        <w:top w:val="none" w:sz="0" w:space="0" w:color="auto"/>
        <w:left w:val="none" w:sz="0" w:space="0" w:color="auto"/>
        <w:bottom w:val="none" w:sz="0" w:space="0" w:color="auto"/>
        <w:right w:val="none" w:sz="0" w:space="0" w:color="auto"/>
      </w:divBdr>
      <w:divsChild>
        <w:div w:id="381711924">
          <w:marLeft w:val="0"/>
          <w:marRight w:val="0"/>
          <w:marTop w:val="0"/>
          <w:marBottom w:val="0"/>
          <w:divBdr>
            <w:top w:val="none" w:sz="0" w:space="0" w:color="auto"/>
            <w:left w:val="none" w:sz="0" w:space="0" w:color="auto"/>
            <w:bottom w:val="none" w:sz="0" w:space="0" w:color="auto"/>
            <w:right w:val="none" w:sz="0" w:space="0" w:color="auto"/>
          </w:divBdr>
          <w:divsChild>
            <w:div w:id="460465572">
              <w:marLeft w:val="0"/>
              <w:marRight w:val="0"/>
              <w:marTop w:val="0"/>
              <w:marBottom w:val="0"/>
              <w:divBdr>
                <w:top w:val="none" w:sz="0" w:space="0" w:color="auto"/>
                <w:left w:val="none" w:sz="0" w:space="0" w:color="auto"/>
                <w:bottom w:val="none" w:sz="0" w:space="0" w:color="auto"/>
                <w:right w:val="none" w:sz="0" w:space="0" w:color="auto"/>
              </w:divBdr>
              <w:divsChild>
                <w:div w:id="865098369">
                  <w:marLeft w:val="0"/>
                  <w:marRight w:val="0"/>
                  <w:marTop w:val="0"/>
                  <w:marBottom w:val="0"/>
                  <w:divBdr>
                    <w:top w:val="none" w:sz="0" w:space="0" w:color="auto"/>
                    <w:left w:val="none" w:sz="0" w:space="0" w:color="auto"/>
                    <w:bottom w:val="none" w:sz="0" w:space="0" w:color="auto"/>
                    <w:right w:val="none" w:sz="0" w:space="0" w:color="auto"/>
                  </w:divBdr>
                  <w:divsChild>
                    <w:div w:id="1831631158">
                      <w:marLeft w:val="0"/>
                      <w:marRight w:val="0"/>
                      <w:marTop w:val="0"/>
                      <w:marBottom w:val="0"/>
                      <w:divBdr>
                        <w:top w:val="none" w:sz="0" w:space="0" w:color="auto"/>
                        <w:left w:val="none" w:sz="0" w:space="0" w:color="auto"/>
                        <w:bottom w:val="none" w:sz="0" w:space="0" w:color="auto"/>
                        <w:right w:val="none" w:sz="0" w:space="0" w:color="auto"/>
                      </w:divBdr>
                      <w:divsChild>
                        <w:div w:id="2108187586">
                          <w:marLeft w:val="0"/>
                          <w:marRight w:val="0"/>
                          <w:marTop w:val="0"/>
                          <w:marBottom w:val="0"/>
                          <w:divBdr>
                            <w:top w:val="none" w:sz="0" w:space="0" w:color="auto"/>
                            <w:left w:val="none" w:sz="0" w:space="0" w:color="auto"/>
                            <w:bottom w:val="none" w:sz="0" w:space="0" w:color="auto"/>
                            <w:right w:val="none" w:sz="0" w:space="0" w:color="auto"/>
                          </w:divBdr>
                          <w:divsChild>
                            <w:div w:id="8238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215554">
      <w:bodyDiv w:val="1"/>
      <w:marLeft w:val="0"/>
      <w:marRight w:val="0"/>
      <w:marTop w:val="0"/>
      <w:marBottom w:val="0"/>
      <w:divBdr>
        <w:top w:val="none" w:sz="0" w:space="0" w:color="auto"/>
        <w:left w:val="none" w:sz="0" w:space="0" w:color="auto"/>
        <w:bottom w:val="none" w:sz="0" w:space="0" w:color="auto"/>
        <w:right w:val="none" w:sz="0" w:space="0" w:color="auto"/>
      </w:divBdr>
      <w:divsChild>
        <w:div w:id="1783649244">
          <w:marLeft w:val="0"/>
          <w:marRight w:val="0"/>
          <w:marTop w:val="0"/>
          <w:marBottom w:val="0"/>
          <w:divBdr>
            <w:top w:val="none" w:sz="0" w:space="0" w:color="auto"/>
            <w:left w:val="none" w:sz="0" w:space="0" w:color="auto"/>
            <w:bottom w:val="none" w:sz="0" w:space="0" w:color="auto"/>
            <w:right w:val="none" w:sz="0" w:space="0" w:color="auto"/>
          </w:divBdr>
          <w:divsChild>
            <w:div w:id="1551501535">
              <w:marLeft w:val="0"/>
              <w:marRight w:val="0"/>
              <w:marTop w:val="0"/>
              <w:marBottom w:val="0"/>
              <w:divBdr>
                <w:top w:val="none" w:sz="0" w:space="0" w:color="auto"/>
                <w:left w:val="none" w:sz="0" w:space="0" w:color="auto"/>
                <w:bottom w:val="none" w:sz="0" w:space="0" w:color="auto"/>
                <w:right w:val="none" w:sz="0" w:space="0" w:color="auto"/>
              </w:divBdr>
              <w:divsChild>
                <w:div w:id="1872767211">
                  <w:marLeft w:val="0"/>
                  <w:marRight w:val="0"/>
                  <w:marTop w:val="0"/>
                  <w:marBottom w:val="0"/>
                  <w:divBdr>
                    <w:top w:val="none" w:sz="0" w:space="0" w:color="auto"/>
                    <w:left w:val="none" w:sz="0" w:space="0" w:color="auto"/>
                    <w:bottom w:val="none" w:sz="0" w:space="0" w:color="auto"/>
                    <w:right w:val="none" w:sz="0" w:space="0" w:color="auto"/>
                  </w:divBdr>
                  <w:divsChild>
                    <w:div w:id="1559902839">
                      <w:marLeft w:val="0"/>
                      <w:marRight w:val="0"/>
                      <w:marTop w:val="0"/>
                      <w:marBottom w:val="0"/>
                      <w:divBdr>
                        <w:top w:val="none" w:sz="0" w:space="0" w:color="auto"/>
                        <w:left w:val="none" w:sz="0" w:space="0" w:color="auto"/>
                        <w:bottom w:val="none" w:sz="0" w:space="0" w:color="auto"/>
                        <w:right w:val="none" w:sz="0" w:space="0" w:color="auto"/>
                      </w:divBdr>
                      <w:divsChild>
                        <w:div w:id="1031422315">
                          <w:marLeft w:val="0"/>
                          <w:marRight w:val="0"/>
                          <w:marTop w:val="0"/>
                          <w:marBottom w:val="0"/>
                          <w:divBdr>
                            <w:top w:val="none" w:sz="0" w:space="0" w:color="auto"/>
                            <w:left w:val="none" w:sz="0" w:space="0" w:color="auto"/>
                            <w:bottom w:val="none" w:sz="0" w:space="0" w:color="auto"/>
                            <w:right w:val="none" w:sz="0" w:space="0" w:color="auto"/>
                          </w:divBdr>
                          <w:divsChild>
                            <w:div w:id="154490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03731">
      <w:bodyDiv w:val="1"/>
      <w:marLeft w:val="0"/>
      <w:marRight w:val="0"/>
      <w:marTop w:val="0"/>
      <w:marBottom w:val="0"/>
      <w:divBdr>
        <w:top w:val="none" w:sz="0" w:space="0" w:color="auto"/>
        <w:left w:val="none" w:sz="0" w:space="0" w:color="auto"/>
        <w:bottom w:val="none" w:sz="0" w:space="0" w:color="auto"/>
        <w:right w:val="none" w:sz="0" w:space="0" w:color="auto"/>
      </w:divBdr>
      <w:divsChild>
        <w:div w:id="1618173891">
          <w:marLeft w:val="0"/>
          <w:marRight w:val="0"/>
          <w:marTop w:val="0"/>
          <w:marBottom w:val="0"/>
          <w:divBdr>
            <w:top w:val="none" w:sz="0" w:space="0" w:color="auto"/>
            <w:left w:val="none" w:sz="0" w:space="0" w:color="auto"/>
            <w:bottom w:val="none" w:sz="0" w:space="0" w:color="auto"/>
            <w:right w:val="none" w:sz="0" w:space="0" w:color="auto"/>
          </w:divBdr>
          <w:divsChild>
            <w:div w:id="1344895694">
              <w:marLeft w:val="0"/>
              <w:marRight w:val="0"/>
              <w:marTop w:val="0"/>
              <w:marBottom w:val="0"/>
              <w:divBdr>
                <w:top w:val="none" w:sz="0" w:space="0" w:color="auto"/>
                <w:left w:val="none" w:sz="0" w:space="0" w:color="auto"/>
                <w:bottom w:val="none" w:sz="0" w:space="0" w:color="auto"/>
                <w:right w:val="none" w:sz="0" w:space="0" w:color="auto"/>
              </w:divBdr>
              <w:divsChild>
                <w:div w:id="722369824">
                  <w:marLeft w:val="0"/>
                  <w:marRight w:val="0"/>
                  <w:marTop w:val="0"/>
                  <w:marBottom w:val="0"/>
                  <w:divBdr>
                    <w:top w:val="none" w:sz="0" w:space="0" w:color="auto"/>
                    <w:left w:val="none" w:sz="0" w:space="0" w:color="auto"/>
                    <w:bottom w:val="none" w:sz="0" w:space="0" w:color="auto"/>
                    <w:right w:val="none" w:sz="0" w:space="0" w:color="auto"/>
                  </w:divBdr>
                  <w:divsChild>
                    <w:div w:id="932786167">
                      <w:marLeft w:val="0"/>
                      <w:marRight w:val="0"/>
                      <w:marTop w:val="0"/>
                      <w:marBottom w:val="0"/>
                      <w:divBdr>
                        <w:top w:val="none" w:sz="0" w:space="0" w:color="auto"/>
                        <w:left w:val="none" w:sz="0" w:space="0" w:color="auto"/>
                        <w:bottom w:val="none" w:sz="0" w:space="0" w:color="auto"/>
                        <w:right w:val="none" w:sz="0" w:space="0" w:color="auto"/>
                      </w:divBdr>
                      <w:divsChild>
                        <w:div w:id="906452614">
                          <w:marLeft w:val="0"/>
                          <w:marRight w:val="0"/>
                          <w:marTop w:val="0"/>
                          <w:marBottom w:val="0"/>
                          <w:divBdr>
                            <w:top w:val="none" w:sz="0" w:space="0" w:color="auto"/>
                            <w:left w:val="none" w:sz="0" w:space="0" w:color="auto"/>
                            <w:bottom w:val="none" w:sz="0" w:space="0" w:color="auto"/>
                            <w:right w:val="none" w:sz="0" w:space="0" w:color="auto"/>
                          </w:divBdr>
                          <w:divsChild>
                            <w:div w:id="197775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435577">
      <w:bodyDiv w:val="1"/>
      <w:marLeft w:val="0"/>
      <w:marRight w:val="0"/>
      <w:marTop w:val="0"/>
      <w:marBottom w:val="0"/>
      <w:divBdr>
        <w:top w:val="none" w:sz="0" w:space="0" w:color="auto"/>
        <w:left w:val="none" w:sz="0" w:space="0" w:color="auto"/>
        <w:bottom w:val="none" w:sz="0" w:space="0" w:color="auto"/>
        <w:right w:val="none" w:sz="0" w:space="0" w:color="auto"/>
      </w:divBdr>
    </w:div>
    <w:div w:id="1650402818">
      <w:bodyDiv w:val="1"/>
      <w:marLeft w:val="0"/>
      <w:marRight w:val="0"/>
      <w:marTop w:val="0"/>
      <w:marBottom w:val="0"/>
      <w:divBdr>
        <w:top w:val="none" w:sz="0" w:space="0" w:color="auto"/>
        <w:left w:val="none" w:sz="0" w:space="0" w:color="auto"/>
        <w:bottom w:val="none" w:sz="0" w:space="0" w:color="auto"/>
        <w:right w:val="none" w:sz="0" w:space="0" w:color="auto"/>
      </w:divBdr>
      <w:divsChild>
        <w:div w:id="793405777">
          <w:marLeft w:val="0"/>
          <w:marRight w:val="0"/>
          <w:marTop w:val="0"/>
          <w:marBottom w:val="0"/>
          <w:divBdr>
            <w:top w:val="none" w:sz="0" w:space="0" w:color="auto"/>
            <w:left w:val="none" w:sz="0" w:space="0" w:color="auto"/>
            <w:bottom w:val="none" w:sz="0" w:space="0" w:color="auto"/>
            <w:right w:val="none" w:sz="0" w:space="0" w:color="auto"/>
          </w:divBdr>
          <w:divsChild>
            <w:div w:id="1694650161">
              <w:marLeft w:val="0"/>
              <w:marRight w:val="0"/>
              <w:marTop w:val="0"/>
              <w:marBottom w:val="0"/>
              <w:divBdr>
                <w:top w:val="none" w:sz="0" w:space="0" w:color="auto"/>
                <w:left w:val="none" w:sz="0" w:space="0" w:color="auto"/>
                <w:bottom w:val="none" w:sz="0" w:space="0" w:color="auto"/>
                <w:right w:val="none" w:sz="0" w:space="0" w:color="auto"/>
              </w:divBdr>
              <w:divsChild>
                <w:div w:id="676537482">
                  <w:marLeft w:val="0"/>
                  <w:marRight w:val="0"/>
                  <w:marTop w:val="0"/>
                  <w:marBottom w:val="0"/>
                  <w:divBdr>
                    <w:top w:val="none" w:sz="0" w:space="0" w:color="auto"/>
                    <w:left w:val="none" w:sz="0" w:space="0" w:color="auto"/>
                    <w:bottom w:val="none" w:sz="0" w:space="0" w:color="auto"/>
                    <w:right w:val="none" w:sz="0" w:space="0" w:color="auto"/>
                  </w:divBdr>
                  <w:divsChild>
                    <w:div w:id="1397821572">
                      <w:marLeft w:val="0"/>
                      <w:marRight w:val="0"/>
                      <w:marTop w:val="0"/>
                      <w:marBottom w:val="0"/>
                      <w:divBdr>
                        <w:top w:val="none" w:sz="0" w:space="0" w:color="auto"/>
                        <w:left w:val="none" w:sz="0" w:space="0" w:color="auto"/>
                        <w:bottom w:val="none" w:sz="0" w:space="0" w:color="auto"/>
                        <w:right w:val="none" w:sz="0" w:space="0" w:color="auto"/>
                      </w:divBdr>
                      <w:divsChild>
                        <w:div w:id="596329531">
                          <w:marLeft w:val="0"/>
                          <w:marRight w:val="0"/>
                          <w:marTop w:val="0"/>
                          <w:marBottom w:val="0"/>
                          <w:divBdr>
                            <w:top w:val="none" w:sz="0" w:space="0" w:color="auto"/>
                            <w:left w:val="none" w:sz="0" w:space="0" w:color="auto"/>
                            <w:bottom w:val="none" w:sz="0" w:space="0" w:color="auto"/>
                            <w:right w:val="none" w:sz="0" w:space="0" w:color="auto"/>
                          </w:divBdr>
                          <w:divsChild>
                            <w:div w:id="1937900195">
                              <w:marLeft w:val="0"/>
                              <w:marRight w:val="0"/>
                              <w:marTop w:val="0"/>
                              <w:marBottom w:val="567"/>
                              <w:divBdr>
                                <w:top w:val="none" w:sz="0" w:space="0" w:color="auto"/>
                                <w:left w:val="none" w:sz="0" w:space="0" w:color="auto"/>
                                <w:bottom w:val="none" w:sz="0" w:space="0" w:color="auto"/>
                                <w:right w:val="none" w:sz="0" w:space="0" w:color="auto"/>
                              </w:divBdr>
                            </w:div>
                            <w:div w:id="100166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147849">
      <w:bodyDiv w:val="1"/>
      <w:marLeft w:val="0"/>
      <w:marRight w:val="0"/>
      <w:marTop w:val="0"/>
      <w:marBottom w:val="0"/>
      <w:divBdr>
        <w:top w:val="none" w:sz="0" w:space="0" w:color="auto"/>
        <w:left w:val="none" w:sz="0" w:space="0" w:color="auto"/>
        <w:bottom w:val="none" w:sz="0" w:space="0" w:color="auto"/>
        <w:right w:val="none" w:sz="0" w:space="0" w:color="auto"/>
      </w:divBdr>
    </w:div>
    <w:div w:id="207029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na.Saknere@fm.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rta..Priede@fm.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B13C17E496EC6C4A9A0A8204C89EE578" ma:contentTypeVersion="5" ma:contentTypeDescription="Izveidot jaunu dokumentu." ma:contentTypeScope="" ma:versionID="b6df29d9bf85c0112d5e44ee13cb5286">
  <xsd:schema xmlns:xsd="http://www.w3.org/2001/XMLSchema" xmlns:p="http://schemas.microsoft.com/office/2006/metadata/properties" xmlns:ns1="2e5bb04e-596e-45bd-9003-43ca78b1ba16" targetNamespace="http://schemas.microsoft.com/office/2006/metadata/properties" ma:root="true" ma:fieldsID="516ee77cc879cbdcc28e920a124bce21"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1EE3E81E-FF22-47E1-9473-EEA324C01A93}"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J.Salmiņa</Vad_x012b_t_x0101_js>
    <Kategorija xmlns="2e5bb04e-596e-45bd-9003-43ca78b1ba16">Anotācija</Kategorija>
    <DKP xmlns="2e5bb04e-596e-45bd-9003-43ca78b1ba16">112</DK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320AD-5154-4749-87D7-B8AF8CF68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2E70073-A3B8-4C5C-9AD2-505EA639752B}">
  <ds:schemaRefs>
    <ds:schemaRef ds:uri="http://schemas.microsoft.com/sharepoint/v3/contenttype/forms"/>
  </ds:schemaRefs>
</ds:datastoreItem>
</file>

<file path=customXml/itemProps3.xml><?xml version="1.0" encoding="utf-8"?>
<ds:datastoreItem xmlns:ds="http://schemas.openxmlformats.org/officeDocument/2006/customXml" ds:itemID="{F32801AC-14BD-4279-9CF7-CD324345BD79}">
  <ds:schemaRefs>
    <ds:schemaRef ds:uri="http://schemas.microsoft.com/office/2006/metadata/properties"/>
    <ds:schemaRef ds:uri="http://schemas.microsoft.com/office/infopath/2007/PartnerControls"/>
    <ds:schemaRef ds:uri="2e5bb04e-596e-45bd-9003-43ca78b1ba16"/>
  </ds:schemaRefs>
</ds:datastoreItem>
</file>

<file path=customXml/itemProps4.xml><?xml version="1.0" encoding="utf-8"?>
<ds:datastoreItem xmlns:ds="http://schemas.openxmlformats.org/officeDocument/2006/customXml" ds:itemID="{5C5A8A2C-B429-466E-94A4-52FCCB948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13131</Words>
  <Characters>7486</Characters>
  <Application>Microsoft Office Word</Application>
  <DocSecurity>0</DocSecurity>
  <Lines>62</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likumā "Par Grāmatvedību""</vt:lpstr>
      <vt:lpstr>Likumprojekts "Grozījumi likumā "Par Grāmatvedību""</vt:lpstr>
    </vt:vector>
  </TitlesOfParts>
  <Manager>Jana Salmiņa</Manager>
  <Company>FM</Company>
  <LinksUpToDate>false</LinksUpToDate>
  <CharactersWithSpaces>20576</CharactersWithSpaces>
  <SharedDoc>false</SharedDoc>
  <HLinks>
    <vt:vector size="6" baseType="variant">
      <vt:variant>
        <vt:i4>7012435</vt:i4>
      </vt:variant>
      <vt:variant>
        <vt:i4>0</vt:i4>
      </vt:variant>
      <vt:variant>
        <vt:i4>0</vt:i4>
      </vt:variant>
      <vt:variant>
        <vt:i4>5</vt:i4>
      </vt:variant>
      <vt:variant>
        <vt:lpwstr>mailto:Dina.Saknere@fm.gov.lv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Grāmatvedību""</dc:title>
  <dc:subject>Anotācija</dc:subject>
  <dc:creator>Dina Šaknere</dc:creator>
  <dc:description>Dina.Saknere@fm.gov.lv, 67095618</dc:description>
  <cp:lastModifiedBy>Laimdota Adlere</cp:lastModifiedBy>
  <cp:revision>4</cp:revision>
  <cp:lastPrinted>2016-08-02T07:48:00Z</cp:lastPrinted>
  <dcterms:created xsi:type="dcterms:W3CDTF">2017-04-11T08:18:00Z</dcterms:created>
  <dcterms:modified xsi:type="dcterms:W3CDTF">2017-04-11T08:18:00Z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0x010100B13C17E496EC6C4A9A0A8204C89EE578</vt:lpwstr>
  </property>
</Properties>
</file>